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p>
    <w:p>
      <w:pPr>
        <w:adjustRightInd/>
        <w:spacing w:line="360" w:lineRule="auto"/>
        <w:jc w:val="center"/>
        <w:rPr>
          <w:rFonts w:hint="eastAsia" w:ascii="宋体" w:hAnsi="宋体" w:eastAsia="宋体" w:cs="宋体"/>
          <w:b/>
          <w:color w:val="000000" w:themeColor="text1"/>
          <w:sz w:val="44"/>
          <w:szCs w:val="44"/>
          <w:highlight w:val="none"/>
          <w:lang w:eastAsia="zh-CN"/>
          <w14:textFill>
            <w14:solidFill>
              <w14:schemeClr w14:val="tx1"/>
            </w14:solidFill>
          </w14:textFill>
        </w:rPr>
      </w:pPr>
      <w:r>
        <w:rPr>
          <w:rFonts w:hint="eastAsia" w:ascii="宋体" w:hAnsi="宋体" w:cs="宋体"/>
          <w:b/>
          <w:color w:val="000000" w:themeColor="text1"/>
          <w:sz w:val="44"/>
          <w:szCs w:val="44"/>
          <w:highlight w:val="none"/>
          <w:lang w:eastAsia="zh-CN"/>
          <w14:textFill>
            <w14:solidFill>
              <w14:schemeClr w14:val="tx1"/>
            </w14:solidFill>
          </w14:textFill>
        </w:rPr>
        <w:t>杭州城西休闲公园地下停车库及配套服务用房--机械车位项目</w:t>
      </w:r>
    </w:p>
    <w:p>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p>
    <w:p>
      <w:pPr>
        <w:adjustRightInd/>
        <w:spacing w:line="360" w:lineRule="auto"/>
        <w:jc w:val="center"/>
        <w:rPr>
          <w:rFonts w:ascii="宋体" w:hAnsi="宋体" w:cs="宋体"/>
          <w:b/>
          <w:bCs/>
          <w:color w:val="000000" w:themeColor="text1"/>
          <w:sz w:val="72"/>
          <w:szCs w:val="72"/>
          <w:highlight w:val="none"/>
          <w14:textFill>
            <w14:solidFill>
              <w14:schemeClr w14:val="tx1"/>
            </w14:solidFill>
          </w14:textFill>
        </w:rPr>
      </w:pPr>
      <w:r>
        <w:rPr>
          <w:rFonts w:hint="eastAsia" w:ascii="宋体" w:hAnsi="宋体" w:cs="宋体"/>
          <w:b/>
          <w:bCs/>
          <w:color w:val="000000" w:themeColor="text1"/>
          <w:sz w:val="72"/>
          <w:szCs w:val="72"/>
          <w:highlight w:val="none"/>
          <w14:textFill>
            <w14:solidFill>
              <w14:schemeClr w14:val="tx1"/>
            </w14:solidFill>
          </w14:textFill>
        </w:rPr>
        <w:t xml:space="preserve">采购文件 </w:t>
      </w:r>
    </w:p>
    <w:p>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pPr>
        <w:snapToGrid w:val="0"/>
        <w:spacing w:line="360" w:lineRule="auto"/>
        <w:jc w:val="center"/>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项目编号:</w:t>
      </w:r>
      <w:r>
        <w:rPr>
          <w:rFonts w:hint="eastAsia" w:ascii="宋体" w:hAnsi="宋体" w:cs="宋体"/>
          <w:color w:val="000000" w:themeColor="text1"/>
          <w:sz w:val="30"/>
          <w:szCs w:val="30"/>
          <w:highlight w:val="none"/>
          <w:lang w:eastAsia="zh-CN"/>
          <w14:textFill>
            <w14:solidFill>
              <w14:schemeClr w14:val="tx1"/>
            </w14:solidFill>
          </w14:textFill>
        </w:rPr>
        <w:t>LFF-202211-138</w:t>
      </w:r>
    </w:p>
    <w:p>
      <w:pPr>
        <w:adjustRightInd/>
        <w:spacing w:line="360" w:lineRule="auto"/>
        <w:rPr>
          <w:rFonts w:ascii="宋体" w:hAnsi="宋体" w:cs="宋体"/>
          <w:color w:val="000000" w:themeColor="text1"/>
          <w:sz w:val="28"/>
          <w:szCs w:val="20"/>
          <w:highlight w:val="none"/>
          <w14:textFill>
            <w14:solidFill>
              <w14:schemeClr w14:val="tx1"/>
            </w14:solidFill>
          </w14:textFill>
        </w:rPr>
      </w:pPr>
    </w:p>
    <w:p>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pPr>
        <w:spacing w:line="360" w:lineRule="auto"/>
        <w:jc w:val="center"/>
        <w:rPr>
          <w:rFonts w:ascii="宋体" w:hAnsi="宋体" w:cs="宋体"/>
          <w:color w:val="000000" w:themeColor="text1"/>
          <w:sz w:val="24"/>
          <w:highlight w:val="none"/>
          <w14:textFill>
            <w14:solidFill>
              <w14:schemeClr w14:val="tx1"/>
            </w14:solidFill>
          </w14:textFill>
        </w:rPr>
      </w:pPr>
    </w:p>
    <w:p>
      <w:pPr>
        <w:pStyle w:val="4"/>
        <w:rPr>
          <w:color w:val="000000" w:themeColor="text1"/>
          <w:highlight w:val="none"/>
          <w14:textFill>
            <w14:solidFill>
              <w14:schemeClr w14:val="tx1"/>
            </w14:solidFill>
          </w14:textFill>
        </w:rPr>
      </w:pPr>
    </w:p>
    <w:p>
      <w:pPr>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ind w:right="-7" w:firstLine="643" w:firstLineChars="200"/>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 购 人：杭州西湖风景名胜区建设管理中心</w:t>
      </w:r>
      <w:r>
        <w:rPr>
          <w:rFonts w:hint="eastAsia" w:ascii="宋体" w:hAnsi="宋体" w:cs="宋体"/>
          <w:color w:val="000000" w:themeColor="text1"/>
          <w:szCs w:val="21"/>
          <w:highlight w:val="none"/>
          <w14:textFill>
            <w14:solidFill>
              <w14:schemeClr w14:val="tx1"/>
            </w14:solidFill>
          </w14:textFill>
        </w:rPr>
        <w:t>（盖章）</w:t>
      </w:r>
    </w:p>
    <w:p>
      <w:pPr>
        <w:snapToGrid w:val="0"/>
        <w:spacing w:line="360" w:lineRule="auto"/>
        <w:ind w:right="-7" w:firstLine="585" w:firstLineChars="279"/>
        <w:rPr>
          <w:rFonts w:ascii="宋体" w:hAnsi="宋体" w:cs="宋体"/>
          <w:color w:val="000000" w:themeColor="text1"/>
          <w:szCs w:val="21"/>
          <w:highlight w:val="none"/>
          <w14:textFill>
            <w14:solidFill>
              <w14:schemeClr w14:val="tx1"/>
            </w14:solidFill>
          </w14:textFill>
        </w:rPr>
      </w:pPr>
    </w:p>
    <w:p>
      <w:pPr>
        <w:snapToGrid w:val="0"/>
        <w:spacing w:line="360" w:lineRule="auto"/>
        <w:ind w:right="-7" w:firstLine="643" w:firstLineChars="20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采购代理机构：浙江泛亚工程咨询有限公司</w:t>
      </w:r>
      <w:r>
        <w:rPr>
          <w:rFonts w:hint="eastAsia" w:ascii="宋体" w:hAnsi="宋体" w:cs="宋体"/>
          <w:color w:val="000000" w:themeColor="text1"/>
          <w:szCs w:val="21"/>
          <w:highlight w:val="none"/>
          <w14:textFill>
            <w14:solidFill>
              <w14:schemeClr w14:val="tx1"/>
            </w14:solidFill>
          </w14:textFill>
        </w:rPr>
        <w:t>（盖章）</w:t>
      </w:r>
    </w:p>
    <w:p>
      <w:pPr>
        <w:tabs>
          <w:tab w:val="left" w:pos="840"/>
        </w:tabs>
        <w:snapToGrid w:val="0"/>
        <w:spacing w:line="360" w:lineRule="auto"/>
        <w:ind w:right="533"/>
        <w:rPr>
          <w:rFonts w:ascii="宋体" w:hAnsi="宋体" w:cs="宋体"/>
          <w:b/>
          <w:color w:val="000000" w:themeColor="text1"/>
          <w:sz w:val="32"/>
          <w:szCs w:val="32"/>
          <w:highlight w:val="none"/>
          <w14:textFill>
            <w14:solidFill>
              <w14:schemeClr w14:val="tx1"/>
            </w14:solidFill>
          </w14:textFill>
        </w:rPr>
      </w:pPr>
    </w:p>
    <w:p>
      <w:pPr>
        <w:snapToGrid w:val="0"/>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二〇二</w:t>
      </w:r>
      <w:r>
        <w:rPr>
          <w:rFonts w:hint="eastAsia" w:ascii="宋体" w:hAnsi="宋体" w:cs="宋体"/>
          <w:b/>
          <w:color w:val="000000" w:themeColor="text1"/>
          <w:sz w:val="32"/>
          <w:szCs w:val="32"/>
          <w:highlight w:val="none"/>
          <w:lang w:val="en-US" w:eastAsia="zh-CN"/>
          <w14:textFill>
            <w14:solidFill>
              <w14:schemeClr w14:val="tx1"/>
            </w14:solidFill>
          </w14:textFill>
        </w:rPr>
        <w:t>三</w:t>
      </w:r>
      <w:r>
        <w:rPr>
          <w:rFonts w:hint="eastAsia" w:ascii="宋体" w:hAnsi="宋体" w:cs="宋体"/>
          <w:b/>
          <w:color w:val="000000" w:themeColor="text1"/>
          <w:sz w:val="32"/>
          <w:szCs w:val="32"/>
          <w:highlight w:val="none"/>
          <w14:textFill>
            <w14:solidFill>
              <w14:schemeClr w14:val="tx1"/>
            </w14:solidFill>
          </w14:textFill>
        </w:rPr>
        <w:t>年</w:t>
      </w:r>
      <w:r>
        <w:rPr>
          <w:rFonts w:hint="eastAsia" w:ascii="宋体" w:hAnsi="宋体" w:cs="宋体"/>
          <w:b/>
          <w:color w:val="000000" w:themeColor="text1"/>
          <w:sz w:val="32"/>
          <w:szCs w:val="32"/>
          <w:highlight w:val="none"/>
          <w:lang w:val="en-US" w:eastAsia="zh-CN"/>
          <w14:textFill>
            <w14:solidFill>
              <w14:schemeClr w14:val="tx1"/>
            </w14:solidFill>
          </w14:textFill>
        </w:rPr>
        <w:t>〇一</w:t>
      </w:r>
      <w:r>
        <w:rPr>
          <w:rFonts w:hint="eastAsia" w:ascii="宋体" w:hAnsi="宋体" w:cs="宋体"/>
          <w:b/>
          <w:color w:val="000000" w:themeColor="text1"/>
          <w:sz w:val="32"/>
          <w:szCs w:val="32"/>
          <w:highlight w:val="none"/>
          <w14:textFill>
            <w14:solidFill>
              <w14:schemeClr w14:val="tx1"/>
            </w14:solidFill>
          </w14:textFill>
        </w:rPr>
        <w:t>月</w:t>
      </w:r>
      <w:r>
        <w:rPr>
          <w:rFonts w:hint="eastAsia" w:ascii="宋体" w:hAnsi="宋体" w:cs="宋体"/>
          <w:b/>
          <w:color w:val="000000" w:themeColor="text1"/>
          <w:sz w:val="32"/>
          <w:szCs w:val="32"/>
          <w:highlight w:val="none"/>
          <w:lang w:val="en-US" w:eastAsia="zh-CN"/>
          <w14:textFill>
            <w14:solidFill>
              <w14:schemeClr w14:val="tx1"/>
            </w14:solidFill>
          </w14:textFill>
        </w:rPr>
        <w:t>三十一</w:t>
      </w:r>
      <w:r>
        <w:rPr>
          <w:rFonts w:hint="eastAsia" w:ascii="宋体" w:hAnsi="宋体" w:cs="宋体"/>
          <w:b/>
          <w:color w:val="000000" w:themeColor="text1"/>
          <w:sz w:val="32"/>
          <w:szCs w:val="32"/>
          <w:highlight w:val="none"/>
          <w14:textFill>
            <w14:solidFill>
              <w14:schemeClr w14:val="tx1"/>
            </w14:solidFill>
          </w14:textFill>
        </w:rPr>
        <w:t>日</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pPr>
        <w:spacing w:line="360" w:lineRule="auto"/>
        <w:rPr>
          <w:rFonts w:ascii="宋体" w:hAnsi="宋体" w:cs="宋体"/>
          <w:color w:val="000000" w:themeColor="text1"/>
          <w:sz w:val="32"/>
          <w:szCs w:val="32"/>
          <w:highlight w:val="none"/>
          <w14:textFill>
            <w14:solidFill>
              <w14:schemeClr w14:val="tx1"/>
            </w14:solidFill>
          </w14:textFill>
        </w:rPr>
      </w:pPr>
    </w:p>
    <w:p>
      <w:pPr>
        <w:spacing w:line="360" w:lineRule="auto"/>
        <w:rPr>
          <w:rFonts w:ascii="宋体" w:hAnsi="宋体" w:cs="宋体"/>
          <w:color w:val="000000" w:themeColor="text1"/>
          <w:sz w:val="32"/>
          <w:szCs w:val="32"/>
          <w:highlight w:val="none"/>
          <w14:textFill>
            <w14:solidFill>
              <w14:schemeClr w14:val="tx1"/>
            </w14:solidFill>
          </w14:textFill>
        </w:rPr>
      </w:pP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供应商须知</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杭州城西休闲公园地下停车库及配套服务用房--机械车位项目</w:t>
      </w:r>
      <w:r>
        <w:rPr>
          <w:rFonts w:hint="eastAsia" w:ascii="宋体" w:hAnsi="宋体" w:cs="宋体"/>
          <w:color w:val="000000" w:themeColor="text1"/>
          <w:sz w:val="24"/>
          <w:highlight w:val="none"/>
          <w14:textFill>
            <w14:solidFill>
              <w14:schemeClr w14:val="tx1"/>
            </w14:solidFill>
          </w14:textFill>
        </w:rPr>
        <w:t>招标项目的潜在供应商应在政采云平台（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"https://www.zcygov.cn/）获取（下载）招标文件，并于2021年" </w:instrText>
      </w:r>
      <w:r>
        <w:rPr>
          <w:color w:val="000000" w:themeColor="text1"/>
          <w:highlight w:val="none"/>
          <w14:textFill>
            <w14:solidFill>
              <w14:schemeClr w14:val="tx1"/>
            </w14:solidFill>
          </w14:textFill>
        </w:rPr>
        <w:fldChar w:fldCharType="separate"/>
      </w:r>
      <w:r>
        <w:rPr>
          <w:rStyle w:val="78"/>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https://www.zcygov.cn/）获取（下载）采购文件，并于</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02</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21</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09</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w:t>
      </w:r>
      <w:r>
        <w:rPr>
          <w:rFonts w:hint="eastAsia" w:ascii="宋体" w:hAnsi="宋体" w:cs="宋体"/>
          <w:bCs/>
          <w:color w:val="000000" w:themeColor="text1"/>
          <w:sz w:val="24"/>
          <w:highlight w:val="none"/>
          <w:u w:val="single"/>
          <w14:textFill>
            <w14:solidFill>
              <w14:schemeClr w14:val="tx1"/>
            </w14:solidFill>
          </w14:textFill>
        </w:rPr>
        <w:t>00秒</w:t>
      </w:r>
      <w:r>
        <w:rPr>
          <w:rFonts w:hint="eastAsia" w:ascii="宋体" w:hAnsi="宋体" w:cs="宋体"/>
          <w:bCs/>
          <w:color w:val="000000" w:themeColor="text1"/>
          <w:sz w:val="24"/>
          <w:highlight w:val="none"/>
          <w:u w:val="singl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递交（上传）采购文件。</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pPr>
        <w:spacing w:line="360" w:lineRule="auto"/>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color w:val="000000" w:themeColor="text1"/>
          <w:sz w:val="24"/>
          <w:szCs w:val="20"/>
          <w:highlight w:val="none"/>
          <w:lang w:eastAsia="zh-CN"/>
          <w14:textFill>
            <w14:solidFill>
              <w14:schemeClr w14:val="tx1"/>
            </w14:solidFill>
          </w14:textFill>
        </w:rPr>
        <w:t>LFF-202211-138</w:t>
      </w:r>
    </w:p>
    <w:p>
      <w:pPr>
        <w:spacing w:line="360" w:lineRule="auto"/>
        <w:rPr>
          <w:rFonts w:hint="eastAsia" w:ascii="宋体" w:hAnsi="宋体" w:eastAsia="宋体" w:cs="宋体"/>
          <w:color w:val="000000" w:themeColor="text1"/>
          <w:sz w:val="24"/>
          <w:szCs w:val="20"/>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项目名称：</w:t>
      </w:r>
      <w:r>
        <w:rPr>
          <w:rFonts w:hint="eastAsia" w:ascii="宋体" w:hAnsi="宋体" w:cs="宋体"/>
          <w:color w:val="000000" w:themeColor="text1"/>
          <w:sz w:val="24"/>
          <w:szCs w:val="20"/>
          <w:highlight w:val="none"/>
          <w:lang w:eastAsia="zh-CN"/>
          <w14:textFill>
            <w14:solidFill>
              <w14:schemeClr w14:val="tx1"/>
            </w14:solidFill>
          </w14:textFill>
        </w:rPr>
        <w:t>杭州城西休闲公园地下停车库及配套服务用房--</w:t>
      </w:r>
      <w:r>
        <w:rPr>
          <w:rFonts w:hint="eastAsia" w:ascii="宋体" w:hAnsi="宋体" w:cs="宋体"/>
          <w:color w:val="000000" w:themeColor="text1"/>
          <w:sz w:val="22"/>
          <w:szCs w:val="18"/>
          <w:highlight w:val="none"/>
          <w:lang w:eastAsia="zh-CN"/>
          <w14:textFill>
            <w14:solidFill>
              <w14:schemeClr w14:val="tx1"/>
            </w14:solidFill>
          </w14:textFill>
        </w:rPr>
        <w:t>机械车位</w:t>
      </w:r>
      <w:r>
        <w:rPr>
          <w:rFonts w:hint="eastAsia" w:ascii="宋体" w:hAnsi="宋体" w:cs="宋体"/>
          <w:color w:val="000000" w:themeColor="text1"/>
          <w:sz w:val="24"/>
          <w:szCs w:val="20"/>
          <w:highlight w:val="none"/>
          <w:lang w:eastAsia="zh-CN"/>
          <w14:textFill>
            <w14:solidFill>
              <w14:schemeClr w14:val="tx1"/>
            </w14:solidFill>
          </w14:textFill>
        </w:rPr>
        <w:t>项目</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hint="eastAsia" w:ascii="宋体" w:hAnsi="宋体" w:cs="宋体"/>
          <w:color w:val="000000" w:themeColor="text1"/>
          <w:sz w:val="24"/>
          <w:szCs w:val="20"/>
          <w:highlight w:val="none"/>
          <w:lang w:eastAsia="zh-CN"/>
          <w14:textFill>
            <w14:solidFill>
              <w14:schemeClr w14:val="tx1"/>
            </w14:solidFill>
          </w14:textFill>
        </w:rPr>
        <w:t>8800000.00</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color w:val="000000" w:themeColor="text1"/>
          <w:sz w:val="24"/>
          <w:highlight w:val="none"/>
          <w:lang w:eastAsia="zh-CN"/>
          <w14:textFill>
            <w14:solidFill>
              <w14:schemeClr w14:val="tx1"/>
            </w14:solidFill>
          </w14:textFill>
        </w:rPr>
        <w:t>8800000.00</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采购需求：</w:t>
      </w:r>
    </w:p>
    <w:p>
      <w:pPr>
        <w:snapToGrid w:val="0"/>
        <w:spacing w:line="360" w:lineRule="auto"/>
        <w:ind w:firstLine="480" w:firstLineChars="200"/>
        <w:rPr>
          <w:rFonts w:hint="eastAsia" w:ascii="宋体" w:hAnsi="宋体" w:eastAsia="宋体" w:cs="宋体"/>
          <w:color w:val="000000" w:themeColor="text1"/>
          <w:sz w:val="24"/>
          <w:szCs w:val="20"/>
          <w:highlight w:val="none"/>
          <w:lang w:eastAsia="zh-CN"/>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标项名称:</w:t>
      </w:r>
      <w:r>
        <w:rPr>
          <w:rFonts w:hint="eastAsia" w:ascii="宋体" w:hAnsi="宋体" w:cs="宋体"/>
          <w:color w:val="000000" w:themeColor="text1"/>
          <w:sz w:val="24"/>
          <w:szCs w:val="20"/>
          <w:highlight w:val="none"/>
          <w:lang w:eastAsia="zh-CN"/>
          <w14:textFill>
            <w14:solidFill>
              <w14:schemeClr w14:val="tx1"/>
            </w14:solidFill>
          </w14:textFill>
        </w:rPr>
        <w:t>杭州城西休闲公园地下停车库及配套服务用房--机械车位项目</w:t>
      </w:r>
    </w:p>
    <w:p>
      <w:pPr>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数量:1  </w:t>
      </w:r>
    </w:p>
    <w:p>
      <w:pPr>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预算金额（元）:</w:t>
      </w:r>
      <w:r>
        <w:rPr>
          <w:rFonts w:hint="eastAsia" w:ascii="宋体" w:hAnsi="宋体" w:cs="宋体"/>
          <w:color w:val="000000" w:themeColor="text1"/>
          <w:sz w:val="24"/>
          <w:szCs w:val="20"/>
          <w:highlight w:val="none"/>
          <w:lang w:eastAsia="zh-CN"/>
          <w14:textFill>
            <w14:solidFill>
              <w14:schemeClr w14:val="tx1"/>
            </w14:solidFill>
          </w14:textFill>
        </w:rPr>
        <w:t>8800000.00</w:t>
      </w:r>
      <w:r>
        <w:rPr>
          <w:rFonts w:hint="eastAsia" w:ascii="宋体" w:hAnsi="宋体" w:cs="宋体"/>
          <w:color w:val="000000" w:themeColor="text1"/>
          <w:sz w:val="24"/>
          <w:szCs w:val="20"/>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简要规格描述或项目基本概况介绍、用途：</w:t>
      </w:r>
      <w:r>
        <w:rPr>
          <w:rFonts w:hint="eastAsia" w:ascii="宋体" w:hAnsi="宋体" w:cs="宋体"/>
          <w:color w:val="000000" w:themeColor="text1"/>
          <w:sz w:val="24"/>
          <w:szCs w:val="20"/>
          <w:highlight w:val="none"/>
          <w:lang w:val="en-US" w:eastAsia="zh-CN"/>
          <w14:textFill>
            <w14:solidFill>
              <w14:schemeClr w14:val="tx1"/>
            </w14:solidFill>
          </w14:textFill>
        </w:rPr>
        <w:t>本次改造项目所需的机械式停车设备结构为升降横移类机械立体车库，机械式停车设备采购的设计、制造、安装、调试、试运行、验收及售后服务，机械式停车位总共459个</w:t>
      </w:r>
      <w:r>
        <w:rPr>
          <w:rFonts w:hint="eastAsia" w:ascii="宋体" w:hAnsi="宋体" w:cs="宋体"/>
          <w:color w:val="000000" w:themeColor="text1"/>
          <w:sz w:val="24"/>
          <w:szCs w:val="20"/>
          <w:highlight w:val="none"/>
          <w14:textFill>
            <w14:solidFill>
              <w14:schemeClr w14:val="tx1"/>
            </w14:solidFill>
          </w14:textFill>
        </w:rPr>
        <w:t>。详见采购文件第三部分采购需求。</w:t>
      </w:r>
      <w:r>
        <w:rPr>
          <w:rFonts w:hint="eastAsia" w:ascii="宋体" w:hAnsi="宋体" w:cs="宋体"/>
          <w:color w:val="000000" w:themeColor="text1"/>
          <w:sz w:val="24"/>
          <w:highlight w:val="none"/>
          <w14:textFill>
            <w14:solidFill>
              <w14:schemeClr w14:val="tx1"/>
            </w14:solidFill>
          </w14:textFill>
        </w:rPr>
        <w:t> </w:t>
      </w:r>
    </w:p>
    <w:p>
      <w:pPr>
        <w:pStyle w:val="132"/>
        <w:ind w:firstLine="482"/>
        <w:outlineLvl w:val="2"/>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w:t>
      </w:r>
      <w:r>
        <w:rPr>
          <w:rFonts w:hint="eastAsia" w:ascii="宋体" w:hAnsi="宋体" w:cs="宋体"/>
          <w:color w:val="000000" w:themeColor="text1"/>
          <w:highlight w:val="none"/>
          <w:u w:val="single"/>
          <w:lang w:val="en-US" w:eastAsia="zh-CN"/>
          <w14:textFill>
            <w14:solidFill>
              <w14:schemeClr w14:val="tx1"/>
            </w14:solidFill>
          </w14:textFill>
        </w:rPr>
        <w:t>75</w:t>
      </w:r>
      <w:r>
        <w:rPr>
          <w:rFonts w:hint="eastAsia" w:ascii="宋体" w:hAnsi="宋体" w:cs="宋体"/>
          <w:color w:val="000000" w:themeColor="text1"/>
          <w:highlight w:val="none"/>
          <w14:textFill>
            <w14:solidFill>
              <w14:schemeClr w14:val="tx1"/>
            </w14:solidFill>
          </w14:textFill>
        </w:rPr>
        <w:t>日历天</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（具体时间按合同签订为准。其中含完成设备供货、安装及内容系统的部署、配套装饰等，经测试运行及培训，并通过甲方组织验收合格，正式交付使用，进入质保期（不含试运行）</w:t>
      </w:r>
      <w:r>
        <w:rPr>
          <w:rFonts w:hint="eastAsia" w:ascii="宋体" w:hAnsi="宋体" w:cs="宋体"/>
          <w:color w:val="000000" w:themeColor="text1"/>
          <w:highlight w:val="none"/>
          <w14:textFill>
            <w14:solidFill>
              <w14:schemeClr w14:val="tx1"/>
            </w14:solidFill>
          </w14:textFill>
        </w:rPr>
        <w:t>。</w:t>
      </w:r>
    </w:p>
    <w:p>
      <w:pPr>
        <w:pStyle w:val="17"/>
        <w:spacing w:line="360" w:lineRule="auto"/>
        <w:ind w:firstLine="480"/>
        <w:rPr>
          <w:rFonts w:hAnsi="宋体" w:cs="宋体"/>
          <w:color w:val="000000" w:themeColor="text1"/>
          <w:kern w:val="0"/>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sdt>
        <w:sdtPr>
          <w:rPr>
            <w:rFonts w:hint="eastAsia" w:hAnsi="宋体" w:cs="宋体"/>
            <w:color w:val="000000" w:themeColor="text1"/>
            <w:kern w:val="0"/>
            <w:sz w:val="24"/>
            <w:highlight w:val="none"/>
            <w14:textFill>
              <w14:solidFill>
                <w14:schemeClr w14:val="tx1"/>
              </w14:solidFill>
            </w14:textFill>
          </w:rPr>
          <w:id w:val="2035453831"/>
          <w14:checkbox>
            <w14:checked w14:val="0"/>
            <w14:checkedState w14:val="00FE" w14:font="Wingdings"/>
            <w14:uncheckedState w14:val="2610" w14:font="MS Gothic"/>
          </w14:checkbox>
        </w:sdtPr>
        <w:sdtEndPr>
          <w:rPr>
            <w:rFonts w:hint="eastAsia"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snapToGrid w:val="0"/>
              <w:color w:val="000000" w:themeColor="text1"/>
              <w:kern w:val="0"/>
              <w:sz w:val="24"/>
              <w:szCs w:val="20"/>
              <w:highlight w:val="none"/>
              <w:lang w:val="en-US" w:eastAsia="zh-CN" w:bidi="ar-SA"/>
              <w14:textFill>
                <w14:solidFill>
                  <w14:schemeClr w14:val="tx1"/>
                </w14:solidFill>
              </w14:textFill>
            </w:rPr>
            <w:t>☐</w:t>
          </w:r>
        </w:sdtContent>
      </w:sdt>
      <w:r>
        <w:rPr>
          <w:rFonts w:hint="eastAsia" w:hAnsi="宋体" w:cs="宋体"/>
          <w:b/>
          <w:color w:val="000000" w:themeColor="text1"/>
          <w:sz w:val="24"/>
          <w:highlight w:val="none"/>
          <w14:textFill>
            <w14:solidFill>
              <w14:schemeClr w14:val="tx1"/>
            </w14:solidFill>
          </w14:textFill>
        </w:rPr>
        <w:t>是，</w:t>
      </w:r>
      <w:sdt>
        <w:sdtPr>
          <w:rPr>
            <w:rFonts w:hint="eastAsia" w:hAnsi="宋体" w:cs="宋体"/>
            <w:color w:val="000000" w:themeColor="text1"/>
            <w:kern w:val="0"/>
            <w:sz w:val="24"/>
            <w:highlight w:val="none"/>
            <w14:textFill>
              <w14:solidFill>
                <w14:schemeClr w14:val="tx1"/>
              </w14:solidFill>
            </w14:textFill>
          </w:rPr>
          <w:id w:val="-1765526721"/>
          <w14:checkbox>
            <w14:checked w14:val="1"/>
            <w14:checkedState w14:val="00FE" w14:font="Wingdings"/>
            <w14:uncheckedState w14:val="2610" w14:font="MS Gothic"/>
          </w14:checkbox>
        </w:sdtPr>
        <w:sdtEndPr>
          <w:rPr>
            <w:rFonts w:hint="eastAsia"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snapToGrid w:val="0"/>
              <w:color w:val="000000" w:themeColor="text1"/>
              <w:kern w:val="0"/>
              <w:sz w:val="24"/>
              <w:szCs w:val="20"/>
              <w:highlight w:val="none"/>
              <w:lang w:val="en-US" w:eastAsia="zh-CN" w:bidi="ar-SA"/>
              <w14:textFill>
                <w14:solidFill>
                  <w14:schemeClr w14:val="tx1"/>
                </w14:solidFill>
              </w14:textFill>
            </w:rPr>
            <w:t>þ</w:t>
          </w:r>
        </w:sdtContent>
      </w:sdt>
      <w:r>
        <w:rPr>
          <w:rFonts w:hint="eastAsia" w:hAnsi="宋体" w:cs="宋体"/>
          <w:b/>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二、申请人的资格要求：</w:t>
      </w:r>
    </w:p>
    <w:p>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sdt>
        <w:sdtPr>
          <w:rPr>
            <w:rFonts w:hint="eastAsia" w:ascii="宋体" w:hAnsi="宋体" w:cs="宋体"/>
            <w:color w:val="000000" w:themeColor="text1"/>
            <w:kern w:val="0"/>
            <w:sz w:val="24"/>
            <w:highlight w:val="none"/>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全部由符合政策要求的中小企业承接，提供中小企业声明函；</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.本项目的特定资格要求：制造商具有《中华人民共和国特种设备制造许可证（起重机械）》</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类型为机械式停车设备</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或《中华人民共和国特种设备生产许可证》（起重机械制造、安装、修理、改造：机械式停车设备）</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三、获取采购文件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02</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21</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b w:val="0"/>
          <w:bCs/>
          <w:color w:val="000000" w:themeColor="text1"/>
          <w:sz w:val="24"/>
          <w:highlight w:val="none"/>
          <w14:textFill>
            <w14:solidFill>
              <w14:schemeClr w14:val="tx1"/>
            </w14:solidFill>
          </w14:textFill>
        </w:rPr>
        <w:t>政采云平台https://www.zcygov.cn/在线获取</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四、提交采购文件截止时间、开标时间和地点</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提交采购文件截止时间：</w:t>
      </w:r>
      <w:r>
        <w:rPr>
          <w:rFonts w:hint="eastAsia" w:ascii="宋体" w:hAnsi="宋体" w:cs="宋体"/>
          <w:color w:val="000000" w:themeColor="text1"/>
          <w:sz w:val="24"/>
          <w:highlight w:val="none"/>
          <w:u w:val="single"/>
          <w14:textFill>
            <w14:solidFill>
              <w14:schemeClr w14:val="tx1"/>
            </w14:solidFill>
          </w14:textFill>
        </w:rPr>
        <w:t xml:space="preserve"> 202</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02</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21</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09</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（北京时间）</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通过“政府采购云平台（www.zcygov.cn）”实行在线投标响应 </w:t>
      </w:r>
    </w:p>
    <w:p>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02</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21</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09</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w:t>
      </w:r>
      <w:r>
        <w:rPr>
          <w:rFonts w:hint="eastAsia" w:ascii="宋体" w:hAnsi="宋体" w:cs="宋体"/>
          <w:bCs/>
          <w:color w:val="000000" w:themeColor="text1"/>
          <w:sz w:val="24"/>
          <w:highlight w:val="none"/>
          <w:u w:val="single"/>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采购文件的第二部分总则。（2）电子招投标的说明：①电子招投标：本项目以数据电文形式，依托“政府采购云平台（www.zcygov.cn）”进行招投标活动，不接受纸质采购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采购文件的制作：在“政采云电子交易客户端”中完成“填写基本信息”、“导入采购文件”、“标书关联”、“标书检查”、“电子签名”、“生成电子标书”等操作；⑤采购人、采购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采购文件的传输递交：供应商在投标截止时间前将加密的采购文件上传至政府采购云平台，还可以在投标截止时间前直接提交或者以邮政快递方式递交备份采购文件1份。备份采购文件的制作、存储、密封详见采购文件第二部分第15点—“备份采购文件”；⑨采购文件的解密：供应商按照平台提示和采购文件的规定在半小时内完成在线解密。通过“政府采购云平台”上传递交的采购文件无法按时解密，投标供应商递交了备份采购文件的，以备份采购文件为依据，否则视为采购文件撤回。通过“政府采购云平台”上传递交的采购文件已按时解密的，备份采购文件自动失效。供应商仅提交备份采购文件，未在电子交易平台传输递交采购文件的，投标无效；⑩具体操作指南：详见政采云平台“服务中心-帮助文档-项目采购-操作流程-电子招投标-政府采购项目电子交易管理操作指南-供应商”。（3）采购文件公告期限与招标公告的公告期限一致。</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pPr>
        <w:widowControl/>
        <w:spacing w:line="360" w:lineRule="auto"/>
        <w:jc w:val="left"/>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1.采购人信息</w:t>
      </w:r>
    </w:p>
    <w:p>
      <w:pPr>
        <w:widowControl/>
        <w:spacing w:line="360" w:lineRule="auto"/>
        <w:jc w:val="left"/>
        <w:rPr>
          <w:rFonts w:hint="eastAsia" w:ascii="宋体" w:hAnsi="宋体" w:eastAsia="宋体" w:cs="宋体"/>
          <w:color w:val="000000" w:themeColor="text1"/>
          <w:sz w:val="24"/>
          <w:szCs w:val="28"/>
          <w:highlight w:val="none"/>
          <w:lang w:eastAsia="zh-CN"/>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   名称：</w:t>
      </w:r>
      <w:r>
        <w:rPr>
          <w:rFonts w:hint="eastAsia" w:ascii="宋体" w:hAnsi="宋体" w:cs="宋体"/>
          <w:color w:val="000000" w:themeColor="text1"/>
          <w:sz w:val="24"/>
          <w:szCs w:val="28"/>
          <w:highlight w:val="none"/>
          <w:lang w:eastAsia="zh-CN"/>
          <w14:textFill>
            <w14:solidFill>
              <w14:schemeClr w14:val="tx1"/>
            </w14:solidFill>
          </w14:textFill>
        </w:rPr>
        <w:t>杭州西湖风景名胜区建设管理中心</w:t>
      </w:r>
    </w:p>
    <w:p>
      <w:pPr>
        <w:widowControl/>
        <w:spacing w:line="360" w:lineRule="auto"/>
        <w:jc w:val="left"/>
        <w:rPr>
          <w:rFonts w:hint="eastAsia" w:ascii="宋体" w:hAnsi="宋体" w:cs="宋体"/>
          <w:color w:val="000000" w:themeColor="text1"/>
          <w:sz w:val="24"/>
          <w:szCs w:val="28"/>
          <w:highlight w:val="none"/>
          <w:lang w:eastAsia="zh-CN"/>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   地址</w:t>
      </w:r>
      <w:r>
        <w:rPr>
          <w:rFonts w:hint="eastAsia" w:ascii="宋体" w:hAnsi="宋体" w:cs="宋体"/>
          <w:color w:val="000000" w:themeColor="text1"/>
          <w:sz w:val="24"/>
          <w:szCs w:val="28"/>
          <w:highlight w:val="none"/>
          <w:lang w:eastAsia="zh-CN"/>
          <w14:textFill>
            <w14:solidFill>
              <w14:schemeClr w14:val="tx1"/>
            </w14:solidFill>
          </w14:textFill>
        </w:rPr>
        <w:t>：杭州市灵隐路32号</w:t>
      </w:r>
    </w:p>
    <w:p>
      <w:pPr>
        <w:widowControl/>
        <w:spacing w:line="360" w:lineRule="auto"/>
        <w:jc w:val="left"/>
        <w:rPr>
          <w:rFonts w:hint="eastAsia" w:ascii="宋体" w:hAnsi="宋体" w:cs="宋体"/>
          <w:color w:val="000000" w:themeColor="text1"/>
          <w:sz w:val="24"/>
          <w:szCs w:val="28"/>
          <w:highlight w:val="none"/>
          <w:lang w:eastAsia="zh-CN"/>
          <w14:textFill>
            <w14:solidFill>
              <w14:schemeClr w14:val="tx1"/>
            </w14:solidFill>
          </w14:textFill>
        </w:rPr>
      </w:pPr>
      <w:r>
        <w:rPr>
          <w:rFonts w:hint="eastAsia" w:ascii="宋体" w:hAnsi="宋体" w:cs="宋体"/>
          <w:color w:val="000000" w:themeColor="text1"/>
          <w:sz w:val="24"/>
          <w:szCs w:val="28"/>
          <w:highlight w:val="none"/>
          <w:lang w:eastAsia="zh-CN"/>
          <w14:textFill>
            <w14:solidFill>
              <w14:schemeClr w14:val="tx1"/>
            </w14:solidFill>
          </w14:textFill>
        </w:rPr>
        <w:t>   传真：/</w:t>
      </w:r>
    </w:p>
    <w:p>
      <w:pPr>
        <w:widowControl/>
        <w:spacing w:line="360" w:lineRule="auto"/>
        <w:jc w:val="left"/>
        <w:rPr>
          <w:rFonts w:hint="eastAsia" w:ascii="宋体" w:hAnsi="宋体" w:cs="宋体"/>
          <w:color w:val="000000" w:themeColor="text1"/>
          <w:sz w:val="24"/>
          <w:szCs w:val="28"/>
          <w:highlight w:val="none"/>
          <w:lang w:val="zh-TW" w:eastAsia="zh-CN"/>
          <w14:textFill>
            <w14:solidFill>
              <w14:schemeClr w14:val="tx1"/>
            </w14:solidFill>
          </w14:textFill>
        </w:rPr>
      </w:pPr>
      <w:r>
        <w:rPr>
          <w:rFonts w:hint="eastAsia" w:ascii="宋体" w:hAnsi="宋体" w:cs="宋体"/>
          <w:color w:val="000000" w:themeColor="text1"/>
          <w:sz w:val="24"/>
          <w:szCs w:val="28"/>
          <w:highlight w:val="none"/>
          <w:lang w:eastAsia="zh-CN"/>
          <w14:textFill>
            <w14:solidFill>
              <w14:schemeClr w14:val="tx1"/>
            </w14:solidFill>
          </w14:textFill>
        </w:rPr>
        <w:t xml:space="preserve">  </w:t>
      </w:r>
      <w:r>
        <w:rPr>
          <w:rFonts w:hint="eastAsia" w:ascii="宋体" w:hAnsi="宋体" w:cs="宋体"/>
          <w:color w:val="000000" w:themeColor="text1"/>
          <w:sz w:val="24"/>
          <w:szCs w:val="28"/>
          <w:highlight w:val="none"/>
          <w:lang w:val="en-US" w:eastAsia="zh-CN"/>
          <w14:textFill>
            <w14:solidFill>
              <w14:schemeClr w14:val="tx1"/>
            </w14:solidFill>
          </w14:textFill>
        </w:rPr>
        <w:t xml:space="preserve"> </w:t>
      </w:r>
      <w:r>
        <w:rPr>
          <w:rFonts w:hint="eastAsia" w:ascii="宋体" w:hAnsi="宋体" w:cs="宋体"/>
          <w:color w:val="000000" w:themeColor="text1"/>
          <w:sz w:val="24"/>
          <w:szCs w:val="28"/>
          <w:highlight w:val="none"/>
          <w:lang w:val="zh-TW" w:eastAsia="zh-TW"/>
          <w14:textFill>
            <w14:solidFill>
              <w14:schemeClr w14:val="tx1"/>
            </w14:solidFill>
          </w14:textFill>
        </w:rPr>
        <w:t>项目联系人（询问）：洪雯</w:t>
      </w:r>
    </w:p>
    <w:p>
      <w:pPr>
        <w:widowControl/>
        <w:spacing w:line="360" w:lineRule="auto"/>
        <w:ind w:firstLine="480" w:firstLineChars="200"/>
        <w:jc w:val="left"/>
        <w:rPr>
          <w:rFonts w:hint="eastAsia" w:ascii="宋体" w:hAnsi="宋体" w:cs="宋体"/>
          <w:color w:val="000000" w:themeColor="text1"/>
          <w:sz w:val="24"/>
          <w:szCs w:val="28"/>
          <w:highlight w:val="none"/>
          <w:lang w:val="zh-TW" w:eastAsia="zh-CN"/>
          <w14:textFill>
            <w14:solidFill>
              <w14:schemeClr w14:val="tx1"/>
            </w14:solidFill>
          </w14:textFill>
        </w:rPr>
      </w:pPr>
      <w:r>
        <w:rPr>
          <w:rFonts w:hint="eastAsia" w:ascii="宋体" w:hAnsi="宋体" w:cs="宋体"/>
          <w:color w:val="000000" w:themeColor="text1"/>
          <w:sz w:val="24"/>
          <w:szCs w:val="28"/>
          <w:highlight w:val="none"/>
          <w:lang w:val="zh-TW" w:eastAsia="zh-TW"/>
          <w14:textFill>
            <w14:solidFill>
              <w14:schemeClr w14:val="tx1"/>
            </w14:solidFill>
          </w14:textFill>
        </w:rPr>
        <w:t>项目联系方式（询问）：</w:t>
      </w:r>
      <w:r>
        <w:rPr>
          <w:rFonts w:hint="eastAsia" w:ascii="宋体" w:hAnsi="宋体" w:cs="宋体"/>
          <w:color w:val="000000" w:themeColor="text1"/>
          <w:sz w:val="24"/>
          <w:szCs w:val="28"/>
          <w:highlight w:val="none"/>
          <w:lang w:val="zh-TW" w:eastAsia="zh-CN"/>
          <w14:textFill>
            <w14:solidFill>
              <w14:schemeClr w14:val="tx1"/>
            </w14:solidFill>
          </w14:textFill>
        </w:rPr>
        <w:t>0571-81604207</w:t>
      </w:r>
    </w:p>
    <w:p>
      <w:pPr>
        <w:widowControl/>
        <w:spacing w:line="360" w:lineRule="auto"/>
        <w:ind w:firstLine="480" w:firstLineChars="200"/>
        <w:jc w:val="left"/>
        <w:rPr>
          <w:rFonts w:hint="default" w:ascii="宋体" w:hAnsi="宋体" w:cs="宋体"/>
          <w:color w:val="000000" w:themeColor="text1"/>
          <w:sz w:val="24"/>
          <w:szCs w:val="28"/>
          <w:highlight w:val="none"/>
          <w:lang w:val="en-US" w:eastAsia="zh-CN"/>
          <w14:textFill>
            <w14:solidFill>
              <w14:schemeClr w14:val="tx1"/>
            </w14:solidFill>
          </w14:textFill>
        </w:rPr>
      </w:pPr>
      <w:r>
        <w:rPr>
          <w:rFonts w:hint="eastAsia" w:ascii="宋体" w:hAnsi="宋体" w:cs="宋体"/>
          <w:color w:val="000000" w:themeColor="text1"/>
          <w:sz w:val="24"/>
          <w:szCs w:val="28"/>
          <w:highlight w:val="none"/>
          <w:lang w:val="zh-TW" w:eastAsia="zh-TW"/>
          <w14:textFill>
            <w14:solidFill>
              <w14:schemeClr w14:val="tx1"/>
            </w14:solidFill>
          </w14:textFill>
        </w:rPr>
        <w:t>质疑联系人：</w:t>
      </w:r>
      <w:r>
        <w:rPr>
          <w:rFonts w:hint="eastAsia" w:ascii="宋体" w:hAnsi="宋体" w:cs="宋体"/>
          <w:color w:val="000000" w:themeColor="text1"/>
          <w:sz w:val="24"/>
          <w:szCs w:val="28"/>
          <w:highlight w:val="none"/>
          <w:lang w:val="en-US" w:eastAsia="zh-CN"/>
          <w14:textFill>
            <w14:solidFill>
              <w14:schemeClr w14:val="tx1"/>
            </w14:solidFill>
          </w14:textFill>
        </w:rPr>
        <w:t>施先生</w:t>
      </w:r>
    </w:p>
    <w:p>
      <w:pPr>
        <w:widowControl/>
        <w:spacing w:line="360" w:lineRule="auto"/>
        <w:ind w:firstLine="480" w:firstLineChars="200"/>
        <w:jc w:val="left"/>
        <w:rPr>
          <w:rFonts w:hint="eastAsia" w:ascii="宋体" w:hAnsi="宋体" w:cs="宋体"/>
          <w:color w:val="000000" w:themeColor="text1"/>
          <w:sz w:val="24"/>
          <w:szCs w:val="28"/>
          <w:highlight w:val="none"/>
          <w:lang w:val="zh-TW" w:eastAsia="zh-CN"/>
          <w14:textFill>
            <w14:solidFill>
              <w14:schemeClr w14:val="tx1"/>
            </w14:solidFill>
          </w14:textFill>
        </w:rPr>
      </w:pPr>
      <w:r>
        <w:rPr>
          <w:rFonts w:hint="eastAsia" w:ascii="宋体" w:hAnsi="宋体" w:cs="宋体"/>
          <w:color w:val="000000" w:themeColor="text1"/>
          <w:sz w:val="24"/>
          <w:szCs w:val="28"/>
          <w:highlight w:val="none"/>
          <w:lang w:val="zh-TW" w:eastAsia="zh-TW"/>
          <w14:textFill>
            <w14:solidFill>
              <w14:schemeClr w14:val="tx1"/>
            </w14:solidFill>
          </w14:textFill>
        </w:rPr>
        <w:t>质疑联系方式：</w:t>
      </w:r>
      <w:r>
        <w:rPr>
          <w:rFonts w:hint="eastAsia" w:ascii="宋体" w:hAnsi="宋体" w:cs="宋体"/>
          <w:color w:val="000000" w:themeColor="text1"/>
          <w:sz w:val="24"/>
          <w:szCs w:val="28"/>
          <w:highlight w:val="none"/>
          <w:lang w:val="zh-TW" w:eastAsia="zh-CN"/>
          <w14:textFill>
            <w14:solidFill>
              <w14:schemeClr w14:val="tx1"/>
            </w14:solidFill>
          </w14:textFill>
        </w:rPr>
        <w:t xml:space="preserve"> 0571-87967377</w:t>
      </w:r>
    </w:p>
    <w:p>
      <w:pPr>
        <w:widowControl/>
        <w:spacing w:line="360" w:lineRule="auto"/>
        <w:jc w:val="left"/>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lang w:eastAsia="zh-CN"/>
          <w14:textFill>
            <w14:solidFill>
              <w14:schemeClr w14:val="tx1"/>
            </w14:solidFill>
          </w14:textFill>
        </w:rPr>
        <w:t xml:space="preserve"> 2.采购代理机构信</w:t>
      </w:r>
      <w:r>
        <w:rPr>
          <w:rFonts w:hint="eastAsia" w:ascii="宋体" w:hAnsi="宋体" w:cs="宋体"/>
          <w:color w:val="000000" w:themeColor="text1"/>
          <w:sz w:val="24"/>
          <w:szCs w:val="28"/>
          <w:highlight w:val="none"/>
          <w14:textFill>
            <w14:solidFill>
              <w14:schemeClr w14:val="tx1"/>
            </w14:solidFill>
          </w14:textFill>
        </w:rPr>
        <w:t>息</w:t>
      </w:r>
    </w:p>
    <w:p>
      <w:pPr>
        <w:widowControl/>
        <w:spacing w:line="360" w:lineRule="auto"/>
        <w:jc w:val="left"/>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   名称：浙江泛亚工程咨询有限公司              </w:t>
      </w:r>
    </w:p>
    <w:p>
      <w:pPr>
        <w:widowControl/>
        <w:spacing w:line="360" w:lineRule="auto"/>
        <w:jc w:val="left"/>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 xml:space="preserve">   地址：杭州市西湖区天目山路181号天际大厦803、804  </w:t>
      </w:r>
    </w:p>
    <w:p>
      <w:pPr>
        <w:widowControl/>
        <w:spacing w:line="360" w:lineRule="auto"/>
        <w:jc w:val="left"/>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   传真：0571-87993775             </w:t>
      </w:r>
    </w:p>
    <w:p>
      <w:pPr>
        <w:widowControl/>
        <w:spacing w:line="360" w:lineRule="auto"/>
        <w:jc w:val="left"/>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   项目联系人（询问）：李</w:t>
      </w:r>
      <w:r>
        <w:rPr>
          <w:rFonts w:hint="eastAsia" w:ascii="宋体" w:hAnsi="宋体" w:cs="宋体"/>
          <w:color w:val="000000" w:themeColor="text1"/>
          <w:sz w:val="24"/>
          <w:szCs w:val="28"/>
          <w:highlight w:val="none"/>
          <w:lang w:val="en-US" w:eastAsia="zh-CN"/>
          <w14:textFill>
            <w14:solidFill>
              <w14:schemeClr w14:val="tx1"/>
            </w14:solidFill>
          </w14:textFill>
        </w:rPr>
        <w:t>芳芳、杨益瑾</w:t>
      </w:r>
      <w:r>
        <w:rPr>
          <w:rFonts w:hint="eastAsia" w:ascii="宋体" w:hAnsi="宋体" w:cs="宋体"/>
          <w:color w:val="000000" w:themeColor="text1"/>
          <w:sz w:val="24"/>
          <w:szCs w:val="28"/>
          <w:highlight w:val="none"/>
          <w14:textFill>
            <w14:solidFill>
              <w14:schemeClr w14:val="tx1"/>
            </w14:solidFill>
          </w14:textFill>
        </w:rPr>
        <w:t>           </w:t>
      </w:r>
    </w:p>
    <w:p>
      <w:pPr>
        <w:widowControl/>
        <w:spacing w:line="360" w:lineRule="auto"/>
        <w:jc w:val="left"/>
        <w:rPr>
          <w:rFonts w:hint="default" w:ascii="宋体" w:hAnsi="宋体" w:eastAsia="宋体" w:cs="宋体"/>
          <w:color w:val="000000" w:themeColor="text1"/>
          <w:sz w:val="24"/>
          <w:szCs w:val="28"/>
          <w:highlight w:val="none"/>
          <w:lang w:val="en-US" w:eastAsia="zh-CN"/>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   项目联系方式（询问）：13605802875</w:t>
      </w:r>
      <w:r>
        <w:rPr>
          <w:rFonts w:hint="eastAsia" w:ascii="宋体" w:hAnsi="宋体" w:cs="宋体"/>
          <w:color w:val="000000" w:themeColor="text1"/>
          <w:sz w:val="24"/>
          <w:szCs w:val="28"/>
          <w:highlight w:val="none"/>
          <w:lang w:eastAsia="zh-CN"/>
          <w14:textFill>
            <w14:solidFill>
              <w14:schemeClr w14:val="tx1"/>
            </w14:solidFill>
          </w14:textFill>
        </w:rPr>
        <w:t>、</w:t>
      </w:r>
      <w:r>
        <w:rPr>
          <w:rFonts w:hint="eastAsia" w:ascii="宋体" w:hAnsi="宋体" w:cs="宋体"/>
          <w:color w:val="000000" w:themeColor="text1"/>
          <w:sz w:val="24"/>
          <w:szCs w:val="28"/>
          <w:highlight w:val="none"/>
          <w:lang w:val="en-US" w:eastAsia="zh-CN"/>
          <w14:textFill>
            <w14:solidFill>
              <w14:schemeClr w14:val="tx1"/>
            </w14:solidFill>
          </w14:textFill>
        </w:rPr>
        <w:t>15700122572</w:t>
      </w:r>
    </w:p>
    <w:p>
      <w:pPr>
        <w:widowControl/>
        <w:spacing w:line="360" w:lineRule="auto"/>
        <w:ind w:firstLine="480" w:firstLineChars="200"/>
        <w:jc w:val="left"/>
        <w:rPr>
          <w:rFonts w:hint="eastAsia" w:ascii="宋体" w:hAnsi="宋体" w:eastAsia="宋体" w:cs="宋体"/>
          <w:color w:val="000000" w:themeColor="text1"/>
          <w:sz w:val="24"/>
          <w:szCs w:val="28"/>
          <w:highlight w:val="none"/>
          <w:lang w:val="en-US" w:eastAsia="zh-CN"/>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质疑联系人：</w:t>
      </w:r>
      <w:r>
        <w:rPr>
          <w:rFonts w:hint="eastAsia" w:ascii="宋体" w:hAnsi="宋体" w:cs="宋体"/>
          <w:color w:val="000000" w:themeColor="text1"/>
          <w:sz w:val="24"/>
          <w:szCs w:val="28"/>
          <w:highlight w:val="none"/>
          <w:lang w:eastAsia="zh-CN"/>
          <w14:textFill>
            <w14:solidFill>
              <w14:schemeClr w14:val="tx1"/>
            </w14:solidFill>
          </w14:textFill>
        </w:rPr>
        <w:t>杨佩瑾</w:t>
      </w:r>
    </w:p>
    <w:p>
      <w:pPr>
        <w:pStyle w:val="783"/>
        <w:adjustRightInd w:val="0"/>
        <w:snapToGrid w:val="0"/>
        <w:spacing w:line="360" w:lineRule="auto"/>
        <w:ind w:firstLine="480" w:firstLineChars="200"/>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质疑联系电话：</w:t>
      </w:r>
      <w:r>
        <w:rPr>
          <w:rFonts w:hint="eastAsia" w:ascii="宋体" w:hAnsi="宋体" w:cs="宋体"/>
          <w:color w:val="000000" w:themeColor="text1"/>
          <w:sz w:val="24"/>
          <w:szCs w:val="28"/>
          <w:highlight w:val="none"/>
          <w:lang w:val="en-US" w:eastAsia="zh-CN"/>
          <w14:textFill>
            <w14:solidFill>
              <w14:schemeClr w14:val="tx1"/>
            </w14:solidFill>
          </w14:textFill>
        </w:rPr>
        <w:t>15068827539</w:t>
      </w:r>
    </w:p>
    <w:p>
      <w:pPr>
        <w:pStyle w:val="783"/>
        <w:adjustRightInd w:val="0"/>
        <w:snapToGrid w:val="0"/>
        <w:spacing w:line="360" w:lineRule="auto"/>
        <w:ind w:firstLine="480" w:firstLineChars="200"/>
        <w:jc w:val="left"/>
        <w:rPr>
          <w:rFonts w:ascii="宋体" w:hAnsi="宋体" w:cs="宋体"/>
          <w:color w:val="000000" w:themeColor="text1"/>
          <w:sz w:val="24"/>
          <w:szCs w:val="24"/>
          <w:highlight w:val="none"/>
          <w:lang w:val="zh-TW" w:eastAsia="zh-TW"/>
          <w14:textFill>
            <w14:solidFill>
              <w14:schemeClr w14:val="tx1"/>
            </w14:solidFill>
          </w14:textFill>
        </w:rPr>
      </w:pPr>
      <w:r>
        <w:rPr>
          <w:rFonts w:hint="eastAsia" w:ascii="宋体" w:hAnsi="宋体" w:cs="宋体"/>
          <w:color w:val="000000" w:themeColor="text1"/>
          <w:sz w:val="24"/>
          <w:szCs w:val="24"/>
          <w:highlight w:val="none"/>
          <w:lang w:val="zh-TW" w:eastAsia="zh-TW"/>
          <w14:textFill>
            <w14:solidFill>
              <w14:schemeClr w14:val="tx1"/>
            </w14:solidFill>
          </w14:textFill>
        </w:rPr>
        <w:t xml:space="preserve">3.同级政府采购监督管理部门            </w:t>
      </w:r>
    </w:p>
    <w:p>
      <w:pPr>
        <w:pStyle w:val="60"/>
        <w:snapToGrid w:val="0"/>
        <w:spacing w:before="0" w:beforeAutospacing="0" w:after="0" w:afterAutospacing="0" w:line="360" w:lineRule="auto"/>
        <w:ind w:firstLine="480" w:firstLineChars="200"/>
        <w:rPr>
          <w:rFonts w:cs="宋体"/>
          <w:color w:val="000000" w:themeColor="text1"/>
          <w:highlight w:val="none"/>
          <w:lang w:val="zh-CN"/>
          <w14:textFill>
            <w14:solidFill>
              <w14:schemeClr w14:val="tx1"/>
            </w14:solidFill>
          </w14:textFill>
        </w:rPr>
      </w:pPr>
      <w:r>
        <w:rPr>
          <w:rFonts w:hint="eastAsia" w:cs="宋体"/>
          <w:color w:val="000000" w:themeColor="text1"/>
          <w:highlight w:val="none"/>
          <w:lang w:val="zh-CN"/>
          <w14:textFill>
            <w14:solidFill>
              <w14:schemeClr w14:val="tx1"/>
            </w14:solidFill>
          </w14:textFill>
        </w:rPr>
        <w:t>同级政府采购监督管理部门名称：</w:t>
      </w:r>
      <w:r>
        <w:rPr>
          <w:rFonts w:hint="eastAsia" w:ascii="宋体" w:hAnsi="宋体" w:cs="宋体"/>
          <w:color w:val="000000" w:themeColor="text1"/>
          <w:szCs w:val="24"/>
          <w:highlight w:val="none"/>
          <w:lang w:val="zh-TW" w:eastAsia="zh-TW"/>
          <w14:textFill>
            <w14:solidFill>
              <w14:schemeClr w14:val="tx1"/>
            </w14:solidFill>
          </w14:textFill>
        </w:rPr>
        <w:t>杭州西湖风景名胜区管理委员会财政局</w:t>
      </w:r>
    </w:p>
    <w:p>
      <w:pPr>
        <w:pStyle w:val="60"/>
        <w:snapToGrid w:val="0"/>
        <w:spacing w:before="0" w:beforeAutospacing="0" w:after="0" w:afterAutospacing="0" w:line="360" w:lineRule="auto"/>
        <w:ind w:firstLine="480" w:firstLineChars="200"/>
        <w:rPr>
          <w:rFonts w:cs="宋体"/>
          <w:color w:val="000000" w:themeColor="text1"/>
          <w:highlight w:val="none"/>
          <w:lang w:val="zh-CN"/>
          <w14:textFill>
            <w14:solidFill>
              <w14:schemeClr w14:val="tx1"/>
            </w14:solidFill>
          </w14:textFill>
        </w:rPr>
      </w:pPr>
      <w:r>
        <w:rPr>
          <w:rFonts w:hint="eastAsia" w:cs="宋体"/>
          <w:color w:val="000000" w:themeColor="text1"/>
          <w:highlight w:val="none"/>
          <w:lang w:val="zh-CN"/>
          <w14:textFill>
            <w14:solidFill>
              <w14:schemeClr w14:val="tx1"/>
            </w14:solidFill>
          </w14:textFill>
        </w:rPr>
        <w:t>地点：</w:t>
      </w:r>
      <w:r>
        <w:rPr>
          <w:rFonts w:hint="eastAsia" w:ascii="宋体" w:hAnsi="宋体" w:cs="宋体"/>
          <w:color w:val="000000" w:themeColor="text1"/>
          <w:szCs w:val="24"/>
          <w:highlight w:val="none"/>
          <w:lang w:val="zh-TW" w:eastAsia="zh-TW"/>
          <w14:textFill>
            <w14:solidFill>
              <w14:schemeClr w14:val="tx1"/>
            </w14:solidFill>
          </w14:textFill>
        </w:rPr>
        <w:t>杭州市西湖区龙井路1号</w:t>
      </w:r>
    </w:p>
    <w:p>
      <w:pPr>
        <w:pStyle w:val="60"/>
        <w:snapToGrid w:val="0"/>
        <w:spacing w:before="0" w:beforeAutospacing="0" w:after="0" w:afterAutospacing="0" w:line="360" w:lineRule="auto"/>
        <w:ind w:firstLine="480" w:firstLineChars="200"/>
        <w:rPr>
          <w:rFonts w:hint="default" w:eastAsia="宋体" w:cs="宋体"/>
          <w:color w:val="000000" w:themeColor="text1"/>
          <w:highlight w:val="none"/>
          <w:lang w:val="en-US" w:eastAsia="zh-CN"/>
          <w14:textFill>
            <w14:solidFill>
              <w14:schemeClr w14:val="tx1"/>
            </w14:solidFill>
          </w14:textFill>
        </w:rPr>
      </w:pPr>
      <w:r>
        <w:rPr>
          <w:rFonts w:hint="eastAsia" w:cs="宋体"/>
          <w:color w:val="000000" w:themeColor="text1"/>
          <w:highlight w:val="none"/>
          <w:lang w:val="zh-CN"/>
          <w14:textFill>
            <w14:solidFill>
              <w14:schemeClr w14:val="tx1"/>
            </w14:solidFill>
          </w14:textFill>
        </w:rPr>
        <w:t>联系人：</w:t>
      </w:r>
      <w:r>
        <w:rPr>
          <w:rFonts w:hint="eastAsia" w:cs="宋体"/>
          <w:color w:val="000000" w:themeColor="text1"/>
          <w:highlight w:val="none"/>
          <w:lang w:val="en-US" w:eastAsia="zh-CN"/>
          <w14:textFill>
            <w14:solidFill>
              <w14:schemeClr w14:val="tx1"/>
            </w14:solidFill>
          </w14:textFill>
        </w:rPr>
        <w:t>刘女士</w:t>
      </w:r>
    </w:p>
    <w:p>
      <w:pPr>
        <w:pStyle w:val="60"/>
        <w:snapToGrid w:val="0"/>
        <w:spacing w:before="0" w:beforeAutospacing="0" w:after="0" w:afterAutospacing="0" w:line="360" w:lineRule="auto"/>
        <w:ind w:firstLine="480" w:firstLineChars="200"/>
        <w:rPr>
          <w:rFonts w:cs="宋体"/>
          <w:color w:val="000000" w:themeColor="text1"/>
          <w:highlight w:val="none"/>
          <w:lang w:val="zh-CN"/>
          <w14:textFill>
            <w14:solidFill>
              <w14:schemeClr w14:val="tx1"/>
            </w14:solidFill>
          </w14:textFill>
        </w:rPr>
      </w:pPr>
      <w:r>
        <w:rPr>
          <w:rFonts w:hint="eastAsia" w:cs="宋体"/>
          <w:color w:val="000000" w:themeColor="text1"/>
          <w:highlight w:val="none"/>
          <w14:textFill>
            <w14:solidFill>
              <w14:schemeClr w14:val="tx1"/>
            </w14:solidFill>
          </w14:textFill>
        </w:rPr>
        <w:t>监督投诉电话</w:t>
      </w:r>
      <w:r>
        <w:rPr>
          <w:rFonts w:hint="eastAsia" w:cs="宋体"/>
          <w:color w:val="000000" w:themeColor="text1"/>
          <w:highlight w:val="none"/>
          <w:lang w:val="zh-CN"/>
          <w14:textFill>
            <w14:solidFill>
              <w14:schemeClr w14:val="tx1"/>
            </w14:solidFill>
          </w14:textFill>
        </w:rPr>
        <w:t>：</w:t>
      </w:r>
      <w:r>
        <w:rPr>
          <w:rFonts w:hint="eastAsia" w:ascii="宋体" w:hAnsi="宋体" w:cs="宋体"/>
          <w:color w:val="000000" w:themeColor="text1"/>
          <w:szCs w:val="24"/>
          <w:highlight w:val="none"/>
          <w:lang w:val="zh-TW" w:eastAsia="zh-TW"/>
          <w14:textFill>
            <w14:solidFill>
              <w14:schemeClr w14:val="tx1"/>
            </w14:solidFill>
          </w14:textFill>
        </w:rPr>
        <w:t>0571-87179536</w:t>
      </w:r>
    </w:p>
    <w:p>
      <w:pPr>
        <w:pStyle w:val="60"/>
        <w:snapToGrid w:val="0"/>
        <w:spacing w:before="0" w:beforeAutospacing="0" w:after="0" w:afterAutospacing="0" w:line="360" w:lineRule="auto"/>
        <w:ind w:firstLine="480" w:firstLineChars="200"/>
        <w:rPr>
          <w:rFonts w:cs="宋体"/>
          <w:color w:val="000000" w:themeColor="text1"/>
          <w:highlight w:val="none"/>
          <w:lang w:val="zh-CN"/>
          <w14:textFill>
            <w14:solidFill>
              <w14:schemeClr w14:val="tx1"/>
            </w14:solidFill>
          </w14:textFill>
        </w:rPr>
      </w:pPr>
      <w:r>
        <w:rPr>
          <w:rFonts w:hint="eastAsia" w:cs="宋体"/>
          <w:color w:val="000000" w:themeColor="text1"/>
          <w:highlight w:val="none"/>
          <w:lang w:val="zh-CN"/>
          <w14:textFill>
            <w14:solidFill>
              <w14:schemeClr w14:val="tx1"/>
            </w14:solidFill>
          </w14:textFill>
        </w:rPr>
        <w:t>传真：</w:t>
      </w:r>
      <w:r>
        <w:rPr>
          <w:rFonts w:hint="eastAsia" w:ascii="宋体" w:hAnsi="宋体" w:cs="宋体"/>
          <w:color w:val="000000" w:themeColor="text1"/>
          <w:szCs w:val="24"/>
          <w:highlight w:val="none"/>
          <w:lang w:val="zh-TW" w:eastAsia="zh-TW"/>
          <w14:textFill>
            <w14:solidFill>
              <w14:schemeClr w14:val="tx1"/>
            </w14:solidFill>
          </w14:textFill>
        </w:rPr>
        <w:t>0571-87179813</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pPr>
        <w:pStyle w:val="3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w:t>
      </w:r>
    </w:p>
    <w:p>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br w:type="page"/>
      </w: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供应商须知</w:t>
      </w:r>
      <w:bookmarkEnd w:id="9"/>
    </w:p>
    <w:p>
      <w:pPr>
        <w:snapToGrid w:val="0"/>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4"/>
        <w:tblW w:w="0" w:type="auto"/>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37" w:hRule="atLeast"/>
          <w:tblHeader/>
        </w:trPr>
        <w:tc>
          <w:tcPr>
            <w:tcW w:w="629" w:type="dxa"/>
            <w:tcBorders>
              <w:tl2br w:val="nil"/>
              <w:tr2bl w:val="nil"/>
            </w:tcBorders>
          </w:tcPr>
          <w:p>
            <w:pPr>
              <w:adjustRightInd/>
              <w:spacing w:line="288"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tcBorders>
              <w:tl2br w:val="nil"/>
              <w:tr2bl w:val="nil"/>
            </w:tcBorders>
            <w:vAlign w:val="center"/>
          </w:tcPr>
          <w:p>
            <w:pPr>
              <w:adjustRightInd/>
              <w:spacing w:line="288"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095" w:type="dxa"/>
            <w:tcBorders>
              <w:tl2br w:val="nil"/>
              <w:tr2bl w:val="nil"/>
            </w:tcBorders>
            <w:vAlign w:val="center"/>
          </w:tcPr>
          <w:p>
            <w:pPr>
              <w:adjustRightInd/>
              <w:spacing w:line="288"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19" w:hRule="atLeast"/>
          <w:tblHeader/>
        </w:trPr>
        <w:tc>
          <w:tcPr>
            <w:tcW w:w="629" w:type="dxa"/>
            <w:tcBorders>
              <w:tl2br w:val="nil"/>
              <w:tr2bl w:val="nil"/>
            </w:tcBorders>
            <w:vAlign w:val="center"/>
          </w:tcPr>
          <w:p>
            <w:pPr>
              <w:adjustRightInd/>
              <w:spacing w:line="28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3" w:type="dxa"/>
            <w:tcBorders>
              <w:tl2br w:val="nil"/>
              <w:tr2bl w:val="nil"/>
            </w:tcBorders>
            <w:vAlign w:val="center"/>
          </w:tcPr>
          <w:p>
            <w:pPr>
              <w:adjustRightInd/>
              <w:spacing w:line="288"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w:t>
            </w:r>
          </w:p>
        </w:tc>
        <w:tc>
          <w:tcPr>
            <w:tcW w:w="6095" w:type="dxa"/>
            <w:tcBorders>
              <w:tl2br w:val="nil"/>
              <w:tr2bl w:val="nil"/>
            </w:tcBorders>
            <w:vAlign w:val="center"/>
          </w:tcPr>
          <w:p>
            <w:pPr>
              <w:adjustRightInd/>
              <w:spacing w:line="288"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货物类。单一产品或核心产品为：</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376" w:hRule="atLeast"/>
          <w:tblHeader/>
        </w:trPr>
        <w:tc>
          <w:tcPr>
            <w:tcW w:w="629" w:type="dxa"/>
            <w:tcBorders>
              <w:tl2br w:val="nil"/>
              <w:tr2bl w:val="nil"/>
            </w:tcBorders>
            <w:vAlign w:val="center"/>
          </w:tcPr>
          <w:p>
            <w:pPr>
              <w:adjustRightInd/>
              <w:spacing w:line="28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3" w:type="dxa"/>
            <w:tcBorders>
              <w:tl2br w:val="nil"/>
              <w:tr2bl w:val="nil"/>
            </w:tcBorders>
            <w:vAlign w:val="center"/>
          </w:tcPr>
          <w:p>
            <w:pPr>
              <w:adjustRightInd/>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采购标的对应的中小企业划分标准所属行业</w:t>
            </w:r>
          </w:p>
        </w:tc>
        <w:tc>
          <w:tcPr>
            <w:tcW w:w="6095" w:type="dxa"/>
            <w:tcBorders>
              <w:tl2br w:val="nil"/>
              <w:tr2bl w:val="nil"/>
            </w:tcBorders>
            <w:vAlign w:val="center"/>
          </w:tcPr>
          <w:p>
            <w:pPr>
              <w:adjustRightInd/>
              <w:spacing w:line="288" w:lineRule="auto"/>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标的：</w:t>
            </w:r>
            <w:r>
              <w:rPr>
                <w:rFonts w:hint="eastAsia" w:ascii="宋体" w:hAnsi="宋体" w:cs="宋体"/>
                <w:color w:val="000000" w:themeColor="text1"/>
                <w:sz w:val="24"/>
                <w:highlight w:val="none"/>
                <w:u w:val="single"/>
                <w14:textFill>
                  <w14:solidFill>
                    <w14:schemeClr w14:val="tx1"/>
                  </w14:solidFill>
                </w14:textFill>
              </w:rPr>
              <w:t>详见采购文件第三部分采购需求 项目采购清单</w:t>
            </w:r>
            <w:r>
              <w:rPr>
                <w:rFonts w:hint="eastAsia" w:ascii="宋体" w:hAnsi="宋体" w:cs="宋体"/>
                <w:color w:val="000000" w:themeColor="text1"/>
                <w:sz w:val="24"/>
                <w:highlight w:val="none"/>
                <w:u w:val="none"/>
                <w14:textFill>
                  <w14:solidFill>
                    <w14:schemeClr w14:val="tx1"/>
                  </w14:solidFill>
                </w14:textFill>
              </w:rPr>
              <w:t xml:space="preserve"> </w:t>
            </w:r>
            <w:r>
              <w:rPr>
                <w:rFonts w:hint="eastAsia" w:ascii="宋体" w:hAnsi="宋体" w:cs="宋体"/>
                <w:color w:val="000000" w:themeColor="text1"/>
                <w:sz w:val="24"/>
                <w:highlight w:val="none"/>
                <w:u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工业（包括采矿业，制造业，电力、热力、燃气及水生产和供应业）</w:t>
            </w:r>
            <w:r>
              <w:rPr>
                <w:rFonts w:hint="eastAsia" w:ascii="宋体" w:hAnsi="宋体" w:cs="宋体"/>
                <w:color w:val="000000" w:themeColor="text1"/>
                <w:sz w:val="24"/>
                <w:highlight w:val="none"/>
                <w14:textFill>
                  <w14:solidFill>
                    <w14:schemeClr w14:val="tx1"/>
                  </w14:solidFill>
                </w14:textFill>
              </w:rPr>
              <w:t xml:space="preserve"> 行业</w:t>
            </w:r>
            <w:r>
              <w:rPr>
                <w:rFonts w:hint="eastAsia" w:ascii="宋体" w:hAnsi="宋体" w:cs="宋体"/>
                <w:color w:val="000000" w:themeColor="text1"/>
                <w:sz w:val="24"/>
                <w:highlight w:val="none"/>
                <w:lang w:eastAsia="zh-CN"/>
                <w14:textFill>
                  <w14:solidFill>
                    <w14:schemeClr w14:val="tx1"/>
                  </w14:solidFill>
                </w14:textFill>
              </w:rPr>
              <w:t>。</w:t>
            </w:r>
          </w:p>
          <w:p>
            <w:pPr>
              <w:adjustRightInd/>
              <w:spacing w:line="288" w:lineRule="auto"/>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从业人员1000人以下或营业收入40000万元以下的为中小微型企业。其中，从业人员300人及以上，且营业收入2000万元及以上的为中型企业</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从业人员20人及以上，且营业收入300万元及以上的为小型企业</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从业人员20人以下或营业收入300万元以下的为微型企业。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727" w:hRule="atLeast"/>
          <w:tblHeader/>
        </w:trPr>
        <w:tc>
          <w:tcPr>
            <w:tcW w:w="629" w:type="dxa"/>
            <w:tcBorders>
              <w:tl2br w:val="nil"/>
              <w:tr2bl w:val="nil"/>
            </w:tcBorders>
            <w:vAlign w:val="center"/>
          </w:tcPr>
          <w:p>
            <w:pPr>
              <w:adjustRightInd/>
              <w:spacing w:line="28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3" w:type="dxa"/>
            <w:tcBorders>
              <w:tl2br w:val="nil"/>
              <w:tr2bl w:val="nil"/>
            </w:tcBorders>
            <w:vAlign w:val="center"/>
          </w:tcPr>
          <w:p>
            <w:pPr>
              <w:adjustRightInd/>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095" w:type="dxa"/>
            <w:tcBorders>
              <w:tl2br w:val="nil"/>
              <w:tr2bl w:val="nil"/>
            </w:tcBorders>
            <w:vAlign w:val="center"/>
          </w:tcPr>
          <w:p>
            <w:pPr>
              <w:adjustRightInd/>
              <w:spacing w:line="28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本项目不允许采购进口产品。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81" w:hRule="atLeast"/>
          <w:tblHeader/>
        </w:trPr>
        <w:tc>
          <w:tcPr>
            <w:tcW w:w="629" w:type="dxa"/>
            <w:tcBorders>
              <w:tl2br w:val="nil"/>
              <w:tr2bl w:val="nil"/>
            </w:tcBorders>
            <w:vAlign w:val="center"/>
          </w:tcPr>
          <w:p>
            <w:pPr>
              <w:adjustRightInd/>
              <w:spacing w:line="28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3" w:type="dxa"/>
            <w:tcBorders>
              <w:tl2br w:val="nil"/>
              <w:tr2bl w:val="nil"/>
            </w:tcBorders>
            <w:vAlign w:val="center"/>
          </w:tcPr>
          <w:p>
            <w:pPr>
              <w:adjustRightInd/>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095" w:type="dxa"/>
            <w:tcBorders>
              <w:tl2br w:val="nil"/>
              <w:tr2bl w:val="nil"/>
            </w:tcBorders>
            <w:vAlign w:val="center"/>
          </w:tcPr>
          <w:p>
            <w:pPr>
              <w:adjustRightInd/>
              <w:spacing w:line="28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不同意分包。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705" w:hRule="atLeast"/>
          <w:tblHeader/>
        </w:trPr>
        <w:tc>
          <w:tcPr>
            <w:tcW w:w="629" w:type="dxa"/>
            <w:tcBorders>
              <w:tl2br w:val="nil"/>
              <w:tr2bl w:val="nil"/>
            </w:tcBorders>
            <w:vAlign w:val="center"/>
          </w:tcPr>
          <w:p>
            <w:pPr>
              <w:adjustRightInd/>
              <w:spacing w:line="28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3" w:type="dxa"/>
            <w:tcBorders>
              <w:tl2br w:val="nil"/>
              <w:tr2bl w:val="nil"/>
            </w:tcBorders>
            <w:vAlign w:val="center"/>
          </w:tcPr>
          <w:p>
            <w:pPr>
              <w:adjustRightInd/>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095" w:type="dxa"/>
            <w:tcBorders>
              <w:tl2br w:val="nil"/>
              <w:tr2bl w:val="nil"/>
            </w:tcBorders>
            <w:vAlign w:val="center"/>
          </w:tcPr>
          <w:p>
            <w:pPr>
              <w:adjustRightInd/>
              <w:spacing w:line="28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不组织。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50" w:hRule="atLeast"/>
          <w:tblHeader/>
        </w:trPr>
        <w:tc>
          <w:tcPr>
            <w:tcW w:w="629" w:type="dxa"/>
            <w:tcBorders>
              <w:tl2br w:val="nil"/>
              <w:tr2bl w:val="nil"/>
            </w:tcBorders>
            <w:vAlign w:val="center"/>
          </w:tcPr>
          <w:p>
            <w:pPr>
              <w:adjustRightInd/>
              <w:spacing w:line="28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3" w:type="dxa"/>
            <w:tcBorders>
              <w:tl2br w:val="nil"/>
              <w:tr2bl w:val="nil"/>
            </w:tcBorders>
            <w:vAlign w:val="center"/>
          </w:tcPr>
          <w:p>
            <w:pPr>
              <w:adjustRightInd/>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095" w:type="dxa"/>
            <w:tcBorders>
              <w:tl2br w:val="nil"/>
              <w:tr2bl w:val="nil"/>
            </w:tcBorders>
            <w:vAlign w:val="center"/>
          </w:tcPr>
          <w:p>
            <w:pPr>
              <w:adjustRightInd/>
              <w:spacing w:line="288"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不要求提供。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91" w:hRule="atLeast"/>
          <w:tblHeader/>
        </w:trPr>
        <w:tc>
          <w:tcPr>
            <w:tcW w:w="629" w:type="dxa"/>
            <w:tcBorders>
              <w:tl2br w:val="nil"/>
              <w:tr2bl w:val="nil"/>
            </w:tcBorders>
            <w:vAlign w:val="center"/>
          </w:tcPr>
          <w:p>
            <w:pPr>
              <w:adjustRightInd/>
              <w:spacing w:line="28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43" w:type="dxa"/>
            <w:tcBorders>
              <w:tl2br w:val="nil"/>
              <w:tr2bl w:val="nil"/>
            </w:tcBorders>
            <w:vAlign w:val="center"/>
          </w:tcPr>
          <w:p>
            <w:pPr>
              <w:adjustRightInd/>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095" w:type="dxa"/>
            <w:tcBorders>
              <w:tl2br w:val="nil"/>
              <w:tr2bl w:val="nil"/>
            </w:tcBorders>
            <w:vAlign w:val="center"/>
          </w:tcPr>
          <w:p>
            <w:pPr>
              <w:adjustRightInd/>
              <w:spacing w:line="288" w:lineRule="auto"/>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不组织</w:t>
            </w:r>
            <w:r>
              <w:rPr>
                <w:rFonts w:hint="eastAsia" w:ascii="宋体" w:hAnsi="宋体" w:cs="宋体"/>
                <w:color w:val="000000" w:themeColor="text1"/>
                <w:kern w:val="0"/>
                <w:sz w:val="24"/>
                <w:highlight w:val="none"/>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1" w:hRule="atLeast"/>
          <w:tblHeader/>
        </w:trPr>
        <w:tc>
          <w:tcPr>
            <w:tcW w:w="629" w:type="dxa"/>
            <w:vMerge w:val="restart"/>
            <w:tcBorders>
              <w:tl2br w:val="nil"/>
              <w:tr2bl w:val="nil"/>
            </w:tcBorders>
            <w:vAlign w:val="center"/>
          </w:tcPr>
          <w:p>
            <w:pPr>
              <w:adjustRightInd/>
              <w:spacing w:line="288" w:lineRule="auto"/>
              <w:jc w:val="center"/>
              <w:rPr>
                <w:rFonts w:ascii="宋体" w:hAnsi="宋体" w:cs="宋体"/>
                <w:color w:val="000000" w:themeColor="text1"/>
                <w:sz w:val="24"/>
                <w:highlight w:val="none"/>
                <w14:textFill>
                  <w14:solidFill>
                    <w14:schemeClr w14:val="tx1"/>
                  </w14:solidFill>
                </w14:textFill>
              </w:rPr>
            </w:pPr>
          </w:p>
          <w:p>
            <w:pPr>
              <w:adjustRightInd/>
              <w:spacing w:line="288" w:lineRule="auto"/>
              <w:jc w:val="center"/>
              <w:rPr>
                <w:rFonts w:ascii="宋体" w:hAnsi="宋体" w:cs="宋体"/>
                <w:color w:val="000000" w:themeColor="text1"/>
                <w:sz w:val="24"/>
                <w:highlight w:val="none"/>
                <w14:textFill>
                  <w14:solidFill>
                    <w14:schemeClr w14:val="tx1"/>
                  </w14:solidFill>
                </w14:textFill>
              </w:rPr>
            </w:pPr>
          </w:p>
          <w:p>
            <w:pPr>
              <w:adjustRightInd/>
              <w:spacing w:line="28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43" w:type="dxa"/>
            <w:vMerge w:val="restart"/>
            <w:tcBorders>
              <w:tl2br w:val="nil"/>
              <w:tr2bl w:val="nil"/>
            </w:tcBorders>
            <w:vAlign w:val="center"/>
          </w:tcPr>
          <w:p>
            <w:pPr>
              <w:adjustRightInd/>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供应商应当提供的资格、资信证明文件</w:t>
            </w:r>
          </w:p>
        </w:tc>
        <w:tc>
          <w:tcPr>
            <w:tcW w:w="6095" w:type="dxa"/>
            <w:tcBorders>
              <w:tl2br w:val="nil"/>
              <w:tr2bl w:val="nil"/>
            </w:tcBorders>
            <w:vAlign w:val="center"/>
          </w:tcPr>
          <w:p>
            <w:pPr>
              <w:adjustRightInd/>
              <w:spacing w:line="28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（1）资格证明文件：见采购文件第二部分11.1。</w:t>
            </w:r>
          </w:p>
          <w:p>
            <w:pPr>
              <w:adjustRightInd/>
              <w:spacing w:line="288" w:lineRule="auto"/>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供应商未提供有效的资格证明文件的，视为供应商不具备采购文件中规定的资格要求，投标无效。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74" w:hRule="atLeast"/>
          <w:tblHeader/>
        </w:trPr>
        <w:tc>
          <w:tcPr>
            <w:tcW w:w="629" w:type="dxa"/>
            <w:vMerge w:val="continue"/>
            <w:tcBorders>
              <w:tl2br w:val="nil"/>
              <w:tr2bl w:val="nil"/>
            </w:tcBorders>
            <w:vAlign w:val="center"/>
          </w:tcPr>
          <w:p>
            <w:pPr>
              <w:adjustRightInd/>
              <w:spacing w:line="288"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tl2br w:val="nil"/>
              <w:tr2bl w:val="nil"/>
            </w:tcBorders>
            <w:vAlign w:val="center"/>
          </w:tcPr>
          <w:p>
            <w:pPr>
              <w:adjustRightInd/>
              <w:jc w:val="center"/>
              <w:rPr>
                <w:rFonts w:ascii="宋体" w:hAnsi="宋体" w:cs="宋体"/>
                <w:b/>
                <w:color w:val="000000" w:themeColor="text1"/>
                <w:sz w:val="24"/>
                <w:highlight w:val="none"/>
                <w14:textFill>
                  <w14:solidFill>
                    <w14:schemeClr w14:val="tx1"/>
                  </w14:solidFill>
                </w14:textFill>
              </w:rPr>
            </w:pPr>
          </w:p>
        </w:tc>
        <w:tc>
          <w:tcPr>
            <w:tcW w:w="6095" w:type="dxa"/>
            <w:tcBorders>
              <w:tl2br w:val="nil"/>
              <w:tr2bl w:val="nil"/>
            </w:tcBorders>
            <w:vAlign w:val="center"/>
          </w:tcPr>
          <w:p>
            <w:pPr>
              <w:adjustRightInd/>
              <w:spacing w:line="28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（2）资信证明文件：根据采购文件第四部分评标标准提供。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pPr>
              <w:adjustRightInd/>
              <w:spacing w:line="288" w:lineRule="auto"/>
              <w:jc w:val="center"/>
              <w:rPr>
                <w:rFonts w:ascii="宋体" w:hAnsi="宋体" w:cs="宋体"/>
                <w:color w:val="000000" w:themeColor="text1"/>
                <w:sz w:val="24"/>
                <w:highlight w:val="none"/>
                <w14:textFill>
                  <w14:solidFill>
                    <w14:schemeClr w14:val="tx1"/>
                  </w14:solidFill>
                </w14:textFill>
              </w:rPr>
            </w:pPr>
          </w:p>
          <w:p>
            <w:pPr>
              <w:adjustRightInd/>
              <w:spacing w:line="288" w:lineRule="auto"/>
              <w:jc w:val="center"/>
              <w:rPr>
                <w:rFonts w:ascii="宋体" w:hAnsi="宋体" w:cs="宋体"/>
                <w:color w:val="000000" w:themeColor="text1"/>
                <w:sz w:val="24"/>
                <w:highlight w:val="none"/>
                <w14:textFill>
                  <w14:solidFill>
                    <w14:schemeClr w14:val="tx1"/>
                  </w14:solidFill>
                </w14:textFill>
              </w:rPr>
            </w:pPr>
          </w:p>
          <w:p>
            <w:pPr>
              <w:adjustRightInd/>
              <w:spacing w:line="28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843" w:type="dxa"/>
            <w:tcBorders>
              <w:tl2br w:val="nil"/>
              <w:tr2bl w:val="nil"/>
            </w:tcBorders>
            <w:vAlign w:val="center"/>
          </w:tcPr>
          <w:p>
            <w:pPr>
              <w:adjustRightInd/>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095" w:type="dxa"/>
            <w:tcBorders>
              <w:tl2br w:val="nil"/>
              <w:tr2bl w:val="nil"/>
            </w:tcBorders>
            <w:vAlign w:val="center"/>
          </w:tcPr>
          <w:p>
            <w:pPr>
              <w:adjustRightInd/>
              <w:spacing w:line="28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pPr>
              <w:adjustRightInd/>
              <w:spacing w:line="28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43" w:type="dxa"/>
            <w:tcBorders>
              <w:tl2br w:val="nil"/>
              <w:tr2bl w:val="nil"/>
            </w:tcBorders>
            <w:vAlign w:val="center"/>
          </w:tcPr>
          <w:p>
            <w:pPr>
              <w:adjustRightInd/>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095" w:type="dxa"/>
            <w:tcBorders>
              <w:tl2br w:val="nil"/>
              <w:tr2bl w:val="nil"/>
            </w:tcBorders>
            <w:vAlign w:val="center"/>
          </w:tcPr>
          <w:p>
            <w:pPr>
              <w:adjustRightInd/>
              <w:spacing w:line="288" w:lineRule="auto"/>
              <w:jc w:val="lef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zh-CN"/>
                <w14:textFill>
                  <w14:solidFill>
                    <w14:schemeClr w14:val="tx1"/>
                  </w14:solidFill>
                </w14:textFill>
              </w:rPr>
              <w:t>本项目采用</w:t>
            </w:r>
            <w:r>
              <w:rPr>
                <w:rFonts w:hint="eastAsia" w:ascii="宋体" w:hAnsi="宋体" w:cs="宋体"/>
                <w:b/>
                <w:bCs/>
                <w:color w:val="000000" w:themeColor="text1"/>
                <w:sz w:val="24"/>
                <w:highlight w:val="none"/>
                <w:lang w:val="zh-CN"/>
                <w14:textFill>
                  <w14:solidFill>
                    <w14:schemeClr w14:val="tx1"/>
                  </w14:solidFill>
                </w14:textFill>
              </w:rPr>
              <w:t>投标总价报价，中标供应商的投标报价是履行合同的最终价格，原材料价格浮动等原因概不补差，如遇部分清单设备</w:t>
            </w:r>
            <w:r>
              <w:rPr>
                <w:rFonts w:hint="eastAsia" w:ascii="宋体" w:hAnsi="宋体" w:cs="宋体"/>
                <w:b/>
                <w:bCs/>
                <w:color w:val="000000" w:themeColor="text1"/>
                <w:sz w:val="24"/>
                <w:highlight w:val="none"/>
                <w:lang w:val="en-US" w:eastAsia="zh-CN"/>
                <w14:textFill>
                  <w14:solidFill>
                    <w14:schemeClr w14:val="tx1"/>
                  </w14:solidFill>
                </w14:textFill>
              </w:rPr>
              <w:t>供货实际</w:t>
            </w:r>
            <w:r>
              <w:rPr>
                <w:rFonts w:hint="eastAsia" w:ascii="宋体" w:hAnsi="宋体" w:cs="宋体"/>
                <w:b/>
                <w:bCs/>
                <w:color w:val="000000" w:themeColor="text1"/>
                <w:sz w:val="24"/>
                <w:highlight w:val="none"/>
                <w:lang w:val="zh-CN"/>
                <w14:textFill>
                  <w14:solidFill>
                    <w14:schemeClr w14:val="tx1"/>
                  </w14:solidFill>
                </w14:textFill>
              </w:rPr>
              <w:t>数量有变，则按投标</w:t>
            </w:r>
            <w:r>
              <w:rPr>
                <w:rFonts w:hint="eastAsia" w:ascii="宋体" w:hAnsi="宋体" w:cs="宋体"/>
                <w:b/>
                <w:bCs/>
                <w:color w:val="000000" w:themeColor="text1"/>
                <w:sz w:val="24"/>
                <w:highlight w:val="none"/>
                <w:lang w:val="en-US" w:eastAsia="zh-CN"/>
                <w14:textFill>
                  <w14:solidFill>
                    <w14:schemeClr w14:val="tx1"/>
                  </w14:solidFill>
                </w14:textFill>
              </w:rPr>
              <w:t>综合</w:t>
            </w:r>
            <w:r>
              <w:rPr>
                <w:rFonts w:hint="eastAsia" w:ascii="宋体" w:hAnsi="宋体" w:cs="宋体"/>
                <w:b/>
                <w:bCs/>
                <w:color w:val="000000" w:themeColor="text1"/>
                <w:sz w:val="24"/>
                <w:highlight w:val="none"/>
                <w:lang w:val="zh-CN"/>
                <w14:textFill>
                  <w14:solidFill>
                    <w14:schemeClr w14:val="tx1"/>
                  </w14:solidFill>
                </w14:textFill>
              </w:rPr>
              <w:t>单价价格按实结算。</w:t>
            </w:r>
            <w:r>
              <w:rPr>
                <w:rFonts w:hint="eastAsia" w:ascii="宋体" w:hAnsi="宋体" w:cs="宋体"/>
                <w:color w:val="000000" w:themeColor="text1"/>
                <w:sz w:val="24"/>
                <w:highlight w:val="none"/>
                <w:lang w:val="zh-CN"/>
                <w14:textFill>
                  <w14:solidFill>
                    <w14:schemeClr w14:val="tx1"/>
                  </w14:solidFill>
                </w14:textFill>
              </w:rPr>
              <w:t>投标报价含有关本项目供货所需的货物成本、人工费、总包配合费、相关维护设施和机械停车设备与原土建结构衔接部位的安全、连接、加固等的设计、施工及相关费用、运输费、包装费、交通费、搬运费、设备安装费（含基础设施）、配套的内容制作及基础装修费、管理费、税金（按国家规定）、政策性文件规定及合同包含的所有风险、责任等完成本项目的所有费用。</w:t>
            </w:r>
          </w:p>
          <w:p>
            <w:pPr>
              <w:adjustRightInd/>
              <w:spacing w:line="288"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《投标（开标）一览表》是报价的唯一载体。采购文件中价格全部采用人民币报价。采购文件未列明，而供应商认为必需的费用也需综合考虑至投标报价中。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pPr>
              <w:adjustRightInd/>
              <w:spacing w:line="28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43" w:type="dxa"/>
            <w:tcBorders>
              <w:tl2br w:val="nil"/>
              <w:tr2bl w:val="nil"/>
            </w:tcBorders>
            <w:vAlign w:val="center"/>
          </w:tcPr>
          <w:p>
            <w:pPr>
              <w:adjustRightInd/>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095" w:type="dxa"/>
            <w:tcBorders>
              <w:tl2br w:val="nil"/>
              <w:tr2bl w:val="nil"/>
            </w:tcBorders>
            <w:vAlign w:val="center"/>
          </w:tcPr>
          <w:p>
            <w:pPr>
              <w:numPr>
                <w:ilvl w:val="0"/>
                <w:numId w:val="1"/>
              </w:numPr>
              <w:adjustRightInd/>
              <w:spacing w:line="288"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其它需在报价中考虑的因素：</w:t>
            </w:r>
          </w:p>
          <w:p>
            <w:pPr>
              <w:adjustRightInd/>
              <w:spacing w:line="288"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3.1用户需求中明确的需供应商承担的费用均应含在投标</w:t>
            </w:r>
          </w:p>
          <w:p>
            <w:pPr>
              <w:adjustRightInd/>
              <w:spacing w:line="288"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总价中；</w:t>
            </w:r>
          </w:p>
          <w:p>
            <w:pPr>
              <w:adjustRightInd/>
              <w:spacing w:line="288"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3.2采购文件未明示但供应商认为可能产生的潜在费用支出均需自行考虑并计入投标总价中；</w:t>
            </w:r>
          </w:p>
          <w:p>
            <w:pPr>
              <w:adjustRightInd/>
              <w:spacing w:line="288"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3.3对于没有填报的项目，采购人将不再支付，并均认为已包含在报价内。</w:t>
            </w:r>
          </w:p>
          <w:p>
            <w:pPr>
              <w:autoSpaceDE w:val="0"/>
              <w:autoSpaceDN w:val="0"/>
              <w:adjustRightInd/>
              <w:spacing w:line="288" w:lineRule="auto"/>
              <w:jc w:val="lef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zh-CN"/>
                <w14:textFill>
                  <w14:solidFill>
                    <w14:schemeClr w14:val="tx1"/>
                  </w14:solidFill>
                </w14:textFill>
              </w:rPr>
              <w:t>投标报价出现下列情形的，投标无效：</w:t>
            </w:r>
          </w:p>
          <w:p>
            <w:pPr>
              <w:autoSpaceDE w:val="0"/>
              <w:autoSpaceDN w:val="0"/>
              <w:adjustRightInd/>
              <w:spacing w:line="288" w:lineRule="auto"/>
              <w:jc w:val="lef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▲采购文件出现不是唯一的、有选择性投标报价的；</w:t>
            </w:r>
          </w:p>
          <w:p>
            <w:pPr>
              <w:autoSpaceDE w:val="0"/>
              <w:autoSpaceDN w:val="0"/>
              <w:adjustRightInd/>
              <w:spacing w:line="288" w:lineRule="auto"/>
              <w:jc w:val="lef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报价明显低于其他通过符合性审查供应商的报价，有可能影响产品质量或者不能诚信履约的，未能按要求提供书面说明或者提交相关证明材料，不能证明其报价合理性的</w:t>
            </w:r>
            <w:r>
              <w:rPr>
                <w:rFonts w:hint="eastAsia" w:ascii="宋体" w:hAnsi="宋体" w:cs="宋体"/>
                <w:color w:val="000000" w:themeColor="text1"/>
                <w:sz w:val="24"/>
                <w:highlight w:val="none"/>
                <w:lang w:val="zh-CN"/>
                <w14:textFill>
                  <w14:solidFill>
                    <w14:schemeClr w14:val="tx1"/>
                  </w14:solidFill>
                </w14:textFill>
              </w:rPr>
              <w:t>；</w:t>
            </w:r>
          </w:p>
          <w:p>
            <w:pPr>
              <w:autoSpaceDE w:val="0"/>
              <w:autoSpaceDN w:val="0"/>
              <w:adjustRightInd/>
              <w:spacing w:line="288" w:lineRule="auto"/>
              <w:jc w:val="lef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▲《投标（开标）一览表》填写不完整或字迹不能辨认或有漏项的；</w:t>
            </w:r>
          </w:p>
          <w:p>
            <w:pPr>
              <w:pStyle w:val="25"/>
              <w:rPr>
                <w:color w:val="000000" w:themeColor="text1"/>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▲供应商对根据修正原则修正后的报价不确认的。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pPr>
              <w:adjustRightInd/>
              <w:spacing w:line="28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843" w:type="dxa"/>
            <w:tcBorders>
              <w:tl2br w:val="nil"/>
              <w:tr2bl w:val="nil"/>
            </w:tcBorders>
            <w:vAlign w:val="center"/>
          </w:tcPr>
          <w:p>
            <w:pPr>
              <w:pStyle w:val="27"/>
              <w:tabs>
                <w:tab w:val="left" w:pos="-5"/>
              </w:tabs>
              <w:adjustRightInd/>
              <w:spacing w:line="288" w:lineRule="auto"/>
              <w:ind w:firstLine="0" w:firstLineChars="0"/>
              <w:jc w:val="center"/>
              <w:rPr>
                <w:rFonts w:cs="宋体"/>
                <w:b/>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最高限价</w:t>
            </w:r>
          </w:p>
        </w:tc>
        <w:tc>
          <w:tcPr>
            <w:tcW w:w="6095" w:type="dxa"/>
            <w:tcBorders>
              <w:tl2br w:val="nil"/>
              <w:tr2bl w:val="nil"/>
            </w:tcBorders>
            <w:vAlign w:val="center"/>
          </w:tcPr>
          <w:p>
            <w:pPr>
              <w:pStyle w:val="42"/>
              <w:adjustRightInd/>
              <w:snapToGrid/>
              <w:spacing w:line="288" w:lineRule="auto"/>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投标报价不得高于</w:t>
            </w:r>
            <w:r>
              <w:rPr>
                <w:rFonts w:hint="eastAsia" w:ascii="宋体" w:hAnsi="宋体" w:cs="宋体"/>
                <w:b/>
                <w:snapToGrid w:val="0"/>
                <w:color w:val="000000" w:themeColor="text1"/>
                <w:kern w:val="0"/>
                <w:sz w:val="24"/>
                <w:highlight w:val="none"/>
                <w:lang w:eastAsia="zh-CN"/>
                <w14:textFill>
                  <w14:solidFill>
                    <w14:schemeClr w14:val="tx1"/>
                  </w14:solidFill>
                </w14:textFill>
              </w:rPr>
              <w:t>8800000.00</w:t>
            </w:r>
            <w:r>
              <w:rPr>
                <w:rFonts w:hint="eastAsia" w:ascii="宋体" w:hAnsi="宋体" w:cs="宋体"/>
                <w:b/>
                <w:snapToGrid w:val="0"/>
                <w:color w:val="000000" w:themeColor="text1"/>
                <w:kern w:val="0"/>
                <w:sz w:val="24"/>
                <w:highlight w:val="none"/>
                <w14:textFill>
                  <w14:solidFill>
                    <w14:schemeClr w14:val="tx1"/>
                  </w14:solidFill>
                </w14:textFill>
              </w:rPr>
              <w:t>元，报价超出此范围的做无效报价处理。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144" w:hRule="atLeast"/>
          <w:tblHeader/>
        </w:trPr>
        <w:tc>
          <w:tcPr>
            <w:tcW w:w="629" w:type="dxa"/>
            <w:vMerge w:val="restart"/>
            <w:tcBorders>
              <w:tl2br w:val="nil"/>
              <w:tr2bl w:val="nil"/>
            </w:tcBorders>
            <w:vAlign w:val="center"/>
          </w:tcPr>
          <w:p>
            <w:pPr>
              <w:adjustRightInd/>
              <w:spacing w:line="288" w:lineRule="auto"/>
              <w:jc w:val="center"/>
              <w:rPr>
                <w:rFonts w:ascii="宋体" w:hAnsi="宋体" w:cs="宋体"/>
                <w:color w:val="000000" w:themeColor="text1"/>
                <w:sz w:val="24"/>
                <w:highlight w:val="none"/>
                <w14:textFill>
                  <w14:solidFill>
                    <w14:schemeClr w14:val="tx1"/>
                  </w14:solidFill>
                </w14:textFill>
              </w:rPr>
            </w:pPr>
          </w:p>
          <w:p>
            <w:pPr>
              <w:adjustRightInd/>
              <w:spacing w:line="28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843" w:type="dxa"/>
            <w:vMerge w:val="restart"/>
            <w:tcBorders>
              <w:tl2br w:val="nil"/>
              <w:tr2bl w:val="nil"/>
            </w:tcBorders>
            <w:vAlign w:val="center"/>
          </w:tcPr>
          <w:p>
            <w:pPr>
              <w:adjustRightInd/>
              <w:spacing w:line="288"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095" w:type="dxa"/>
            <w:tcBorders>
              <w:tl2br w:val="nil"/>
              <w:tr2bl w:val="nil"/>
            </w:tcBorders>
            <w:vAlign w:val="center"/>
          </w:tcPr>
          <w:p>
            <w:pPr>
              <w:adjustRightInd/>
              <w:spacing w:line="288"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144" w:hRule="atLeast"/>
          <w:tblHeader/>
        </w:trPr>
        <w:tc>
          <w:tcPr>
            <w:tcW w:w="629" w:type="dxa"/>
            <w:vMerge w:val="continue"/>
            <w:tcBorders>
              <w:tl2br w:val="nil"/>
              <w:tr2bl w:val="nil"/>
            </w:tcBorders>
            <w:vAlign w:val="center"/>
          </w:tcPr>
          <w:p>
            <w:pPr>
              <w:adjustRightInd/>
              <w:spacing w:line="288" w:lineRule="auto"/>
              <w:ind w:firstLine="480" w:firstLineChars="200"/>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tl2br w:val="nil"/>
              <w:tr2bl w:val="nil"/>
            </w:tcBorders>
            <w:vAlign w:val="center"/>
          </w:tcPr>
          <w:p>
            <w:pPr>
              <w:adjustRightInd/>
              <w:spacing w:line="288" w:lineRule="auto"/>
              <w:ind w:firstLine="480" w:firstLineChars="200"/>
              <w:rPr>
                <w:rFonts w:ascii="宋体" w:hAnsi="宋体" w:cs="宋体"/>
                <w:color w:val="000000" w:themeColor="text1"/>
                <w:sz w:val="24"/>
                <w:highlight w:val="none"/>
                <w14:textFill>
                  <w14:solidFill>
                    <w14:schemeClr w14:val="tx1"/>
                  </w14:solidFill>
                </w14:textFill>
              </w:rPr>
            </w:pPr>
          </w:p>
        </w:tc>
        <w:tc>
          <w:tcPr>
            <w:tcW w:w="6095" w:type="dxa"/>
            <w:tcBorders>
              <w:tl2br w:val="nil"/>
              <w:tr2bl w:val="nil"/>
            </w:tcBorders>
            <w:vAlign w:val="center"/>
          </w:tcPr>
          <w:p>
            <w:pPr>
              <w:adjustRightInd/>
              <w:spacing w:line="288"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734" w:hRule="atLeast"/>
          <w:tblHeader/>
        </w:trPr>
        <w:tc>
          <w:tcPr>
            <w:tcW w:w="629" w:type="dxa"/>
            <w:tcBorders>
              <w:tl2br w:val="nil"/>
              <w:tr2bl w:val="nil"/>
            </w:tcBorders>
            <w:vAlign w:val="center"/>
          </w:tcPr>
          <w:p>
            <w:pPr>
              <w:adjustRightInd/>
              <w:spacing w:line="28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1843" w:type="dxa"/>
            <w:tcBorders>
              <w:tl2br w:val="nil"/>
              <w:tr2bl w:val="nil"/>
            </w:tcBorders>
            <w:vAlign w:val="center"/>
          </w:tcPr>
          <w:p>
            <w:pPr>
              <w:adjustRightInd/>
              <w:spacing w:line="288"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备份采购文件送达地点和签收人员 </w:t>
            </w:r>
          </w:p>
        </w:tc>
        <w:tc>
          <w:tcPr>
            <w:tcW w:w="6095" w:type="dxa"/>
            <w:tcBorders>
              <w:tl2br w:val="nil"/>
              <w:tr2bl w:val="nil"/>
            </w:tcBorders>
            <w:vAlign w:val="center"/>
          </w:tcPr>
          <w:p>
            <w:pPr>
              <w:pStyle w:val="34"/>
              <w:adjustRightInd/>
              <w:spacing w:line="288" w:lineRule="auto"/>
              <w:rPr>
                <w:rFonts w:hAnsi="宋体" w:cs="宋体"/>
                <w:color w:val="000000" w:themeColor="text1"/>
                <w:kern w:val="28"/>
                <w:sz w:val="24"/>
                <w:szCs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备份采购文件送达地点：</w:t>
            </w:r>
            <w:r>
              <w:rPr>
                <w:rFonts w:hint="eastAsia" w:hAnsi="宋体" w:cs="宋体"/>
                <w:color w:val="000000" w:themeColor="text1"/>
                <w:kern w:val="28"/>
                <w:sz w:val="24"/>
                <w:szCs w:val="24"/>
                <w:highlight w:val="none"/>
                <w:u w:val="single"/>
                <w14:textFill>
                  <w14:solidFill>
                    <w14:schemeClr w14:val="tx1"/>
                  </w14:solidFill>
                </w14:textFill>
              </w:rPr>
              <w:t>杭州市西湖区天目山路181号天际大厦804室</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kern w:val="28"/>
                <w:sz w:val="24"/>
                <w:szCs w:val="24"/>
                <w:highlight w:val="none"/>
                <w14:textFill>
                  <w14:solidFill>
                    <w14:schemeClr w14:val="tx1"/>
                  </w14:solidFill>
                </w14:textFill>
              </w:rPr>
              <w:t>；备份采购文件签收人员联系电话：</w:t>
            </w:r>
            <w:r>
              <w:rPr>
                <w:rFonts w:hint="eastAsia" w:hAnsi="宋体" w:cs="宋体"/>
                <w:color w:val="000000" w:themeColor="text1"/>
                <w:sz w:val="24"/>
                <w:szCs w:val="24"/>
                <w:highlight w:val="none"/>
                <w:u w:val="single"/>
                <w14:textFill>
                  <w14:solidFill>
                    <w14:schemeClr w14:val="tx1"/>
                  </w14:solidFill>
                </w14:textFill>
              </w:rPr>
              <w:t xml:space="preserve">李工 13605802875 </w:t>
            </w:r>
            <w:r>
              <w:rPr>
                <w:rFonts w:hint="eastAsia" w:hAnsi="宋体" w:cs="宋体"/>
                <w:color w:val="000000" w:themeColor="text1"/>
                <w:sz w:val="24"/>
                <w:szCs w:val="24"/>
                <w:highlight w:val="none"/>
                <w14:textFill>
                  <w14:solidFill>
                    <w14:schemeClr w14:val="tx1"/>
                  </w14:solidFill>
                </w14:textFill>
              </w:rPr>
              <w:t>。</w:t>
            </w:r>
            <w:r>
              <w:rPr>
                <w:rFonts w:hint="eastAsia" w:hAnsi="宋体" w:cs="宋体"/>
                <w:b/>
                <w:color w:val="000000" w:themeColor="text1"/>
                <w:sz w:val="24"/>
                <w:szCs w:val="24"/>
                <w:highlight w:val="none"/>
                <w14:textFill>
                  <w14:solidFill>
                    <w14:schemeClr w14:val="tx1"/>
                  </w14:solidFill>
                </w14:textFill>
              </w:rPr>
              <w:t>采购人、采购机构不强制或变相强制供应商提交备份采购文件。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0" w:hRule="atLeast"/>
          <w:tblHeader/>
        </w:trPr>
        <w:tc>
          <w:tcPr>
            <w:tcW w:w="629" w:type="dxa"/>
            <w:tcBorders>
              <w:tl2br w:val="nil"/>
              <w:tr2bl w:val="nil"/>
            </w:tcBorders>
            <w:vAlign w:val="center"/>
          </w:tcPr>
          <w:p>
            <w:pPr>
              <w:adjustRightInd/>
              <w:spacing w:line="28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1843" w:type="dxa"/>
            <w:tcBorders>
              <w:tl2br w:val="nil"/>
              <w:tr2bl w:val="nil"/>
            </w:tcBorders>
            <w:vAlign w:val="center"/>
          </w:tcPr>
          <w:p>
            <w:pPr>
              <w:autoSpaceDE w:val="0"/>
              <w:autoSpaceDN w:val="0"/>
              <w:adjustRightInd/>
              <w:spacing w:line="288"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履约保证金</w:t>
            </w:r>
          </w:p>
        </w:tc>
        <w:tc>
          <w:tcPr>
            <w:tcW w:w="6095" w:type="dxa"/>
            <w:tcBorders>
              <w:tl2br w:val="nil"/>
              <w:tr2bl w:val="nil"/>
            </w:tcBorders>
            <w:vAlign w:val="center"/>
          </w:tcPr>
          <w:p>
            <w:pPr>
              <w:autoSpaceDE w:val="0"/>
              <w:autoSpaceDN w:val="0"/>
              <w:adjustRightInd/>
              <w:spacing w:line="288"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合同价的</w:t>
            </w:r>
            <w:r>
              <w:rPr>
                <w:rFonts w:hint="eastAsia" w:ascii="宋体" w:hAnsi="宋体" w:cs="宋体"/>
                <w:color w:val="000000" w:themeColor="text1"/>
                <w:sz w:val="24"/>
                <w:highlight w:val="none"/>
                <w14:textFill>
                  <w14:solidFill>
                    <w14:schemeClr w14:val="tx1"/>
                  </w14:solidFill>
                </w14:textFill>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30" w:hRule="atLeast"/>
          <w:tblHeader/>
        </w:trPr>
        <w:tc>
          <w:tcPr>
            <w:tcW w:w="629" w:type="dxa"/>
            <w:tcBorders>
              <w:tl2br w:val="nil"/>
              <w:tr2bl w:val="nil"/>
            </w:tcBorders>
            <w:vAlign w:val="center"/>
          </w:tcPr>
          <w:p>
            <w:pPr>
              <w:adjustRightInd/>
              <w:spacing w:line="288"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15</w:t>
            </w:r>
          </w:p>
        </w:tc>
        <w:tc>
          <w:tcPr>
            <w:tcW w:w="1843" w:type="dxa"/>
            <w:tcBorders>
              <w:tl2br w:val="nil"/>
              <w:tr2bl w:val="nil"/>
            </w:tcBorders>
            <w:vAlign w:val="center"/>
          </w:tcPr>
          <w:p>
            <w:pPr>
              <w:pStyle w:val="27"/>
              <w:tabs>
                <w:tab w:val="left" w:pos="-5"/>
              </w:tabs>
              <w:adjustRightInd w:val="0"/>
              <w:spacing w:line="240" w:lineRule="auto"/>
              <w:ind w:firstLine="0" w:firstLineChars="0"/>
              <w:jc w:val="cente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招标代理</w:t>
            </w:r>
          </w:p>
          <w:p>
            <w:pPr>
              <w:snapToGrid w:val="0"/>
              <w:spacing w:line="240" w:lineRule="auto"/>
              <w:jc w:val="center"/>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服务费</w:t>
            </w:r>
          </w:p>
        </w:tc>
        <w:tc>
          <w:tcPr>
            <w:tcW w:w="6095" w:type="dxa"/>
            <w:tcBorders>
              <w:tl2br w:val="nil"/>
              <w:tr2bl w:val="nil"/>
            </w:tcBorders>
            <w:vAlign w:val="center"/>
          </w:tcPr>
          <w:p>
            <w:pPr>
              <w:pStyle w:val="34"/>
              <w:spacing w:line="360" w:lineRule="auto"/>
              <w:rPr>
                <w:rFonts w:hint="eastAsia" w:hAnsi="宋体" w:cs="宋体"/>
                <w:color w:val="000000" w:themeColor="text1"/>
                <w:kern w:val="28"/>
                <w:sz w:val="24"/>
                <w:szCs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本项目的采购代理费由中标人支付，按《</w:t>
            </w:r>
            <w:r>
              <w:rPr>
                <w:rFonts w:hint="eastAsia" w:hAnsi="宋体" w:cs="宋体"/>
                <w:color w:val="000000" w:themeColor="text1"/>
                <w:kern w:val="28"/>
                <w:sz w:val="24"/>
                <w:szCs w:val="24"/>
                <w:highlight w:val="none"/>
                <w:lang w:val="zh-CN"/>
                <w14:textFill>
                  <w14:solidFill>
                    <w14:schemeClr w14:val="tx1"/>
                  </w14:solidFill>
                </w14:textFill>
              </w:rPr>
              <w:t>发改价格〔2011〕534号、计价格[2002]1980号</w:t>
            </w:r>
            <w:r>
              <w:rPr>
                <w:rFonts w:hint="eastAsia" w:hAnsi="宋体" w:cs="宋体"/>
                <w:color w:val="000000" w:themeColor="text1"/>
                <w:kern w:val="28"/>
                <w:sz w:val="24"/>
                <w:szCs w:val="24"/>
                <w:highlight w:val="none"/>
                <w14:textFill>
                  <w14:solidFill>
                    <w14:schemeClr w14:val="tx1"/>
                  </w14:solidFill>
                </w14:textFill>
              </w:rPr>
              <w:t>》文件中招标代理服务费收费标准（</w:t>
            </w:r>
            <w:r>
              <w:rPr>
                <w:rFonts w:hint="eastAsia" w:hAnsi="宋体" w:cs="宋体"/>
                <w:color w:val="000000" w:themeColor="text1"/>
                <w:kern w:val="28"/>
                <w:sz w:val="24"/>
                <w:szCs w:val="24"/>
                <w:highlight w:val="none"/>
                <w:lang w:val="en-US" w:eastAsia="zh-CN"/>
                <w14:textFill>
                  <w14:solidFill>
                    <w14:schemeClr w14:val="tx1"/>
                  </w14:solidFill>
                </w14:textFill>
              </w:rPr>
              <w:t>货物</w:t>
            </w:r>
            <w:r>
              <w:rPr>
                <w:rFonts w:hint="eastAsia" w:hAnsi="宋体" w:cs="宋体"/>
                <w:color w:val="000000" w:themeColor="text1"/>
                <w:kern w:val="28"/>
                <w:sz w:val="24"/>
                <w:szCs w:val="24"/>
                <w:highlight w:val="none"/>
                <w14:textFill>
                  <w14:solidFill>
                    <w14:schemeClr w14:val="tx1"/>
                  </w14:solidFill>
                </w14:textFill>
              </w:rPr>
              <w:t>类</w:t>
            </w:r>
            <w:r>
              <w:rPr>
                <w:rFonts w:hint="eastAsia" w:hAnsi="宋体" w:cs="宋体"/>
                <w:color w:val="000000" w:themeColor="text1"/>
                <w:kern w:val="28"/>
                <w:sz w:val="24"/>
                <w:szCs w:val="24"/>
                <w:highlight w:val="none"/>
                <w:lang w:val="zh-CN"/>
                <w14:textFill>
                  <w14:solidFill>
                    <w14:schemeClr w14:val="tx1"/>
                  </w14:solidFill>
                </w14:textFill>
              </w:rPr>
              <w:t>，以中标价为计费基数</w:t>
            </w:r>
            <w:r>
              <w:rPr>
                <w:rFonts w:hint="eastAsia" w:hAnsi="宋体" w:cs="宋体"/>
                <w:color w:val="000000" w:themeColor="text1"/>
                <w:kern w:val="28"/>
                <w:sz w:val="24"/>
                <w:szCs w:val="24"/>
                <w:highlight w:val="none"/>
                <w14:textFill>
                  <w14:solidFill>
                    <w14:schemeClr w14:val="tx1"/>
                  </w14:solidFill>
                </w14:textFill>
              </w:rPr>
              <w:t>）</w:t>
            </w:r>
            <w:r>
              <w:rPr>
                <w:rFonts w:hint="eastAsia" w:hAnsi="宋体" w:cs="宋体"/>
                <w:color w:val="000000" w:themeColor="text1"/>
                <w:kern w:val="28"/>
                <w:sz w:val="24"/>
                <w:szCs w:val="24"/>
                <w:highlight w:val="none"/>
                <w:lang w:eastAsia="zh-CN"/>
                <w14:textFill>
                  <w14:solidFill>
                    <w14:schemeClr w14:val="tx1"/>
                  </w14:solidFill>
                </w14:textFill>
              </w:rPr>
              <w:t>的</w:t>
            </w:r>
            <w:r>
              <w:rPr>
                <w:rFonts w:hint="eastAsia" w:hAnsi="宋体" w:cs="宋体"/>
                <w:color w:val="000000" w:themeColor="text1"/>
                <w:kern w:val="28"/>
                <w:sz w:val="24"/>
                <w:szCs w:val="24"/>
                <w:highlight w:val="none"/>
                <w:lang w:val="en-US" w:eastAsia="zh-CN"/>
                <w14:textFill>
                  <w14:solidFill>
                    <w14:schemeClr w14:val="tx1"/>
                  </w14:solidFill>
                </w14:textFill>
              </w:rPr>
              <w:t>68%</w:t>
            </w:r>
            <w:r>
              <w:rPr>
                <w:rFonts w:hint="eastAsia" w:hAnsi="宋体" w:cs="宋体"/>
                <w:color w:val="000000" w:themeColor="text1"/>
                <w:kern w:val="28"/>
                <w:sz w:val="24"/>
                <w:szCs w:val="24"/>
                <w:highlight w:val="none"/>
                <w:lang w:val="zh-CN"/>
                <w14:textFill>
                  <w14:solidFill>
                    <w14:schemeClr w14:val="tx1"/>
                  </w14:solidFill>
                </w14:textFill>
              </w:rPr>
              <w:t>计</w:t>
            </w:r>
            <w:r>
              <w:rPr>
                <w:rFonts w:hint="eastAsia" w:hAnsi="宋体" w:cs="宋体"/>
                <w:color w:val="000000" w:themeColor="text1"/>
                <w:kern w:val="28"/>
                <w:sz w:val="24"/>
                <w:szCs w:val="24"/>
                <w:highlight w:val="none"/>
                <w14:textFill>
                  <w14:solidFill>
                    <w14:schemeClr w14:val="tx1"/>
                  </w14:solidFill>
                </w14:textFill>
              </w:rPr>
              <w:t>，</w:t>
            </w:r>
            <w:r>
              <w:rPr>
                <w:rFonts w:hint="eastAsia" w:hAnsi="宋体" w:cs="宋体"/>
                <w:color w:val="000000" w:themeColor="text1"/>
                <w:kern w:val="28"/>
                <w:sz w:val="24"/>
                <w:szCs w:val="24"/>
                <w:highlight w:val="none"/>
                <w:lang w:val="zh-CN"/>
                <w14:textFill>
                  <w14:solidFill>
                    <w14:schemeClr w14:val="tx1"/>
                  </w14:solidFill>
                </w14:textFill>
              </w:rPr>
              <w:t>该费用考虑在总报价中，不必单列</w:t>
            </w:r>
            <w:r>
              <w:rPr>
                <w:rFonts w:hint="eastAsia" w:hAnsi="宋体" w:cs="宋体"/>
                <w:color w:val="000000" w:themeColor="text1"/>
                <w:kern w:val="28"/>
                <w:sz w:val="24"/>
                <w:szCs w:val="24"/>
                <w:highlight w:val="none"/>
                <w14:textFill>
                  <w14:solidFill>
                    <w14:schemeClr w14:val="tx1"/>
                  </w14:solidFill>
                </w14:textFill>
              </w:rPr>
              <w:t>。结算方式及时间为：在领取中标通知书时由中标人一次性向采购代理机构付清。</w:t>
            </w:r>
          </w:p>
          <w:p>
            <w:pPr>
              <w:pStyle w:val="34"/>
              <w:spacing w:line="360" w:lineRule="auto"/>
              <w:rPr>
                <w:rFonts w:hint="default" w:hAnsi="宋体" w:eastAsia="宋体" w:cs="宋体"/>
                <w:color w:val="000000" w:themeColor="text1"/>
                <w:kern w:val="28"/>
                <w:sz w:val="24"/>
                <w:szCs w:val="24"/>
                <w:highlight w:val="none"/>
                <w:lang w:val="en-US" w:eastAsia="zh-CN"/>
                <w14:textFill>
                  <w14:solidFill>
                    <w14:schemeClr w14:val="tx1"/>
                  </w14:solidFill>
                </w14:textFill>
              </w:rPr>
            </w:pPr>
            <w:r>
              <w:rPr>
                <w:rFonts w:hint="eastAsia" w:hAnsi="宋体" w:cs="宋体"/>
                <w:color w:val="000000" w:themeColor="text1"/>
                <w:kern w:val="28"/>
                <w:sz w:val="24"/>
                <w:szCs w:val="24"/>
                <w:highlight w:val="none"/>
                <w:lang w:val="en-US" w:eastAsia="zh-CN"/>
                <w14:textFill>
                  <w14:solidFill>
                    <w14:schemeClr w14:val="tx1"/>
                  </w14:solidFill>
                </w14:textFill>
              </w:rPr>
              <w:t>计费为差额定率累进法计算为：100万以内按1.5%；100-500万按1.1%；500-1000万按0.8%；折扣为6.8折。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pPr>
              <w:adjustRightInd/>
              <w:spacing w:line="288"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6</w:t>
            </w:r>
          </w:p>
        </w:tc>
        <w:tc>
          <w:tcPr>
            <w:tcW w:w="1843" w:type="dxa"/>
            <w:tcBorders>
              <w:tl2br w:val="nil"/>
              <w:tr2bl w:val="nil"/>
            </w:tcBorders>
            <w:vAlign w:val="center"/>
          </w:tcPr>
          <w:p>
            <w:pPr>
              <w:autoSpaceDE w:val="0"/>
              <w:autoSpaceDN w:val="0"/>
              <w:adjustRightInd/>
              <w:spacing w:line="288"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特别说明</w:t>
            </w:r>
          </w:p>
        </w:tc>
        <w:tc>
          <w:tcPr>
            <w:tcW w:w="6095" w:type="dxa"/>
            <w:tcBorders>
              <w:tl2br w:val="nil"/>
              <w:tr2bl w:val="nil"/>
            </w:tcBorders>
            <w:vAlign w:val="center"/>
          </w:tcPr>
          <w:p>
            <w:pPr>
              <w:adjustRightInd/>
              <w:spacing w:line="288"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特别说明：1、本表与采购文件其他部分内容不一致的，以本表为准。本采购文件的解释权属于采购人。采购文件中标注“▲”处为不允许负偏离的实质性要求和条件（如果有，做无效标处理）。</w:t>
            </w:r>
          </w:p>
          <w:p>
            <w:pPr>
              <w:adjustRightInd/>
              <w:spacing w:line="288"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2、采购文件最</w:t>
            </w:r>
            <w:r>
              <w:rPr>
                <w:rFonts w:hint="eastAsia" w:ascii="宋体" w:hAnsi="宋体" w:cs="宋体"/>
                <w:color w:val="000000" w:themeColor="text1"/>
                <w:sz w:val="24"/>
                <w:highlight w:val="none"/>
                <w:lang w:eastAsia="zh-CN"/>
                <w14:textFill>
                  <w14:solidFill>
                    <w14:schemeClr w14:val="tx1"/>
                  </w14:solidFill>
                </w14:textFill>
              </w:rPr>
              <w:t>终</w:t>
            </w:r>
            <w:r>
              <w:rPr>
                <w:rFonts w:hint="eastAsia" w:ascii="宋体" w:hAnsi="宋体" w:cs="宋体"/>
                <w:color w:val="000000" w:themeColor="text1"/>
                <w:sz w:val="24"/>
                <w:highlight w:val="none"/>
                <w14:textFill>
                  <w14:solidFill>
                    <w14:schemeClr w14:val="tx1"/>
                  </w14:solidFill>
                </w14:textFill>
              </w:rPr>
              <w:t>解释权归采购人。</w:t>
            </w:r>
          </w:p>
        </w:tc>
      </w:tr>
    </w:tbl>
    <w:p>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0"/>
    <w:p>
      <w:pPr>
        <w:rPr>
          <w:rFonts w:hint="eastAsia" w:ascii="宋体" w:hAnsi="宋体" w:cs="宋体"/>
          <w:b/>
          <w:color w:val="000000" w:themeColor="text1"/>
          <w:sz w:val="32"/>
          <w:szCs w:val="20"/>
          <w:highlight w:val="none"/>
          <w14:textFill>
            <w14:solidFill>
              <w14:schemeClr w14:val="tx1"/>
            </w14:solidFill>
          </w14:textFill>
        </w:rPr>
      </w:pPr>
      <w:bookmarkStart w:id="11" w:name="第三部分"/>
      <w:bookmarkStart w:id="12" w:name="_Toc164416483"/>
      <w:r>
        <w:rPr>
          <w:rFonts w:hint="eastAsia" w:ascii="宋体" w:hAnsi="宋体" w:cs="宋体"/>
          <w:b/>
          <w:color w:val="000000" w:themeColor="text1"/>
          <w:sz w:val="32"/>
          <w:szCs w:val="20"/>
          <w:highlight w:val="none"/>
          <w14:textFill>
            <w14:solidFill>
              <w14:schemeClr w14:val="tx1"/>
            </w14:solidFill>
          </w14:textFill>
        </w:rPr>
        <w:br w:type="page"/>
      </w:r>
    </w:p>
    <w:p>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一、总则</w:t>
      </w:r>
    </w:p>
    <w:p>
      <w:pPr>
        <w:snapToGrid w:val="0"/>
        <w:spacing w:line="360" w:lineRule="auto"/>
        <w:ind w:firstLine="361" w:firstLineChars="15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本采购文件适用于该项目的招标、投标、开标、资格审查及信用信息查询、评标、定标、合同、验收等行为（法律、法规另有规定的，从其规定）。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“采购机构”系指招标公告中载明的本项目的采购机构。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“供应商”系指是指响应招标、参加投标竞争的法人、其他组织或者自然人。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2.6“电子交易平台”是指本项目政府采购活动所依托的政府采购云平台（https://www.zcygov.cn/）。</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cs="宋体"/>
              <w:color w:val="000000" w:themeColor="text1"/>
              <w:kern w:val="0"/>
              <w:sz w:val="24"/>
              <w:highlight w:val="none"/>
              <w14:textFill>
                <w14:solidFill>
                  <w14:schemeClr w14:val="tx1"/>
                </w14:solidFill>
              </w14:textFill>
            </w:rPr>
            <w:t>þ</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采购人拟采购的产品属于政府强制采购的节能产品品目清单范围的，供应商未按采购文件要求提供国家确定的认证机构出具的、处于有效期之内的节能产品认证证书的，投标无效。</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修缮、装修类项目采购建材的，采购人应将绿色建筑和绿色建材性能、指标等作为实质性条件纳入采购文件和合同。</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在政府采购活动中，供应商提供的货物、工程或者服务符合下列情形的，享受中小企业扶持政策：</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3.3.2.2在工程采购项目中，工程由中小企业承建，即工程施工单位为中小企业；</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在货物采购项目中，供应商提供的货物既有中小企业制造货物，也有大型企业制造货物的，不享受中小企业扶持政策。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hint="eastAsia" w:ascii="宋体" w:hAnsi="宋体" w:cs="宋体"/>
          <w:b/>
          <w:bCs/>
          <w:color w:val="000000" w:themeColor="text1"/>
          <w:sz w:val="24"/>
          <w:highlight w:val="none"/>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以上的，对联合体或者大中型企业的报价给予</w:t>
      </w:r>
      <w:r>
        <w:rPr>
          <w:rFonts w:hint="eastAsia" w:ascii="宋体" w:hAnsi="宋体" w:cs="宋体"/>
          <w:b/>
          <w:bCs/>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pPr>
        <w:spacing w:line="360" w:lineRule="auto"/>
        <w:ind w:firstLine="240"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w:t>
      </w:r>
    </w:p>
    <w:p>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4.1供应商询问</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4.2供应商质疑</w:t>
      </w:r>
    </w:p>
    <w:p>
      <w:pPr>
        <w:pStyle w:val="34"/>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4.2</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.1提出质疑的供应商应当是参与所质疑项目采购活动的供应商。潜在供应商已依法获取其可质疑的采购文件的，可以对该文件提出质疑。</w:t>
      </w:r>
    </w:p>
    <w:p>
      <w:pPr>
        <w:pStyle w:val="34"/>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4.2</w:t>
      </w:r>
      <w:r>
        <w:rPr>
          <w:rFonts w:hint="eastAsia" w:hAnsi="宋体" w:cs="宋体"/>
          <w:color w:val="000000" w:themeColor="text1"/>
          <w:sz w:val="24"/>
          <w:highlight w:val="none"/>
          <w14:textFill>
            <w14:solidFill>
              <w14:schemeClr w14:val="tx1"/>
            </w14:solidFill>
          </w14:textFill>
        </w:rPr>
        <w:t>.2供应商认为采购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4.2.2.1对采购文件提出质疑的，质疑期限为供应商获得采购文件之日或者采购文件公告期限届满之日起计算。</w:t>
      </w:r>
    </w:p>
    <w:p>
      <w:pPr>
        <w:pStyle w:val="34"/>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4.2.2.2对采购过程提出质疑的，质疑期限为各采购程序环节结束之日起计算。4.2.2.3对采购结果提出质疑的，质疑期限自采购结果公告期限届满之日起计算。</w:t>
      </w:r>
    </w:p>
    <w:p>
      <w:pPr>
        <w:pStyle w:val="34"/>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4.2.3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pPr>
        <w:pStyle w:val="34"/>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4.2.3.1供应商的姓名或者名称、地址、邮编、联系人及联系电话；</w:t>
      </w:r>
    </w:p>
    <w:p>
      <w:pPr>
        <w:pStyle w:val="34"/>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4.2.3.2质疑项目的名称、编号；</w:t>
      </w:r>
    </w:p>
    <w:p>
      <w:pPr>
        <w:pStyle w:val="34"/>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4.2.3.3具体、明确的质疑事项和与质疑事项相关的请求；</w:t>
      </w:r>
    </w:p>
    <w:p>
      <w:pPr>
        <w:pStyle w:val="34"/>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4.2.3.4事实依据；</w:t>
      </w:r>
    </w:p>
    <w:p>
      <w:pPr>
        <w:pStyle w:val="34"/>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4.2.3.5必要的法律依据；</w:t>
      </w:r>
    </w:p>
    <w:p>
      <w:pPr>
        <w:pStyle w:val="34"/>
        <w:spacing w:line="360" w:lineRule="auto"/>
        <w:ind w:firstLine="960" w:firstLineChars="4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4.2.3.6提出质疑的日期。</w:t>
      </w:r>
    </w:p>
    <w:p>
      <w:pPr>
        <w:pStyle w:val="887"/>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887"/>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pPr>
        <w:pStyle w:val="887"/>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4.2.4对同一采购程序环节的质疑，供应商须在法定质疑期内一次性提出。</w:t>
      </w:r>
    </w:p>
    <w:p>
      <w:pPr>
        <w:pStyle w:val="887"/>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4.2</w:t>
      </w:r>
      <w:r>
        <w:rPr>
          <w:rFonts w:hint="eastAsia"/>
          <w:color w:val="000000" w:themeColor="text1"/>
          <w:highlight w:val="none"/>
          <w14:textFill>
            <w14:solidFill>
              <w14:schemeClr w14:val="tx1"/>
            </w14:solidFill>
          </w14:textFill>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7"/>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4.2</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pPr>
        <w:pStyle w:val="887"/>
        <w:snapToGrid w:val="0"/>
        <w:spacing w:after="240" w:afterAutospacing="0" w:line="360" w:lineRule="auto"/>
        <w:ind w:firstLine="480" w:firstLineChars="2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4.3供应商投诉</w:t>
      </w:r>
    </w:p>
    <w:p>
      <w:pPr>
        <w:pStyle w:val="887"/>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4.3.1质疑供应商对采购人、采购机构的答复不满意或者采购人、采购机构未在规定的时间内作出答复的，可以在答复期满后十五个工作日内向同级政府采购监督管理部门提出投诉。</w:t>
      </w:r>
    </w:p>
    <w:p>
      <w:pPr>
        <w:pStyle w:val="887"/>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pPr>
        <w:pStyle w:val="887"/>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4.3.3供应商投诉应当有明确的请求和必要的证明材料。</w:t>
      </w:r>
    </w:p>
    <w:p>
      <w:pPr>
        <w:pStyle w:val="887"/>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4.3.5 以联合体形式参加政府采购活动的，其投诉应当由组成联合体的所有供应商共同提出。</w:t>
      </w:r>
    </w:p>
    <w:p>
      <w:pPr>
        <w:pStyle w:val="887"/>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投诉书范本及制作说明详见附件3。</w:t>
      </w:r>
    </w:p>
    <w:p>
      <w:pPr>
        <w:pStyle w:val="887"/>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4.4在线质疑、投诉。</w:t>
      </w:r>
    </w:p>
    <w:p>
      <w:pPr>
        <w:pStyle w:val="887"/>
        <w:snapToGrid w:val="0"/>
        <w:spacing w:after="24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32"/>
        <w:snapToGrid w:val="0"/>
        <w:spacing w:before="0"/>
        <w:ind w:firstLine="360"/>
        <w:rPr>
          <w:rFonts w:ascii="宋体" w:hAnsi="宋体" w:cs="宋体"/>
          <w:color w:val="000000" w:themeColor="text1"/>
          <w:sz w:val="18"/>
          <w:szCs w:val="18"/>
          <w:highlight w:val="none"/>
          <w14:textFill>
            <w14:solidFill>
              <w14:schemeClr w14:val="tx1"/>
            </w14:solidFill>
          </w14:textFill>
        </w:rPr>
      </w:pPr>
    </w:p>
    <w:p>
      <w:pPr>
        <w:adjustRightInd/>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 xml:space="preserve">      二、采购文件的构成、澄清、修改</w:t>
      </w:r>
    </w:p>
    <w:p>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5．采购文件的构成</w:t>
      </w:r>
    </w:p>
    <w:p>
      <w:pPr>
        <w:pStyle w:val="3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采购文件包括下列文件及附件：</w:t>
      </w:r>
    </w:p>
    <w:p>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5.1.2供应商须知；</w:t>
      </w:r>
    </w:p>
    <w:p>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澄清或者修改的内容为采购文件的组成部分</w:t>
      </w:r>
      <w:r>
        <w:rPr>
          <w:rFonts w:hint="eastAsia" w:ascii="宋体" w:hAnsi="宋体" w:cs="宋体"/>
          <w:color w:val="000000" w:themeColor="text1"/>
          <w:sz w:val="24"/>
          <w:highlight w:val="none"/>
          <w14:textFill>
            <w14:solidFill>
              <w14:schemeClr w14:val="tx1"/>
            </w14:solidFill>
          </w14:textFill>
        </w:rPr>
        <w:t>。</w:t>
      </w:r>
    </w:p>
    <w:p>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采购文件的澄清、修改</w:t>
      </w:r>
    </w:p>
    <w:p>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6.1已获取采购文件的潜在供应商，若有问题需要澄清，应于投标截止时间前，以书面形式向采购机构提出。</w:t>
      </w:r>
    </w:p>
    <w:p>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采购机构对采购文件进行澄清或修改的，将同时通过电子交易平台通知已获取采购文件的潜在供应商。依法应当公告的，将按规定公告，同时视情况延长投标截止时间和开标时间。该澄清或者修改的内容为采购文件的组成部分。</w:t>
      </w:r>
    </w:p>
    <w:p>
      <w:pPr>
        <w:pStyle w:val="25"/>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pPr>
        <w:adjustRightInd/>
        <w:spacing w:line="360" w:lineRule="auto"/>
        <w:jc w:val="center"/>
        <w:outlineLvl w:val="0"/>
        <w:rPr>
          <w:rFonts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采购文件的获取</w:t>
      </w:r>
    </w:p>
    <w:p>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详见招标公告中获取采购文件的时间期限、地点、方式及采购文件售价。</w:t>
      </w:r>
    </w:p>
    <w:p>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pPr>
        <w:pStyle w:val="3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采购人组织潜在供应商现场考察或者召开开标前答疑会的，潜在供应商按第二部分供应商须知前附表的规定参加现场考察或者开标前答疑会。</w:t>
      </w:r>
    </w:p>
    <w:p>
      <w:pPr>
        <w:pStyle w:val="34"/>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pPr>
        <w:pStyle w:val="17"/>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采购文件的语言</w:t>
      </w:r>
    </w:p>
    <w:p>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采购文件及供应商与采购有关的来往通知、函件和文件均应使用中文。</w:t>
      </w:r>
    </w:p>
    <w:p>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采购文件的组成</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11.1.2落实政府采购政策需满足的资格要求；</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11.1.3本项目的特定资格要求。</w:t>
      </w:r>
    </w:p>
    <w:p>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11.2.3联合协议（本项目不适用）；</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11.2.4分包意向协议（本项目不适用）；</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11.2.5符合性审查资料；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11.2.6评标标准相应的商务技术资料；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11.2.7投标标的清单（本项目不适用）；</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11.2.8商务技术偏离表；</w:t>
      </w:r>
    </w:p>
    <w:p>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9</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pPr>
        <w:snapToGrid w:val="0"/>
        <w:spacing w:line="360" w:lineRule="auto"/>
        <w:ind w:firstLine="960" w:firstLineChars="4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11.3.2</w:t>
      </w:r>
      <w:r>
        <w:rPr>
          <w:rFonts w:hint="eastAsia" w:ascii="宋体" w:hAnsi="宋体" w:cs="宋体"/>
          <w:color w:val="000000" w:themeColor="text1"/>
          <w:sz w:val="24"/>
          <w:highlight w:val="none"/>
          <w:lang w:eastAsia="zh-CN"/>
          <w14:textFill>
            <w14:solidFill>
              <w14:schemeClr w14:val="tx1"/>
            </w14:solidFill>
          </w14:textFill>
        </w:rPr>
        <w:t>保修期满后每年“有偿维保费报价表”；</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中小企业声明函。</w:t>
      </w:r>
    </w:p>
    <w:p>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采购文件含有采购人不能接受的附加条件的，投标无效；</w:t>
      </w:r>
    </w:p>
    <w:p>
      <w:pPr>
        <w:spacing w:line="360" w:lineRule="auto"/>
        <w:ind w:firstLine="723" w:firstLineChars="3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供应商提供虚假材料投标的，投标无效。</w:t>
      </w:r>
    </w:p>
    <w:p>
      <w:pPr>
        <w:pStyle w:val="132"/>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采购文件的编制</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采购文件分为资格文件、商务技术文件、报价文件三部分。各供应商在编制采购文件时请按照采购文件第六部分规定的格式进行，混乱的编排导致采购文件被误读或评标委员会查找不到有效文件是供应商的风险。</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12.2供应商进行电子投标应安装客户端软件—“政采云电子交易客户端”，并按照采购文件和电子交易平台的要求编制并加密采购文件。供应商未按规定加密的采购文件，电子交易平台将拒收并提示。</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13.采购文件的签署、盖章</w:t>
      </w:r>
    </w:p>
    <w:p>
      <w:pPr>
        <w:pStyle w:val="132"/>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13.1采购文件按照采购文件第六部分格式要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▲供应商的采购文件未按照采购文件要求签署、盖章的，其投标无效</w:t>
      </w:r>
      <w:r>
        <w:rPr>
          <w:rFonts w:hint="eastAsia" w:ascii="宋体" w:hAnsi="宋体" w:cs="宋体"/>
          <w:color w:val="000000" w:themeColor="text1"/>
          <w:szCs w:val="24"/>
          <w:highlight w:val="none"/>
          <w14:textFill>
            <w14:solidFill>
              <w14:schemeClr w14:val="tx1"/>
            </w14:solidFill>
          </w14:textFill>
        </w:rPr>
        <w:t>。</w:t>
      </w:r>
    </w:p>
    <w:p>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13.2为确保网上操作合法、有效和安全，供应商应当在投标截止时间前完成在“政府采购云平台”的身份认证，确保在电子投标过程中能够对相关数据电文进行加密和使用电子签名。</w:t>
      </w:r>
    </w:p>
    <w:p>
      <w:pPr>
        <w:pStyle w:val="132"/>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13.3采购文件对采购文件签署、盖章的要求适用于电子签名。</w:t>
      </w:r>
    </w:p>
    <w:p>
      <w:pPr>
        <w:pStyle w:val="132"/>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采购文件的提交、补充、修改、撤回</w:t>
      </w:r>
    </w:p>
    <w:p>
      <w:pPr>
        <w:pStyle w:val="132"/>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采购文件的传输递交，并可以补充、修改或者撤回采购文件。补充或者修改采购文件的，应当先行撤回原文件，补充、修改后重新传输递交。投标截止时间前未完成传输的，视为撤回采购文件。投标截止时间后递交的采购文件，电子交易平台将拒收。</w:t>
      </w:r>
    </w:p>
    <w:p>
      <w:pPr>
        <w:pStyle w:val="132"/>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14.2电子交易平台收到采购文件，将妥善保存并即时向供应商发出确认回执通知。在投标截止时间前，除供应商补充、修改或者撤回采购文件外，任何单位和个人不得解密或提取采购文件。</w:t>
      </w:r>
    </w:p>
    <w:p>
      <w:pPr>
        <w:pStyle w:val="132"/>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14.3采购人、采购机构可以视情况延长采购文件提交的截止时间。在上述情况下，采购机构与供应商以前在投标截止期方面的全部权利、责任和义务，将适用于延长至新的投标截止期。</w:t>
      </w:r>
    </w:p>
    <w:p>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15.备份采购文件</w:t>
      </w:r>
    </w:p>
    <w:p>
      <w:pPr>
        <w:pStyle w:val="34"/>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15.1供应商在电子交易平台传输递交采购文件后，还可以在投标截止时间前直接提交或者以邮政快递方式递交备份采购文件1份，</w:t>
      </w:r>
      <w:r>
        <w:rPr>
          <w:rFonts w:hint="eastAsia" w:hAnsi="宋体" w:cs="宋体"/>
          <w:b/>
          <w:color w:val="000000" w:themeColor="text1"/>
          <w:sz w:val="24"/>
          <w:szCs w:val="24"/>
          <w:highlight w:val="none"/>
          <w14:textFill>
            <w14:solidFill>
              <w14:schemeClr w14:val="tx1"/>
            </w14:solidFill>
          </w14:textFill>
        </w:rPr>
        <w:t>但采购人、采购机构不强制或变相强制供应商提交备份采购文件。</w:t>
      </w:r>
    </w:p>
    <w:p>
      <w:pPr>
        <w:pStyle w:val="34"/>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15.2备份采购文件须在“政采云投标客户端”制作生成，并储存在</w:t>
      </w:r>
      <w:r>
        <w:rPr>
          <w:rFonts w:hint="eastAsia" w:hAnsi="宋体" w:cs="宋体"/>
          <w:color w:val="000000" w:themeColor="text1"/>
          <w:sz w:val="24"/>
          <w:highlight w:val="none"/>
          <w14:textFill>
            <w14:solidFill>
              <w14:schemeClr w14:val="tx1"/>
            </w14:solidFill>
          </w14:textFill>
        </w:rPr>
        <w:t>DVD光盘</w:t>
      </w:r>
      <w:r>
        <w:rPr>
          <w:rFonts w:hint="eastAsia" w:hAnsi="宋体" w:cs="宋体"/>
          <w:color w:val="000000" w:themeColor="text1"/>
          <w:sz w:val="24"/>
          <w:szCs w:val="24"/>
          <w:highlight w:val="none"/>
          <w14:textFill>
            <w14:solidFill>
              <w14:schemeClr w14:val="tx1"/>
            </w14:solidFill>
          </w14:textFill>
        </w:rPr>
        <w:t>中。备份采购文件应当密封包装并在包装上加盖公章并注明投标项目名称，供应商名称(联合体投标的，包装物封面需注明联合体投标，并注明联合体成员各方的名称和联合协议中约定的牵头人的名称)。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存储、密封规定的备份采购文件将被视为无效或者被拒绝接收。</w:t>
      </w:r>
    </w:p>
    <w:p>
      <w:pPr>
        <w:pStyle w:val="3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15.3直接提交备份采购文件的，供应商应于投标截止时间前在招标公告中载明的开标地点将备份采购文件提交给采购机构，采购机构将拒绝接受逾期送达的备份采购文件。</w:t>
      </w:r>
    </w:p>
    <w:p>
      <w:pPr>
        <w:pStyle w:val="3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15.4以邮政快递方式递交备份采购文件的，供应商应先将备份采购文件按要求密封和标记，再进行邮政快递包装后邮寄。备份采购文件须在投标截止时间之前送达</w:t>
      </w:r>
      <w:r>
        <w:rPr>
          <w:rFonts w:hint="eastAsia" w:hAnsi="宋体" w:cs="宋体"/>
          <w:snapToGrid/>
          <w:color w:val="000000" w:themeColor="text1"/>
          <w:sz w:val="24"/>
          <w:szCs w:val="24"/>
          <w:highlight w:val="none"/>
          <w14:textFill>
            <w14:solidFill>
              <w14:schemeClr w14:val="tx1"/>
            </w14:solidFill>
          </w14:textFill>
        </w:rPr>
        <w:t>采购文件第二部分供应商须知前附表规定的备份采购文件送达地点；</w:t>
      </w:r>
      <w:r>
        <w:rPr>
          <w:rFonts w:hint="eastAsia" w:hAnsi="宋体" w:cs="宋体"/>
          <w:color w:val="000000" w:themeColor="text1"/>
          <w:sz w:val="24"/>
          <w:szCs w:val="24"/>
          <w:highlight w:val="none"/>
          <w14:textFill>
            <w14:solidFill>
              <w14:schemeClr w14:val="tx1"/>
            </w14:solidFill>
          </w14:textFill>
        </w:rPr>
        <w:t>送达时间以签收人签收时间为准。采购机构将拒绝接受逾期送达的备份采购文件。邮寄过程中，电子备份采购文件发生泄露、遗失、损坏或延期送达等情况的，由供应商自行负责。</w:t>
      </w:r>
    </w:p>
    <w:p>
      <w:pPr>
        <w:pStyle w:val="34"/>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15.5供应商仅提交备份采购文件，未在电子交易平台传输递交采购文件的，投标无效。</w:t>
      </w:r>
    </w:p>
    <w:p>
      <w:pPr>
        <w:pStyle w:val="132"/>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16.采购文件的无效处理</w:t>
      </w:r>
    </w:p>
    <w:p>
      <w:pPr>
        <w:pStyle w:val="27"/>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有采购文件第四部分</w:t>
      </w:r>
      <w:r>
        <w:rPr>
          <w:rFonts w:hint="eastAsia" w:cs="宋体"/>
          <w:color w:val="000000" w:themeColor="text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pPr>
        <w:pStyle w:val="132"/>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17.1投标有效期为从提交采购文件的截止之日起90天。▲</w:t>
      </w:r>
      <w:r>
        <w:rPr>
          <w:rFonts w:hint="eastAsia" w:ascii="宋体" w:hAnsi="宋体" w:cs="宋体"/>
          <w:b/>
          <w:color w:val="000000" w:themeColor="text1"/>
          <w:sz w:val="24"/>
          <w:szCs w:val="20"/>
          <w:highlight w:val="none"/>
          <w14:textFill>
            <w14:solidFill>
              <w14:schemeClr w14:val="tx1"/>
            </w14:solidFill>
          </w14:textFill>
        </w:rPr>
        <w:t>供应商的采购文件中承</w:t>
      </w:r>
      <w:r>
        <w:rPr>
          <w:rFonts w:hint="eastAsia" w:ascii="宋体" w:hAnsi="宋体" w:cs="宋体"/>
          <w:b/>
          <w:color w:val="000000" w:themeColor="text1"/>
          <w:sz w:val="24"/>
          <w:szCs w:val="21"/>
          <w:highlight w:val="none"/>
          <w14:textFill>
            <w14:solidFill>
              <w14:schemeClr w14:val="tx1"/>
            </w14:solidFill>
          </w14:textFill>
        </w:rPr>
        <w:t>诺的投标有效期少于采购文件中载明的投标有效期的，投标无效。</w:t>
      </w:r>
    </w:p>
    <w:p>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17.2采购文件合格投递后，自投标截止日期起，在投标有效期内有效。</w:t>
      </w:r>
    </w:p>
    <w:p>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17.3在原定投标有效期满之前，如果出现特殊情况，采购机构可以以书面形式通知供应商延长投标有效期。供应商同意延长的，不得要求或被允许修改其采购文件，供应商拒绝延长的，其投标无效。</w:t>
      </w:r>
    </w:p>
    <w:p>
      <w:pPr>
        <w:pStyle w:val="132"/>
        <w:spacing w:before="0"/>
        <w:ind w:firstLine="643"/>
        <w:rPr>
          <w:rFonts w:ascii="宋体" w:hAnsi="宋体" w:cs="宋体"/>
          <w:b/>
          <w:color w:val="000000" w:themeColor="text1"/>
          <w:sz w:val="32"/>
          <w:highlight w:val="none"/>
          <w14:textFill>
            <w14:solidFill>
              <w14:schemeClr w14:val="tx1"/>
            </w14:solidFill>
          </w14:textFill>
        </w:rPr>
      </w:pPr>
    </w:p>
    <w:p>
      <w:pPr>
        <w:pStyle w:val="132"/>
        <w:spacing w:before="0"/>
        <w:ind w:firstLine="1928" w:firstLineChars="600"/>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pPr>
        <w:pStyle w:val="556"/>
        <w:spacing w:before="0" w:line="360" w:lineRule="auto"/>
        <w:ind w:left="0" w:firstLine="241"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pPr>
        <w:pStyle w:val="556"/>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18.1采购机构按照采购文件规定的时间通过电子交易平台组织开标，所有供应商均应当准时在线参加。供应商不足3家的，不得开标。</w:t>
      </w:r>
    </w:p>
    <w:p>
      <w:pPr>
        <w:pStyle w:val="556"/>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18.2开标时，电子交易平台按开标时间自动提取所有采购文件。采购机构依托电子交易平台发起开始解密指令，供应商按照平台提示和采购文件的规定在半小时内完成在线解密。</w:t>
      </w:r>
    </w:p>
    <w:p>
      <w:pPr>
        <w:pStyle w:val="556"/>
        <w:spacing w:before="0" w:line="360" w:lineRule="auto"/>
        <w:ind w:left="0" w:firstLine="240" w:firstLineChars="1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采购文件未按时解密，供应商提供了备份采购文件的，以备份采购文件作为依据，否则视为采购文件撤回。采购文件已按时解密的，备份采购文件自动失效。</w:t>
      </w:r>
    </w:p>
    <w:p>
      <w:pPr>
        <w:widowControl/>
        <w:spacing w:before="100" w:beforeAutospacing="1" w:after="240" w:line="360" w:lineRule="auto"/>
        <w:jc w:val="left"/>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19.1开标后，采购人或采购机构将依法对供应商的资格进行审查。</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19.2</w:t>
      </w:r>
      <w:r>
        <w:rPr>
          <w:rFonts w:hint="eastAsia" w:ascii="宋体" w:hAnsi="宋体" w:cs="宋体"/>
          <w:color w:val="000000" w:themeColor="text1"/>
          <w:sz w:val="24"/>
          <w:highlight w:val="none"/>
          <w14:textFill>
            <w14:solidFill>
              <w14:schemeClr w14:val="tx1"/>
            </w14:solidFill>
          </w14:textFill>
        </w:rPr>
        <w:t>采购人或采购机构依据法律法规和采购文件的规定，对供应商的基本资格条件、特定资格条件进行审查。</w:t>
      </w:r>
    </w:p>
    <w:p>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19.3供应商未按照采购文件要求提供与</w:t>
      </w:r>
      <w:r>
        <w:rPr>
          <w:rFonts w:hint="eastAsia" w:ascii="宋体" w:hAnsi="宋体" w:cs="宋体"/>
          <w:color w:val="000000" w:themeColor="text1"/>
          <w:highlight w:val="none"/>
          <w14:textFill>
            <w14:solidFill>
              <w14:schemeClr w14:val="tx1"/>
            </w14:solidFill>
          </w14:textFill>
        </w:rPr>
        <w:t>基本资格条件、特定资格条件相应的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供应商不具备采购文件中规定的资格要求，其投标无效。</w:t>
      </w:r>
    </w:p>
    <w:p>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4对未通过资格审查的供应商，采购人或采购机构告知其未通过的原因。</w:t>
      </w:r>
    </w:p>
    <w:p>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5合格供应商不足3家的，不再评标。</w:t>
      </w:r>
    </w:p>
    <w:p>
      <w:pPr>
        <w:pStyle w:val="132"/>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pPr>
        <w:pStyle w:val="132"/>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20.1信用信息查询渠道及截止时间：采购机构将通过“信用中国”网站(www.creditchina.gov.cn)、中国政府采购网(www.ccgp.gov.cn)渠道查询供应商投标截止时间当天的信用记录。</w:t>
      </w:r>
    </w:p>
    <w:p>
      <w:pPr>
        <w:pStyle w:val="132"/>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20.2信用信息查询记录和证据留存的具体方式：现场查询的供应商的信用记录、查询结果经确认后将与采购文件一起存档。</w:t>
      </w:r>
    </w:p>
    <w:p>
      <w:pPr>
        <w:pStyle w:val="132"/>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20.3信用信息的使用规则：经查询列入失信被执行人名单、重大税收违法案件当事人名单、政府采购严重违法失信行为记录名单的供应商将被拒绝参与政府采购活动。</w:t>
      </w:r>
    </w:p>
    <w:p>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pPr>
        <w:pStyle w:val="132"/>
        <w:spacing w:before="0"/>
        <w:ind w:firstLine="0" w:firstLineChars="0"/>
        <w:rPr>
          <w:rFonts w:ascii="宋体" w:hAnsi="宋体" w:cs="宋体"/>
          <w:color w:val="000000" w:themeColor="text1"/>
          <w:kern w:val="0"/>
          <w:szCs w:val="24"/>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pPr>
        <w:spacing w:line="360" w:lineRule="auto"/>
        <w:rPr>
          <w:rFonts w:ascii="宋体" w:hAnsi="宋体" w:cs="宋体"/>
          <w:b/>
          <w:color w:val="000000" w:themeColor="text1"/>
          <w:sz w:val="24"/>
          <w:highlight w:val="none"/>
          <w14:textFill>
            <w14:solidFill>
              <w14:schemeClr w14:val="tx1"/>
            </w14:solidFill>
          </w14:textFill>
        </w:rPr>
      </w:pPr>
      <w:bookmarkStart w:id="13"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采购文件和有关规定，履行评标工作职责，并按照评标方法及评分标准，全面衡量各供应商对采购文件的响应情况。对实质上响应采购文件的供应商，按照评审因素的量化指标排出推荐中标的供应商的先后顺序，并按顺序提出授标建议。</w:t>
      </w:r>
      <w:r>
        <w:rPr>
          <w:rFonts w:hint="eastAsia" w:ascii="宋体" w:hAnsi="宋体" w:cs="宋体"/>
          <w:b/>
          <w:color w:val="000000" w:themeColor="text1"/>
          <w:sz w:val="24"/>
          <w:highlight w:val="none"/>
          <w14:textFill>
            <w14:solidFill>
              <w14:schemeClr w14:val="tx1"/>
            </w14:solidFill>
          </w14:textFill>
        </w:rPr>
        <w:t>详见采购文件第四部分评标办法。</w:t>
      </w:r>
    </w:p>
    <w:p>
      <w:pPr>
        <w:spacing w:line="360" w:lineRule="auto"/>
        <w:rPr>
          <w:rFonts w:ascii="宋体" w:hAnsi="宋体" w:cs="宋体"/>
          <w:b/>
          <w:color w:val="000000" w:themeColor="text1"/>
          <w:sz w:val="24"/>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pPr>
        <w:pStyle w:val="27"/>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pPr>
        <w:pStyle w:val="132"/>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2"/>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23.1自中标人确定之日起2个工作日内，采购机构通过电子交易平台向中标人发出中标通知书，同时编制发布采购结果公告。采购机构也可以以纸质形式进行中标通知。</w:t>
      </w:r>
    </w:p>
    <w:p>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pPr>
        <w:pStyle w:val="27"/>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pPr>
        <w:pStyle w:val="27"/>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pPr>
        <w:widowControl/>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2"/>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132"/>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25.5采购合同由采购人与中标供应商根据采购文件、采购文件等内容通过政府采购电子交易平台在线签订，自动备案。</w:t>
      </w:r>
    </w:p>
    <w:p>
      <w:pPr>
        <w:pStyle w:val="27"/>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政府采购货物和服务项目中，采购单位可根据杭州市政府采购网公布的供应商履约评价情况减免履约保证金。供应商履约验收评价总分为100分的，采购单位应当免收履约保证金。</w:t>
      </w:r>
    </w:p>
    <w:p>
      <w:pPr>
        <w:pStyle w:val="5"/>
        <w:ind w:left="0" w:firstLine="480" w:firstLineChars="200"/>
        <w:rPr>
          <w:rFonts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color w:val="000000" w:themeColor="text1"/>
          <w:sz w:val="32"/>
          <w:highlight w:val="none"/>
          <w14:textFill>
            <w14:solidFill>
              <w14:schemeClr w14:val="tx1"/>
            </w14:solidFill>
          </w14:textFill>
        </w:rPr>
      </w:pPr>
    </w:p>
    <w:p>
      <w:pPr>
        <w:snapToGrid w:val="0"/>
        <w:spacing w:line="360" w:lineRule="auto"/>
        <w:ind w:firstLine="3357" w:firstLineChars="104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pPr>
        <w:pStyle w:val="132"/>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b/>
          <w:color w:val="000000" w:themeColor="text1"/>
          <w:szCs w:val="24"/>
          <w:highlight w:val="none"/>
          <w14:textFill>
            <w14:solidFill>
              <w14:schemeClr w14:val="tx1"/>
            </w14:solidFill>
          </w14:textFill>
        </w:rPr>
        <w:t>7.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27.1电子交易平台发生故障而无法登录访问的； </w:t>
      </w:r>
    </w:p>
    <w:p>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27.2电子交易平台应用或数据库出现错误，不能进行正常操作的；</w:t>
      </w:r>
    </w:p>
    <w:p>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27.3电子交易平台发现严重安全漏洞，有潜在泄密危险的；</w:t>
      </w:r>
    </w:p>
    <w:p>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27.4病毒发作导致不能进行正常操作的； </w:t>
      </w:r>
    </w:p>
    <w:p>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27.5其他无法保证电子交易的公平、公正和安全的情况。</w:t>
      </w:r>
    </w:p>
    <w:p>
      <w:pPr>
        <w:pStyle w:val="132"/>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pPr>
        <w:pStyle w:val="27"/>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29.验收</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29.2采购人可以邀请参加本项目的其他供应商或者第三方机构参与验收。参与验收的供应商或者第三方机构的意见作为验收书的参考资料一并存档。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361" w:right="1361" w:bottom="1361" w:left="1361" w:header="851" w:footer="992" w:gutter="0"/>
          <w:pgBorders>
            <w:top w:val="none" w:sz="0" w:space="0"/>
            <w:left w:val="none" w:sz="0" w:space="0"/>
            <w:bottom w:val="none" w:sz="0" w:space="0"/>
            <w:right w:val="none" w:sz="0" w:space="0"/>
          </w:pgBorders>
          <w:cols w:space="720" w:num="1"/>
          <w:titlePg/>
          <w:docGrid w:linePitch="312" w:charSpace="0"/>
        </w:sectPr>
      </w:pPr>
      <w:bookmarkStart w:id="14" w:name="_Hlt75236101"/>
      <w:bookmarkEnd w:id="14"/>
      <w:bookmarkStart w:id="15" w:name="_Hlt68403820"/>
      <w:bookmarkEnd w:id="15"/>
      <w:bookmarkStart w:id="16" w:name="_Hlt74729768"/>
      <w:bookmarkEnd w:id="16"/>
      <w:bookmarkStart w:id="17" w:name="_Hlt74714665"/>
      <w:bookmarkEnd w:id="17"/>
      <w:bookmarkStart w:id="18" w:name="_Hlt68072998"/>
      <w:bookmarkEnd w:id="18"/>
      <w:bookmarkStart w:id="19" w:name="_Hlt74707468"/>
      <w:bookmarkEnd w:id="19"/>
      <w:bookmarkStart w:id="20" w:name="_Hlt74730295"/>
      <w:bookmarkEnd w:id="20"/>
      <w:bookmarkStart w:id="21" w:name="_Hlt75236011"/>
      <w:bookmarkEnd w:id="21"/>
      <w:bookmarkStart w:id="22" w:name="_Hlt75236290"/>
      <w:bookmarkEnd w:id="22"/>
      <w:bookmarkStart w:id="23" w:name="_Hlt68057669"/>
      <w:bookmarkEnd w:id="23"/>
      <w:bookmarkStart w:id="24" w:name="_Hlt68073093"/>
      <w:bookmarkEnd w:id="24"/>
      <w:bookmarkStart w:id="25" w:name="_Hlt68072990"/>
      <w:bookmarkEnd w:id="25"/>
    </w:p>
    <w:bookmarkEnd w:id="11"/>
    <w:bookmarkEnd w:id="12"/>
    <w:p>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26"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pPr>
        <w:tabs>
          <w:tab w:val="left" w:pos="8280"/>
        </w:tabs>
        <w:autoSpaceDE w:val="0"/>
        <w:autoSpaceDN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一、项目概况</w:t>
      </w:r>
    </w:p>
    <w:p>
      <w:pPr>
        <w:widowControl/>
        <w:snapToGrid w:val="0"/>
        <w:spacing w:line="360" w:lineRule="auto"/>
        <w:ind w:firstLine="48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1、项目名称：</w:t>
      </w:r>
      <w:r>
        <w:rPr>
          <w:rFonts w:hint="eastAsia" w:ascii="宋体" w:hAnsi="宋体" w:cs="宋体"/>
          <w:color w:val="000000" w:themeColor="text1"/>
          <w:sz w:val="24"/>
          <w:highlight w:val="none"/>
          <w:lang w:eastAsia="zh-CN"/>
          <w14:textFill>
            <w14:solidFill>
              <w14:schemeClr w14:val="tx1"/>
            </w14:solidFill>
          </w14:textFill>
        </w:rPr>
        <w:t>杭州城西休闲公园地下停车库及配套服务用房--机械车位项目</w:t>
      </w:r>
    </w:p>
    <w:p>
      <w:pPr>
        <w:widowControl/>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2、预算金额：</w:t>
      </w:r>
      <w:r>
        <w:rPr>
          <w:rFonts w:hint="eastAsia" w:ascii="宋体" w:hAnsi="宋体" w:eastAsia="宋体" w:cs="宋体"/>
          <w:color w:val="000000" w:themeColor="text1"/>
          <w:sz w:val="24"/>
          <w:highlight w:val="none"/>
          <w:lang w:eastAsia="zh-CN"/>
          <w14:textFill>
            <w14:solidFill>
              <w14:schemeClr w14:val="tx1"/>
            </w14:solidFill>
          </w14:textFill>
        </w:rPr>
        <w:t>8800000.00</w:t>
      </w:r>
      <w:r>
        <w:rPr>
          <w:rFonts w:hint="eastAsia" w:ascii="宋体" w:hAnsi="宋体" w:eastAsia="宋体" w:cs="宋体"/>
          <w:color w:val="000000" w:themeColor="text1"/>
          <w:sz w:val="24"/>
          <w:highlight w:val="none"/>
          <w14:textFill>
            <w14:solidFill>
              <w14:schemeClr w14:val="tx1"/>
            </w14:solidFill>
          </w14:textFill>
        </w:rPr>
        <w:t>元</w:t>
      </w:r>
    </w:p>
    <w:p>
      <w:pPr>
        <w:widowControl/>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3、项目简要描述：</w:t>
      </w:r>
      <w:r>
        <w:rPr>
          <w:rFonts w:hint="eastAsia" w:ascii="宋体" w:hAnsi="宋体" w:eastAsia="宋体" w:cs="宋体"/>
          <w:color w:val="000000" w:themeColor="text1"/>
          <w:sz w:val="24"/>
          <w:highlight w:val="none"/>
          <w:lang w:eastAsia="zh-CN"/>
          <w14:textFill>
            <w14:solidFill>
              <w14:schemeClr w14:val="tx1"/>
            </w14:solidFill>
          </w14:textFill>
        </w:rPr>
        <w:t>本次改造项目所需的机械式停车设备结构为升降横移类机械立体车库，机械式停车设备采购的设计、制造、安装、调试、试运行、验收及售后服务，机械式停车位总共459个</w:t>
      </w:r>
      <w:r>
        <w:rPr>
          <w:rFonts w:hint="eastAsia" w:ascii="宋体" w:hAnsi="宋体" w:eastAsia="宋体" w:cs="宋体"/>
          <w:color w:val="000000" w:themeColor="text1"/>
          <w:sz w:val="24"/>
          <w:highlight w:val="none"/>
          <w14:textFill>
            <w14:solidFill>
              <w14:schemeClr w14:val="tx1"/>
            </w14:solidFill>
          </w14:textFill>
        </w:rPr>
        <w:t>。</w:t>
      </w:r>
    </w:p>
    <w:p>
      <w:pPr>
        <w:widowControl/>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4、采购内容：经杭州市西湖风景名胜区管委会批准同意，拟对城西休闲公园地下停车库实施改造。车库的总面积13341平方米</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本次改造项目所需的机械式停车设备结构为升降横移类机械立体车库</w:t>
      </w:r>
      <w:r>
        <w:rPr>
          <w:rFonts w:hint="eastAsia" w:ascii="宋体" w:hAnsi="宋体" w:eastAsia="宋体" w:cs="宋体"/>
          <w:color w:val="000000" w:themeColor="text1"/>
          <w:sz w:val="24"/>
          <w:highlight w:val="none"/>
          <w:lang w:eastAsia="zh-CN"/>
          <w14:textFill>
            <w14:solidFill>
              <w14:schemeClr w14:val="tx1"/>
            </w14:solidFill>
          </w14:textFill>
        </w:rPr>
        <w:t>的</w:t>
      </w:r>
      <w:r>
        <w:rPr>
          <w:rFonts w:hint="eastAsia" w:ascii="宋体" w:hAnsi="宋体" w:eastAsia="宋体" w:cs="宋体"/>
          <w:color w:val="000000" w:themeColor="text1"/>
          <w:sz w:val="24"/>
          <w:highlight w:val="none"/>
          <w14:textFill>
            <w14:solidFill>
              <w14:schemeClr w14:val="tx1"/>
            </w14:solidFill>
          </w14:textFill>
        </w:rPr>
        <w:t>设计及设备</w:t>
      </w:r>
      <w:r>
        <w:rPr>
          <w:rFonts w:hint="eastAsia" w:ascii="宋体" w:hAnsi="宋体" w:eastAsia="宋体" w:cs="宋体"/>
          <w:color w:val="000000" w:themeColor="text1"/>
          <w:sz w:val="24"/>
          <w:highlight w:val="none"/>
          <w:lang w:val="en-US" w:eastAsia="zh-CN"/>
          <w14:textFill>
            <w14:solidFill>
              <w14:schemeClr w14:val="tx1"/>
            </w14:solidFill>
          </w14:textFill>
        </w:rPr>
        <w:t>供货、</w:t>
      </w:r>
      <w:r>
        <w:rPr>
          <w:rFonts w:hint="eastAsia" w:ascii="宋体" w:hAnsi="宋体" w:eastAsia="宋体" w:cs="宋体"/>
          <w:color w:val="000000" w:themeColor="text1"/>
          <w:sz w:val="24"/>
          <w:highlight w:val="none"/>
          <w14:textFill>
            <w14:solidFill>
              <w14:schemeClr w14:val="tx1"/>
            </w14:solidFill>
          </w14:textFill>
        </w:rPr>
        <w:t>安装调试完成，</w:t>
      </w:r>
      <w:r>
        <w:rPr>
          <w:rFonts w:hint="eastAsia" w:ascii="宋体" w:hAnsi="宋体" w:cs="宋体"/>
          <w:color w:val="000000" w:themeColor="text1"/>
          <w:sz w:val="24"/>
          <w:highlight w:val="none"/>
          <w:lang w:eastAsia="zh-CN"/>
          <w14:textFill>
            <w14:solidFill>
              <w14:schemeClr w14:val="tx1"/>
            </w14:solidFill>
          </w14:textFill>
        </w:rPr>
        <w:t>试运行期满后</w:t>
      </w:r>
      <w:r>
        <w:rPr>
          <w:rFonts w:hint="eastAsia" w:ascii="宋体" w:hAnsi="宋体" w:eastAsia="宋体" w:cs="宋体"/>
          <w:color w:val="000000" w:themeColor="text1"/>
          <w:sz w:val="24"/>
          <w:highlight w:val="none"/>
          <w14:textFill>
            <w14:solidFill>
              <w14:schemeClr w14:val="tx1"/>
            </w14:solidFill>
          </w14:textFill>
        </w:rPr>
        <w:t>经验收合格，正式交付使用，进入</w:t>
      </w:r>
      <w:r>
        <w:rPr>
          <w:rFonts w:hint="eastAsia" w:ascii="宋体" w:hAnsi="宋体" w:cs="宋体"/>
          <w:color w:val="000000" w:themeColor="text1"/>
          <w:sz w:val="24"/>
          <w:highlight w:val="none"/>
          <w:lang w:eastAsia="zh-CN"/>
          <w14:textFill>
            <w14:solidFill>
              <w14:schemeClr w14:val="tx1"/>
            </w14:solidFill>
          </w14:textFill>
        </w:rPr>
        <w:t>质保</w:t>
      </w:r>
      <w:r>
        <w:rPr>
          <w:rFonts w:hint="eastAsia" w:ascii="宋体" w:hAnsi="宋体" w:eastAsia="宋体" w:cs="宋体"/>
          <w:color w:val="000000" w:themeColor="text1"/>
          <w:sz w:val="24"/>
          <w:highlight w:val="none"/>
          <w14:textFill>
            <w14:solidFill>
              <w14:schemeClr w14:val="tx1"/>
            </w14:solidFill>
          </w14:textFill>
        </w:rPr>
        <w:t>期。</w:t>
      </w:r>
    </w:p>
    <w:p>
      <w:pPr>
        <w:widowControl/>
        <w:snapToGrid w:val="0"/>
        <w:spacing w:line="360" w:lineRule="auto"/>
        <w:ind w:firstLine="482" w:firstLineChars="200"/>
        <w:jc w:val="left"/>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二、</w:t>
      </w:r>
      <w:r>
        <w:rPr>
          <w:rFonts w:hint="eastAsia" w:ascii="宋体" w:hAnsi="宋体" w:eastAsia="宋体" w:cs="宋体"/>
          <w:b/>
          <w:bCs/>
          <w:color w:val="000000" w:themeColor="text1"/>
          <w:sz w:val="24"/>
          <w:highlight w:val="none"/>
          <w:lang w:val="en-US" w:eastAsia="zh-CN"/>
          <w14:textFill>
            <w14:solidFill>
              <w14:schemeClr w14:val="tx1"/>
            </w14:solidFill>
          </w14:textFill>
        </w:rPr>
        <w:t>项目技术标准及具体要求</w:t>
      </w:r>
    </w:p>
    <w:p>
      <w:pPr>
        <w:tabs>
          <w:tab w:val="left" w:pos="8280"/>
        </w:tabs>
        <w:autoSpaceDE w:val="0"/>
        <w:autoSpaceDN w:val="0"/>
        <w:spacing w:line="360" w:lineRule="auto"/>
        <w:ind w:firstLine="482" w:firstLineChars="200"/>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1、</w:t>
      </w:r>
      <w:r>
        <w:rPr>
          <w:rFonts w:hint="eastAsia" w:ascii="微软雅黑" w:hAnsi="微软雅黑" w:eastAsia="微软雅黑" w:cs="微软雅黑"/>
          <w:b/>
          <w:bCs/>
          <w:color w:val="000000" w:themeColor="text1"/>
          <w:sz w:val="24"/>
          <w:highlight w:val="none"/>
          <w:lang w:val="en-US"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采购清单</w:t>
      </w:r>
    </w:p>
    <w:tbl>
      <w:tblPr>
        <w:tblStyle w:val="64"/>
        <w:tblW w:w="86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1568"/>
        <w:gridCol w:w="4649"/>
        <w:gridCol w:w="567"/>
        <w:gridCol w:w="1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568"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4649"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主要型号、参数</w:t>
            </w:r>
          </w:p>
          <w:p>
            <w:pPr>
              <w:pStyle w:val="5"/>
              <w:rPr>
                <w:color w:val="000000" w:themeColor="text1"/>
                <w:highlight w:val="none"/>
                <w:lang w:val="en-US"/>
                <w14:textFill>
                  <w14:solidFill>
                    <w14:schemeClr w14:val="tx1"/>
                  </w14:solidFill>
                </w14:textFill>
              </w:rPr>
            </w:pPr>
            <w:r>
              <w:rPr>
                <w:rStyle w:val="965"/>
                <w:rFonts w:hint="eastAsia" w:ascii="宋体" w:hAnsi="宋体" w:eastAsia="宋体" w:cs="宋体"/>
                <w:b w:val="0"/>
                <w:color w:val="000000" w:themeColor="text1"/>
                <w:sz w:val="24"/>
                <w:szCs w:val="24"/>
                <w:highlight w:val="none"/>
                <w:lang w:val="en-US"/>
                <w14:textFill>
                  <w14:solidFill>
                    <w14:schemeClr w14:val="tx1"/>
                  </w14:solidFill>
                </w14:textFill>
              </w:rPr>
              <w:t>(</w:t>
            </w:r>
            <w:r>
              <w:rPr>
                <w:rStyle w:val="965"/>
                <w:rFonts w:ascii="宋体" w:hAnsi="宋体" w:eastAsia="宋体" w:cs="宋体"/>
                <w:b w:val="0"/>
                <w:color w:val="000000" w:themeColor="text1"/>
                <w:sz w:val="24"/>
                <w:szCs w:val="24"/>
                <w:highlight w:val="none"/>
                <w:lang w:val="en-US"/>
                <w14:textFill>
                  <w14:solidFill>
                    <w14:schemeClr w14:val="tx1"/>
                  </w14:solidFill>
                </w14:textFill>
              </w:rPr>
              <w:t>下</w:t>
            </w:r>
            <w:r>
              <w:rPr>
                <w:rStyle w:val="965"/>
                <w:rFonts w:hint="eastAsia" w:ascii="宋体" w:hAnsi="宋体" w:eastAsia="宋体" w:cs="宋体"/>
                <w:b w:val="0"/>
                <w:color w:val="000000" w:themeColor="text1"/>
                <w:sz w:val="24"/>
                <w:szCs w:val="24"/>
                <w:highlight w:val="none"/>
                <w:lang w:val="en-US"/>
                <w14:textFill>
                  <w14:solidFill>
                    <w14:schemeClr w14:val="tx1"/>
                  </w14:solidFill>
                </w14:textFill>
              </w:rPr>
              <w:t>列规格厂家可自行优化设计，但容车尺寸不能小于本表格的要求</w:t>
            </w:r>
            <w:r>
              <w:rPr>
                <w:rStyle w:val="965"/>
                <w:rFonts w:ascii="宋体" w:hAnsi="宋体" w:eastAsia="宋体" w:cs="宋体"/>
                <w:b w:val="0"/>
                <w:color w:val="000000" w:themeColor="text1"/>
                <w:sz w:val="24"/>
                <w:szCs w:val="24"/>
                <w:highlight w:val="none"/>
                <w:lang w:val="en-US"/>
                <w14:textFill>
                  <w14:solidFill>
                    <w14:schemeClr w14:val="tx1"/>
                  </w14:solidFill>
                </w14:textFill>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3"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568" w:type="dxa"/>
            <w:tcBorders>
              <w:top w:val="single" w:color="000000" w:sz="4" w:space="0"/>
              <w:left w:val="single" w:color="000000" w:sz="4" w:space="0"/>
              <w:bottom w:val="single" w:color="000000" w:sz="4" w:space="0"/>
              <w:right w:val="single" w:color="000000" w:sz="4" w:space="0"/>
            </w:tcBorders>
            <w:vAlign w:val="center"/>
          </w:tcPr>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二层升降横移类机械停车设备</w:t>
            </w:r>
          </w:p>
        </w:tc>
        <w:tc>
          <w:tcPr>
            <w:tcW w:w="4649" w:type="dxa"/>
            <w:tcBorders>
              <w:top w:val="single" w:color="000000" w:sz="4" w:space="0"/>
              <w:left w:val="single" w:color="000000" w:sz="4" w:space="0"/>
              <w:bottom w:val="single" w:color="000000" w:sz="4" w:space="0"/>
              <w:right w:val="single" w:color="000000" w:sz="4" w:space="0"/>
            </w:tcBorders>
            <w:vAlign w:val="center"/>
          </w:tcPr>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一、PSH2</w:t>
            </w:r>
          </w:p>
          <w:p>
            <w:pPr>
              <w:widowControl/>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二、容车规格（mm）</w:t>
            </w:r>
          </w:p>
          <w:p>
            <w:pPr>
              <w:widowControl/>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长</w:t>
            </w:r>
            <w:r>
              <w:rPr>
                <w:rFonts w:hint="eastAsia" w:ascii="宋体" w:hAnsi="宋体" w:cs="宋体"/>
                <w:color w:val="000000" w:themeColor="text1"/>
                <w:sz w:val="24"/>
                <w:highlight w:val="none"/>
                <w14:textFill>
                  <w14:solidFill>
                    <w14:schemeClr w14:val="tx1"/>
                  </w14:solidFill>
                </w14:textFill>
              </w:rPr>
              <w:t>5200</w:t>
            </w:r>
            <w:r>
              <w:rPr>
                <w:rFonts w:ascii="MS Gothic" w:hAnsi="MS Gothic" w:eastAsia="MS Gothic" w:cs="MS Gothic"/>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宽</w:t>
            </w:r>
            <w:r>
              <w:rPr>
                <w:rFonts w:hint="eastAsia" w:ascii="宋体" w:hAnsi="宋体" w:cs="宋体"/>
                <w:color w:val="000000" w:themeColor="text1"/>
                <w:sz w:val="24"/>
                <w:highlight w:val="none"/>
                <w14:textFill>
                  <w14:solidFill>
                    <w14:schemeClr w14:val="tx1"/>
                  </w14:solidFill>
                </w14:textFill>
              </w:rPr>
              <w:t>1950及以上</w:t>
            </w:r>
            <w:r>
              <w:rPr>
                <w:rFonts w:ascii="MS Gothic" w:hAnsi="MS Gothic" w:eastAsia="MS Gothic" w:cs="MS Gothic"/>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高</w:t>
            </w:r>
            <w:r>
              <w:rPr>
                <w:rFonts w:hint="eastAsia" w:ascii="宋体" w:hAnsi="宋体" w:cs="宋体"/>
                <w:color w:val="000000" w:themeColor="text1"/>
                <w:sz w:val="24"/>
                <w:highlight w:val="none"/>
                <w14:textFill>
                  <w14:solidFill>
                    <w14:schemeClr w14:val="tx1"/>
                  </w14:solidFill>
                </w14:textFill>
              </w:rPr>
              <w:t>1550及以上</w:t>
            </w:r>
          </w:p>
          <w:p>
            <w:pPr>
              <w:widowControl/>
              <w:adjustRightInd/>
              <w:jc w:val="left"/>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三、荷载2000KG</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75个车位</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rPr>
                <w:color w:val="000000" w:themeColor="text1"/>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要求进车层容车高度不小于1750mm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568" w:type="dxa"/>
            <w:tcBorders>
              <w:top w:val="single" w:color="000000" w:sz="4" w:space="0"/>
              <w:left w:val="single" w:color="000000" w:sz="4" w:space="0"/>
              <w:bottom w:val="single" w:color="000000" w:sz="4" w:space="0"/>
              <w:right w:val="single" w:color="000000" w:sz="4" w:space="0"/>
            </w:tcBorders>
            <w:vAlign w:val="center"/>
          </w:tcPr>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三层升降横移类机械停车设备</w:t>
            </w:r>
          </w:p>
        </w:tc>
        <w:tc>
          <w:tcPr>
            <w:tcW w:w="4649" w:type="dxa"/>
            <w:tcBorders>
              <w:top w:val="single" w:color="000000" w:sz="4" w:space="0"/>
              <w:left w:val="single" w:color="000000" w:sz="4" w:space="0"/>
              <w:bottom w:val="single" w:color="000000" w:sz="4" w:space="0"/>
              <w:right w:val="single" w:color="000000" w:sz="4" w:space="0"/>
            </w:tcBorders>
            <w:vAlign w:val="center"/>
          </w:tcPr>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一、PSH3</w:t>
            </w:r>
          </w:p>
          <w:p>
            <w:pPr>
              <w:widowControl/>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二、容车规格（mm）</w:t>
            </w:r>
          </w:p>
          <w:p>
            <w:pPr>
              <w:widowControl/>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长</w:t>
            </w:r>
            <w:r>
              <w:rPr>
                <w:rFonts w:hint="eastAsia" w:ascii="宋体" w:hAnsi="宋体" w:cs="宋体"/>
                <w:color w:val="000000" w:themeColor="text1"/>
                <w:sz w:val="24"/>
                <w:highlight w:val="none"/>
                <w14:textFill>
                  <w14:solidFill>
                    <w14:schemeClr w14:val="tx1"/>
                  </w14:solidFill>
                </w14:textFill>
              </w:rPr>
              <w:t>5</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00</w:t>
            </w:r>
            <w:r>
              <w:rPr>
                <w:rFonts w:ascii="MS Gothic" w:hAnsi="MS Gothic" w:eastAsia="MS Gothic" w:cs="MS Gothic"/>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宽</w:t>
            </w:r>
            <w:r>
              <w:rPr>
                <w:rFonts w:hint="eastAsia" w:ascii="宋体" w:hAnsi="宋体" w:cs="宋体"/>
                <w:color w:val="000000" w:themeColor="text1"/>
                <w:sz w:val="24"/>
                <w:highlight w:val="none"/>
                <w14:textFill>
                  <w14:solidFill>
                    <w14:schemeClr w14:val="tx1"/>
                  </w14:solidFill>
                </w14:textFill>
              </w:rPr>
              <w:t>19</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0及以上</w:t>
            </w:r>
            <w:r>
              <w:rPr>
                <w:rFonts w:ascii="MS Gothic" w:hAnsi="MS Gothic" w:eastAsia="MS Gothic" w:cs="MS Gothic"/>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高</w:t>
            </w:r>
            <w:r>
              <w:rPr>
                <w:rFonts w:hint="eastAsia" w:ascii="宋体" w:hAnsi="宋体" w:cs="宋体"/>
                <w:color w:val="000000" w:themeColor="text1"/>
                <w:sz w:val="24"/>
                <w:highlight w:val="none"/>
                <w14:textFill>
                  <w14:solidFill>
                    <w14:schemeClr w14:val="tx1"/>
                  </w14:solidFill>
                </w14:textFill>
              </w:rPr>
              <w:t>1550及以上</w:t>
            </w:r>
          </w:p>
          <w:p>
            <w:pPr>
              <w:widowControl/>
              <w:adjustRightInd/>
              <w:jc w:val="left"/>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三、荷载2000KG</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126个车位</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rPr>
                <w:color w:val="000000" w:themeColor="text1"/>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要求</w:t>
            </w:r>
            <w:r>
              <w:rPr>
                <w:rFonts w:hint="eastAsia" w:hAnsi="宋体" w:cs="宋体"/>
                <w:bCs/>
                <w:color w:val="000000" w:themeColor="text1"/>
                <w:sz w:val="24"/>
                <w:highlight w:val="none"/>
                <w:lang w:eastAsia="zh-CN"/>
                <w14:textFill>
                  <w14:solidFill>
                    <w14:schemeClr w14:val="tx1"/>
                  </w14:solidFill>
                </w14:textFill>
              </w:rPr>
              <w:t>进车层容车</w:t>
            </w:r>
            <w:r>
              <w:rPr>
                <w:rFonts w:hint="eastAsia" w:hAnsi="宋体" w:cs="宋体"/>
                <w:bCs/>
                <w:color w:val="000000" w:themeColor="text1"/>
                <w:sz w:val="24"/>
                <w:highlight w:val="none"/>
                <w14:textFill>
                  <w14:solidFill>
                    <w14:schemeClr w14:val="tx1"/>
                  </w14:solidFill>
                </w14:textFill>
              </w:rPr>
              <w:t>高度不小于1750mm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1568" w:type="dxa"/>
            <w:tcBorders>
              <w:top w:val="single" w:color="000000" w:sz="4" w:space="0"/>
              <w:left w:val="single" w:color="000000" w:sz="4" w:space="0"/>
              <w:bottom w:val="single" w:color="000000" w:sz="4" w:space="0"/>
              <w:right w:val="single" w:color="000000" w:sz="4" w:space="0"/>
            </w:tcBorders>
            <w:vAlign w:val="center"/>
          </w:tcPr>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正二负一</w:t>
            </w:r>
          </w:p>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升降横移类</w:t>
            </w:r>
          </w:p>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机械停车设备</w:t>
            </w:r>
          </w:p>
        </w:tc>
        <w:tc>
          <w:tcPr>
            <w:tcW w:w="4649" w:type="dxa"/>
            <w:tcBorders>
              <w:top w:val="single" w:color="000000" w:sz="4" w:space="0"/>
              <w:left w:val="single" w:color="000000" w:sz="4" w:space="0"/>
              <w:bottom w:val="single" w:color="000000" w:sz="4" w:space="0"/>
              <w:right w:val="single" w:color="000000" w:sz="4" w:space="0"/>
            </w:tcBorders>
            <w:vAlign w:val="center"/>
          </w:tcPr>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一、PSH2/1</w:t>
            </w:r>
          </w:p>
          <w:p>
            <w:pPr>
              <w:widowControl/>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二、容车规格（mm）</w:t>
            </w:r>
          </w:p>
          <w:p>
            <w:pPr>
              <w:widowControl/>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长</w:t>
            </w:r>
            <w:r>
              <w:rPr>
                <w:rFonts w:hint="eastAsia" w:ascii="宋体" w:hAnsi="宋体" w:cs="宋体"/>
                <w:color w:val="000000" w:themeColor="text1"/>
                <w:sz w:val="24"/>
                <w:highlight w:val="none"/>
                <w14:textFill>
                  <w14:solidFill>
                    <w14:schemeClr w14:val="tx1"/>
                  </w14:solidFill>
                </w14:textFill>
              </w:rPr>
              <w:t>5</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00</w:t>
            </w:r>
            <w:r>
              <w:rPr>
                <w:rFonts w:ascii="MS Gothic" w:hAnsi="MS Gothic" w:eastAsia="MS Gothic" w:cs="MS Gothic"/>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宽</w:t>
            </w:r>
            <w:r>
              <w:rPr>
                <w:rFonts w:hint="eastAsia" w:ascii="宋体" w:hAnsi="宋体" w:cs="宋体"/>
                <w:color w:val="000000" w:themeColor="text1"/>
                <w:sz w:val="24"/>
                <w:highlight w:val="none"/>
                <w14:textFill>
                  <w14:solidFill>
                    <w14:schemeClr w14:val="tx1"/>
                  </w14:solidFill>
                </w14:textFill>
              </w:rPr>
              <w:t>19</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0及以上</w:t>
            </w:r>
            <w:r>
              <w:rPr>
                <w:rFonts w:ascii="MS Gothic" w:hAnsi="MS Gothic" w:eastAsia="MS Gothic" w:cs="MS Gothic"/>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高</w:t>
            </w:r>
            <w:r>
              <w:rPr>
                <w:rFonts w:hint="eastAsia" w:ascii="宋体" w:hAnsi="宋体" w:cs="宋体"/>
                <w:color w:val="000000" w:themeColor="text1"/>
                <w:sz w:val="24"/>
                <w:highlight w:val="none"/>
                <w14:textFill>
                  <w14:solidFill>
                    <w14:schemeClr w14:val="tx1"/>
                  </w14:solidFill>
                </w14:textFill>
              </w:rPr>
              <w:t>1550及以上</w:t>
            </w:r>
          </w:p>
          <w:p>
            <w:pPr>
              <w:widowControl/>
              <w:adjustRightInd/>
              <w:jc w:val="left"/>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三、荷载2000KG</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184个车位</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rPr>
                <w:color w:val="000000" w:themeColor="text1"/>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要求</w:t>
            </w:r>
            <w:r>
              <w:rPr>
                <w:rFonts w:hint="eastAsia" w:hAnsi="宋体" w:cs="宋体"/>
                <w:bCs/>
                <w:color w:val="000000" w:themeColor="text1"/>
                <w:sz w:val="24"/>
                <w:highlight w:val="none"/>
                <w:lang w:eastAsia="zh-CN"/>
                <w14:textFill>
                  <w14:solidFill>
                    <w14:schemeClr w14:val="tx1"/>
                  </w14:solidFill>
                </w14:textFill>
              </w:rPr>
              <w:t>进车层容车</w:t>
            </w:r>
            <w:r>
              <w:rPr>
                <w:rFonts w:hint="eastAsia" w:hAnsi="宋体" w:cs="宋体"/>
                <w:bCs/>
                <w:color w:val="000000" w:themeColor="text1"/>
                <w:sz w:val="24"/>
                <w:highlight w:val="none"/>
                <w14:textFill>
                  <w14:solidFill>
                    <w14:schemeClr w14:val="tx1"/>
                  </w14:solidFill>
                </w14:textFill>
              </w:rPr>
              <w:t>高度不小于1750mm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568" w:type="dxa"/>
            <w:tcBorders>
              <w:top w:val="single" w:color="000000" w:sz="4" w:space="0"/>
              <w:left w:val="single" w:color="000000" w:sz="4" w:space="0"/>
              <w:bottom w:val="single" w:color="000000" w:sz="4" w:space="0"/>
              <w:right w:val="single" w:color="000000" w:sz="4" w:space="0"/>
            </w:tcBorders>
            <w:vAlign w:val="center"/>
          </w:tcPr>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正一负二</w:t>
            </w:r>
          </w:p>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升降横移类</w:t>
            </w:r>
          </w:p>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机械停车设备</w:t>
            </w:r>
          </w:p>
        </w:tc>
        <w:tc>
          <w:tcPr>
            <w:tcW w:w="4649" w:type="dxa"/>
            <w:tcBorders>
              <w:top w:val="single" w:color="000000" w:sz="4" w:space="0"/>
              <w:left w:val="single" w:color="000000" w:sz="4" w:space="0"/>
              <w:bottom w:val="single" w:color="000000" w:sz="4" w:space="0"/>
              <w:right w:val="single" w:color="000000" w:sz="4" w:space="0"/>
            </w:tcBorders>
            <w:vAlign w:val="center"/>
          </w:tcPr>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一、PSH1/2</w:t>
            </w:r>
          </w:p>
          <w:p>
            <w:pPr>
              <w:widowControl/>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二、容车规格（mm）</w:t>
            </w:r>
          </w:p>
          <w:p>
            <w:pPr>
              <w:widowControl/>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长</w:t>
            </w:r>
            <w:r>
              <w:rPr>
                <w:rFonts w:hint="eastAsia" w:ascii="宋体" w:hAnsi="宋体" w:cs="宋体"/>
                <w:color w:val="000000" w:themeColor="text1"/>
                <w:sz w:val="24"/>
                <w:highlight w:val="none"/>
                <w14:textFill>
                  <w14:solidFill>
                    <w14:schemeClr w14:val="tx1"/>
                  </w14:solidFill>
                </w14:textFill>
              </w:rPr>
              <w:t>5</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00</w:t>
            </w:r>
            <w:r>
              <w:rPr>
                <w:rFonts w:ascii="MS Gothic" w:hAnsi="MS Gothic" w:eastAsia="MS Gothic" w:cs="MS Gothic"/>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宽</w:t>
            </w:r>
            <w:r>
              <w:rPr>
                <w:rFonts w:hint="eastAsia" w:ascii="宋体" w:hAnsi="宋体" w:cs="宋体"/>
                <w:color w:val="000000" w:themeColor="text1"/>
                <w:sz w:val="24"/>
                <w:highlight w:val="none"/>
                <w14:textFill>
                  <w14:solidFill>
                    <w14:schemeClr w14:val="tx1"/>
                  </w14:solidFill>
                </w14:textFill>
              </w:rPr>
              <w:t>19</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0</w:t>
            </w:r>
            <w:r>
              <w:rPr>
                <w:rFonts w:ascii="MS Gothic" w:hAnsi="MS Gothic" w:eastAsia="MS Gothic" w:cs="MS Gothic"/>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高</w:t>
            </w:r>
            <w:r>
              <w:rPr>
                <w:rFonts w:hint="eastAsia" w:ascii="宋体" w:hAnsi="宋体" w:cs="宋体"/>
                <w:color w:val="000000" w:themeColor="text1"/>
                <w:sz w:val="24"/>
                <w:highlight w:val="none"/>
                <w14:textFill>
                  <w14:solidFill>
                    <w14:schemeClr w14:val="tx1"/>
                  </w14:solidFill>
                </w14:textFill>
              </w:rPr>
              <w:t>1550及以上</w:t>
            </w:r>
          </w:p>
          <w:p>
            <w:pPr>
              <w:widowControl/>
              <w:adjustRightInd/>
              <w:jc w:val="left"/>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三、荷载2000KG</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14个车位</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rPr>
                <w:color w:val="000000" w:themeColor="text1"/>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要求</w:t>
            </w:r>
            <w:r>
              <w:rPr>
                <w:rFonts w:hint="eastAsia" w:hAnsi="宋体" w:cs="宋体"/>
                <w:bCs/>
                <w:color w:val="000000" w:themeColor="text1"/>
                <w:sz w:val="24"/>
                <w:highlight w:val="none"/>
                <w:lang w:eastAsia="zh-CN"/>
                <w14:textFill>
                  <w14:solidFill>
                    <w14:schemeClr w14:val="tx1"/>
                  </w14:solidFill>
                </w14:textFill>
              </w:rPr>
              <w:t>进车层容车</w:t>
            </w:r>
            <w:r>
              <w:rPr>
                <w:rFonts w:hint="eastAsia" w:hAnsi="宋体" w:cs="宋体"/>
                <w:bCs/>
                <w:color w:val="000000" w:themeColor="text1"/>
                <w:sz w:val="24"/>
                <w:highlight w:val="none"/>
                <w14:textFill>
                  <w14:solidFill>
                    <w14:schemeClr w14:val="tx1"/>
                  </w14:solidFill>
                </w14:textFill>
              </w:rPr>
              <w:t>高度不小于1750mm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24"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568" w:type="dxa"/>
            <w:tcBorders>
              <w:top w:val="single" w:color="000000" w:sz="4" w:space="0"/>
              <w:left w:val="single" w:color="000000" w:sz="4" w:space="0"/>
              <w:bottom w:val="single" w:color="000000" w:sz="4" w:space="0"/>
              <w:right w:val="single" w:color="000000" w:sz="4" w:space="0"/>
            </w:tcBorders>
            <w:vAlign w:val="center"/>
          </w:tcPr>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正二负二</w:t>
            </w:r>
          </w:p>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升降横移类</w:t>
            </w:r>
          </w:p>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机械停车设备</w:t>
            </w:r>
          </w:p>
        </w:tc>
        <w:tc>
          <w:tcPr>
            <w:tcW w:w="4649" w:type="dxa"/>
            <w:tcBorders>
              <w:top w:val="single" w:color="000000" w:sz="4" w:space="0"/>
              <w:left w:val="single" w:color="000000" w:sz="4" w:space="0"/>
              <w:bottom w:val="single" w:color="000000" w:sz="4" w:space="0"/>
              <w:right w:val="single" w:color="000000" w:sz="4" w:space="0"/>
            </w:tcBorders>
            <w:vAlign w:val="center"/>
          </w:tcPr>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一、PSH2/2</w:t>
            </w:r>
          </w:p>
          <w:p>
            <w:pPr>
              <w:widowControl/>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二、容车规格（mm）</w:t>
            </w:r>
          </w:p>
          <w:p>
            <w:pPr>
              <w:widowControl/>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长</w:t>
            </w:r>
            <w:r>
              <w:rPr>
                <w:rFonts w:hint="eastAsia" w:ascii="宋体" w:hAnsi="宋体" w:cs="宋体"/>
                <w:color w:val="000000" w:themeColor="text1"/>
                <w:sz w:val="24"/>
                <w:highlight w:val="none"/>
                <w14:textFill>
                  <w14:solidFill>
                    <w14:schemeClr w14:val="tx1"/>
                  </w14:solidFill>
                </w14:textFill>
              </w:rPr>
              <w:t>5</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00</w:t>
            </w:r>
            <w:r>
              <w:rPr>
                <w:rFonts w:ascii="MS Gothic" w:hAnsi="MS Gothic" w:eastAsia="MS Gothic" w:cs="MS Gothic"/>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宽</w:t>
            </w:r>
            <w:r>
              <w:rPr>
                <w:rFonts w:hint="eastAsia" w:ascii="宋体" w:hAnsi="宋体" w:cs="宋体"/>
                <w:color w:val="000000" w:themeColor="text1"/>
                <w:sz w:val="24"/>
                <w:highlight w:val="none"/>
                <w14:textFill>
                  <w14:solidFill>
                    <w14:schemeClr w14:val="tx1"/>
                  </w14:solidFill>
                </w14:textFill>
              </w:rPr>
              <w:t>19</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0</w:t>
            </w:r>
            <w:r>
              <w:rPr>
                <w:rFonts w:ascii="MS Gothic" w:hAnsi="MS Gothic" w:eastAsia="MS Gothic" w:cs="MS Gothic"/>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高</w:t>
            </w:r>
            <w:r>
              <w:rPr>
                <w:rFonts w:hint="eastAsia" w:ascii="宋体" w:hAnsi="宋体" w:cs="宋体"/>
                <w:color w:val="000000" w:themeColor="text1"/>
                <w:sz w:val="24"/>
                <w:highlight w:val="none"/>
                <w14:textFill>
                  <w14:solidFill>
                    <w14:schemeClr w14:val="tx1"/>
                  </w14:solidFill>
                </w14:textFill>
              </w:rPr>
              <w:t>1550及以上</w:t>
            </w:r>
          </w:p>
          <w:p>
            <w:pPr>
              <w:widowControl/>
              <w:adjustRightInd/>
              <w:jc w:val="left"/>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三、荷载2000KG</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60个车位</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rPr>
                <w:color w:val="000000" w:themeColor="text1"/>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要求</w:t>
            </w:r>
            <w:r>
              <w:rPr>
                <w:rFonts w:hint="eastAsia" w:hAnsi="宋体" w:cs="宋体"/>
                <w:bCs/>
                <w:color w:val="000000" w:themeColor="text1"/>
                <w:sz w:val="24"/>
                <w:highlight w:val="none"/>
                <w:lang w:eastAsia="zh-CN"/>
                <w14:textFill>
                  <w14:solidFill>
                    <w14:schemeClr w14:val="tx1"/>
                  </w14:solidFill>
                </w14:textFill>
              </w:rPr>
              <w:t>进车层容车</w:t>
            </w:r>
            <w:r>
              <w:rPr>
                <w:rFonts w:hint="eastAsia" w:hAnsi="宋体" w:cs="宋体"/>
                <w:bCs/>
                <w:color w:val="000000" w:themeColor="text1"/>
                <w:sz w:val="24"/>
                <w:highlight w:val="none"/>
                <w14:textFill>
                  <w14:solidFill>
                    <w14:schemeClr w14:val="tx1"/>
                  </w14:solidFill>
                </w14:textFill>
              </w:rPr>
              <w:t>高度不小于1750mm</w:t>
            </w:r>
          </w:p>
        </w:tc>
      </w:tr>
    </w:tbl>
    <w:p>
      <w:pPr>
        <w:spacing w:line="30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b/>
          <w:bCs/>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质量标准</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投标产品必须是符合国家技术规范和质量标准的合格产品，满足采购人的使用需求，并具有可靠的售后服务体系，质量可靠、使用安全。</w:t>
      </w:r>
    </w:p>
    <w:p>
      <w:pPr>
        <w:pStyle w:val="4"/>
        <w:keepNext/>
        <w:keepLines/>
        <w:pageBreakBefore w:val="0"/>
        <w:widowControl w:val="0"/>
        <w:kinsoku/>
        <w:wordWrap/>
        <w:overflowPunct/>
        <w:topLinePunct w:val="0"/>
        <w:autoSpaceDE/>
        <w:autoSpaceDN/>
        <w:bidi w:val="0"/>
        <w:adjustRightInd/>
        <w:snapToGrid/>
        <w:spacing w:before="0" w:after="0" w:line="360" w:lineRule="auto"/>
        <w:ind w:left="0"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供应商保证提供的产品是全新的、从未使用过的、采用优质材质制造。</w:t>
      </w:r>
    </w:p>
    <w:p>
      <w:pPr>
        <w:pStyle w:val="4"/>
        <w:keepNext/>
        <w:keepLines/>
        <w:pageBreakBefore w:val="0"/>
        <w:widowControl w:val="0"/>
        <w:kinsoku/>
        <w:wordWrap/>
        <w:overflowPunct/>
        <w:topLinePunct w:val="0"/>
        <w:autoSpaceDE/>
        <w:autoSpaceDN/>
        <w:bidi w:val="0"/>
        <w:adjustRightInd/>
        <w:snapToGrid/>
        <w:spacing w:before="0" w:after="0" w:line="360" w:lineRule="auto"/>
        <w:ind w:left="0"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供应商保证提供的产品符合国家相关标准</w:t>
      </w:r>
    </w:p>
    <w:p>
      <w:pPr>
        <w:pStyle w:val="4"/>
        <w:keepNext/>
        <w:keepLines/>
        <w:pageBreakBefore w:val="0"/>
        <w:widowControl w:val="0"/>
        <w:kinsoku/>
        <w:wordWrap/>
        <w:overflowPunct/>
        <w:topLinePunct w:val="0"/>
        <w:autoSpaceDE/>
        <w:autoSpaceDN/>
        <w:bidi w:val="0"/>
        <w:adjustRightInd/>
        <w:snapToGrid/>
        <w:spacing w:before="0" w:after="0" w:line="360" w:lineRule="auto"/>
        <w:ind w:left="0"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供应商保证提供的产品符合采购人提供的本合同的产品技术规格要求。</w:t>
      </w:r>
    </w:p>
    <w:p>
      <w:pPr>
        <w:pStyle w:val="4"/>
        <w:keepNext/>
        <w:keepLines/>
        <w:pageBreakBefore w:val="0"/>
        <w:widowControl w:val="0"/>
        <w:kinsoku/>
        <w:wordWrap/>
        <w:overflowPunct/>
        <w:topLinePunct w:val="0"/>
        <w:autoSpaceDE/>
        <w:autoSpaceDN/>
        <w:bidi w:val="0"/>
        <w:adjustRightInd/>
        <w:snapToGrid/>
        <w:spacing w:before="0" w:after="0" w:line="360" w:lineRule="auto"/>
        <w:ind w:left="0"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供应商保证其提供的产品中所有预装和为本项目安装的软件均为具有合法版权或使用权的正版软件且无质量瑕疵。</w:t>
      </w:r>
    </w:p>
    <w:p>
      <w:pPr>
        <w:pStyle w:val="4"/>
        <w:keepNext/>
        <w:keepLines/>
        <w:pageBreakBefore w:val="0"/>
        <w:widowControl w:val="0"/>
        <w:kinsoku/>
        <w:wordWrap/>
        <w:overflowPunct/>
        <w:topLinePunct w:val="0"/>
        <w:autoSpaceDE/>
        <w:autoSpaceDN/>
        <w:bidi w:val="0"/>
        <w:adjustRightInd/>
        <w:snapToGrid/>
        <w:spacing w:before="0" w:after="0" w:line="360" w:lineRule="auto"/>
        <w:ind w:left="0"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在质保期内，如遇产品</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（含软件）</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升级、改版，应免费提供更新、升级服务。</w:t>
      </w:r>
    </w:p>
    <w:p>
      <w:pPr>
        <w:pStyle w:val="4"/>
        <w:keepNext/>
        <w:keepLines/>
        <w:pageBreakBefore w:val="0"/>
        <w:widowControl w:val="0"/>
        <w:kinsoku/>
        <w:wordWrap/>
        <w:overflowPunct/>
        <w:topLinePunct w:val="0"/>
        <w:autoSpaceDE/>
        <w:autoSpaceDN/>
        <w:bidi w:val="0"/>
        <w:adjustRightInd/>
        <w:snapToGrid/>
        <w:spacing w:before="0" w:after="0" w:line="360" w:lineRule="auto"/>
        <w:ind w:left="0"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供应商必须对本项目的完整性负责，根据项目的实际需求，如有实现完善需求方案的配置，而在采购文件中未体现的请补充。</w:t>
      </w:r>
    </w:p>
    <w:p>
      <w:pPr>
        <w:pStyle w:val="4"/>
        <w:keepNext/>
        <w:keepLines/>
        <w:pageBreakBefore w:val="0"/>
        <w:widowControl w:val="0"/>
        <w:kinsoku/>
        <w:wordWrap/>
        <w:overflowPunct/>
        <w:topLinePunct w:val="0"/>
        <w:autoSpaceDE/>
        <w:autoSpaceDN/>
        <w:bidi w:val="0"/>
        <w:adjustRightInd/>
        <w:snapToGrid/>
        <w:spacing w:before="0" w:after="0" w:line="360" w:lineRule="auto"/>
        <w:ind w:left="0"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作为完整的配置方案，必须不遗漏、不重复，包括所有必须的软件、配件、接口。</w:t>
      </w:r>
    </w:p>
    <w:p>
      <w:pPr>
        <w:pStyle w:val="4"/>
        <w:keepNext/>
        <w:keepLines/>
        <w:pageBreakBefore w:val="0"/>
        <w:widowControl w:val="0"/>
        <w:kinsoku/>
        <w:wordWrap/>
        <w:overflowPunct/>
        <w:topLinePunct w:val="0"/>
        <w:autoSpaceDE/>
        <w:autoSpaceDN/>
        <w:bidi w:val="0"/>
        <w:adjustRightInd/>
        <w:snapToGrid/>
        <w:spacing w:before="0" w:after="0" w:line="360" w:lineRule="auto"/>
        <w:ind w:left="0"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经终验验收合格，正式交付使用，同时要求在整个履约过程中对供货、安装进度和实施质量落实有效管理，形成档案。</w:t>
      </w:r>
    </w:p>
    <w:p>
      <w:pPr>
        <w:spacing w:line="30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3、</w:t>
      </w:r>
      <w:r>
        <w:rPr>
          <w:rFonts w:hint="eastAsia" w:ascii="微软雅黑" w:hAnsi="微软雅黑" w:eastAsia="微软雅黑" w:cs="微软雅黑"/>
          <w:b/>
          <w:bCs/>
          <w:color w:val="000000" w:themeColor="text1"/>
          <w:sz w:val="24"/>
          <w:highlight w:val="none"/>
          <w:lang w:val="en-US"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验收：</w:t>
      </w:r>
      <w:r>
        <w:rPr>
          <w:rFonts w:hint="eastAsia" w:ascii="宋体" w:hAnsi="宋体" w:cs="宋体"/>
          <w:color w:val="000000" w:themeColor="text1"/>
          <w:sz w:val="24"/>
          <w:highlight w:val="none"/>
          <w14:textFill>
            <w14:solidFill>
              <w14:schemeClr w14:val="tx1"/>
            </w14:solidFill>
          </w14:textFill>
        </w:rPr>
        <w:t>通过国家技术监督局特检部门验收。</w:t>
      </w:r>
    </w:p>
    <w:p>
      <w:pPr>
        <w:spacing w:line="30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培训：</w:t>
      </w:r>
      <w:r>
        <w:rPr>
          <w:rFonts w:hint="eastAsia" w:ascii="宋体" w:hAnsi="宋体" w:cs="宋体"/>
          <w:color w:val="000000" w:themeColor="text1"/>
          <w:sz w:val="24"/>
          <w:highlight w:val="none"/>
          <w14:textFill>
            <w14:solidFill>
              <w14:schemeClr w14:val="tx1"/>
            </w14:solidFill>
          </w14:textFill>
        </w:rPr>
        <w:t>为</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培训必要的使用和日常管理人员。</w:t>
      </w:r>
    </w:p>
    <w:p>
      <w:pPr>
        <w:tabs>
          <w:tab w:val="left" w:pos="2340"/>
        </w:tabs>
        <w:adjustRightInd/>
        <w:spacing w:line="360" w:lineRule="auto"/>
        <w:ind w:firstLine="482"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5、</w:t>
      </w:r>
      <w:r>
        <w:rPr>
          <w:rFonts w:hint="eastAsia" w:ascii="宋体" w:hAnsi="宋体" w:cs="宋体"/>
          <w:b/>
          <w:bCs/>
          <w:color w:val="000000" w:themeColor="text1"/>
          <w:sz w:val="24"/>
          <w:highlight w:val="none"/>
          <w14:textFill>
            <w14:solidFill>
              <w14:schemeClr w14:val="tx1"/>
            </w14:solidFill>
          </w14:textFill>
        </w:rPr>
        <w:t>维护保养：</w:t>
      </w:r>
      <w:r>
        <w:rPr>
          <w:rFonts w:hint="eastAsia" w:ascii="宋体" w:hAnsi="宋体" w:cs="宋体"/>
          <w:color w:val="000000" w:themeColor="text1"/>
          <w:sz w:val="24"/>
          <w:highlight w:val="none"/>
          <w14:textFill>
            <w14:solidFill>
              <w14:schemeClr w14:val="tx1"/>
            </w14:solidFill>
          </w14:textFill>
        </w:rPr>
        <w:t>提供定期和应急维护保养。</w:t>
      </w:r>
    </w:p>
    <w:p>
      <w:pPr>
        <w:numPr>
          <w:ilvl w:val="0"/>
          <w:numId w:val="0"/>
        </w:numPr>
        <w:tabs>
          <w:tab w:val="left" w:pos="2340"/>
        </w:tabs>
        <w:adjustRightInd/>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无论是否签订维修保养合同，供应商均有义务就其提供的产品向</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提供相关服务,包括产品正常使用所需的备件、附件、易损件和专用工具的供货价格和供货保证。</w:t>
      </w:r>
    </w:p>
    <w:p>
      <w:pPr>
        <w:numPr>
          <w:ilvl w:val="0"/>
          <w:numId w:val="0"/>
        </w:numPr>
        <w:tabs>
          <w:tab w:val="left" w:pos="2340"/>
        </w:tabs>
        <w:adjustRightInd/>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质保期内提供免费现场服务并免费更换易损件及耗材，质保期满后提供终身有偿上门维护服务；供应商在响应文件中详细说明保质期内外提供的服务计划。</w:t>
      </w:r>
    </w:p>
    <w:p>
      <w:pPr>
        <w:numPr>
          <w:ilvl w:val="0"/>
          <w:numId w:val="0"/>
        </w:numPr>
        <w:tabs>
          <w:tab w:val="left" w:pos="2340"/>
        </w:tabs>
        <w:adjustRightInd/>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上述条款为采购中的实质性条款，任何投标承诺如果对上述条款不满足、不清晰或有所保留，否则均按无效投标处理。</w:t>
      </w:r>
    </w:p>
    <w:p>
      <w:pPr>
        <w:numPr>
          <w:ilvl w:val="0"/>
          <w:numId w:val="0"/>
        </w:numPr>
        <w:tabs>
          <w:tab w:val="left" w:pos="2340"/>
        </w:tabs>
        <w:adjustRightInd/>
        <w:spacing w:line="360" w:lineRule="auto"/>
        <w:ind w:firstLine="482" w:firstLineChars="20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6、工程概况</w:t>
      </w:r>
      <w:r>
        <w:rPr>
          <w:rFonts w:hint="eastAsia" w:ascii="宋体" w:hAnsi="宋体" w:cs="宋体"/>
          <w:b/>
          <w:bCs/>
          <w:color w:val="000000" w:themeColor="text1"/>
          <w:sz w:val="24"/>
          <w:highlight w:val="none"/>
          <w14:textFill>
            <w14:solidFill>
              <w14:schemeClr w14:val="tx1"/>
            </w14:solidFill>
          </w14:textFill>
        </w:rPr>
        <w:t>条件、土建情况介绍</w:t>
      </w:r>
    </w:p>
    <w:p>
      <w:pPr>
        <w:numPr>
          <w:ilvl w:val="0"/>
          <w:numId w:val="0"/>
        </w:numPr>
        <w:tabs>
          <w:tab w:val="left" w:pos="2340"/>
        </w:tabs>
        <w:adjustRightInd/>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安装场所：项目所在</w:t>
      </w:r>
      <w:r>
        <w:rPr>
          <w:rFonts w:hint="eastAsia" w:ascii="宋体" w:hAnsi="宋体" w:cs="宋体"/>
          <w:color w:val="000000" w:themeColor="text1"/>
          <w:sz w:val="24"/>
          <w:highlight w:val="none"/>
          <w:lang w:eastAsia="zh-CN"/>
          <w14:textFill>
            <w14:solidFill>
              <w14:schemeClr w14:val="tx1"/>
            </w14:solidFill>
          </w14:textFill>
        </w:rPr>
        <w:t>的</w:t>
      </w:r>
      <w:r>
        <w:rPr>
          <w:rFonts w:hint="eastAsia" w:ascii="宋体" w:hAnsi="宋体" w:cs="宋体"/>
          <w:color w:val="000000" w:themeColor="text1"/>
          <w:sz w:val="24"/>
          <w:highlight w:val="none"/>
          <w14:textFill>
            <w14:solidFill>
              <w14:schemeClr w14:val="tx1"/>
            </w14:solidFill>
          </w14:textFill>
        </w:rPr>
        <w:t>停车场</w:t>
      </w:r>
      <w:r>
        <w:rPr>
          <w:rFonts w:hint="eastAsia" w:ascii="宋体" w:hAnsi="宋体" w:cs="宋体"/>
          <w:color w:val="000000" w:themeColor="text1"/>
          <w:sz w:val="24"/>
          <w:highlight w:val="none"/>
          <w:lang w:eastAsia="zh-CN"/>
          <w14:textFill>
            <w14:solidFill>
              <w14:schemeClr w14:val="tx1"/>
            </w14:solidFill>
          </w14:textFill>
        </w:rPr>
        <w:t>土建施工已经完成</w:t>
      </w:r>
      <w:r>
        <w:rPr>
          <w:rFonts w:hint="eastAsia" w:ascii="宋体" w:hAnsi="宋体" w:cs="宋体"/>
          <w:color w:val="000000" w:themeColor="text1"/>
          <w:sz w:val="24"/>
          <w:highlight w:val="none"/>
          <w14:textFill>
            <w14:solidFill>
              <w14:schemeClr w14:val="tx1"/>
            </w14:solidFill>
          </w14:textFill>
        </w:rPr>
        <w:t>，机械车位总数 459 个。</w:t>
      </w:r>
    </w:p>
    <w:p>
      <w:pPr>
        <w:numPr>
          <w:ilvl w:val="0"/>
          <w:numId w:val="0"/>
        </w:numPr>
        <w:tabs>
          <w:tab w:val="left" w:pos="2340"/>
        </w:tabs>
        <w:adjustRightInd/>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动力电源</w:t>
      </w:r>
      <w:r>
        <w:rPr>
          <w:rFonts w:hint="eastAsia" w:ascii="宋体" w:hAnsi="宋体" w:cs="宋体"/>
          <w:color w:val="000000" w:themeColor="text1"/>
          <w:sz w:val="24"/>
          <w:highlight w:val="none"/>
          <w:lang w:val="en-US" w:eastAsia="zh-CN"/>
          <w14:textFill>
            <w14:solidFill>
              <w14:schemeClr w14:val="tx1"/>
            </w14:solidFill>
          </w14:textFill>
        </w:rPr>
        <w:t>由</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提供。</w:t>
      </w:r>
    </w:p>
    <w:p>
      <w:pPr>
        <w:numPr>
          <w:ilvl w:val="0"/>
          <w:numId w:val="0"/>
        </w:numPr>
        <w:tabs>
          <w:tab w:val="left" w:pos="2340"/>
        </w:tabs>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具体位置详见图纸。</w:t>
      </w:r>
    </w:p>
    <w:p>
      <w:pPr>
        <w:numPr>
          <w:ilvl w:val="0"/>
          <w:numId w:val="0"/>
        </w:numPr>
        <w:tabs>
          <w:tab w:val="left" w:pos="2340"/>
        </w:tabs>
        <w:adjustRightInd/>
        <w:spacing w:line="360" w:lineRule="auto"/>
        <w:ind w:firstLine="482" w:firstLineChars="200"/>
        <w:jc w:val="left"/>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7、采购范围</w:t>
      </w:r>
    </w:p>
    <w:p>
      <w:pPr>
        <w:spacing w:line="30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本次招标内容为建设所需的：</w:t>
      </w:r>
      <w:r>
        <w:rPr>
          <w:rFonts w:hint="eastAsia" w:ascii="宋体" w:hAnsi="宋体" w:eastAsia="宋体" w:cs="宋体"/>
          <w:color w:val="000000" w:themeColor="text1"/>
          <w:sz w:val="24"/>
          <w:highlight w:val="none"/>
          <w:lang w:eastAsia="zh-CN"/>
          <w14:textFill>
            <w14:solidFill>
              <w14:schemeClr w14:val="tx1"/>
            </w14:solidFill>
          </w14:textFill>
        </w:rPr>
        <w:t>机械式停车位总共459个</w:t>
      </w:r>
      <w:r>
        <w:rPr>
          <w:rFonts w:hint="eastAsia" w:ascii="宋体" w:hAnsi="宋体" w:cs="宋体"/>
          <w:color w:val="000000" w:themeColor="text1"/>
          <w:sz w:val="24"/>
          <w:highlight w:val="none"/>
          <w:lang w:eastAsia="zh-CN"/>
          <w14:textFill>
            <w14:solidFill>
              <w14:schemeClr w14:val="tx1"/>
            </w14:solidFill>
          </w14:textFill>
        </w:rPr>
        <w:t>的</w:t>
      </w:r>
      <w:r>
        <w:rPr>
          <w:rFonts w:hint="eastAsia" w:ascii="宋体" w:hAnsi="宋体" w:cs="宋体"/>
          <w:color w:val="000000" w:themeColor="text1"/>
          <w:sz w:val="24"/>
          <w:highlight w:val="none"/>
          <w14:textFill>
            <w14:solidFill>
              <w14:schemeClr w14:val="tx1"/>
            </w14:solidFill>
          </w14:textFill>
        </w:rPr>
        <w:t>供货，运输、现场安装、调试及负责通过政府特检部门验收合格。</w:t>
      </w:r>
    </w:p>
    <w:p>
      <w:pPr>
        <w:spacing w:line="360" w:lineRule="auto"/>
        <w:ind w:firstLine="480" w:firstLineChars="200"/>
        <w:rPr>
          <w:rStyle w:val="370"/>
          <w:rFonts w:hint="eastAsia" w:ascii="宋体" w:hAnsi="宋体" w:cs="宋体"/>
          <w:color w:val="000000" w:themeColor="text1"/>
          <w:sz w:val="24"/>
          <w:highlight w:val="none"/>
          <w14:textFill>
            <w14:solidFill>
              <w14:schemeClr w14:val="tx1"/>
            </w14:solidFill>
          </w14:textFill>
        </w:rPr>
      </w:pPr>
      <w:r>
        <w:rPr>
          <w:rStyle w:val="370"/>
          <w:rFonts w:hint="eastAsia" w:ascii="宋体" w:hAnsi="宋体" w:cs="宋体"/>
          <w:color w:val="000000" w:themeColor="text1"/>
          <w:sz w:val="24"/>
          <w:highlight w:val="none"/>
          <w:lang w:eastAsia="zh-CN"/>
          <w14:textFill>
            <w14:solidFill>
              <w14:schemeClr w14:val="tx1"/>
            </w14:solidFill>
          </w14:textFill>
        </w:rPr>
        <w:t>（</w:t>
      </w:r>
      <w:r>
        <w:rPr>
          <w:rStyle w:val="370"/>
          <w:rFonts w:hint="eastAsia" w:ascii="宋体" w:hAnsi="宋体" w:cs="宋体"/>
          <w:color w:val="000000" w:themeColor="text1"/>
          <w:sz w:val="24"/>
          <w:highlight w:val="none"/>
          <w:lang w:val="en-US" w:eastAsia="zh-CN"/>
          <w14:textFill>
            <w14:solidFill>
              <w14:schemeClr w14:val="tx1"/>
            </w14:solidFill>
          </w14:textFill>
        </w:rPr>
        <w:t>2</w:t>
      </w:r>
      <w:r>
        <w:rPr>
          <w:rStyle w:val="370"/>
          <w:rFonts w:hint="eastAsia" w:ascii="宋体" w:hAnsi="宋体" w:cs="宋体"/>
          <w:color w:val="000000" w:themeColor="text1"/>
          <w:sz w:val="24"/>
          <w:highlight w:val="none"/>
          <w:lang w:eastAsia="zh-CN"/>
          <w14:textFill>
            <w14:solidFill>
              <w14:schemeClr w14:val="tx1"/>
            </w14:solidFill>
          </w14:textFill>
        </w:rPr>
        <w:t>）</w:t>
      </w:r>
      <w:r>
        <w:rPr>
          <w:rStyle w:val="370"/>
          <w:rFonts w:hint="eastAsia" w:ascii="宋体" w:hAnsi="宋体" w:cs="宋体"/>
          <w:color w:val="000000" w:themeColor="text1"/>
          <w:sz w:val="24"/>
          <w:highlight w:val="none"/>
          <w14:textFill>
            <w14:solidFill>
              <w14:schemeClr w14:val="tx1"/>
            </w14:solidFill>
          </w14:textFill>
        </w:rPr>
        <w:t>供应商中标后需配合并协同主体设计单位完成设备的土建、消防、照明、通风、排水等专业的工程设计，并对各专业的设计施工图会签确认，实施时须派人员来场协助指导项目验收；设备的动力电源由</w:t>
      </w:r>
      <w:r>
        <w:rPr>
          <w:rStyle w:val="370"/>
          <w:rFonts w:hint="eastAsia" w:ascii="宋体" w:hAnsi="宋体" w:cs="宋体"/>
          <w:color w:val="000000" w:themeColor="text1"/>
          <w:sz w:val="24"/>
          <w:highlight w:val="none"/>
          <w:lang w:eastAsia="zh-CN"/>
          <w14:textFill>
            <w14:solidFill>
              <w14:schemeClr w14:val="tx1"/>
            </w14:solidFill>
          </w14:textFill>
        </w:rPr>
        <w:t>采购人</w:t>
      </w:r>
      <w:r>
        <w:rPr>
          <w:rStyle w:val="370"/>
          <w:rFonts w:hint="eastAsia" w:ascii="宋体" w:hAnsi="宋体" w:cs="宋体"/>
          <w:color w:val="000000" w:themeColor="text1"/>
          <w:sz w:val="24"/>
          <w:highlight w:val="none"/>
          <w14:textFill>
            <w14:solidFill>
              <w14:schemeClr w14:val="tx1"/>
            </w14:solidFill>
          </w14:textFill>
        </w:rPr>
        <w:t>提供，并负责引至每个区组停车设备的控制箱。</w:t>
      </w:r>
    </w:p>
    <w:p>
      <w:pPr>
        <w:spacing w:line="360" w:lineRule="auto"/>
        <w:ind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8、</w:t>
      </w:r>
      <w:r>
        <w:rPr>
          <w:rFonts w:hint="eastAsia" w:ascii="宋体" w:hAnsi="宋体" w:cs="宋体"/>
          <w:b/>
          <w:bCs/>
          <w:color w:val="000000" w:themeColor="text1"/>
          <w:sz w:val="24"/>
          <w:highlight w:val="none"/>
          <w14:textFill>
            <w14:solidFill>
              <w14:schemeClr w14:val="tx1"/>
            </w14:solidFill>
          </w14:textFill>
        </w:rPr>
        <w:t>技术标准和规范</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设备应按照国家相关标准及规范进行设计和制造。</w:t>
      </w:r>
    </w:p>
    <w:p>
      <w:pPr>
        <w:spacing w:line="360" w:lineRule="auto"/>
        <w:ind w:firstLine="232" w:firstLineChars="100"/>
        <w:rPr>
          <w:rFonts w:ascii="宋体" w:hAnsi="宋体" w:cs="宋体"/>
          <w:color w:val="000000" w:themeColor="text1"/>
          <w:spacing w:val="-4"/>
          <w:sz w:val="24"/>
          <w:highlight w:val="none"/>
          <w14:textFill>
            <w14:solidFill>
              <w14:schemeClr w14:val="tx1"/>
            </w14:solidFill>
          </w14:textFill>
        </w:rPr>
      </w:pPr>
      <w:r>
        <w:rPr>
          <w:rFonts w:hint="eastAsia" w:ascii="宋体" w:hAnsi="宋体" w:cs="宋体"/>
          <w:color w:val="000000" w:themeColor="text1"/>
          <w:spacing w:val="-4"/>
          <w:sz w:val="24"/>
          <w:highlight w:val="none"/>
          <w:lang w:val="en-US" w:eastAsia="zh-CN"/>
          <w14:textFill>
            <w14:solidFill>
              <w14:schemeClr w14:val="tx1"/>
            </w14:solidFill>
          </w14:textFill>
        </w:rPr>
        <w:t>（2）</w:t>
      </w:r>
      <w:r>
        <w:rPr>
          <w:rFonts w:hint="eastAsia" w:ascii="宋体" w:hAnsi="宋体" w:cs="宋体"/>
          <w:color w:val="000000" w:themeColor="text1"/>
          <w:spacing w:val="-4"/>
          <w:sz w:val="24"/>
          <w:highlight w:val="none"/>
          <w14:textFill>
            <w14:solidFill>
              <w14:schemeClr w14:val="tx1"/>
            </w14:solidFill>
          </w14:textFill>
        </w:rPr>
        <w:t>严格按规范要求执行，但规范并未对一切细节作出规定，也未充分引述有关标准和规范条文。因此除本条件之外，</w:t>
      </w:r>
      <w:r>
        <w:rPr>
          <w:rFonts w:hint="eastAsia" w:ascii="宋体" w:hAnsi="宋体" w:cs="宋体"/>
          <w:color w:val="000000" w:themeColor="text1"/>
          <w:spacing w:val="-4"/>
          <w:sz w:val="24"/>
          <w:highlight w:val="none"/>
          <w:lang w:eastAsia="zh-CN"/>
          <w14:textFill>
            <w14:solidFill>
              <w14:schemeClr w14:val="tx1"/>
            </w14:solidFill>
          </w14:textFill>
        </w:rPr>
        <w:t>供应商</w:t>
      </w:r>
      <w:r>
        <w:rPr>
          <w:rFonts w:hint="eastAsia" w:ascii="宋体" w:hAnsi="宋体" w:cs="宋体"/>
          <w:color w:val="000000" w:themeColor="text1"/>
          <w:spacing w:val="-4"/>
          <w:sz w:val="24"/>
          <w:highlight w:val="none"/>
          <w14:textFill>
            <w14:solidFill>
              <w14:schemeClr w14:val="tx1"/>
            </w14:solidFill>
          </w14:textFill>
        </w:rPr>
        <w:t>提供的设备均应符合要约邀请时已颁布的中国国家标准和国际标准的有关条款。</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采用其他标准和规范时，应在投标书中注明是采用何种标准（须提供所采用的国际和国家标准、规范以及所采用版本的有关资料），并应保证设备达到或优于本条件的要求。</w:t>
      </w:r>
    </w:p>
    <w:p>
      <w:pPr>
        <w:spacing w:line="30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9</w:t>
      </w:r>
      <w:r>
        <w:rPr>
          <w:rFonts w:hint="eastAsia" w:ascii="宋体" w:hAnsi="宋体" w:cs="宋体"/>
          <w:b/>
          <w:color w:val="000000" w:themeColor="text1"/>
          <w:sz w:val="24"/>
          <w:highlight w:val="none"/>
          <w14:textFill>
            <w14:solidFill>
              <w14:schemeClr w14:val="tx1"/>
            </w14:solidFill>
          </w14:textFill>
        </w:rPr>
        <w:t>、功能要求</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车库要求采用后退入库、前进出库方式； </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要求车库周围设置安全护拦等安全系统，防止有人员误入（车库四周安全维护设施的设计、施工及相关费用由中标单位负责）；</w:t>
      </w:r>
      <w:r>
        <w:rPr>
          <w:rFonts w:hint="eastAsia" w:ascii="宋体" w:hAnsi="宋体" w:cs="宋体"/>
          <w:color w:val="000000" w:themeColor="text1"/>
          <w:sz w:val="24"/>
          <w:highlight w:val="none"/>
          <w:lang w:val="en-US" w:eastAsia="zh-CN"/>
          <w14:textFill>
            <w14:solidFill>
              <w14:schemeClr w14:val="tx1"/>
            </w14:solidFill>
          </w14:textFill>
        </w:rPr>
        <w:t>为确保车库的长期稳定使用，机械停车设备与原土建结构衔接部位的安全、连接、加固等</w:t>
      </w:r>
      <w:r>
        <w:rPr>
          <w:rFonts w:hint="eastAsia" w:ascii="宋体" w:hAnsi="宋体" w:cs="宋体"/>
          <w:color w:val="000000" w:themeColor="text1"/>
          <w:sz w:val="24"/>
          <w:highlight w:val="none"/>
          <w14:textFill>
            <w14:solidFill>
              <w14:schemeClr w14:val="tx1"/>
            </w14:solidFill>
          </w14:textFill>
        </w:rPr>
        <w:t>的设计、施工及相关费用</w:t>
      </w:r>
      <w:r>
        <w:rPr>
          <w:rFonts w:hint="eastAsia" w:ascii="宋体" w:hAnsi="宋体" w:cs="宋体"/>
          <w:color w:val="000000" w:themeColor="text1"/>
          <w:sz w:val="24"/>
          <w:highlight w:val="none"/>
          <w:lang w:val="en-US" w:eastAsia="zh-CN"/>
          <w14:textFill>
            <w14:solidFill>
              <w14:schemeClr w14:val="tx1"/>
            </w14:solidFill>
          </w14:textFill>
        </w:rPr>
        <w:t>均</w:t>
      </w:r>
      <w:r>
        <w:rPr>
          <w:rFonts w:hint="eastAsia" w:ascii="宋体" w:hAnsi="宋体" w:cs="宋体"/>
          <w:color w:val="000000" w:themeColor="text1"/>
          <w:sz w:val="24"/>
          <w:highlight w:val="none"/>
          <w14:textFill>
            <w14:solidFill>
              <w14:schemeClr w14:val="tx1"/>
            </w14:solidFill>
          </w14:textFill>
        </w:rPr>
        <w:t>由中标单位负责；</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升降横移式停车设备应设置车辆外形尺寸检测装置，当有超长超高时，应发出报警信号；此时，相应系统不能进行存取车操作；</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当停车设备在运行中出现故障时，相应设备应能立即停止运行，并发出报警信号；</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停车设备的升降机机构应配置安全性能可靠的防坠装置、紧急制动装置；</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车库的操作盘应设紧急停机按钮，当出现紧急情况时按下紧急停机按钮，相应设备应立即停止运行；</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车库内必须设置机电连锁装置，人、车误入时，相应设备应立即全部自动停止运行；</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停车设备的升降系统必须运行平稳，严禁运行中出现载车板偏斜导致滑车甚至掉车；</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车库内设备运作时，噪音不应超过</w:t>
      </w:r>
      <w:r>
        <w:rPr>
          <w:rFonts w:hint="eastAsia" w:ascii="宋体" w:hAnsi="宋体" w:cs="宋体"/>
          <w:color w:val="000000" w:themeColor="text1"/>
          <w:sz w:val="24"/>
          <w:highlight w:val="none"/>
          <w:lang w:val="en-US" w:eastAsia="zh-CN"/>
          <w14:textFill>
            <w14:solidFill>
              <w14:schemeClr w14:val="tx1"/>
            </w14:solidFill>
          </w14:textFill>
        </w:rPr>
        <w:t>70</w:t>
      </w:r>
      <w:r>
        <w:rPr>
          <w:rFonts w:hint="eastAsia" w:ascii="宋体" w:hAnsi="宋体" w:cs="宋体"/>
          <w:color w:val="000000" w:themeColor="text1"/>
          <w:sz w:val="24"/>
          <w:highlight w:val="none"/>
          <w14:textFill>
            <w14:solidFill>
              <w14:schemeClr w14:val="tx1"/>
            </w14:solidFill>
          </w14:textFill>
        </w:rPr>
        <w:t>分贝；</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车库的控制系统操作界面应为友善的中文操作界面。</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系统设计使用寿命不短于25年（有关法律法规要求强制更换的部分除外）。</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光电检测功能必须保证车辆存放位置的准确。</w:t>
      </w:r>
    </w:p>
    <w:p>
      <w:pPr>
        <w:keepNext w:val="0"/>
        <w:keepLines w:val="0"/>
        <w:pageBreakBefore w:val="0"/>
        <w:widowControl w:val="0"/>
        <w:tabs>
          <w:tab w:val="left" w:pos="828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13</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在适当的位置设置存取车指示牌、操作说明牌、注意事项告示牌、最大容车尺寸告示牌、公司电话和24小时服务电话。</w:t>
      </w:r>
    </w:p>
    <w:p>
      <w:pPr>
        <w:spacing w:line="300" w:lineRule="auto"/>
        <w:ind w:firstLine="482" w:firstLineChars="200"/>
        <w:outlineLvl w:val="1"/>
        <w:rPr>
          <w:rFonts w:hint="eastAsia" w:ascii="宋体" w:hAnsi="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10、设备技术要求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1</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基本技术要求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①</w:t>
      </w:r>
      <w:r>
        <w:rPr>
          <w:rFonts w:hint="eastAsia" w:ascii="宋体" w:hAnsi="宋体" w:cs="宋体"/>
          <w:color w:val="000000" w:themeColor="text1"/>
          <w:sz w:val="24"/>
          <w:highlight w:val="none"/>
          <w14:textFill>
            <w14:solidFill>
              <w14:schemeClr w14:val="tx1"/>
            </w14:solidFill>
          </w14:textFill>
        </w:rPr>
        <w:t>应利用现有场地面积，做到结构紧凑、先进实用、安全可靠、运行平稳、操作简便、性能优良、管理方便。系统的设备配置及设计、制造、安装、调试、验收须符合下列国家标准、行业标准及有关技术规程规范：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JB/T8713－1998　　　机械式停车设备类别、型式与基本参数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JB/T8910－2010　　　升降横移机械式停车设备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GB50067－1997       汽车库、修车库、停车场设计防火规范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GB17907－1999　　　 机械式停车设备通用安全要求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GB50205－2002　　　 钢结构工程施工质量验收规范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②</w:t>
      </w:r>
      <w:r>
        <w:rPr>
          <w:rFonts w:hint="eastAsia" w:ascii="宋体" w:hAnsi="宋体" w:cs="宋体"/>
          <w:color w:val="000000" w:themeColor="text1"/>
          <w:sz w:val="24"/>
          <w:highlight w:val="none"/>
          <w14:textFill>
            <w14:solidFill>
              <w14:schemeClr w14:val="tx1"/>
            </w14:solidFill>
          </w14:textFill>
        </w:rPr>
        <w:t>若有部分进口件的有关国外规范及法规与中国国家规范相抵触，应以中国国家现行法规为准。若有涵盖上述各项的最新国家及行业标准、规范，按最新标准、规范执行。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③</w:t>
      </w:r>
      <w:r>
        <w:rPr>
          <w:rFonts w:hint="eastAsia" w:ascii="宋体" w:hAnsi="宋体" w:cs="宋体"/>
          <w:color w:val="000000" w:themeColor="text1"/>
          <w:sz w:val="24"/>
          <w:highlight w:val="none"/>
          <w14:textFill>
            <w14:solidFill>
              <w14:schemeClr w14:val="tx1"/>
            </w14:solidFill>
          </w14:textFill>
        </w:rPr>
        <w:t>设备控制面板旁边必须设有非自复式的急停开关，以红色突出，防止误按。一经按下，设备应立即停止运行并发出报警声，且需经人工设置后才能复位。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④</w:t>
      </w:r>
      <w:r>
        <w:rPr>
          <w:rFonts w:hint="eastAsia" w:ascii="宋体" w:hAnsi="宋体" w:cs="宋体"/>
          <w:color w:val="000000" w:themeColor="text1"/>
          <w:sz w:val="24"/>
          <w:highlight w:val="none"/>
          <w14:textFill>
            <w14:solidFill>
              <w14:schemeClr w14:val="tx1"/>
            </w14:solidFill>
          </w14:textFill>
        </w:rPr>
        <w:t>对钢架结构件、载车板的表面等装置须做到在生产制造过程中产品质量符合图样和标准，必须整平、整直，主要钢结构件的平直范围按GB17907-1999《机械式停车设备通用安全要求》标准执行。</w:t>
      </w:r>
    </w:p>
    <w:p>
      <w:pPr>
        <w:tabs>
          <w:tab w:val="left" w:pos="8280"/>
        </w:tabs>
        <w:autoSpaceDE w:val="0"/>
        <w:autoSpaceDN w:val="0"/>
        <w:spacing w:line="360" w:lineRule="auto"/>
        <w:ind w:firstLine="482" w:firstLineChars="200"/>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2</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设备技术规格及配置要求</w:t>
      </w:r>
    </w:p>
    <w:tbl>
      <w:tblPr>
        <w:tblStyle w:val="64"/>
        <w:tblpPr w:leftFromText="180" w:rightFromText="180" w:vertAnchor="text" w:horzAnchor="page" w:tblpX="1460" w:tblpY="370"/>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8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1540" w:type="dxa"/>
            <w:noWrap w:val="0"/>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8000" w:type="dxa"/>
            <w:noWrap w:val="0"/>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9540" w:type="dxa"/>
            <w:gridSpan w:val="2"/>
            <w:tcBorders>
              <w:right w:val="single" w:color="auto" w:sz="4" w:space="0"/>
            </w:tcBorders>
            <w:noWrap w:val="0"/>
            <w:vAlign w:val="center"/>
          </w:tcPr>
          <w:p>
            <w:pPr>
              <w:pStyle w:val="48"/>
              <w:ind w:firstLine="482"/>
              <w:rPr>
                <w:rFonts w:ascii="宋体" w:hAnsi="宋体" w:cs="宋体"/>
                <w:color w:val="000000" w:themeColor="text1"/>
                <w:szCs w:val="24"/>
                <w:highlight w:val="none"/>
                <w14:textFill>
                  <w14:solidFill>
                    <w14:schemeClr w14:val="tx1"/>
                  </w14:solidFill>
                </w14:textFill>
              </w:rPr>
            </w:pPr>
            <w:r>
              <w:rPr>
                <w:rFonts w:hint="eastAsia" w:ascii="宋体" w:hAnsi="宋体" w:cs="宋体"/>
                <w:b/>
                <w:bCs/>
                <w:color w:val="000000" w:themeColor="text1"/>
                <w:szCs w:val="24"/>
                <w:highlight w:val="none"/>
                <w14:textFill>
                  <w14:solidFill>
                    <w14:schemeClr w14:val="tx1"/>
                  </w14:solidFill>
                </w14:textFill>
              </w:rPr>
              <w:t>一、设计参数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8000" w:type="dxa"/>
            <w:noWrap w:val="0"/>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驱动方式：电机+链条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8000" w:type="dxa"/>
            <w:noWrap w:val="0"/>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停车总数量：</w:t>
            </w:r>
            <w:r>
              <w:rPr>
                <w:rFonts w:hint="eastAsia" w:ascii="宋体" w:hAnsi="宋体" w:cs="宋体"/>
                <w:color w:val="000000" w:themeColor="text1"/>
                <w:sz w:val="24"/>
                <w:highlight w:val="none"/>
                <w:u w:val="single"/>
                <w14:textFill>
                  <w14:solidFill>
                    <w14:schemeClr w14:val="tx1"/>
                  </w14:solidFill>
                </w14:textFill>
              </w:rPr>
              <w:t xml:space="preserve"> 459 </w:t>
            </w:r>
            <w:r>
              <w:rPr>
                <w:rFonts w:hint="eastAsia" w:ascii="宋体" w:hAnsi="宋体" w:cs="宋体"/>
                <w:color w:val="000000" w:themeColor="text1"/>
                <w:sz w:val="24"/>
                <w:highlight w:val="none"/>
                <w14:textFill>
                  <w14:solidFill>
                    <w14:schemeClr w14:val="tx1"/>
                  </w14:solidFill>
                </w14:textFill>
              </w:rPr>
              <w:t xml:space="preserve">个车位。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8000" w:type="dxa"/>
            <w:noWrap w:val="0"/>
            <w:vAlign w:val="center"/>
          </w:tcPr>
          <w:p>
            <w:pPr>
              <w:widowControl/>
              <w:adjustRightInd/>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容车规格（mm）：</w:t>
            </w:r>
          </w:p>
          <w:p>
            <w:pPr>
              <w:widowControl/>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二层升降横移类机械停车设备：长5200</w:t>
            </w:r>
            <w:r>
              <w:rPr>
                <w:rFonts w:hint="eastAsia" w:ascii="MS Gothic" w:hAnsi="MS Gothic" w:eastAsia="MS Gothic" w:cs="MS Gothic"/>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宽1950及以上</w:t>
            </w:r>
            <w:r>
              <w:rPr>
                <w:rFonts w:hint="eastAsia" w:ascii="MS Gothic" w:hAnsi="MS Gothic" w:eastAsia="MS Gothic" w:cs="MS Gothic"/>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高1550及以上；</w:t>
            </w:r>
          </w:p>
          <w:p>
            <w:pPr>
              <w:widowControl/>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三层升降横移类机械停车设备：长5</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00</w:t>
            </w:r>
            <w:r>
              <w:rPr>
                <w:rFonts w:hint="eastAsia" w:ascii="MS Gothic" w:hAnsi="MS Gothic" w:eastAsia="MS Gothic" w:cs="MS Gothic"/>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宽19</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0及以上</w:t>
            </w:r>
            <w:r>
              <w:rPr>
                <w:rFonts w:hint="eastAsia" w:ascii="MS Gothic" w:hAnsi="MS Gothic" w:eastAsia="MS Gothic" w:cs="MS Gothic"/>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高1550及以上</w:t>
            </w:r>
          </w:p>
          <w:p>
            <w:pPr>
              <w:widowControl/>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正二负一升降横移类机械停车设备：长5</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00</w:t>
            </w:r>
            <w:r>
              <w:rPr>
                <w:rFonts w:hint="eastAsia" w:ascii="MS Gothic" w:hAnsi="MS Gothic" w:eastAsia="MS Gothic" w:cs="MS Gothic"/>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宽19</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0及以上</w:t>
            </w:r>
            <w:r>
              <w:rPr>
                <w:rFonts w:hint="eastAsia" w:ascii="MS Gothic" w:hAnsi="MS Gothic" w:eastAsia="MS Gothic" w:cs="MS Gothic"/>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高1550及以上</w:t>
            </w:r>
          </w:p>
          <w:p>
            <w:pPr>
              <w:widowControl/>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正一负二升降横移类机械停车设备：长5</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00</w:t>
            </w:r>
            <w:r>
              <w:rPr>
                <w:rFonts w:hint="eastAsia" w:ascii="MS Gothic" w:hAnsi="MS Gothic" w:eastAsia="MS Gothic" w:cs="MS Gothic"/>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宽19</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0</w:t>
            </w:r>
            <w:r>
              <w:rPr>
                <w:rFonts w:ascii="宋体" w:hAnsi="宋体" w:cs="宋体"/>
                <w:color w:val="000000" w:themeColor="text1"/>
                <w:sz w:val="24"/>
                <w:highlight w:val="none"/>
                <w14:textFill>
                  <w14:solidFill>
                    <w14:schemeClr w14:val="tx1"/>
                  </w14:solidFill>
                </w14:textFill>
              </w:rPr>
              <w:t xml:space="preserve"> </w:t>
            </w:r>
            <w:r>
              <w:rPr>
                <w:rFonts w:hint="eastAsia" w:ascii="MS Gothic" w:hAnsi="MS Gothic" w:eastAsia="MS Gothic" w:cs="MS Gothic"/>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高1550及以上</w:t>
            </w:r>
          </w:p>
          <w:p>
            <w:pPr>
              <w:widowControl/>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正二负二升降横移类机械停车设备：长5</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00</w:t>
            </w:r>
            <w:r>
              <w:rPr>
                <w:rFonts w:hint="eastAsia" w:ascii="MS Gothic" w:hAnsi="MS Gothic" w:eastAsia="MS Gothic" w:cs="MS Gothic"/>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宽19</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0</w:t>
            </w:r>
            <w:r>
              <w:rPr>
                <w:rFonts w:ascii="宋体" w:hAnsi="宋体" w:cs="宋体"/>
                <w:color w:val="000000" w:themeColor="text1"/>
                <w:sz w:val="24"/>
                <w:highlight w:val="none"/>
                <w14:textFill>
                  <w14:solidFill>
                    <w14:schemeClr w14:val="tx1"/>
                  </w14:solidFill>
                </w14:textFill>
              </w:rPr>
              <w:t xml:space="preserve"> </w:t>
            </w:r>
            <w:r>
              <w:rPr>
                <w:rFonts w:hint="eastAsia" w:ascii="MS Gothic" w:hAnsi="MS Gothic" w:eastAsia="MS Gothic" w:cs="MS Gothic"/>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高1550及以上</w:t>
            </w:r>
          </w:p>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r>
              <w:rPr>
                <w:rFonts w:ascii="宋体" w:hAnsi="宋体" w:eastAsia="宋体" w:cs="宋体"/>
                <w:b w:val="0"/>
                <w:bCs w:val="0"/>
                <w:color w:val="000000" w:themeColor="text1"/>
                <w:sz w:val="24"/>
                <w:szCs w:val="24"/>
                <w:highlight w:val="none"/>
                <w:lang w:val="en-US"/>
                <w14:textFill>
                  <w14:solidFill>
                    <w14:schemeClr w14:val="tx1"/>
                  </w14:solidFill>
                </w14:textFill>
              </w:rPr>
              <w:t>上述</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要求</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进车层容车</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高度都不得小于1750mm，</w:t>
            </w:r>
            <w:r>
              <w:rPr>
                <w:rStyle w:val="965"/>
                <w:rFonts w:ascii="宋体" w:hAnsi="宋体" w:eastAsia="宋体" w:cs="宋体"/>
                <w:b w:val="0"/>
                <w:color w:val="000000" w:themeColor="text1"/>
                <w:sz w:val="24"/>
                <w:szCs w:val="24"/>
                <w:highlight w:val="none"/>
                <w:lang w:val="en-US"/>
                <w14:textFill>
                  <w14:solidFill>
                    <w14:schemeClr w14:val="tx1"/>
                  </w14:solidFill>
                </w14:textFill>
              </w:rPr>
              <w:t>具体设备</w:t>
            </w:r>
            <w:r>
              <w:rPr>
                <w:rStyle w:val="965"/>
                <w:rFonts w:hint="eastAsia" w:ascii="宋体" w:hAnsi="宋体" w:eastAsia="宋体" w:cs="宋体"/>
                <w:b w:val="0"/>
                <w:color w:val="000000" w:themeColor="text1"/>
                <w:sz w:val="24"/>
                <w:szCs w:val="24"/>
                <w:highlight w:val="none"/>
                <w:lang w:val="en-US"/>
                <w14:textFill>
                  <w14:solidFill>
                    <w14:schemeClr w14:val="tx1"/>
                  </w14:solidFill>
                </w14:textFill>
              </w:rPr>
              <w:t>规格厂家可自行优化设计，但容车尺寸不能小于上述要求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8000" w:type="dxa"/>
            <w:noWrap w:val="0"/>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升降速度≥4m/min</w:t>
            </w:r>
          </w:p>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横移速度≥8m/min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8000" w:type="dxa"/>
            <w:noWrap w:val="0"/>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设备运行噪音：≤</w:t>
            </w:r>
            <w:r>
              <w:rPr>
                <w:rFonts w:hint="eastAsia" w:ascii="宋体" w:hAnsi="宋体" w:cs="宋体"/>
                <w:color w:val="000000" w:themeColor="text1"/>
                <w:sz w:val="24"/>
                <w:highlight w:val="none"/>
                <w:lang w:eastAsia="zh-CN"/>
                <w14:textFill>
                  <w14:solidFill>
                    <w14:schemeClr w14:val="tx1"/>
                  </w14:solidFill>
                </w14:textFill>
              </w:rPr>
              <w:t>70dB</w:t>
            </w:r>
            <w:r>
              <w:rPr>
                <w:rFonts w:hint="eastAsia" w:ascii="宋体" w:hAnsi="宋体" w:cs="宋体"/>
                <w:color w:val="000000" w:themeColor="text1"/>
                <w:sz w:val="24"/>
                <w:highlight w:val="none"/>
                <w14:textFill>
                  <w14:solidFill>
                    <w14:schemeClr w14:val="tx1"/>
                  </w14:solidFill>
                </w14:textFill>
              </w:rPr>
              <w:t>，提供第三方机构出具的专项检测报告。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540" w:type="dxa"/>
            <w:gridSpan w:val="2"/>
            <w:noWrap w:val="0"/>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二、技术要求：</w:t>
            </w:r>
            <w:r>
              <w:rPr>
                <w:rFonts w:hint="eastAsia" w:ascii="宋体" w:hAnsi="宋体" w:cs="宋体"/>
                <w:color w:val="000000" w:themeColor="text1"/>
                <w:sz w:val="24"/>
                <w:highlight w:val="none"/>
                <w14:textFill>
                  <w14:solidFill>
                    <w14:schemeClr w14:val="tx1"/>
                  </w14:solidFill>
                </w14:textFill>
              </w:rPr>
              <w:t>机械部分、电气设备部分、安全防护系统等均应先进、可靠及符合有关规范法规。具体至少应包含以下各部分：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540" w:type="dxa"/>
            <w:tcBorders>
              <w:bottom w:val="double" w:color="auto" w:sz="4" w:space="0"/>
            </w:tcBorders>
            <w:noWrap w:val="0"/>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p>
        </w:tc>
        <w:tc>
          <w:tcPr>
            <w:tcW w:w="8000" w:type="dxa"/>
            <w:tcBorders>
              <w:bottom w:val="double" w:color="auto" w:sz="4" w:space="0"/>
            </w:tcBorders>
            <w:noWrap w:val="0"/>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量度单位：采用国际公制（SI制）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540" w:type="dxa"/>
            <w:tcBorders>
              <w:top w:val="double" w:color="auto" w:sz="4" w:space="0"/>
            </w:tcBorders>
            <w:noWrap w:val="0"/>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p>
        </w:tc>
        <w:tc>
          <w:tcPr>
            <w:tcW w:w="8000" w:type="dxa"/>
            <w:tcBorders>
              <w:top w:val="double" w:color="auto" w:sz="4" w:space="0"/>
            </w:tcBorders>
            <w:noWrap w:val="0"/>
            <w:vAlign w:val="center"/>
          </w:tcPr>
          <w:p>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钢结构部分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trPr>
        <w:tc>
          <w:tcPr>
            <w:tcW w:w="1540" w:type="dxa"/>
            <w:noWrap w:val="0"/>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w:t>
            </w:r>
          </w:p>
        </w:tc>
        <w:tc>
          <w:tcPr>
            <w:tcW w:w="8000" w:type="dxa"/>
            <w:noWrap w:val="0"/>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主要结构说明：机械停车设备梁柱结构要求采用框架跨梁结构；且其设计之主要结构不可与建筑结构之柱、梁、墙及天花板等作反力之主要支撑甚至取代，且力求结构美观、安全。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40" w:type="dxa"/>
            <w:noWrap w:val="0"/>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*2.2.2</w:t>
            </w:r>
          </w:p>
        </w:tc>
        <w:tc>
          <w:tcPr>
            <w:tcW w:w="8000" w:type="dxa"/>
            <w:noWrap w:val="0"/>
            <w:vAlign w:val="center"/>
          </w:tcPr>
          <w:p>
            <w:pPr>
              <w:tabs>
                <w:tab w:val="left" w:pos="7740"/>
              </w:tabs>
              <w:overflowPunct w:val="0"/>
              <w:spacing w:line="400" w:lineRule="exact"/>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钢结构不小于以下规格</w:t>
            </w:r>
            <w:r>
              <w:rPr>
                <w:rFonts w:hint="eastAsia" w:ascii="宋体" w:hAnsi="宋体" w:cs="宋体"/>
                <w:b/>
                <w:bCs/>
                <w:color w:val="000000" w:themeColor="text1"/>
                <w:sz w:val="24"/>
                <w:highlight w:val="none"/>
                <w:lang w:eastAsia="zh-CN"/>
                <w14:textFill>
                  <w14:solidFill>
                    <w14:schemeClr w14:val="tx1"/>
                  </w14:solidFill>
                </w14:textFill>
              </w:rPr>
              <w:t>，钢材需符合国家相关标准</w:t>
            </w:r>
            <w:r>
              <w:rPr>
                <w:rFonts w:hint="eastAsia" w:ascii="宋体" w:hAnsi="宋体" w:cs="宋体"/>
                <w:b/>
                <w:bCs/>
                <w:color w:val="000000" w:themeColor="text1"/>
                <w:sz w:val="24"/>
                <w:highlight w:val="none"/>
                <w14:textFill>
                  <w14:solidFill>
                    <w14:schemeClr w14:val="tx1"/>
                  </w14:solidFill>
                </w14:textFill>
              </w:rPr>
              <w:t>：</w:t>
            </w:r>
          </w:p>
          <w:p>
            <w:pPr>
              <w:tabs>
                <w:tab w:val="left" w:pos="7740"/>
              </w:tabs>
              <w:overflowPunct w:val="0"/>
              <w:spacing w:line="400" w:lineRule="exact"/>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二层：前立柱（方管）：150*150、后立柱（H钢）：100*100、前横梁（H钢）：300*150、后横梁（H钢）100*100、  纵梁（H钢）：250*125。</w:t>
            </w:r>
          </w:p>
          <w:p>
            <w:pPr>
              <w:tabs>
                <w:tab w:val="left" w:pos="7740"/>
              </w:tabs>
              <w:overflowPunct w:val="0"/>
              <w:spacing w:line="400" w:lineRule="exact"/>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三层：前立柱（方管）：200*150、后立柱（方管）：200*150、二层前/后横梁（H钢）：300*150、顶层前/后横梁（H钢）250*125、纵梁（H钢）：250*125。</w:t>
            </w:r>
          </w:p>
          <w:p>
            <w:pPr>
              <w:tabs>
                <w:tab w:val="left" w:pos="7740"/>
              </w:tabs>
              <w:overflowPunct w:val="0"/>
              <w:spacing w:line="400" w:lineRule="exact"/>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正二负一：前立柱（H钢）：150*150、后立柱（H钢）：100*100、前横梁（H钢）：300*150、后横梁（H钢）150*100、  纵梁（H钢）：100*100。</w:t>
            </w:r>
          </w:p>
          <w:p>
            <w:pPr>
              <w:pStyle w:val="5"/>
              <w:tabs>
                <w:tab w:val="left" w:pos="0"/>
                <w:tab w:val="clear" w:pos="432"/>
              </w:tabs>
              <w:ind w:left="0" w:leftChars="0" w:firstLine="0" w:firstLineChars="0"/>
              <w:rPr>
                <w:color w:val="000000" w:themeColor="text1"/>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正二负二：前立柱（H钢）：200*150、后立柱（H钢）：200*150、前横梁（H钢）：300*150、后横梁（H钢）300*150、  纵梁（H钢）：250*125。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2.2.3</w:t>
            </w:r>
          </w:p>
        </w:tc>
        <w:tc>
          <w:tcPr>
            <w:tcW w:w="8000" w:type="dxa"/>
            <w:noWrap w:val="0"/>
            <w:vAlign w:val="center"/>
          </w:tcPr>
          <w:p>
            <w:pP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采用型钢、螺栓之强度均应符合GB规定，且不应采用旧品或废料替代。为美观耐用，主结构应采用矩型钢和H型钢。钢结构应经过除锈、防腐</w:t>
            </w:r>
            <w:r>
              <w:rPr>
                <w:rFonts w:hint="eastAsia" w:ascii="宋体" w:hAnsi="宋体" w:cs="宋体"/>
                <w:color w:val="000000" w:themeColor="text1"/>
                <w:sz w:val="24"/>
                <w:highlight w:val="none"/>
                <w:lang w:eastAsia="zh-CN"/>
                <w14:textFill>
                  <w14:solidFill>
                    <w14:schemeClr w14:val="tx1"/>
                  </w14:solidFill>
                </w14:textFill>
              </w:rPr>
              <w:t>、防火</w:t>
            </w:r>
            <w:r>
              <w:rPr>
                <w:rFonts w:hint="eastAsia" w:ascii="宋体" w:hAnsi="宋体" w:cs="宋体"/>
                <w:color w:val="000000" w:themeColor="text1"/>
                <w:sz w:val="24"/>
                <w:highlight w:val="none"/>
                <w14:textFill>
                  <w14:solidFill>
                    <w14:schemeClr w14:val="tx1"/>
                  </w14:solidFill>
                </w14:textFill>
              </w:rPr>
              <w:t>处理。</w:t>
            </w:r>
            <w:r>
              <w:rPr>
                <w:rFonts w:hint="eastAsia" w:ascii="宋体" w:hAnsi="宋体" w:cs="宋体"/>
                <w:color w:val="000000" w:themeColor="text1"/>
                <w:sz w:val="24"/>
                <w:highlight w:val="none"/>
                <w:lang w:eastAsia="zh-CN"/>
                <w14:textFill>
                  <w14:solidFill>
                    <w14:schemeClr w14:val="tx1"/>
                  </w14:solidFill>
                </w14:textFill>
              </w:rPr>
              <w:t>轨道需为实心方钢，方钢尺寸不小于</w:t>
            </w:r>
            <w:r>
              <w:rPr>
                <w:rFonts w:hint="eastAsia" w:ascii="宋体" w:hAnsi="宋体" w:cs="宋体"/>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sz w:val="24"/>
                <w:szCs w:val="24"/>
                <w:highlight w:val="none"/>
                <w:lang w:val="en-US"/>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25mm，</w:t>
            </w:r>
            <w:r>
              <w:rPr>
                <w:rFonts w:hint="eastAsia" w:ascii="宋体" w:hAnsi="宋体" w:cs="宋体"/>
                <w:color w:val="000000" w:themeColor="text1"/>
                <w:sz w:val="24"/>
                <w:highlight w:val="none"/>
                <w:lang w:eastAsia="zh-CN"/>
                <w14:textFill>
                  <w14:solidFill>
                    <w14:schemeClr w14:val="tx1"/>
                  </w14:solidFill>
                </w14:textFill>
              </w:rPr>
              <w:t>且符合国家标准。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2.2.4</w:t>
            </w:r>
          </w:p>
        </w:tc>
        <w:tc>
          <w:tcPr>
            <w:tcW w:w="8000" w:type="dxa"/>
            <w:noWrap w:val="0"/>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组装要求：除整体结构调试完成后之钢构点焊及接地之外，现场安装设备不得焊接， 工地现场设备采用螺栓连接。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*2.2.5</w:t>
            </w:r>
          </w:p>
        </w:tc>
        <w:tc>
          <w:tcPr>
            <w:tcW w:w="8000" w:type="dxa"/>
            <w:noWrap w:val="0"/>
            <w:vAlign w:val="center"/>
          </w:tcPr>
          <w:p>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涂装要求：钢结构框架采用热浸镀锌工艺处理。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w:t>
            </w:r>
          </w:p>
        </w:tc>
        <w:tc>
          <w:tcPr>
            <w:tcW w:w="8000" w:type="dxa"/>
            <w:noWrap w:val="0"/>
            <w:vAlign w:val="center"/>
          </w:tcPr>
          <w:p>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载车板部分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w:t>
            </w:r>
          </w:p>
        </w:tc>
        <w:tc>
          <w:tcPr>
            <w:tcW w:w="8000" w:type="dxa"/>
            <w:noWrap w:val="0"/>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载车板应须具有足够强度和刚度，在整机使用寿命期内不变形，以保证停车放汽车的安全和存放汽车动作的正常进行。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2.3.2</w:t>
            </w:r>
          </w:p>
        </w:tc>
        <w:tc>
          <w:tcPr>
            <w:tcW w:w="8000" w:type="dxa"/>
            <w:noWrap w:val="0"/>
            <w:vAlign w:val="center"/>
          </w:tcPr>
          <w:p>
            <w:pPr>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载车板采用镀锌波纹板，波纹板厚度不小于2.0mm</w:t>
            </w:r>
            <w:r>
              <w:rPr>
                <w:rFonts w:hint="eastAsia" w:ascii="宋体" w:hAnsi="宋体" w:cs="宋体"/>
                <w:bCs/>
                <w:color w:val="000000" w:themeColor="text1"/>
                <w:sz w:val="24"/>
                <w:highlight w:val="none"/>
                <w:lang w:eastAsia="zh-CN"/>
                <w14:textFill>
                  <w14:solidFill>
                    <w14:schemeClr w14:val="tx1"/>
                  </w14:solidFill>
                </w14:textFill>
              </w:rPr>
              <w:t>。二层、三层升降横移类机械停车设备，载车板边梁厚度不小于3.25mm；正二负一、正一负二和正二负二升降横移类机械停车设备，载车板边梁厚度不小于</w:t>
            </w:r>
            <w:r>
              <w:rPr>
                <w:rFonts w:hint="eastAsia" w:ascii="宋体" w:hAnsi="宋体" w:cs="宋体"/>
                <w:bCs/>
                <w:color w:val="000000" w:themeColor="text1"/>
                <w:sz w:val="24"/>
                <w:highlight w:val="none"/>
                <w:lang w:val="en-US" w:eastAsia="zh-CN"/>
                <w14:textFill>
                  <w14:solidFill>
                    <w14:schemeClr w14:val="tx1"/>
                  </w14:solidFill>
                </w14:textFill>
              </w:rPr>
              <w:t>3.75</w:t>
            </w:r>
            <w:r>
              <w:rPr>
                <w:rFonts w:hint="eastAsia" w:ascii="宋体" w:hAnsi="宋体" w:cs="宋体"/>
                <w:bCs/>
                <w:color w:val="000000" w:themeColor="text1"/>
                <w:sz w:val="24"/>
                <w:highlight w:val="none"/>
                <w:lang w:eastAsia="zh-CN"/>
                <w14:textFill>
                  <w14:solidFill>
                    <w14:schemeClr w14:val="tx1"/>
                  </w14:solidFill>
                </w14:textFill>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2.3.3</w:t>
            </w:r>
          </w:p>
        </w:tc>
        <w:tc>
          <w:tcPr>
            <w:tcW w:w="8000" w:type="dxa"/>
            <w:noWrap w:val="0"/>
            <w:vAlign w:val="center"/>
          </w:tcPr>
          <w:p>
            <w:pP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1、为方便车辆进出，载车板的内宽尺寸需为停车宽度尺寸加</w:t>
            </w:r>
            <w:r>
              <w:rPr>
                <w:rFonts w:hint="eastAsia" w:ascii="宋体" w:hAnsi="宋体" w:cs="宋体"/>
                <w:bCs/>
                <w:color w:val="000000" w:themeColor="text1"/>
                <w:sz w:val="24"/>
                <w:highlight w:val="none"/>
                <w:lang w:val="en-US" w:eastAsia="zh-CN"/>
                <w14:textFill>
                  <w14:solidFill>
                    <w14:schemeClr w14:val="tx1"/>
                  </w14:solidFill>
                </w14:textFill>
              </w:rPr>
              <w:t>不少于</w:t>
            </w:r>
            <w:r>
              <w:rPr>
                <w:rFonts w:hint="eastAsia" w:ascii="宋体" w:hAnsi="宋体" w:cs="宋体"/>
                <w:bCs/>
                <w:color w:val="000000" w:themeColor="text1"/>
                <w:sz w:val="24"/>
                <w:highlight w:val="none"/>
                <w14:textFill>
                  <w14:solidFill>
                    <w14:schemeClr w14:val="tx1"/>
                  </w14:solidFill>
                </w14:textFill>
              </w:rPr>
              <w:t>100mm， 如停放宽1900mm车辆内宽不得小于2000mm，车板的出入口边梁必须提供倒角处理，提供实物图片说明。</w:t>
            </w:r>
          </w:p>
          <w:p>
            <w:pPr>
              <w:rPr>
                <w:rFonts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2、为方便人员进出，载车板之间的间隙需小于40mm，车板边梁不小于140mm，提供实物图片说明。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2.3.4</w:t>
            </w:r>
          </w:p>
        </w:tc>
        <w:tc>
          <w:tcPr>
            <w:tcW w:w="8000" w:type="dxa"/>
            <w:noWrap w:val="0"/>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为其停车之便利性，载车板须有轮胎阻车装置。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w:t>
            </w:r>
          </w:p>
        </w:tc>
        <w:tc>
          <w:tcPr>
            <w:tcW w:w="8000" w:type="dxa"/>
            <w:noWrap w:val="0"/>
            <w:vAlign w:val="center"/>
          </w:tcPr>
          <w:p>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驱动传动部分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2.4.1</w:t>
            </w:r>
          </w:p>
        </w:tc>
        <w:tc>
          <w:tcPr>
            <w:tcW w:w="8000" w:type="dxa"/>
            <w:noWrap w:val="0"/>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驱动电机：所选电机车库专用品牌电机，拥有驱动、减速、制动三合一功能。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2.4.2</w:t>
            </w:r>
          </w:p>
        </w:tc>
        <w:tc>
          <w:tcPr>
            <w:tcW w:w="8000" w:type="dxa"/>
            <w:noWrap w:val="0"/>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每个车板应单独配备一个电机。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w:t>
            </w:r>
          </w:p>
        </w:tc>
        <w:tc>
          <w:tcPr>
            <w:tcW w:w="8000" w:type="dxa"/>
            <w:noWrap w:val="0"/>
            <w:vAlign w:val="center"/>
          </w:tcPr>
          <w:p>
            <w:pPr>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升降驱动传动：升降主机的驱动链考虑安全性，须采用双排链条，规格不小于16A，或者单排链条规格不小于20A；传动提升链采用四个吊点独立提升，规格不小于16A；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w:t>
            </w:r>
            <w:r>
              <w:rPr>
                <w:rFonts w:hint="eastAsia" w:ascii="宋体" w:hAnsi="宋体" w:cs="宋体"/>
                <w:color w:val="000000" w:themeColor="text1"/>
                <w:sz w:val="24"/>
                <w:highlight w:val="none"/>
                <w:lang w:val="en-US" w:eastAsia="zh-CN"/>
                <w14:textFill>
                  <w14:solidFill>
                    <w14:schemeClr w14:val="tx1"/>
                  </w14:solidFill>
                </w14:textFill>
              </w:rPr>
              <w:t>4</w:t>
            </w:r>
          </w:p>
        </w:tc>
        <w:tc>
          <w:tcPr>
            <w:tcW w:w="8000" w:type="dxa"/>
            <w:noWrap w:val="0"/>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横移驱动传动：为保证传动稳定，横移装置要求为同轴传动，设置应力求传动简单，安全可靠，保持低故障率及低损耗率。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2.5</w:t>
            </w:r>
          </w:p>
        </w:tc>
        <w:tc>
          <w:tcPr>
            <w:tcW w:w="8000" w:type="dxa"/>
            <w:noWrap w:val="0"/>
            <w:vAlign w:val="center"/>
          </w:tcPr>
          <w:p>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控制、操作部分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p>
        </w:tc>
        <w:tc>
          <w:tcPr>
            <w:tcW w:w="8000" w:type="dxa"/>
            <w:noWrap w:val="0"/>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控制系统：PLC系统</w:t>
            </w:r>
            <w:r>
              <w:rPr>
                <w:rFonts w:hint="eastAsia" w:ascii="宋体" w:hAnsi="宋体" w:cs="宋体"/>
                <w:i/>
                <w:i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必须配置以太网接口。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2.5.2</w:t>
            </w:r>
          </w:p>
        </w:tc>
        <w:tc>
          <w:tcPr>
            <w:tcW w:w="8000" w:type="dxa"/>
            <w:noWrap w:val="0"/>
            <w:vAlign w:val="center"/>
          </w:tcPr>
          <w:p>
            <w:pPr>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操作系统：数字按键操作盒，带液晶中文显示。操作装置应设置在人及汽车的出入状况可用目视清楚的观察了望的位置。</w:t>
            </w:r>
            <w:r>
              <w:rPr>
                <w:rFonts w:hint="eastAsia" w:ascii="宋体" w:hAnsi="宋体" w:cs="宋体"/>
                <w:color w:val="000000" w:themeColor="text1"/>
                <w:sz w:val="24"/>
                <w:highlight w:val="none"/>
                <w:lang w:val="en-US" w:eastAsia="zh-CN"/>
                <w14:textFill>
                  <w14:solidFill>
                    <w14:schemeClr w14:val="tx1"/>
                  </w14:solidFill>
                </w14:textFill>
              </w:rPr>
              <w:t>操作系统应简单明了、直接、便于管理人员使用。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2.5.3</w:t>
            </w:r>
          </w:p>
        </w:tc>
        <w:tc>
          <w:tcPr>
            <w:tcW w:w="8000" w:type="dxa"/>
            <w:noWrap w:val="0"/>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电源标准：双路供电可互相切换</w:t>
            </w:r>
          </w:p>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电源电压：三相五线380V</w:t>
            </w:r>
          </w:p>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电源频率：50Hz</w:t>
            </w:r>
          </w:p>
          <w:p>
            <w:pPr>
              <w:rPr>
                <w:rFonts w:ascii="宋体" w:hAnsi="宋体" w:cs="宋体"/>
                <w:vanish/>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电压波动：±10%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2.5.4</w:t>
            </w:r>
          </w:p>
        </w:tc>
        <w:tc>
          <w:tcPr>
            <w:tcW w:w="8000" w:type="dxa"/>
            <w:noWrap w:val="0"/>
            <w:vAlign w:val="center"/>
          </w:tcPr>
          <w:p>
            <w:pPr>
              <w:rPr>
                <w:rFonts w:ascii="宋体" w:hAnsi="宋体" w:cs="宋体"/>
                <w:vanish/>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设备电器元件必须设置有效的保护装置，光电开关采用知名品牌产品。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*2.6</w:t>
            </w:r>
          </w:p>
        </w:tc>
        <w:tc>
          <w:tcPr>
            <w:tcW w:w="8000" w:type="dxa"/>
            <w:noWrap w:val="0"/>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安全防护部分：</w:t>
            </w:r>
            <w:r>
              <w:rPr>
                <w:rFonts w:hint="eastAsia" w:ascii="宋体" w:hAnsi="宋体" w:cs="宋体"/>
                <w:color w:val="000000" w:themeColor="text1"/>
                <w:sz w:val="24"/>
                <w:highlight w:val="none"/>
                <w14:textFill>
                  <w14:solidFill>
                    <w14:schemeClr w14:val="tx1"/>
                  </w14:solidFill>
                </w14:textFill>
              </w:rPr>
              <w:t>（至少应包括下列各项）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w:t>
            </w:r>
          </w:p>
        </w:tc>
        <w:tc>
          <w:tcPr>
            <w:tcW w:w="8000" w:type="dxa"/>
            <w:noWrap w:val="0"/>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运转中警告装置：当停车设备运转时，即启动红色旋转警示灯及电子蜂鸣器，警告使用者、行人及来车注意；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2.6.2</w:t>
            </w:r>
          </w:p>
        </w:tc>
        <w:tc>
          <w:tcPr>
            <w:tcW w:w="8000" w:type="dxa"/>
            <w:noWrap w:val="0"/>
            <w:vAlign w:val="center"/>
          </w:tcPr>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紧急停止按钮装置：操作屏上设有紧急停止键，当遭遇特殊紧急状况时，按下此键，则所有机械即刻动作停止，同时状况若未解除前，则停车设备不会起动；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2.6.3</w:t>
            </w:r>
          </w:p>
        </w:tc>
        <w:tc>
          <w:tcPr>
            <w:tcW w:w="8000" w:type="dxa"/>
            <w:noWrap w:val="0"/>
            <w:vAlign w:val="center"/>
          </w:tcPr>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欠逆相保护装置：控制回路对于动力电源之欠相、反相时，必须予以检出，并禁止马达运转，以确保整体设备之安全；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2.6.4</w:t>
            </w:r>
          </w:p>
        </w:tc>
        <w:tc>
          <w:tcPr>
            <w:tcW w:w="8000" w:type="dxa"/>
            <w:noWrap w:val="0"/>
            <w:vAlign w:val="center"/>
          </w:tcPr>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电力过负荷保护装置：当马达之电力使用超过负荷时，电源过负荷保护装置启动，电源立刻切断，保护马达主机不至受损及车板上辆之安全；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2.6.5</w:t>
            </w:r>
          </w:p>
        </w:tc>
        <w:tc>
          <w:tcPr>
            <w:tcW w:w="8000" w:type="dxa"/>
            <w:noWrap w:val="0"/>
            <w:vAlign w:val="center"/>
          </w:tcPr>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光电开关：当有异物侵入设备区时，所有机械动作停止，以确保进出中人、车安全，同时紧急按钮未解除及在状况若未解除前设备不会启动；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2.6.6</w:t>
            </w:r>
          </w:p>
        </w:tc>
        <w:tc>
          <w:tcPr>
            <w:tcW w:w="8000" w:type="dxa"/>
            <w:noWrap w:val="0"/>
            <w:vAlign w:val="center"/>
          </w:tcPr>
          <w:p>
            <w:pPr>
              <w:ind w:firstLine="0" w:firstLineChars="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限制车辆超长功能：当超长车辆停入设备时，限制所有机械动作并发出警报；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2.6.7</w:t>
            </w:r>
          </w:p>
        </w:tc>
        <w:tc>
          <w:tcPr>
            <w:tcW w:w="8000" w:type="dxa"/>
            <w:noWrap w:val="0"/>
            <w:vAlign w:val="center"/>
          </w:tcPr>
          <w:p>
            <w:pPr>
              <w:ind w:firstLine="0" w:firstLineChars="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车轮止档：限制车辆停放位置，以免造成上升时碰撞设备，并可防止车辆滑动情形；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2.6.8</w:t>
            </w:r>
          </w:p>
        </w:tc>
        <w:tc>
          <w:tcPr>
            <w:tcW w:w="8000" w:type="dxa"/>
            <w:noWrap w:val="0"/>
            <w:vAlign w:val="center"/>
          </w:tcPr>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误启动保护：在安全电眼动作或按下紧急停止按钮时，状况若未解除前，则停车设备不得启动；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2.6.9</w:t>
            </w:r>
          </w:p>
        </w:tc>
        <w:tc>
          <w:tcPr>
            <w:tcW w:w="8000" w:type="dxa"/>
            <w:noWrap w:val="0"/>
            <w:vAlign w:val="center"/>
          </w:tcPr>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连锁装置：应设定升降及横移定位相互连锁，以防升降车板与横移车板产生重叠或碰撞之情形，另应有可自动检出行程时间异常时可令马达断电停止之措施；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2.6.10</w:t>
            </w:r>
          </w:p>
        </w:tc>
        <w:tc>
          <w:tcPr>
            <w:tcW w:w="8000" w:type="dxa"/>
            <w:noWrap w:val="0"/>
            <w:vAlign w:val="center"/>
          </w:tcPr>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防坠落装置：上层载车板必须设置四点防坠落装置，当升降车板上升至上定位时，以防止车板因意外松、脱、断链及马达煞车失灵时造成车板坠下，确保车辆及人员之安全。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2.6.11</w:t>
            </w:r>
          </w:p>
        </w:tc>
        <w:tc>
          <w:tcPr>
            <w:tcW w:w="8000" w:type="dxa"/>
            <w:noWrap w:val="0"/>
            <w:vAlign w:val="center"/>
          </w:tcPr>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防止横移逾限装置：应设置设横移止档块，防止横移逾限而损坏设备或车辆。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2.6.12</w:t>
            </w:r>
          </w:p>
        </w:tc>
        <w:tc>
          <w:tcPr>
            <w:tcW w:w="8000" w:type="dxa"/>
            <w:noWrap w:val="0"/>
            <w:vAlign w:val="center"/>
          </w:tcPr>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横移车位行程定位开关：应设置横移行程定位开关，确保横移定位。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2.6.13</w:t>
            </w:r>
          </w:p>
        </w:tc>
        <w:tc>
          <w:tcPr>
            <w:tcW w:w="8000" w:type="dxa"/>
            <w:noWrap w:val="0"/>
            <w:vAlign w:val="center"/>
          </w:tcPr>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上、下行程定位开关：应设有上、下限行程定位开关，确保升降车板之上升、下降准确定位。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2.6.14</w:t>
            </w:r>
          </w:p>
        </w:tc>
        <w:tc>
          <w:tcPr>
            <w:tcW w:w="8000" w:type="dxa"/>
            <w:noWrap w:val="0"/>
            <w:vAlign w:val="center"/>
          </w:tcPr>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上、下越程极限开关：当车板上升或下降时，设置越程极限开关，避免升降车板时发生过行程之危险。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2.6.15</w:t>
            </w:r>
          </w:p>
        </w:tc>
        <w:tc>
          <w:tcPr>
            <w:tcW w:w="8000" w:type="dxa"/>
            <w:noWrap w:val="0"/>
            <w:vAlign w:val="center"/>
          </w:tcPr>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断电制动装置：横移或升降车板之电动机电源中断时，电磁刹车器立即启动，防止继续行走及避免升降车板于静止时自然下降。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2.6.16</w:t>
            </w:r>
          </w:p>
        </w:tc>
        <w:tc>
          <w:tcPr>
            <w:tcW w:w="8000" w:type="dxa"/>
            <w:noWrap w:val="0"/>
            <w:vAlign w:val="center"/>
          </w:tcPr>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警示标语及操作说明：机械停车区之适当位置操作说明牌、注意事项告示牌、最大容车尺寸告示牌、倒车入库或前进入库标示牌、公司电话和24小时服务热线电话等</w:t>
            </w:r>
          </w:p>
        </w:tc>
      </w:tr>
    </w:tbl>
    <w:p>
      <w:pPr>
        <w:spacing w:line="360" w:lineRule="auto"/>
        <w:ind w:firstLine="480" w:firstLineChars="200"/>
        <w:outlineLvl w:val="2"/>
        <w:rPr>
          <w:rFonts w:hint="eastAsia" w:ascii="宋体" w:hAnsi="宋体" w:cs="宋体"/>
          <w:b w:val="0"/>
          <w:bCs/>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r>
        <w:rPr>
          <w:rFonts w:hint="eastAsia" w:ascii="宋体" w:hAnsi="宋体" w:cs="宋体"/>
          <w:b w:val="0"/>
          <w:bCs/>
          <w:color w:val="000000" w:themeColor="text1"/>
          <w:sz w:val="24"/>
          <w:highlight w:val="none"/>
          <w:lang w:eastAsia="zh-CN"/>
          <w14:textFill>
            <w14:solidFill>
              <w14:schemeClr w14:val="tx1"/>
            </w14:solidFill>
          </w14:textFill>
        </w:rPr>
        <w:t>（1）上表中所有的技术项目，供应商须逐一列出点对点响应。</w:t>
      </w:r>
    </w:p>
    <w:p>
      <w:pPr>
        <w:spacing w:line="360" w:lineRule="auto"/>
        <w:ind w:firstLine="480" w:firstLineChars="200"/>
        <w:outlineLvl w:val="2"/>
        <w:rPr>
          <w:rFonts w:hint="eastAsia" w:ascii="宋体" w:hAnsi="宋体" w:cs="宋体"/>
          <w:b w:val="0"/>
          <w:bCs/>
          <w:color w:val="000000" w:themeColor="text1"/>
          <w:sz w:val="24"/>
          <w:highlight w:val="none"/>
          <w:lang w:eastAsia="zh-CN"/>
          <w14:textFill>
            <w14:solidFill>
              <w14:schemeClr w14:val="tx1"/>
            </w14:solidFill>
          </w14:textFill>
        </w:rPr>
      </w:pP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2</w:t>
      </w:r>
      <w:r>
        <w:rPr>
          <w:rFonts w:hint="eastAsia" w:ascii="宋体" w:hAnsi="宋体" w:cs="宋体"/>
          <w:b w:val="0"/>
          <w:bCs/>
          <w:color w:val="000000" w:themeColor="text1"/>
          <w:sz w:val="24"/>
          <w:highlight w:val="none"/>
          <w:lang w:eastAsia="zh-CN"/>
          <w14:textFill>
            <w14:solidFill>
              <w14:schemeClr w14:val="tx1"/>
            </w14:solidFill>
          </w14:textFill>
        </w:rPr>
        <w:t>）供应商可根据系统设计要求和各自的技术优势，在</w:t>
      </w:r>
      <w:r>
        <w:rPr>
          <w:rFonts w:hint="eastAsia" w:ascii="宋体" w:hAnsi="宋体" w:cs="宋体"/>
          <w:b w:val="0"/>
          <w:bCs/>
          <w:color w:val="000000" w:themeColor="text1"/>
          <w:sz w:val="24"/>
          <w:highlight w:val="none"/>
          <w:lang w:val="en-US" w:eastAsia="zh-CN"/>
          <w14:textFill>
            <w14:solidFill>
              <w14:schemeClr w14:val="tx1"/>
            </w14:solidFill>
          </w14:textFill>
        </w:rPr>
        <w:t>场地实际条件及</w:t>
      </w:r>
      <w:r>
        <w:rPr>
          <w:rFonts w:hint="eastAsia" w:ascii="宋体" w:hAnsi="宋体" w:cs="宋体"/>
          <w:b w:val="0"/>
          <w:bCs/>
          <w:color w:val="000000" w:themeColor="text1"/>
          <w:sz w:val="24"/>
          <w:highlight w:val="none"/>
          <w:lang w:eastAsia="zh-CN"/>
          <w14:textFill>
            <w14:solidFill>
              <w14:schemeClr w14:val="tx1"/>
            </w14:solidFill>
          </w14:textFill>
        </w:rPr>
        <w:t>图示平面范围内灵活布置车位系统。车库外形尺寸可根据设计要求据实调整。要求整个系统结构紧凑、先进实用、安全可靠、运行平稳、操作简便、性能优良、管理方便、故障率低、耐久性好。</w:t>
      </w:r>
    </w:p>
    <w:p>
      <w:pPr>
        <w:spacing w:line="360" w:lineRule="auto"/>
        <w:ind w:firstLine="480" w:firstLineChars="200"/>
        <w:outlineLvl w:val="2"/>
        <w:rPr>
          <w:rFonts w:hint="eastAsia" w:ascii="宋体" w:hAnsi="宋体" w:cs="宋体"/>
          <w:b w:val="0"/>
          <w:bCs/>
          <w:color w:val="000000" w:themeColor="text1"/>
          <w:sz w:val="24"/>
          <w:highlight w:val="none"/>
          <w:lang w:eastAsia="zh-CN"/>
          <w14:textFill>
            <w14:solidFill>
              <w14:schemeClr w14:val="tx1"/>
            </w14:solidFill>
          </w14:textFill>
        </w:rPr>
      </w:pP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3</w:t>
      </w:r>
      <w:r>
        <w:rPr>
          <w:rFonts w:hint="eastAsia" w:ascii="宋体" w:hAnsi="宋体" w:cs="宋体"/>
          <w:b w:val="0"/>
          <w:bCs/>
          <w:color w:val="000000" w:themeColor="text1"/>
          <w:sz w:val="24"/>
          <w:highlight w:val="none"/>
          <w:lang w:eastAsia="zh-CN"/>
          <w14:textFill>
            <w14:solidFill>
              <w14:schemeClr w14:val="tx1"/>
            </w14:solidFill>
          </w14:textFill>
        </w:rPr>
        <w:t>）供应商所提供的系统应保证设计完善无误、原材料具有足够的强度、机械电气性能可靠、使用维护简单的产品。</w:t>
      </w:r>
    </w:p>
    <w:p>
      <w:pPr>
        <w:spacing w:line="360" w:lineRule="auto"/>
        <w:ind w:firstLine="482" w:firstLineChars="200"/>
        <w:outlineLvl w:val="2"/>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4</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根据车位分组等设计条件提供电源点，机械车库本体用的动力、控制由</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设计、施工安装，</w:t>
      </w:r>
      <w:r>
        <w:rPr>
          <w:rFonts w:hint="eastAsia" w:ascii="宋体" w:hAnsi="宋体" w:cs="宋体"/>
          <w:color w:val="000000" w:themeColor="text1"/>
          <w:sz w:val="24"/>
          <w:highlight w:val="none"/>
          <w:lang w:val="en-US" w:eastAsia="zh-CN"/>
          <w14:textFill>
            <w14:solidFill>
              <w14:schemeClr w14:val="tx1"/>
            </w14:solidFill>
          </w14:textFill>
        </w:rPr>
        <w:t>供应商应将消防等需采购人配合</w:t>
      </w:r>
      <w:r>
        <w:rPr>
          <w:rFonts w:hint="eastAsia" w:ascii="宋体" w:hAnsi="宋体" w:cs="宋体"/>
          <w:color w:val="000000" w:themeColor="text1"/>
          <w:sz w:val="24"/>
          <w:highlight w:val="none"/>
          <w14:textFill>
            <w14:solidFill>
              <w14:schemeClr w14:val="tx1"/>
            </w14:solidFill>
          </w14:textFill>
        </w:rPr>
        <w:t>要求</w:t>
      </w:r>
      <w:r>
        <w:rPr>
          <w:rFonts w:hint="eastAsia" w:ascii="宋体" w:hAnsi="宋体" w:cs="宋体"/>
          <w:color w:val="000000" w:themeColor="text1"/>
          <w:sz w:val="24"/>
          <w:highlight w:val="none"/>
          <w:lang w:val="en-US" w:eastAsia="zh-CN"/>
          <w14:textFill>
            <w14:solidFill>
              <w14:schemeClr w14:val="tx1"/>
            </w14:solidFill>
          </w14:textFill>
        </w:rPr>
        <w:t>及时</w:t>
      </w:r>
      <w:r>
        <w:rPr>
          <w:rFonts w:hint="eastAsia" w:ascii="宋体" w:hAnsi="宋体" w:cs="宋体"/>
          <w:color w:val="000000" w:themeColor="text1"/>
          <w:sz w:val="24"/>
          <w:highlight w:val="none"/>
          <w14:textFill>
            <w14:solidFill>
              <w14:schemeClr w14:val="tx1"/>
            </w14:solidFill>
          </w14:textFill>
        </w:rPr>
        <w:t>提交</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2" w:firstLineChars="200"/>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5</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技术文件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①</w:t>
      </w:r>
      <w:r>
        <w:rPr>
          <w:rFonts w:hint="eastAsia" w:ascii="宋体" w:hAnsi="宋体" w:cs="宋体"/>
          <w:color w:val="000000" w:themeColor="text1"/>
          <w:sz w:val="24"/>
          <w:highlight w:val="none"/>
          <w14:textFill>
            <w14:solidFill>
              <w14:schemeClr w14:val="tx1"/>
            </w14:solidFill>
          </w14:textFill>
        </w:rPr>
        <w:t>供应商中标在竣工时应提供给</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有关设备的技术说明书、使用维护手册。</w:t>
      </w:r>
    </w:p>
    <w:p>
      <w:pPr>
        <w:pStyle w:val="723"/>
        <w:spacing w:line="360" w:lineRule="auto"/>
        <w:ind w:firstLine="482"/>
        <w:rPr>
          <w:rFonts w:cs="宋体"/>
          <w:b/>
          <w:bCs/>
          <w:color w:val="000000" w:themeColor="text1"/>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11、</w:t>
      </w:r>
      <w:r>
        <w:rPr>
          <w:rFonts w:hint="eastAsia" w:cs="宋体"/>
          <w:b/>
          <w:bCs/>
          <w:color w:val="000000" w:themeColor="text1"/>
          <w:highlight w:val="none"/>
          <w14:textFill>
            <w14:solidFill>
              <w14:schemeClr w14:val="tx1"/>
            </w14:solidFill>
          </w14:textFill>
        </w:rPr>
        <w:t>售后服务要求</w:t>
      </w:r>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供应商须对合同中规定的主要设备提供至少硬件、软件</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以履约验收确认合格后之日起，</w:t>
      </w:r>
      <w:r>
        <w:rPr>
          <w:rFonts w:hint="eastAsia" w:ascii="宋体" w:hAnsi="宋体" w:cs="宋体"/>
          <w:color w:val="000000" w:themeColor="text1"/>
          <w:sz w:val="24"/>
          <w:highlight w:val="none"/>
          <w14:textFill>
            <w14:solidFill>
              <w14:schemeClr w14:val="tx1"/>
            </w14:solidFill>
          </w14:textFill>
        </w:rPr>
        <w:t>如厂家出厂质保期超过</w:t>
      </w:r>
      <w:r>
        <w:rPr>
          <w:rFonts w:hint="eastAsia" w:ascii="宋体" w:hAnsi="宋体" w:cs="宋体"/>
          <w:color w:val="000000" w:themeColor="text1"/>
          <w:sz w:val="24"/>
          <w:highlight w:val="none"/>
          <w:lang w:val="en-US" w:eastAsia="zh-CN"/>
          <w14:textFill>
            <w14:solidFill>
              <w14:schemeClr w14:val="tx1"/>
            </w14:solidFill>
          </w14:textFill>
        </w:rPr>
        <w:t>优于2</w:t>
      </w:r>
      <w:r>
        <w:rPr>
          <w:rFonts w:hint="eastAsia" w:ascii="宋体" w:hAnsi="宋体" w:cs="宋体"/>
          <w:color w:val="000000" w:themeColor="text1"/>
          <w:sz w:val="24"/>
          <w:highlight w:val="none"/>
          <w14:textFill>
            <w14:solidFill>
              <w14:schemeClr w14:val="tx1"/>
            </w14:solidFill>
          </w14:textFill>
        </w:rPr>
        <w:t>年的，以厂家质保期为准）。中标后提供厂商授权或者售后服务承诺的免费质保期。</w:t>
      </w:r>
    </w:p>
    <w:p>
      <w:pPr>
        <w:snapToGrid w:val="0"/>
        <w:spacing w:line="360" w:lineRule="auto"/>
        <w:ind w:firstLine="48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免费质保期起算节点为项目验收确认合格后之日起，质保期内承诺均提供上门维护、系统做好免费升级服务； 供应商针对本项目具有完善的售后服务方案，有较强的本地化服务能力。对于各类故障必须提供7*24小时立即响应服务，在</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小时内提出解决方案并做出明确安排，若远程不能解决问题，须在</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小时内派人到现场上门服务，排除故障，并分析故障原因，提出书面故障分析报告及防范措施，不间断服务直至故障解除。不能修复的，必须采取无偿提供备品、备件或备机等措施，以保证采购人的正常使用。质保期内配件更换费用包含在投标报价中</w:t>
      </w:r>
      <w:r>
        <w:rPr>
          <w:rFonts w:hint="eastAsia" w:ascii="宋体" w:hAnsi="宋体" w:cs="宋体"/>
          <w:color w:val="000000" w:themeColor="text1"/>
          <w:sz w:val="24"/>
          <w:highlight w:val="none"/>
          <w:lang w:eastAsia="zh-CN"/>
          <w14:textFill>
            <w14:solidFill>
              <w14:schemeClr w14:val="tx1"/>
            </w14:solidFill>
          </w14:textFill>
        </w:rPr>
        <w:t>。</w:t>
      </w:r>
    </w:p>
    <w:p>
      <w:pPr>
        <w:snapToGrid w:val="0"/>
        <w:spacing w:line="360" w:lineRule="auto"/>
        <w:ind w:firstLine="480" w:firstLineChars="200"/>
        <w:jc w:val="left"/>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（3）质保期前6个月内，提供技术人员驻场服务，人员数量不少于1人。</w:t>
      </w:r>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在质保期内，供应商有责任解决所提供的投标设备和软件系统的任何问题，在质保期满后，当需要时，供应商仍须对因投标设备本身的固有缺陷和瑕疵承担相应责任。</w:t>
      </w:r>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在质保期内的工作应包括对所有设备常规检查和维护</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每个月不少于2次的常规检查和维护</w:t>
      </w:r>
      <w:r>
        <w:rPr>
          <w:rFonts w:hint="eastAsia" w:ascii="宋体" w:hAnsi="宋体" w:cs="宋体"/>
          <w:color w:val="000000" w:themeColor="text1"/>
          <w:sz w:val="24"/>
          <w:highlight w:val="none"/>
          <w14:textFill>
            <w14:solidFill>
              <w14:schemeClr w14:val="tx1"/>
            </w14:solidFill>
          </w14:textFill>
        </w:rPr>
        <w:t>，具体的操作程序和内容须在投标时说明。</w:t>
      </w:r>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质保期内，为更好的做好项目的服务工作，供应商提供专门的技术工程师，负责项目的运行维护，具体人员由采购人在中标人项目实施人员中指定。</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12</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供货</w:t>
      </w:r>
      <w:r>
        <w:rPr>
          <w:rFonts w:hint="eastAsia" w:ascii="宋体" w:hAnsi="宋体" w:cs="宋体"/>
          <w:b/>
          <w:color w:val="000000" w:themeColor="text1"/>
          <w:sz w:val="24"/>
          <w:highlight w:val="none"/>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pacing w:val="-4"/>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pacing w:val="-4"/>
          <w:sz w:val="24"/>
          <w:highlight w:val="none"/>
          <w14:textFill>
            <w14:solidFill>
              <w14:schemeClr w14:val="tx1"/>
            </w14:solidFill>
          </w14:textFill>
        </w:rPr>
        <w:t>供应商须提供清单上列明的设备及附件、备件，并负责运输、吊装、搬运、安装、成品保护及售后服务。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供应商所提供的产品，必须是在工程中使用过的技术成熟的产品，不允许使用未成熟的或新研制开发的产品。并提供该产品通过国际或国内权威检测机构的证明材料。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供应商须说明其在设备生产集成过程中，所采用的主要原配件、设备等的名称及制造厂家。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设备应按有关标准生产和检验，确保产品质量。供应商应在投标文件中详尽说明设备的技术先进水平和执行的标准。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供应商应提供设备的详细技术性能、功能和指标、工作原理、结构（容量、尺寸、重量）和安装要求等，并应有厂家文件予以证明。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施工组织方案及项目管理班子人员配置情况，提供相关人员资质证书。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售后服务，明确产品的质保年限、售后维修保养计划承诺书。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供应商生产设备一览表及生产技术水平简介。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13</w:t>
      </w:r>
      <w:r>
        <w:rPr>
          <w:rFonts w:hint="eastAsia" w:ascii="宋体" w:hAnsi="宋体" w:cs="宋体"/>
          <w:b/>
          <w:color w:val="000000" w:themeColor="text1"/>
          <w:sz w:val="24"/>
          <w:highlight w:val="none"/>
          <w14:textFill>
            <w14:solidFill>
              <w14:schemeClr w14:val="tx1"/>
            </w14:solidFill>
          </w14:textFill>
        </w:rPr>
        <w:t>、检验与测试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法定或授权的检验机构将按国家有关法规或条例及本标书的有关规定，对设备进行监督检验。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pacing w:val="-4"/>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pacing w:val="-4"/>
          <w:sz w:val="24"/>
          <w:highlight w:val="none"/>
          <w14:textFill>
            <w14:solidFill>
              <w14:schemeClr w14:val="tx1"/>
            </w14:solidFill>
          </w14:textFill>
        </w:rPr>
        <w:t>制造单位在取得授权的检验机构确认设备质量符合本</w:t>
      </w:r>
      <w:r>
        <w:rPr>
          <w:rFonts w:hint="eastAsia" w:ascii="宋体" w:hAnsi="宋体" w:cs="宋体"/>
          <w:color w:val="000000" w:themeColor="text1"/>
          <w:spacing w:val="-4"/>
          <w:sz w:val="24"/>
          <w:highlight w:val="none"/>
          <w:lang w:val="en-US" w:eastAsia="zh-CN"/>
          <w14:textFill>
            <w14:solidFill>
              <w14:schemeClr w14:val="tx1"/>
            </w14:solidFill>
          </w14:textFill>
        </w:rPr>
        <w:t>采购文件</w:t>
      </w:r>
      <w:r>
        <w:rPr>
          <w:rFonts w:hint="eastAsia" w:ascii="宋体" w:hAnsi="宋体" w:cs="宋体"/>
          <w:color w:val="000000" w:themeColor="text1"/>
          <w:spacing w:val="-4"/>
          <w:sz w:val="24"/>
          <w:highlight w:val="none"/>
          <w14:textFill>
            <w14:solidFill>
              <w14:schemeClr w14:val="tx1"/>
            </w14:solidFill>
          </w14:textFill>
        </w:rPr>
        <w:t>规定标准和图样要求后，方可进行设备移交。</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14</w:t>
      </w:r>
      <w:r>
        <w:rPr>
          <w:rFonts w:hint="eastAsia" w:ascii="宋体" w:hAnsi="宋体" w:cs="宋体"/>
          <w:b/>
          <w:color w:val="000000" w:themeColor="text1"/>
          <w:sz w:val="24"/>
          <w:highlight w:val="none"/>
          <w14:textFill>
            <w14:solidFill>
              <w14:schemeClr w14:val="tx1"/>
            </w14:solidFill>
          </w14:textFill>
        </w:rPr>
        <w:t>、安装、调试与试运行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应派有经验的和具有上岗资格的技术人员到现场安装，经调试合格直到设备正常运行，其费用由</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负担，计入投标总价。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在开始安装以前，所有技术协议必须提供完整。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应提供全部调试过程中所需的特殊工具、润滑剂和易损件，并自带专用仪器仪表。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应在现场对设备进行调试和试运行，以检验其设计制作操作性和功能等方面的情况。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试运行应在</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或</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指定监理工程师的监督下进行，内容如下：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①</w:t>
      </w:r>
      <w:r>
        <w:rPr>
          <w:rFonts w:hint="eastAsia" w:ascii="宋体" w:hAnsi="宋体" w:cs="宋体"/>
          <w:color w:val="000000" w:themeColor="text1"/>
          <w:sz w:val="24"/>
          <w:highlight w:val="none"/>
          <w14:textFill>
            <w14:solidFill>
              <w14:schemeClr w14:val="tx1"/>
            </w14:solidFill>
          </w14:textFill>
        </w:rPr>
        <w:t>进行设备的所有功能性运行；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②</w:t>
      </w:r>
      <w:r>
        <w:rPr>
          <w:rFonts w:hint="eastAsia" w:ascii="宋体" w:hAnsi="宋体" w:cs="宋体"/>
          <w:color w:val="000000" w:themeColor="text1"/>
          <w:sz w:val="24"/>
          <w:highlight w:val="none"/>
          <w14:textFill>
            <w14:solidFill>
              <w14:schemeClr w14:val="tx1"/>
            </w14:solidFill>
          </w14:textFill>
        </w:rPr>
        <w:t>运行和检测安全装置。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提供设备安装调试及保养维修服务的施工服务队伍要有中标设备制造商确认的资格，具备相应的专业知识及技术水平，熟悉所提供停车设备产品的技术性能、指标、安装工艺、维修保养知识，有足够能力承担停车设备的安装工程，并能保证安装工艺达到停车设备运行合格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应设有施工负责人，负责安装工程的计划、协调、人力调配及工程质量管理等工作以及技术指导、质量监督、安装现场测量、安装质量检查认可等。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进入工作现场的队伍要遵守现场的规章制度。施工队伍要建立安全责任制，确保施工过程不出现人身安全事故、火灾事故和施工机械质量造成的停车设备损坏事故。否则，一切责任由供应商承担。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施工队伍需对停车设备的安装现场进行检查，确认土建结构是否符合安装要求。</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rFonts w:ascii="宋体" w:hAnsi="宋体" w:cs="宋体"/>
          <w:color w:val="000000" w:themeColor="text1"/>
          <w:spacing w:val="-2"/>
          <w:sz w:val="24"/>
          <w:highlight w:val="none"/>
          <w14:textFill>
            <w14:solidFill>
              <w14:schemeClr w14:val="tx1"/>
            </w14:solidFill>
          </w14:textFill>
        </w:rPr>
      </w:pPr>
      <w:r>
        <w:rPr>
          <w:rFonts w:hint="eastAsia" w:ascii="宋体" w:hAnsi="宋体" w:cs="宋体"/>
          <w:color w:val="000000" w:themeColor="text1"/>
          <w:spacing w:val="-2"/>
          <w:sz w:val="24"/>
          <w:highlight w:val="none"/>
          <w:lang w:val="en-US" w:eastAsia="zh-CN"/>
          <w14:textFill>
            <w14:solidFill>
              <w14:schemeClr w14:val="tx1"/>
            </w14:solidFill>
          </w14:textFill>
        </w:rPr>
        <w:t>（10）</w:t>
      </w:r>
      <w:r>
        <w:rPr>
          <w:rFonts w:hint="eastAsia" w:ascii="宋体" w:hAnsi="宋体" w:cs="宋体"/>
          <w:color w:val="000000" w:themeColor="text1"/>
          <w:spacing w:val="-2"/>
          <w:sz w:val="24"/>
          <w:highlight w:val="none"/>
          <w14:textFill>
            <w14:solidFill>
              <w14:schemeClr w14:val="tx1"/>
            </w14:solidFill>
          </w14:textFill>
        </w:rPr>
        <w:t>安装开始前，</w:t>
      </w:r>
      <w:r>
        <w:rPr>
          <w:rFonts w:hint="eastAsia" w:ascii="宋体" w:hAnsi="宋体" w:cs="宋体"/>
          <w:color w:val="000000" w:themeColor="text1"/>
          <w:spacing w:val="-2"/>
          <w:sz w:val="24"/>
          <w:highlight w:val="none"/>
          <w:lang w:eastAsia="zh-CN"/>
          <w14:textFill>
            <w14:solidFill>
              <w14:schemeClr w14:val="tx1"/>
            </w14:solidFill>
          </w14:textFill>
        </w:rPr>
        <w:t>采购人</w:t>
      </w:r>
      <w:r>
        <w:rPr>
          <w:rFonts w:hint="eastAsia" w:ascii="宋体" w:hAnsi="宋体" w:cs="宋体"/>
          <w:color w:val="000000" w:themeColor="text1"/>
          <w:spacing w:val="-2"/>
          <w:sz w:val="24"/>
          <w:highlight w:val="none"/>
          <w14:textFill>
            <w14:solidFill>
              <w14:schemeClr w14:val="tx1"/>
            </w14:solidFill>
          </w14:textFill>
        </w:rPr>
        <w:t>确保已具备进场条件，包括提供临时水电。在确定施工条件已具备后</w:t>
      </w:r>
      <w:r>
        <w:rPr>
          <w:rFonts w:hint="eastAsia" w:ascii="宋体" w:hAnsi="宋体" w:cs="宋体"/>
          <w:color w:val="000000" w:themeColor="text1"/>
          <w:spacing w:val="-2"/>
          <w:sz w:val="24"/>
          <w:highlight w:val="none"/>
          <w:lang w:val="en-US" w:eastAsia="zh-CN"/>
          <w14:textFill>
            <w14:solidFill>
              <w14:schemeClr w14:val="tx1"/>
            </w14:solidFill>
          </w14:textFill>
        </w:rPr>
        <w:t>3</w:t>
      </w:r>
      <w:r>
        <w:rPr>
          <w:rFonts w:hint="eastAsia" w:ascii="宋体" w:hAnsi="宋体" w:cs="宋体"/>
          <w:color w:val="000000" w:themeColor="text1"/>
          <w:spacing w:val="-2"/>
          <w:sz w:val="24"/>
          <w:highlight w:val="none"/>
          <w14:textFill>
            <w14:solidFill>
              <w14:schemeClr w14:val="tx1"/>
            </w14:solidFill>
          </w14:textFill>
        </w:rPr>
        <w:t>天内施工队伍与</w:t>
      </w:r>
      <w:r>
        <w:rPr>
          <w:rFonts w:hint="eastAsia" w:ascii="宋体" w:hAnsi="宋体" w:cs="宋体"/>
          <w:color w:val="000000" w:themeColor="text1"/>
          <w:spacing w:val="-2"/>
          <w:sz w:val="24"/>
          <w:highlight w:val="none"/>
          <w:lang w:eastAsia="zh-CN"/>
          <w14:textFill>
            <w14:solidFill>
              <w14:schemeClr w14:val="tx1"/>
            </w14:solidFill>
          </w14:textFill>
        </w:rPr>
        <w:t>采购人</w:t>
      </w:r>
      <w:r>
        <w:rPr>
          <w:rFonts w:hint="eastAsia" w:ascii="宋体" w:hAnsi="宋体" w:cs="宋体"/>
          <w:color w:val="000000" w:themeColor="text1"/>
          <w:spacing w:val="-2"/>
          <w:sz w:val="24"/>
          <w:highlight w:val="none"/>
          <w14:textFill>
            <w14:solidFill>
              <w14:schemeClr w14:val="tx1"/>
            </w14:solidFill>
          </w14:textFill>
        </w:rPr>
        <w:t>、监理公司确定开工日期。开工日期定于各方确认具备施工条件的</w:t>
      </w:r>
      <w:r>
        <w:rPr>
          <w:rFonts w:hint="eastAsia" w:ascii="宋体" w:hAnsi="宋体" w:cs="宋体"/>
          <w:color w:val="000000" w:themeColor="text1"/>
          <w:spacing w:val="-2"/>
          <w:sz w:val="24"/>
          <w:highlight w:val="none"/>
          <w:lang w:val="en-US" w:eastAsia="zh-CN"/>
          <w14:textFill>
            <w14:solidFill>
              <w14:schemeClr w14:val="tx1"/>
            </w14:solidFill>
          </w14:textFill>
        </w:rPr>
        <w:t>5</w:t>
      </w:r>
      <w:r>
        <w:rPr>
          <w:rFonts w:hint="eastAsia" w:ascii="宋体" w:hAnsi="宋体" w:cs="宋体"/>
          <w:color w:val="000000" w:themeColor="text1"/>
          <w:spacing w:val="-2"/>
          <w:sz w:val="24"/>
          <w:highlight w:val="none"/>
          <w14:textFill>
            <w14:solidFill>
              <w14:schemeClr w14:val="tx1"/>
            </w14:solidFill>
          </w14:textFill>
        </w:rPr>
        <w:t>天之内。</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
          <w:sz w:val="24"/>
          <w:highlight w:val="none"/>
          <w:lang w:eastAsia="zh-CN"/>
          <w14:textFill>
            <w14:solidFill>
              <w14:schemeClr w14:val="tx1"/>
            </w14:solidFill>
          </w14:textFill>
        </w:rPr>
        <w:t>（</w:t>
      </w:r>
      <w:r>
        <w:rPr>
          <w:rFonts w:hint="eastAsia" w:ascii="宋体" w:hAnsi="宋体" w:cs="宋体"/>
          <w:color w:val="000000" w:themeColor="text1"/>
          <w:spacing w:val="-2"/>
          <w:sz w:val="24"/>
          <w:highlight w:val="none"/>
          <w:lang w:val="en-US" w:eastAsia="zh-CN"/>
          <w14:textFill>
            <w14:solidFill>
              <w14:schemeClr w14:val="tx1"/>
            </w14:solidFill>
          </w14:textFill>
        </w:rPr>
        <w:t>11</w:t>
      </w:r>
      <w:r>
        <w:rPr>
          <w:rFonts w:hint="eastAsia" w:ascii="宋体" w:hAnsi="宋体" w:cs="宋体"/>
          <w:color w:val="000000" w:themeColor="text1"/>
          <w:spacing w:val="-2"/>
          <w:sz w:val="24"/>
          <w:highlight w:val="none"/>
          <w:lang w:eastAsia="zh-CN"/>
          <w14:textFill>
            <w14:solidFill>
              <w14:schemeClr w14:val="tx1"/>
            </w14:solidFill>
          </w14:textFill>
        </w:rPr>
        <w:t>）</w:t>
      </w:r>
      <w:r>
        <w:rPr>
          <w:rFonts w:hint="eastAsia" w:ascii="宋体" w:hAnsi="宋体" w:cs="宋体"/>
          <w:color w:val="000000" w:themeColor="text1"/>
          <w:spacing w:val="-2"/>
          <w:sz w:val="24"/>
          <w:highlight w:val="none"/>
          <w:lang w:val="en-US" w:eastAsia="zh-CN"/>
          <w14:textFill>
            <w14:solidFill>
              <w14:schemeClr w14:val="tx1"/>
            </w14:solidFill>
          </w14:textFill>
        </w:rPr>
        <w:t>安装</w:t>
      </w:r>
      <w:r>
        <w:rPr>
          <w:rFonts w:hint="eastAsia" w:ascii="宋体" w:hAnsi="宋体" w:cs="宋体"/>
          <w:color w:val="000000" w:themeColor="text1"/>
          <w:spacing w:val="-2"/>
          <w:sz w:val="24"/>
          <w:highlight w:val="none"/>
          <w14:textFill>
            <w14:solidFill>
              <w14:schemeClr w14:val="tx1"/>
            </w14:solidFill>
          </w14:textFill>
        </w:rPr>
        <w:t>所用的机械工具、设备、材料由供应商的</w:t>
      </w:r>
      <w:r>
        <w:rPr>
          <w:rFonts w:hint="eastAsia" w:ascii="宋体" w:hAnsi="宋体" w:cs="宋体"/>
          <w:color w:val="000000" w:themeColor="text1"/>
          <w:spacing w:val="-2"/>
          <w:sz w:val="24"/>
          <w:highlight w:val="none"/>
          <w:lang w:val="en-US" w:eastAsia="zh-CN"/>
          <w14:textFill>
            <w14:solidFill>
              <w14:schemeClr w14:val="tx1"/>
            </w14:solidFill>
          </w14:textFill>
        </w:rPr>
        <w:t>安装</w:t>
      </w:r>
      <w:r>
        <w:rPr>
          <w:rFonts w:hint="eastAsia" w:ascii="宋体" w:hAnsi="宋体" w:cs="宋体"/>
          <w:color w:val="000000" w:themeColor="text1"/>
          <w:spacing w:val="-2"/>
          <w:sz w:val="24"/>
          <w:highlight w:val="none"/>
          <w14:textFill>
            <w14:solidFill>
              <w14:schemeClr w14:val="tx1"/>
            </w14:solidFill>
          </w14:textFill>
        </w:rPr>
        <w:t>队伍自备及自费运到施工工地，完工后从工地自费搬出运走，施工所用的材料及机械工具由</w:t>
      </w:r>
      <w:r>
        <w:rPr>
          <w:rFonts w:hint="eastAsia" w:ascii="宋体" w:hAnsi="宋体" w:cs="宋体"/>
          <w:color w:val="000000" w:themeColor="text1"/>
          <w:spacing w:val="-2"/>
          <w:sz w:val="24"/>
          <w:highlight w:val="none"/>
          <w:lang w:eastAsia="zh-CN"/>
          <w14:textFill>
            <w14:solidFill>
              <w14:schemeClr w14:val="tx1"/>
            </w14:solidFill>
          </w14:textFill>
        </w:rPr>
        <w:t>采购人</w:t>
      </w:r>
      <w:r>
        <w:rPr>
          <w:rFonts w:hint="eastAsia" w:ascii="宋体" w:hAnsi="宋体" w:cs="宋体"/>
          <w:color w:val="000000" w:themeColor="text1"/>
          <w:spacing w:val="-2"/>
          <w:sz w:val="24"/>
          <w:highlight w:val="none"/>
          <w14:textFill>
            <w14:solidFill>
              <w14:schemeClr w14:val="tx1"/>
            </w14:solidFill>
          </w14:textFill>
        </w:rPr>
        <w:t>提供恰当的场所存放并由施工队伍自行保管，不得随便存放，以免造成不必要的丢失、损坏</w:t>
      </w:r>
      <w:r>
        <w:rPr>
          <w:rFonts w:hint="eastAsia" w:ascii="宋体" w:hAnsi="宋体" w:cs="宋体"/>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安装调试由供应商专人主持完成，调试合格后应通知</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、监理人员</w:t>
      </w:r>
      <w:r>
        <w:rPr>
          <w:rFonts w:hint="eastAsia" w:ascii="宋体" w:hAnsi="宋体" w:cs="宋体"/>
          <w:color w:val="000000" w:themeColor="text1"/>
          <w:sz w:val="24"/>
          <w:highlight w:val="none"/>
          <w:lang w:val="en-US" w:eastAsia="zh-CN"/>
          <w14:textFill>
            <w14:solidFill>
              <w14:schemeClr w14:val="tx1"/>
            </w14:solidFill>
          </w14:textFill>
        </w:rPr>
        <w:t>确认</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w:t>
      </w:r>
      <w:r>
        <w:rPr>
          <w:rFonts w:hint="eastAsia" w:ascii="宋体" w:hAnsi="宋体" w:cs="宋体"/>
          <w:b/>
          <w:color w:val="000000" w:themeColor="text1"/>
          <w:sz w:val="24"/>
          <w:highlight w:val="none"/>
          <w:lang w:val="en-US" w:eastAsia="zh-CN"/>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 技术培训</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为保证设备正常工作，供应商应负责培训用户维护人员，使维护工作人员能完全熟悉并掌握设备使用技能，具备排除一般的设备故障的能力。用户有权复制供应商提供的各种技术资料，作为维护管理用。培训所需一切资料由</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免费提供。负责免费提供操作人员培训，培训人数不少于</w:t>
      </w:r>
      <w:r>
        <w:rPr>
          <w:rFonts w:hint="eastAsia" w:ascii="宋体" w:hAnsi="宋体" w:cs="宋体"/>
          <w:color w:val="000000" w:themeColor="text1"/>
          <w:kern w:val="0"/>
          <w:sz w:val="24"/>
          <w:highlight w:val="none"/>
          <w:lang w:eastAsia="zh-CN"/>
          <w14:textFill>
            <w14:solidFill>
              <w14:schemeClr w14:val="tx1"/>
            </w14:solidFill>
          </w14:textFill>
        </w:rPr>
        <w:t>六</w:t>
      </w:r>
      <w:r>
        <w:rPr>
          <w:rFonts w:hint="eastAsia" w:ascii="宋体" w:hAnsi="宋体" w:cs="宋体"/>
          <w:color w:val="000000" w:themeColor="text1"/>
          <w:kern w:val="0"/>
          <w:sz w:val="24"/>
          <w:highlight w:val="none"/>
          <w14:textFill>
            <w14:solidFill>
              <w14:schemeClr w14:val="tx1"/>
            </w14:solidFill>
          </w14:textFill>
        </w:rPr>
        <w:t>人。</w:t>
      </w:r>
    </w:p>
    <w:p>
      <w:pPr>
        <w:snapToGrid w:val="0"/>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提供完整详尽的技术培训方案，项目验收前必须完成相关技术培训。</w:t>
      </w:r>
    </w:p>
    <w:p>
      <w:pPr>
        <w:snapToGrid w:val="0"/>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培训内容：确保用户能够对设备、系统有足够的了解和熟悉，能够独立进行设备、系统的日常运营、管理和维护，培训所需一切资料由供应商免费提供。</w:t>
      </w:r>
    </w:p>
    <w:p>
      <w:pPr>
        <w:snapToGrid w:val="0"/>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培训地点：在</w:t>
      </w:r>
      <w:r>
        <w:rPr>
          <w:rFonts w:hint="eastAsia" w:ascii="宋体" w:hAnsi="宋体" w:cs="宋体"/>
          <w:color w:val="000000" w:themeColor="text1"/>
          <w:kern w:val="0"/>
          <w:sz w:val="24"/>
          <w:highlight w:val="none"/>
          <w:lang w:val="en-US" w:eastAsia="zh-CN"/>
          <w14:textFill>
            <w14:solidFill>
              <w14:schemeClr w14:val="tx1"/>
            </w14:solidFill>
          </w14:textFill>
        </w:rPr>
        <w:t>采购人指定地点</w:t>
      </w:r>
      <w:r>
        <w:rPr>
          <w:rFonts w:hint="eastAsia" w:ascii="宋体" w:hAnsi="宋体" w:cs="宋体"/>
          <w:color w:val="000000" w:themeColor="text1"/>
          <w:kern w:val="0"/>
          <w:sz w:val="24"/>
          <w:highlight w:val="none"/>
          <w14:textFill>
            <w14:solidFill>
              <w14:schemeClr w14:val="tx1"/>
            </w14:solidFill>
          </w14:textFill>
        </w:rPr>
        <w:t>。</w:t>
      </w:r>
    </w:p>
    <w:p>
      <w:pPr>
        <w:snapToGrid w:val="0"/>
        <w:spacing w:line="360" w:lineRule="auto"/>
        <w:ind w:firstLine="482" w:firstLineChars="200"/>
        <w:jc w:val="left"/>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16、</w:t>
      </w:r>
      <w:r>
        <w:rPr>
          <w:rFonts w:hint="eastAsia" w:ascii="宋体" w:hAnsi="宋体" w:cs="宋体"/>
          <w:b/>
          <w:bCs/>
          <w:color w:val="000000" w:themeColor="text1"/>
          <w:kern w:val="0"/>
          <w:sz w:val="24"/>
          <w:highlight w:val="none"/>
          <w14:textFill>
            <w14:solidFill>
              <w14:schemeClr w14:val="tx1"/>
            </w14:solidFill>
          </w14:textFill>
        </w:rPr>
        <w:t>验收要求</w:t>
      </w:r>
    </w:p>
    <w:p>
      <w:pPr>
        <w:snapToGrid w:val="0"/>
        <w:spacing w:line="360" w:lineRule="auto"/>
        <w:ind w:firstLine="480" w:firstLineChars="200"/>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以取得当地特种设备检测院的验收合格证并颁发安全检验合格证视为产品合格</w:t>
      </w:r>
      <w:r>
        <w:rPr>
          <w:rFonts w:hint="eastAsia" w:ascii="宋体" w:hAnsi="宋体" w:cs="宋体"/>
          <w:color w:val="000000" w:themeColor="text1"/>
          <w:kern w:val="0"/>
          <w:sz w:val="24"/>
          <w:highlight w:val="none"/>
          <w:lang w:eastAsia="zh-CN"/>
          <w14:textFill>
            <w14:solidFill>
              <w14:schemeClr w14:val="tx1"/>
            </w14:solidFill>
          </w14:textFill>
        </w:rPr>
        <w:t>。</w:t>
      </w:r>
    </w:p>
    <w:p>
      <w:pPr>
        <w:pStyle w:val="132"/>
        <w:numPr>
          <w:ilvl w:val="0"/>
          <w:numId w:val="0"/>
        </w:numPr>
        <w:tabs>
          <w:tab w:val="left" w:pos="0"/>
        </w:tabs>
        <w:snapToGrid w:val="0"/>
        <w:spacing w:before="0"/>
        <w:ind w:firstLine="480" w:firstLineChars="200"/>
        <w:jc w:val="left"/>
        <w:rPr>
          <w:rFonts w:hint="eastAsia" w:ascii="宋体" w:hAnsi="宋体" w:cs="宋体"/>
          <w:color w:val="000000" w:themeColor="text1"/>
          <w:sz w:val="24"/>
          <w:highlight w:val="none"/>
          <w14:textFill>
            <w14:solidFill>
              <w14:schemeClr w14:val="tx1"/>
            </w14:solidFill>
          </w14:textFill>
        </w:rPr>
      </w:pPr>
    </w:p>
    <w:p>
      <w:pPr>
        <w:pStyle w:val="132"/>
        <w:numPr>
          <w:ilvl w:val="0"/>
          <w:numId w:val="0"/>
        </w:numPr>
        <w:tabs>
          <w:tab w:val="left" w:pos="0"/>
        </w:tabs>
        <w:snapToGrid w:val="0"/>
        <w:spacing w:before="0"/>
        <w:ind w:firstLine="538" w:firstLineChars="200"/>
        <w:jc w:val="left"/>
        <w:rPr>
          <w:rFonts w:hint="eastAsia" w:ascii="宋体" w:hAnsi="宋体" w:cs="宋体"/>
          <w:b/>
          <w:bCs/>
          <w:color w:val="000000" w:themeColor="text1"/>
          <w:spacing w:val="14"/>
          <w:kern w:val="24"/>
          <w:sz w:val="24"/>
          <w:highlight w:val="none"/>
          <w14:textFill>
            <w14:solidFill>
              <w14:schemeClr w14:val="tx1"/>
            </w14:solidFill>
          </w14:textFill>
        </w:rPr>
      </w:pPr>
      <w:r>
        <w:rPr>
          <w:rFonts w:hint="eastAsia" w:ascii="宋体" w:hAnsi="宋体" w:cs="宋体"/>
          <w:b/>
          <w:bCs/>
          <w:color w:val="000000" w:themeColor="text1"/>
          <w:spacing w:val="14"/>
          <w:kern w:val="24"/>
          <w:sz w:val="24"/>
          <w:highlight w:val="none"/>
          <w14:textFill>
            <w14:solidFill>
              <w14:schemeClr w14:val="tx1"/>
            </w14:solidFill>
          </w14:textFill>
        </w:rPr>
        <w:t>三、</w:t>
      </w:r>
      <w:r>
        <w:rPr>
          <w:rFonts w:hint="eastAsia" w:ascii="宋体" w:hAnsi="宋体" w:cs="宋体"/>
          <w:b/>
          <w:bCs/>
          <w:color w:val="000000" w:themeColor="text1"/>
          <w:spacing w:val="14"/>
          <w:kern w:val="24"/>
          <w:sz w:val="24"/>
          <w:highlight w:val="none"/>
          <w:lang w:val="en-US" w:eastAsia="zh-CN"/>
          <w14:textFill>
            <w14:solidFill>
              <w14:schemeClr w14:val="tx1"/>
            </w14:solidFill>
          </w14:textFill>
        </w:rPr>
        <w:t>合同履约期限</w:t>
      </w:r>
      <w:r>
        <w:rPr>
          <w:rFonts w:hint="eastAsia" w:ascii="宋体" w:hAnsi="宋体" w:cs="宋体"/>
          <w:b/>
          <w:bCs/>
          <w:color w:val="000000" w:themeColor="text1"/>
          <w:spacing w:val="14"/>
          <w:kern w:val="24"/>
          <w:sz w:val="24"/>
          <w:highlight w:val="none"/>
          <w14:textFill>
            <w14:solidFill>
              <w14:schemeClr w14:val="tx1"/>
            </w14:solidFill>
          </w14:textFill>
        </w:rPr>
        <w:t>及</w:t>
      </w:r>
      <w:r>
        <w:rPr>
          <w:rFonts w:hint="eastAsia" w:ascii="宋体" w:hAnsi="宋体" w:cs="宋体"/>
          <w:b/>
          <w:bCs/>
          <w:color w:val="000000" w:themeColor="text1"/>
          <w:spacing w:val="14"/>
          <w:kern w:val="24"/>
          <w:sz w:val="24"/>
          <w:highlight w:val="none"/>
          <w:lang w:val="en-US" w:eastAsia="zh-CN"/>
          <w14:textFill>
            <w14:solidFill>
              <w14:schemeClr w14:val="tx1"/>
            </w14:solidFill>
          </w14:textFill>
        </w:rPr>
        <w:t>履约</w:t>
      </w:r>
      <w:r>
        <w:rPr>
          <w:rFonts w:hint="eastAsia" w:ascii="宋体" w:hAnsi="宋体" w:cs="宋体"/>
          <w:b/>
          <w:bCs/>
          <w:color w:val="000000" w:themeColor="text1"/>
          <w:spacing w:val="14"/>
          <w:kern w:val="24"/>
          <w:sz w:val="24"/>
          <w:highlight w:val="none"/>
          <w14:textFill>
            <w14:solidFill>
              <w14:schemeClr w14:val="tx1"/>
            </w14:solidFill>
          </w14:textFill>
        </w:rPr>
        <w:t>地点要求</w:t>
      </w:r>
    </w:p>
    <w:p>
      <w:pPr>
        <w:spacing w:line="360" w:lineRule="auto"/>
        <w:ind w:firstLine="480" w:firstLineChars="200"/>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1.合同履约期限：</w:t>
      </w:r>
      <w:r>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t xml:space="preserve"> </w:t>
      </w:r>
      <w:r>
        <w:rPr>
          <w:rFonts w:hint="default" w:ascii="宋体" w:hAnsi="宋体" w:cs="宋体"/>
          <w:b w:val="0"/>
          <w:bCs w:val="0"/>
          <w:color w:val="000000" w:themeColor="text1"/>
          <w:kern w:val="44"/>
          <w:sz w:val="24"/>
          <w:szCs w:val="24"/>
          <w:highlight w:val="none"/>
          <w:u w:val="single"/>
          <w:lang w:val="en-US" w:eastAsia="zh-CN" w:bidi="ar-SA"/>
          <w14:textFill>
            <w14:solidFill>
              <w14:schemeClr w14:val="tx1"/>
            </w14:solidFill>
          </w14:textFill>
        </w:rPr>
        <w:t>75</w:t>
      </w:r>
      <w:r>
        <w:rPr>
          <w:rFonts w:hint="default"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日历天（具体时间按合同签订为准。其中含完成设备供货、安装及内容系统的部署、配套装饰等，经测试运行及培训，并通过甲方组织验收合格，正式交付使用，进入质保期（不含试运行）。</w:t>
      </w:r>
    </w:p>
    <w:p>
      <w:pPr>
        <w:spacing w:line="360" w:lineRule="auto"/>
        <w:ind w:firstLine="480" w:firstLineChars="200"/>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2.合同履约地点：杭州城西休闲公园。</w:t>
      </w:r>
    </w:p>
    <w:p>
      <w:pPr>
        <w:pStyle w:val="4"/>
        <w:keepNext/>
        <w:keepLines/>
        <w:pageBreakBefore w:val="0"/>
        <w:widowControl w:val="0"/>
        <w:kinsoku/>
        <w:wordWrap/>
        <w:overflowPunct/>
        <w:topLinePunct w:val="0"/>
        <w:autoSpaceDE/>
        <w:autoSpaceDN/>
        <w:bidi w:val="0"/>
        <w:adjustRightInd/>
        <w:snapToGrid/>
        <w:spacing w:before="0" w:after="0" w:line="360" w:lineRule="auto"/>
        <w:ind w:left="0"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bookmarkStart w:id="27" w:name="_Toc5417"/>
      <w:bookmarkStart w:id="28" w:name="_Toc20932"/>
      <w:bookmarkStart w:id="29" w:name="_Toc6592"/>
      <w:bookmarkStart w:id="30" w:name="_Toc16213"/>
      <w:bookmarkStart w:id="31" w:name="_Toc6850"/>
      <w:bookmarkStart w:id="32" w:name="_Toc23719"/>
      <w:bookmarkStart w:id="33" w:name="_Toc23111"/>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3、试运行期：不少于1个月。</w:t>
      </w:r>
    </w:p>
    <w:p>
      <w:pPr>
        <w:keepNext/>
        <w:keepLines/>
        <w:spacing w:line="360" w:lineRule="auto"/>
        <w:ind w:firstLine="480" w:firstLineChars="200"/>
        <w:outlineLvl w:val="1"/>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4、质保期：</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年。</w:t>
      </w:r>
    </w:p>
    <w:p>
      <w:pPr>
        <w:keepNext/>
        <w:keepLines/>
        <w:spacing w:line="360" w:lineRule="auto"/>
        <w:ind w:firstLine="538" w:firstLineChars="200"/>
        <w:outlineLvl w:val="1"/>
        <w:rPr>
          <w:rFonts w:hint="eastAsia" w:ascii="宋体" w:hAnsi="宋体" w:eastAsia="宋体" w:cs="宋体"/>
          <w:b/>
          <w:bCs/>
          <w:color w:val="000000" w:themeColor="text1"/>
          <w:spacing w:val="14"/>
          <w:kern w:val="24"/>
          <w:sz w:val="24"/>
          <w:highlight w:val="none"/>
          <w14:textFill>
            <w14:solidFill>
              <w14:schemeClr w14:val="tx1"/>
            </w14:solidFill>
          </w14:textFill>
        </w:rPr>
      </w:pPr>
      <w:r>
        <w:rPr>
          <w:rFonts w:hint="eastAsia" w:ascii="宋体" w:hAnsi="宋体" w:eastAsia="宋体" w:cs="宋体"/>
          <w:b/>
          <w:bCs/>
          <w:color w:val="000000" w:themeColor="text1"/>
          <w:spacing w:val="14"/>
          <w:kern w:val="24"/>
          <w:sz w:val="24"/>
          <w:highlight w:val="none"/>
          <w14:textFill>
            <w14:solidFill>
              <w14:schemeClr w14:val="tx1"/>
            </w14:solidFill>
          </w14:textFill>
        </w:rPr>
        <w:t>四、</w:t>
      </w:r>
      <w:bookmarkEnd w:id="27"/>
      <w:bookmarkEnd w:id="28"/>
      <w:bookmarkEnd w:id="29"/>
      <w:bookmarkEnd w:id="30"/>
      <w:bookmarkEnd w:id="31"/>
      <w:bookmarkEnd w:id="32"/>
      <w:bookmarkEnd w:id="33"/>
      <w:bookmarkStart w:id="34" w:name="_Toc449016998"/>
      <w:r>
        <w:rPr>
          <w:rFonts w:hint="eastAsia" w:ascii="宋体" w:hAnsi="宋体" w:eastAsia="宋体" w:cs="宋体"/>
          <w:b/>
          <w:bCs/>
          <w:color w:val="000000" w:themeColor="text1"/>
          <w:spacing w:val="14"/>
          <w:kern w:val="24"/>
          <w:sz w:val="24"/>
          <w:highlight w:val="none"/>
          <w14:textFill>
            <w14:solidFill>
              <w14:schemeClr w14:val="tx1"/>
            </w14:solidFill>
          </w14:textFill>
        </w:rPr>
        <w:t>商务要求</w:t>
      </w:r>
    </w:p>
    <w:bookmarkEnd w:id="34"/>
    <w:tbl>
      <w:tblPr>
        <w:tblStyle w:val="64"/>
        <w:tblW w:w="9917" w:type="dxa"/>
        <w:tblInd w:w="-45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76"/>
        <w:gridCol w:w="814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9"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项目组人员要求</w:t>
            </w:r>
          </w:p>
        </w:tc>
        <w:tc>
          <w:tcPr>
            <w:tcW w:w="81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供应商需配备1名项目负责人，负责与采购人对接，对接处理技术及其他售后问题，以保证采购人的正常使用。供应商根据采购需求配备充足的服务人员，包括设备安装调试人员及售后维护的技术服务人员。</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9"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知识产权</w:t>
            </w:r>
          </w:p>
        </w:tc>
        <w:tc>
          <w:tcPr>
            <w:tcW w:w="81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保证采购人在使用该货物或其任何一部分时不受任何第三方提出的侵犯其著作权、商标权、专利权等知识产权方面的起诉。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10"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保密条款</w:t>
            </w:r>
          </w:p>
        </w:tc>
        <w:tc>
          <w:tcPr>
            <w:tcW w:w="81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1.采购人对供应商及工作人员开展常态化安全保密教育，组织签订安全保密承诺书，明确具体安全管理内容、安全保密义务和责任；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2.供应商及工作人员违反安全管理要求，构成违法犯罪的，采购人将及时报送本级政府采购和市场监督管理部门，提请列入政府采购严重违法失信行为记录名单、市场监督管理严重失信名单，并追究相关责任。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19"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付款方式</w:t>
            </w:r>
          </w:p>
        </w:tc>
        <w:tc>
          <w:tcPr>
            <w:tcW w:w="81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eastAsia="zh-Han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1.合同签订后5个工作日内，</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按杭州市政府采购网公布的供应商履约评价情况（供应商履约验收评价总分为100分的，采购人应当免收履约保证金；其余的，收取履约保证金不得高于合同总价1%）缴纳履约保证金。采购人在合同生效后</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个工作日内支付合同总价的40%</w:t>
            </w:r>
            <w:r>
              <w:rPr>
                <w:rFonts w:hint="eastAsia" w:ascii="宋体" w:hAnsi="宋体" w:eastAsia="宋体" w:cs="宋体"/>
                <w:color w:val="000000" w:themeColor="text1"/>
                <w:sz w:val="24"/>
                <w:szCs w:val="24"/>
                <w:highlight w:val="none"/>
                <w:lang w:eastAsia="zh-Hans"/>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完成全部产品的到货后，凭到货核验清单、产品合格证、说明书、双方签字盖章的验收意见等资料，</w:t>
            </w:r>
            <w:r>
              <w:rPr>
                <w:rFonts w:hint="eastAsia" w:ascii="宋体" w:hAnsi="宋体" w:eastAsia="宋体" w:cs="宋体"/>
                <w:color w:val="000000" w:themeColor="text1"/>
                <w:sz w:val="24"/>
                <w:szCs w:val="24"/>
                <w:highlight w:val="none"/>
                <w:lang w:val="en-US" w:eastAsia="zh-CN"/>
                <w14:textFill>
                  <w14:solidFill>
                    <w14:schemeClr w14:val="tx1"/>
                  </w14:solidFill>
                </w14:textFill>
              </w:rPr>
              <w:t>15个工作日内</w:t>
            </w:r>
            <w:r>
              <w:rPr>
                <w:rFonts w:hint="eastAsia" w:ascii="宋体" w:hAnsi="宋体" w:eastAsia="宋体" w:cs="宋体"/>
                <w:color w:val="000000" w:themeColor="text1"/>
                <w:sz w:val="24"/>
                <w:szCs w:val="24"/>
                <w:highlight w:val="none"/>
                <w14:textFill>
                  <w14:solidFill>
                    <w14:schemeClr w14:val="tx1"/>
                  </w14:solidFill>
                </w14:textFill>
              </w:rPr>
              <w:t>支付至合同</w:t>
            </w:r>
            <w:r>
              <w:rPr>
                <w:rFonts w:hint="eastAsia" w:ascii="宋体" w:hAnsi="宋体" w:eastAsia="宋体" w:cs="宋体"/>
                <w:color w:val="000000" w:themeColor="text1"/>
                <w:sz w:val="24"/>
                <w:szCs w:val="24"/>
                <w:highlight w:val="none"/>
                <w:lang w:val="en-US" w:eastAsia="zh-CN"/>
                <w14:textFill>
                  <w14:solidFill>
                    <w14:schemeClr w14:val="tx1"/>
                  </w14:solidFill>
                </w14:textFill>
              </w:rPr>
              <w:t>总价</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val="en-US" w:eastAsia="zh-CN"/>
                <w14:textFill>
                  <w14:solidFill>
                    <w14:schemeClr w14:val="tx1"/>
                  </w14:solidFill>
                </w14:textFill>
              </w:rPr>
              <w:t>60</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3.</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项目</w:t>
            </w:r>
            <w:r>
              <w:rPr>
                <w:rFonts w:hint="eastAsia" w:ascii="宋体" w:hAnsi="宋体" w:eastAsia="宋体" w:cs="宋体"/>
                <w:color w:val="000000" w:themeColor="text1"/>
                <w:sz w:val="24"/>
                <w:szCs w:val="24"/>
                <w:highlight w:val="none"/>
                <w:lang w:bidi="ar"/>
                <w14:textFill>
                  <w14:solidFill>
                    <w14:schemeClr w14:val="tx1"/>
                  </w14:solidFill>
                </w14:textFill>
              </w:rPr>
              <w:t>完成安装、调试，经</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甲方组织</w:t>
            </w:r>
            <w:r>
              <w:rPr>
                <w:rFonts w:hint="eastAsia" w:ascii="宋体" w:hAnsi="宋体" w:eastAsia="宋体" w:cs="宋体"/>
                <w:color w:val="000000" w:themeColor="text1"/>
                <w:sz w:val="24"/>
                <w:szCs w:val="24"/>
                <w:highlight w:val="none"/>
                <w:lang w:bidi="ar"/>
                <w14:textFill>
                  <w14:solidFill>
                    <w14:schemeClr w14:val="tx1"/>
                  </w14:solidFill>
                </w14:textFill>
              </w:rPr>
              <w:t>验收合格后，且待财政资金到位后</w:t>
            </w:r>
            <w:r>
              <w:rPr>
                <w:rFonts w:hint="eastAsia" w:ascii="宋体" w:hAnsi="宋体" w:eastAsia="宋体" w:cs="宋体"/>
                <w:color w:val="000000" w:themeColor="text1"/>
                <w:sz w:val="24"/>
                <w:szCs w:val="24"/>
                <w:highlight w:val="none"/>
                <w:lang w:val="en-US" w:eastAsia="zh-CN"/>
                <w14:textFill>
                  <w14:solidFill>
                    <w14:schemeClr w14:val="tx1"/>
                  </w14:solidFill>
                </w14:textFill>
              </w:rPr>
              <w:t>，凭验收证明资料</w:t>
            </w:r>
            <w:r>
              <w:rPr>
                <w:rFonts w:hint="eastAsia" w:ascii="宋体" w:hAnsi="宋体" w:cs="宋体"/>
                <w:color w:val="000000" w:themeColor="text1"/>
                <w:sz w:val="24"/>
                <w:szCs w:val="24"/>
                <w:highlight w:val="none"/>
                <w:lang w:val="en-US" w:eastAsia="zh-CN"/>
                <w14:textFill>
                  <w14:solidFill>
                    <w14:schemeClr w14:val="tx1"/>
                  </w14:solidFill>
                </w14:textFill>
              </w:rPr>
              <w:t>支付。</w:t>
            </w:r>
            <w:r>
              <w:rPr>
                <w:rFonts w:hint="eastAsia" w:ascii="宋体" w:hAnsi="宋体" w:cs="宋体"/>
                <w:b/>
                <w:bCs/>
                <w:color w:val="000000" w:themeColor="text1"/>
                <w:sz w:val="24"/>
                <w:szCs w:val="24"/>
                <w:highlight w:val="none"/>
                <w:lang w:val="en-US" w:eastAsia="zh-CN"/>
                <w14:textFill>
                  <w14:solidFill>
                    <w14:schemeClr w14:val="tx1"/>
                  </w14:solidFill>
                </w14:textFill>
              </w:rPr>
              <w:t>验收中</w:t>
            </w:r>
            <w:r>
              <w:rPr>
                <w:rFonts w:hint="eastAsia" w:ascii="宋体" w:hAnsi="宋体" w:cs="宋体"/>
                <w:b/>
                <w:bCs/>
                <w:color w:val="000000" w:themeColor="text1"/>
                <w:sz w:val="24"/>
                <w:highlight w:val="none"/>
                <w:lang w:val="zh-CN"/>
                <w14:textFill>
                  <w14:solidFill>
                    <w14:schemeClr w14:val="tx1"/>
                  </w14:solidFill>
                </w14:textFill>
              </w:rPr>
              <w:t>如遇部分清单设备</w:t>
            </w:r>
            <w:r>
              <w:rPr>
                <w:rFonts w:hint="eastAsia" w:ascii="宋体" w:hAnsi="宋体" w:cs="宋体"/>
                <w:b/>
                <w:bCs/>
                <w:color w:val="000000" w:themeColor="text1"/>
                <w:sz w:val="24"/>
                <w:highlight w:val="none"/>
                <w:lang w:val="en-US" w:eastAsia="zh-CN"/>
                <w14:textFill>
                  <w14:solidFill>
                    <w14:schemeClr w14:val="tx1"/>
                  </w14:solidFill>
                </w14:textFill>
              </w:rPr>
              <w:t>供货实际</w:t>
            </w:r>
            <w:r>
              <w:rPr>
                <w:rFonts w:hint="eastAsia" w:ascii="宋体" w:hAnsi="宋体" w:cs="宋体"/>
                <w:b/>
                <w:bCs/>
                <w:color w:val="000000" w:themeColor="text1"/>
                <w:sz w:val="24"/>
                <w:highlight w:val="none"/>
                <w:lang w:val="zh-CN"/>
                <w14:textFill>
                  <w14:solidFill>
                    <w14:schemeClr w14:val="tx1"/>
                  </w14:solidFill>
                </w14:textFill>
              </w:rPr>
              <w:t>数量有变，则按投标单价价格按实结算（</w:t>
            </w:r>
            <w:r>
              <w:rPr>
                <w:rFonts w:hint="eastAsia" w:ascii="宋体" w:hAnsi="宋体" w:cs="宋体"/>
                <w:b/>
                <w:bCs/>
                <w:color w:val="000000" w:themeColor="text1"/>
                <w:sz w:val="24"/>
                <w:highlight w:val="none"/>
                <w:lang w:val="en-US" w:eastAsia="zh-CN"/>
                <w14:textFill>
                  <w14:solidFill>
                    <w14:schemeClr w14:val="tx1"/>
                  </w14:solidFill>
                </w14:textFill>
              </w:rPr>
              <w:t>支付金额=</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按实际供货数量*中标综合单价</w:t>
            </w:r>
            <w:r>
              <w:rPr>
                <w:rFonts w:hint="eastAsia" w:ascii="宋体" w:hAnsi="宋体" w:cs="宋体"/>
                <w:b/>
                <w:bCs/>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15个工作日内</w:t>
            </w:r>
            <w:r>
              <w:rPr>
                <w:rFonts w:hint="eastAsia" w:ascii="宋体" w:hAnsi="宋体" w:eastAsia="宋体" w:cs="宋体"/>
                <w:color w:val="000000" w:themeColor="text1"/>
                <w:sz w:val="24"/>
                <w:szCs w:val="24"/>
                <w:highlight w:val="none"/>
                <w14:textFill>
                  <w14:solidFill>
                    <w14:schemeClr w14:val="tx1"/>
                  </w14:solidFill>
                </w14:textFill>
              </w:rPr>
              <w:t>结算合同款项</w:t>
            </w:r>
            <w:r>
              <w:rPr>
                <w:rFonts w:hint="eastAsia" w:ascii="宋体" w:hAnsi="宋体" w:eastAsia="宋体" w:cs="宋体"/>
                <w:color w:val="000000" w:themeColor="text1"/>
                <w:sz w:val="24"/>
                <w:szCs w:val="24"/>
                <w:highlight w:val="none"/>
                <w:lang w:val="en-US" w:eastAsia="zh-CN"/>
                <w14:textFill>
                  <w14:solidFill>
                    <w14:schemeClr w14:val="tx1"/>
                  </w14:solidFill>
                </w14:textFill>
              </w:rPr>
              <w:t>余款</w:t>
            </w:r>
            <w:r>
              <w:rPr>
                <w:rFonts w:hint="eastAsia" w:ascii="宋体" w:hAnsi="宋体" w:eastAsia="宋体" w:cs="宋体"/>
                <w:color w:val="000000" w:themeColor="text1"/>
                <w:sz w:val="24"/>
                <w:szCs w:val="24"/>
                <w:highlight w:val="none"/>
                <w14:textFill>
                  <w14:solidFill>
                    <w14:schemeClr w14:val="tx1"/>
                  </w14:solidFill>
                </w14:textFill>
              </w:rPr>
              <w:t>，同时扣除违约金。</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付款条件:采购人凭中标人开具的开具增值税发票和采购人认可的各项记录复印件向供应商支付服务费。由于供应商上报或者开票不及时引起的延迟支付，责任由供应商自负。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48"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履约验收</w:t>
            </w:r>
          </w:p>
        </w:tc>
        <w:tc>
          <w:tcPr>
            <w:tcW w:w="81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1.采购人按照《杭州市政府采购履约验收暂行办法》（杭财采监[2019]10号）规定组织对</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履约的验收。验收方成员应当在验收书上签字，并承担相应的法律责任。如果发现与合同中要求不符，</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须承担由此发生的一切损失和费用，并接受相应的处理。</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严格按照采购合同开展履约验收。采购人</w:t>
            </w:r>
            <w:r>
              <w:rPr>
                <w:rFonts w:hint="eastAsia" w:ascii="宋体" w:hAnsi="宋体" w:cs="宋体"/>
                <w:color w:val="000000" w:themeColor="text1"/>
                <w:sz w:val="24"/>
                <w:szCs w:val="24"/>
                <w:highlight w:val="none"/>
                <w:lang w:val="en-US" w:eastAsia="zh-CN"/>
                <w14:textFill>
                  <w14:solidFill>
                    <w14:schemeClr w14:val="tx1"/>
                  </w14:solidFill>
                </w14:textFill>
              </w:rPr>
              <w:t>自行验收或</w:t>
            </w:r>
            <w:r>
              <w:rPr>
                <w:rFonts w:hint="eastAsia" w:ascii="宋体" w:hAnsi="宋体" w:cs="宋体"/>
                <w:color w:val="000000" w:themeColor="text1"/>
                <w:sz w:val="24"/>
                <w:szCs w:val="24"/>
                <w:highlight w:val="none"/>
                <w:lang w:eastAsia="zh-CN"/>
                <w14:textFill>
                  <w14:solidFill>
                    <w14:schemeClr w14:val="tx1"/>
                  </w14:solidFill>
                </w14:textFill>
              </w:rPr>
              <w:t>委托第三方机构成立验收小组</w:t>
            </w:r>
            <w:r>
              <w:rPr>
                <w:rFonts w:hint="eastAsia" w:ascii="宋体" w:hAnsi="宋体" w:eastAsia="宋体" w:cs="宋体"/>
                <w:color w:val="000000" w:themeColor="text1"/>
                <w:sz w:val="24"/>
                <w:szCs w:val="24"/>
                <w:highlight w:val="none"/>
                <w14:textFill>
                  <w14:solidFill>
                    <w14:schemeClr w14:val="tx1"/>
                  </w14:solidFill>
                </w14:textFill>
              </w:rPr>
              <w:t>，按照采购合同的约定对</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履约情况进行验收，验收时，按照采购合同的约定对每一项技术、服务、安全标准的履约情况进行确认，出具验收报告并经验收小组全体成员签字。采购人根据验收报告形成验收意见并经采购人与</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签字盖章。验收结果与采购合同约定的资金支付及履约保证金返还条件挂钩。履约验收的各项资料应当存档备查。</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验收合格的项目，采购人将根据采购合同的约定及时向</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支付采购资金、退还履约保证金。验收不合格的项目，采购人将依法及时处理。采购合同的履行、违约责任和解决争议的方式等适用《中华人民共和国民法典》。</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验收产生的费用首次验收费用由采购人承担，如首次验收不合格，后续验收费用由</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支付。</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2.履约验收内容</w:t>
            </w:r>
          </w:p>
          <w:tbl>
            <w:tblPr>
              <w:tblStyle w:val="64"/>
              <w:tblW w:w="50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675"/>
              <w:gridCol w:w="5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序号</w:t>
                  </w:r>
                </w:p>
              </w:tc>
              <w:tc>
                <w:tcPr>
                  <w:tcW w:w="10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验收内容</w:t>
                  </w:r>
                </w:p>
              </w:tc>
              <w:tc>
                <w:tcPr>
                  <w:tcW w:w="357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84" w:type="pct"/>
                  <w:tcBorders>
                    <w:top w:val="single" w:color="auto" w:sz="4" w:space="0"/>
                    <w:left w:val="single" w:color="auto" w:sz="4" w:space="0"/>
                    <w:right w:val="single" w:color="auto" w:sz="4" w:space="0"/>
                  </w:tcBorders>
                  <w:noWrap/>
                  <w:vAlign w:val="center"/>
                </w:tcPr>
                <w:p>
                  <w:pPr>
                    <w:keepNext w:val="0"/>
                    <w:keepLines w:val="0"/>
                    <w:pageBreakBefore w:val="0"/>
                    <w:widowControl w:val="0"/>
                    <w:tabs>
                      <w:tab w:val="center" w:pos="201"/>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041" w:type="pct"/>
                  <w:tcBorders>
                    <w:top w:val="single" w:color="auto" w:sz="4" w:space="0"/>
                    <w:left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质量、数量</w:t>
                  </w:r>
                </w:p>
              </w:tc>
              <w:tc>
                <w:tcPr>
                  <w:tcW w:w="357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核对产品的型号、参数、数量等是否与合同及投标文件承诺相符，检查资料是否提供了所有产品拍照图片、说明书、产品合格证。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8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0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送货</w:t>
                  </w:r>
                </w:p>
              </w:tc>
              <w:tc>
                <w:tcPr>
                  <w:tcW w:w="357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项目按送货要求完成供货、安装、调试、并在规定的时间内送达。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38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0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现场检查</w:t>
                  </w:r>
                </w:p>
              </w:tc>
              <w:tc>
                <w:tcPr>
                  <w:tcW w:w="357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现场检查记录（检查各系统运行情况）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38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0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培训资料</w:t>
                  </w:r>
                </w:p>
              </w:tc>
              <w:tc>
                <w:tcPr>
                  <w:tcW w:w="357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培训人员</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不少于</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人，培训内容满足采购需求及投标承诺。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38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10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其他工作</w:t>
                  </w:r>
                </w:p>
              </w:tc>
              <w:tc>
                <w:tcPr>
                  <w:tcW w:w="357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履行项目采购文件、投标文件、合同条款中涉及的其他承诺的情况。</w:t>
                  </w:r>
                </w:p>
              </w:tc>
            </w:tr>
          </w:tbl>
          <w:p>
            <w:pPr>
              <w:keepNext w:val="0"/>
              <w:keepLines w:val="0"/>
              <w:pageBreakBefore w:val="0"/>
              <w:tabs>
                <w:tab w:val="left" w:pos="904"/>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4.验收资料要求</w:t>
            </w:r>
          </w:p>
          <w:p>
            <w:pPr>
              <w:keepNext w:val="0"/>
              <w:keepLines w:val="0"/>
              <w:pageBreakBefore w:val="0"/>
              <w:tabs>
                <w:tab w:val="left" w:pos="904"/>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验收资料要求包括（不限于）以下内容：</w:t>
            </w:r>
          </w:p>
          <w:p>
            <w:pPr>
              <w:keepNext w:val="0"/>
              <w:keepLines w:val="0"/>
              <w:pageBreakBefore w:val="0"/>
              <w:tabs>
                <w:tab w:val="left" w:pos="904"/>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①招标文件 </w:t>
            </w:r>
          </w:p>
          <w:p>
            <w:pPr>
              <w:keepNext w:val="0"/>
              <w:keepLines w:val="0"/>
              <w:pageBreakBefore w:val="0"/>
              <w:tabs>
                <w:tab w:val="left" w:pos="904"/>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②投标文件</w:t>
            </w:r>
          </w:p>
          <w:p>
            <w:pPr>
              <w:keepNext w:val="0"/>
              <w:keepLines w:val="0"/>
              <w:pageBreakBefore w:val="0"/>
              <w:tabs>
                <w:tab w:val="left" w:pos="904"/>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③采购合同</w:t>
            </w:r>
          </w:p>
          <w:p>
            <w:pPr>
              <w:keepNext w:val="0"/>
              <w:keepLines w:val="0"/>
              <w:pageBreakBefore w:val="0"/>
              <w:tabs>
                <w:tab w:val="left" w:pos="904"/>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④到货核验清单（</w:t>
            </w:r>
            <w:r>
              <w:rPr>
                <w:rFonts w:hint="eastAsia" w:ascii="宋体" w:hAnsi="宋体" w:cs="宋体"/>
                <w:color w:val="000000" w:themeColor="text1"/>
                <w:sz w:val="24"/>
                <w:szCs w:val="24"/>
                <w:highlight w:val="none"/>
                <w:lang w:eastAsia="zh-CN"/>
                <w14:textFill>
                  <w14:solidFill>
                    <w14:schemeClr w14:val="tx1"/>
                  </w14:solidFill>
                </w14:textFill>
              </w:rPr>
              <w:t>经采购经办人、复核人、供应商三方签字或盖章</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tabs>
                <w:tab w:val="left" w:pos="904"/>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⑤产品拍照图片、产品说明书、产品合格证、质量保证书</w:t>
            </w:r>
            <w:r>
              <w:rPr>
                <w:rFonts w:hint="eastAsia" w:ascii="宋体" w:hAnsi="宋体" w:cs="宋体"/>
                <w:color w:val="000000" w:themeColor="text1"/>
                <w:sz w:val="24"/>
                <w:szCs w:val="24"/>
                <w:highlight w:val="none"/>
                <w:lang w:eastAsia="zh-CN"/>
                <w14:textFill>
                  <w14:solidFill>
                    <w14:schemeClr w14:val="tx1"/>
                  </w14:solidFill>
                </w14:textFill>
              </w:rPr>
              <w:t>；</w:t>
            </w:r>
          </w:p>
          <w:p>
            <w:pPr>
              <w:keepNext w:val="0"/>
              <w:keepLines w:val="0"/>
              <w:pageBreakBefore w:val="0"/>
              <w:tabs>
                <w:tab w:val="left" w:pos="904"/>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⑥现场检查记录（检查各系统运行情况）</w:t>
            </w:r>
            <w:r>
              <w:rPr>
                <w:rFonts w:hint="eastAsia" w:ascii="宋体" w:hAnsi="宋体" w:cs="宋体"/>
                <w:color w:val="000000" w:themeColor="text1"/>
                <w:sz w:val="24"/>
                <w:szCs w:val="24"/>
                <w:highlight w:val="none"/>
                <w:lang w:eastAsia="zh-CN"/>
                <w14:textFill>
                  <w14:solidFill>
                    <w14:schemeClr w14:val="tx1"/>
                  </w14:solidFill>
                </w14:textFill>
              </w:rPr>
              <w:t>；</w:t>
            </w:r>
          </w:p>
          <w:p>
            <w:pPr>
              <w:keepNext w:val="0"/>
              <w:keepLines w:val="0"/>
              <w:pageBreakBefore w:val="0"/>
              <w:tabs>
                <w:tab w:val="left" w:pos="904"/>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⑦培训记录等相关资料</w:t>
            </w:r>
            <w:r>
              <w:rPr>
                <w:rFonts w:hint="eastAsia" w:ascii="宋体" w:hAnsi="宋体" w:cs="宋体"/>
                <w:color w:val="000000" w:themeColor="text1"/>
                <w:sz w:val="24"/>
                <w:szCs w:val="24"/>
                <w:highlight w:val="none"/>
                <w:lang w:eastAsia="zh-CN"/>
                <w14:textFill>
                  <w14:solidFill>
                    <w14:schemeClr w14:val="tx1"/>
                  </w14:solidFill>
                </w14:textFill>
              </w:rPr>
              <w:t>。</w:t>
            </w:r>
          </w:p>
        </w:tc>
      </w:tr>
    </w:tbl>
    <w:p>
      <w:pPr>
        <w:tabs>
          <w:tab w:val="left" w:pos="8280"/>
        </w:tabs>
        <w:autoSpaceDE w:val="0"/>
        <w:autoSpaceDN w:val="0"/>
        <w:spacing w:line="360" w:lineRule="auto"/>
        <w:rPr>
          <w:rFonts w:hint="eastAsia" w:ascii="宋体" w:hAnsi="宋体" w:cs="宋体"/>
          <w:b/>
          <w:bCs/>
          <w:color w:val="000000" w:themeColor="text1"/>
          <w:sz w:val="24"/>
          <w:highlight w:val="none"/>
          <w14:textFill>
            <w14:solidFill>
              <w14:schemeClr w14:val="tx1"/>
            </w14:solidFill>
          </w14:textFill>
        </w:rPr>
      </w:pPr>
    </w:p>
    <w:p>
      <w:pPr>
        <w:snapToGrid w:val="0"/>
        <w:spacing w:line="360" w:lineRule="auto"/>
        <w:ind w:firstLine="482"/>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五</w:t>
      </w:r>
      <w:r>
        <w:rPr>
          <w:rFonts w:hint="eastAsia" w:ascii="宋体" w:hAnsi="宋体" w:cs="宋体"/>
          <w:b/>
          <w:color w:val="000000" w:themeColor="text1"/>
          <w:sz w:val="24"/>
          <w:highlight w:val="none"/>
          <w14:textFill>
            <w14:solidFill>
              <w14:schemeClr w14:val="tx1"/>
            </w14:solidFill>
          </w14:textFill>
        </w:rPr>
        <w:t>、采购文件附件——详见图纸。</w:t>
      </w:r>
    </w:p>
    <w:p>
      <w:pPr>
        <w:snapToGrid w:val="0"/>
        <w:spacing w:line="360" w:lineRule="auto"/>
        <w:ind w:firstLine="482"/>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供应商应对本章技术规范要求中的各个条款一一给予实质性答复，</w:t>
      </w:r>
      <w:r>
        <w:rPr>
          <w:rFonts w:hint="eastAsia" w:ascii="宋体" w:hAnsi="宋体" w:cs="宋体"/>
          <w:b/>
          <w:color w:val="000000" w:themeColor="text1"/>
          <w:sz w:val="24"/>
          <w:highlight w:val="none"/>
          <w:lang w:val="en-US" w:eastAsia="zh-CN"/>
          <w14:textFill>
            <w14:solidFill>
              <w14:schemeClr w14:val="tx1"/>
            </w14:solidFill>
          </w14:textFill>
        </w:rPr>
        <w:t>招标</w:t>
      </w:r>
      <w:r>
        <w:rPr>
          <w:rFonts w:hint="eastAsia" w:ascii="宋体" w:hAnsi="宋体" w:cs="宋体"/>
          <w:b/>
          <w:color w:val="000000" w:themeColor="text1"/>
          <w:sz w:val="24"/>
          <w:highlight w:val="none"/>
          <w14:textFill>
            <w14:solidFill>
              <w14:schemeClr w14:val="tx1"/>
            </w14:solidFill>
          </w14:textFill>
        </w:rPr>
        <w:t>文件中已提供格式的内容应按已提供的格式填写，</w:t>
      </w:r>
      <w:r>
        <w:rPr>
          <w:rFonts w:hint="eastAsia" w:ascii="宋体" w:hAnsi="宋体" w:cs="宋体"/>
          <w:b/>
          <w:color w:val="000000" w:themeColor="text1"/>
          <w:sz w:val="24"/>
          <w:highlight w:val="none"/>
          <w:lang w:val="en-US" w:eastAsia="zh-CN"/>
          <w14:textFill>
            <w14:solidFill>
              <w14:schemeClr w14:val="tx1"/>
            </w14:solidFill>
          </w14:textFill>
        </w:rPr>
        <w:t>招标</w:t>
      </w:r>
      <w:r>
        <w:rPr>
          <w:rFonts w:hint="eastAsia" w:ascii="宋体" w:hAnsi="宋体" w:cs="宋体"/>
          <w:b/>
          <w:color w:val="000000" w:themeColor="text1"/>
          <w:sz w:val="24"/>
          <w:highlight w:val="none"/>
          <w14:textFill>
            <w14:solidFill>
              <w14:schemeClr w14:val="tx1"/>
            </w14:solidFill>
          </w14:textFill>
        </w:rPr>
        <w:t>文件中未提供格式的内容由供应商按招标要求自拟格式逐一做出响应。</w:t>
      </w:r>
    </w:p>
    <w:p>
      <w:pP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pPr>
        <w:numPr>
          <w:ilvl w:val="0"/>
          <w:numId w:val="3"/>
        </w:numPr>
        <w:snapToGrid w:val="0"/>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  </w:t>
      </w:r>
      <w:bookmarkStart w:id="35" w:name="_Toc184310297"/>
      <w:bookmarkEnd w:id="35"/>
      <w:bookmarkStart w:id="36" w:name="_Toc184312102"/>
      <w:bookmarkEnd w:id="36"/>
      <w:bookmarkStart w:id="37" w:name="_Toc184310343"/>
      <w:bookmarkEnd w:id="37"/>
      <w:bookmarkStart w:id="38" w:name="_Toc184314433"/>
      <w:bookmarkEnd w:id="38"/>
      <w:bookmarkStart w:id="39" w:name="_Toc184312104"/>
      <w:bookmarkEnd w:id="39"/>
      <w:bookmarkStart w:id="40" w:name="_Toc184314432"/>
      <w:bookmarkEnd w:id="40"/>
      <w:bookmarkStart w:id="41" w:name="_Toc184312110"/>
      <w:bookmarkEnd w:id="41"/>
      <w:bookmarkStart w:id="42" w:name="_Toc184313306"/>
      <w:bookmarkEnd w:id="42"/>
      <w:bookmarkStart w:id="43" w:name="_Toc184312124"/>
      <w:bookmarkEnd w:id="43"/>
      <w:bookmarkStart w:id="44" w:name="_Toc184310318"/>
      <w:bookmarkEnd w:id="44"/>
      <w:bookmarkStart w:id="45" w:name="_Toc184314416"/>
      <w:bookmarkEnd w:id="45"/>
      <w:bookmarkStart w:id="46" w:name="_Toc184312101"/>
      <w:bookmarkEnd w:id="46"/>
      <w:bookmarkStart w:id="47" w:name="_Toc184312073"/>
      <w:bookmarkEnd w:id="47"/>
      <w:bookmarkStart w:id="48" w:name="_Toc184314442"/>
      <w:bookmarkEnd w:id="48"/>
      <w:bookmarkStart w:id="49" w:name="_Toc184314451"/>
      <w:bookmarkEnd w:id="49"/>
      <w:bookmarkStart w:id="50" w:name="_Toc184312079"/>
      <w:bookmarkEnd w:id="50"/>
      <w:bookmarkStart w:id="51" w:name="_Toc184308059"/>
      <w:bookmarkEnd w:id="51"/>
      <w:bookmarkStart w:id="52" w:name="_Toc184312103"/>
      <w:bookmarkEnd w:id="52"/>
      <w:bookmarkStart w:id="53" w:name="_Toc184310344"/>
      <w:bookmarkEnd w:id="53"/>
      <w:bookmarkStart w:id="54" w:name="_Toc184308070"/>
      <w:bookmarkEnd w:id="54"/>
      <w:bookmarkStart w:id="55" w:name="_Toc184313254"/>
      <w:bookmarkEnd w:id="55"/>
      <w:bookmarkStart w:id="56" w:name="_Toc184308045"/>
      <w:bookmarkEnd w:id="56"/>
      <w:bookmarkStart w:id="57" w:name="_Toc184310276"/>
      <w:bookmarkEnd w:id="57"/>
      <w:bookmarkStart w:id="58" w:name="_Toc184313269"/>
      <w:bookmarkEnd w:id="58"/>
      <w:bookmarkStart w:id="59" w:name="_Toc184308041"/>
      <w:bookmarkEnd w:id="59"/>
      <w:bookmarkStart w:id="60" w:name="_Toc184308071"/>
      <w:bookmarkEnd w:id="60"/>
      <w:bookmarkStart w:id="61" w:name="_Toc184310272"/>
      <w:bookmarkEnd w:id="61"/>
      <w:bookmarkStart w:id="62" w:name="_Toc184310342"/>
      <w:bookmarkEnd w:id="62"/>
      <w:bookmarkStart w:id="63" w:name="_Toc184313301"/>
      <w:bookmarkEnd w:id="63"/>
      <w:bookmarkStart w:id="64" w:name="_Toc184310311"/>
      <w:bookmarkEnd w:id="64"/>
      <w:bookmarkStart w:id="65" w:name="_Toc184313282"/>
      <w:bookmarkEnd w:id="65"/>
      <w:bookmarkStart w:id="66" w:name="_Toc184314474"/>
      <w:bookmarkEnd w:id="66"/>
      <w:bookmarkStart w:id="67" w:name="_Toc184314410"/>
      <w:bookmarkEnd w:id="67"/>
      <w:bookmarkStart w:id="68" w:name="_Toc184314457"/>
      <w:bookmarkEnd w:id="68"/>
      <w:bookmarkStart w:id="69" w:name="_Toc184308039"/>
      <w:bookmarkEnd w:id="69"/>
      <w:bookmarkStart w:id="70" w:name="_Toc184312111"/>
      <w:bookmarkEnd w:id="70"/>
      <w:bookmarkStart w:id="71" w:name="_Toc184308086"/>
      <w:bookmarkEnd w:id="71"/>
      <w:bookmarkStart w:id="72" w:name="_Toc184314471"/>
      <w:bookmarkEnd w:id="72"/>
      <w:bookmarkStart w:id="73" w:name="_Toc184310282"/>
      <w:bookmarkEnd w:id="73"/>
      <w:bookmarkStart w:id="74" w:name="_Toc184310341"/>
      <w:bookmarkEnd w:id="74"/>
      <w:bookmarkStart w:id="75" w:name="_Toc184312095"/>
      <w:bookmarkEnd w:id="75"/>
      <w:bookmarkStart w:id="76" w:name="_Toc184313239"/>
      <w:bookmarkEnd w:id="76"/>
      <w:bookmarkStart w:id="77" w:name="_Toc184308069"/>
      <w:bookmarkEnd w:id="77"/>
      <w:bookmarkStart w:id="78" w:name="_Toc184310314"/>
      <w:bookmarkEnd w:id="78"/>
      <w:bookmarkStart w:id="79" w:name="_Toc184314420"/>
      <w:bookmarkEnd w:id="79"/>
      <w:bookmarkStart w:id="80" w:name="_Toc184310316"/>
      <w:bookmarkEnd w:id="80"/>
      <w:bookmarkStart w:id="81" w:name="_Toc184314418"/>
      <w:bookmarkEnd w:id="81"/>
      <w:bookmarkStart w:id="82" w:name="_Toc184312074"/>
      <w:bookmarkEnd w:id="82"/>
      <w:bookmarkStart w:id="83" w:name="_Toc184308038"/>
      <w:bookmarkEnd w:id="83"/>
      <w:bookmarkStart w:id="84" w:name="_Toc184310279"/>
      <w:bookmarkEnd w:id="84"/>
      <w:bookmarkStart w:id="85" w:name="_Toc184308066"/>
      <w:bookmarkEnd w:id="85"/>
      <w:bookmarkStart w:id="86" w:name="_Toc184313264"/>
      <w:bookmarkEnd w:id="86"/>
      <w:bookmarkStart w:id="87" w:name="_Toc184310324"/>
      <w:bookmarkEnd w:id="87"/>
      <w:bookmarkStart w:id="88" w:name="_Toc184314473"/>
      <w:bookmarkEnd w:id="88"/>
      <w:bookmarkStart w:id="89" w:name="_Toc184312078"/>
      <w:bookmarkEnd w:id="89"/>
      <w:bookmarkStart w:id="90" w:name="_Toc184314447"/>
      <w:bookmarkEnd w:id="90"/>
      <w:bookmarkStart w:id="91" w:name="_Toc184310289"/>
      <w:bookmarkEnd w:id="91"/>
      <w:bookmarkStart w:id="92" w:name="_Toc184314477"/>
      <w:bookmarkEnd w:id="92"/>
      <w:bookmarkStart w:id="93" w:name="_Toc184314415"/>
      <w:bookmarkEnd w:id="93"/>
      <w:bookmarkStart w:id="94" w:name="_Toc184313277"/>
      <w:bookmarkEnd w:id="94"/>
      <w:bookmarkStart w:id="95" w:name="_Toc184314421"/>
      <w:bookmarkEnd w:id="95"/>
      <w:bookmarkStart w:id="96" w:name="_Toc184308100"/>
      <w:bookmarkEnd w:id="96"/>
      <w:bookmarkStart w:id="97" w:name="_Toc184312089"/>
      <w:bookmarkEnd w:id="97"/>
      <w:bookmarkStart w:id="98" w:name="_Toc184314444"/>
      <w:bookmarkEnd w:id="98"/>
      <w:bookmarkStart w:id="99" w:name="_Toc184314431"/>
      <w:bookmarkEnd w:id="99"/>
      <w:bookmarkStart w:id="100" w:name="_Toc184314462"/>
      <w:bookmarkEnd w:id="100"/>
      <w:bookmarkStart w:id="101" w:name="_Toc184314460"/>
      <w:bookmarkEnd w:id="101"/>
      <w:bookmarkStart w:id="102" w:name="_Toc184310285"/>
      <w:bookmarkEnd w:id="102"/>
      <w:bookmarkStart w:id="103" w:name="_Toc184313261"/>
      <w:bookmarkEnd w:id="103"/>
      <w:bookmarkStart w:id="104" w:name="_Toc184313245"/>
      <w:bookmarkEnd w:id="104"/>
      <w:bookmarkStart w:id="105" w:name="_Toc184314470"/>
      <w:bookmarkEnd w:id="105"/>
      <w:bookmarkStart w:id="106" w:name="_Toc184308096"/>
      <w:bookmarkEnd w:id="106"/>
      <w:bookmarkStart w:id="107" w:name="_Toc184314443"/>
      <w:bookmarkEnd w:id="107"/>
      <w:bookmarkStart w:id="108" w:name="_Toc184310296"/>
      <w:bookmarkEnd w:id="108"/>
      <w:bookmarkStart w:id="109" w:name="_Toc184312127"/>
      <w:bookmarkEnd w:id="109"/>
      <w:bookmarkStart w:id="110" w:name="_Toc184312100"/>
      <w:bookmarkEnd w:id="110"/>
      <w:bookmarkStart w:id="111" w:name="_Toc184313309"/>
      <w:bookmarkEnd w:id="111"/>
      <w:bookmarkStart w:id="112" w:name="_Toc184314411"/>
      <w:bookmarkEnd w:id="112"/>
      <w:bookmarkStart w:id="113" w:name="_Toc184310292"/>
      <w:bookmarkEnd w:id="113"/>
      <w:bookmarkStart w:id="114" w:name="_Toc184313260"/>
      <w:bookmarkEnd w:id="114"/>
      <w:bookmarkStart w:id="115" w:name="_Toc184313275"/>
      <w:bookmarkEnd w:id="115"/>
      <w:bookmarkStart w:id="116" w:name="_Toc184314467"/>
      <w:bookmarkEnd w:id="116"/>
      <w:bookmarkStart w:id="117" w:name="_Toc184312129"/>
      <w:bookmarkEnd w:id="117"/>
      <w:bookmarkStart w:id="118" w:name="_Toc184310312"/>
      <w:bookmarkEnd w:id="118"/>
      <w:bookmarkStart w:id="119" w:name="_Toc184314419"/>
      <w:bookmarkEnd w:id="119"/>
      <w:bookmarkStart w:id="120" w:name="_Toc184312085"/>
      <w:bookmarkEnd w:id="120"/>
      <w:bookmarkStart w:id="121" w:name="_Toc184310299"/>
      <w:bookmarkEnd w:id="121"/>
      <w:bookmarkStart w:id="122" w:name="_Toc184308044"/>
      <w:bookmarkEnd w:id="122"/>
      <w:bookmarkStart w:id="123" w:name="_Toc184310287"/>
      <w:bookmarkEnd w:id="123"/>
      <w:bookmarkStart w:id="124" w:name="_Toc184308061"/>
      <w:bookmarkEnd w:id="124"/>
      <w:bookmarkStart w:id="125" w:name="_Toc184310328"/>
      <w:bookmarkEnd w:id="125"/>
      <w:bookmarkStart w:id="126" w:name="_Toc184310333"/>
      <w:bookmarkEnd w:id="126"/>
      <w:bookmarkStart w:id="127" w:name="_Toc184313295"/>
      <w:bookmarkEnd w:id="127"/>
      <w:bookmarkStart w:id="128" w:name="_Toc184314472"/>
      <w:bookmarkEnd w:id="128"/>
      <w:bookmarkStart w:id="129" w:name="_Toc184310323"/>
      <w:bookmarkEnd w:id="129"/>
      <w:bookmarkStart w:id="130" w:name="_Toc184312106"/>
      <w:bookmarkEnd w:id="130"/>
      <w:bookmarkStart w:id="131" w:name="_Toc184310283"/>
      <w:bookmarkEnd w:id="131"/>
      <w:bookmarkStart w:id="132" w:name="_Toc184314459"/>
      <w:bookmarkEnd w:id="132"/>
      <w:bookmarkStart w:id="133" w:name="_Toc184308091"/>
      <w:bookmarkEnd w:id="133"/>
      <w:bookmarkStart w:id="134" w:name="_Toc184314463"/>
      <w:bookmarkEnd w:id="134"/>
      <w:bookmarkStart w:id="135" w:name="_Toc184314428"/>
      <w:bookmarkEnd w:id="135"/>
      <w:bookmarkStart w:id="136" w:name="_Toc184308057"/>
      <w:bookmarkEnd w:id="136"/>
      <w:bookmarkStart w:id="137" w:name="_Toc184314439"/>
      <w:bookmarkEnd w:id="137"/>
      <w:bookmarkStart w:id="138" w:name="_Toc184308064"/>
      <w:bookmarkEnd w:id="138"/>
      <w:bookmarkStart w:id="139" w:name="_Toc184313244"/>
      <w:bookmarkEnd w:id="139"/>
      <w:bookmarkStart w:id="140" w:name="_Toc184310291"/>
      <w:bookmarkEnd w:id="140"/>
      <w:bookmarkStart w:id="141" w:name="_Toc184308040"/>
      <w:bookmarkEnd w:id="141"/>
      <w:bookmarkStart w:id="142" w:name="_Toc184312067"/>
      <w:bookmarkEnd w:id="142"/>
      <w:bookmarkStart w:id="143" w:name="_Toc184313299"/>
      <w:bookmarkEnd w:id="143"/>
      <w:bookmarkStart w:id="144" w:name="_Toc184308105"/>
      <w:bookmarkEnd w:id="144"/>
      <w:bookmarkStart w:id="145" w:name="_Toc184313274"/>
      <w:bookmarkEnd w:id="145"/>
      <w:bookmarkStart w:id="146" w:name="_Toc184308090"/>
      <w:bookmarkEnd w:id="146"/>
      <w:bookmarkStart w:id="147" w:name="_Toc184314414"/>
      <w:bookmarkEnd w:id="147"/>
      <w:bookmarkStart w:id="148" w:name="_Toc184312138"/>
      <w:bookmarkEnd w:id="148"/>
      <w:bookmarkStart w:id="149" w:name="_Toc184313238"/>
      <w:bookmarkEnd w:id="149"/>
      <w:bookmarkStart w:id="150" w:name="_Toc184312077"/>
      <w:bookmarkEnd w:id="150"/>
      <w:bookmarkStart w:id="151" w:name="_Toc184308089"/>
      <w:bookmarkEnd w:id="151"/>
      <w:bookmarkStart w:id="152" w:name="_Toc184312120"/>
      <w:bookmarkEnd w:id="152"/>
      <w:bookmarkStart w:id="153" w:name="_Toc184314453"/>
      <w:bookmarkEnd w:id="153"/>
      <w:bookmarkStart w:id="154" w:name="_Toc184312099"/>
      <w:bookmarkEnd w:id="154"/>
      <w:bookmarkStart w:id="155" w:name="_Toc184310301"/>
      <w:bookmarkEnd w:id="155"/>
      <w:bookmarkStart w:id="156" w:name="_Toc184314423"/>
      <w:bookmarkEnd w:id="156"/>
      <w:bookmarkStart w:id="157" w:name="_Toc184313308"/>
      <w:bookmarkEnd w:id="157"/>
      <w:bookmarkStart w:id="158" w:name="_Toc184310335"/>
      <w:bookmarkEnd w:id="158"/>
      <w:bookmarkStart w:id="159" w:name="_Toc184308065"/>
      <w:bookmarkEnd w:id="159"/>
      <w:bookmarkStart w:id="160" w:name="_Toc184308046"/>
      <w:bookmarkEnd w:id="160"/>
      <w:bookmarkStart w:id="161" w:name="_Toc184308048"/>
      <w:bookmarkEnd w:id="161"/>
      <w:bookmarkStart w:id="162" w:name="_Toc184308108"/>
      <w:bookmarkEnd w:id="162"/>
      <w:bookmarkStart w:id="163" w:name="_Toc184312075"/>
      <w:bookmarkEnd w:id="163"/>
      <w:bookmarkStart w:id="164" w:name="_Toc184314468"/>
      <w:bookmarkEnd w:id="164"/>
      <w:bookmarkStart w:id="165" w:name="_Toc184308102"/>
      <w:bookmarkEnd w:id="165"/>
      <w:bookmarkStart w:id="166" w:name="_Toc184313294"/>
      <w:bookmarkEnd w:id="166"/>
      <w:bookmarkStart w:id="167" w:name="_Toc184313256"/>
      <w:bookmarkEnd w:id="167"/>
      <w:bookmarkStart w:id="168" w:name="_Toc184308043"/>
      <w:bookmarkEnd w:id="168"/>
      <w:bookmarkStart w:id="169" w:name="_Toc184313267"/>
      <w:bookmarkEnd w:id="169"/>
      <w:bookmarkStart w:id="170" w:name="_Toc184313262"/>
      <w:bookmarkEnd w:id="170"/>
      <w:bookmarkStart w:id="171" w:name="_Toc184314434"/>
      <w:bookmarkEnd w:id="171"/>
      <w:bookmarkStart w:id="172" w:name="_Toc184310275"/>
      <w:bookmarkEnd w:id="172"/>
      <w:bookmarkStart w:id="173" w:name="_Toc184312076"/>
      <w:bookmarkEnd w:id="173"/>
      <w:bookmarkStart w:id="174" w:name="_Toc184308094"/>
      <w:bookmarkEnd w:id="174"/>
      <w:bookmarkStart w:id="175" w:name="_Toc184310278"/>
      <w:bookmarkEnd w:id="175"/>
      <w:bookmarkStart w:id="176" w:name="_Toc184314450"/>
      <w:bookmarkEnd w:id="176"/>
      <w:bookmarkStart w:id="177" w:name="_Toc184314482"/>
      <w:bookmarkEnd w:id="177"/>
      <w:bookmarkStart w:id="178" w:name="_Toc184312137"/>
      <w:bookmarkEnd w:id="178"/>
      <w:bookmarkStart w:id="179" w:name="_Toc184310284"/>
      <w:bookmarkEnd w:id="179"/>
      <w:bookmarkStart w:id="180" w:name="_Toc184312068"/>
      <w:bookmarkEnd w:id="180"/>
      <w:bookmarkStart w:id="181" w:name="_Toc184310304"/>
      <w:bookmarkEnd w:id="181"/>
      <w:bookmarkStart w:id="182" w:name="_Toc184313270"/>
      <w:bookmarkEnd w:id="182"/>
      <w:bookmarkStart w:id="183" w:name="_Toc184312132"/>
      <w:bookmarkEnd w:id="183"/>
      <w:bookmarkStart w:id="184" w:name="_Toc184314445"/>
      <w:bookmarkEnd w:id="184"/>
      <w:bookmarkStart w:id="185" w:name="_Toc184314475"/>
      <w:bookmarkEnd w:id="185"/>
      <w:bookmarkStart w:id="186" w:name="_Toc184314449"/>
      <w:bookmarkEnd w:id="186"/>
      <w:bookmarkStart w:id="187" w:name="_Toc184310317"/>
      <w:bookmarkEnd w:id="187"/>
      <w:bookmarkStart w:id="188" w:name="_Toc184308084"/>
      <w:bookmarkEnd w:id="188"/>
      <w:bookmarkStart w:id="189" w:name="_Toc184310274"/>
      <w:bookmarkEnd w:id="189"/>
      <w:bookmarkStart w:id="190" w:name="_Toc184314466"/>
      <w:bookmarkEnd w:id="190"/>
      <w:bookmarkStart w:id="191" w:name="_Toc184308075"/>
      <w:bookmarkEnd w:id="191"/>
      <w:bookmarkStart w:id="192" w:name="_Toc184314438"/>
      <w:bookmarkEnd w:id="192"/>
      <w:bookmarkStart w:id="193" w:name="_Toc184312123"/>
      <w:bookmarkEnd w:id="193"/>
      <w:bookmarkStart w:id="194" w:name="_Toc184313300"/>
      <w:bookmarkEnd w:id="194"/>
      <w:bookmarkStart w:id="195" w:name="_Toc184308103"/>
      <w:bookmarkEnd w:id="195"/>
      <w:bookmarkStart w:id="196" w:name="_Toc184312139"/>
      <w:bookmarkEnd w:id="196"/>
      <w:bookmarkStart w:id="197" w:name="_Toc184312117"/>
      <w:bookmarkEnd w:id="197"/>
      <w:bookmarkStart w:id="198" w:name="_Toc184314458"/>
      <w:bookmarkEnd w:id="198"/>
      <w:bookmarkStart w:id="199" w:name="_Toc184308037"/>
      <w:bookmarkEnd w:id="199"/>
      <w:bookmarkStart w:id="200" w:name="_Toc184314440"/>
      <w:bookmarkEnd w:id="200"/>
      <w:bookmarkStart w:id="201" w:name="_Toc184313281"/>
      <w:bookmarkEnd w:id="201"/>
      <w:bookmarkStart w:id="202" w:name="_Toc184308062"/>
      <w:bookmarkEnd w:id="202"/>
      <w:bookmarkStart w:id="203" w:name="_Toc184314476"/>
      <w:bookmarkEnd w:id="203"/>
      <w:bookmarkStart w:id="204" w:name="_Toc184308055"/>
      <w:bookmarkEnd w:id="204"/>
      <w:bookmarkStart w:id="205" w:name="_Toc184310337"/>
      <w:bookmarkEnd w:id="205"/>
      <w:bookmarkStart w:id="206" w:name="_Toc184314425"/>
      <w:bookmarkEnd w:id="206"/>
      <w:bookmarkStart w:id="207" w:name="_Toc184308087"/>
      <w:bookmarkEnd w:id="207"/>
      <w:bookmarkStart w:id="208" w:name="_Toc184312109"/>
      <w:bookmarkEnd w:id="208"/>
      <w:bookmarkStart w:id="209" w:name="_Toc184314465"/>
      <w:bookmarkEnd w:id="209"/>
      <w:bookmarkStart w:id="210" w:name="_Toc184312084"/>
      <w:bookmarkEnd w:id="210"/>
      <w:bookmarkStart w:id="211" w:name="_Toc184310319"/>
      <w:bookmarkEnd w:id="211"/>
      <w:bookmarkStart w:id="212" w:name="_Toc184313304"/>
      <w:bookmarkEnd w:id="212"/>
      <w:bookmarkStart w:id="213" w:name="_Toc184314412"/>
      <w:bookmarkEnd w:id="213"/>
      <w:bookmarkStart w:id="214" w:name="_Toc184313257"/>
      <w:bookmarkEnd w:id="214"/>
      <w:bookmarkStart w:id="215" w:name="_Toc184313310"/>
      <w:bookmarkEnd w:id="215"/>
      <w:bookmarkStart w:id="216" w:name="_Toc184312119"/>
      <w:bookmarkEnd w:id="216"/>
      <w:bookmarkStart w:id="217" w:name="_Toc184313241"/>
      <w:bookmarkEnd w:id="217"/>
      <w:bookmarkStart w:id="218" w:name="_Toc184313273"/>
      <w:bookmarkEnd w:id="218"/>
      <w:bookmarkStart w:id="219" w:name="_Toc184308081"/>
      <w:bookmarkEnd w:id="219"/>
      <w:bookmarkStart w:id="220" w:name="_Toc184310286"/>
      <w:bookmarkEnd w:id="220"/>
      <w:bookmarkStart w:id="221" w:name="_Toc184314435"/>
      <w:bookmarkEnd w:id="221"/>
      <w:bookmarkStart w:id="222" w:name="_Toc184313248"/>
      <w:bookmarkEnd w:id="222"/>
      <w:bookmarkStart w:id="223" w:name="_Toc184313285"/>
      <w:bookmarkEnd w:id="223"/>
      <w:bookmarkStart w:id="224" w:name="_Toc184310273"/>
      <w:bookmarkEnd w:id="224"/>
      <w:bookmarkStart w:id="225" w:name="_Toc184312134"/>
      <w:bookmarkEnd w:id="225"/>
      <w:bookmarkStart w:id="226" w:name="_Toc184312108"/>
      <w:bookmarkEnd w:id="226"/>
      <w:bookmarkStart w:id="227" w:name="_Toc184308085"/>
      <w:bookmarkEnd w:id="227"/>
      <w:bookmarkStart w:id="228" w:name="_Toc184310326"/>
      <w:bookmarkEnd w:id="228"/>
      <w:bookmarkStart w:id="229" w:name="_Toc184310327"/>
      <w:bookmarkEnd w:id="229"/>
      <w:bookmarkStart w:id="230" w:name="_Toc184312082"/>
      <w:bookmarkEnd w:id="230"/>
      <w:bookmarkStart w:id="231" w:name="_Toc184312072"/>
      <w:bookmarkEnd w:id="231"/>
      <w:bookmarkStart w:id="232" w:name="_Toc184310309"/>
      <w:bookmarkEnd w:id="232"/>
      <w:bookmarkStart w:id="233" w:name="_Toc184312091"/>
      <w:bookmarkEnd w:id="233"/>
      <w:bookmarkStart w:id="234" w:name="_Toc184313279"/>
      <w:bookmarkEnd w:id="234"/>
      <w:bookmarkStart w:id="235" w:name="_Toc184308079"/>
      <w:bookmarkEnd w:id="235"/>
      <w:bookmarkStart w:id="236" w:name="_Toc184314417"/>
      <w:bookmarkEnd w:id="236"/>
      <w:bookmarkStart w:id="237" w:name="_Toc184308072"/>
      <w:bookmarkEnd w:id="237"/>
      <w:bookmarkStart w:id="238" w:name="_Toc184308047"/>
      <w:bookmarkEnd w:id="238"/>
      <w:bookmarkStart w:id="239" w:name="_Toc184312112"/>
      <w:bookmarkEnd w:id="239"/>
      <w:bookmarkStart w:id="240" w:name="_Toc184308073"/>
      <w:bookmarkEnd w:id="240"/>
      <w:bookmarkStart w:id="241" w:name="_Toc184308051"/>
      <w:bookmarkEnd w:id="241"/>
      <w:bookmarkStart w:id="242" w:name="_Toc184312114"/>
      <w:bookmarkEnd w:id="242"/>
      <w:bookmarkStart w:id="243" w:name="_Toc184312121"/>
      <w:bookmarkEnd w:id="243"/>
      <w:bookmarkStart w:id="244" w:name="_Toc184310329"/>
      <w:bookmarkEnd w:id="244"/>
      <w:bookmarkStart w:id="245" w:name="_Toc184310331"/>
      <w:bookmarkEnd w:id="245"/>
      <w:bookmarkStart w:id="246" w:name="_Toc184312088"/>
      <w:bookmarkEnd w:id="246"/>
      <w:bookmarkStart w:id="247" w:name="_Toc184312096"/>
      <w:bookmarkEnd w:id="247"/>
      <w:bookmarkStart w:id="248" w:name="_Toc184310290"/>
      <w:bookmarkEnd w:id="248"/>
      <w:bookmarkStart w:id="249" w:name="_Toc184312098"/>
      <w:bookmarkEnd w:id="249"/>
      <w:bookmarkStart w:id="250" w:name="_Toc184314481"/>
      <w:bookmarkEnd w:id="250"/>
      <w:bookmarkStart w:id="251" w:name="_Toc184308049"/>
      <w:bookmarkEnd w:id="251"/>
      <w:bookmarkStart w:id="252" w:name="_Toc184312090"/>
      <w:bookmarkEnd w:id="252"/>
      <w:bookmarkStart w:id="253" w:name="_Toc184312130"/>
      <w:bookmarkEnd w:id="253"/>
      <w:bookmarkStart w:id="254" w:name="_Toc184314437"/>
      <w:bookmarkEnd w:id="254"/>
      <w:bookmarkStart w:id="255" w:name="_Toc184312113"/>
      <w:bookmarkEnd w:id="255"/>
      <w:bookmarkStart w:id="256" w:name="_Toc184313280"/>
      <w:bookmarkEnd w:id="256"/>
      <w:bookmarkStart w:id="257" w:name="_Toc184312128"/>
      <w:bookmarkEnd w:id="257"/>
      <w:bookmarkStart w:id="258" w:name="_Toc184308056"/>
      <w:bookmarkEnd w:id="258"/>
      <w:bookmarkStart w:id="259" w:name="_Toc184313258"/>
      <w:bookmarkEnd w:id="259"/>
      <w:bookmarkStart w:id="260" w:name="_Toc184312087"/>
      <w:bookmarkEnd w:id="260"/>
      <w:bookmarkStart w:id="261" w:name="_Toc184308074"/>
      <w:bookmarkEnd w:id="261"/>
      <w:bookmarkStart w:id="262" w:name="_Toc184308077"/>
      <w:bookmarkEnd w:id="262"/>
      <w:bookmarkStart w:id="263" w:name="_Toc184308088"/>
      <w:bookmarkEnd w:id="263"/>
      <w:bookmarkStart w:id="264" w:name="_Toc184312125"/>
      <w:bookmarkEnd w:id="264"/>
      <w:bookmarkStart w:id="265" w:name="_Toc184310294"/>
      <w:bookmarkEnd w:id="265"/>
      <w:bookmarkStart w:id="266" w:name="_Toc184308076"/>
      <w:bookmarkEnd w:id="266"/>
      <w:bookmarkStart w:id="267" w:name="_Toc184308099"/>
      <w:bookmarkEnd w:id="267"/>
      <w:bookmarkStart w:id="268" w:name="_Toc184310340"/>
      <w:bookmarkEnd w:id="268"/>
      <w:bookmarkStart w:id="269" w:name="_Toc184312135"/>
      <w:bookmarkEnd w:id="269"/>
      <w:bookmarkStart w:id="270" w:name="_Toc184314448"/>
      <w:bookmarkEnd w:id="270"/>
      <w:bookmarkStart w:id="271" w:name="_Toc184310321"/>
      <w:bookmarkEnd w:id="271"/>
      <w:bookmarkStart w:id="272" w:name="_Toc184314424"/>
      <w:bookmarkEnd w:id="272"/>
      <w:bookmarkStart w:id="273" w:name="_Toc184313297"/>
      <w:bookmarkEnd w:id="273"/>
      <w:bookmarkStart w:id="274" w:name="_Toc184310288"/>
      <w:bookmarkEnd w:id="274"/>
      <w:bookmarkStart w:id="275" w:name="_Toc184314436"/>
      <w:bookmarkEnd w:id="275"/>
      <w:bookmarkStart w:id="276" w:name="_Toc184313303"/>
      <w:bookmarkEnd w:id="276"/>
      <w:bookmarkStart w:id="277" w:name="_Toc184308080"/>
      <w:bookmarkEnd w:id="277"/>
      <w:bookmarkStart w:id="278" w:name="_Toc184312116"/>
      <w:bookmarkEnd w:id="278"/>
      <w:bookmarkStart w:id="279" w:name="_Toc184310308"/>
      <w:bookmarkEnd w:id="279"/>
      <w:bookmarkStart w:id="280" w:name="_Toc184310305"/>
      <w:bookmarkEnd w:id="280"/>
      <w:bookmarkStart w:id="281" w:name="_Toc184313298"/>
      <w:bookmarkEnd w:id="281"/>
      <w:bookmarkStart w:id="282" w:name="_Toc184310325"/>
      <w:bookmarkEnd w:id="282"/>
      <w:bookmarkStart w:id="283" w:name="_Toc184312083"/>
      <w:bookmarkEnd w:id="283"/>
      <w:bookmarkStart w:id="284" w:name="_Toc184313278"/>
      <w:bookmarkEnd w:id="284"/>
      <w:bookmarkStart w:id="285" w:name="_Toc184310300"/>
      <w:bookmarkEnd w:id="285"/>
      <w:bookmarkStart w:id="286" w:name="_Toc184312126"/>
      <w:bookmarkEnd w:id="286"/>
      <w:bookmarkStart w:id="287" w:name="_Toc184314456"/>
      <w:bookmarkEnd w:id="287"/>
      <w:bookmarkStart w:id="288" w:name="_Toc184314429"/>
      <w:bookmarkEnd w:id="288"/>
      <w:bookmarkStart w:id="289" w:name="_Toc184310338"/>
      <w:bookmarkEnd w:id="289"/>
      <w:bookmarkStart w:id="290" w:name="_Toc184314413"/>
      <w:bookmarkEnd w:id="290"/>
      <w:bookmarkStart w:id="291" w:name="_Toc184313307"/>
      <w:bookmarkEnd w:id="291"/>
      <w:bookmarkStart w:id="292" w:name="_Toc184313253"/>
      <w:bookmarkEnd w:id="292"/>
      <w:bookmarkStart w:id="293" w:name="_Toc184310315"/>
      <w:bookmarkEnd w:id="293"/>
      <w:bookmarkStart w:id="294" w:name="_Toc184308093"/>
      <w:bookmarkEnd w:id="294"/>
      <w:bookmarkStart w:id="295" w:name="_Toc184314441"/>
      <w:bookmarkEnd w:id="295"/>
      <w:bookmarkStart w:id="296" w:name="_Toc184312094"/>
      <w:bookmarkEnd w:id="296"/>
      <w:bookmarkStart w:id="297" w:name="_Toc184313291"/>
      <w:bookmarkEnd w:id="297"/>
      <w:bookmarkStart w:id="298" w:name="_Toc184308054"/>
      <w:bookmarkEnd w:id="298"/>
      <w:bookmarkStart w:id="299" w:name="_Toc184313293"/>
      <w:bookmarkEnd w:id="299"/>
      <w:bookmarkStart w:id="300" w:name="_Toc184308101"/>
      <w:bookmarkEnd w:id="300"/>
      <w:bookmarkStart w:id="301" w:name="_Toc184314422"/>
      <w:bookmarkEnd w:id="301"/>
      <w:bookmarkStart w:id="302" w:name="_Toc184314452"/>
      <w:bookmarkEnd w:id="302"/>
      <w:bookmarkStart w:id="303" w:name="_Toc184310334"/>
      <w:bookmarkEnd w:id="303"/>
      <w:bookmarkStart w:id="304" w:name="_Toc184308104"/>
      <w:bookmarkEnd w:id="304"/>
      <w:bookmarkStart w:id="305" w:name="_Toc184310322"/>
      <w:bookmarkEnd w:id="305"/>
      <w:bookmarkStart w:id="306" w:name="_Toc184313287"/>
      <w:bookmarkEnd w:id="306"/>
      <w:bookmarkStart w:id="307" w:name="_Toc184313286"/>
      <w:bookmarkEnd w:id="307"/>
      <w:bookmarkStart w:id="308" w:name="_Toc184308107"/>
      <w:bookmarkEnd w:id="308"/>
      <w:bookmarkStart w:id="309" w:name="_Toc184313240"/>
      <w:bookmarkEnd w:id="309"/>
      <w:bookmarkStart w:id="310" w:name="_Toc184308068"/>
      <w:bookmarkEnd w:id="310"/>
      <w:bookmarkStart w:id="311" w:name="_Toc184314427"/>
      <w:bookmarkEnd w:id="311"/>
      <w:bookmarkStart w:id="312" w:name="_Toc184314430"/>
      <w:bookmarkEnd w:id="312"/>
      <w:bookmarkStart w:id="313" w:name="_Toc184313263"/>
      <w:bookmarkEnd w:id="313"/>
      <w:bookmarkStart w:id="314" w:name="_Toc184313242"/>
      <w:bookmarkEnd w:id="314"/>
      <w:bookmarkStart w:id="315" w:name="_Toc184308098"/>
      <w:bookmarkEnd w:id="315"/>
      <w:bookmarkStart w:id="316" w:name="_Toc184312136"/>
      <w:bookmarkEnd w:id="316"/>
      <w:bookmarkStart w:id="317" w:name="_Toc184313249"/>
      <w:bookmarkEnd w:id="317"/>
      <w:bookmarkStart w:id="318" w:name="_Toc184310298"/>
      <w:bookmarkEnd w:id="318"/>
      <w:bookmarkStart w:id="319" w:name="_Toc184308097"/>
      <w:bookmarkEnd w:id="319"/>
      <w:bookmarkStart w:id="320" w:name="_Toc184310293"/>
      <w:bookmarkEnd w:id="320"/>
      <w:bookmarkStart w:id="321" w:name="_Toc184310302"/>
      <w:bookmarkEnd w:id="321"/>
      <w:bookmarkStart w:id="322" w:name="_Toc184308060"/>
      <w:bookmarkEnd w:id="322"/>
      <w:bookmarkStart w:id="323" w:name="_Toc184313250"/>
      <w:bookmarkEnd w:id="323"/>
      <w:bookmarkStart w:id="324" w:name="_Toc184313288"/>
      <w:bookmarkEnd w:id="324"/>
      <w:bookmarkStart w:id="325" w:name="_Toc184313283"/>
      <w:bookmarkEnd w:id="325"/>
      <w:bookmarkStart w:id="326" w:name="_Toc184313290"/>
      <w:bookmarkEnd w:id="326"/>
      <w:bookmarkStart w:id="327" w:name="_Toc184308106"/>
      <w:bookmarkEnd w:id="327"/>
      <w:bookmarkStart w:id="328" w:name="_Toc184310303"/>
      <w:bookmarkEnd w:id="328"/>
      <w:bookmarkStart w:id="329" w:name="_Toc184312069"/>
      <w:bookmarkEnd w:id="329"/>
      <w:bookmarkStart w:id="330" w:name="_Toc184314454"/>
      <w:bookmarkEnd w:id="330"/>
      <w:bookmarkStart w:id="331" w:name="_Toc184310280"/>
      <w:bookmarkEnd w:id="331"/>
      <w:bookmarkStart w:id="332" w:name="_Toc184310307"/>
      <w:bookmarkEnd w:id="332"/>
      <w:bookmarkStart w:id="333" w:name="_Toc184312115"/>
      <w:bookmarkEnd w:id="333"/>
      <w:bookmarkStart w:id="334" w:name="_Toc184313247"/>
      <w:bookmarkEnd w:id="334"/>
      <w:bookmarkStart w:id="335" w:name="_Toc184312131"/>
      <w:bookmarkEnd w:id="335"/>
      <w:bookmarkStart w:id="336" w:name="_Toc184308067"/>
      <w:bookmarkEnd w:id="336"/>
      <w:bookmarkStart w:id="337" w:name="_Toc184312105"/>
      <w:bookmarkEnd w:id="337"/>
      <w:bookmarkStart w:id="338" w:name="_Toc184313265"/>
      <w:bookmarkEnd w:id="338"/>
      <w:bookmarkStart w:id="339" w:name="_Toc184310330"/>
      <w:bookmarkEnd w:id="339"/>
      <w:bookmarkStart w:id="340" w:name="_Toc184313252"/>
      <w:bookmarkEnd w:id="340"/>
      <w:bookmarkStart w:id="341" w:name="_Toc184308078"/>
      <w:bookmarkEnd w:id="341"/>
      <w:bookmarkStart w:id="342" w:name="_Toc184313251"/>
      <w:bookmarkEnd w:id="342"/>
      <w:bookmarkStart w:id="343" w:name="_Toc184310336"/>
      <w:bookmarkEnd w:id="343"/>
      <w:bookmarkStart w:id="344" w:name="_Toc184312122"/>
      <w:bookmarkEnd w:id="344"/>
      <w:bookmarkStart w:id="345" w:name="_Toc184312107"/>
      <w:bookmarkEnd w:id="345"/>
      <w:bookmarkStart w:id="346" w:name="_Toc184308053"/>
      <w:bookmarkEnd w:id="346"/>
      <w:bookmarkStart w:id="347" w:name="_Toc184313276"/>
      <w:bookmarkEnd w:id="347"/>
      <w:bookmarkStart w:id="348" w:name="_Toc184312093"/>
      <w:bookmarkEnd w:id="348"/>
      <w:bookmarkStart w:id="349" w:name="_Toc184312080"/>
      <w:bookmarkEnd w:id="349"/>
      <w:bookmarkStart w:id="350" w:name="_Toc184313255"/>
      <w:bookmarkEnd w:id="350"/>
      <w:bookmarkStart w:id="351" w:name="_Toc184314464"/>
      <w:bookmarkEnd w:id="351"/>
      <w:bookmarkStart w:id="352" w:name="_Toc184310306"/>
      <w:bookmarkEnd w:id="352"/>
      <w:bookmarkStart w:id="353" w:name="_Toc184308050"/>
      <w:bookmarkEnd w:id="353"/>
      <w:bookmarkStart w:id="354" w:name="_Toc184314426"/>
      <w:bookmarkEnd w:id="354"/>
      <w:bookmarkStart w:id="355" w:name="_Toc184310277"/>
      <w:bookmarkEnd w:id="355"/>
      <w:bookmarkStart w:id="356" w:name="_Toc184308095"/>
      <w:bookmarkEnd w:id="356"/>
      <w:bookmarkStart w:id="357" w:name="_Toc184312097"/>
      <w:bookmarkEnd w:id="357"/>
      <w:bookmarkStart w:id="358" w:name="_Toc184313296"/>
      <w:bookmarkEnd w:id="358"/>
      <w:bookmarkStart w:id="359" w:name="_Toc184310310"/>
      <w:bookmarkEnd w:id="359"/>
      <w:bookmarkStart w:id="360" w:name="_Toc184312118"/>
      <w:bookmarkEnd w:id="360"/>
      <w:bookmarkStart w:id="361" w:name="_Toc184310295"/>
      <w:bookmarkEnd w:id="361"/>
      <w:bookmarkStart w:id="362" w:name="_Toc184314455"/>
      <w:bookmarkEnd w:id="362"/>
      <w:bookmarkStart w:id="363" w:name="_Toc184313246"/>
      <w:bookmarkEnd w:id="363"/>
      <w:bookmarkStart w:id="364" w:name="_Toc184312092"/>
      <w:bookmarkEnd w:id="364"/>
      <w:bookmarkStart w:id="365" w:name="_Toc184308042"/>
      <w:bookmarkEnd w:id="365"/>
      <w:bookmarkStart w:id="366" w:name="_Toc184313272"/>
      <w:bookmarkEnd w:id="366"/>
      <w:bookmarkStart w:id="367" w:name="_Toc184313305"/>
      <w:bookmarkEnd w:id="367"/>
      <w:bookmarkStart w:id="368" w:name="_Toc184310281"/>
      <w:bookmarkEnd w:id="368"/>
      <w:bookmarkStart w:id="369" w:name="_Toc184313302"/>
      <w:bookmarkEnd w:id="369"/>
      <w:bookmarkStart w:id="370" w:name="_Toc184313292"/>
      <w:bookmarkEnd w:id="370"/>
      <w:bookmarkStart w:id="371" w:name="_Toc184313289"/>
      <w:bookmarkEnd w:id="371"/>
      <w:bookmarkStart w:id="372" w:name="_Toc184314480"/>
      <w:bookmarkEnd w:id="372"/>
      <w:bookmarkStart w:id="373" w:name="_Toc184308058"/>
      <w:bookmarkEnd w:id="373"/>
      <w:bookmarkStart w:id="374" w:name="_Toc184312070"/>
      <w:bookmarkEnd w:id="374"/>
      <w:bookmarkStart w:id="375" w:name="_Toc184313243"/>
      <w:bookmarkEnd w:id="375"/>
      <w:bookmarkStart w:id="376" w:name="_Toc184313284"/>
      <w:bookmarkEnd w:id="376"/>
      <w:bookmarkStart w:id="377" w:name="_Toc184312133"/>
      <w:bookmarkEnd w:id="377"/>
      <w:bookmarkStart w:id="378" w:name="_Toc184314446"/>
      <w:bookmarkEnd w:id="378"/>
      <w:bookmarkStart w:id="379" w:name="_Toc184314469"/>
      <w:bookmarkEnd w:id="379"/>
      <w:bookmarkStart w:id="380" w:name="_Toc184308063"/>
      <w:bookmarkEnd w:id="380"/>
      <w:bookmarkStart w:id="381" w:name="_Toc184314461"/>
      <w:bookmarkEnd w:id="381"/>
      <w:bookmarkStart w:id="382" w:name="_Toc184312081"/>
      <w:bookmarkEnd w:id="382"/>
      <w:bookmarkStart w:id="383" w:name="_Toc184313268"/>
      <w:bookmarkEnd w:id="383"/>
      <w:bookmarkStart w:id="384" w:name="_Toc184314479"/>
      <w:bookmarkEnd w:id="384"/>
      <w:bookmarkStart w:id="385" w:name="_Toc184308036"/>
      <w:bookmarkEnd w:id="385"/>
      <w:bookmarkStart w:id="386" w:name="_Toc184310332"/>
      <w:bookmarkEnd w:id="386"/>
      <w:bookmarkStart w:id="387" w:name="_Toc184314478"/>
      <w:bookmarkEnd w:id="387"/>
      <w:bookmarkStart w:id="388" w:name="_Toc184313271"/>
      <w:bookmarkEnd w:id="388"/>
      <w:bookmarkStart w:id="389" w:name="_Toc184313259"/>
      <w:bookmarkEnd w:id="389"/>
      <w:bookmarkStart w:id="390" w:name="_Toc184313266"/>
      <w:bookmarkEnd w:id="390"/>
      <w:bookmarkStart w:id="391" w:name="_Toc184310313"/>
      <w:bookmarkEnd w:id="391"/>
      <w:bookmarkStart w:id="392" w:name="_Toc184310320"/>
      <w:bookmarkEnd w:id="392"/>
      <w:bookmarkStart w:id="393" w:name="_Toc184312086"/>
      <w:bookmarkEnd w:id="393"/>
      <w:bookmarkStart w:id="394" w:name="_Toc184308052"/>
      <w:bookmarkEnd w:id="394"/>
      <w:bookmarkStart w:id="395" w:name="_Toc184312071"/>
      <w:bookmarkEnd w:id="395"/>
      <w:bookmarkStart w:id="396" w:name="_Toc184308082"/>
      <w:bookmarkEnd w:id="396"/>
      <w:bookmarkStart w:id="397" w:name="_Toc184308092"/>
      <w:bookmarkEnd w:id="397"/>
      <w:bookmarkStart w:id="398" w:name="_Toc184310339"/>
      <w:bookmarkEnd w:id="398"/>
      <w:bookmarkStart w:id="399" w:name="_Toc184308083"/>
      <w:bookmarkEnd w:id="399"/>
      <w:r>
        <w:rPr>
          <w:rFonts w:hint="eastAsia" w:ascii="宋体" w:hAnsi="宋体" w:cs="宋体"/>
          <w:b/>
          <w:color w:val="000000" w:themeColor="text1"/>
          <w:sz w:val="36"/>
          <w:szCs w:val="36"/>
          <w:highlight w:val="none"/>
          <w14:textFill>
            <w14:solidFill>
              <w14:schemeClr w14:val="tx1"/>
            </w14:solidFill>
          </w14:textFill>
        </w:rPr>
        <w:t>评标办法</w:t>
      </w:r>
    </w:p>
    <w:p>
      <w:pPr>
        <w:numPr>
          <w:ilvl w:val="0"/>
          <w:numId w:val="0"/>
        </w:numPr>
        <w:snapToGrid w:val="0"/>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64"/>
        <w:tblpPr w:leftFromText="180" w:rightFromText="180" w:vertAnchor="text" w:horzAnchor="page" w:tblpX="755" w:tblpY="523"/>
        <w:tblW w:w="1063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40"/>
        <w:gridCol w:w="7160"/>
        <w:gridCol w:w="1050"/>
        <w:gridCol w:w="14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0" w:hRule="atLeast"/>
        </w:trPr>
        <w:tc>
          <w:tcPr>
            <w:tcW w:w="940" w:type="dxa"/>
            <w:tcBorders>
              <w:tl2br w:val="nil"/>
              <w:tr2bl w:val="nil"/>
            </w:tcBorders>
            <w:vAlign w:val="center"/>
          </w:tcPr>
          <w:p>
            <w:pPr>
              <w:adjustRightInd/>
              <w:spacing w:line="312" w:lineRule="auto"/>
              <w:jc w:val="center"/>
              <w:outlineLvl w:val="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7160" w:type="dxa"/>
            <w:tcBorders>
              <w:tl2br w:val="nil"/>
              <w:tr2bl w:val="nil"/>
            </w:tcBorders>
            <w:vAlign w:val="center"/>
          </w:tcPr>
          <w:p>
            <w:pPr>
              <w:adjustRightInd/>
              <w:spacing w:line="312" w:lineRule="auto"/>
              <w:ind w:firstLine="2771" w:firstLineChars="1150"/>
              <w:outlineLvl w:val="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评标标准</w:t>
            </w:r>
          </w:p>
        </w:tc>
        <w:tc>
          <w:tcPr>
            <w:tcW w:w="1050" w:type="dxa"/>
            <w:tcBorders>
              <w:tl2br w:val="nil"/>
              <w:tr2bl w:val="nil"/>
            </w:tcBorders>
            <w:vAlign w:val="center"/>
          </w:tcPr>
          <w:p>
            <w:pPr>
              <w:adjustRightInd/>
              <w:spacing w:line="312" w:lineRule="auto"/>
              <w:jc w:val="center"/>
              <w:outlineLvl w:val="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权重</w:t>
            </w:r>
          </w:p>
        </w:tc>
        <w:tc>
          <w:tcPr>
            <w:tcW w:w="148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192" w:lineRule="auto"/>
              <w:jc w:val="center"/>
              <w:textAlignment w:val="auto"/>
              <w:outlineLvl w:val="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采购文件中评标标准相应的商务技术资料目录</w:t>
            </w:r>
            <w:r>
              <w:rPr>
                <w:rFonts w:hint="eastAsia" w:ascii="宋体" w:hAnsi="宋体" w:eastAsia="宋体" w:cs="宋体"/>
                <w:bCs/>
                <w:color w:val="000000" w:themeColor="text1"/>
                <w:sz w:val="24"/>
                <w:szCs w:val="24"/>
                <w:highlight w:val="none"/>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7" w:hRule="atLeast"/>
        </w:trPr>
        <w:tc>
          <w:tcPr>
            <w:tcW w:w="940" w:type="dxa"/>
            <w:tcBorders>
              <w:tl2br w:val="nil"/>
              <w:tr2bl w:val="nil"/>
            </w:tcBorders>
            <w:vAlign w:val="center"/>
          </w:tcPr>
          <w:p>
            <w:pPr>
              <w:adjustRightInd/>
              <w:spacing w:line="312" w:lineRule="auto"/>
              <w:ind w:firstLine="360" w:firstLineChars="150"/>
              <w:jc w:val="left"/>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7160" w:type="dxa"/>
            <w:tcBorders>
              <w:tl2br w:val="nil"/>
              <w:tr2bl w:val="nil"/>
            </w:tcBorders>
            <w:vAlign w:val="center"/>
          </w:tcPr>
          <w:p>
            <w:pPr>
              <w:adjustRightInd/>
              <w:spacing w:line="312"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2017年1月1日以来</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承担类似项目实施的成功经验情况。每个案例（以特检验收报告时间为准）得1分,最高得3分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证明材料：提供</w:t>
            </w:r>
            <w:r>
              <w:rPr>
                <w:rFonts w:hint="eastAsia" w:ascii="宋体" w:hAnsi="宋体" w:cs="宋体"/>
                <w:color w:val="000000" w:themeColor="text1"/>
                <w:sz w:val="24"/>
                <w:highlight w:val="none"/>
                <w14:textFill>
                  <w14:solidFill>
                    <w14:schemeClr w14:val="tx1"/>
                  </w14:solidFill>
                </w14:textFill>
              </w:rPr>
              <w:t>合同及特检验收报告复印</w:t>
            </w:r>
            <w:r>
              <w:rPr>
                <w:rFonts w:hint="eastAsia" w:ascii="宋体" w:hAnsi="宋体" w:cs="宋体"/>
                <w:color w:val="000000" w:themeColor="text1"/>
                <w:sz w:val="24"/>
                <w:highlight w:val="none"/>
                <w:lang w:val="en-US" w:eastAsia="zh-CN"/>
                <w14:textFill>
                  <w14:solidFill>
                    <w14:schemeClr w14:val="tx1"/>
                  </w14:solidFill>
                </w14:textFill>
              </w:rPr>
              <w:t>并加盖公章。</w:t>
            </w:r>
            <w:r>
              <w:rPr>
                <w:rFonts w:hint="eastAsia" w:ascii="宋体" w:hAnsi="宋体" w:cs="宋体"/>
                <w:color w:val="000000" w:themeColor="text1"/>
                <w:sz w:val="24"/>
                <w:highlight w:val="none"/>
                <w14:textFill>
                  <w14:solidFill>
                    <w14:schemeClr w14:val="tx1"/>
                  </w14:solidFill>
                </w14:textFill>
              </w:rPr>
              <w:t>【原件备查，采购机构在项目评审直至合同签订、履约期间，有权要求</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出具投标文件中的合同和用户验收报告，予以确认其的真实性和有效性，如出现与事实不符等情况，将根据有关规定以“涉嫌提供虚假材料谋取中标（成交）”予以处理】，是否有良好的工作业绩和履约记录等情况；以分包方式履行政府采购合同的，还需提供该项目采购方同意分包的证明材料;如</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提供的合同复印件等实施项目证明材料与投标主体无关或违规转包分包的，评标委员会将进行扣分直至认定投标无效。</w:t>
            </w:r>
          </w:p>
        </w:tc>
        <w:tc>
          <w:tcPr>
            <w:tcW w:w="1050" w:type="dxa"/>
            <w:tcBorders>
              <w:tl2br w:val="nil"/>
              <w:tr2bl w:val="nil"/>
            </w:tcBorders>
            <w:vAlign w:val="center"/>
          </w:tcPr>
          <w:p>
            <w:pPr>
              <w:pStyle w:val="34"/>
              <w:adjustRightInd/>
              <w:spacing w:line="312"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486" w:type="dxa"/>
            <w:tcBorders>
              <w:tl2br w:val="nil"/>
              <w:tr2bl w:val="nil"/>
            </w:tcBorders>
            <w:vAlign w:val="center"/>
          </w:tcPr>
          <w:p>
            <w:pPr>
              <w:adjustRightInd/>
              <w:spacing w:line="312"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13" w:hRule="atLeast"/>
        </w:trPr>
        <w:tc>
          <w:tcPr>
            <w:tcW w:w="940" w:type="dxa"/>
            <w:vMerge w:val="restart"/>
            <w:tcBorders>
              <w:tl2br w:val="nil"/>
              <w:tr2bl w:val="nil"/>
            </w:tcBorders>
            <w:vAlign w:val="center"/>
          </w:tcPr>
          <w:p>
            <w:pPr>
              <w:adjustRightInd/>
              <w:spacing w:line="312" w:lineRule="auto"/>
              <w:ind w:firstLine="360" w:firstLineChars="150"/>
              <w:jc w:val="left"/>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7160" w:type="dxa"/>
            <w:tcBorders>
              <w:tl2br w:val="nil"/>
              <w:tr2bl w:val="nil"/>
            </w:tcBorders>
            <w:vAlign w:val="center"/>
          </w:tcPr>
          <w:p>
            <w:pPr>
              <w:adjustRightInd/>
              <w:spacing w:line="312"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停车设备产品责任险保单累计赔偿限额金额≧3亿元的得3分,2亿（含)-3亿元得1.5分,1亿（含)-2亿元得0.5分，其余不得分；</w:t>
            </w:r>
          </w:p>
          <w:p>
            <w:pPr>
              <w:adjustRightInd/>
              <w:spacing w:line="312"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证明材料：须提供有效的保险保单复印件并加盖公章，并在保单有效期内，否则不得分。</w:t>
            </w:r>
          </w:p>
        </w:tc>
        <w:tc>
          <w:tcPr>
            <w:tcW w:w="1050" w:type="dxa"/>
            <w:tcBorders>
              <w:tl2br w:val="nil"/>
              <w:tr2bl w:val="nil"/>
            </w:tcBorders>
            <w:vAlign w:val="center"/>
          </w:tcPr>
          <w:p>
            <w:pPr>
              <w:adjustRightInd/>
              <w:spacing w:line="312"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486" w:type="dxa"/>
            <w:tcBorders>
              <w:tl2br w:val="nil"/>
              <w:tr2bl w:val="nil"/>
            </w:tcBorders>
            <w:vAlign w:val="center"/>
          </w:tcPr>
          <w:p>
            <w:pPr>
              <w:adjustRightInd/>
              <w:spacing w:line="312"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13" w:hRule="atLeast"/>
        </w:trPr>
        <w:tc>
          <w:tcPr>
            <w:tcW w:w="940" w:type="dxa"/>
            <w:vMerge w:val="continue"/>
            <w:tcBorders>
              <w:tl2br w:val="nil"/>
              <w:tr2bl w:val="nil"/>
            </w:tcBorders>
            <w:vAlign w:val="center"/>
          </w:tcPr>
          <w:p>
            <w:pPr>
              <w:adjustRightInd/>
              <w:spacing w:line="312" w:lineRule="auto"/>
              <w:ind w:firstLine="360" w:firstLineChars="150"/>
              <w:jc w:val="left"/>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160" w:type="dxa"/>
            <w:tcBorders>
              <w:tl2br w:val="nil"/>
              <w:tr2bl w:val="nil"/>
            </w:tcBorders>
            <w:vAlign w:val="center"/>
          </w:tcPr>
          <w:p>
            <w:pPr>
              <w:adjustRightInd/>
              <w:spacing w:line="312"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单次事故最高赔偿额金额≧1.2亿元得3分，8000万（含）-1.2亿得1.5分,5000万（含)-8000万0.5分,其余不得分；</w:t>
            </w:r>
          </w:p>
          <w:p>
            <w:pPr>
              <w:adjustRightInd/>
              <w:spacing w:line="312"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证明材料：须提供有效的保险保单复印件并加盖公章，并在保单有效期内，否则不得分。</w:t>
            </w:r>
          </w:p>
        </w:tc>
        <w:tc>
          <w:tcPr>
            <w:tcW w:w="1050" w:type="dxa"/>
            <w:tcBorders>
              <w:tl2br w:val="nil"/>
              <w:tr2bl w:val="nil"/>
            </w:tcBorders>
            <w:vAlign w:val="center"/>
          </w:tcPr>
          <w:p>
            <w:pPr>
              <w:adjustRightInd/>
              <w:spacing w:line="312"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486" w:type="dxa"/>
            <w:tcBorders>
              <w:tl2br w:val="nil"/>
              <w:tr2bl w:val="nil"/>
            </w:tcBorders>
            <w:vAlign w:val="center"/>
          </w:tcPr>
          <w:p>
            <w:pPr>
              <w:adjustRightInd/>
              <w:spacing w:line="312"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4" w:hRule="atLeast"/>
        </w:trPr>
        <w:tc>
          <w:tcPr>
            <w:tcW w:w="940" w:type="dxa"/>
            <w:tcBorders>
              <w:tl2br w:val="nil"/>
              <w:tr2bl w:val="nil"/>
            </w:tcBorders>
            <w:vAlign w:val="center"/>
          </w:tcPr>
          <w:p>
            <w:pPr>
              <w:adjustRightInd/>
              <w:spacing w:line="312" w:lineRule="auto"/>
              <w:ind w:firstLine="360" w:firstLineChars="150"/>
              <w:jc w:val="left"/>
              <w:outlineLvl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7160" w:type="dxa"/>
            <w:tcBorders>
              <w:tl2br w:val="nil"/>
              <w:tr2bl w:val="nil"/>
            </w:tcBorders>
            <w:vAlign w:val="center"/>
          </w:tcPr>
          <w:p>
            <w:pPr>
              <w:adjustRightInd/>
              <w:spacing w:line="312"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整体方案设计的响应程度和完整性、合理性：</w:t>
            </w:r>
          </w:p>
          <w:p>
            <w:pPr>
              <w:adjustRightInd/>
              <w:spacing w:line="312"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1、图纸设计全面且分类清楚，图面整洁，且文字表达清晰条理；各系统配置合理，功能满足采购要求得4分；基本满足采购需求得2分，不满足不得分。</w:t>
            </w:r>
          </w:p>
          <w:p>
            <w:pPr>
              <w:adjustRightInd/>
              <w:spacing w:line="312"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2、方案图设计详细、完整、表达清楚且满足采购要求得4分；基本满足采购需求得2分，不满足不得分。</w:t>
            </w:r>
          </w:p>
        </w:tc>
        <w:tc>
          <w:tcPr>
            <w:tcW w:w="1050" w:type="dxa"/>
            <w:tcBorders>
              <w:tl2br w:val="nil"/>
              <w:tr2bl w:val="nil"/>
            </w:tcBorders>
            <w:vAlign w:val="center"/>
          </w:tcPr>
          <w:p>
            <w:pPr>
              <w:adjustRightInd/>
              <w:spacing w:line="312"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486" w:type="dxa"/>
            <w:tcBorders>
              <w:tl2br w:val="nil"/>
              <w:tr2bl w:val="nil"/>
            </w:tcBorders>
            <w:vAlign w:val="center"/>
          </w:tcPr>
          <w:p>
            <w:pPr>
              <w:adjustRightInd/>
              <w:spacing w:line="312"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4" w:hRule="atLeast"/>
        </w:trPr>
        <w:tc>
          <w:tcPr>
            <w:tcW w:w="940" w:type="dxa"/>
            <w:tcBorders>
              <w:tl2br w:val="nil"/>
              <w:tr2bl w:val="nil"/>
            </w:tcBorders>
            <w:vAlign w:val="center"/>
          </w:tcPr>
          <w:p>
            <w:pPr>
              <w:adjustRightInd/>
              <w:spacing w:line="312" w:lineRule="auto"/>
              <w:ind w:firstLine="360" w:firstLineChars="150"/>
              <w:jc w:val="left"/>
              <w:outlineLvl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7160" w:type="dxa"/>
            <w:tcBorders>
              <w:tl2br w:val="nil"/>
              <w:tr2bl w:val="nil"/>
            </w:tcBorders>
            <w:vAlign w:val="center"/>
          </w:tcPr>
          <w:p>
            <w:pPr>
              <w:adjustRightInd/>
              <w:spacing w:line="312" w:lineRule="auto"/>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基本技术参数、性能指标的响应满足性，全部满足得3分，每负偏1项扣1分；有实质性正偏离的，每一项加0.5分，最多加2分；本项最高得5分。</w:t>
            </w:r>
          </w:p>
        </w:tc>
        <w:tc>
          <w:tcPr>
            <w:tcW w:w="1050" w:type="dxa"/>
            <w:tcBorders>
              <w:tl2br w:val="nil"/>
              <w:tr2bl w:val="nil"/>
            </w:tcBorders>
            <w:vAlign w:val="center"/>
          </w:tcPr>
          <w:p>
            <w:pPr>
              <w:adjustRightInd/>
              <w:spacing w:line="312"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486" w:type="dxa"/>
            <w:tcBorders>
              <w:tl2br w:val="nil"/>
              <w:tr2bl w:val="nil"/>
            </w:tcBorders>
            <w:vAlign w:val="center"/>
          </w:tcPr>
          <w:p>
            <w:pPr>
              <w:adjustRightInd/>
              <w:spacing w:line="312"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4" w:hRule="atLeast"/>
        </w:trPr>
        <w:tc>
          <w:tcPr>
            <w:tcW w:w="940" w:type="dxa"/>
            <w:tcBorders>
              <w:tl2br w:val="nil"/>
              <w:tr2bl w:val="nil"/>
            </w:tcBorders>
            <w:vAlign w:val="center"/>
          </w:tcPr>
          <w:p>
            <w:pPr>
              <w:adjustRightInd/>
              <w:spacing w:line="312" w:lineRule="auto"/>
              <w:ind w:firstLine="360" w:firstLineChars="150"/>
              <w:jc w:val="left"/>
              <w:outlineLvl w:val="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7160" w:type="dxa"/>
            <w:tcBorders>
              <w:tl2br w:val="nil"/>
              <w:tr2bl w:val="nil"/>
            </w:tcBorders>
            <w:vAlign w:val="top"/>
          </w:tcPr>
          <w:p>
            <w:pPr>
              <w:adjustRightInd/>
              <w:spacing w:line="312"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技术的先进性、成熟性、可靠性：</w:t>
            </w:r>
          </w:p>
          <w:p>
            <w:pPr>
              <w:adjustRightInd/>
              <w:spacing w:line="312"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1、设备整体性能描述、部件先进合理性、人性化设计满足采购要求得4分；基本满足采购需求得2分，不满足不得分。（0-4分）</w:t>
            </w:r>
          </w:p>
          <w:p>
            <w:pPr>
              <w:adjustRightInd/>
              <w:spacing w:line="312"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2、动力传动系统、载车板系统设计的先进、合理性满足采购要求得4分；基本满足采购需求得2分，不满足不得分。（0-4分）</w:t>
            </w:r>
          </w:p>
          <w:p>
            <w:pPr>
              <w:adjustRightInd/>
              <w:spacing w:line="312"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3、安全装置：安全装置项目符合采购要求的得1分，多于招标文件要求的每项加0.5分，最多加2分，不满足的不得分；（0-2分）</w:t>
            </w:r>
          </w:p>
          <w:p>
            <w:pPr>
              <w:adjustRightInd/>
              <w:spacing w:line="312"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4、单车最大进（出）时间、升降＋横移速度、先进性、合理性满足采购要求得4分；基本满足采购需求得2分，不满足不得分。（0-4分）。（提供国家级检测机构出具特种设备型式实验报告复印件为准）</w:t>
            </w:r>
          </w:p>
          <w:p>
            <w:pPr>
              <w:adjustRightInd/>
              <w:spacing w:line="312"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5、立体车库运行时的噪音值、先进性、合理性等方面综合评定。≤</w:t>
            </w:r>
            <w:r>
              <w:rPr>
                <w:rFonts w:hint="eastAsia" w:ascii="宋体" w:hAnsi="宋体" w:cs="宋体"/>
                <w:color w:val="000000" w:themeColor="text1"/>
                <w:sz w:val="24"/>
                <w:szCs w:val="24"/>
                <w:highlight w:val="none"/>
                <w:lang w:val="en-US" w:eastAsia="zh-CN"/>
                <w14:textFill>
                  <w14:solidFill>
                    <w14:schemeClr w14:val="tx1"/>
                  </w14:solidFill>
                </w14:textFill>
              </w:rPr>
              <w:t>55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分贝得3分，≤</w:t>
            </w:r>
            <w:r>
              <w:rPr>
                <w:rFonts w:hint="eastAsia" w:ascii="宋体" w:hAnsi="宋体" w:cs="宋体"/>
                <w:color w:val="000000" w:themeColor="text1"/>
                <w:sz w:val="24"/>
                <w:szCs w:val="24"/>
                <w:highlight w:val="none"/>
                <w:lang w:val="en-US" w:eastAsia="zh-CN"/>
                <w14:textFill>
                  <w14:solidFill>
                    <w14:schemeClr w14:val="tx1"/>
                  </w14:solidFill>
                </w14:textFill>
              </w:rPr>
              <w:t>60</w:t>
            </w:r>
            <w:r>
              <w:rPr>
                <w:rFonts w:hint="eastAsia" w:ascii="宋体" w:hAnsi="宋体" w:eastAsia="宋体" w:cs="宋体"/>
                <w:color w:val="000000" w:themeColor="text1"/>
                <w:sz w:val="24"/>
                <w:szCs w:val="24"/>
                <w:highlight w:val="none"/>
                <w:lang w:val="en-US" w:eastAsia="zh-CN"/>
                <w14:textFill>
                  <w14:solidFill>
                    <w14:schemeClr w14:val="tx1"/>
                  </w14:solidFill>
                </w14:textFill>
              </w:rPr>
              <w:t>分贝得2分，≤</w:t>
            </w:r>
            <w:r>
              <w:rPr>
                <w:rFonts w:hint="eastAsia" w:ascii="宋体" w:hAnsi="宋体" w:cs="宋体"/>
                <w:color w:val="000000" w:themeColor="text1"/>
                <w:sz w:val="24"/>
                <w:szCs w:val="24"/>
                <w:highlight w:val="none"/>
                <w:lang w:val="en-US" w:eastAsia="zh-CN"/>
                <w14:textFill>
                  <w14:solidFill>
                    <w14:schemeClr w14:val="tx1"/>
                  </w14:solidFill>
                </w14:textFill>
              </w:rPr>
              <w:t>70</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分贝得1分（提供专业机构出具的噪音检测报告复印件为准）。 </w:t>
            </w:r>
          </w:p>
        </w:tc>
        <w:tc>
          <w:tcPr>
            <w:tcW w:w="1050" w:type="dxa"/>
            <w:tcBorders>
              <w:tl2br w:val="nil"/>
              <w:tr2bl w:val="nil"/>
            </w:tcBorders>
            <w:vAlign w:val="center"/>
          </w:tcPr>
          <w:p>
            <w:pPr>
              <w:adjustRightInd/>
              <w:spacing w:line="312"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17</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486" w:type="dxa"/>
            <w:tcBorders>
              <w:tl2br w:val="nil"/>
              <w:tr2bl w:val="nil"/>
            </w:tcBorders>
            <w:vAlign w:val="center"/>
          </w:tcPr>
          <w:p>
            <w:pPr>
              <w:adjustRightInd/>
              <w:spacing w:line="312"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4" w:hRule="atLeast"/>
        </w:trPr>
        <w:tc>
          <w:tcPr>
            <w:tcW w:w="940" w:type="dxa"/>
            <w:tcBorders>
              <w:tl2br w:val="nil"/>
              <w:tr2bl w:val="nil"/>
            </w:tcBorders>
            <w:vAlign w:val="center"/>
          </w:tcPr>
          <w:p>
            <w:pPr>
              <w:adjustRightInd/>
              <w:spacing w:line="312" w:lineRule="auto"/>
              <w:ind w:firstLine="360" w:firstLineChars="150"/>
              <w:jc w:val="left"/>
              <w:outlineLvl w:val="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7160" w:type="dxa"/>
            <w:tcBorders>
              <w:tl2br w:val="nil"/>
              <w:tr2bl w:val="nil"/>
            </w:tcBorders>
            <w:vAlign w:val="center"/>
          </w:tcPr>
          <w:p>
            <w:pPr>
              <w:adjustRightInd/>
              <w:spacing w:line="312"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组织措施方案：</w:t>
            </w:r>
          </w:p>
          <w:p>
            <w:pPr>
              <w:adjustRightInd/>
              <w:spacing w:line="312"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（1）保证质量的技术方案和措施，符合采购需求的得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分，部分符合得</w:t>
            </w: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分，不符合要求不得分。</w:t>
            </w:r>
          </w:p>
          <w:p>
            <w:pPr>
              <w:adjustRightInd/>
              <w:spacing w:line="312"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）保证项目实施的技术力量和人力资源安排，符合要求得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分，部分符合得</w:t>
            </w: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分，不符合要求不得分。</w:t>
            </w:r>
          </w:p>
        </w:tc>
        <w:tc>
          <w:tcPr>
            <w:tcW w:w="1050" w:type="dxa"/>
            <w:tcBorders>
              <w:tl2br w:val="nil"/>
              <w:tr2bl w:val="nil"/>
            </w:tcBorders>
            <w:vAlign w:val="center"/>
          </w:tcPr>
          <w:p>
            <w:pPr>
              <w:adjustRightInd/>
              <w:spacing w:line="312"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486" w:type="dxa"/>
            <w:tcBorders>
              <w:tl2br w:val="nil"/>
              <w:tr2bl w:val="nil"/>
            </w:tcBorders>
            <w:vAlign w:val="center"/>
          </w:tcPr>
          <w:p>
            <w:pPr>
              <w:adjustRightInd/>
              <w:spacing w:line="312"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7" w:hRule="atLeast"/>
        </w:trPr>
        <w:tc>
          <w:tcPr>
            <w:tcW w:w="940" w:type="dxa"/>
            <w:tcBorders>
              <w:tl2br w:val="nil"/>
              <w:tr2bl w:val="nil"/>
            </w:tcBorders>
            <w:vAlign w:val="center"/>
          </w:tcPr>
          <w:p>
            <w:pPr>
              <w:adjustRightInd/>
              <w:spacing w:line="312" w:lineRule="auto"/>
              <w:ind w:firstLine="360" w:firstLineChars="150"/>
              <w:jc w:val="left"/>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7160" w:type="dxa"/>
            <w:tcBorders>
              <w:tl2br w:val="nil"/>
              <w:tr2bl w:val="nil"/>
            </w:tcBorders>
            <w:vAlign w:val="center"/>
          </w:tcPr>
          <w:p>
            <w:pPr>
              <w:adjustRightInd/>
              <w:spacing w:line="312" w:lineRule="auto"/>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安装施工组织方案：</w:t>
            </w:r>
          </w:p>
          <w:p>
            <w:pPr>
              <w:adjustRightInd/>
              <w:spacing w:line="312" w:lineRule="auto"/>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1、总体施工组织计划的完整性，全面性符合采购需求得4分；基本满足采购需求得2分，不满足不得分。</w:t>
            </w:r>
          </w:p>
          <w:p>
            <w:pPr>
              <w:adjustRightInd/>
              <w:spacing w:line="312" w:lineRule="auto"/>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项目负责人：项目负责人具备机械电气类工程师及以上职称、机械停车设备/立体车库项目经理证书的得1分；项目负责人具备机械电气类高级工程师及以上职称、机械停车设备/立体车库项目经理证书的得3分；本项最高得3分，没有或缺项不得分；投标文件中提供相关证书复印件并加盖公章；</w:t>
            </w:r>
          </w:p>
          <w:p>
            <w:pPr>
              <w:adjustRightInd/>
              <w:spacing w:line="312" w:lineRule="auto"/>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3、供应商提供项目详细施工进度计划表的得2分，提供保障进度计划的措施方案的得2分，本项最高的4分，没有提供不得分。</w:t>
            </w:r>
          </w:p>
          <w:p>
            <w:pPr>
              <w:adjustRightInd/>
              <w:spacing w:line="312" w:lineRule="auto"/>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4、供应商提供设备供货质量保证措施方案得1分，提供设备安装质量保障措施方案得1分，本项最高的2分，没有提供不得分。</w:t>
            </w:r>
          </w:p>
          <w:p>
            <w:pPr>
              <w:adjustRightInd/>
              <w:spacing w:line="312" w:lineRule="auto"/>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5、施工方案中有安全文明施工相关保证措施的得2分，没有不得分；</w:t>
            </w:r>
          </w:p>
        </w:tc>
        <w:tc>
          <w:tcPr>
            <w:tcW w:w="1050" w:type="dxa"/>
            <w:tcBorders>
              <w:tl2br w:val="nil"/>
              <w:tr2bl w:val="nil"/>
            </w:tcBorders>
            <w:vAlign w:val="center"/>
          </w:tcPr>
          <w:p>
            <w:pPr>
              <w:pStyle w:val="34"/>
              <w:adjustRightInd/>
              <w:spacing w:line="312"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hAnsi="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486" w:type="dxa"/>
            <w:tcBorders>
              <w:tl2br w:val="nil"/>
              <w:tr2bl w:val="nil"/>
            </w:tcBorders>
            <w:vAlign w:val="center"/>
          </w:tcPr>
          <w:p>
            <w:pPr>
              <w:adjustRightInd/>
              <w:spacing w:line="312"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88" w:hRule="atLeast"/>
        </w:trPr>
        <w:tc>
          <w:tcPr>
            <w:tcW w:w="940" w:type="dxa"/>
            <w:tcBorders>
              <w:tl2br w:val="nil"/>
              <w:tr2bl w:val="nil"/>
            </w:tcBorders>
            <w:vAlign w:val="center"/>
          </w:tcPr>
          <w:p>
            <w:pPr>
              <w:adjustRightInd/>
              <w:spacing w:line="312" w:lineRule="auto"/>
              <w:ind w:firstLine="360" w:firstLineChars="150"/>
              <w:jc w:val="left"/>
              <w:outlineLvl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7160" w:type="dxa"/>
            <w:tcBorders>
              <w:tl2br w:val="nil"/>
              <w:tr2bl w:val="nil"/>
            </w:tcBorders>
            <w:vAlign w:val="center"/>
          </w:tcPr>
          <w:p>
            <w:pPr>
              <w:adjustRightInd/>
              <w:spacing w:line="312"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设备售后服务方案：</w:t>
            </w:r>
          </w:p>
          <w:p>
            <w:pPr>
              <w:adjustRightInd/>
              <w:spacing w:line="312"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1、供应商提供的售后服务整体方案，方案全面合理的得4分；部分合理的得2分；没有提供不得分；（0-4分）</w:t>
            </w:r>
          </w:p>
          <w:p>
            <w:pPr>
              <w:adjustRightInd/>
              <w:spacing w:line="312"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2、供应商提供售后培训计划，培训计划全面合理的得4分，部分合理的得2分；没有提供不得分；（0-4分）</w:t>
            </w:r>
          </w:p>
        </w:tc>
        <w:tc>
          <w:tcPr>
            <w:tcW w:w="1050" w:type="dxa"/>
            <w:tcBorders>
              <w:tl2br w:val="nil"/>
              <w:tr2bl w:val="nil"/>
            </w:tcBorders>
            <w:vAlign w:val="center"/>
          </w:tcPr>
          <w:p>
            <w:pPr>
              <w:adjustRightInd/>
              <w:spacing w:line="312"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486" w:type="dxa"/>
            <w:tcBorders>
              <w:tl2br w:val="nil"/>
              <w:tr2bl w:val="nil"/>
            </w:tcBorders>
            <w:vAlign w:val="center"/>
          </w:tcPr>
          <w:p>
            <w:pPr>
              <w:adjustRightInd/>
              <w:spacing w:line="312"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4" w:hRule="atLeast"/>
        </w:trPr>
        <w:tc>
          <w:tcPr>
            <w:tcW w:w="940" w:type="dxa"/>
            <w:tcBorders>
              <w:tl2br w:val="nil"/>
              <w:tr2bl w:val="nil"/>
            </w:tcBorders>
            <w:vAlign w:val="center"/>
          </w:tcPr>
          <w:p>
            <w:pPr>
              <w:adjustRightInd/>
              <w:spacing w:line="312" w:lineRule="auto"/>
              <w:ind w:firstLine="360" w:firstLineChars="150"/>
              <w:jc w:val="left"/>
              <w:outlineLvl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7160" w:type="dxa"/>
            <w:tcBorders>
              <w:tl2br w:val="nil"/>
              <w:tr2bl w:val="nil"/>
            </w:tcBorders>
            <w:vAlign w:val="center"/>
          </w:tcPr>
          <w:p>
            <w:pPr>
              <w:adjustRightInd/>
              <w:spacing w:line="312"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566" w:name="_GoBack"/>
            <w:r>
              <w:rPr>
                <w:rFonts w:hint="eastAsia" w:ascii="宋体" w:hAnsi="宋体"/>
                <w:color w:val="000000" w:themeColor="text1"/>
                <w:sz w:val="24"/>
                <w:highlight w:val="none"/>
                <w14:textFill>
                  <w14:solidFill>
                    <w14:schemeClr w14:val="tx1"/>
                  </w14:solidFill>
                </w14:textFill>
              </w:rPr>
              <w:t>承诺配备1名项目负责人，负责与采购人对接，对接处理技术及其他售后问题，以保证采购人的正常使用。供应商根据采购需求配备充足的服务人员，包括设备安装调试人员及售后维护的技术服务人员。满足得2分，不满足不得分</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如是提供承诺函的，格式自拟</w:t>
            </w:r>
            <w:r>
              <w:rPr>
                <w:rFonts w:hint="eastAsia" w:ascii="宋体" w:hAnsi="宋体"/>
                <w:color w:val="000000" w:themeColor="text1"/>
                <w:sz w:val="24"/>
                <w:highlight w:val="none"/>
                <w:lang w:eastAsia="zh-CN"/>
                <w14:textFill>
                  <w14:solidFill>
                    <w14:schemeClr w14:val="tx1"/>
                  </w14:solidFill>
                </w14:textFill>
              </w:rPr>
              <w:t>）。</w:t>
            </w:r>
            <w:bookmarkEnd w:id="566"/>
          </w:p>
        </w:tc>
        <w:tc>
          <w:tcPr>
            <w:tcW w:w="1050" w:type="dxa"/>
            <w:tcBorders>
              <w:tl2br w:val="nil"/>
              <w:tr2bl w:val="nil"/>
            </w:tcBorders>
            <w:vAlign w:val="center"/>
          </w:tcPr>
          <w:p>
            <w:pPr>
              <w:pStyle w:val="34"/>
              <w:adjustRightInd/>
              <w:spacing w:line="312"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486" w:type="dxa"/>
            <w:tcBorders>
              <w:tl2br w:val="nil"/>
              <w:tr2bl w:val="nil"/>
            </w:tcBorders>
            <w:vAlign w:val="center"/>
          </w:tcPr>
          <w:p>
            <w:pPr>
              <w:adjustRightInd/>
              <w:spacing w:line="312"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50" w:hRule="atLeast"/>
        </w:trPr>
        <w:tc>
          <w:tcPr>
            <w:tcW w:w="940" w:type="dxa"/>
            <w:tcBorders>
              <w:tl2br w:val="nil"/>
              <w:tr2bl w:val="nil"/>
            </w:tcBorders>
            <w:vAlign w:val="center"/>
          </w:tcPr>
          <w:p>
            <w:pPr>
              <w:adjustRightInd/>
              <w:spacing w:line="312" w:lineRule="auto"/>
              <w:ind w:firstLine="240" w:firstLineChars="100"/>
              <w:outlineLvl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p>
        </w:tc>
        <w:tc>
          <w:tcPr>
            <w:tcW w:w="7160" w:type="dxa"/>
            <w:tcBorders>
              <w:tl2br w:val="nil"/>
              <w:tr2bl w:val="nil"/>
            </w:tcBorders>
          </w:tcPr>
          <w:p>
            <w:pPr>
              <w:adjustRightInd/>
              <w:spacing w:line="312"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有效投标报价的最低价作为评标基准价，其最低报价为满分；按［投标报价得分=（评标基准价/投标报价）*30］的计算公式计算。</w:t>
            </w:r>
          </w:p>
          <w:p>
            <w:pPr>
              <w:adjustRightInd/>
              <w:spacing w:line="312"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评标过程中，不得去掉报价中的最高报价和最低报价。因落实政府采购政策需要进行价格调整的，以调整后的价格计算评标基准价和投标报价。</w:t>
            </w:r>
          </w:p>
        </w:tc>
        <w:tc>
          <w:tcPr>
            <w:tcW w:w="1050" w:type="dxa"/>
            <w:tcBorders>
              <w:tl2br w:val="nil"/>
              <w:tr2bl w:val="nil"/>
            </w:tcBorders>
            <w:vAlign w:val="center"/>
          </w:tcPr>
          <w:p>
            <w:pPr>
              <w:adjustRightInd/>
              <w:spacing w:line="312" w:lineRule="auto"/>
              <w:ind w:firstLine="120" w:firstLineChars="50"/>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0～30分</w:t>
            </w:r>
          </w:p>
        </w:tc>
        <w:tc>
          <w:tcPr>
            <w:tcW w:w="1486" w:type="dxa"/>
            <w:tcBorders>
              <w:tl2br w:val="nil"/>
              <w:tr2bl w:val="nil"/>
            </w:tcBorders>
            <w:vAlign w:val="center"/>
          </w:tcPr>
          <w:p>
            <w:pPr>
              <w:adjustRightInd/>
              <w:spacing w:line="312"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2" w:hRule="atLeast"/>
        </w:trPr>
        <w:tc>
          <w:tcPr>
            <w:tcW w:w="10636" w:type="dxa"/>
            <w:gridSpan w:val="4"/>
            <w:tcBorders>
              <w:tl2br w:val="nil"/>
              <w:tr2bl w:val="nil"/>
            </w:tcBorders>
            <w:vAlign w:val="center"/>
          </w:tcPr>
          <w:p>
            <w:pPr>
              <w:adjustRightInd/>
              <w:spacing w:line="312"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注意：不得以特定金额的业绩作为评审因素，政府采购货物和服务项目业绩分不得高于价格分的10%。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2" w:hRule="atLeast"/>
        </w:trPr>
        <w:tc>
          <w:tcPr>
            <w:tcW w:w="10636" w:type="dxa"/>
            <w:gridSpan w:val="4"/>
            <w:tcBorders>
              <w:tl2br w:val="nil"/>
              <w:tr2bl w:val="nil"/>
            </w:tcBorders>
            <w:vAlign w:val="center"/>
          </w:tcPr>
          <w:p>
            <w:pPr>
              <w:adjustRightInd/>
              <w:spacing w:line="312"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各供应商的综合得分为：投标价格得分+商务技术得分(评标委员会各成员评分的算术平均值)，总和为100分，其中：投标价格得分30分，商务技术得分70分。</w:t>
            </w:r>
          </w:p>
        </w:tc>
      </w:tr>
    </w:tbl>
    <w:p>
      <w:pPr>
        <w:pStyle w:val="17"/>
        <w:rPr>
          <w:color w:val="000000" w:themeColor="text1"/>
          <w:highlight w:val="none"/>
          <w14:textFill>
            <w14:solidFill>
              <w14:schemeClr w14:val="tx1"/>
            </w14:solidFill>
          </w14:textFill>
        </w:rPr>
      </w:pPr>
    </w:p>
    <w:p>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 *</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供应商编制采购文件（商务技术文件部分）时，建议按此目录（序号和内容）提供评标标准相应的商务技术资料。 </w:t>
      </w:r>
    </w:p>
    <w:p>
      <w:pPr>
        <w:snapToGrid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综合评分法，是指采购文件满足采购文件全部实质性要求，且按照评审因素的量化指标评审得分最高的供应商为中标候选人的评标方法。</w:t>
      </w:r>
    </w:p>
    <w:p>
      <w:pPr>
        <w:adjustRightInd/>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pPr>
        <w:spacing w:line="360" w:lineRule="auto"/>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评标委员会应当对符合资格的供应商的采购文件进行符合性审查，以确定其是否满足采购文件的实质性要求。不满足采购文件的实质性要求的，投标无效。</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评标委员会应当按照采购文件中规定的评标方法和标准，对符合性审查合格的采购文件进行商务和技术评估，综合比较与评价。</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评标委员会各成员应当独立对每个供应商的商务和技术文件进行评价，并汇总商务技术得分情况。</w:t>
      </w:r>
    </w:p>
    <w:p>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pPr>
        <w:pStyle w:val="132"/>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3.4.1采购文件报价出现前后不一致的，按照下列规定修正：</w:t>
      </w:r>
    </w:p>
    <w:p>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3.4.1.1采购文件中开标一览表(报价表)内容与采购文件中相应内容不一致的，以开标一览表(报价表)为准;</w:t>
      </w:r>
    </w:p>
    <w:p>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《政府采购货物和服务招标投标管理办法》第五十一条第二款的规定经供应商确认后产生约束力。</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3.4.2采购文件出现不是唯一的、有选择性投标报价的，投标无效。</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3.4.3投标报价超过采购文件中规定的预算金额或者最高限价的，投标无效。</w:t>
      </w:r>
    </w:p>
    <w:p>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采购文件满足采购文件全部实质性要求，且按照评审因素的量化指标评审得分最高的供应商为排名第一的中标候选人。</w:t>
      </w:r>
    </w:p>
    <w:p>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after="225" w:line="315" w:lineRule="atLeast"/>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pPr>
        <w:pStyle w:val="132"/>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4.1供应商澄清、说明或者补正。</w:t>
      </w:r>
      <w:r>
        <w:rPr>
          <w:rFonts w:hint="eastAsia" w:ascii="宋体" w:hAnsi="宋体" w:cs="宋体"/>
          <w:color w:val="000000" w:themeColor="text1"/>
          <w:kern w:val="0"/>
          <w:szCs w:val="24"/>
          <w:highlight w:val="none"/>
          <w14:textFill>
            <w14:solidFill>
              <w14:schemeClr w14:val="tx1"/>
            </w14:solidFill>
          </w14:textFill>
        </w:rPr>
        <w:t>对于采购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采购文件的范围或者改变采购文件的实质性内容。</w:t>
      </w:r>
    </w:p>
    <w:p>
      <w:pPr>
        <w:pStyle w:val="27"/>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4.2.1供应商不具备采购文件中规定的资格要求的（供应商未提供有效的资格文件的，视为供应商不具备采购文件中规定的资格要求）；</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4.2.2采购文件未按照采购文件要求签署、盖章的；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4.2.4采购文件含有采购人不能接受的附加条件的；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4.2.5采购文件中承诺的投标有效期少于采购文件中载明的投标有效期的；</w:t>
      </w:r>
    </w:p>
    <w:p>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4.2.6采购文件出现不是唯一的、有选择性投标报价的;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4.2.7投标报价超过采购文件中规定的预算金额或者最高限价的;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4.2.9供应商对根据修正原则修正后的报价不确认的；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4.2.10供应商提供虚假材料投标的；</w:t>
      </w:r>
    </w:p>
    <w:p>
      <w:pPr>
        <w:spacing w:line="360" w:lineRule="auto"/>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4.2.11供应商有恶意串通、妨碍其他供应商的竞争行为、损害采购人或者其他供应商的合法权益情形的；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4.2.12供应商仅提交备份采购文件，未在电子交易平台传输递交采购文件的，投标无效；</w:t>
      </w:r>
    </w:p>
    <w:p>
      <w:pPr>
        <w:pStyle w:val="5"/>
        <w:ind w:left="862" w:leftChars="205"/>
        <w:rPr>
          <w:rFonts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4.2.13 采购文件不满足采购文件的其它实质性要求的；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pPr>
        <w:pStyle w:val="27"/>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5.1符合专业条件的供应商或者对采购文件作实质响应的供应商不足3家的；</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5.3供应商的报价均超过了采购预算，采购人不能支付的；</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废标后，采购机构应当将废标理由通知所有供应商。</w:t>
      </w:r>
    </w:p>
    <w:p>
      <w:pPr>
        <w:pStyle w:val="27"/>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6.修改采购文件，重新组织采购活动。</w:t>
      </w:r>
      <w:r>
        <w:rPr>
          <w:rFonts w:hint="eastAsia" w:cs="宋体"/>
          <w:color w:val="000000" w:themeColor="text1"/>
          <w:highlight w:val="none"/>
          <w14:textFill>
            <w14:solidFill>
              <w14:schemeClr w14:val="tx1"/>
            </w14:solidFill>
          </w14:textFill>
        </w:rPr>
        <w:t>评标委员会发现采购文件存在歧义、重大缺陷导致评标工作无法进行，或者采购文件内容违反国家有关强制性规定的，将停止评标工作，并与采购人、采购机构沟通并作书面记录。采购人、采购机构确认后，将修改采购文件，重新组织采购活动。</w:t>
      </w:r>
    </w:p>
    <w:p>
      <w:pPr>
        <w:pStyle w:val="27"/>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pPr>
        <w:pStyle w:val="27"/>
        <w:snapToGrid w:val="0"/>
        <w:spacing w:line="360" w:lineRule="auto"/>
        <w:ind w:firstLine="0" w:firstLineChars="0"/>
        <w:rPr>
          <w:rFonts w:cs="宋体"/>
          <w:color w:val="000000" w:themeColor="text1"/>
          <w:highlight w:val="none"/>
          <w14:textFill>
            <w14:solidFill>
              <w14:schemeClr w14:val="tx1"/>
            </w14:solidFill>
          </w14:textFill>
        </w:rPr>
      </w:pPr>
    </w:p>
    <w:bookmarkEnd w:id="26"/>
    <w:p>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bookmarkStart w:id="400" w:name="第五部分"/>
      <w:bookmarkStart w:id="401" w:name="_Toc86217003"/>
    </w:p>
    <w:p>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说明：合同将由采购人（以下简称甲方）与经评审最终确定的中标人（以下简称乙方）结合本项目具体情况协商后签订，本合同为样稿。</w:t>
      </w:r>
    </w:p>
    <w:p>
      <w:pPr>
        <w:spacing w:line="360" w:lineRule="auto"/>
        <w:rPr>
          <w:rFonts w:ascii="宋体" w:hAnsi="宋体" w:cs="宋体"/>
          <w:color w:val="000000" w:themeColor="text1"/>
          <w:sz w:val="24"/>
          <w:highlight w:val="none"/>
          <w14:textFill>
            <w14:solidFill>
              <w14:schemeClr w14:val="tx1"/>
            </w14:solidFill>
          </w14:textFill>
        </w:rPr>
      </w:pPr>
    </w:p>
    <w:p>
      <w:pPr>
        <w:rPr>
          <w:rFonts w:ascii="宋体" w:hAnsi="宋体" w:cs="宋体"/>
          <w:b/>
          <w:color w:val="000000" w:themeColor="text1"/>
          <w:sz w:val="72"/>
          <w:szCs w:val="72"/>
          <w:highlight w:val="none"/>
          <w14:textFill>
            <w14:solidFill>
              <w14:schemeClr w14:val="tx1"/>
            </w14:solidFill>
          </w14:textFill>
        </w:rPr>
      </w:pPr>
      <w:r>
        <w:rPr>
          <w:rFonts w:hint="eastAsia" w:ascii="宋体" w:hAnsi="宋体" w:cs="宋体"/>
          <w:b/>
          <w:color w:val="000000" w:themeColor="text1"/>
          <w:sz w:val="72"/>
          <w:szCs w:val="72"/>
          <w:highlight w:val="none"/>
          <w14:textFill>
            <w14:solidFill>
              <w14:schemeClr w14:val="tx1"/>
            </w14:solidFill>
          </w14:textFill>
        </w:rPr>
        <w:br w:type="page"/>
      </w:r>
    </w:p>
    <w:p>
      <w:pPr>
        <w:pStyle w:val="701"/>
        <w:spacing w:before="240" w:beforeLines="100" w:after="0"/>
        <w:ind w:left="0" w:leftChars="0" w:firstLine="0" w:firstLineChars="0"/>
        <w:jc w:val="center"/>
        <w:rPr>
          <w:rFonts w:ascii="宋体" w:hAnsi="宋体" w:cs="宋体"/>
          <w:b/>
          <w:color w:val="000000" w:themeColor="text1"/>
          <w:sz w:val="72"/>
          <w:szCs w:val="72"/>
          <w:highlight w:val="none"/>
          <w14:textFill>
            <w14:solidFill>
              <w14:schemeClr w14:val="tx1"/>
            </w14:solidFill>
          </w14:textFill>
        </w:rPr>
      </w:pPr>
      <w:r>
        <w:rPr>
          <w:rFonts w:hint="eastAsia" w:ascii="宋体" w:hAnsi="宋体" w:cs="宋体"/>
          <w:b/>
          <w:color w:val="000000" w:themeColor="text1"/>
          <w:sz w:val="72"/>
          <w:szCs w:val="72"/>
          <w:highlight w:val="none"/>
          <w14:textFill>
            <w14:solidFill>
              <w14:schemeClr w14:val="tx1"/>
            </w14:solidFill>
          </w14:textFill>
        </w:rPr>
        <w:t>政府采购合同</w:t>
      </w:r>
    </w:p>
    <w:p>
      <w:pPr>
        <w:pStyle w:val="27"/>
        <w:ind w:left="480"/>
        <w:rPr>
          <w:rFonts w:cs="宋体"/>
          <w:color w:val="000000" w:themeColor="text1"/>
          <w:highlight w:val="none"/>
          <w14:textFill>
            <w14:solidFill>
              <w14:schemeClr w14:val="tx1"/>
            </w14:solidFill>
          </w14:textFill>
        </w:rPr>
      </w:pPr>
    </w:p>
    <w:p>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（货物类）</w:t>
      </w:r>
    </w:p>
    <w:p>
      <w:pPr>
        <w:pStyle w:val="701"/>
        <w:ind w:left="0" w:leftChars="0" w:firstLine="0" w:firstLineChars="0"/>
        <w:jc w:val="center"/>
        <w:rPr>
          <w:rFonts w:ascii="宋体" w:hAnsi="宋体" w:cs="宋体"/>
          <w:b/>
          <w:color w:val="000000" w:themeColor="text1"/>
          <w:sz w:val="36"/>
          <w:szCs w:val="36"/>
          <w:highlight w:val="none"/>
          <w14:textFill>
            <w14:solidFill>
              <w14:schemeClr w14:val="tx1"/>
            </w14:solidFill>
          </w14:textFill>
        </w:rPr>
      </w:pPr>
    </w:p>
    <w:p>
      <w:pPr>
        <w:pStyle w:val="701"/>
        <w:ind w:left="0" w:leftChars="0" w:firstLine="0" w:firstLineChars="0"/>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第一部分 合同书</w:t>
      </w:r>
    </w:p>
    <w:p>
      <w:pPr>
        <w:pStyle w:val="701"/>
        <w:rPr>
          <w:rFonts w:ascii="宋体" w:hAnsi="宋体" w:cs="宋体"/>
          <w:color w:val="000000" w:themeColor="text1"/>
          <w:szCs w:val="24"/>
          <w:highlight w:val="none"/>
          <w14:textFill>
            <w14:solidFill>
              <w14:schemeClr w14:val="tx1"/>
            </w14:solidFill>
          </w14:textFill>
        </w:rPr>
      </w:pPr>
    </w:p>
    <w:p>
      <w:pPr>
        <w:pStyle w:val="27"/>
        <w:ind w:left="480"/>
        <w:rPr>
          <w:rFonts w:cs="宋体"/>
          <w:color w:val="000000" w:themeColor="text1"/>
          <w:highlight w:val="none"/>
          <w14:textFill>
            <w14:solidFill>
              <w14:schemeClr w14:val="tx1"/>
            </w14:solidFill>
          </w14:textFill>
        </w:rPr>
      </w:pPr>
    </w:p>
    <w:p>
      <w:pPr>
        <w:pStyle w:val="27"/>
        <w:ind w:left="480"/>
        <w:rPr>
          <w:rFonts w:cs="宋体"/>
          <w:color w:val="000000" w:themeColor="text1"/>
          <w:highlight w:val="none"/>
          <w14:textFill>
            <w14:solidFill>
              <w14:schemeClr w14:val="tx1"/>
            </w14:solidFill>
          </w14:textFill>
        </w:rPr>
      </w:pPr>
    </w:p>
    <w:p>
      <w:pPr>
        <w:spacing w:line="480" w:lineRule="auto"/>
        <w:ind w:right="-298" w:rightChars="-142" w:firstLine="280" w:firstLineChars="100"/>
        <w:jc w:val="left"/>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项目名称：</w:t>
      </w:r>
      <w:r>
        <w:rPr>
          <w:rFonts w:hint="eastAsia" w:ascii="宋体" w:hAnsi="宋体" w:cs="宋体"/>
          <w:color w:val="000000" w:themeColor="text1"/>
          <w:w w:val="90"/>
          <w:sz w:val="28"/>
          <w:szCs w:val="28"/>
          <w:highlight w:val="none"/>
          <w:u w:val="single"/>
          <w:lang w:eastAsia="zh-CN"/>
          <w14:textFill>
            <w14:solidFill>
              <w14:schemeClr w14:val="tx1"/>
            </w14:solidFill>
          </w14:textFill>
        </w:rPr>
        <w:t>杭州城西休闲公园地下停车库及配套服务用房--机械车位项目</w:t>
      </w:r>
    </w:p>
    <w:p>
      <w:pPr>
        <w:spacing w:line="480" w:lineRule="auto"/>
        <w:ind w:firstLine="280" w:firstLineChars="100"/>
        <w:jc w:val="left"/>
        <w:rPr>
          <w:rFonts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项目编号：</w:t>
      </w:r>
      <w:r>
        <w:rPr>
          <w:rFonts w:hint="eastAsia" w:ascii="宋体" w:hAnsi="宋体" w:cs="宋体"/>
          <w:bCs/>
          <w:color w:val="000000" w:themeColor="text1"/>
          <w:sz w:val="28"/>
          <w:szCs w:val="28"/>
          <w:highlight w:val="none"/>
          <w:u w:val="single"/>
          <w14:textFill>
            <w14:solidFill>
              <w14:schemeClr w14:val="tx1"/>
            </w14:solidFill>
          </w14:textFill>
        </w:rPr>
        <w:t xml:space="preserve">            </w:t>
      </w:r>
      <w:r>
        <w:rPr>
          <w:rFonts w:hint="eastAsia" w:ascii="宋体" w:hAnsi="宋体" w:cs="宋体"/>
          <w:bCs/>
          <w:color w:val="000000" w:themeColor="text1"/>
          <w:sz w:val="28"/>
          <w:szCs w:val="28"/>
          <w:highlight w:val="none"/>
          <w:u w:val="single"/>
          <w:lang w:eastAsia="zh-CN"/>
          <w14:textFill>
            <w14:solidFill>
              <w14:schemeClr w14:val="tx1"/>
            </w14:solidFill>
          </w14:textFill>
        </w:rPr>
        <w:t>LFF-202211-138</w:t>
      </w:r>
      <w:r>
        <w:rPr>
          <w:rFonts w:hint="eastAsia" w:ascii="宋体" w:hAnsi="宋体" w:cs="宋体"/>
          <w:bCs/>
          <w:color w:val="000000" w:themeColor="text1"/>
          <w:sz w:val="28"/>
          <w:szCs w:val="28"/>
          <w:highlight w:val="none"/>
          <w:u w:val="single"/>
          <w14:textFill>
            <w14:solidFill>
              <w14:schemeClr w14:val="tx1"/>
            </w14:solidFill>
          </w14:textFill>
        </w:rPr>
        <w:t xml:space="preserve">                 </w:t>
      </w:r>
    </w:p>
    <w:p>
      <w:pPr>
        <w:spacing w:line="480" w:lineRule="auto"/>
        <w:ind w:firstLine="280" w:firstLineChars="100"/>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甲    方</w:t>
      </w:r>
      <w:r>
        <w:rPr>
          <w:rFonts w:hint="eastAsia"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u w:val="single"/>
          <w:lang w:eastAsia="zh-CN"/>
          <w14:textFill>
            <w14:solidFill>
              <w14:schemeClr w14:val="tx1"/>
            </w14:solidFill>
          </w14:textFill>
        </w:rPr>
        <w:t>杭州西湖风景名胜区建设管理中心</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p>
    <w:p>
      <w:pPr>
        <w:spacing w:line="480" w:lineRule="auto"/>
        <w:ind w:firstLine="280" w:firstLineChars="100"/>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乙    方：</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p>
    <w:p>
      <w:pPr>
        <w:spacing w:line="480" w:lineRule="auto"/>
        <w:ind w:firstLine="280" w:firstLineChars="100"/>
        <w:jc w:val="left"/>
        <w:rPr>
          <w:rFonts w:ascii="宋体" w:hAnsi="宋体" w:cs="宋体"/>
          <w:bCs/>
          <w:color w:val="000000" w:themeColor="text1"/>
          <w:sz w:val="28"/>
          <w:szCs w:val="28"/>
          <w:highlight w:val="none"/>
          <w14:textFill>
            <w14:solidFill>
              <w14:schemeClr w14:val="tx1"/>
            </w14:solidFill>
          </w14:textFill>
        </w:rPr>
      </w:pPr>
    </w:p>
    <w:p>
      <w:pPr>
        <w:spacing w:line="480" w:lineRule="auto"/>
        <w:ind w:firstLine="280" w:firstLineChars="100"/>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签订地点：</w:t>
      </w:r>
      <w:r>
        <w:rPr>
          <w:rFonts w:hint="eastAsia" w:ascii="宋体" w:hAnsi="宋体" w:cs="宋体"/>
          <w:bCs/>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浙江  </w:t>
      </w:r>
      <w:r>
        <w:rPr>
          <w:rFonts w:hint="eastAsia" w:ascii="宋体" w:hAnsi="宋体" w:cs="宋体"/>
          <w:color w:val="000000" w:themeColor="text1"/>
          <w:sz w:val="28"/>
          <w:szCs w:val="28"/>
          <w:highlight w:val="none"/>
          <w14:textFill>
            <w14:solidFill>
              <w14:schemeClr w14:val="tx1"/>
            </w14:solidFill>
          </w14:textFill>
        </w:rPr>
        <w:t>省</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市</w:t>
      </w:r>
    </w:p>
    <w:p>
      <w:pPr>
        <w:spacing w:line="480" w:lineRule="auto"/>
        <w:ind w:firstLine="280" w:firstLineChars="100"/>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签订日期：</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年</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日</w:t>
      </w:r>
    </w:p>
    <w:p>
      <w:pPr>
        <w:rPr>
          <w:rFonts w:ascii="宋体" w:hAnsi="宋体" w:cs="宋体"/>
          <w:color w:val="000000" w:themeColor="text1"/>
          <w:sz w:val="28"/>
          <w:szCs w:val="28"/>
          <w:highlight w:val="none"/>
          <w14:textFill>
            <w14:solidFill>
              <w14:schemeClr w14:val="tx1"/>
            </w14:solidFill>
          </w14:textFill>
        </w:rPr>
      </w:pPr>
    </w:p>
    <w:p>
      <w:pPr>
        <w:widowControl/>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年</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月</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杭州西湖风景名胜区建设管理中心</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以</w:t>
      </w:r>
      <w:r>
        <w:rPr>
          <w:rFonts w:hint="eastAsia" w:ascii="宋体" w:hAnsi="宋体" w:cs="宋体"/>
          <w:color w:val="000000" w:themeColor="text1"/>
          <w:sz w:val="24"/>
          <w:highlight w:val="none"/>
          <w:u w:val="single"/>
          <w14:textFill>
            <w14:solidFill>
              <w14:schemeClr w14:val="tx1"/>
            </w14:solidFill>
          </w14:textFill>
        </w:rPr>
        <w:t xml:space="preserve"> 政府采购公开招标方式 </w:t>
      </w:r>
      <w:r>
        <w:rPr>
          <w:rFonts w:hint="eastAsia" w:ascii="宋体" w:hAnsi="宋体" w:cs="宋体"/>
          <w:color w:val="000000" w:themeColor="text1"/>
          <w:sz w:val="24"/>
          <w:highlight w:val="none"/>
          <w14:textFill>
            <w14:solidFill>
              <w14:schemeClr w14:val="tx1"/>
            </w14:solidFill>
          </w14:textFill>
        </w:rPr>
        <w:t>对</w:t>
      </w:r>
      <w:r>
        <w:rPr>
          <w:rFonts w:hint="eastAsia" w:ascii="宋体" w:hAnsi="宋体" w:cs="宋体"/>
          <w:bCs/>
          <w:color w:val="000000" w:themeColor="text1"/>
          <w:kern w:val="0"/>
          <w:sz w:val="24"/>
          <w:highlight w:val="none"/>
          <w:u w:val="single"/>
          <w:lang w:eastAsia="zh-CN"/>
          <w14:textFill>
            <w14:solidFill>
              <w14:schemeClr w14:val="tx1"/>
            </w14:solidFill>
          </w14:textFill>
        </w:rPr>
        <w:t>杭州城西休闲公园地下停车库及配套服务用房--机械车位项目</w:t>
      </w:r>
      <w:r>
        <w:rPr>
          <w:rFonts w:hint="eastAsia" w:ascii="宋体" w:hAnsi="宋体" w:cs="宋体"/>
          <w:color w:val="000000" w:themeColor="text1"/>
          <w:sz w:val="24"/>
          <w:highlight w:val="none"/>
          <w14:textFill>
            <w14:solidFill>
              <w14:schemeClr w14:val="tx1"/>
            </w14:solidFill>
          </w14:textFill>
        </w:rPr>
        <w:t>进行了</w:t>
      </w:r>
      <w:r>
        <w:rPr>
          <w:rFonts w:hint="eastAsia" w:ascii="宋体" w:hAnsi="宋体" w:cs="宋体"/>
          <w:color w:val="000000" w:themeColor="text1"/>
          <w:sz w:val="24"/>
          <w:highlight w:val="none"/>
          <w:lang w:val="en-US" w:eastAsia="zh-CN"/>
          <w14:textFill>
            <w14:solidFill>
              <w14:schemeClr w14:val="tx1"/>
            </w14:solidFill>
          </w14:textFill>
        </w:rPr>
        <w:t>公开</w:t>
      </w:r>
      <w:r>
        <w:rPr>
          <w:rFonts w:hint="eastAsia" w:ascii="宋体" w:hAnsi="宋体" w:cs="宋体"/>
          <w:color w:val="000000" w:themeColor="text1"/>
          <w:sz w:val="24"/>
          <w:highlight w:val="none"/>
          <w14:textFill>
            <w14:solidFill>
              <w14:schemeClr w14:val="tx1"/>
            </w14:solidFill>
          </w14:textFill>
        </w:rPr>
        <w:t>采购。经</w:t>
      </w:r>
      <w:r>
        <w:rPr>
          <w:rFonts w:hint="eastAsia" w:ascii="宋体" w:hAnsi="宋体" w:cs="宋体"/>
          <w:color w:val="000000" w:themeColor="text1"/>
          <w:sz w:val="24"/>
          <w:highlight w:val="none"/>
          <w:u w:val="single"/>
          <w14:textFill>
            <w14:solidFill>
              <w14:schemeClr w14:val="tx1"/>
            </w14:solidFill>
          </w14:textFill>
        </w:rPr>
        <w:t xml:space="preserve">评标委员会 </w:t>
      </w:r>
      <w:r>
        <w:rPr>
          <w:rFonts w:hint="eastAsia" w:ascii="宋体" w:hAnsi="宋体" w:cs="宋体"/>
          <w:color w:val="000000" w:themeColor="text1"/>
          <w:sz w:val="24"/>
          <w:highlight w:val="none"/>
          <w14:textFill>
            <w14:solidFill>
              <w14:schemeClr w14:val="tx1"/>
            </w14:solidFill>
          </w14:textFill>
        </w:rPr>
        <w:t>评定，</w:t>
      </w:r>
      <w:r>
        <w:rPr>
          <w:rFonts w:hint="eastAsia" w:ascii="宋体" w:hAnsi="宋体" w:cs="宋体"/>
          <w:color w:val="000000" w:themeColor="text1"/>
          <w:sz w:val="24"/>
          <w:highlight w:val="none"/>
          <w:u w:val="single"/>
          <w14:textFill>
            <w14:solidFill>
              <w14:schemeClr w14:val="tx1"/>
            </w14:solidFill>
          </w14:textFill>
        </w:rPr>
        <w:t>（中标供应商名称）</w:t>
      </w:r>
      <w:r>
        <w:rPr>
          <w:rFonts w:hint="eastAsia" w:ascii="宋体" w:hAnsi="宋体" w:cs="宋体"/>
          <w:color w:val="000000" w:themeColor="text1"/>
          <w:sz w:val="24"/>
          <w:highlight w:val="none"/>
          <w14:textFill>
            <w14:solidFill>
              <w14:schemeClr w14:val="tx1"/>
            </w14:solidFill>
          </w14:textFill>
        </w:rPr>
        <w:t>为该项目中标供应商。现于中标通知书发出之日起三十日内，按照采购文件确定的事项签订本合同。</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宋体" w:hAnsi="宋体" w:cs="宋体"/>
          <w:color w:val="000000" w:themeColor="text1"/>
          <w:sz w:val="24"/>
          <w:highlight w:val="none"/>
          <w:u w:val="single"/>
          <w14:textFill>
            <w14:solidFill>
              <w14:schemeClr w14:val="tx1"/>
            </w14:solidFill>
          </w14:textFill>
        </w:rPr>
        <w:t xml:space="preserve">   （采购人）   </w:t>
      </w:r>
      <w:r>
        <w:rPr>
          <w:rFonts w:hint="eastAsia" w:ascii="宋体" w:hAnsi="宋体" w:cs="宋体"/>
          <w:color w:val="000000" w:themeColor="text1"/>
          <w:sz w:val="24"/>
          <w:highlight w:val="none"/>
          <w:lang w:val="zh-CN"/>
          <w14:textFill>
            <w14:solidFill>
              <w14:schemeClr w14:val="tx1"/>
            </w14:solidFill>
          </w14:textFill>
        </w:rPr>
        <w:t>(以下简称：甲方)和</w:t>
      </w:r>
      <w:r>
        <w:rPr>
          <w:rFonts w:hint="eastAsia" w:ascii="宋体" w:hAnsi="宋体" w:cs="宋体"/>
          <w:color w:val="000000" w:themeColor="text1"/>
          <w:sz w:val="24"/>
          <w:highlight w:val="none"/>
          <w:u w:val="single"/>
          <w14:textFill>
            <w14:solidFill>
              <w14:schemeClr w14:val="tx1"/>
            </w14:solidFill>
          </w14:textFill>
        </w:rPr>
        <w:t xml:space="preserve">   （中标供应商名称）   </w:t>
      </w:r>
      <w:r>
        <w:rPr>
          <w:rFonts w:hint="eastAsia" w:ascii="宋体" w:hAnsi="宋体" w:cs="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s="宋体"/>
          <w:color w:val="000000" w:themeColor="text1"/>
          <w:sz w:val="24"/>
          <w:highlight w:val="none"/>
          <w14:textFill>
            <w14:solidFill>
              <w14:schemeClr w14:val="tx1"/>
            </w14:solidFill>
          </w14:textFill>
        </w:rPr>
        <w:t>条款，以兹共同遵守、全面履行。</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2" w:name="_Toc2232"/>
      <w:bookmarkStart w:id="403" w:name="_Toc24059"/>
      <w:bookmarkStart w:id="404" w:name="_Toc3029"/>
      <w:r>
        <w:rPr>
          <w:rFonts w:hint="eastAsia" w:ascii="宋体" w:hAnsi="宋体" w:cs="宋体"/>
          <w:b/>
          <w:color w:val="000000" w:themeColor="text1"/>
          <w:sz w:val="24"/>
          <w:highlight w:val="none"/>
          <w14:textFill>
            <w14:solidFill>
              <w14:schemeClr w14:val="tx1"/>
            </w14:solidFill>
          </w14:textFill>
        </w:rPr>
        <w:t>1.1 合同组成部分</w:t>
      </w:r>
      <w:bookmarkEnd w:id="402"/>
      <w:bookmarkEnd w:id="403"/>
      <w:bookmarkEnd w:id="404"/>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 本合同及其补充合同、变更协议；</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 中标通知书；</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 投标文件（含澄清或者说明文件）；</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1.1.4 </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（含澄清或者修改文件）；</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 其他相关采购文件。</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5" w:name="_Toc27126"/>
      <w:bookmarkStart w:id="406" w:name="_Toc24300"/>
      <w:bookmarkStart w:id="407" w:name="_Toc21295"/>
      <w:r>
        <w:rPr>
          <w:rFonts w:hint="eastAsia" w:ascii="宋体" w:hAnsi="宋体" w:cs="宋体"/>
          <w:b/>
          <w:color w:val="000000" w:themeColor="text1"/>
          <w:sz w:val="24"/>
          <w:highlight w:val="none"/>
          <w14:textFill>
            <w14:solidFill>
              <w14:schemeClr w14:val="tx1"/>
            </w14:solidFill>
          </w14:textFill>
        </w:rPr>
        <w:t>1.2 货物</w:t>
      </w:r>
      <w:bookmarkEnd w:id="405"/>
      <w:bookmarkEnd w:id="406"/>
      <w:bookmarkEnd w:id="407"/>
    </w:p>
    <w:p>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 货物名称：</w:t>
      </w:r>
      <w:r>
        <w:rPr>
          <w:rFonts w:hint="eastAsia" w:ascii="宋体" w:hAnsi="宋体" w:cs="宋体"/>
          <w:color w:val="000000" w:themeColor="text1"/>
          <w:sz w:val="24"/>
          <w:highlight w:val="none"/>
          <w:u w:val="single"/>
          <w14:textFill>
            <w14:solidFill>
              <w14:schemeClr w14:val="tx1"/>
            </w14:solidFill>
          </w14:textFill>
        </w:rPr>
        <w:t>详见采购需求中“</w:t>
      </w:r>
      <w:r>
        <w:rPr>
          <w:rFonts w:hint="eastAsia" w:ascii="宋体" w:hAnsi="宋体" w:cs="宋体"/>
          <w:color w:val="000000" w:themeColor="text1"/>
          <w:sz w:val="24"/>
          <w:highlight w:val="none"/>
          <w:u w:val="single"/>
          <w:lang w:eastAsia="zh-CN"/>
          <w14:textFill>
            <w14:solidFill>
              <w14:schemeClr w14:val="tx1"/>
            </w14:solidFill>
          </w14:textFill>
        </w:rPr>
        <w:t>项目概况</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 货物数量：</w:t>
      </w:r>
      <w:r>
        <w:rPr>
          <w:rFonts w:hint="eastAsia" w:ascii="宋体" w:hAnsi="宋体" w:cs="宋体"/>
          <w:color w:val="000000" w:themeColor="text1"/>
          <w:sz w:val="24"/>
          <w:highlight w:val="none"/>
          <w:u w:val="single"/>
          <w14:textFill>
            <w14:solidFill>
              <w14:schemeClr w14:val="tx1"/>
            </w14:solidFill>
          </w14:textFill>
        </w:rPr>
        <w:t>详见采购需求中“项目技术标准及具体要求”</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 货物质量：</w:t>
      </w:r>
      <w:r>
        <w:rPr>
          <w:rFonts w:hint="eastAsia" w:ascii="宋体" w:hAnsi="宋体" w:cs="宋体"/>
          <w:color w:val="000000" w:themeColor="text1"/>
          <w:sz w:val="24"/>
          <w:highlight w:val="none"/>
          <w:u w:val="single"/>
          <w14:textFill>
            <w14:solidFill>
              <w14:schemeClr w14:val="tx1"/>
            </w14:solidFill>
          </w14:textFill>
        </w:rPr>
        <w:t>所供产品是符合国家技术规范和质量标准，合格产品，为全新、未使用过的原装正品，制造标准及技术规范要求必须符合我国相关标准</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8" w:name="_Toc21631"/>
      <w:bookmarkStart w:id="409" w:name="_Toc21551"/>
      <w:bookmarkStart w:id="410" w:name="_Toc23292"/>
      <w:r>
        <w:rPr>
          <w:rFonts w:hint="eastAsia" w:ascii="宋体" w:hAnsi="宋体" w:cs="宋体"/>
          <w:b/>
          <w:color w:val="000000" w:themeColor="text1"/>
          <w:sz w:val="24"/>
          <w:highlight w:val="none"/>
          <w14:textFill>
            <w14:solidFill>
              <w14:schemeClr w14:val="tx1"/>
            </w14:solidFill>
          </w14:textFill>
        </w:rPr>
        <w:t>1.3 价款</w:t>
      </w:r>
      <w:bookmarkEnd w:id="408"/>
      <w:bookmarkEnd w:id="409"/>
      <w:bookmarkEnd w:id="410"/>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本合同总价为：￥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元人民币）</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总价包干。</w:t>
      </w:r>
      <w:r>
        <w:rPr>
          <w:rFonts w:hint="eastAsia" w:ascii="宋体" w:hAnsi="宋体" w:cs="宋体"/>
          <w:color w:val="000000" w:themeColor="text1"/>
          <w:sz w:val="24"/>
          <w:highlight w:val="none"/>
          <w:lang w:val="zh-CN" w:eastAsia="zh-CN"/>
          <w14:textFill>
            <w14:solidFill>
              <w14:schemeClr w14:val="tx1"/>
            </w14:solidFill>
          </w14:textFill>
        </w:rPr>
        <w:t>如遇部分清单设备</w:t>
      </w:r>
      <w:r>
        <w:rPr>
          <w:rFonts w:hint="eastAsia" w:ascii="宋体" w:hAnsi="宋体" w:cs="宋体"/>
          <w:color w:val="000000" w:themeColor="text1"/>
          <w:sz w:val="24"/>
          <w:highlight w:val="none"/>
          <w:lang w:val="en-US" w:eastAsia="zh-CN"/>
          <w14:textFill>
            <w14:solidFill>
              <w14:schemeClr w14:val="tx1"/>
            </w14:solidFill>
          </w14:textFill>
        </w:rPr>
        <w:t>供货实际</w:t>
      </w:r>
      <w:r>
        <w:rPr>
          <w:rFonts w:hint="eastAsia" w:ascii="宋体" w:hAnsi="宋体" w:cs="宋体"/>
          <w:color w:val="000000" w:themeColor="text1"/>
          <w:sz w:val="24"/>
          <w:highlight w:val="none"/>
          <w:lang w:val="zh-CN" w:eastAsia="zh-CN"/>
          <w14:textFill>
            <w14:solidFill>
              <w14:schemeClr w14:val="tx1"/>
            </w14:solidFill>
          </w14:textFill>
        </w:rPr>
        <w:t>数量有变，则按投标单价价格按实结算（</w:t>
      </w:r>
      <w:r>
        <w:rPr>
          <w:rFonts w:hint="eastAsia" w:ascii="宋体" w:hAnsi="宋体" w:cs="宋体"/>
          <w:color w:val="000000" w:themeColor="text1"/>
          <w:sz w:val="24"/>
          <w:highlight w:val="none"/>
          <w:lang w:val="en-US" w:eastAsia="zh-CN"/>
          <w14:textFill>
            <w14:solidFill>
              <w14:schemeClr w14:val="tx1"/>
            </w14:solidFill>
          </w14:textFill>
        </w:rPr>
        <w:t>支付金额=按实际供货数量*中标综合单价</w:t>
      </w:r>
      <w:r>
        <w:rPr>
          <w:rFonts w:hint="eastAsia" w:ascii="宋体" w:hAnsi="宋体" w:cs="宋体"/>
          <w:color w:val="000000" w:themeColor="text1"/>
          <w:sz w:val="24"/>
          <w:highlight w:val="none"/>
          <w:lang w:val="zh-CN"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w:t>
      </w:r>
    </w:p>
    <w:p>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分项价格：</w:t>
      </w:r>
    </w:p>
    <w:tbl>
      <w:tblPr>
        <w:tblStyle w:val="64"/>
        <w:tblW w:w="10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408"/>
        <w:gridCol w:w="2032"/>
        <w:gridCol w:w="690"/>
        <w:gridCol w:w="990"/>
        <w:gridCol w:w="1283"/>
        <w:gridCol w:w="90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序号</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
                <w:bCs/>
                <w:color w:val="000000" w:themeColor="text1"/>
                <w:sz w:val="20"/>
                <w:szCs w:val="20"/>
                <w:highlight w:val="none"/>
                <w:lang w:eastAsia="zh-CN"/>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项目名称</w:t>
            </w:r>
            <w:r>
              <w:rPr>
                <w:rFonts w:hint="eastAsia" w:ascii="宋体" w:hAnsi="宋体" w:cs="宋体"/>
                <w:b/>
                <w:bCs/>
                <w:color w:val="000000" w:themeColor="text1"/>
                <w:kern w:val="0"/>
                <w:sz w:val="20"/>
                <w:szCs w:val="20"/>
                <w:highlight w:val="none"/>
                <w:lang w:eastAsia="zh-CN" w:bidi="ar"/>
                <w14:textFill>
                  <w14:solidFill>
                    <w14:schemeClr w14:val="tx1"/>
                  </w14:solidFill>
                </w14:textFill>
              </w:rPr>
              <w:t>（</w:t>
            </w: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车位设备名称</w:t>
            </w:r>
            <w:r>
              <w:rPr>
                <w:rFonts w:hint="eastAsia" w:ascii="宋体" w:hAnsi="宋体" w:cs="宋体"/>
                <w:b/>
                <w:bCs/>
                <w:color w:val="000000" w:themeColor="text1"/>
                <w:kern w:val="0"/>
                <w:sz w:val="20"/>
                <w:szCs w:val="20"/>
                <w:highlight w:val="none"/>
                <w:lang w:eastAsia="zh-CN" w:bidi="ar"/>
                <w14:textFill>
                  <w14:solidFill>
                    <w14:schemeClr w14:val="tx1"/>
                  </w14:solidFill>
                </w14:textFill>
              </w:rPr>
              <w:t>）</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功能或技术参数</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单位</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数量</w:t>
            </w:r>
          </w:p>
        </w:tc>
        <w:tc>
          <w:tcPr>
            <w:tcW w:w="12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综合单价</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themeColor="text1"/>
                <w:kern w:val="0"/>
                <w:sz w:val="20"/>
                <w:szCs w:val="20"/>
                <w:highlight w:val="none"/>
                <w:lang w:bidi="ar"/>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小计</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themeColor="text1"/>
                <w:kern w:val="0"/>
                <w:sz w:val="20"/>
                <w:szCs w:val="20"/>
                <w:highlight w:val="none"/>
                <w:lang w:bidi="ar"/>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品牌</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000000" w:themeColor="text1"/>
                <w:kern w:val="0"/>
                <w:sz w:val="20"/>
                <w:szCs w:val="20"/>
                <w:highlight w:val="none"/>
                <w:lang w:eastAsia="zh-CN" w:bidi="ar"/>
                <w14:textFill>
                  <w14:solidFill>
                    <w14:schemeClr w14:val="tx1"/>
                  </w14:solidFill>
                </w14:textFill>
              </w:rPr>
            </w:pPr>
            <w:r>
              <w:rPr>
                <w:rFonts w:hint="eastAsia" w:ascii="宋体" w:hAnsi="宋体" w:cs="宋体"/>
                <w:b/>
                <w:bCs/>
                <w:color w:val="000000" w:themeColor="text1"/>
                <w:kern w:val="0"/>
                <w:sz w:val="20"/>
                <w:szCs w:val="20"/>
                <w:highlight w:val="none"/>
                <w:lang w:eastAsia="zh-CN" w:bidi="ar"/>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408"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03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1283"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408"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03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1283"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default" w:hAnsi="宋体" w:eastAsia="宋体" w:cs="宋体"/>
                <w:color w:val="000000" w:themeColor="text1"/>
                <w:sz w:val="24"/>
                <w:szCs w:val="24"/>
                <w:highlight w:val="none"/>
                <w:lang w:val="en-US" w:eastAsia="zh-CN"/>
                <w14:textFill>
                  <w14:solidFill>
                    <w14:schemeClr w14:val="tx1"/>
                  </w14:solidFill>
                </w14:textFill>
              </w:rPr>
            </w:pPr>
          </w:p>
        </w:tc>
        <w:tc>
          <w:tcPr>
            <w:tcW w:w="2408"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hAnsi="宋体" w:eastAsia="宋体" w:cs="宋体"/>
                <w:color w:val="000000" w:themeColor="text1"/>
                <w:sz w:val="24"/>
                <w:szCs w:val="24"/>
                <w:highlight w:val="none"/>
                <w:lang w:eastAsia="zh-CN"/>
                <w14:textFill>
                  <w14:solidFill>
                    <w14:schemeClr w14:val="tx1"/>
                  </w14:solidFill>
                </w14:textFill>
              </w:rPr>
            </w:pPr>
          </w:p>
        </w:tc>
        <w:tc>
          <w:tcPr>
            <w:tcW w:w="203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1283"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87" w:type="dxa"/>
            <w:gridSpan w:val="2"/>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总价/元</w:t>
            </w:r>
          </w:p>
        </w:tc>
        <w:tc>
          <w:tcPr>
            <w:tcW w:w="203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1283"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r>
    </w:tbl>
    <w:p>
      <w:pPr>
        <w:spacing w:line="360" w:lineRule="auto"/>
        <w:ind w:firstLine="482" w:firstLineChars="200"/>
        <w:outlineLvl w:val="0"/>
        <w:rPr>
          <w:rFonts w:ascii="宋体" w:hAnsi="宋体" w:cs="宋体"/>
          <w:b/>
          <w:color w:val="000000" w:themeColor="text1"/>
          <w:sz w:val="24"/>
          <w:highlight w:val="none"/>
          <w14:textFill>
            <w14:solidFill>
              <w14:schemeClr w14:val="tx1"/>
            </w14:solidFill>
          </w14:textFill>
        </w:rPr>
      </w:pPr>
      <w:bookmarkStart w:id="411" w:name="_Toc10340"/>
      <w:bookmarkStart w:id="412" w:name="_Toc22618"/>
      <w:bookmarkStart w:id="413" w:name="_Toc1814"/>
      <w:r>
        <w:rPr>
          <w:rFonts w:hint="eastAsia" w:ascii="宋体" w:hAnsi="宋体" w:cs="宋体"/>
          <w:b/>
          <w:color w:val="000000" w:themeColor="text1"/>
          <w:sz w:val="24"/>
          <w:highlight w:val="none"/>
          <w14:textFill>
            <w14:solidFill>
              <w14:schemeClr w14:val="tx1"/>
            </w14:solidFill>
          </w14:textFill>
        </w:rPr>
        <w:t>1.4 付款</w:t>
      </w:r>
      <w:bookmarkEnd w:id="411"/>
      <w:bookmarkEnd w:id="412"/>
      <w:bookmarkEnd w:id="413"/>
      <w:r>
        <w:rPr>
          <w:rFonts w:hint="eastAsia" w:ascii="宋体" w:hAnsi="宋体" w:cs="宋体"/>
          <w:b/>
          <w:color w:val="000000" w:themeColor="text1"/>
          <w:sz w:val="24"/>
          <w:highlight w:val="none"/>
          <w14:textFill>
            <w14:solidFill>
              <w14:schemeClr w14:val="tx1"/>
            </w14:solidFill>
          </w14:textFill>
        </w:rPr>
        <w:t>方式、时间和条件</w:t>
      </w:r>
    </w:p>
    <w:p>
      <w:pPr>
        <w:pStyle w:val="958"/>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4" w:name="_Toc32071"/>
      <w:bookmarkStart w:id="415" w:name="_Toc2846"/>
      <w:bookmarkStart w:id="416" w:name="_Toc19304"/>
      <w:r>
        <w:rPr>
          <w:rFonts w:hint="eastAsia" w:ascii="宋体" w:hAnsi="宋体" w:cs="宋体"/>
          <w:b/>
          <w:color w:val="000000" w:themeColor="text1"/>
          <w:sz w:val="24"/>
          <w:highlight w:val="none"/>
          <w14:textFill>
            <w14:solidFill>
              <w14:schemeClr w14:val="tx1"/>
            </w14:solidFill>
          </w14:textFill>
        </w:rPr>
        <w:t>1.5 货物交付期限、地点和方式</w:t>
      </w:r>
      <w:bookmarkEnd w:id="414"/>
      <w:bookmarkEnd w:id="415"/>
      <w:bookmarkEnd w:id="416"/>
    </w:p>
    <w:p>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 交付期限：详见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 交付地点：</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 交付方式：</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7" w:name="_Toc19554"/>
      <w:bookmarkStart w:id="418" w:name="_Toc27250"/>
      <w:bookmarkStart w:id="419" w:name="_Toc21423"/>
      <w:r>
        <w:rPr>
          <w:rFonts w:hint="eastAsia" w:ascii="宋体" w:hAnsi="宋体" w:cs="宋体"/>
          <w:b/>
          <w:color w:val="000000" w:themeColor="text1"/>
          <w:sz w:val="24"/>
          <w:highlight w:val="none"/>
          <w14:textFill>
            <w14:solidFill>
              <w14:schemeClr w14:val="tx1"/>
            </w14:solidFill>
          </w14:textFill>
        </w:rPr>
        <w:t>1.6 违约责任</w:t>
      </w:r>
      <w:bookmarkEnd w:id="417"/>
      <w:bookmarkEnd w:id="418"/>
      <w:bookmarkEnd w:id="419"/>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000000" w:themeColor="text1"/>
          <w:sz w:val="24"/>
          <w:highlight w:val="none"/>
          <w:u w:val="single"/>
          <w14:textFill>
            <w14:solidFill>
              <w14:schemeClr w14:val="tx1"/>
            </w14:solidFill>
          </w14:textFill>
        </w:rPr>
        <w:t xml:space="preserve">  0.05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 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highlight w:val="none"/>
          <w:u w:val="single"/>
          <w14:textFill>
            <w14:solidFill>
              <w14:schemeClr w14:val="tx1"/>
            </w14:solidFill>
          </w14:textFill>
        </w:rPr>
        <w:t xml:space="preserve">  0.05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1.6.7违约责任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另有约定的，从其约定。</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20" w:name="_Toc28375"/>
      <w:bookmarkStart w:id="421" w:name="_Toc16021"/>
      <w:bookmarkStart w:id="422" w:name="_Toc15583"/>
      <w:r>
        <w:rPr>
          <w:rFonts w:hint="eastAsia" w:ascii="宋体" w:hAnsi="宋体" w:cs="宋体"/>
          <w:b/>
          <w:color w:val="000000" w:themeColor="text1"/>
          <w:sz w:val="24"/>
          <w:highlight w:val="none"/>
          <w14:textFill>
            <w14:solidFill>
              <w14:schemeClr w14:val="tx1"/>
            </w14:solidFill>
          </w14:textFill>
        </w:rPr>
        <w:t>1.7 合同争议的解决</w:t>
      </w:r>
      <w:bookmarkEnd w:id="420"/>
      <w:bookmarkEnd w:id="421"/>
      <w:bookmarkEnd w:id="422"/>
    </w:p>
    <w:p>
      <w:pPr>
        <w:spacing w:line="560" w:lineRule="exact"/>
        <w:ind w:left="-61" w:leftChars="-29" w:right="-420" w:rightChars="-200"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highlight w:val="none"/>
          <w:u w:val="single"/>
          <w14:textFill>
            <w14:solidFill>
              <w14:schemeClr w14:val="tx1"/>
            </w14:solidFill>
          </w14:textFill>
        </w:rPr>
        <w:t xml:space="preserve"> 合同专用条款  </w:t>
      </w:r>
      <w:r>
        <w:rPr>
          <w:rFonts w:hint="eastAsia" w:ascii="宋体" w:hAnsi="宋体" w:cs="宋体"/>
          <w:color w:val="000000" w:themeColor="text1"/>
          <w:sz w:val="24"/>
          <w:highlight w:val="none"/>
          <w14:textFill>
            <w14:solidFill>
              <w14:schemeClr w14:val="tx1"/>
            </w14:solidFill>
          </w14:textFill>
        </w:rPr>
        <w:t>条款规定的方式解决：</w:t>
      </w:r>
    </w:p>
    <w:p>
      <w:pPr>
        <w:spacing w:line="560" w:lineRule="exact"/>
        <w:ind w:left="-420" w:leftChars="-200" w:right="-420" w:rightChars="-200"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 将争议提交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仲裁委员会依申请仲裁时其现行有效的仲裁规则裁决；</w:t>
      </w:r>
    </w:p>
    <w:p>
      <w:pPr>
        <w:spacing w:line="560" w:lineRule="exact"/>
        <w:ind w:left="-420" w:leftChars="-200" w:right="-420" w:rightChars="-200"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 向</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人民法院起诉。</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23" w:name="_Toc11173"/>
      <w:bookmarkStart w:id="424" w:name="_Toc15322"/>
      <w:bookmarkStart w:id="425" w:name="_Toc7245"/>
      <w:r>
        <w:rPr>
          <w:rFonts w:hint="eastAsia" w:ascii="宋体" w:hAnsi="宋体" w:cs="宋体"/>
          <w:b/>
          <w:color w:val="000000" w:themeColor="text1"/>
          <w:sz w:val="24"/>
          <w:highlight w:val="none"/>
          <w14:textFill>
            <w14:solidFill>
              <w14:schemeClr w14:val="tx1"/>
            </w14:solidFill>
          </w14:textFill>
        </w:rPr>
        <w:t>1.8 合同生效</w:t>
      </w:r>
      <w:bookmarkEnd w:id="423"/>
      <w:bookmarkEnd w:id="424"/>
      <w:bookmarkEnd w:id="425"/>
    </w:p>
    <w:p>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本合同自双方当事人盖章或者签字时生效。</w:t>
      </w:r>
    </w:p>
    <w:p>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p>
    <w:p>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甲方</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b/>
          <w:color w:val="000000" w:themeColor="text1"/>
          <w:sz w:val="24"/>
          <w:highlight w:val="none"/>
          <w:lang w:val="zh-CN"/>
          <w14:textFill>
            <w14:solidFill>
              <w14:schemeClr w14:val="tx1"/>
            </w14:solidFill>
          </w14:textFill>
        </w:rPr>
        <w:t xml:space="preserve">      乙方</w:t>
      </w:r>
      <w:r>
        <w:rPr>
          <w:rFonts w:hint="eastAsia" w:ascii="宋体" w:hAnsi="宋体" w:cs="宋体"/>
          <w:color w:val="000000" w:themeColor="text1"/>
          <w:sz w:val="24"/>
          <w:highlight w:val="none"/>
          <w:lang w:val="zh-CN"/>
          <w14:textFill>
            <w14:solidFill>
              <w14:schemeClr w14:val="tx1"/>
            </w14:solidFill>
          </w14:textFill>
        </w:rPr>
        <w:t>：</w:t>
      </w:r>
    </w:p>
    <w:p>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统一社会信用代码：                        统一社会信用代码或身份证号码：</w:t>
      </w:r>
    </w:p>
    <w:p>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p>
    <w:p>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住所：                                   住所：</w:t>
      </w:r>
    </w:p>
    <w:p>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法定代表人或                             法定代表人</w:t>
      </w:r>
    </w:p>
    <w:p>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授权代表（签字）：                        或授权代表（签字）: </w:t>
      </w:r>
    </w:p>
    <w:p>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联系人：                                 联系人：</w:t>
      </w:r>
    </w:p>
    <w:p>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约定送达地址：                           约定送达地址：</w:t>
      </w:r>
    </w:p>
    <w:p>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邮政编码：                               邮政编码：</w:t>
      </w:r>
    </w:p>
    <w:p>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电话:                                    电话: </w:t>
      </w:r>
    </w:p>
    <w:p>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传真:                                    传真:</w:t>
      </w:r>
    </w:p>
    <w:p>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电子邮箱：                               电子邮箱：</w:t>
      </w:r>
    </w:p>
    <w:p>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开户银行： </w:t>
      </w:r>
    </w:p>
    <w:p>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开户名称： </w:t>
      </w:r>
    </w:p>
    <w:p>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开户账号：</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开户账号：</w:t>
      </w:r>
    </w:p>
    <w:p>
      <w:pPr>
        <w:widowControl/>
        <w:spacing w:line="560" w:lineRule="exact"/>
        <w:jc w:val="left"/>
        <w:rPr>
          <w:rFonts w:ascii="宋体" w:hAnsi="宋体" w:cs="宋体"/>
          <w:b/>
          <w:color w:val="000000" w:themeColor="text1"/>
          <w:sz w:val="24"/>
          <w:highlight w:val="none"/>
          <w14:textFill>
            <w14:solidFill>
              <w14:schemeClr w14:val="tx1"/>
            </w14:solidFill>
          </w14:textFill>
        </w:rPr>
      </w:pPr>
      <w:bookmarkStart w:id="426" w:name="_Toc331685783"/>
    </w:p>
    <w:p>
      <w:pPr>
        <w:pStyle w:val="701"/>
        <w:spacing w:line="560" w:lineRule="exact"/>
        <w:ind w:left="0" w:leftChars="0" w:firstLine="0" w:firstLineChars="0"/>
        <w:jc w:val="center"/>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第二部分 合同一般条款</w:t>
      </w:r>
      <w:bookmarkEnd w:id="426"/>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27" w:name="_Ref467379225"/>
      <w:bookmarkStart w:id="428" w:name="_Toc279701240"/>
      <w:bookmarkStart w:id="429" w:name="_Ref467379109"/>
      <w:bookmarkStart w:id="430" w:name="_Ref467379101"/>
      <w:bookmarkStart w:id="431" w:name="_Toc28763"/>
      <w:bookmarkStart w:id="432" w:name="_Ref467379205"/>
      <w:bookmarkStart w:id="433" w:name="_Ref467379214"/>
      <w:bookmarkStart w:id="434" w:name="_Ref467379195"/>
      <w:bookmarkStart w:id="435" w:name="_Toc16917"/>
      <w:bookmarkStart w:id="436" w:name="_Ref467378499"/>
      <w:bookmarkStart w:id="437" w:name="_Toc487900349"/>
      <w:bookmarkStart w:id="438" w:name="_Toc19614"/>
      <w:bookmarkStart w:id="439" w:name="_Ref467378463"/>
      <w:bookmarkStart w:id="440" w:name="_Toc259093669"/>
      <w:bookmarkStart w:id="441" w:name="_Ref467378404"/>
      <w:bookmarkStart w:id="442" w:name="_Ref467379094"/>
      <w:r>
        <w:rPr>
          <w:rFonts w:hint="eastAsia" w:ascii="宋体" w:hAnsi="宋体" w:cs="宋体"/>
          <w:b/>
          <w:color w:val="000000" w:themeColor="text1"/>
          <w:sz w:val="24"/>
          <w:highlight w:val="none"/>
          <w14:textFill>
            <w14:solidFill>
              <w14:schemeClr w14:val="tx1"/>
            </w14:solidFill>
          </w14:textFill>
        </w:rPr>
        <w:t>2.1 定义</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本合同中的下列词语应按以下内容进行解释：</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 “合同价”系指根据合同约定，中标供应商在完全履行合同义务后，采购人应支付给中标供应商的价格。</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43" w:name="_Ref467378840"/>
      <w:r>
        <w:rPr>
          <w:rFonts w:hint="eastAsia" w:ascii="宋体" w:hAnsi="宋体" w:cs="宋体"/>
          <w:color w:val="000000" w:themeColor="text1"/>
          <w:sz w:val="24"/>
          <w:highlight w:val="none"/>
          <w14:textFill>
            <w14:solidFill>
              <w14:schemeClr w14:val="tx1"/>
            </w14:solidFill>
          </w14:textFill>
        </w:rPr>
        <w:t>2.1.4 “甲方”系指与中标供应商签署合同的采购人</w:t>
      </w:r>
      <w:bookmarkEnd w:id="443"/>
      <w:r>
        <w:rPr>
          <w:rFonts w:hint="eastAsia" w:ascii="宋体" w:hAnsi="宋体" w:cs="宋体"/>
          <w:color w:val="000000" w:themeColor="text1"/>
          <w:sz w:val="24"/>
          <w:highlight w:val="none"/>
          <w14:textFill>
            <w14:solidFill>
              <w14:schemeClr w14:val="tx1"/>
            </w14:solidFill>
          </w14:textFill>
        </w:rPr>
        <w:t>；采购人委托采购代理机构代表其与乙方签订合同的，采购人的授权委托书作为合同附件。</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44" w:name="_Ref467379400"/>
      <w:r>
        <w:rPr>
          <w:rFonts w:hint="eastAsia" w:ascii="宋体" w:hAnsi="宋体" w:cs="宋体"/>
          <w:color w:val="000000" w:themeColor="text1"/>
          <w:sz w:val="24"/>
          <w:highlight w:val="none"/>
          <w14:textFill>
            <w14:solidFill>
              <w14:schemeClr w14:val="tx1"/>
            </w14:solidFill>
          </w14:textFill>
        </w:rPr>
        <w:t>2.1.5 “乙方”系指根据合同约定交付货物的中标供应商</w:t>
      </w:r>
      <w:bookmarkEnd w:id="444"/>
      <w:r>
        <w:rPr>
          <w:rFonts w:hint="eastAsia" w:ascii="宋体" w:hAnsi="宋体" w:cs="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45" w:name="_Ref467379436"/>
      <w:r>
        <w:rPr>
          <w:rFonts w:hint="eastAsia" w:ascii="宋体" w:hAnsi="宋体" w:cs="宋体"/>
          <w:color w:val="000000" w:themeColor="text1"/>
          <w:sz w:val="24"/>
          <w:highlight w:val="none"/>
          <w14:textFill>
            <w14:solidFill>
              <w14:schemeClr w14:val="tx1"/>
            </w14:solidFill>
          </w14:textFill>
        </w:rPr>
        <w:t>2.1.6 “现场”系指合同约定货物将要运至或者安装的地点。</w:t>
      </w:r>
      <w:bookmarkEnd w:id="445"/>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46" w:name="_Toc13336"/>
      <w:bookmarkStart w:id="447" w:name="_Toc259093670"/>
      <w:bookmarkStart w:id="448" w:name="_Toc32504"/>
      <w:bookmarkStart w:id="449" w:name="_Toc487900350"/>
      <w:bookmarkStart w:id="450" w:name="_Toc279701241"/>
      <w:bookmarkStart w:id="451" w:name="_Toc27635"/>
      <w:r>
        <w:rPr>
          <w:rFonts w:hint="eastAsia" w:ascii="宋体" w:hAnsi="宋体" w:cs="宋体"/>
          <w:b/>
          <w:color w:val="000000" w:themeColor="text1"/>
          <w:sz w:val="24"/>
          <w:highlight w:val="none"/>
          <w14:textFill>
            <w14:solidFill>
              <w14:schemeClr w14:val="tx1"/>
            </w14:solidFill>
          </w14:textFill>
        </w:rPr>
        <w:t>2.2 技术规范</w:t>
      </w:r>
      <w:bookmarkEnd w:id="446"/>
      <w:bookmarkEnd w:id="447"/>
      <w:bookmarkEnd w:id="448"/>
      <w:bookmarkEnd w:id="449"/>
      <w:bookmarkEnd w:id="450"/>
      <w:bookmarkEnd w:id="451"/>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52" w:name="_Toc27853"/>
      <w:bookmarkStart w:id="453" w:name="_Toc279701242"/>
      <w:bookmarkStart w:id="454" w:name="_Toc259093671"/>
      <w:bookmarkStart w:id="455" w:name="_Toc9829"/>
      <w:bookmarkStart w:id="456" w:name="_Toc31634"/>
      <w:bookmarkStart w:id="457" w:name="_Toc487900351"/>
      <w:r>
        <w:rPr>
          <w:rFonts w:hint="eastAsia" w:ascii="宋体" w:hAnsi="宋体" w:cs="宋体"/>
          <w:b/>
          <w:color w:val="000000" w:themeColor="text1"/>
          <w:sz w:val="24"/>
          <w:highlight w:val="none"/>
          <w14:textFill>
            <w14:solidFill>
              <w14:schemeClr w14:val="tx1"/>
            </w14:solidFill>
          </w14:textFill>
        </w:rPr>
        <w:t>2.3 知识产权</w:t>
      </w:r>
      <w:bookmarkEnd w:id="452"/>
      <w:bookmarkEnd w:id="453"/>
      <w:bookmarkEnd w:id="454"/>
      <w:bookmarkEnd w:id="455"/>
      <w:bookmarkEnd w:id="456"/>
      <w:bookmarkEnd w:id="457"/>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2.3.2具有知识产权的计算机软件等货物的知识产权归属，详见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58" w:name="_Toc11932"/>
      <w:bookmarkStart w:id="459" w:name="_Toc4194"/>
      <w:bookmarkStart w:id="460" w:name="_Toc29149"/>
      <w:r>
        <w:rPr>
          <w:rFonts w:hint="eastAsia" w:ascii="宋体" w:hAnsi="宋体" w:cs="宋体"/>
          <w:b/>
          <w:color w:val="000000" w:themeColor="text1"/>
          <w:sz w:val="24"/>
          <w:highlight w:val="none"/>
          <w14:textFill>
            <w14:solidFill>
              <w14:schemeClr w14:val="tx1"/>
            </w14:solidFill>
          </w14:textFill>
        </w:rPr>
        <w:t>2.4 包装和装运</w:t>
      </w:r>
      <w:bookmarkEnd w:id="458"/>
      <w:bookmarkEnd w:id="459"/>
      <w:bookmarkEnd w:id="460"/>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2.4.2 装运货物的要求和通知，详见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61" w:name="_Toc259093674"/>
      <w:bookmarkStart w:id="462" w:name="_Ref467379527"/>
      <w:bookmarkStart w:id="463" w:name="_Ref467379542"/>
      <w:bookmarkStart w:id="464" w:name="_Toc487900354"/>
      <w:bookmarkStart w:id="465" w:name="_Toc279701245"/>
      <w:bookmarkStart w:id="466" w:name="_Ref467378541"/>
      <w:bookmarkStart w:id="467" w:name="_Ref467379536"/>
      <w:bookmarkStart w:id="468" w:name="_Ref467378591"/>
      <w:bookmarkStart w:id="469" w:name="_Toc30272"/>
      <w:bookmarkStart w:id="470" w:name="_Toc19074"/>
      <w:bookmarkStart w:id="471" w:name="_Toc26182"/>
      <w:r>
        <w:rPr>
          <w:rFonts w:hint="eastAsia" w:ascii="宋体" w:hAnsi="宋体" w:cs="宋体"/>
          <w:b/>
          <w:color w:val="000000" w:themeColor="text1"/>
          <w:sz w:val="24"/>
          <w:highlight w:val="none"/>
          <w14:textFill>
            <w14:solidFill>
              <w14:schemeClr w14:val="tx1"/>
            </w14:solidFill>
          </w14:textFill>
        </w:rPr>
        <w:t>2.</w:t>
      </w:r>
      <w:bookmarkEnd w:id="461"/>
      <w:bookmarkEnd w:id="462"/>
      <w:bookmarkEnd w:id="463"/>
      <w:bookmarkEnd w:id="464"/>
      <w:bookmarkEnd w:id="465"/>
      <w:bookmarkEnd w:id="466"/>
      <w:bookmarkEnd w:id="467"/>
      <w:bookmarkEnd w:id="468"/>
      <w:r>
        <w:rPr>
          <w:rFonts w:hint="eastAsia" w:ascii="宋体" w:hAnsi="宋体" w:cs="宋体"/>
          <w:b/>
          <w:color w:val="000000" w:themeColor="text1"/>
          <w:sz w:val="24"/>
          <w:highlight w:val="none"/>
          <w14:textFill>
            <w14:solidFill>
              <w14:schemeClr w14:val="tx1"/>
            </w14:solidFill>
          </w14:textFill>
        </w:rPr>
        <w:t>5 履约检查和问题反馈</w:t>
      </w:r>
      <w:bookmarkEnd w:id="469"/>
      <w:bookmarkEnd w:id="470"/>
      <w:bookmarkEnd w:id="471"/>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72" w:name="_Ref467379657"/>
      <w:r>
        <w:rPr>
          <w:rFonts w:hint="eastAsia" w:ascii="宋体" w:hAnsi="宋体" w:cs="宋体"/>
          <w:color w:val="000000" w:themeColor="text1"/>
          <w:sz w:val="24"/>
          <w:highlight w:val="none"/>
          <w14:textFill>
            <w14:solidFill>
              <w14:schemeClr w14:val="tx1"/>
            </w14:solidFill>
          </w14:textFill>
        </w:rPr>
        <w:t>2.5.1</w:t>
      </w:r>
      <w:bookmarkEnd w:id="472"/>
      <w:bookmarkStart w:id="473" w:name="_Toc186431854"/>
      <w:bookmarkStart w:id="474" w:name="_Toc279701247"/>
      <w:bookmarkStart w:id="475" w:name="_Ref467379793"/>
      <w:bookmarkStart w:id="476" w:name="_Toc259093676"/>
      <w:bookmarkStart w:id="477" w:name="_Toc487900357"/>
      <w:bookmarkStart w:id="478" w:name="_Ref467379807"/>
      <w:r>
        <w:rPr>
          <w:rFonts w:hint="eastAsia" w:ascii="宋体" w:hAnsi="宋体" w:cs="宋体"/>
          <w:color w:val="000000" w:themeColor="text1"/>
          <w:sz w:val="24"/>
          <w:highlight w:val="none"/>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2.5.2 合同履行期间，甲方有权将履行过程中出现的问题反馈给乙方，双方当事人应以书面形式约定需要完善和改进的内容</w:t>
      </w:r>
      <w:bookmarkEnd w:id="473"/>
      <w:bookmarkStart w:id="479" w:name="_Toc186431855"/>
      <w:r>
        <w:rPr>
          <w:rFonts w:hint="eastAsia" w:ascii="宋体" w:hAnsi="宋体" w:cs="宋体"/>
          <w:color w:val="000000" w:themeColor="text1"/>
          <w:sz w:val="24"/>
          <w:highlight w:val="none"/>
          <w14:textFill>
            <w14:solidFill>
              <w14:schemeClr w14:val="tx1"/>
            </w14:solidFill>
          </w14:textFill>
        </w:rPr>
        <w:t>。</w:t>
      </w:r>
    </w:p>
    <w:bookmarkEnd w:id="474"/>
    <w:bookmarkEnd w:id="475"/>
    <w:bookmarkEnd w:id="476"/>
    <w:bookmarkEnd w:id="477"/>
    <w:bookmarkEnd w:id="478"/>
    <w:bookmarkEnd w:id="479"/>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0" w:name="_Ref467379852"/>
      <w:bookmarkStart w:id="481" w:name="_Toc279701248"/>
      <w:bookmarkStart w:id="482" w:name="_Toc259093677"/>
      <w:bookmarkStart w:id="483" w:name="_Ref467379863"/>
      <w:bookmarkStart w:id="484" w:name="_Toc487900358"/>
      <w:bookmarkStart w:id="485" w:name="_Ref467379923"/>
      <w:bookmarkStart w:id="486" w:name="_Toc16110"/>
      <w:bookmarkStart w:id="487" w:name="_Toc774"/>
      <w:bookmarkStart w:id="488" w:name="_Toc3225"/>
      <w:r>
        <w:rPr>
          <w:rFonts w:hint="eastAsia" w:ascii="宋体" w:hAnsi="宋体" w:cs="宋体"/>
          <w:b/>
          <w:color w:val="000000" w:themeColor="text1"/>
          <w:sz w:val="24"/>
          <w:highlight w:val="none"/>
          <w14:textFill>
            <w14:solidFill>
              <w14:schemeClr w14:val="tx1"/>
            </w14:solidFill>
          </w14:textFill>
        </w:rPr>
        <w:t>2.6 技术资料</w:t>
      </w:r>
      <w:bookmarkEnd w:id="480"/>
      <w:bookmarkEnd w:id="481"/>
      <w:bookmarkEnd w:id="482"/>
      <w:bookmarkEnd w:id="483"/>
      <w:bookmarkEnd w:id="484"/>
      <w:bookmarkEnd w:id="485"/>
      <w:r>
        <w:rPr>
          <w:rFonts w:hint="eastAsia" w:ascii="宋体" w:hAnsi="宋体" w:cs="宋体"/>
          <w:b/>
          <w:color w:val="000000" w:themeColor="text1"/>
          <w:sz w:val="24"/>
          <w:highlight w:val="none"/>
          <w14:textFill>
            <w14:solidFill>
              <w14:schemeClr w14:val="tx1"/>
            </w14:solidFill>
          </w14:textFill>
        </w:rPr>
        <w:t>和保密义务</w:t>
      </w:r>
      <w:bookmarkEnd w:id="486"/>
      <w:bookmarkEnd w:id="487"/>
      <w:bookmarkEnd w:id="488"/>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2.6.2 乙方有义务妥善保管和保护由甲方提供的前款信息和资料等；</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9" w:name="_Toc7860"/>
      <w:r>
        <w:rPr>
          <w:rFonts w:hint="eastAsia" w:ascii="宋体" w:hAnsi="宋体" w:cs="宋体"/>
          <w:b/>
          <w:color w:val="000000" w:themeColor="text1"/>
          <w:sz w:val="24"/>
          <w:highlight w:val="none"/>
          <w14:textFill>
            <w14:solidFill>
              <w14:schemeClr w14:val="tx1"/>
            </w14:solidFill>
          </w14:textFill>
        </w:rPr>
        <w:t>2.7 质量保证</w:t>
      </w:r>
      <w:bookmarkEnd w:id="489"/>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90" w:name="_Toc17244"/>
      <w:bookmarkStart w:id="491" w:name="_Toc487900362"/>
      <w:bookmarkStart w:id="492" w:name="_Toc259093681"/>
      <w:bookmarkStart w:id="493" w:name="_Toc279701252"/>
      <w:r>
        <w:rPr>
          <w:rFonts w:hint="eastAsia" w:ascii="宋体" w:hAnsi="宋体" w:cs="宋体"/>
          <w:b/>
          <w:color w:val="000000" w:themeColor="text1"/>
          <w:sz w:val="24"/>
          <w:highlight w:val="none"/>
          <w14:textFill>
            <w14:solidFill>
              <w14:schemeClr w14:val="tx1"/>
            </w14:solidFill>
          </w14:textFill>
        </w:rPr>
        <w:t>2.8 货物的风险负担</w:t>
      </w:r>
      <w:bookmarkEnd w:id="490"/>
    </w:p>
    <w:p>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货物或者在途货物或者交付给第一承运人后的货物毁损、灭失的风险负担详见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94" w:name="_Toc14055"/>
      <w:r>
        <w:rPr>
          <w:rFonts w:hint="eastAsia" w:ascii="宋体" w:hAnsi="宋体" w:cs="宋体"/>
          <w:b/>
          <w:color w:val="000000" w:themeColor="text1"/>
          <w:sz w:val="24"/>
          <w:highlight w:val="none"/>
          <w14:textFill>
            <w14:solidFill>
              <w14:schemeClr w14:val="tx1"/>
            </w14:solidFill>
          </w14:textFill>
        </w:rPr>
        <w:t>2.9 延迟交货</w:t>
      </w:r>
      <w:bookmarkEnd w:id="491"/>
      <w:bookmarkEnd w:id="492"/>
      <w:bookmarkEnd w:id="493"/>
      <w:bookmarkEnd w:id="494"/>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95" w:name="_Toc7502"/>
      <w:bookmarkStart w:id="496" w:name="_Toc259093683"/>
      <w:bookmarkStart w:id="497" w:name="_Toc487900364"/>
      <w:bookmarkStart w:id="498" w:name="_Ref467378121"/>
      <w:bookmarkStart w:id="499" w:name="_Toc279701254"/>
      <w:r>
        <w:rPr>
          <w:rFonts w:hint="eastAsia" w:ascii="宋体" w:hAnsi="宋体" w:cs="宋体"/>
          <w:b/>
          <w:color w:val="000000" w:themeColor="text1"/>
          <w:sz w:val="24"/>
          <w:highlight w:val="none"/>
          <w14:textFill>
            <w14:solidFill>
              <w14:schemeClr w14:val="tx1"/>
            </w14:solidFill>
          </w14:textFill>
        </w:rPr>
        <w:t>2.10 合同变更</w:t>
      </w:r>
      <w:bookmarkEnd w:id="495"/>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500" w:name="_Toc487900369"/>
      <w:bookmarkStart w:id="501" w:name="_Toc279701259"/>
      <w:bookmarkStart w:id="502" w:name="_Toc259093688"/>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3" w:name="_Toc15237"/>
      <w:bookmarkStart w:id="504" w:name="_Toc22955"/>
      <w:bookmarkStart w:id="505" w:name="_Toc10366"/>
      <w:r>
        <w:rPr>
          <w:rFonts w:hint="eastAsia" w:ascii="宋体" w:hAnsi="宋体" w:cs="宋体"/>
          <w:b/>
          <w:color w:val="000000" w:themeColor="text1"/>
          <w:sz w:val="24"/>
          <w:highlight w:val="none"/>
          <w14:textFill>
            <w14:solidFill>
              <w14:schemeClr w14:val="tx1"/>
            </w14:solidFill>
          </w14:textFill>
        </w:rPr>
        <w:t>2.11 合同转让</w:t>
      </w:r>
      <w:bookmarkEnd w:id="500"/>
      <w:bookmarkEnd w:id="501"/>
      <w:bookmarkEnd w:id="502"/>
      <w:r>
        <w:rPr>
          <w:rFonts w:hint="eastAsia" w:ascii="宋体" w:hAnsi="宋体" w:cs="宋体"/>
          <w:b/>
          <w:color w:val="000000" w:themeColor="text1"/>
          <w:sz w:val="24"/>
          <w:highlight w:val="none"/>
          <w14:textFill>
            <w14:solidFill>
              <w14:schemeClr w14:val="tx1"/>
            </w14:solidFill>
          </w14:textFill>
        </w:rPr>
        <w:t>和分包</w:t>
      </w:r>
      <w:bookmarkEnd w:id="503"/>
      <w:bookmarkEnd w:id="504"/>
      <w:bookmarkEnd w:id="505"/>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2.11.2乙方采取分包方式履行合同的，甲方可直接向分包供应商支付款项。</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6" w:name="_Toc16508"/>
      <w:bookmarkStart w:id="507" w:name="_Toc13566"/>
      <w:bookmarkStart w:id="508" w:name="_Toc14066"/>
      <w:r>
        <w:rPr>
          <w:rFonts w:hint="eastAsia" w:ascii="宋体" w:hAnsi="宋体" w:cs="宋体"/>
          <w:b/>
          <w:color w:val="000000" w:themeColor="text1"/>
          <w:sz w:val="24"/>
          <w:highlight w:val="none"/>
          <w14:textFill>
            <w14:solidFill>
              <w14:schemeClr w14:val="tx1"/>
            </w14:solidFill>
          </w14:textFill>
        </w:rPr>
        <w:t>2.12 不可抗力</w:t>
      </w:r>
      <w:bookmarkEnd w:id="506"/>
      <w:bookmarkEnd w:id="507"/>
      <w:bookmarkEnd w:id="508"/>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2.12.2 因不可抗力致使不能实现合同目的的，当事人可以解除合同；</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2.12.3 因不可抗力致使合同有变更必要的，双方当事人应在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约定时间内以书面形式变更合同；</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2.12.4受不可抗力影响的一方在不可抗力发生后，应在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约定时间内以书面形式通知对方当事人，并在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约定时间内，将有关部门出具的证明文件送达对方当事人。</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9" w:name="_Toc279701255"/>
      <w:bookmarkStart w:id="510" w:name="_Toc30676"/>
      <w:bookmarkStart w:id="511" w:name="_Toc6969"/>
      <w:bookmarkStart w:id="512" w:name="_Toc689"/>
      <w:bookmarkStart w:id="513" w:name="_Toc487900365"/>
      <w:bookmarkStart w:id="514" w:name="_Toc259093684"/>
      <w:r>
        <w:rPr>
          <w:rFonts w:hint="eastAsia" w:ascii="宋体" w:hAnsi="宋体" w:cs="宋体"/>
          <w:b/>
          <w:color w:val="000000" w:themeColor="text1"/>
          <w:sz w:val="24"/>
          <w:highlight w:val="none"/>
          <w14:textFill>
            <w14:solidFill>
              <w14:schemeClr w14:val="tx1"/>
            </w14:solidFill>
          </w14:textFill>
        </w:rPr>
        <w:t>2.13 税费</w:t>
      </w:r>
      <w:bookmarkEnd w:id="509"/>
      <w:bookmarkEnd w:id="510"/>
      <w:bookmarkEnd w:id="511"/>
      <w:bookmarkEnd w:id="512"/>
      <w:bookmarkEnd w:id="513"/>
      <w:bookmarkEnd w:id="514"/>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与合同有关的一切税费，均按照中华人民共和国法律的相关规定。</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15" w:name="_Toc7102"/>
      <w:bookmarkStart w:id="516" w:name="_Toc487900368"/>
      <w:bookmarkStart w:id="517" w:name="_Toc259093687"/>
      <w:bookmarkStart w:id="518" w:name="_Toc279701258"/>
      <w:bookmarkStart w:id="519" w:name="_Toc8298"/>
      <w:bookmarkStart w:id="520" w:name="_Toc16959"/>
      <w:r>
        <w:rPr>
          <w:rFonts w:hint="eastAsia" w:ascii="宋体" w:hAnsi="宋体" w:cs="宋体"/>
          <w:b/>
          <w:color w:val="000000" w:themeColor="text1"/>
          <w:sz w:val="24"/>
          <w:highlight w:val="none"/>
          <w14:textFill>
            <w14:solidFill>
              <w14:schemeClr w14:val="tx1"/>
            </w14:solidFill>
          </w14:textFill>
        </w:rPr>
        <w:t>2.14乙方破产</w:t>
      </w:r>
      <w:bookmarkEnd w:id="515"/>
      <w:bookmarkEnd w:id="516"/>
      <w:bookmarkEnd w:id="517"/>
      <w:bookmarkEnd w:id="518"/>
      <w:bookmarkEnd w:id="519"/>
      <w:bookmarkEnd w:id="520"/>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21" w:name="_Toc29333"/>
      <w:bookmarkStart w:id="522" w:name="_Toc6134"/>
      <w:bookmarkStart w:id="523" w:name="_Toc15387"/>
      <w:r>
        <w:rPr>
          <w:rFonts w:hint="eastAsia" w:ascii="宋体" w:hAnsi="宋体" w:cs="宋体"/>
          <w:b/>
          <w:color w:val="000000" w:themeColor="text1"/>
          <w:sz w:val="24"/>
          <w:highlight w:val="none"/>
          <w14:textFill>
            <w14:solidFill>
              <w14:schemeClr w14:val="tx1"/>
            </w14:solidFill>
          </w14:textFill>
        </w:rPr>
        <w:t>2.15 合同中止、终止</w:t>
      </w:r>
      <w:bookmarkEnd w:id="521"/>
      <w:bookmarkEnd w:id="522"/>
      <w:bookmarkEnd w:id="523"/>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2.15.1 双方当事人不得擅自中止或者终止合同；</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24" w:name="_Toc6596"/>
      <w:bookmarkStart w:id="525" w:name="_Toc1125"/>
      <w:bookmarkStart w:id="526" w:name="_Toc14563"/>
      <w:r>
        <w:rPr>
          <w:rFonts w:hint="eastAsia" w:ascii="宋体" w:hAnsi="宋体" w:cs="宋体"/>
          <w:b/>
          <w:color w:val="000000" w:themeColor="text1"/>
          <w:sz w:val="24"/>
          <w:highlight w:val="none"/>
          <w14:textFill>
            <w14:solidFill>
              <w14:schemeClr w14:val="tx1"/>
            </w14:solidFill>
          </w14:textFill>
        </w:rPr>
        <w:t>2.16检验和验收</w:t>
      </w:r>
      <w:bookmarkEnd w:id="524"/>
      <w:bookmarkEnd w:id="525"/>
      <w:bookmarkEnd w:id="526"/>
    </w:p>
    <w:p>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2.16.1货物交付前，乙方应对货物的质量、数量等方面进行详细、全面的检验，并向甲方出具证明货物符合合同约定的文件；货物交付时，乙方在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2.16.3 检验和验收标准、程序等具体内容以及前述验收书的效力详见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i/>
          <w:color w:val="000000" w:themeColor="text1"/>
          <w:sz w:val="24"/>
          <w:highlight w:val="none"/>
          <w14:textFill>
            <w14:solidFill>
              <w14:schemeClr w14:val="tx1"/>
            </w14:solidFill>
          </w14:textFill>
        </w:rPr>
        <w:t>。</w:t>
      </w:r>
    </w:p>
    <w:bookmarkEnd w:id="496"/>
    <w:bookmarkEnd w:id="497"/>
    <w:bookmarkEnd w:id="498"/>
    <w:bookmarkEnd w:id="499"/>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27" w:name="_Toc259093690"/>
      <w:bookmarkStart w:id="528" w:name="_Toc279701261"/>
      <w:bookmarkStart w:id="529" w:name="_Toc487900371"/>
      <w:bookmarkStart w:id="530" w:name="_Toc25182"/>
      <w:bookmarkStart w:id="531" w:name="_Toc19604"/>
      <w:bookmarkStart w:id="532" w:name="_Toc11284"/>
      <w:r>
        <w:rPr>
          <w:rFonts w:hint="eastAsia" w:ascii="宋体" w:hAnsi="宋体" w:cs="宋体"/>
          <w:b/>
          <w:color w:val="000000" w:themeColor="text1"/>
          <w:sz w:val="24"/>
          <w:highlight w:val="none"/>
          <w14:textFill>
            <w14:solidFill>
              <w14:schemeClr w14:val="tx1"/>
            </w14:solidFill>
          </w14:textFill>
        </w:rPr>
        <w:t>2.17 通知</w:t>
      </w:r>
      <w:bookmarkEnd w:id="527"/>
      <w:bookmarkEnd w:id="528"/>
      <w:bookmarkEnd w:id="529"/>
      <w:r>
        <w:rPr>
          <w:rFonts w:hint="eastAsia" w:ascii="宋体" w:hAnsi="宋体" w:cs="宋体"/>
          <w:b/>
          <w:color w:val="000000" w:themeColor="text1"/>
          <w:sz w:val="24"/>
          <w:highlight w:val="none"/>
          <w14:textFill>
            <w14:solidFill>
              <w14:schemeClr w14:val="tx1"/>
            </w14:solidFill>
          </w14:textFill>
        </w:rPr>
        <w:t>和送达</w:t>
      </w:r>
      <w:bookmarkEnd w:id="530"/>
      <w:bookmarkEnd w:id="531"/>
      <w:bookmarkEnd w:id="532"/>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533" w:name="_Toc3135"/>
      <w:bookmarkStart w:id="534" w:name="_Toc6698"/>
      <w:bookmarkStart w:id="535" w:name="_Toc279701262"/>
      <w:bookmarkStart w:id="536" w:name="_Toc259093691"/>
      <w:bookmarkStart w:id="537" w:name="_Toc487900372"/>
      <w:r>
        <w:rPr>
          <w:rFonts w:hint="eastAsia" w:ascii="宋体" w:hAnsi="宋体" w:cs="宋体"/>
          <w:color w:val="000000" w:themeColor="text1"/>
          <w:sz w:val="24"/>
          <w:highlight w:val="none"/>
          <w14:textFill>
            <w14:solidFill>
              <w14:schemeClr w14:val="tx1"/>
            </w14:solidFill>
          </w14:textFill>
        </w:rPr>
        <w:t xml:space="preserve">2.17.1任何一方因履行合同而以合同第一部分尾部所列明的传真或电子邮件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宋体" w:hAnsi="宋体" w:cs="宋体"/>
          <w:color w:val="000000" w:themeColor="text1"/>
          <w:sz w:val="24"/>
          <w:highlight w:val="none"/>
          <w:u w:val="singl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bookmarkEnd w:id="533"/>
      <w:bookmarkEnd w:id="534"/>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538" w:name="_Toc23128"/>
      <w:bookmarkStart w:id="539" w:name="_Toc23294"/>
      <w:r>
        <w:rPr>
          <w:rFonts w:hint="eastAsia" w:ascii="宋体" w:hAnsi="宋体" w:cs="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8"/>
      <w:bookmarkEnd w:id="539"/>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40" w:name="_Toc18540"/>
      <w:bookmarkStart w:id="541" w:name="_Toc30599"/>
      <w:bookmarkStart w:id="542" w:name="_Toc4355"/>
      <w:r>
        <w:rPr>
          <w:rFonts w:hint="eastAsia" w:ascii="宋体" w:hAnsi="宋体" w:cs="宋体"/>
          <w:b/>
          <w:color w:val="000000" w:themeColor="text1"/>
          <w:sz w:val="24"/>
          <w:highlight w:val="none"/>
          <w14:textFill>
            <w14:solidFill>
              <w14:schemeClr w14:val="tx1"/>
            </w14:solidFill>
          </w14:textFill>
        </w:rPr>
        <w:t>2.18 计量单位</w:t>
      </w:r>
      <w:bookmarkEnd w:id="535"/>
      <w:bookmarkEnd w:id="536"/>
      <w:bookmarkEnd w:id="537"/>
      <w:bookmarkEnd w:id="540"/>
      <w:bookmarkEnd w:id="541"/>
      <w:bookmarkEnd w:id="542"/>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43" w:name="_Toc279701263"/>
      <w:bookmarkStart w:id="544" w:name="_Toc18567"/>
      <w:bookmarkStart w:id="545" w:name="_Toc12773"/>
      <w:bookmarkStart w:id="546" w:name="_Toc487900373"/>
      <w:bookmarkStart w:id="547" w:name="_Toc259093692"/>
      <w:bookmarkStart w:id="548" w:name="_Toc10330"/>
      <w:r>
        <w:rPr>
          <w:rFonts w:hint="eastAsia" w:ascii="宋体" w:hAnsi="宋体" w:cs="宋体"/>
          <w:b/>
          <w:color w:val="000000" w:themeColor="text1"/>
          <w:sz w:val="24"/>
          <w:highlight w:val="none"/>
          <w14:textFill>
            <w14:solidFill>
              <w14:schemeClr w14:val="tx1"/>
            </w14:solidFill>
          </w14:textFill>
        </w:rPr>
        <w:t>2.19 合同使用的文字和适用的法律</w:t>
      </w:r>
      <w:bookmarkEnd w:id="543"/>
      <w:bookmarkEnd w:id="544"/>
      <w:bookmarkEnd w:id="545"/>
      <w:bookmarkEnd w:id="546"/>
      <w:bookmarkEnd w:id="547"/>
      <w:bookmarkEnd w:id="548"/>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2.19.1 合同使用汉语书就、变更和解释；</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2.19.2 合同适用中华人民共和国法律。</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49" w:name="_Toc12004"/>
      <w:bookmarkStart w:id="550" w:name="_Toc279701264"/>
      <w:bookmarkStart w:id="551" w:name="_Toc16673"/>
      <w:bookmarkStart w:id="552" w:name="_Toc3148"/>
      <w:bookmarkStart w:id="553" w:name="_Toc259093693"/>
      <w:bookmarkStart w:id="554" w:name="_Toc487900374"/>
      <w:r>
        <w:rPr>
          <w:rFonts w:hint="eastAsia" w:ascii="宋体" w:hAnsi="宋体" w:cs="宋体"/>
          <w:b/>
          <w:color w:val="000000" w:themeColor="text1"/>
          <w:sz w:val="24"/>
          <w:highlight w:val="none"/>
          <w14:textFill>
            <w14:solidFill>
              <w14:schemeClr w14:val="tx1"/>
            </w14:solidFill>
          </w14:textFill>
        </w:rPr>
        <w:t>2.20 履约保证金</w:t>
      </w:r>
      <w:bookmarkEnd w:id="549"/>
      <w:bookmarkEnd w:id="550"/>
      <w:bookmarkEnd w:id="551"/>
      <w:bookmarkEnd w:id="552"/>
      <w:bookmarkEnd w:id="553"/>
    </w:p>
    <w:p>
      <w:pPr>
        <w:pStyle w:val="958"/>
        <w:spacing w:before="0" w:beforeAutospacing="0" w:after="0" w:afterAutospacing="0"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2.20.1 采购文件要求乙方提交履约保证金的，乙方应按</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14:textFill>
            <w14:solidFill>
              <w14:schemeClr w14:val="tx1"/>
            </w14:solidFill>
          </w14:textFill>
        </w:rPr>
        <w:t>约定的方式，以支票、汇票、本票或者金融机构、担保机构出具的保函等非现金形式，提交不超过合同金额</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2.20.2  甲方在项目验收结束后及时退还履约保证金。甲方在项目通过验收之日起</w:t>
      </w:r>
      <w:r>
        <w:rPr>
          <w:rFonts w:hint="eastAsia" w:ascii="宋体" w:hAnsi="宋体" w:cs="宋体"/>
          <w:color w:val="000000" w:themeColor="text1"/>
          <w:sz w:val="24"/>
          <w:highlight w:val="none"/>
          <w:u w:val="single"/>
          <w14:textFill>
            <w14:solidFill>
              <w14:schemeClr w14:val="tx1"/>
            </w14:solidFill>
          </w14:textFill>
        </w:rPr>
        <w:t xml:space="preserve"> 5 </w:t>
      </w:r>
      <w:r>
        <w:rPr>
          <w:rFonts w:hint="eastAsia" w:ascii="宋体" w:hAnsi="宋体" w:cs="宋体"/>
          <w:color w:val="000000" w:themeColor="text1"/>
          <w:sz w:val="24"/>
          <w:highlight w:val="none"/>
          <w14:textFill>
            <w14:solidFill>
              <w14:schemeClr w14:val="tx1"/>
            </w14:solidFill>
          </w14:textFill>
        </w:rPr>
        <w:t>个工作日内，按</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约定的方式将履约保证金退还乙方，逾期退还的，乙方可要求甲方支付违约金，违约金按每迟延退还一日的应退还而未退还金额的</w:t>
      </w:r>
      <w:r>
        <w:rPr>
          <w:rFonts w:hint="eastAsia" w:ascii="宋体" w:hAnsi="宋体" w:cs="宋体"/>
          <w:color w:val="000000" w:themeColor="text1"/>
          <w:sz w:val="24"/>
          <w:highlight w:val="none"/>
          <w:u w:val="single"/>
          <w14:textFill>
            <w14:solidFill>
              <w14:schemeClr w14:val="tx1"/>
            </w14:solidFill>
          </w14:textFill>
        </w:rPr>
        <w:t xml:space="preserve">  0.05  </w:t>
      </w:r>
      <w:r>
        <w:rPr>
          <w:rFonts w:hint="eastAsia" w:ascii="宋体" w:hAnsi="宋体" w:cs="宋体"/>
          <w:color w:val="000000" w:themeColor="text1"/>
          <w:sz w:val="24"/>
          <w:highlight w:val="none"/>
          <w14:textFill>
            <w14:solidFill>
              <w14:schemeClr w14:val="tx1"/>
            </w14:solidFill>
          </w14:textFill>
        </w:rPr>
        <w:t>%计算，最高限额为本合同履约保证金的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 xml:space="preserve">%； </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2.20.4 甲方根据杭州市政府采购网公布的供应商履约评价情况减免履约保证金。乙方履约验收评价总分为100分的，甲方免收履约保证金。</w:t>
      </w:r>
    </w:p>
    <w:p>
      <w:pPr>
        <w:spacing w:line="56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2.20.5甲方在乙方履行完合同约定义务事项后及时退还，延迟退还的，应当按照合同约定和法律规定承担相应的赔偿责任。</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2.21对于因甲方原因导致变更、中止或者终止政府采购合同的，甲方应当依照合同约定对供应商受到的损失予以赔偿或者补偿。</w:t>
      </w:r>
    </w:p>
    <w:bookmarkEnd w:id="554"/>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55" w:name="_Toc19890"/>
      <w:bookmarkStart w:id="556" w:name="_Toc14001"/>
      <w:bookmarkStart w:id="557" w:name="_Toc6885"/>
      <w:r>
        <w:rPr>
          <w:rFonts w:hint="eastAsia" w:ascii="宋体" w:hAnsi="宋体" w:cs="宋体"/>
          <w:b/>
          <w:color w:val="000000" w:themeColor="text1"/>
          <w:sz w:val="24"/>
          <w:highlight w:val="none"/>
          <w14:textFill>
            <w14:solidFill>
              <w14:schemeClr w14:val="tx1"/>
            </w14:solidFill>
          </w14:textFill>
        </w:rPr>
        <w:t>2.22合同份数</w:t>
      </w:r>
      <w:bookmarkEnd w:id="555"/>
      <w:bookmarkEnd w:id="556"/>
      <w:bookmarkEnd w:id="557"/>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合同份数按</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规定，每份均具有同等法律效力。</w:t>
      </w:r>
    </w:p>
    <w:p>
      <w:pPr>
        <w:pStyle w:val="701"/>
        <w:spacing w:line="560" w:lineRule="exact"/>
        <w:jc w:val="center"/>
        <w:rPr>
          <w:rFonts w:ascii="宋体" w:hAnsi="宋体" w:cs="宋体"/>
          <w:b/>
          <w:color w:val="000000" w:themeColor="text1"/>
          <w:szCs w:val="24"/>
          <w:highlight w:val="none"/>
          <w14:textFill>
            <w14:solidFill>
              <w14:schemeClr w14:val="tx1"/>
            </w14:solidFill>
          </w14:textFill>
        </w:rPr>
      </w:pPr>
      <w:bookmarkStart w:id="558" w:name="_Toc331685784"/>
      <w:r>
        <w:rPr>
          <w:rFonts w:hint="eastAsia" w:ascii="宋体" w:hAnsi="宋体" w:cs="宋体"/>
          <w:b/>
          <w:color w:val="000000" w:themeColor="text1"/>
          <w:szCs w:val="24"/>
          <w:highlight w:val="none"/>
          <w14:textFill>
            <w14:solidFill>
              <w14:schemeClr w14:val="tx1"/>
            </w14:solidFill>
          </w14:textFill>
        </w:rPr>
        <w:t xml:space="preserve"> </w:t>
      </w:r>
      <w:bookmarkEnd w:id="558"/>
      <w:r>
        <w:rPr>
          <w:rFonts w:hint="eastAsia" w:ascii="宋体" w:hAnsi="宋体" w:cs="宋体"/>
          <w:b/>
          <w:color w:val="000000" w:themeColor="text1"/>
          <w:szCs w:val="24"/>
          <w:highlight w:val="none"/>
          <w14:textFill>
            <w14:solidFill>
              <w14:schemeClr w14:val="tx1"/>
            </w14:solidFill>
          </w14:textFill>
        </w:rPr>
        <w:t>第三部分  合同专用条款</w:t>
      </w:r>
    </w:p>
    <w:p>
      <w:pPr>
        <w:spacing w:line="560" w:lineRule="exact"/>
        <w:ind w:left="-420" w:leftChars="-200"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24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24"/>
        <w:gridCol w:w="86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82" w:type="pct"/>
            <w:tcBorders>
              <w:left w:val="single" w:color="auto" w:sz="4" w:space="0"/>
            </w:tcBorders>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条款号</w:t>
            </w:r>
          </w:p>
        </w:tc>
        <w:tc>
          <w:tcPr>
            <w:tcW w:w="4517" w:type="pct"/>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82" w:type="pct"/>
            <w:tcBorders>
              <w:lef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1.4.4</w:t>
            </w:r>
          </w:p>
        </w:tc>
        <w:tc>
          <w:tcPr>
            <w:tcW w:w="4517" w:type="pct"/>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eastAsia="zh-Han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1.合同签订后5个工作日内，</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按杭州市政府采购网公布的</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履约评价情况（</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履约验收评价总分为100分的，</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应当免收履约保证金；其余的，收取履约保证金不得高于合同总价1%）缴纳履约保证金。</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在合同生效后</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个工作日内支付合同总价的40%</w:t>
            </w:r>
            <w:r>
              <w:rPr>
                <w:rFonts w:hint="eastAsia" w:ascii="宋体" w:hAnsi="宋体" w:eastAsia="宋体" w:cs="宋体"/>
                <w:color w:val="000000" w:themeColor="text1"/>
                <w:sz w:val="24"/>
                <w:szCs w:val="24"/>
                <w:highlight w:val="none"/>
                <w:lang w:eastAsia="zh-Hans"/>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完成全部产品的到货后，凭到货核验清单、产品合格证、说明书、双方签字盖章的验收意见等资料，</w:t>
            </w:r>
            <w:r>
              <w:rPr>
                <w:rFonts w:hint="eastAsia" w:ascii="宋体" w:hAnsi="宋体" w:eastAsia="宋体" w:cs="宋体"/>
                <w:color w:val="000000" w:themeColor="text1"/>
                <w:sz w:val="24"/>
                <w:szCs w:val="24"/>
                <w:highlight w:val="none"/>
                <w:lang w:val="en-US" w:eastAsia="zh-CN"/>
                <w14:textFill>
                  <w14:solidFill>
                    <w14:schemeClr w14:val="tx1"/>
                  </w14:solidFill>
                </w14:textFill>
              </w:rPr>
              <w:t>5个工作日内</w:t>
            </w:r>
            <w:r>
              <w:rPr>
                <w:rFonts w:hint="eastAsia" w:ascii="宋体" w:hAnsi="宋体" w:eastAsia="宋体" w:cs="宋体"/>
                <w:color w:val="000000" w:themeColor="text1"/>
                <w:sz w:val="24"/>
                <w:szCs w:val="24"/>
                <w:highlight w:val="none"/>
                <w14:textFill>
                  <w14:solidFill>
                    <w14:schemeClr w14:val="tx1"/>
                  </w14:solidFill>
                </w14:textFill>
              </w:rPr>
              <w:t>支付至合同</w:t>
            </w:r>
            <w:r>
              <w:rPr>
                <w:rFonts w:hint="eastAsia" w:ascii="宋体" w:hAnsi="宋体" w:eastAsia="宋体" w:cs="宋体"/>
                <w:color w:val="000000" w:themeColor="text1"/>
                <w:sz w:val="24"/>
                <w:szCs w:val="24"/>
                <w:highlight w:val="none"/>
                <w:lang w:val="en-US" w:eastAsia="zh-CN"/>
                <w14:textFill>
                  <w14:solidFill>
                    <w14:schemeClr w14:val="tx1"/>
                  </w14:solidFill>
                </w14:textFill>
              </w:rPr>
              <w:t>总价</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val="en-US" w:eastAsia="zh-CN"/>
                <w14:textFill>
                  <w14:solidFill>
                    <w14:schemeClr w14:val="tx1"/>
                  </w14:solidFill>
                </w14:textFill>
              </w:rPr>
              <w:t>60</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3.</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项目</w:t>
            </w:r>
            <w:r>
              <w:rPr>
                <w:rFonts w:hint="eastAsia" w:ascii="宋体" w:hAnsi="宋体" w:eastAsia="宋体" w:cs="宋体"/>
                <w:color w:val="000000" w:themeColor="text1"/>
                <w:sz w:val="24"/>
                <w:szCs w:val="24"/>
                <w:highlight w:val="none"/>
                <w:lang w:bidi="ar"/>
                <w14:textFill>
                  <w14:solidFill>
                    <w14:schemeClr w14:val="tx1"/>
                  </w14:solidFill>
                </w14:textFill>
              </w:rPr>
              <w:t>完成安装、调试，经</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甲方组织</w:t>
            </w:r>
            <w:r>
              <w:rPr>
                <w:rFonts w:hint="eastAsia" w:ascii="宋体" w:hAnsi="宋体" w:eastAsia="宋体" w:cs="宋体"/>
                <w:color w:val="000000" w:themeColor="text1"/>
                <w:sz w:val="24"/>
                <w:szCs w:val="24"/>
                <w:highlight w:val="none"/>
                <w:lang w:bidi="ar"/>
                <w14:textFill>
                  <w14:solidFill>
                    <w14:schemeClr w14:val="tx1"/>
                  </w14:solidFill>
                </w14:textFill>
              </w:rPr>
              <w:t>验收合格后，且待财政资金到位后</w:t>
            </w:r>
            <w:r>
              <w:rPr>
                <w:rFonts w:hint="eastAsia" w:ascii="宋体" w:hAnsi="宋体" w:eastAsia="宋体" w:cs="宋体"/>
                <w:color w:val="000000" w:themeColor="text1"/>
                <w:sz w:val="24"/>
                <w:szCs w:val="24"/>
                <w:highlight w:val="none"/>
                <w:lang w:val="en-US" w:eastAsia="zh-CN"/>
                <w14:textFill>
                  <w14:solidFill>
                    <w14:schemeClr w14:val="tx1"/>
                  </w14:solidFill>
                </w14:textFill>
              </w:rPr>
              <w:t>，凭验收证明资料</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验收中</w:t>
            </w:r>
            <w:r>
              <w:rPr>
                <w:rFonts w:hint="eastAsia" w:ascii="宋体" w:hAnsi="宋体" w:cs="宋体"/>
                <w:b/>
                <w:bCs/>
                <w:color w:val="000000" w:themeColor="text1"/>
                <w:sz w:val="24"/>
                <w:highlight w:val="none"/>
                <w:lang w:val="zh-CN"/>
                <w14:textFill>
                  <w14:solidFill>
                    <w14:schemeClr w14:val="tx1"/>
                  </w14:solidFill>
                </w14:textFill>
              </w:rPr>
              <w:t>如遇部分清单设备</w:t>
            </w:r>
            <w:r>
              <w:rPr>
                <w:rFonts w:hint="eastAsia" w:ascii="宋体" w:hAnsi="宋体" w:cs="宋体"/>
                <w:b/>
                <w:bCs/>
                <w:color w:val="000000" w:themeColor="text1"/>
                <w:sz w:val="24"/>
                <w:highlight w:val="none"/>
                <w:lang w:val="en-US" w:eastAsia="zh-CN"/>
                <w14:textFill>
                  <w14:solidFill>
                    <w14:schemeClr w14:val="tx1"/>
                  </w14:solidFill>
                </w14:textFill>
              </w:rPr>
              <w:t>供货实际</w:t>
            </w:r>
            <w:r>
              <w:rPr>
                <w:rFonts w:hint="eastAsia" w:ascii="宋体" w:hAnsi="宋体" w:cs="宋体"/>
                <w:b/>
                <w:bCs/>
                <w:color w:val="000000" w:themeColor="text1"/>
                <w:sz w:val="24"/>
                <w:highlight w:val="none"/>
                <w:lang w:val="zh-CN"/>
                <w14:textFill>
                  <w14:solidFill>
                    <w14:schemeClr w14:val="tx1"/>
                  </w14:solidFill>
                </w14:textFill>
              </w:rPr>
              <w:t>数量有变，则按投标单价价格按实结算（</w:t>
            </w:r>
            <w:r>
              <w:rPr>
                <w:rFonts w:hint="eastAsia" w:ascii="宋体" w:hAnsi="宋体" w:cs="宋体"/>
                <w:b/>
                <w:bCs/>
                <w:color w:val="000000" w:themeColor="text1"/>
                <w:sz w:val="24"/>
                <w:highlight w:val="none"/>
                <w:lang w:val="en-US" w:eastAsia="zh-CN"/>
                <w14:textFill>
                  <w14:solidFill>
                    <w14:schemeClr w14:val="tx1"/>
                  </w14:solidFill>
                </w14:textFill>
              </w:rPr>
              <w:t>支付金额=</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按实际供货数量*中标综合单价</w:t>
            </w:r>
            <w:r>
              <w:rPr>
                <w:rFonts w:hint="eastAsia" w:ascii="宋体" w:hAnsi="宋体" w:cs="宋体"/>
                <w:b/>
                <w:bCs/>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，5个工作日内</w:t>
            </w:r>
            <w:r>
              <w:rPr>
                <w:rFonts w:hint="eastAsia" w:ascii="宋体" w:hAnsi="宋体" w:eastAsia="宋体" w:cs="宋体"/>
                <w:color w:val="000000" w:themeColor="text1"/>
                <w:sz w:val="24"/>
                <w:szCs w:val="24"/>
                <w:highlight w:val="none"/>
                <w14:textFill>
                  <w14:solidFill>
                    <w14:schemeClr w14:val="tx1"/>
                  </w14:solidFill>
                </w14:textFill>
              </w:rPr>
              <w:t>结算合同款项</w:t>
            </w:r>
            <w:r>
              <w:rPr>
                <w:rFonts w:hint="eastAsia" w:ascii="宋体" w:hAnsi="宋体" w:eastAsia="宋体" w:cs="宋体"/>
                <w:color w:val="000000" w:themeColor="text1"/>
                <w:sz w:val="24"/>
                <w:szCs w:val="24"/>
                <w:highlight w:val="none"/>
                <w:lang w:val="en-US" w:eastAsia="zh-CN"/>
                <w14:textFill>
                  <w14:solidFill>
                    <w14:schemeClr w14:val="tx1"/>
                  </w14:solidFill>
                </w14:textFill>
              </w:rPr>
              <w:t>余款</w:t>
            </w:r>
            <w:r>
              <w:rPr>
                <w:rFonts w:hint="eastAsia" w:ascii="宋体" w:hAnsi="宋体" w:eastAsia="宋体" w:cs="宋体"/>
                <w:color w:val="000000" w:themeColor="text1"/>
                <w:sz w:val="24"/>
                <w:szCs w:val="24"/>
                <w:highlight w:val="none"/>
                <w14:textFill>
                  <w14:solidFill>
                    <w14:schemeClr w14:val="tx1"/>
                  </w14:solidFill>
                </w14:textFill>
              </w:rPr>
              <w:t>，同时扣除违约金。</w:t>
            </w:r>
          </w:p>
          <w:p>
            <w:pPr>
              <w:pStyle w:val="132"/>
              <w:tabs>
                <w:tab w:val="left" w:pos="0"/>
              </w:tabs>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付款条件:</w:t>
            </w:r>
          </w:p>
          <w:p>
            <w:pPr>
              <w:pStyle w:val="132"/>
              <w:tabs>
                <w:tab w:val="left" w:pos="0"/>
              </w:tabs>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凭</w:t>
            </w:r>
            <w:r>
              <w:rPr>
                <w:rFonts w:hint="eastAsia" w:ascii="宋体" w:hAnsi="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开具的开具增值税普通发票和</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认可的各项记录复印件向</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支付服务费。由于</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上报或者开票不及时引起的延迟支付，责任由</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自负。</w:t>
            </w:r>
          </w:p>
          <w:p>
            <w:pPr>
              <w:pStyle w:val="132"/>
              <w:tabs>
                <w:tab w:val="left" w:pos="0"/>
              </w:tabs>
              <w:spacing w:before="0"/>
              <w:ind w:firstLine="480"/>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货物在通过验收并交付</w:t>
            </w:r>
            <w:r>
              <w:rPr>
                <w:rFonts w:hint="eastAsia" w:ascii="宋体" w:hAnsi="宋体" w:eastAsia="宋体" w:cs="宋体"/>
                <w:color w:val="000000" w:themeColor="text1"/>
                <w:sz w:val="24"/>
                <w:szCs w:val="24"/>
                <w:highlight w:val="none"/>
                <w14:textFill>
                  <w14:solidFill>
                    <w14:schemeClr w14:val="tx1"/>
                  </w14:solidFill>
                </w14:textFill>
              </w:rPr>
              <w:t>甲方</w:t>
            </w:r>
            <w:r>
              <w:rPr>
                <w:rFonts w:hint="eastAsia" w:ascii="宋体" w:hAnsi="宋体" w:eastAsia="宋体" w:cs="宋体"/>
                <w:color w:val="000000" w:themeColor="text1"/>
                <w:sz w:val="24"/>
                <w:szCs w:val="24"/>
                <w:highlight w:val="none"/>
                <w:lang w:val="zh-CN"/>
                <w14:textFill>
                  <w14:solidFill>
                    <w14:schemeClr w14:val="tx1"/>
                  </w14:solidFill>
                </w14:textFill>
              </w:rPr>
              <w:t>前发生的风险均由</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lang w:val="zh-CN"/>
                <w14:textFill>
                  <w14:solidFill>
                    <w14:schemeClr w14:val="tx1"/>
                  </w14:solidFill>
                </w14:textFill>
              </w:rPr>
              <w:t>负责。</w:t>
            </w:r>
          </w:p>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安全责任：</w:t>
            </w:r>
            <w:r>
              <w:rPr>
                <w:rFonts w:hint="eastAsia" w:ascii="宋体" w:hAnsi="宋体" w:eastAsia="宋体" w:cs="宋体"/>
                <w:color w:val="000000" w:themeColor="text1"/>
                <w:sz w:val="24"/>
                <w:szCs w:val="24"/>
                <w:highlight w:val="none"/>
                <w14:textFill>
                  <w14:solidFill>
                    <w14:schemeClr w14:val="tx1"/>
                  </w14:solidFill>
                </w14:textFill>
              </w:rPr>
              <w:t>乙方</w:t>
            </w:r>
            <w:r>
              <w:rPr>
                <w:rFonts w:hint="eastAsia" w:ascii="宋体" w:hAnsi="宋体" w:eastAsia="宋体" w:cs="宋体"/>
                <w:color w:val="000000" w:themeColor="text1"/>
                <w:sz w:val="24"/>
                <w:szCs w:val="24"/>
                <w:highlight w:val="none"/>
                <w:lang w:val="zh-CN"/>
                <w14:textFill>
                  <w14:solidFill>
                    <w14:schemeClr w14:val="tx1"/>
                  </w14:solidFill>
                </w14:textFill>
              </w:rPr>
              <w:t>承担货物在送达指定地点前及运输和保存、安装过程（包括堆放和卸装期间）中货物的毁损、灭失等和发生人身伤亡事故等风险和安全责任，并承担一切经济损失和法律责任。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82" w:type="pct"/>
            <w:tcBorders>
              <w:lef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1.5.1 </w:t>
            </w:r>
          </w:p>
        </w:tc>
        <w:tc>
          <w:tcPr>
            <w:tcW w:w="4517" w:type="pct"/>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合同履约期限：</w:t>
            </w:r>
            <w:r>
              <w:rPr>
                <w:rFonts w:hint="eastAsia" w:ascii="宋体" w:hAnsi="宋体" w:cs="宋体"/>
                <w:b w:val="0"/>
                <w:bCs w:val="0"/>
                <w:color w:val="000000" w:themeColor="text1"/>
                <w:kern w:val="44"/>
                <w:sz w:val="24"/>
                <w:szCs w:val="24"/>
                <w:highlight w:val="none"/>
                <w:u w:val="single"/>
                <w:lang w:val="en-US" w:eastAsia="zh-CN" w:bidi="ar-SA"/>
                <w14:textFill>
                  <w14:solidFill>
                    <w14:schemeClr w14:val="tx1"/>
                  </w14:solidFill>
                </w14:textFill>
              </w:rPr>
              <w:t>75</w:t>
            </w:r>
            <w:r>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日历天（具体时间按合同签订为准。其中含完成设备供货、安装及内容系统的部署、配套装饰等，经测试运行及培训，并通过甲方组织验收合格，正式交付使用，进入质保期（不含试运行）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82" w:type="pct"/>
            <w:tcBorders>
              <w:lef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1.5.2</w:t>
            </w:r>
          </w:p>
        </w:tc>
        <w:tc>
          <w:tcPr>
            <w:tcW w:w="4517" w:type="pct"/>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履行合同的地点：</w:t>
            </w:r>
            <w:r>
              <w:rPr>
                <w:rFonts w:hint="eastAsia" w:ascii="宋体" w:hAnsi="宋体" w:eastAsia="宋体" w:cs="宋体"/>
                <w:b w:val="0"/>
                <w:bCs w:val="0"/>
                <w:color w:val="000000" w:themeColor="text1"/>
                <w:kern w:val="44"/>
                <w:sz w:val="24"/>
                <w:szCs w:val="24"/>
                <w:highlight w:val="none"/>
                <w:lang w:val="en-US" w:eastAsia="zh-Hans" w:bidi="ar-SA"/>
                <w14:textFill>
                  <w14:solidFill>
                    <w14:schemeClr w14:val="tx1"/>
                  </w14:solidFill>
                </w14:textFill>
              </w:rPr>
              <w:t>杭州</w:t>
            </w:r>
            <w:r>
              <w:rPr>
                <w:rFonts w:hint="eastAsia" w:ascii="宋体" w:hAnsi="宋体" w:cs="宋体"/>
                <w:b w:val="0"/>
                <w:bCs w:val="0"/>
                <w:color w:val="000000" w:themeColor="text1"/>
                <w:kern w:val="44"/>
                <w:sz w:val="24"/>
                <w:szCs w:val="24"/>
                <w:highlight w:val="none"/>
                <w:lang w:val="en-US" w:eastAsia="zh-CN" w:bidi="ar-SA"/>
                <w14:textFill>
                  <w14:solidFill>
                    <w14:schemeClr w14:val="tx1"/>
                  </w14:solidFill>
                </w14:textFill>
              </w:rPr>
              <w:t>城西休闲公园</w:t>
            </w: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82" w:type="pct"/>
            <w:tcBorders>
              <w:lef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1.5.3 </w:t>
            </w:r>
          </w:p>
        </w:tc>
        <w:tc>
          <w:tcPr>
            <w:tcW w:w="4517" w:type="pct"/>
            <w:vAlign w:val="center"/>
          </w:tcPr>
          <w:p>
            <w:pPr>
              <w:pStyle w:val="132"/>
              <w:tabs>
                <w:tab w:val="left" w:pos="0"/>
              </w:tabs>
              <w:snapToGrid w:val="0"/>
              <w:spacing w:before="0"/>
              <w:ind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交付方式：送货上门，乙方负责安装调试，并经验收合格后并交付甲方使用。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82" w:type="pct"/>
            <w:tcBorders>
              <w:lef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1.6.7</w:t>
            </w:r>
          </w:p>
        </w:tc>
        <w:tc>
          <w:tcPr>
            <w:tcW w:w="4517" w:type="pct"/>
            <w:vAlign w:val="center"/>
          </w:tcPr>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1．合同签订后，任何一方不履行或不完全履行本合同约定条款的，即构成违约。任何一方违约时，守约方有权要求违约方继续履行本合同，同时有权要求违约方支付违约金。</w:t>
            </w:r>
          </w:p>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如果甲方未按照合同约定支付价款，乙方有权要求其每天承担应付未付金额千分之零点五（0.5‰）的违约金，但违约金总额不超过合同总金额的百分之十（10%）；除合同另有约定外，如果乙方未能按照本合同约定履行义务或无正当理由擅自解除本合同，甲方有权要求其承担合同总金额百分之十（10%）的违约金。</w:t>
            </w:r>
          </w:p>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4．乙方逾期履行合同的，自逾期之日起，向甲方每日偿付合同总价万分之五的违约金。</w:t>
            </w:r>
          </w:p>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5．甲方逾期支付货款或逾期退还履约保证金的，自逾期之日起，向乙方每日偿付未付价款或未退还履约保证金万分之五的违约金。</w:t>
            </w:r>
          </w:p>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乙方所交的货物品种、型号、规格、技术参数、质量不符合合同规定及招投标文件规定标准的，或经验收不合格的，甲方有权拒收该货物，乙方愿意更换货物但逾期交货的，按乙方逾期交货处理。乙方拒绝更换货物的，甲方可单方面解除合同，同时乙方应按合同价款的10%承担违约金，并退还全部已收款项。</w:t>
            </w:r>
          </w:p>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7．上述第6项应退回或更换的货物，由乙方在验收后一周内运离安装地点，所需费用由乙方承担。如乙方在二周内不处理（搬走）的，视为乙方放弃，甲方有权自行处置（包括废物处理）。</w:t>
            </w:r>
          </w:p>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8．乙方未按</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及合同约定履行质保义务的，每次应向甲方承担 2000 元的违约金，并赔偿甲方的损失；同时，乙方应继续履行质保义务。</w:t>
            </w:r>
          </w:p>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82" w:type="pct"/>
            <w:tcBorders>
              <w:lef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w:t>
            </w:r>
          </w:p>
        </w:tc>
        <w:tc>
          <w:tcPr>
            <w:tcW w:w="4517" w:type="pct"/>
            <w:vAlign w:val="center"/>
          </w:tcPr>
          <w:p>
            <w:pPr>
              <w:pStyle w:val="132"/>
              <w:tabs>
                <w:tab w:val="left" w:pos="0"/>
              </w:tabs>
              <w:snapToGrid w:val="0"/>
              <w:spacing w:before="0"/>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82" w:type="pct"/>
            <w:tcBorders>
              <w:lef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w:t>
            </w:r>
          </w:p>
        </w:tc>
        <w:tc>
          <w:tcPr>
            <w:tcW w:w="4517" w:type="pct"/>
            <w:vAlign w:val="center"/>
          </w:tcPr>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杭州仲裁委员会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82" w:type="pct"/>
            <w:tcBorders>
              <w:lef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w:t>
            </w:r>
          </w:p>
        </w:tc>
        <w:tc>
          <w:tcPr>
            <w:tcW w:w="4517" w:type="pct"/>
            <w:vAlign w:val="center"/>
          </w:tcPr>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82" w:type="pct"/>
            <w:tcBorders>
              <w:lef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2.3.2</w:t>
            </w:r>
          </w:p>
        </w:tc>
        <w:tc>
          <w:tcPr>
            <w:tcW w:w="4517" w:type="pct"/>
            <w:vAlign w:val="center"/>
          </w:tcPr>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知识产权归甲方所有。乙方应保证提供的商品不侵犯第三方的专利权、商标权或者其他知识产权。如乙方行为侵犯第三方知识产权并造成第三方追究甲方责任的，甲方因此受到的损失由乙方承担。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82" w:type="pct"/>
            <w:tcBorders>
              <w:lef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2.4.1</w:t>
            </w:r>
          </w:p>
        </w:tc>
        <w:tc>
          <w:tcPr>
            <w:tcW w:w="4517" w:type="pct"/>
            <w:vAlign w:val="center"/>
          </w:tcPr>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82" w:type="pct"/>
            <w:tcBorders>
              <w:lef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2.4.2</w:t>
            </w:r>
          </w:p>
        </w:tc>
        <w:tc>
          <w:tcPr>
            <w:tcW w:w="4517" w:type="pct"/>
            <w:vAlign w:val="center"/>
          </w:tcPr>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1、包装：</w:t>
            </w:r>
          </w:p>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应提供货物运至合同规定的最终目的地所需要的包装，以防止货物在转运中损坏或变质。这类包装应采取防潮、防晒、防锈、防腐蚀、防震动及防止其它损坏的必要保护措施，从而保护货物能够经受多次搬运、装卸及远洋和内陆的长途运输。乙方应承担由于其包装或其防护措施不妥而引起货物锈蚀、损坏和丢失的任何损失的责任或费用。对于木质包装材料，应按照中华人民共和国国家质量监督检验检疫总局的规定，对木质包装进行除害处理并加施IPPC专用标识的声明或未使用木质包装的声明。使用说明书、质量检验证明书、随配附件和工具以及清单一并附于货物内。</w:t>
            </w:r>
          </w:p>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2、运输及交付：</w:t>
            </w:r>
          </w:p>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在货物发运手续办理完毕后24小时内或货到甲方48小时前通知甲方，以准备接货。货物在交付甲方前发生的风险均由乙方负责。货物在规定的交付期限内由乙方送达甲方指定的地点视为交付，乙方同时需通知甲方货物已送达。对其在制造、购置、运输、存放及交货过程中的丢失或损坏进行全面保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82" w:type="pct"/>
            <w:tcBorders>
              <w:left w:val="single" w:color="auto" w:sz="4" w:space="0"/>
            </w:tcBorders>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2.8 </w:t>
            </w:r>
          </w:p>
        </w:tc>
        <w:tc>
          <w:tcPr>
            <w:tcW w:w="4517" w:type="pct"/>
          </w:tcPr>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货物或者在途货物或者交付给第一承运人后的货物毁损、灭失的风险由乙方全权负责。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82" w:type="pct"/>
            <w:tcBorders>
              <w:lef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2.12.3</w:t>
            </w:r>
          </w:p>
        </w:tc>
        <w:tc>
          <w:tcPr>
            <w:tcW w:w="4517" w:type="pct"/>
            <w:vAlign w:val="center"/>
          </w:tcPr>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不可抗力发生后5日内以书面形式变更合同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82" w:type="pct"/>
            <w:tcBorders>
              <w:lef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2.12.4</w:t>
            </w:r>
          </w:p>
        </w:tc>
        <w:tc>
          <w:tcPr>
            <w:tcW w:w="4517" w:type="pct"/>
            <w:vAlign w:val="center"/>
          </w:tcPr>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不可抗力发生后1日内以书面形式通知对方当事人；不可抗力发生后15日内将有关部门出具的证明文件送达对方当事人。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82" w:type="pct"/>
            <w:tcBorders>
              <w:lef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2.16.1</w:t>
            </w:r>
          </w:p>
        </w:tc>
        <w:tc>
          <w:tcPr>
            <w:tcW w:w="4517" w:type="pct"/>
            <w:vAlign w:val="center"/>
          </w:tcPr>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满足验收条件之日起10日内组织验收。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2" w:hRule="atLeast"/>
        </w:trPr>
        <w:tc>
          <w:tcPr>
            <w:tcW w:w="482" w:type="pct"/>
            <w:tcBorders>
              <w:lef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2.16.3</w:t>
            </w:r>
          </w:p>
        </w:tc>
        <w:tc>
          <w:tcPr>
            <w:tcW w:w="4517" w:type="pct"/>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按照《杭州市政府采购履约验收暂行办法》（杭财采监[2019]10号）规定组织对</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履约的验收。验收方成员应当在验收书上签字，并承担相应的法律责任。如果发现与合同中要求不符，</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须承担由此发生的一切损失和费用，并接受相应的处理。</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严格按照采购合同开展履约验收。</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cs="宋体"/>
                <w:color w:val="000000" w:themeColor="text1"/>
                <w:sz w:val="24"/>
                <w:szCs w:val="24"/>
                <w:highlight w:val="none"/>
                <w:lang w:val="en-US" w:eastAsia="zh-CN"/>
                <w14:textFill>
                  <w14:solidFill>
                    <w14:schemeClr w14:val="tx1"/>
                  </w14:solidFill>
                </w14:textFill>
              </w:rPr>
              <w:t>自行验收或</w:t>
            </w:r>
            <w:r>
              <w:rPr>
                <w:rFonts w:hint="eastAsia" w:ascii="宋体" w:hAnsi="宋体" w:cs="宋体"/>
                <w:color w:val="000000" w:themeColor="text1"/>
                <w:sz w:val="24"/>
                <w:szCs w:val="24"/>
                <w:highlight w:val="none"/>
                <w:lang w:eastAsia="zh-CN"/>
                <w14:textFill>
                  <w14:solidFill>
                    <w14:schemeClr w14:val="tx1"/>
                  </w14:solidFill>
                </w14:textFill>
              </w:rPr>
              <w:t>委托第三方机构成立验收小组</w:t>
            </w:r>
            <w:r>
              <w:rPr>
                <w:rFonts w:hint="eastAsia" w:ascii="宋体" w:hAnsi="宋体" w:eastAsia="宋体" w:cs="宋体"/>
                <w:color w:val="000000" w:themeColor="text1"/>
                <w:sz w:val="24"/>
                <w:szCs w:val="24"/>
                <w:highlight w:val="none"/>
                <w14:textFill>
                  <w14:solidFill>
                    <w14:schemeClr w14:val="tx1"/>
                  </w14:solidFill>
                </w14:textFill>
              </w:rPr>
              <w:t>，按照采购合同的约定对</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履约情况进行验收，验收时，按照采购合同的约定对每一项技术、服务、安全标准的履约情况进行确认，出具验收报告并经验收小组全体成员签字。</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根据验收报告形成验收意见并经</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与</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签字盖章。验收结果与采购合同约定的资金支付及履约保证金返还条件挂钩。履约验收的各项资料应当存档备查。</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验收合格的项目，</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将根据采购合同的约定及时向</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支付采购资金、退还履约保证金。验收不合格的项目，</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将依法及时处理。采购合同的履行、违约责任和解决争议的方式等适用《中华人民共和国民法典》。</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验收产生的费用首次验收费用由</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承担，如首次验收不合格，后续验收费用由</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支付。</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2.履约验收内容</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416"/>
              <w:gridCol w:w="5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验收内容</w:t>
                  </w:r>
                </w:p>
              </w:tc>
              <w:tc>
                <w:tcPr>
                  <w:tcW w:w="56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0" w:type="auto"/>
                  <w:tcBorders>
                    <w:top w:val="single" w:color="auto" w:sz="4" w:space="0"/>
                    <w:left w:val="single" w:color="auto" w:sz="4" w:space="0"/>
                    <w:right w:val="single" w:color="auto" w:sz="4" w:space="0"/>
                  </w:tcBorders>
                  <w:noWrap/>
                  <w:vAlign w:val="center"/>
                </w:tcPr>
                <w:p>
                  <w:pPr>
                    <w:keepNext w:val="0"/>
                    <w:keepLines w:val="0"/>
                    <w:pageBreakBefore w:val="0"/>
                    <w:widowControl w:val="0"/>
                    <w:tabs>
                      <w:tab w:val="center" w:pos="201"/>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0" w:type="auto"/>
                  <w:tcBorders>
                    <w:top w:val="single" w:color="auto" w:sz="4" w:space="0"/>
                    <w:left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质量、数量</w:t>
                  </w:r>
                </w:p>
              </w:tc>
              <w:tc>
                <w:tcPr>
                  <w:tcW w:w="56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核对产品的型号、参数、数量等是否与合同及投标文件承诺相符，检查资料是否提供了所有产品拍照图片、说明书、产品合格证。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送货</w:t>
                  </w:r>
                </w:p>
              </w:tc>
              <w:tc>
                <w:tcPr>
                  <w:tcW w:w="56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项目按送货要求完成供货、安装、调试、并在规定的时间内送达。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现场检查</w:t>
                  </w:r>
                </w:p>
              </w:tc>
              <w:tc>
                <w:tcPr>
                  <w:tcW w:w="56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现场检查记录（检查各系统运行情况）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培训资料</w:t>
                  </w:r>
                </w:p>
              </w:tc>
              <w:tc>
                <w:tcPr>
                  <w:tcW w:w="56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培训人员</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不少于</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人，培训内容满足采购需求及投标承诺。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其他工作</w:t>
                  </w:r>
                </w:p>
              </w:tc>
              <w:tc>
                <w:tcPr>
                  <w:tcW w:w="56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履行项目采购文件、投标文件、合同条款中涉及的其他承诺的情况。</w:t>
                  </w:r>
                </w:p>
              </w:tc>
            </w:tr>
          </w:tbl>
          <w:p>
            <w:pPr>
              <w:keepNext w:val="0"/>
              <w:keepLines w:val="0"/>
              <w:pageBreakBefore w:val="0"/>
              <w:tabs>
                <w:tab w:val="left" w:pos="904"/>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4.验收资料要求</w:t>
            </w:r>
          </w:p>
          <w:p>
            <w:pPr>
              <w:keepNext w:val="0"/>
              <w:keepLines w:val="0"/>
              <w:pageBreakBefore w:val="0"/>
              <w:tabs>
                <w:tab w:val="left" w:pos="904"/>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验收资料要求包括（不限于）以下内容：</w:t>
            </w:r>
          </w:p>
          <w:p>
            <w:pPr>
              <w:keepNext w:val="0"/>
              <w:keepLines w:val="0"/>
              <w:pageBreakBefore w:val="0"/>
              <w:tabs>
                <w:tab w:val="left" w:pos="904"/>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①招标文件 </w:t>
            </w:r>
          </w:p>
          <w:p>
            <w:pPr>
              <w:keepNext w:val="0"/>
              <w:keepLines w:val="0"/>
              <w:pageBreakBefore w:val="0"/>
              <w:tabs>
                <w:tab w:val="left" w:pos="904"/>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②投标文件</w:t>
            </w:r>
          </w:p>
          <w:p>
            <w:pPr>
              <w:keepNext w:val="0"/>
              <w:keepLines w:val="0"/>
              <w:pageBreakBefore w:val="0"/>
              <w:tabs>
                <w:tab w:val="left" w:pos="904"/>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③采购合同</w:t>
            </w:r>
          </w:p>
          <w:p>
            <w:pPr>
              <w:keepNext w:val="0"/>
              <w:keepLines w:val="0"/>
              <w:pageBreakBefore w:val="0"/>
              <w:tabs>
                <w:tab w:val="left" w:pos="904"/>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④到货核验清单（经采购经办人、复核人、</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三方签字盖章）</w:t>
            </w:r>
          </w:p>
          <w:p>
            <w:pPr>
              <w:keepNext w:val="0"/>
              <w:keepLines w:val="0"/>
              <w:pageBreakBefore w:val="0"/>
              <w:tabs>
                <w:tab w:val="left" w:pos="904"/>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⑤产品拍照图片、产品说明书、产品合格证、质量保证书。</w:t>
            </w:r>
          </w:p>
          <w:p>
            <w:pPr>
              <w:keepNext w:val="0"/>
              <w:keepLines w:val="0"/>
              <w:pageBreakBefore w:val="0"/>
              <w:tabs>
                <w:tab w:val="left" w:pos="904"/>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⑥现场检查记录（检查各系统运行情况）</w:t>
            </w:r>
          </w:p>
          <w:p>
            <w:pPr>
              <w:keepNext w:val="0"/>
              <w:keepLines w:val="0"/>
              <w:pageBreakBefore w:val="0"/>
              <w:tabs>
                <w:tab w:val="left" w:pos="904"/>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⑦培训记录等相关资料</w:t>
            </w:r>
            <w:r>
              <w:rPr>
                <w:rFonts w:hint="eastAsia" w:ascii="宋体" w:hAnsi="宋体" w:cs="宋体"/>
                <w:color w:val="000000" w:themeColor="text1"/>
                <w:sz w:val="24"/>
                <w:szCs w:val="24"/>
                <w:highlight w:val="none"/>
                <w:lang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82" w:type="pct"/>
            <w:tcBorders>
              <w:left w:val="single" w:color="auto" w:sz="4" w:space="0"/>
            </w:tcBorders>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2.20.1</w:t>
            </w:r>
          </w:p>
        </w:tc>
        <w:tc>
          <w:tcPr>
            <w:tcW w:w="4517" w:type="pct"/>
          </w:tcPr>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履约保证金：合同签订7天内乙方应向甲方交纳合同金额的1%</w:t>
            </w:r>
            <w:r>
              <w:rPr>
                <w:rFonts w:hint="eastAsia" w:ascii="宋体" w:hAnsi="宋体" w:cs="宋体"/>
                <w:color w:val="000000" w:themeColor="text1"/>
                <w:sz w:val="24"/>
                <w:szCs w:val="24"/>
                <w:highlight w:val="none"/>
                <w:lang w:eastAsia="zh-CN"/>
                <w14:textFill>
                  <w14:solidFill>
                    <w14:schemeClr w14:val="tx1"/>
                  </w14:solidFill>
                </w14:textFill>
              </w:rPr>
              <w:t>（即</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none"/>
                <w:lang w:val="en-US" w:eastAsia="zh-CN"/>
                <w14:textFill>
                  <w14:solidFill>
                    <w14:schemeClr w14:val="tx1"/>
                  </w14:solidFill>
                </w14:textFill>
              </w:rPr>
              <w:t>元</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作为履约保证金，履约保证金的形式不限于现金、汇款、支票、银行保函等。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82" w:type="pct"/>
            <w:tcBorders>
              <w:lef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2.20.2 </w:t>
            </w:r>
          </w:p>
        </w:tc>
        <w:tc>
          <w:tcPr>
            <w:tcW w:w="4517" w:type="pct"/>
            <w:vAlign w:val="center"/>
          </w:tcPr>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保证金在项目履约验收合格前不予退还。乙方在前述约定期间届满前能履行完合同约定义务事项的，甲方在前述约定期间届满之日起5个工作日内，按原递交方式将履约保证金退还乙方，逾期退还的，乙方可要求甲方支付违约金，违约金按每迟延退还一日的应退还而未退还金额的0.05%计算，最高限额为本合同履约保证金的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82" w:type="pct"/>
            <w:tcBorders>
              <w:left w:val="single" w:color="auto" w:sz="4" w:space="0"/>
            </w:tcBorders>
            <w:vAlign w:val="center"/>
          </w:tcPr>
          <w:p>
            <w:pPr>
              <w:spacing w:line="360" w:lineRule="auto"/>
              <w:ind w:left="-420" w:leftChars="-200" w:right="-420" w:rightChars="-200" w:firstLine="480" w:firstLineChars="20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2.22 </w:t>
            </w:r>
          </w:p>
        </w:tc>
        <w:tc>
          <w:tcPr>
            <w:tcW w:w="4517" w:type="pct"/>
            <w:vAlign w:val="center"/>
          </w:tcPr>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合同份数按甲方执陆份，乙方执叁份规定，每份均具有同等法律效力。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82" w:type="pc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4517" w:type="pct"/>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项目组人员要求</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需配备1名项目负责人，负责与</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对接，对接处理技术及其他售后问题，以保证</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的正常使用。</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根据采购需求配备充足的服务人员，包括设备安装调试人员及售后维护的技术服务人员。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82" w:type="pct"/>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4517" w:type="pct"/>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保密条款</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对</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及工作人员开展常态化安全保密教育，组织签订安全保密承诺书，明确具体安全管理内容、安全保密义务和责任；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及工作人员违反安全管理要求，构成违法犯罪的，</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将及时报送本级政府采购和市场监督管理部门，提请列入政府采购严重违法失信行为记录名单、市场监督管理严重失信名单，并追究相关责任。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82"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420" w:leftChars="-200" w:right="-420" w:rightChars="-200" w:firstLine="0" w:firstLineChars="0"/>
              <w:jc w:val="center"/>
              <w:textAlignment w:val="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4517" w:type="pct"/>
            <w:vAlign w:val="center"/>
          </w:tcPr>
          <w:p>
            <w:pPr>
              <w:pStyle w:val="723"/>
              <w:spacing w:line="360" w:lineRule="auto"/>
              <w:ind w:firstLine="482"/>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售后服务要求</w:t>
            </w:r>
          </w:p>
          <w:p>
            <w:pPr>
              <w:numPr>
                <w:ilvl w:val="0"/>
                <w:numId w:val="4"/>
              </w:numPr>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乙方须对合同</w:t>
            </w:r>
            <w:r>
              <w:rPr>
                <w:rFonts w:hint="eastAsia" w:ascii="宋体" w:hAnsi="宋体" w:eastAsia="宋体" w:cs="宋体"/>
                <w:color w:val="000000" w:themeColor="text1"/>
                <w:sz w:val="24"/>
                <w:szCs w:val="24"/>
                <w:highlight w:val="none"/>
                <w14:textFill>
                  <w14:solidFill>
                    <w14:schemeClr w14:val="tx1"/>
                  </w14:solidFill>
                </w14:textFill>
              </w:rPr>
              <w:t>中规定的主要设备提供至少硬件、软件</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以履约验收确认合格后之日起，</w:t>
            </w:r>
            <w:r>
              <w:rPr>
                <w:rFonts w:hint="eastAsia" w:ascii="宋体" w:hAnsi="宋体" w:cs="宋体"/>
                <w:color w:val="000000" w:themeColor="text1"/>
                <w:sz w:val="24"/>
                <w:highlight w:val="none"/>
                <w14:textFill>
                  <w14:solidFill>
                    <w14:schemeClr w14:val="tx1"/>
                  </w14:solidFill>
                </w14:textFill>
              </w:rPr>
              <w:t>如厂家出厂质保期超过</w:t>
            </w:r>
            <w:r>
              <w:rPr>
                <w:rFonts w:hint="eastAsia" w:ascii="宋体" w:hAnsi="宋体" w:cs="宋体"/>
                <w:color w:val="000000" w:themeColor="text1"/>
                <w:sz w:val="24"/>
                <w:highlight w:val="none"/>
                <w:lang w:val="en-US" w:eastAsia="zh-CN"/>
                <w14:textFill>
                  <w14:solidFill>
                    <w14:schemeClr w14:val="tx1"/>
                  </w14:solidFill>
                </w14:textFill>
              </w:rPr>
              <w:t>优于2</w:t>
            </w:r>
            <w:r>
              <w:rPr>
                <w:rFonts w:hint="eastAsia" w:ascii="宋体" w:hAnsi="宋体" w:cs="宋体"/>
                <w:color w:val="000000" w:themeColor="text1"/>
                <w:sz w:val="24"/>
                <w:highlight w:val="none"/>
                <w14:textFill>
                  <w14:solidFill>
                    <w14:schemeClr w14:val="tx1"/>
                  </w14:solidFill>
                </w14:textFill>
              </w:rPr>
              <w:t>年的，以厂家质保期为准）</w:t>
            </w:r>
            <w:r>
              <w:rPr>
                <w:rFonts w:hint="eastAsia" w:ascii="宋体" w:hAnsi="宋体" w:eastAsia="宋体" w:cs="宋体"/>
                <w:color w:val="000000" w:themeColor="text1"/>
                <w:sz w:val="24"/>
                <w:szCs w:val="24"/>
                <w:highlight w:val="none"/>
                <w14:textFill>
                  <w14:solidFill>
                    <w14:schemeClr w14:val="tx1"/>
                  </w14:solidFill>
                </w14:textFill>
              </w:rPr>
              <w:t>。中标后提供厂商授权或者售后服务承诺的免费质保期。</w:t>
            </w:r>
          </w:p>
          <w:p>
            <w:pPr>
              <w:numPr>
                <w:ilvl w:val="0"/>
                <w:numId w:val="0"/>
              </w:numPr>
              <w:snapToGrid w:val="0"/>
              <w:spacing w:line="36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 xml:space="preserve">免费质保期起算节点为项目验收确认合格后之日起，质保期内承诺均提供上门维护、系统做好免费升级服务； </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针对本项目具有完善的售后服务方案，有较强的本地化服务能力。对于各类故障必须提供7*24小时立即响应服务，在</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小时内提出解决方案并做出明确安排，若远程不能解决问题，须在</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小时内派人到现场上门服务，排除故障，并分析故障原因，提出书面故障分析报告及防范措施，不间断服务直至故障解除。不能修复的，必须采取无偿提供备品、备件或备机等措施，以保证</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的正常使用。质保期内配件更换费用包含在投标报价中</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snapToGrid w:val="0"/>
              <w:spacing w:line="360" w:lineRule="auto"/>
              <w:ind w:firstLine="480" w:firstLineChars="200"/>
              <w:jc w:val="lef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质保期前6个月内，提供技术人员驻场服务，人员数量不少于1人；</w:t>
            </w:r>
          </w:p>
          <w:p>
            <w:pPr>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在质保期内，</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有责任解决所提供的投标设备和软件系统的任何问题，在质保期满后，当需要时，</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仍须对因投标设备本身的固有缺陷和瑕疵承担相应责任。</w:t>
            </w:r>
          </w:p>
          <w:p>
            <w:pPr>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在质保期内的工作应包括对所有设备常规检查和维护</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每个月不少于2次的常规检查和维护</w:t>
            </w:r>
            <w:r>
              <w:rPr>
                <w:rFonts w:hint="eastAsia" w:ascii="宋体" w:hAnsi="宋体" w:cs="宋体"/>
                <w:color w:val="000000" w:themeColor="text1"/>
                <w:sz w:val="24"/>
                <w:highlight w:val="none"/>
                <w14:textFill>
                  <w14:solidFill>
                    <w14:schemeClr w14:val="tx1"/>
                  </w14:solidFill>
                </w14:textFill>
              </w:rPr>
              <w:t>，具体的操作程序和内容须在投标时说明</w:t>
            </w:r>
            <w:r>
              <w:rPr>
                <w:rFonts w:hint="eastAsia" w:ascii="宋体" w:hAnsi="宋体" w:eastAsia="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质保期内，为更好的做好项目的服务工作，供应商提供专门的技术工程师，负责项目的运行维护，具体人员由</w:t>
            </w:r>
            <w:r>
              <w:rPr>
                <w:rFonts w:hint="eastAsia" w:ascii="宋体" w:hAnsi="宋体" w:cs="宋体"/>
                <w:color w:val="000000" w:themeColor="text1"/>
                <w:sz w:val="24"/>
                <w:highlight w:val="none"/>
                <w:lang w:eastAsia="zh-CN"/>
                <w14:textFill>
                  <w14:solidFill>
                    <w14:schemeClr w14:val="tx1"/>
                  </w14:solidFill>
                </w14:textFill>
              </w:rPr>
              <w:t>甲方</w:t>
            </w:r>
            <w:r>
              <w:rPr>
                <w:rFonts w:hint="eastAsia" w:ascii="宋体" w:hAnsi="宋体" w:cs="宋体"/>
                <w:color w:val="000000" w:themeColor="text1"/>
                <w:sz w:val="24"/>
                <w:highlight w:val="none"/>
                <w14:textFill>
                  <w14:solidFill>
                    <w14:schemeClr w14:val="tx1"/>
                  </w14:solidFill>
                </w14:textFill>
              </w:rPr>
              <w:t>在</w:t>
            </w:r>
            <w:r>
              <w:rPr>
                <w:rFonts w:hint="eastAsia" w:ascii="宋体" w:hAnsi="宋体" w:cs="宋体"/>
                <w:color w:val="000000" w:themeColor="text1"/>
                <w:sz w:val="24"/>
                <w:highlight w:val="none"/>
                <w:lang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项目实施人员中指定</w:t>
            </w: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82"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420" w:leftChars="-200" w:right="-420" w:rightChars="-200" w:firstLine="0" w:firstLineChars="0"/>
              <w:jc w:val="center"/>
              <w:textAlignment w:val="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p>
        </w:tc>
        <w:tc>
          <w:tcPr>
            <w:tcW w:w="4517" w:type="pct"/>
            <w:vAlign w:val="center"/>
          </w:tcPr>
          <w:p>
            <w:pPr>
              <w:pStyle w:val="723"/>
              <w:spacing w:line="360" w:lineRule="auto"/>
              <w:ind w:firstLine="482"/>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培训要求</w:t>
            </w:r>
          </w:p>
          <w:p>
            <w:pPr>
              <w:snapToGrid w:val="0"/>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1、为保证设备正常工作，乙方应负责培训用户维护人员，使维护工作人员能完全熟悉并掌</w:t>
            </w:r>
            <w:r>
              <w:rPr>
                <w:rFonts w:hint="eastAsia" w:ascii="宋体" w:hAnsi="宋体" w:eastAsia="宋体" w:cs="宋体"/>
                <w:color w:val="000000" w:themeColor="text1"/>
                <w:kern w:val="0"/>
                <w:sz w:val="24"/>
                <w:szCs w:val="24"/>
                <w:highlight w:val="none"/>
                <w14:textFill>
                  <w14:solidFill>
                    <w14:schemeClr w14:val="tx1"/>
                  </w14:solidFill>
                </w14:textFill>
              </w:rPr>
              <w:t>握设备使用、配置、软件维护技能，具备排除一般的设备故障的能力。用户有权复制</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乙方</w:t>
            </w:r>
            <w:r>
              <w:rPr>
                <w:rFonts w:hint="eastAsia" w:ascii="宋体" w:hAnsi="宋体" w:eastAsia="宋体" w:cs="宋体"/>
                <w:color w:val="000000" w:themeColor="text1"/>
                <w:kern w:val="0"/>
                <w:sz w:val="24"/>
                <w:szCs w:val="24"/>
                <w:highlight w:val="none"/>
                <w14:textFill>
                  <w14:solidFill>
                    <w14:schemeClr w14:val="tx1"/>
                  </w14:solidFill>
                </w14:textFill>
              </w:rPr>
              <w:t>提供的各种技术资料，作为维护管理用。培训所需一切资料由中标人免费提供。负责免费提供操作人员培训，培训人数不少于</w:t>
            </w:r>
            <w:r>
              <w:rPr>
                <w:rFonts w:hint="eastAsia" w:ascii="宋体" w:hAnsi="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人。</w:t>
            </w:r>
          </w:p>
          <w:p>
            <w:pPr>
              <w:snapToGrid w:val="0"/>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提供完整详尽的技术培训方案，项目验收前必须完成相关技术培训。</w:t>
            </w:r>
          </w:p>
          <w:p>
            <w:pPr>
              <w:snapToGrid w:val="0"/>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培训内容：确保用户能够对设备、系统有足够的了解和熟悉，能够独立进行设备、系统的日常运营、管理和维护，培训所需一切资料由</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乙方</w:t>
            </w:r>
            <w:r>
              <w:rPr>
                <w:rFonts w:hint="eastAsia" w:ascii="宋体" w:hAnsi="宋体" w:eastAsia="宋体" w:cs="宋体"/>
                <w:color w:val="000000" w:themeColor="text1"/>
                <w:kern w:val="0"/>
                <w:sz w:val="24"/>
                <w:szCs w:val="24"/>
                <w:highlight w:val="none"/>
                <w14:textFill>
                  <w14:solidFill>
                    <w14:schemeClr w14:val="tx1"/>
                  </w14:solidFill>
                </w14:textFill>
              </w:rPr>
              <w:t>免费提供。</w:t>
            </w:r>
          </w:p>
          <w:p>
            <w:pPr>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培训地点：在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甲方指定地点</w:t>
            </w:r>
            <w:r>
              <w:rPr>
                <w:rFonts w:hint="eastAsia" w:ascii="宋体" w:hAnsi="宋体" w:eastAsia="宋体" w:cs="宋体"/>
                <w:color w:val="000000" w:themeColor="text1"/>
                <w:kern w:val="0"/>
                <w:sz w:val="24"/>
                <w:szCs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82"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420" w:leftChars="-200" w:right="-420" w:rightChars="-200" w:firstLine="0" w:firstLineChars="0"/>
              <w:jc w:val="center"/>
              <w:textAlignment w:val="auto"/>
              <w:outlineLvl w:val="0"/>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p>
        </w:tc>
        <w:tc>
          <w:tcPr>
            <w:tcW w:w="4517" w:type="pct"/>
            <w:vAlign w:val="center"/>
          </w:tcPr>
          <w:p>
            <w:pPr>
              <w:snapToGrid w:val="0"/>
              <w:spacing w:line="360" w:lineRule="auto"/>
              <w:ind w:firstLine="480" w:firstLineChars="200"/>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质保期限以外，</w:t>
            </w:r>
            <w:r>
              <w:rPr>
                <w:rFonts w:hint="eastAsia" w:ascii="宋体" w:hAnsi="宋体" w:cs="宋体"/>
                <w:bCs/>
                <w:color w:val="000000" w:themeColor="text1"/>
                <w:sz w:val="24"/>
                <w:highlight w:val="none"/>
                <w:lang w:eastAsia="zh-CN"/>
                <w14:textFill>
                  <w14:solidFill>
                    <w14:schemeClr w14:val="tx1"/>
                  </w14:solidFill>
                </w14:textFill>
              </w:rPr>
              <w:t>甲方</w:t>
            </w:r>
            <w:r>
              <w:rPr>
                <w:rFonts w:hint="eastAsia" w:ascii="宋体" w:hAnsi="宋体" w:cs="宋体"/>
                <w:bCs/>
                <w:color w:val="000000" w:themeColor="text1"/>
                <w:sz w:val="24"/>
                <w:highlight w:val="none"/>
                <w14:textFill>
                  <w14:solidFill>
                    <w14:schemeClr w14:val="tx1"/>
                  </w14:solidFill>
                </w14:textFill>
              </w:rPr>
              <w:t>可以选择原服务单位</w:t>
            </w:r>
            <w:r>
              <w:rPr>
                <w:rFonts w:hint="eastAsia" w:ascii="宋体" w:hAnsi="宋体" w:cs="宋体"/>
                <w:bCs/>
                <w:color w:val="000000" w:themeColor="text1"/>
                <w:sz w:val="24"/>
                <w:highlight w:val="none"/>
                <w:lang w:eastAsia="zh-CN"/>
                <w14:textFill>
                  <w14:solidFill>
                    <w14:schemeClr w14:val="tx1"/>
                  </w14:solidFill>
                </w14:textFill>
              </w:rPr>
              <w:t>（乙方）</w:t>
            </w:r>
            <w:r>
              <w:rPr>
                <w:rFonts w:hint="eastAsia" w:ascii="宋体" w:hAnsi="宋体" w:cs="宋体"/>
                <w:bCs/>
                <w:color w:val="000000" w:themeColor="text1"/>
                <w:sz w:val="24"/>
                <w:highlight w:val="none"/>
                <w14:textFill>
                  <w14:solidFill>
                    <w14:schemeClr w14:val="tx1"/>
                  </w14:solidFill>
                </w14:textFill>
              </w:rPr>
              <w:t>进行</w:t>
            </w:r>
            <w:r>
              <w:rPr>
                <w:rFonts w:hint="eastAsia" w:ascii="宋体" w:hAnsi="宋体" w:cs="宋体"/>
                <w:bCs/>
                <w:color w:val="000000" w:themeColor="text1"/>
                <w:sz w:val="24"/>
                <w:highlight w:val="none"/>
                <w:lang w:eastAsia="zh-CN"/>
                <w14:textFill>
                  <w14:solidFill>
                    <w14:schemeClr w14:val="tx1"/>
                  </w14:solidFill>
                </w14:textFill>
              </w:rPr>
              <w:t>有偿</w:t>
            </w:r>
            <w:r>
              <w:rPr>
                <w:rFonts w:hint="eastAsia" w:ascii="宋体" w:hAnsi="宋体" w:cs="宋体"/>
                <w:bCs/>
                <w:color w:val="000000" w:themeColor="text1"/>
                <w:sz w:val="24"/>
                <w:highlight w:val="none"/>
                <w14:textFill>
                  <w14:solidFill>
                    <w14:schemeClr w14:val="tx1"/>
                  </w14:solidFill>
                </w14:textFill>
              </w:rPr>
              <w:t>维护，费用按照投标文件承诺的“</w:t>
            </w:r>
            <w:r>
              <w:rPr>
                <w:rFonts w:hint="eastAsia" w:ascii="宋体" w:hAnsi="宋体" w:cs="宋体"/>
                <w:bCs/>
                <w:color w:val="000000" w:themeColor="text1"/>
                <w:sz w:val="24"/>
                <w:highlight w:val="none"/>
                <w:lang w:eastAsia="zh-CN"/>
                <w14:textFill>
                  <w14:solidFill>
                    <w14:schemeClr w14:val="tx1"/>
                  </w14:solidFill>
                </w14:textFill>
              </w:rPr>
              <w:t>有偿维保费报价表</w:t>
            </w:r>
            <w:r>
              <w:rPr>
                <w:rFonts w:hint="eastAsia" w:ascii="宋体" w:hAnsi="宋体" w:cs="宋体"/>
                <w:bCs/>
                <w:color w:val="000000" w:themeColor="text1"/>
                <w:sz w:val="24"/>
                <w:highlight w:val="none"/>
                <w14:textFill>
                  <w14:solidFill>
                    <w14:schemeClr w14:val="tx1"/>
                  </w14:solidFill>
                </w14:textFill>
              </w:rPr>
              <w:t>”执行，即有偿维保费用</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元/车位/年。</w:t>
            </w:r>
          </w:p>
        </w:tc>
      </w:tr>
    </w:tbl>
    <w:p>
      <w:pPr>
        <w:pStyle w:val="27"/>
        <w:spacing w:line="360" w:lineRule="auto"/>
        <w:rPr>
          <w:rFonts w:hint="eastAsia" w:cs="宋体"/>
          <w:color w:val="000000" w:themeColor="text1"/>
          <w:highlight w:val="none"/>
          <w:lang w:eastAsia="zh-CN"/>
          <w14:textFill>
            <w14:solidFill>
              <w14:schemeClr w14:val="tx1"/>
            </w14:solidFill>
          </w14:textFill>
        </w:rPr>
      </w:pPr>
    </w:p>
    <w:p>
      <w:pPr>
        <w:pStyle w:val="27"/>
        <w:spacing w:line="360" w:lineRule="auto"/>
        <w:ind w:left="0" w:leftChars="0" w:firstLine="0" w:firstLineChars="0"/>
        <w:rPr>
          <w:rFonts w:hint="eastAsia" w:cs="宋体"/>
          <w:color w:val="000000" w:themeColor="text1"/>
          <w:highlight w:val="none"/>
          <w:lang w:eastAsia="zh-CN"/>
          <w14:textFill>
            <w14:solidFill>
              <w14:schemeClr w14:val="tx1"/>
            </w14:solidFill>
          </w14:textFill>
        </w:rPr>
      </w:pPr>
      <w:r>
        <w:rPr>
          <w:rFonts w:hint="eastAsia" w:cs="宋体"/>
          <w:color w:val="000000" w:themeColor="text1"/>
          <w:highlight w:val="none"/>
          <w:lang w:eastAsia="zh-CN"/>
          <w14:textFill>
            <w14:solidFill>
              <w14:schemeClr w14:val="tx1"/>
            </w14:solidFill>
          </w14:textFill>
        </w:rPr>
        <w:t>附件一：机械停车设备维护保养合同</w:t>
      </w:r>
    </w:p>
    <w:p>
      <w:pPr>
        <w:pStyle w:val="27"/>
        <w:spacing w:line="360" w:lineRule="auto"/>
        <w:ind w:left="-420" w:leftChars="-200" w:right="-420" w:rightChars="-200" w:firstLine="480" w:firstLineChars="200"/>
        <w:rPr>
          <w:rFonts w:ascii="宋体" w:hAnsi="宋体" w:cs="宋体"/>
          <w:bCs/>
          <w:color w:val="000000" w:themeColor="text1"/>
          <w:sz w:val="24"/>
          <w:highlight w:val="none"/>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附件二：项目组人员清单</w:t>
      </w:r>
    </w:p>
    <w:p>
      <w:pPr>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br w:type="page"/>
      </w:r>
    </w:p>
    <w:p>
      <w:pPr>
        <w:tabs>
          <w:tab w:val="left" w:pos="2340"/>
        </w:tabs>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机械停车设备维修保养合同</w:t>
      </w:r>
      <w:r>
        <w:rPr>
          <w:rFonts w:ascii="宋体" w:hAnsi="宋体"/>
          <w:color w:val="000000" w:themeColor="text1"/>
          <w:szCs w:val="21"/>
          <w:highlight w:val="none"/>
          <w14:textFill>
            <w14:solidFill>
              <w14:schemeClr w14:val="tx1"/>
            </w14:solidFill>
          </w14:textFill>
        </w:rPr>
        <w:tab/>
      </w:r>
    </w:p>
    <w:p>
      <w:pPr>
        <w:tabs>
          <w:tab w:val="left" w:pos="2340"/>
        </w:tabs>
        <w:snapToGrid w:val="0"/>
        <w:spacing w:line="360" w:lineRule="auto"/>
        <w:rPr>
          <w:rFonts w:hint="eastAsia" w:ascii="宋体" w:hAnsi="宋体" w:eastAsia="宋体"/>
          <w:color w:val="000000" w:themeColor="text1"/>
          <w:szCs w:val="21"/>
          <w:highlight w:val="none"/>
          <w:u w:val="singl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lang w:eastAsia="zh-CN"/>
          <w14:textFill>
            <w14:solidFill>
              <w14:schemeClr w14:val="tx1"/>
            </w14:solidFill>
          </w14:textFill>
        </w:rPr>
        <w:t>采购单位</w:t>
      </w:r>
      <w:r>
        <w:rPr>
          <w:rFonts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p>
    <w:p>
      <w:pPr>
        <w:tabs>
          <w:tab w:val="left" w:pos="2340"/>
        </w:tabs>
        <w:snapToGrid w:val="0"/>
        <w:spacing w:line="360" w:lineRule="auto"/>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乙方（</w:t>
      </w:r>
      <w:r>
        <w:rPr>
          <w:rFonts w:hint="eastAsia" w:ascii="宋体" w:hAnsi="宋体"/>
          <w:color w:val="000000" w:themeColor="text1"/>
          <w:szCs w:val="21"/>
          <w:highlight w:val="none"/>
          <w:lang w:eastAsia="zh-CN"/>
          <w14:textFill>
            <w14:solidFill>
              <w14:schemeClr w14:val="tx1"/>
            </w14:solidFill>
          </w14:textFill>
        </w:rPr>
        <w:t>维保单位</w:t>
      </w:r>
      <w:r>
        <w:rPr>
          <w:rFonts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p>
    <w:p>
      <w:pPr>
        <w:tabs>
          <w:tab w:val="left" w:pos="234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p>
    <w:p>
      <w:pPr>
        <w:tabs>
          <w:tab w:val="left" w:pos="234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项目地址：</w:t>
      </w:r>
    </w:p>
    <w:p>
      <w:pPr>
        <w:tabs>
          <w:tab w:val="left" w:pos="2340"/>
        </w:tabs>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通信地址：</w:t>
      </w:r>
      <w:r>
        <w:rPr>
          <w:rFonts w:hint="eastAsia" w:ascii="宋体" w:hAnsi="宋体"/>
          <w:color w:val="000000" w:themeColor="text1"/>
          <w:szCs w:val="21"/>
          <w:highlight w:val="none"/>
          <w:u w:val="single"/>
          <w14:textFill>
            <w14:solidFill>
              <w14:schemeClr w14:val="tx1"/>
            </w14:solidFill>
          </w14:textFill>
        </w:rPr>
        <w:t xml:space="preserve">杭州市  </w:t>
      </w:r>
      <w:r>
        <w:rPr>
          <w:rFonts w:hint="eastAsia" w:ascii="宋体" w:hAnsi="宋体"/>
          <w:color w:val="000000" w:themeColor="text1"/>
          <w:szCs w:val="21"/>
          <w:highlight w:val="none"/>
          <w14:textFill>
            <w14:solidFill>
              <w14:schemeClr w14:val="tx1"/>
            </w14:solidFill>
          </w14:textFill>
        </w:rPr>
        <w:t xml:space="preserve">                             </w:t>
      </w:r>
    </w:p>
    <w:p>
      <w:pPr>
        <w:tabs>
          <w:tab w:val="left" w:pos="2340"/>
        </w:tabs>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 系 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联系电话：</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手机：</w:t>
      </w:r>
      <w:r>
        <w:rPr>
          <w:rFonts w:hint="eastAsia" w:ascii="宋体" w:hAnsi="宋体"/>
          <w:color w:val="000000" w:themeColor="text1"/>
          <w:szCs w:val="21"/>
          <w:highlight w:val="none"/>
          <w:u w:val="single"/>
          <w14:textFill>
            <w14:solidFill>
              <w14:schemeClr w14:val="tx1"/>
            </w14:solidFill>
          </w14:textFill>
        </w:rPr>
        <w:t xml:space="preserve">                </w:t>
      </w:r>
    </w:p>
    <w:p>
      <w:pPr>
        <w:tabs>
          <w:tab w:val="left" w:pos="2340"/>
        </w:tabs>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休 息 日：</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传    真：</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邮政编码：</w:t>
      </w:r>
      <w:r>
        <w:rPr>
          <w:rFonts w:hint="eastAsia" w:ascii="宋体" w:hAnsi="宋体"/>
          <w:color w:val="000000" w:themeColor="text1"/>
          <w:szCs w:val="21"/>
          <w:highlight w:val="none"/>
          <w:u w:val="single"/>
          <w14:textFill>
            <w14:solidFill>
              <w14:schemeClr w14:val="tx1"/>
            </w14:solidFill>
          </w14:textFill>
        </w:rPr>
        <w:t xml:space="preserve">            </w:t>
      </w:r>
    </w:p>
    <w:p>
      <w:pPr>
        <w:tabs>
          <w:tab w:val="left" w:pos="2340"/>
        </w:tabs>
        <w:snapToGrid w:val="0"/>
        <w:spacing w:line="360" w:lineRule="auto"/>
        <w:rPr>
          <w:rFonts w:ascii="宋体" w:hAns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1、总则</w:t>
      </w:r>
      <w:r>
        <w:rPr>
          <w:rFonts w:hint="eastAsia" w:ascii="宋体" w:hAnsi="宋体"/>
          <w:b/>
          <w:bCs/>
          <w:color w:val="000000" w:themeColor="text1"/>
          <w:szCs w:val="21"/>
          <w:highlight w:val="none"/>
          <w14:textFill>
            <w14:solidFill>
              <w14:schemeClr w14:val="tx1"/>
            </w14:solidFill>
          </w14:textFill>
        </w:rPr>
        <w:t xml:space="preserve"> </w:t>
      </w:r>
    </w:p>
    <w:p>
      <w:pPr>
        <w:tabs>
          <w:tab w:val="left" w:pos="2340"/>
        </w:tabs>
        <w:snapToGrid w:val="0"/>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 服务内容</w:t>
      </w:r>
    </w:p>
    <w:p>
      <w:pPr>
        <w:tabs>
          <w:tab w:val="left" w:pos="2340"/>
        </w:tabs>
        <w:autoSpaceDE w:val="0"/>
        <w:autoSpaceDN w:val="0"/>
        <w:snapToGrid w:val="0"/>
        <w:spacing w:line="360" w:lineRule="auto"/>
        <w:textAlignment w:val="bottom"/>
        <w:rPr>
          <w:rFonts w:ascii="宋体" w:hAnsi="宋体"/>
          <w:color w:val="000000" w:themeColor="text1"/>
          <w:sz w:val="24"/>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1）质保期满</w:t>
      </w:r>
      <w:r>
        <w:rPr>
          <w:rFonts w:hint="eastAsia" w:ascii="宋体" w:hAnsi="宋体"/>
          <w:color w:val="000000" w:themeColor="text1"/>
          <w:sz w:val="24"/>
          <w:highlight w:val="none"/>
          <w:lang w:eastAsia="zh-CN"/>
          <w14:textFill>
            <w14:solidFill>
              <w14:schemeClr w14:val="tx1"/>
            </w14:solidFill>
          </w14:textFill>
        </w:rPr>
        <w:t>有</w:t>
      </w:r>
      <w:r>
        <w:rPr>
          <w:rFonts w:hint="eastAsia" w:ascii="宋体" w:hAnsi="宋体" w:cs="宋体"/>
          <w:bCs/>
          <w:color w:val="000000" w:themeColor="text1"/>
          <w:sz w:val="24"/>
          <w:highlight w:val="none"/>
          <w14:textFill>
            <w14:solidFill>
              <w14:schemeClr w14:val="tx1"/>
            </w14:solidFill>
          </w14:textFill>
        </w:rPr>
        <w:t>偿维保费用</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元/车位/年</w:t>
      </w:r>
      <w:r>
        <w:rPr>
          <w:rFonts w:hint="eastAsia" w:ascii="宋体" w:hAnsi="宋体" w:cs="宋体"/>
          <w:bCs/>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pPr>
        <w:tabs>
          <w:tab w:val="left" w:pos="2340"/>
        </w:tabs>
        <w:snapToGrid w:val="0"/>
        <w:spacing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（2）服务内容：包括每月不少于</w:t>
      </w: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次的例行保养（保养内容见附件），24小时的急修服务，以及每年技术监督部门年检前的整改工作等，并承担易损材料和单价</w:t>
      </w: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00元及以内零部件的更换费用</w:t>
      </w:r>
      <w:r>
        <w:rPr>
          <w:rFonts w:hint="eastAsia" w:ascii="宋体" w:hAnsi="宋体"/>
          <w:color w:val="000000" w:themeColor="text1"/>
          <w:sz w:val="24"/>
          <w:highlight w:val="none"/>
          <w14:textFill>
            <w14:solidFill>
              <w14:schemeClr w14:val="tx1"/>
            </w14:solidFill>
          </w14:textFill>
        </w:rPr>
        <w:t>（人为因素造成的损坏除外）。</w:t>
      </w:r>
    </w:p>
    <w:p>
      <w:pPr>
        <w:tabs>
          <w:tab w:val="left" w:pos="2340"/>
        </w:tabs>
        <w:snapToGrid w:val="0"/>
        <w:spacing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3</w:t>
      </w:r>
      <w:r>
        <w:rPr>
          <w:rFonts w:ascii="宋体" w:hAnsi="宋体"/>
          <w:color w:val="000000" w:themeColor="text1"/>
          <w:sz w:val="24"/>
          <w:highlight w:val="none"/>
          <w14:textFill>
            <w14:solidFill>
              <w14:schemeClr w14:val="tx1"/>
            </w14:solidFill>
          </w14:textFill>
        </w:rPr>
        <w:t>）在维修保养期间内协助甲方通过政府主管部门年检</w:t>
      </w:r>
      <w:r>
        <w:rPr>
          <w:rFonts w:hint="eastAsia" w:ascii="宋体" w:hAnsi="宋体"/>
          <w:color w:val="000000" w:themeColor="text1"/>
          <w:sz w:val="24"/>
          <w:highlight w:val="none"/>
          <w14:textFill>
            <w14:solidFill>
              <w14:schemeClr w14:val="tx1"/>
            </w14:solidFill>
          </w14:textFill>
        </w:rPr>
        <w:t>，年检费用由甲方承担</w:t>
      </w:r>
      <w:r>
        <w:rPr>
          <w:rFonts w:ascii="宋体" w:hAnsi="宋体"/>
          <w:color w:val="000000" w:themeColor="text1"/>
          <w:sz w:val="24"/>
          <w:highlight w:val="none"/>
          <w14:textFill>
            <w14:solidFill>
              <w14:schemeClr w14:val="tx1"/>
            </w14:solidFill>
          </w14:textFill>
        </w:rPr>
        <w:t>。</w:t>
      </w:r>
    </w:p>
    <w:p>
      <w:pPr>
        <w:tabs>
          <w:tab w:val="left" w:pos="2340"/>
        </w:tabs>
        <w:snapToGrid w:val="0"/>
        <w:spacing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1.2质量要求：</w:t>
      </w:r>
    </w:p>
    <w:p>
      <w:pPr>
        <w:tabs>
          <w:tab w:val="left" w:pos="2340"/>
        </w:tabs>
        <w:snapToGrid w:val="0"/>
        <w:spacing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1.3技术规格及价格</w:t>
      </w:r>
    </w:p>
    <w:p>
      <w:pPr>
        <w:pStyle w:val="37"/>
        <w:tabs>
          <w:tab w:val="left" w:pos="2340"/>
        </w:tabs>
        <w:snapToGrid w:val="0"/>
        <w:spacing w:line="360" w:lineRule="auto"/>
        <w:ind w:left="5959" w:leftChars="136" w:hanging="5673" w:hangingChars="2364"/>
        <w:rPr>
          <w:rFonts w:hAnsi="宋体"/>
          <w:color w:val="000000" w:themeColor="text1"/>
          <w:szCs w:val="24"/>
          <w:highlight w:val="none"/>
          <w14:textFill>
            <w14:solidFill>
              <w14:schemeClr w14:val="tx1"/>
            </w14:solidFill>
          </w14:textFill>
        </w:rPr>
      </w:pPr>
      <w:r>
        <w:rPr>
          <w:rFonts w:hint="eastAsia" w:hAnsi="宋体"/>
          <w:color w:val="000000" w:themeColor="text1"/>
          <w:szCs w:val="24"/>
          <w:highlight w:val="none"/>
          <w14:textFill>
            <w14:solidFill>
              <w14:schemeClr w14:val="tx1"/>
            </w14:solidFill>
          </w14:textFill>
        </w:rPr>
        <w:t xml:space="preserve"> </w:t>
      </w:r>
      <w:r>
        <w:rPr>
          <w:rFonts w:hAnsi="宋体"/>
          <w:color w:val="000000" w:themeColor="text1"/>
          <w:szCs w:val="24"/>
          <w:highlight w:val="none"/>
          <w14:textFill>
            <w14:solidFill>
              <w14:schemeClr w14:val="tx1"/>
            </w14:solidFill>
          </w14:textFill>
        </w:rPr>
        <w:t>乙方对安装的下述设备提供维修保养服务：</w:t>
      </w:r>
    </w:p>
    <w:p>
      <w:pPr>
        <w:pStyle w:val="2"/>
        <w:ind w:firstLine="0" w:firstLineChars="0"/>
        <w:jc w:val="center"/>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eastAsia="宋体" w:cs="宋体"/>
          <w:b/>
          <w:color w:val="000000" w:themeColor="text1"/>
          <w:sz w:val="28"/>
          <w:szCs w:val="28"/>
          <w:highlight w:val="none"/>
          <w:lang w:eastAsia="zh-CN"/>
          <w14:textFill>
            <w14:solidFill>
              <w14:schemeClr w14:val="tx1"/>
            </w14:solidFill>
          </w14:textFill>
        </w:rPr>
        <w:t>有偿</w:t>
      </w:r>
      <w:r>
        <w:rPr>
          <w:rFonts w:hint="eastAsia" w:ascii="宋体" w:hAnsi="宋体" w:eastAsia="宋体" w:cs="宋体"/>
          <w:b/>
          <w:color w:val="000000" w:themeColor="text1"/>
          <w:sz w:val="28"/>
          <w:szCs w:val="28"/>
          <w:highlight w:val="none"/>
          <w14:textFill>
            <w14:solidFill>
              <w14:schemeClr w14:val="tx1"/>
            </w14:solidFill>
          </w14:textFill>
        </w:rPr>
        <w:t>维保</w:t>
      </w:r>
      <w:r>
        <w:rPr>
          <w:rFonts w:hint="eastAsia" w:ascii="宋体" w:hAnsi="宋体" w:eastAsia="宋体" w:cs="宋体"/>
          <w:b/>
          <w:color w:val="000000" w:themeColor="text1"/>
          <w:sz w:val="28"/>
          <w:szCs w:val="28"/>
          <w:highlight w:val="none"/>
          <w:lang w:eastAsia="zh-CN"/>
          <w14:textFill>
            <w14:solidFill>
              <w14:schemeClr w14:val="tx1"/>
            </w14:solidFill>
          </w14:textFill>
        </w:rPr>
        <w:t>费价格表</w:t>
      </w:r>
    </w:p>
    <w:p>
      <w:pPr>
        <w:pStyle w:val="2"/>
        <w:ind w:firstLine="0" w:firstLineChars="0"/>
        <w:jc w:val="right"/>
        <w:rPr>
          <w:rFonts w:hint="eastAsia" w:ascii="宋体" w:hAnsi="宋体" w:eastAsia="仿宋_GB2312" w:cs="宋体"/>
          <w:b/>
          <w:color w:val="000000" w:themeColor="text1"/>
          <w:sz w:val="28"/>
          <w:szCs w:val="28"/>
          <w:highlight w:val="none"/>
          <w:lang w:val="en-US" w:eastAsia="zh-CN"/>
          <w14:textFill>
            <w14:solidFill>
              <w14:schemeClr w14:val="tx1"/>
            </w14:solidFill>
          </w14:textFill>
        </w:rPr>
      </w:pPr>
      <w:r>
        <w:rPr>
          <w:rFonts w:hint="eastAsia" w:hAnsi="宋体"/>
          <w:color w:val="000000" w:themeColor="text1"/>
          <w:szCs w:val="24"/>
          <w:highlight w:val="none"/>
          <w:lang w:eastAsia="zh-CN"/>
          <w14:textFill>
            <w14:solidFill>
              <w14:schemeClr w14:val="tx1"/>
            </w14:solidFill>
          </w14:textFill>
        </w:rPr>
        <w:t>单位：人民币</w:t>
      </w:r>
      <w:r>
        <w:rPr>
          <w:rFonts w:hint="eastAsia" w:hAnsi="宋体"/>
          <w:color w:val="000000" w:themeColor="text1"/>
          <w:szCs w:val="24"/>
          <w:highlight w:val="none"/>
          <w:lang w:val="en-US" w:eastAsia="zh-CN"/>
          <w14:textFill>
            <w14:solidFill>
              <w14:schemeClr w14:val="tx1"/>
            </w14:solidFill>
          </w14:textFill>
        </w:rPr>
        <w:t>/</w:t>
      </w:r>
      <w:r>
        <w:rPr>
          <w:rFonts w:hint="eastAsia" w:hAnsi="宋体"/>
          <w:color w:val="000000" w:themeColor="text1"/>
          <w:highlight w:val="none"/>
          <w14:textFill>
            <w14:solidFill>
              <w14:schemeClr w14:val="tx1"/>
            </w14:solidFill>
          </w14:textFill>
        </w:rPr>
        <w:t>元</w:t>
      </w:r>
      <w:r>
        <w:rPr>
          <w:rFonts w:hint="eastAsia" w:hAnsi="宋体"/>
          <w:color w:val="000000" w:themeColor="text1"/>
          <w:highlight w:val="none"/>
          <w:lang w:val="en-US" w:eastAsia="zh-CN"/>
          <w14:textFill>
            <w14:solidFill>
              <w14:schemeClr w14:val="tx1"/>
            </w14:solidFill>
          </w14:textFill>
        </w:rPr>
        <w:t>/年</w:t>
      </w:r>
    </w:p>
    <w:tbl>
      <w:tblPr>
        <w:tblStyle w:val="64"/>
        <w:tblW w:w="909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6"/>
        <w:gridCol w:w="1554"/>
        <w:gridCol w:w="1114"/>
        <w:gridCol w:w="1184"/>
        <w:gridCol w:w="1996"/>
        <w:gridCol w:w="1940"/>
        <w:gridCol w:w="8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68" w:hRule="atLeast"/>
          <w:jc w:val="center"/>
        </w:trPr>
        <w:tc>
          <w:tcPr>
            <w:tcW w:w="426"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序</w:t>
            </w:r>
          </w:p>
          <w:p>
            <w:pPr>
              <w:pStyle w:val="34"/>
              <w:tabs>
                <w:tab w:val="left" w:pos="2340"/>
              </w:tabs>
              <w:snapToGrid w:val="0"/>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号</w:t>
            </w:r>
          </w:p>
        </w:tc>
        <w:tc>
          <w:tcPr>
            <w:tcW w:w="1554" w:type="dxa"/>
            <w:vAlign w:val="center"/>
          </w:tcPr>
          <w:p>
            <w:pPr>
              <w:pStyle w:val="34"/>
              <w:tabs>
                <w:tab w:val="left" w:pos="2340"/>
              </w:tabs>
              <w:snapToGrid w:val="0"/>
              <w:jc w:val="center"/>
              <w:rPr>
                <w:rFonts w:hint="eastAsia" w:hAnsi="宋体" w:eastAsia="宋体"/>
                <w:color w:val="000000" w:themeColor="text1"/>
                <w:highlight w:val="none"/>
                <w:lang w:eastAsia="zh-CN"/>
                <w14:textFill>
                  <w14:solidFill>
                    <w14:schemeClr w14:val="tx1"/>
                  </w14:solidFill>
                </w14:textFill>
              </w:rPr>
            </w:pPr>
            <w:r>
              <w:rPr>
                <w:rFonts w:hint="eastAsia" w:hAnsi="宋体"/>
                <w:color w:val="000000" w:themeColor="text1"/>
                <w:highlight w:val="none"/>
                <w14:textFill>
                  <w14:solidFill>
                    <w14:schemeClr w14:val="tx1"/>
                  </w14:solidFill>
                </w14:textFill>
              </w:rPr>
              <w:t>机械停车设备</w:t>
            </w:r>
            <w:r>
              <w:rPr>
                <w:rFonts w:hint="eastAsia" w:hAnsi="宋体"/>
                <w:color w:val="000000" w:themeColor="text1"/>
                <w:highlight w:val="none"/>
                <w:lang w:eastAsia="zh-CN"/>
                <w14:textFill>
                  <w14:solidFill>
                    <w14:schemeClr w14:val="tx1"/>
                  </w14:solidFill>
                </w14:textFill>
              </w:rPr>
              <w:t>及</w:t>
            </w:r>
            <w:r>
              <w:rPr>
                <w:rFonts w:hAnsi="宋体"/>
                <w:color w:val="000000" w:themeColor="text1"/>
                <w:highlight w:val="none"/>
                <w14:textFill>
                  <w14:solidFill>
                    <w14:schemeClr w14:val="tx1"/>
                  </w14:solidFill>
                </w14:textFill>
              </w:rPr>
              <w:t>型号规格</w:t>
            </w:r>
          </w:p>
        </w:tc>
        <w:tc>
          <w:tcPr>
            <w:tcW w:w="1114"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lang w:eastAsia="zh-CN"/>
                <w14:textFill>
                  <w14:solidFill>
                    <w14:schemeClr w14:val="tx1"/>
                  </w14:solidFill>
                </w14:textFill>
              </w:rPr>
              <w:t>维保</w:t>
            </w:r>
            <w:r>
              <w:rPr>
                <w:rFonts w:hint="eastAsia" w:hAnsi="宋体"/>
                <w:color w:val="000000" w:themeColor="text1"/>
                <w:highlight w:val="none"/>
                <w14:textFill>
                  <w14:solidFill>
                    <w14:schemeClr w14:val="tx1"/>
                  </w14:solidFill>
                </w14:textFill>
              </w:rPr>
              <w:t>服务内容</w:t>
            </w:r>
          </w:p>
        </w:tc>
        <w:tc>
          <w:tcPr>
            <w:tcW w:w="1184"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数量</w:t>
            </w:r>
          </w:p>
        </w:tc>
        <w:tc>
          <w:tcPr>
            <w:tcW w:w="1996" w:type="dxa"/>
            <w:tcBorders>
              <w:right w:val="single" w:color="auto" w:sz="4" w:space="0"/>
            </w:tcBorders>
            <w:vAlign w:val="center"/>
          </w:tcPr>
          <w:p>
            <w:pPr>
              <w:pStyle w:val="34"/>
              <w:tabs>
                <w:tab w:val="left" w:pos="2340"/>
              </w:tabs>
              <w:snapToGrid w:val="0"/>
              <w:ind w:right="-105"/>
              <w:jc w:val="center"/>
              <w:rPr>
                <w:rFonts w:hint="default" w:hAnsi="宋体" w:eastAsia="宋体"/>
                <w:color w:val="000000" w:themeColor="text1"/>
                <w:highlight w:val="none"/>
                <w:lang w:val="en-US" w:eastAsia="zh-CN"/>
                <w14:textFill>
                  <w14:solidFill>
                    <w14:schemeClr w14:val="tx1"/>
                  </w14:solidFill>
                </w14:textFill>
              </w:rPr>
            </w:pPr>
            <w:r>
              <w:rPr>
                <w:rFonts w:hint="eastAsia" w:hAnsi="宋体"/>
                <w:color w:val="000000" w:themeColor="text1"/>
                <w:highlight w:val="none"/>
                <w14:textFill>
                  <w14:solidFill>
                    <w14:schemeClr w14:val="tx1"/>
                  </w14:solidFill>
                </w14:textFill>
              </w:rPr>
              <w:t>综合</w:t>
            </w:r>
            <w:r>
              <w:rPr>
                <w:rFonts w:hAnsi="宋体"/>
                <w:color w:val="000000" w:themeColor="text1"/>
                <w:highlight w:val="none"/>
                <w14:textFill>
                  <w14:solidFill>
                    <w14:schemeClr w14:val="tx1"/>
                  </w14:solidFill>
                </w14:textFill>
              </w:rPr>
              <w:t>单价</w:t>
            </w:r>
            <w:r>
              <w:rPr>
                <w:rFonts w:hint="eastAsia" w:hAnsi="宋体"/>
                <w:color w:val="000000" w:themeColor="text1"/>
                <w:highlight w:val="none"/>
                <w:lang w:val="en-US" w:eastAsia="zh-CN"/>
                <w14:textFill>
                  <w14:solidFill>
                    <w14:schemeClr w14:val="tx1"/>
                  </w14:solidFill>
                </w14:textFill>
              </w:rPr>
              <w:t>/位/年</w:t>
            </w:r>
          </w:p>
        </w:tc>
        <w:tc>
          <w:tcPr>
            <w:tcW w:w="1940" w:type="dxa"/>
            <w:tcBorders>
              <w:left w:val="single" w:color="auto" w:sz="4" w:space="0"/>
            </w:tcBorders>
            <w:vAlign w:val="center"/>
          </w:tcPr>
          <w:p>
            <w:pPr>
              <w:pStyle w:val="34"/>
              <w:tabs>
                <w:tab w:val="left" w:pos="2340"/>
              </w:tabs>
              <w:snapToGrid w:val="0"/>
              <w:ind w:right="-105"/>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小计</w:t>
            </w:r>
          </w:p>
        </w:tc>
        <w:tc>
          <w:tcPr>
            <w:tcW w:w="881" w:type="dxa"/>
            <w:tcBorders>
              <w:left w:val="single" w:color="auto" w:sz="4" w:space="0"/>
            </w:tcBorders>
            <w:vAlign w:val="center"/>
          </w:tcPr>
          <w:p>
            <w:pPr>
              <w:pStyle w:val="34"/>
              <w:tabs>
                <w:tab w:val="left" w:pos="2340"/>
              </w:tabs>
              <w:snapToGrid w:val="0"/>
              <w:ind w:right="-105"/>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6"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w:t>
            </w:r>
          </w:p>
        </w:tc>
        <w:tc>
          <w:tcPr>
            <w:tcW w:w="1554" w:type="dxa"/>
            <w:vAlign w:val="center"/>
          </w:tcPr>
          <w:p>
            <w:pPr>
              <w:widowControl/>
              <w:tabs>
                <w:tab w:val="left" w:pos="2340"/>
              </w:tabs>
              <w:jc w:val="center"/>
              <w:rPr>
                <w:rFonts w:ascii="宋体" w:hAnsi="宋体" w:cs="宋体"/>
                <w:color w:val="000000" w:themeColor="text1"/>
                <w:kern w:val="0"/>
                <w:szCs w:val="21"/>
                <w:highlight w:val="none"/>
                <w14:textFill>
                  <w14:solidFill>
                    <w14:schemeClr w14:val="tx1"/>
                  </w14:solidFill>
                </w14:textFill>
              </w:rPr>
            </w:pPr>
          </w:p>
        </w:tc>
        <w:tc>
          <w:tcPr>
            <w:tcW w:w="1114" w:type="dxa"/>
            <w:vAlign w:val="center"/>
          </w:tcPr>
          <w:p>
            <w:pPr>
              <w:widowControl/>
              <w:tabs>
                <w:tab w:val="left" w:pos="2340"/>
              </w:tabs>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w:t>
            </w:r>
          </w:p>
        </w:tc>
        <w:tc>
          <w:tcPr>
            <w:tcW w:w="1184" w:type="dxa"/>
            <w:vAlign w:val="center"/>
          </w:tcPr>
          <w:p>
            <w:pPr>
              <w:widowControl/>
              <w:tabs>
                <w:tab w:val="left" w:pos="2340"/>
              </w:tabs>
              <w:jc w:val="center"/>
              <w:rPr>
                <w:rFonts w:ascii="宋体" w:hAnsi="宋体" w:cs="宋体"/>
                <w:color w:val="000000" w:themeColor="text1"/>
                <w:kern w:val="0"/>
                <w:szCs w:val="21"/>
                <w:highlight w:val="none"/>
                <w14:textFill>
                  <w14:solidFill>
                    <w14:schemeClr w14:val="tx1"/>
                  </w14:solidFill>
                </w14:textFill>
              </w:rPr>
            </w:pPr>
          </w:p>
        </w:tc>
        <w:tc>
          <w:tcPr>
            <w:tcW w:w="1996"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p>
        </w:tc>
        <w:tc>
          <w:tcPr>
            <w:tcW w:w="1940"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p>
        </w:tc>
        <w:tc>
          <w:tcPr>
            <w:tcW w:w="881"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6"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w:t>
            </w:r>
          </w:p>
        </w:tc>
        <w:tc>
          <w:tcPr>
            <w:tcW w:w="1554" w:type="dxa"/>
            <w:vAlign w:val="center"/>
          </w:tcPr>
          <w:p>
            <w:pPr>
              <w:widowControl/>
              <w:tabs>
                <w:tab w:val="left" w:pos="2340"/>
              </w:tabs>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w:t>
            </w:r>
          </w:p>
        </w:tc>
        <w:tc>
          <w:tcPr>
            <w:tcW w:w="1114" w:type="dxa"/>
            <w:vAlign w:val="center"/>
          </w:tcPr>
          <w:p>
            <w:pPr>
              <w:widowControl/>
              <w:tabs>
                <w:tab w:val="left" w:pos="2340"/>
              </w:tabs>
              <w:jc w:val="center"/>
              <w:rPr>
                <w:rFonts w:ascii="宋体" w:hAnsi="宋体" w:cs="宋体"/>
                <w:color w:val="000000" w:themeColor="text1"/>
                <w:kern w:val="0"/>
                <w:szCs w:val="21"/>
                <w:highlight w:val="none"/>
                <w14:textFill>
                  <w14:solidFill>
                    <w14:schemeClr w14:val="tx1"/>
                  </w14:solidFill>
                </w14:textFill>
              </w:rPr>
            </w:pPr>
          </w:p>
        </w:tc>
        <w:tc>
          <w:tcPr>
            <w:tcW w:w="1184" w:type="dxa"/>
            <w:vAlign w:val="center"/>
          </w:tcPr>
          <w:p>
            <w:pPr>
              <w:widowControl/>
              <w:tabs>
                <w:tab w:val="left" w:pos="2340"/>
              </w:tabs>
              <w:jc w:val="center"/>
              <w:rPr>
                <w:rFonts w:ascii="宋体" w:hAnsi="宋体" w:cs="宋体"/>
                <w:color w:val="000000" w:themeColor="text1"/>
                <w:kern w:val="0"/>
                <w:szCs w:val="21"/>
                <w:highlight w:val="none"/>
                <w14:textFill>
                  <w14:solidFill>
                    <w14:schemeClr w14:val="tx1"/>
                  </w14:solidFill>
                </w14:textFill>
              </w:rPr>
            </w:pPr>
          </w:p>
        </w:tc>
        <w:tc>
          <w:tcPr>
            <w:tcW w:w="1996"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p>
        </w:tc>
        <w:tc>
          <w:tcPr>
            <w:tcW w:w="1940"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p>
        </w:tc>
        <w:tc>
          <w:tcPr>
            <w:tcW w:w="881"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274" w:type="dxa"/>
            <w:gridSpan w:val="5"/>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合计（含税）元/车位/年</w:t>
            </w:r>
          </w:p>
        </w:tc>
        <w:tc>
          <w:tcPr>
            <w:tcW w:w="1940"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p>
        </w:tc>
        <w:tc>
          <w:tcPr>
            <w:tcW w:w="881"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4" w:hRule="atLeast"/>
          <w:jc w:val="center"/>
        </w:trPr>
        <w:tc>
          <w:tcPr>
            <w:tcW w:w="8214" w:type="dxa"/>
            <w:gridSpan w:val="6"/>
            <w:vAlign w:val="center"/>
          </w:tcPr>
          <w:p>
            <w:pPr>
              <w:pStyle w:val="34"/>
              <w:tabs>
                <w:tab w:val="left" w:pos="2340"/>
              </w:tabs>
              <w:snapToGrid w:val="0"/>
              <w:jc w:val="left"/>
              <w:rPr>
                <w:rFonts w:hAnsi="宋体"/>
                <w:color w:val="000000" w:themeColor="text1"/>
                <w:highlight w:val="none"/>
                <w14:textFill>
                  <w14:solidFill>
                    <w14:schemeClr w14:val="tx1"/>
                  </w14:solidFill>
                </w14:textFill>
              </w:rPr>
            </w:pPr>
          </w:p>
        </w:tc>
        <w:tc>
          <w:tcPr>
            <w:tcW w:w="881" w:type="dxa"/>
            <w:vAlign w:val="center"/>
          </w:tcPr>
          <w:p>
            <w:pPr>
              <w:pStyle w:val="34"/>
              <w:tabs>
                <w:tab w:val="left" w:pos="2340"/>
              </w:tabs>
              <w:snapToGrid w:val="0"/>
              <w:jc w:val="left"/>
              <w:rPr>
                <w:rFonts w:hAnsi="宋体"/>
                <w:color w:val="000000" w:themeColor="text1"/>
                <w:sz w:val="24"/>
                <w:szCs w:val="24"/>
                <w:highlight w:val="none"/>
                <w14:textFill>
                  <w14:solidFill>
                    <w14:schemeClr w14:val="tx1"/>
                  </w14:solidFill>
                </w14:textFill>
              </w:rPr>
            </w:pPr>
          </w:p>
        </w:tc>
      </w:tr>
    </w:tbl>
    <w:p>
      <w:pPr>
        <w:jc w:val="right"/>
        <w:rPr>
          <w:rFonts w:hint="eastAsia" w:hAnsi="Times New Roman"/>
          <w:color w:val="000000" w:themeColor="text1"/>
          <w:szCs w:val="24"/>
          <w:highlight w:val="none"/>
          <w14:textFill>
            <w14:solidFill>
              <w14:schemeClr w14:val="tx1"/>
            </w14:solidFill>
          </w14:textFill>
        </w:rPr>
      </w:pPr>
    </w:p>
    <w:p>
      <w:pP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备注：本维保费综合单价</w:t>
      </w:r>
      <w:r>
        <w:rPr>
          <w:rFonts w:hint="eastAsia"/>
          <w:color w:val="000000" w:themeColor="text1"/>
          <w:highlight w:val="none"/>
          <w:lang w:val="en-US" w:eastAsia="zh-CN"/>
          <w14:textFill>
            <w14:solidFill>
              <w14:schemeClr w14:val="tx1"/>
            </w14:solidFill>
          </w14:textFill>
        </w:rPr>
        <w:t>3年内有效期，有效期以外的综合单价重新议价 ；</w:t>
      </w:r>
    </w:p>
    <w:p>
      <w:pPr>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br w:type="page"/>
      </w:r>
    </w:p>
    <w:p>
      <w:pPr>
        <w:spacing w:line="360" w:lineRule="auto"/>
        <w:ind w:left="-420" w:leftChars="-200" w:right="-420" w:rightChars="-200" w:firstLine="723" w:firstLineChars="200"/>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400"/>
      <w:r>
        <w:rPr>
          <w:rFonts w:hint="eastAsia" w:ascii="宋体" w:hAnsi="宋体" w:cs="宋体"/>
          <w:b/>
          <w:color w:val="000000" w:themeColor="text1"/>
          <w:sz w:val="36"/>
          <w:szCs w:val="20"/>
          <w:highlight w:val="none"/>
          <w14:textFill>
            <w14:solidFill>
              <w14:schemeClr w14:val="tx1"/>
            </w14:solidFill>
          </w14:textFill>
        </w:rPr>
        <w:t xml:space="preserve"> </w:t>
      </w:r>
      <w:bookmarkEnd w:id="401"/>
      <w:r>
        <w:rPr>
          <w:rFonts w:hint="eastAsia" w:ascii="宋体" w:hAnsi="宋体" w:cs="宋体"/>
          <w:b/>
          <w:color w:val="000000" w:themeColor="text1"/>
          <w:sz w:val="36"/>
          <w:szCs w:val="20"/>
          <w:highlight w:val="none"/>
          <w14:textFill>
            <w14:solidFill>
              <w14:schemeClr w14:val="tx1"/>
            </w14:solidFill>
          </w14:textFill>
        </w:rPr>
        <w:t>应提交的有关格式范例</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（2）落实政府采购政策需满足的资格要求………………………………（页码）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（3）本项目的特定资格要求………………………………………………（页码）</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杭州西湖风景名胜区建设管理中心</w:t>
      </w:r>
      <w:r>
        <w:rPr>
          <w:rFonts w:hint="eastAsia" w:ascii="宋体" w:hAnsi="宋体" w:cs="宋体"/>
          <w:color w:val="000000" w:themeColor="text1"/>
          <w:sz w:val="24"/>
          <w:highlight w:val="none"/>
          <w14:textFill>
            <w14:solidFill>
              <w14:schemeClr w14:val="tx1"/>
            </w14:solidFill>
          </w14:textFill>
        </w:rPr>
        <w:t>、浙江泛亚工程咨询有限公司：</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w:t>
      </w:r>
      <w:r>
        <w:rPr>
          <w:rFonts w:hint="eastAsia" w:ascii="宋体" w:hAnsi="宋体" w:cs="宋体"/>
          <w:color w:val="000000" w:themeColor="text1"/>
          <w:sz w:val="24"/>
          <w:highlight w:val="none"/>
          <w:lang w:eastAsia="zh-CN"/>
          <w14:textFill>
            <w14:solidFill>
              <w14:schemeClr w14:val="tx1"/>
            </w14:solidFill>
          </w14:textFill>
        </w:rPr>
        <w:t>杭州城西休闲公园地下停车库及配套服务用房--机械车位项目</w:t>
      </w: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LFF-202211-138</w:t>
      </w:r>
      <w:r>
        <w:rPr>
          <w:rFonts w:hint="eastAsia" w:ascii="宋体" w:hAnsi="宋体" w:cs="宋体"/>
          <w:color w:val="000000" w:themeColor="text1"/>
          <w:sz w:val="24"/>
          <w:highlight w:val="none"/>
          <w14:textFill>
            <w14:solidFill>
              <w14:schemeClr w14:val="tx1"/>
            </w14:solidFill>
          </w14:textFill>
        </w:rPr>
        <w:t>】政府采购活动，郑重承诺：</w:t>
      </w:r>
    </w:p>
    <w:p>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供应商名称(电子签名)：</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二、落实政府采购政策需满足的资格要求</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 xml:space="preserve">.专门面向中小企业，者服务全部由符合政策要求的中小企业（或小微企业）承接的，提供相应的中小企业声明函（附件5）。 </w:t>
      </w:r>
    </w:p>
    <w:p>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三、本项目的特定资格要求</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pPr>
        <w:rPr>
          <w:rFonts w:ascii="宋体" w:hAnsi="宋体" w:cs="宋体"/>
          <w:color w:val="000000" w:themeColor="text1"/>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pPr>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br w:type="page"/>
      </w: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pPr>
        <w:spacing w:line="360" w:lineRule="auto"/>
        <w:jc w:val="center"/>
        <w:outlineLvl w:val="0"/>
        <w:rPr>
          <w:rFonts w:ascii="宋体" w:hAnsi="宋体" w:cs="宋体"/>
          <w:b/>
          <w:color w:val="000000" w:themeColor="text1"/>
          <w:kern w:val="0"/>
          <w:sz w:val="24"/>
          <w:highlight w:val="none"/>
          <w14:textFill>
            <w14:solidFill>
              <w14:schemeClr w14:val="tx1"/>
            </w14:solidFill>
          </w14:textFill>
        </w:rPr>
      </w:pPr>
    </w:p>
    <w:p>
      <w:pPr>
        <w:spacing w:line="360" w:lineRule="auto"/>
        <w:jc w:val="center"/>
        <w:outlineLvl w:val="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pPr>
        <w:snapToGrid w:val="0"/>
        <w:spacing w:line="360" w:lineRule="auto"/>
        <w:ind w:left="479" w:leftChars="22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（1）投标函………………………………………………………………………（页码）</w:t>
      </w:r>
    </w:p>
    <w:p>
      <w:pPr>
        <w:snapToGrid w:val="0"/>
        <w:spacing w:line="360" w:lineRule="auto"/>
        <w:ind w:left="479" w:leftChars="22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（2）授权委托书或法定代表人（单位负责人、自然人本人）身份证明……（页码）</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）符合性审查资料……………………………………………………………（页码）</w:t>
      </w:r>
    </w:p>
    <w:p>
      <w:pPr>
        <w:snapToGrid w:val="0"/>
        <w:spacing w:line="360" w:lineRule="auto"/>
        <w:ind w:left="479" w:leftChars="22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）评标标准相应的商务技术资料……………………………………………（页码）</w:t>
      </w:r>
    </w:p>
    <w:p>
      <w:pPr>
        <w:snapToGrid w:val="0"/>
        <w:spacing w:line="360" w:lineRule="auto"/>
        <w:ind w:left="479" w:leftChars="22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）投标标的清单………………………………………………………………（页码）</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（6）专门面向中小企业采购产品标的清单；…………………………………（页码）</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（7）商务技术偏离表……………………………………………………………（页码）</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（8）政府采购供应商廉洁自律承诺书…………………………………………（页码）</w:t>
      </w: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杭州西湖风景名胜区建设管理中心</w:t>
      </w:r>
      <w:r>
        <w:rPr>
          <w:rFonts w:hint="eastAsia" w:ascii="宋体" w:hAnsi="宋体" w:cs="宋体"/>
          <w:color w:val="000000" w:themeColor="text1"/>
          <w:sz w:val="24"/>
          <w:highlight w:val="none"/>
          <w14:textFill>
            <w14:solidFill>
              <w14:schemeClr w14:val="tx1"/>
            </w14:solidFill>
          </w14:textFill>
        </w:rPr>
        <w:t>、浙江泛亚工程咨询有限公司：</w:t>
      </w:r>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w:t>
      </w:r>
      <w:r>
        <w:rPr>
          <w:rFonts w:hint="eastAsia" w:ascii="宋体" w:hAnsi="宋体" w:cs="宋体"/>
          <w:color w:val="000000" w:themeColor="text1"/>
          <w:sz w:val="24"/>
          <w:highlight w:val="none"/>
          <w:lang w:eastAsia="zh-CN"/>
          <w14:textFill>
            <w14:solidFill>
              <w14:schemeClr w14:val="tx1"/>
            </w14:solidFill>
          </w14:textFill>
        </w:rPr>
        <w:t>杭州城西休闲公园地下停车库及配套服务用房--机械车位项目</w:t>
      </w:r>
      <w:r>
        <w:rPr>
          <w:rFonts w:hint="eastAsia" w:ascii="宋体" w:hAnsi="宋体" w:cs="宋体"/>
          <w:color w:val="000000" w:themeColor="text1"/>
          <w:sz w:val="24"/>
          <w:highlight w:val="none"/>
          <w14:textFill>
            <w14:solidFill>
              <w14:schemeClr w14:val="tx1"/>
            </w14:solidFill>
          </w14:textFill>
        </w:rPr>
        <w:t>【编</w:t>
      </w:r>
      <w:r>
        <w:rPr>
          <w:rFonts w:hint="eastAsia" w:ascii="宋体" w:hAnsi="宋体" w:cs="宋体"/>
          <w:color w:val="000000" w:themeColor="text1"/>
          <w:sz w:val="24"/>
          <w:highlight w:val="none"/>
          <w:lang w:eastAsia="zh-CN"/>
          <w14:textFill>
            <w14:solidFill>
              <w14:schemeClr w14:val="tx1"/>
            </w14:solidFill>
          </w14:textFill>
        </w:rPr>
        <w:t>号</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LFF-202211-138</w:t>
      </w:r>
      <w:r>
        <w:rPr>
          <w:rFonts w:hint="eastAsia" w:ascii="宋体" w:hAnsi="宋体" w:cs="宋体"/>
          <w:color w:val="000000" w:themeColor="text1"/>
          <w:sz w:val="24"/>
          <w:highlight w:val="none"/>
          <w14:textFill>
            <w14:solidFill>
              <w14:schemeClr w14:val="tx1"/>
            </w14:solidFill>
          </w14:textFill>
        </w:rPr>
        <w:t>】招标的有关活动，并对此项目进行投标。为此：</w:t>
      </w:r>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1、我方承诺投标有效期从提交采购文件的截止之日起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90</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本采购文件在投标有效期满之前均具有约束力。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2、我方的采购文件包括以下内容：</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2.1.2落实政府采购政策需满足的资格要求（如果有）；</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2.1.3本项目的特定资格要求（如果有）。</w:t>
      </w:r>
    </w:p>
    <w:p>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2.2.3符合性审查资料；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2.2.4评标标准相应的商务技术资料；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2.2.5商务技术偏离表；</w:t>
      </w:r>
    </w:p>
    <w:p>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2.3.2中小企业声明函。</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3、我方承诺除商务技术偏离表列出的偏离外，我方响应采购文件的全部要求。</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pPr>
        <w:snapToGrid w:val="0"/>
        <w:spacing w:line="360" w:lineRule="auto"/>
        <w:ind w:left="210" w:leftChars="100"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4.3按照采购文件要求提交履约保证金；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3600" w:firstLineChars="1500"/>
        <w:rPr>
          <w:rFonts w:ascii="宋体" w:hAnsi="宋体" w:cs="宋体"/>
          <w:color w:val="000000" w:themeColor="text1"/>
          <w:sz w:val="24"/>
          <w:highlight w:val="none"/>
          <w14:textFill>
            <w14:solidFill>
              <w14:schemeClr w14:val="tx1"/>
            </w14:solidFill>
          </w14:textFill>
        </w:rPr>
      </w:pPr>
    </w:p>
    <w:p>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供应商名称（电子签名）：                          </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杭州西湖风景名胜区建设管理中心</w:t>
      </w:r>
      <w:r>
        <w:rPr>
          <w:rFonts w:hint="eastAsia" w:ascii="宋体" w:hAnsi="宋体" w:cs="宋体"/>
          <w:color w:val="000000" w:themeColor="text1"/>
          <w:sz w:val="24"/>
          <w:highlight w:val="none"/>
          <w14:textFill>
            <w14:solidFill>
              <w14:schemeClr w14:val="tx1"/>
            </w14:solidFill>
          </w14:textFill>
        </w:rPr>
        <w:t>、浙江泛亚工程咨询有限公司</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杭州城西休闲公园地下停车库及配套服务用房--机械车位项目</w:t>
      </w: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LFF-202211-138</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w:t>
      </w:r>
    </w:p>
    <w:p>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ascii="宋体" w:hAnsi="宋体" w:cs="宋体"/>
          <w:color w:val="000000" w:themeColor="text1"/>
          <w:sz w:val="24"/>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p>
    <w:p>
      <w:pP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br w:type="page"/>
      </w:r>
    </w:p>
    <w:p>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的身份证明（适用于法定代表人、单位负责人或者自然人本人代表供应商参加投标）</w:t>
      </w:r>
    </w:p>
    <w:p>
      <w:pPr>
        <w:pStyle w:val="15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pPr>
              <w:pStyle w:val="150"/>
              <w:adjustRightInd w:val="0"/>
              <w:spacing w:line="360" w:lineRule="auto"/>
              <w:rPr>
                <w:rFonts w:hAnsi="宋体" w:cs="宋体"/>
                <w:bCs/>
                <w:color w:val="000000" w:themeColor="text1"/>
                <w:sz w:val="24"/>
                <w:highlight w:val="none"/>
                <w14:textFill>
                  <w14:solidFill>
                    <w14:schemeClr w14:val="tx1"/>
                  </w14:solidFill>
                </w14:textFill>
              </w:rPr>
            </w:pPr>
          </w:p>
        </w:tc>
      </w:tr>
    </w:tbl>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                              </w:t>
      </w:r>
    </w:p>
    <w:p>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rPr>
          <w:rFonts w:ascii="宋体" w:hAnsi="宋体" w:cs="宋体"/>
          <w:color w:val="000000" w:themeColor="text1"/>
          <w:kern w:val="0"/>
          <w:sz w:val="24"/>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三、符合性审查资料</w:t>
      </w:r>
    </w:p>
    <w:p>
      <w:pPr>
        <w:jc w:val="center"/>
        <w:rPr>
          <w:rFonts w:ascii="宋体" w:hAnsi="宋体" w:cs="宋体"/>
          <w:b/>
          <w:color w:val="000000" w:themeColor="text1"/>
          <w:kern w:val="0"/>
          <w:sz w:val="32"/>
          <w:szCs w:val="32"/>
          <w:highlight w:val="none"/>
          <w14:textFill>
            <w14:solidFill>
              <w14:schemeClr w14:val="tx1"/>
            </w14:solidFill>
          </w14:textFill>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要求签署、盖章。</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采购人拟采购的产品属于政府强制采购的节能产品品目清单范围的，</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按</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要求提供国家确定的认证机构出具的、处于有效期之内的节能产品认证证书。</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本项目拟采购的部分产品属于政府强制采购的节能产品品目清单范围的，提供国家确定的认证机构出具的、处于有效期之内的节能产品认证证书。</w:t>
            </w:r>
          </w:p>
        </w:tc>
        <w:tc>
          <w:tcPr>
            <w:tcW w:w="1418" w:type="dxa"/>
          </w:tcPr>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pPr>
              <w:pStyle w:val="5"/>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第 </w:t>
            </w:r>
            <w:r>
              <w:rPr>
                <w:rFonts w:ascii="宋体" w:hAnsi="宋体" w:eastAsia="宋体" w:cs="宋体"/>
                <w:b w:val="0"/>
                <w:bCs w:val="0"/>
                <w:color w:val="000000" w:themeColor="text1"/>
                <w:sz w:val="24"/>
                <w:szCs w:val="24"/>
                <w:highlight w:val="non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中载明的投标有效期。</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499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的其它实质性要求。</w:t>
            </w:r>
          </w:p>
        </w:tc>
        <w:tc>
          <w:tcPr>
            <w:tcW w:w="2551" w:type="dxa"/>
            <w:vAlign w:val="center"/>
          </w:tcPr>
          <w:p>
            <w:p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采购文件</w:t>
            </w:r>
            <w:r>
              <w:rPr>
                <w:rFonts w:hint="eastAsia" w:ascii="宋体" w:hAnsi="宋体" w:cs="宋体"/>
                <w:color w:val="000000" w:themeColor="text1"/>
                <w:kern w:val="0"/>
                <w:sz w:val="24"/>
                <w:highlight w:val="none"/>
                <w14:textFill>
                  <w14:solidFill>
                    <w14:schemeClr w14:val="tx1"/>
                  </w14:solidFill>
                </w14:textFill>
              </w:rPr>
              <w:t>其它实质性要求相应的材料（“▲” 系指实质性要求条款）。</w:t>
            </w:r>
          </w:p>
          <w:p>
            <w:p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要求根据</w:t>
            </w:r>
            <w:r>
              <w:rPr>
                <w:rFonts w:hint="eastAsia" w:ascii="宋体" w:hAnsi="宋体" w:cs="宋体"/>
                <w:color w:val="000000" w:themeColor="text1"/>
                <w:kern w:val="0"/>
                <w:sz w:val="24"/>
                <w:highlight w:val="none"/>
                <w:lang w:eastAsia="zh-CN"/>
                <w14:textFill>
                  <w14:solidFill>
                    <w14:schemeClr w14:val="tx1"/>
                  </w14:solidFill>
                </w14:textFill>
              </w:rPr>
              <w:t>采购文件</w:t>
            </w:r>
            <w:r>
              <w:rPr>
                <w:rFonts w:hint="eastAsia" w:ascii="宋体" w:hAnsi="宋体" w:cs="宋体"/>
                <w:color w:val="000000" w:themeColor="text1"/>
                <w:kern w:val="0"/>
                <w:sz w:val="24"/>
                <w:highlight w:val="none"/>
                <w14:textFill>
                  <w14:solidFill>
                    <w14:schemeClr w14:val="tx1"/>
                  </w14:solidFill>
                </w14:textFill>
              </w:rPr>
              <w:t>及技术规格书中的实质性要求条款逐条响应。</w:t>
            </w:r>
          </w:p>
          <w:p>
            <w:pPr>
              <w:pStyle w:val="17"/>
              <w:ind w:firstLine="0"/>
              <w:rPr>
                <w:color w:val="000000" w:themeColor="text1"/>
                <w:highlight w:val="none"/>
                <w14:textFill>
                  <w14:solidFill>
                    <w14:schemeClr w14:val="tx1"/>
                  </w14:solidFill>
                </w14:textFill>
              </w:rPr>
            </w:pPr>
            <w:r>
              <w:rPr>
                <w:rFonts w:hint="eastAsia" w:hAnsi="宋体" w:cs="宋体"/>
                <w:color w:val="000000" w:themeColor="text1"/>
                <w:kern w:val="0"/>
                <w:sz w:val="24"/>
                <w:szCs w:val="24"/>
                <w:highlight w:val="none"/>
                <w14:textFill>
                  <w14:solidFill>
                    <w14:schemeClr w14:val="tx1"/>
                  </w14:solidFill>
                </w14:textFill>
              </w:rPr>
              <w:t>由于相关条款较多，请提供“实质性要求条款响应表”。</w:t>
            </w:r>
          </w:p>
        </w:tc>
        <w:tc>
          <w:tcPr>
            <w:tcW w:w="1418" w:type="dxa"/>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bl>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附：实质性要求条款响应表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采购文件</w:t>
            </w:r>
            <w:r>
              <w:rPr>
                <w:rFonts w:hint="eastAsia" w:ascii="宋体" w:hAnsi="宋体" w:cs="宋体"/>
                <w:b/>
                <w:bCs/>
                <w:color w:val="000000" w:themeColor="text1"/>
                <w:sz w:val="24"/>
                <w:highlight w:val="none"/>
                <w14:textFill>
                  <w14:solidFill>
                    <w14:schemeClr w14:val="tx1"/>
                  </w14:solidFill>
                </w14:textFill>
              </w:rPr>
              <w:t>章节及具体内容</w:t>
            </w:r>
          </w:p>
        </w:tc>
        <w:tc>
          <w:tcPr>
            <w:tcW w:w="3546"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bl>
    <w:p>
      <w:pPr>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w:t>
      </w:r>
      <w:r>
        <w:rPr>
          <w:rFonts w:hint="eastAsia" w:ascii="宋体" w:hAnsi="宋体" w:cs="宋体"/>
          <w:b/>
          <w:bCs/>
          <w:color w:val="000000" w:themeColor="text1"/>
          <w:sz w:val="24"/>
          <w:highlight w:val="none"/>
          <w:lang w:eastAsia="zh-CN"/>
          <w14:textFill>
            <w14:solidFill>
              <w14:schemeClr w14:val="tx1"/>
            </w14:solidFill>
          </w14:textFill>
        </w:rPr>
        <w:t>采购文件</w:t>
      </w:r>
      <w:r>
        <w:rPr>
          <w:rFonts w:hint="eastAsia" w:ascii="宋体" w:hAnsi="宋体" w:cs="宋体"/>
          <w:b/>
          <w:bCs/>
          <w:color w:val="000000" w:themeColor="text1"/>
          <w:sz w:val="24"/>
          <w:highlight w:val="none"/>
          <w14:textFill>
            <w14:solidFill>
              <w14:schemeClr w14:val="tx1"/>
            </w14:solidFill>
          </w14:textFill>
        </w:rPr>
        <w:t>中的实质性要求条款需要提供相关材料的，表后应附材料，否则视为未响应实质性要求条款。</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四、评标标准相应的商务技术资料</w:t>
      </w:r>
    </w:p>
    <w:p>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w:t>
      </w:r>
      <w:r>
        <w:rPr>
          <w:rFonts w:hint="eastAsia" w:ascii="宋体" w:hAnsi="宋体" w:cs="宋体"/>
          <w:b/>
          <w:color w:val="000000" w:themeColor="text1"/>
          <w:sz w:val="24"/>
          <w:highlight w:val="none"/>
          <w:lang w:eastAsia="zh-CN"/>
          <w14:textFill>
            <w14:solidFill>
              <w14:schemeClr w14:val="tx1"/>
            </w14:solidFill>
          </w14:textFill>
        </w:rPr>
        <w:t>采购文件</w:t>
      </w:r>
      <w:r>
        <w:rPr>
          <w:rFonts w:hint="eastAsia" w:ascii="宋体" w:hAnsi="宋体" w:cs="宋体"/>
          <w:b/>
          <w:color w:val="000000" w:themeColor="text1"/>
          <w:sz w:val="24"/>
          <w:highlight w:val="none"/>
          <w14:textFill>
            <w14:solidFill>
              <w14:schemeClr w14:val="tx1"/>
            </w14:solidFill>
          </w14:textFill>
        </w:rPr>
        <w:t>第四部分评标办法前附表中“投标文件中评标标准相应的商务技术资料目录”提供资料。）</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rPr>
          <w:rFonts w:ascii="宋体" w:hAnsi="宋体" w:cs="宋体"/>
          <w:b/>
          <w:color w:val="000000" w:themeColor="text1"/>
          <w:kern w:val="0"/>
          <w:sz w:val="32"/>
          <w:szCs w:val="32"/>
          <w:highlight w:val="none"/>
          <w14:textFill>
            <w14:solidFill>
              <w14:schemeClr w14:val="tx1"/>
            </w14:solidFill>
          </w14:textFill>
        </w:rPr>
      </w:pPr>
    </w:p>
    <w:p>
      <w:pPr>
        <w:ind w:firstLine="2891" w:firstLineChars="9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品牌、产地（如果有）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bl>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注：1、按本格式和要求提供。</w:t>
      </w:r>
    </w:p>
    <w:p>
      <w:pPr>
        <w:spacing w:line="360" w:lineRule="auto"/>
        <w:ind w:right="420"/>
        <w:rPr>
          <w:b/>
          <w:bCs/>
          <w:color w:val="000000" w:themeColor="text1"/>
          <w:highlight w:val="none"/>
          <w:u w:val="single"/>
          <w14:textFill>
            <w14:solidFill>
              <w14:schemeClr w14:val="tx1"/>
            </w14:solidFill>
          </w14:textFill>
        </w:rPr>
      </w:pPr>
      <w:r>
        <w:rPr>
          <w:b/>
          <w:bCs/>
          <w:color w:val="000000" w:themeColor="text1"/>
          <w:highlight w:val="none"/>
          <w:u w:val="single"/>
          <w14:textFill>
            <w14:solidFill>
              <w14:schemeClr w14:val="tx1"/>
            </w14:solidFill>
          </w14:textFill>
        </w:rPr>
        <w:t>2</w:t>
      </w:r>
      <w:r>
        <w:rPr>
          <w:rFonts w:hint="eastAsia"/>
          <w:b/>
          <w:bCs/>
          <w:color w:val="000000" w:themeColor="text1"/>
          <w:highlight w:val="none"/>
          <w:u w:val="single"/>
          <w14:textFill>
            <w14:solidFill>
              <w14:schemeClr w14:val="tx1"/>
            </w14:solidFill>
          </w14:textFill>
        </w:rPr>
        <w:t>、▲供应商应对</w:t>
      </w:r>
      <w:r>
        <w:rPr>
          <w:rFonts w:hint="eastAsia"/>
          <w:b/>
          <w:bCs/>
          <w:color w:val="000000" w:themeColor="text1"/>
          <w:highlight w:val="none"/>
          <w:u w:val="single"/>
          <w:lang w:eastAsia="zh-CN"/>
          <w14:textFill>
            <w14:solidFill>
              <w14:schemeClr w14:val="tx1"/>
            </w14:solidFill>
          </w14:textFill>
        </w:rPr>
        <w:t>采购文件</w:t>
      </w:r>
      <w:r>
        <w:rPr>
          <w:rFonts w:hint="eastAsia"/>
          <w:b/>
          <w:bCs/>
          <w:color w:val="000000" w:themeColor="text1"/>
          <w:highlight w:val="none"/>
          <w:u w:val="single"/>
          <w14:textFill>
            <w14:solidFill>
              <w14:schemeClr w14:val="tx1"/>
            </w14:solidFill>
          </w14:textFill>
        </w:rPr>
        <w:t>要求的各类货物的技术要求作出一对一响应性说明，设备清单按照采购文件提供的清单顺序填报，有漏报、少报、顺序混乱的情况将视为无效。</w:t>
      </w:r>
    </w:p>
    <w:p>
      <w:pPr>
        <w:spacing w:line="360" w:lineRule="auto"/>
        <w:ind w:right="420"/>
        <w:rPr>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3、技术规格书中“货物需求一览表”标★条款，除</w:t>
      </w:r>
      <w:r>
        <w:rPr>
          <w:rFonts w:hint="eastAsia"/>
          <w:b/>
          <w:bCs/>
          <w:color w:val="000000" w:themeColor="text1"/>
          <w:highlight w:val="none"/>
          <w:u w:val="single"/>
          <w:lang w:eastAsia="zh-CN"/>
          <w14:textFill>
            <w14:solidFill>
              <w14:schemeClr w14:val="tx1"/>
            </w14:solidFill>
          </w14:textFill>
        </w:rPr>
        <w:t>采购文件</w:t>
      </w:r>
      <w:r>
        <w:rPr>
          <w:rFonts w:hint="eastAsia"/>
          <w:b/>
          <w:bCs/>
          <w:color w:val="000000" w:themeColor="text1"/>
          <w:highlight w:val="none"/>
          <w:u w:val="single"/>
          <w14:textFill>
            <w14:solidFill>
              <w14:schemeClr w14:val="tx1"/>
            </w14:solidFill>
          </w14:textFill>
        </w:rPr>
        <w:t>另有约定外，供应商均应提供设备的相关技术规格说明书或产品样本（包括产品的主要技术、结构、性能、特点用途和质量水平的详细描述）、彩色照片等，否则将视为负偏离。</w:t>
      </w:r>
    </w:p>
    <w:p>
      <w:pPr>
        <w:spacing w:line="360" w:lineRule="auto"/>
        <w:ind w:right="420"/>
        <w:rPr>
          <w:b/>
          <w:bCs/>
          <w:color w:val="000000" w:themeColor="text1"/>
          <w:highlight w:val="none"/>
          <w:u w:val="single"/>
          <w14:textFill>
            <w14:solidFill>
              <w14:schemeClr w14:val="tx1"/>
            </w14:solidFill>
          </w14:textFill>
        </w:rPr>
      </w:pPr>
      <w:r>
        <w:rPr>
          <w:b/>
          <w:bCs/>
          <w:color w:val="000000" w:themeColor="text1"/>
          <w:highlight w:val="none"/>
          <w:u w:val="single"/>
          <w14:textFill>
            <w14:solidFill>
              <w14:schemeClr w14:val="tx1"/>
            </w14:solidFill>
          </w14:textFill>
        </w:rPr>
        <w:t>4</w:t>
      </w:r>
      <w:r>
        <w:rPr>
          <w:rFonts w:hint="eastAsia"/>
          <w:b/>
          <w:bCs/>
          <w:color w:val="000000" w:themeColor="text1"/>
          <w:highlight w:val="none"/>
          <w:u w:val="single"/>
          <w14:textFill>
            <w14:solidFill>
              <w14:schemeClr w14:val="tx1"/>
            </w14:solidFill>
          </w14:textFill>
        </w:rPr>
        <w:t>、上表根据五大系统分别填报。</w:t>
      </w:r>
    </w:p>
    <w:p>
      <w:pPr>
        <w:jc w:val="center"/>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r>
        <w:rPr>
          <w:rFonts w:ascii="宋体" w:hAnsi="宋体" w:cs="宋体"/>
          <w:color w:val="000000" w:themeColor="text1"/>
          <w:sz w:val="24"/>
          <w:highlight w:val="none"/>
          <w14:textFill>
            <w14:solidFill>
              <w14:schemeClr w14:val="tx1"/>
            </w14:solidFill>
          </w14:textFill>
        </w:rPr>
        <w:t xml:space="preserve"> </w:t>
      </w:r>
    </w:p>
    <w:p>
      <w:pPr>
        <w:pStyle w:val="17"/>
        <w:rPr>
          <w:color w:val="000000" w:themeColor="text1"/>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采购文件</w:t>
            </w:r>
            <w:r>
              <w:rPr>
                <w:rFonts w:hint="eastAsia" w:ascii="宋体" w:hAnsi="宋体" w:cs="宋体"/>
                <w:b/>
                <w:bCs/>
                <w:color w:val="000000" w:themeColor="text1"/>
                <w:sz w:val="24"/>
                <w:highlight w:val="none"/>
                <w14:textFill>
                  <w14:solidFill>
                    <w14:schemeClr w14:val="tx1"/>
                  </w14:solidFill>
                </w14:textFill>
              </w:rPr>
              <w:t>章节及具体内容</w:t>
            </w:r>
          </w:p>
        </w:tc>
        <w:tc>
          <w:tcPr>
            <w:tcW w:w="3546"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bl>
    <w:p>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保证：除商务技术偏离表列出的偏离外，</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eastAsia="zh-CN"/>
          <w14:textFill>
            <w14:solidFill>
              <w14:schemeClr w14:val="tx1"/>
            </w14:solidFill>
          </w14:textFill>
        </w:rPr>
        <w:t>采购文件</w:t>
      </w:r>
      <w:r>
        <w:rPr>
          <w:rFonts w:hint="eastAsia" w:ascii="宋体" w:hAnsi="宋体" w:cs="宋体"/>
          <w:color w:val="000000" w:themeColor="text1"/>
          <w:kern w:val="0"/>
          <w:sz w:val="24"/>
          <w:highlight w:val="none"/>
          <w14:textFill>
            <w14:solidFill>
              <w14:schemeClr w14:val="tx1"/>
            </w14:solidFill>
          </w14:textFill>
        </w:rPr>
        <w:t>的全部要求</w:t>
      </w:r>
    </w:p>
    <w:p>
      <w:pPr>
        <w:jc w:val="center"/>
        <w:rPr>
          <w:rFonts w:ascii="宋体" w:hAnsi="宋体" w:cs="宋体"/>
          <w:b/>
          <w:color w:val="000000" w:themeColor="text1"/>
          <w:kern w:val="0"/>
          <w:sz w:val="32"/>
          <w:szCs w:val="32"/>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jc w:val="center"/>
        <w:rPr>
          <w:rFonts w:ascii="宋体" w:hAnsi="宋体" w:cs="宋体"/>
          <w:b/>
          <w:color w:val="000000" w:themeColor="text1"/>
          <w:kern w:val="0"/>
          <w:sz w:val="32"/>
          <w:szCs w:val="32"/>
          <w:highlight w:val="none"/>
          <w14:textFill>
            <w14:solidFill>
              <w14:schemeClr w14:val="tx1"/>
            </w14:solidFill>
          </w14:textFill>
        </w:rPr>
      </w:pPr>
    </w:p>
    <w:p>
      <w:pP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p>
    <w:p>
      <w:pPr>
        <w:ind w:firstLine="1911" w:firstLineChars="595"/>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pPr>
        <w:snapToGrid w:val="0"/>
        <w:spacing w:line="360" w:lineRule="auto"/>
        <w:rPr>
          <w:rFonts w:ascii="宋体" w:hAnsi="宋体" w:cs="宋体"/>
          <w:color w:val="000000" w:themeColor="text1"/>
          <w:sz w:val="24"/>
          <w:highlight w:val="none"/>
          <w14:textFill>
            <w14:solidFill>
              <w14:schemeClr w14:val="tx1"/>
            </w14:solidFill>
          </w14:textFill>
        </w:rPr>
      </w:pP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杭州西湖风景名胜区建设管理中心</w:t>
      </w:r>
      <w:r>
        <w:rPr>
          <w:rFonts w:hint="eastAsia" w:ascii="宋体" w:hAnsi="宋体" w:cs="宋体"/>
          <w:color w:val="000000" w:themeColor="text1"/>
          <w:sz w:val="24"/>
          <w:highlight w:val="none"/>
          <w14:textFill>
            <w14:solidFill>
              <w14:schemeClr w14:val="tx1"/>
            </w14:solidFill>
          </w14:textFill>
        </w:rPr>
        <w:t>、浙江泛亚工程咨询有限公司</w:t>
      </w:r>
      <w:r>
        <w:rPr>
          <w:rFonts w:hint="eastAsia" w:ascii="宋体" w:hAnsi="宋体" w:cs="宋体"/>
          <w:color w:val="000000" w:themeColor="text1"/>
          <w:kern w:val="0"/>
          <w:sz w:val="24"/>
          <w:highlight w:val="none"/>
          <w:lang w:val="zh-CN"/>
          <w14:textFill>
            <w14:solidFill>
              <w14:schemeClr w14:val="tx1"/>
            </w14:solidFill>
          </w14:textFill>
        </w:rPr>
        <w:t>：</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ascii="宋体" w:hAnsi="宋体" w:cs="宋体"/>
          <w:b/>
          <w:bCs/>
          <w:color w:val="000000" w:themeColor="text1"/>
          <w:sz w:val="24"/>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spacing w:line="360" w:lineRule="auto"/>
        <w:jc w:val="center"/>
        <w:rPr>
          <w:rFonts w:ascii="宋体" w:hAnsi="宋体" w:cs="宋体"/>
          <w:b/>
          <w:bCs/>
          <w:color w:val="000000" w:themeColor="text1"/>
          <w:sz w:val="24"/>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361" w:right="1418" w:bottom="1361"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（1）开标一览表（报价表）………………………………………………………（页码）</w:t>
      </w:r>
    </w:p>
    <w:p>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）保修期满后每年“有偿维保费报价表”…………</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中小企业声明函………………………………………………………………（页码）</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杭州西湖风景名胜区建设管理中心</w:t>
      </w:r>
      <w:r>
        <w:rPr>
          <w:rFonts w:hint="eastAsia" w:ascii="宋体" w:hAnsi="宋体" w:cs="宋体"/>
          <w:color w:val="000000" w:themeColor="text1"/>
          <w:sz w:val="24"/>
          <w:highlight w:val="none"/>
          <w14:textFill>
            <w14:solidFill>
              <w14:schemeClr w14:val="tx1"/>
            </w14:solidFill>
          </w14:textFill>
        </w:rPr>
        <w:t>、浙江泛亚工程咨询有限公司</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按你方采购文件要求，我们，本采购文件签字方，谨此向你方发出要约如下：如你方接受本投标，我方承诺按照如下开标一览表（报价表）的价格完成</w:t>
      </w:r>
      <w:r>
        <w:rPr>
          <w:rFonts w:hint="eastAsia" w:ascii="宋体" w:hAnsi="宋体" w:cs="宋体"/>
          <w:color w:val="000000" w:themeColor="text1"/>
          <w:sz w:val="24"/>
          <w:highlight w:val="none"/>
          <w:lang w:eastAsia="zh-CN"/>
          <w14:textFill>
            <w14:solidFill>
              <w14:schemeClr w14:val="tx1"/>
            </w14:solidFill>
          </w14:textFill>
        </w:rPr>
        <w:t>杭州城西休闲公园地下停车库及配套服务用房--机械车位项目</w:t>
      </w:r>
      <w:r>
        <w:rPr>
          <w:rFonts w:hint="eastAsia" w:ascii="宋体" w:hAnsi="宋体" w:cs="宋体"/>
          <w:color w:val="000000" w:themeColor="text1"/>
          <w:kern w:val="0"/>
          <w:sz w:val="24"/>
          <w:highlight w:val="none"/>
          <w:lang w:val="zh-CN"/>
          <w14:textFill>
            <w14:solidFill>
              <w14:schemeClr w14:val="tx1"/>
            </w14:solidFill>
          </w14:textFill>
        </w:rPr>
        <w:t>【项目编号:LFF-202211-138</w:t>
      </w:r>
      <w:r>
        <w:rPr>
          <w:rFonts w:hint="eastAsia" w:ascii="宋体" w:hAnsi="宋体" w:cs="宋体"/>
          <w:color w:val="000000" w:themeColor="text1"/>
          <w:sz w:val="24"/>
          <w:highlight w:val="none"/>
          <w14:textFill>
            <w14:solidFill>
              <w14:schemeClr w14:val="tx1"/>
            </w14:solidFill>
          </w14:textFill>
        </w:rPr>
        <w:t>】的实施</w:t>
      </w:r>
      <w:r>
        <w:rPr>
          <w:rFonts w:hint="eastAsia" w:ascii="宋体" w:hAnsi="宋体" w:cs="宋体"/>
          <w:color w:val="000000" w:themeColor="text1"/>
          <w:kern w:val="0"/>
          <w:sz w:val="24"/>
          <w:highlight w:val="none"/>
          <w:lang w:val="zh-CN"/>
          <w14:textFill>
            <w14:solidFill>
              <w14:schemeClr w14:val="tx1"/>
            </w14:solidFill>
          </w14:textFill>
        </w:rPr>
        <w:t>。</w:t>
      </w:r>
    </w:p>
    <w:p>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w:t>
      </w:r>
      <w:r>
        <w:rPr>
          <w:rFonts w:hint="eastAsia" w:ascii="宋体" w:hAnsi="宋体" w:cs="宋体"/>
          <w:b/>
          <w:color w:val="000000" w:themeColor="text1"/>
          <w:kern w:val="0"/>
          <w:sz w:val="24"/>
          <w:highlight w:val="none"/>
          <w14:textFill>
            <w14:solidFill>
              <w14:schemeClr w14:val="tx1"/>
            </w14:solidFill>
          </w14:textFill>
        </w:rPr>
        <w:t>元</w:t>
      </w:r>
      <w:r>
        <w:rPr>
          <w:rFonts w:hint="eastAsia" w:ascii="宋体" w:hAnsi="宋体" w:cs="宋体"/>
          <w:b/>
          <w:color w:val="000000" w:themeColor="text1"/>
          <w:kern w:val="0"/>
          <w:sz w:val="24"/>
          <w:highlight w:val="none"/>
          <w:lang w:val="zh-CN"/>
          <w14:textFill>
            <w14:solidFill>
              <w14:schemeClr w14:val="tx1"/>
            </w14:solidFill>
          </w14:textFill>
        </w:rPr>
        <w:t>)</w:t>
      </w:r>
    </w:p>
    <w:tbl>
      <w:tblPr>
        <w:tblStyle w:val="64"/>
        <w:tblW w:w="114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79"/>
        <w:gridCol w:w="2408"/>
        <w:gridCol w:w="2032"/>
        <w:gridCol w:w="690"/>
        <w:gridCol w:w="990"/>
        <w:gridCol w:w="1283"/>
        <w:gridCol w:w="900"/>
        <w:gridCol w:w="1143"/>
        <w:gridCol w:w="11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879" w:type="dxa"/>
            <w:tcBorders>
              <w:tl2br w:val="nil"/>
              <w:tr2bl w:val="nil"/>
            </w:tcBorders>
            <w:vAlign w:val="center"/>
          </w:tcPr>
          <w:p>
            <w:pPr>
              <w:widowControl/>
              <w:jc w:val="left"/>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序号</w:t>
            </w:r>
          </w:p>
        </w:tc>
        <w:tc>
          <w:tcPr>
            <w:tcW w:w="2408" w:type="dxa"/>
            <w:tcBorders>
              <w:tl2br w:val="nil"/>
              <w:tr2bl w:val="nil"/>
            </w:tcBorders>
            <w:vAlign w:val="center"/>
          </w:tcPr>
          <w:p>
            <w:pPr>
              <w:widowControl/>
              <w:jc w:val="left"/>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项目名称（分项名称）</w:t>
            </w:r>
          </w:p>
        </w:tc>
        <w:tc>
          <w:tcPr>
            <w:tcW w:w="2032" w:type="dxa"/>
            <w:tcBorders>
              <w:tl2br w:val="nil"/>
              <w:tr2bl w:val="nil"/>
            </w:tcBorders>
            <w:vAlign w:val="center"/>
          </w:tcPr>
          <w:p>
            <w:pPr>
              <w:widowControl/>
              <w:jc w:val="left"/>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功能或技术参数</w:t>
            </w:r>
          </w:p>
        </w:tc>
        <w:tc>
          <w:tcPr>
            <w:tcW w:w="690" w:type="dxa"/>
            <w:tcBorders>
              <w:tl2br w:val="nil"/>
              <w:tr2bl w:val="nil"/>
            </w:tcBorders>
            <w:vAlign w:val="center"/>
          </w:tcPr>
          <w:p>
            <w:pPr>
              <w:widowControl/>
              <w:jc w:val="center"/>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单位</w:t>
            </w:r>
          </w:p>
        </w:tc>
        <w:tc>
          <w:tcPr>
            <w:tcW w:w="990" w:type="dxa"/>
            <w:tcBorders>
              <w:tl2br w:val="nil"/>
              <w:tr2bl w:val="nil"/>
            </w:tcBorders>
            <w:vAlign w:val="center"/>
          </w:tcPr>
          <w:p>
            <w:pPr>
              <w:widowControl/>
              <w:jc w:val="center"/>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数量</w:t>
            </w:r>
          </w:p>
        </w:tc>
        <w:tc>
          <w:tcPr>
            <w:tcW w:w="1283" w:type="dxa"/>
            <w:tcBorders>
              <w:tl2br w:val="nil"/>
              <w:tr2bl w:val="nil"/>
            </w:tcBorders>
            <w:vAlign w:val="center"/>
          </w:tcPr>
          <w:p>
            <w:pPr>
              <w:widowControl/>
              <w:jc w:val="center"/>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综合单价</w:t>
            </w:r>
          </w:p>
        </w:tc>
        <w:tc>
          <w:tcPr>
            <w:tcW w:w="900" w:type="dxa"/>
            <w:tcBorders>
              <w:tl2br w:val="nil"/>
              <w:tr2bl w:val="nil"/>
            </w:tcBorders>
            <w:vAlign w:val="center"/>
          </w:tcPr>
          <w:p>
            <w:pPr>
              <w:widowControl/>
              <w:jc w:val="center"/>
              <w:textAlignment w:val="center"/>
              <w:rPr>
                <w:rFonts w:ascii="宋体" w:hAnsi="宋体" w:cs="宋体"/>
                <w:b/>
                <w:bCs/>
                <w:color w:val="000000" w:themeColor="text1"/>
                <w:kern w:val="0"/>
                <w:sz w:val="20"/>
                <w:szCs w:val="20"/>
                <w:highlight w:val="none"/>
                <w:lang w:bidi="ar"/>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小计</w:t>
            </w:r>
          </w:p>
        </w:tc>
        <w:tc>
          <w:tcPr>
            <w:tcW w:w="1143" w:type="dxa"/>
            <w:tcBorders>
              <w:tl2br w:val="nil"/>
              <w:tr2bl w:val="nil"/>
            </w:tcBorders>
            <w:vAlign w:val="center"/>
          </w:tcPr>
          <w:p>
            <w:pPr>
              <w:widowControl/>
              <w:jc w:val="center"/>
              <w:textAlignment w:val="center"/>
              <w:rPr>
                <w:rFonts w:hint="eastAsia" w:ascii="宋体" w:hAnsi="宋体" w:eastAsia="宋体" w:cs="宋体"/>
                <w:b/>
                <w:bCs/>
                <w:color w:val="000000" w:themeColor="text1"/>
                <w:kern w:val="0"/>
                <w:sz w:val="20"/>
                <w:szCs w:val="20"/>
                <w:highlight w:val="none"/>
                <w:lang w:eastAsia="zh-CN" w:bidi="ar"/>
                <w14:textFill>
                  <w14:solidFill>
                    <w14:schemeClr w14:val="tx1"/>
                  </w14:solidFill>
                </w14:textFill>
              </w:rPr>
            </w:pP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品牌（如有）</w:t>
            </w:r>
          </w:p>
        </w:tc>
        <w:tc>
          <w:tcPr>
            <w:tcW w:w="1143" w:type="dxa"/>
            <w:tcBorders>
              <w:tl2br w:val="nil"/>
              <w:tr2bl w:val="nil"/>
            </w:tcBorders>
            <w:vAlign w:val="center"/>
          </w:tcPr>
          <w:p>
            <w:pPr>
              <w:widowControl/>
              <w:jc w:val="both"/>
              <w:textAlignment w:val="center"/>
              <w:rPr>
                <w:rFonts w:hint="eastAsia" w:ascii="宋体" w:hAnsi="宋体" w:eastAsia="宋体" w:cs="宋体"/>
                <w:b/>
                <w:bCs/>
                <w:color w:val="000000" w:themeColor="text1"/>
                <w:kern w:val="0"/>
                <w:sz w:val="20"/>
                <w:szCs w:val="20"/>
                <w:highlight w:val="none"/>
                <w:lang w:val="en-US" w:eastAsia="zh-CN" w:bidi="ar"/>
                <w14:textFill>
                  <w14:solidFill>
                    <w14:schemeClr w14:val="tx1"/>
                  </w14:solidFill>
                </w14:textFill>
              </w:rPr>
            </w:pP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879"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408" w:type="dxa"/>
            <w:tcBorders>
              <w:tl2br w:val="nil"/>
              <w:tr2bl w:val="nil"/>
            </w:tcBorders>
            <w:vAlign w:val="center"/>
          </w:tcPr>
          <w:p>
            <w:pPr>
              <w:widowControl/>
              <w:adjustRightInd/>
              <w:jc w:val="left"/>
              <w:rPr>
                <w:rFonts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二层升降横移类机械停车设备</w:t>
            </w:r>
          </w:p>
        </w:tc>
        <w:tc>
          <w:tcPr>
            <w:tcW w:w="2032" w:type="dxa"/>
            <w:tcBorders>
              <w:tl2br w:val="nil"/>
              <w:tr2bl w:val="nil"/>
            </w:tcBorders>
            <w:vAlign w:val="center"/>
          </w:tcPr>
          <w:p>
            <w:pPr>
              <w:widowControl/>
              <w:adjustRightInd/>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一、PSH2</w:t>
            </w:r>
          </w:p>
          <w:p>
            <w:pPr>
              <w:widowControl/>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二、容车规格（mm）</w:t>
            </w:r>
          </w:p>
          <w:p>
            <w:pPr>
              <w:widowControl/>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长</w:t>
            </w:r>
            <w:r>
              <w:rPr>
                <w:rFonts w:hint="eastAsia" w:ascii="宋体" w:hAnsi="宋体" w:eastAsia="宋体" w:cs="宋体"/>
                <w:color w:val="000000" w:themeColor="text1"/>
                <w:sz w:val="24"/>
                <w:szCs w:val="24"/>
                <w:highlight w:val="none"/>
                <w14:textFill>
                  <w14:solidFill>
                    <w14:schemeClr w14:val="tx1"/>
                  </w14:solidFill>
                </w14:textFill>
              </w:rPr>
              <w:t>5200✖</w:t>
            </w:r>
            <w:r>
              <w:rPr>
                <w:rFonts w:hint="eastAsia" w:ascii="宋体" w:hAnsi="宋体" w:eastAsia="宋体" w:cs="宋体"/>
                <w:b/>
                <w:color w:val="000000" w:themeColor="text1"/>
                <w:sz w:val="24"/>
                <w:szCs w:val="24"/>
                <w:highlight w:val="none"/>
                <w14:textFill>
                  <w14:solidFill>
                    <w14:schemeClr w14:val="tx1"/>
                  </w14:solidFill>
                </w14:textFill>
              </w:rPr>
              <w:t>宽</w:t>
            </w:r>
            <w:r>
              <w:rPr>
                <w:rFonts w:hint="eastAsia" w:ascii="宋体" w:hAnsi="宋体" w:eastAsia="宋体" w:cs="宋体"/>
                <w:color w:val="000000" w:themeColor="text1"/>
                <w:sz w:val="24"/>
                <w:szCs w:val="24"/>
                <w:highlight w:val="none"/>
                <w14:textFill>
                  <w14:solidFill>
                    <w14:schemeClr w14:val="tx1"/>
                  </w14:solidFill>
                </w14:textFill>
              </w:rPr>
              <w:t>1950及以上✖</w:t>
            </w:r>
            <w:r>
              <w:rPr>
                <w:rFonts w:hint="eastAsia" w:ascii="宋体" w:hAnsi="宋体" w:eastAsia="宋体" w:cs="宋体"/>
                <w:b/>
                <w:color w:val="000000" w:themeColor="text1"/>
                <w:sz w:val="24"/>
                <w:szCs w:val="24"/>
                <w:highlight w:val="none"/>
                <w14:textFill>
                  <w14:solidFill>
                    <w14:schemeClr w14:val="tx1"/>
                  </w14:solidFill>
                </w14:textFill>
              </w:rPr>
              <w:t>高</w:t>
            </w:r>
            <w:r>
              <w:rPr>
                <w:rFonts w:hint="eastAsia" w:ascii="宋体" w:hAnsi="宋体" w:eastAsia="宋体" w:cs="宋体"/>
                <w:color w:val="000000" w:themeColor="text1"/>
                <w:sz w:val="24"/>
                <w:szCs w:val="24"/>
                <w:highlight w:val="none"/>
                <w14:textFill>
                  <w14:solidFill>
                    <w14:schemeClr w14:val="tx1"/>
                  </w14:solidFill>
                </w14:textFill>
              </w:rPr>
              <w:t>1550及以上</w:t>
            </w:r>
          </w:p>
          <w:p>
            <w:pPr>
              <w:widowControl/>
              <w:adjustRightInd/>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三、荷载2000KG</w:t>
            </w:r>
          </w:p>
        </w:tc>
        <w:tc>
          <w:tcPr>
            <w:tcW w:w="690"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个</w:t>
            </w:r>
          </w:p>
        </w:tc>
        <w:tc>
          <w:tcPr>
            <w:tcW w:w="990" w:type="dxa"/>
            <w:tcBorders>
              <w:tl2br w:val="nil"/>
              <w:tr2bl w:val="nil"/>
            </w:tcBorders>
            <w:vAlign w:val="center"/>
          </w:tcPr>
          <w:p>
            <w:pPr>
              <w:widowControl/>
              <w:adjustRightInd/>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75</w:t>
            </w:r>
          </w:p>
        </w:tc>
        <w:tc>
          <w:tcPr>
            <w:tcW w:w="1283"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900"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1143"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114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要求</w:t>
            </w:r>
            <w:r>
              <w:rPr>
                <w:rFonts w:hint="eastAsia" w:hAnsi="宋体" w:cs="宋体"/>
                <w:bCs/>
                <w:color w:val="000000" w:themeColor="text1"/>
                <w:sz w:val="24"/>
                <w:highlight w:val="none"/>
                <w:lang w:eastAsia="zh-CN"/>
                <w14:textFill>
                  <w14:solidFill>
                    <w14:schemeClr w14:val="tx1"/>
                  </w14:solidFill>
                </w14:textFill>
              </w:rPr>
              <w:t>进车层容车</w:t>
            </w:r>
            <w:r>
              <w:rPr>
                <w:rFonts w:hint="eastAsia" w:hAnsi="宋体" w:cs="宋体"/>
                <w:bCs/>
                <w:color w:val="000000" w:themeColor="text1"/>
                <w:sz w:val="24"/>
                <w:highlight w:val="none"/>
                <w14:textFill>
                  <w14:solidFill>
                    <w14:schemeClr w14:val="tx1"/>
                  </w14:solidFill>
                </w14:textFill>
              </w:rPr>
              <w:t>高度不小于1750mm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879"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408" w:type="dxa"/>
            <w:tcBorders>
              <w:tl2br w:val="nil"/>
              <w:tr2bl w:val="nil"/>
            </w:tcBorders>
            <w:vAlign w:val="center"/>
          </w:tcPr>
          <w:p>
            <w:pPr>
              <w:widowControl/>
              <w:adjustRightInd/>
              <w:jc w:val="left"/>
              <w:rPr>
                <w:rFonts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三层升降横移类机械停车设备</w:t>
            </w:r>
          </w:p>
        </w:tc>
        <w:tc>
          <w:tcPr>
            <w:tcW w:w="2032" w:type="dxa"/>
            <w:tcBorders>
              <w:tl2br w:val="nil"/>
              <w:tr2bl w:val="nil"/>
            </w:tcBorders>
            <w:vAlign w:val="center"/>
          </w:tcPr>
          <w:p>
            <w:pPr>
              <w:widowControl/>
              <w:adjustRightInd/>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一、PSH3</w:t>
            </w:r>
          </w:p>
          <w:p>
            <w:pPr>
              <w:widowControl/>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二、容车规格（mm）</w:t>
            </w:r>
          </w:p>
          <w:p>
            <w:pPr>
              <w:widowControl/>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长</w:t>
            </w:r>
            <w:r>
              <w:rPr>
                <w:rFonts w:hint="eastAsia" w:ascii="宋体" w:hAnsi="宋体" w:eastAsia="宋体" w:cs="宋体"/>
                <w:color w:val="000000" w:themeColor="text1"/>
                <w:sz w:val="24"/>
                <w:szCs w:val="24"/>
                <w:highlight w:val="none"/>
                <w14:textFill>
                  <w14:solidFill>
                    <w14:schemeClr w14:val="tx1"/>
                  </w14:solidFill>
                </w14:textFill>
              </w:rPr>
              <w:t>5000✖</w:t>
            </w:r>
            <w:r>
              <w:rPr>
                <w:rFonts w:hint="eastAsia" w:ascii="宋体" w:hAnsi="宋体" w:eastAsia="宋体" w:cs="宋体"/>
                <w:b/>
                <w:color w:val="000000" w:themeColor="text1"/>
                <w:sz w:val="24"/>
                <w:szCs w:val="24"/>
                <w:highlight w:val="none"/>
                <w14:textFill>
                  <w14:solidFill>
                    <w14:schemeClr w14:val="tx1"/>
                  </w14:solidFill>
                </w14:textFill>
              </w:rPr>
              <w:t>宽</w:t>
            </w:r>
            <w:r>
              <w:rPr>
                <w:rFonts w:hint="eastAsia" w:ascii="宋体" w:hAnsi="宋体" w:eastAsia="宋体" w:cs="宋体"/>
                <w:color w:val="000000" w:themeColor="text1"/>
                <w:sz w:val="24"/>
                <w:szCs w:val="24"/>
                <w:highlight w:val="none"/>
                <w14:textFill>
                  <w14:solidFill>
                    <w14:schemeClr w14:val="tx1"/>
                  </w14:solidFill>
                </w14:textFill>
              </w:rPr>
              <w:t>1900及以上✖</w:t>
            </w:r>
            <w:r>
              <w:rPr>
                <w:rFonts w:hint="eastAsia" w:ascii="宋体" w:hAnsi="宋体" w:eastAsia="宋体" w:cs="宋体"/>
                <w:b/>
                <w:color w:val="000000" w:themeColor="text1"/>
                <w:sz w:val="24"/>
                <w:szCs w:val="24"/>
                <w:highlight w:val="none"/>
                <w14:textFill>
                  <w14:solidFill>
                    <w14:schemeClr w14:val="tx1"/>
                  </w14:solidFill>
                </w14:textFill>
              </w:rPr>
              <w:t>高</w:t>
            </w:r>
            <w:r>
              <w:rPr>
                <w:rFonts w:hint="eastAsia" w:ascii="宋体" w:hAnsi="宋体" w:eastAsia="宋体" w:cs="宋体"/>
                <w:color w:val="000000" w:themeColor="text1"/>
                <w:sz w:val="24"/>
                <w:szCs w:val="24"/>
                <w:highlight w:val="none"/>
                <w14:textFill>
                  <w14:solidFill>
                    <w14:schemeClr w14:val="tx1"/>
                  </w14:solidFill>
                </w14:textFill>
              </w:rPr>
              <w:t>1550及以上</w:t>
            </w:r>
          </w:p>
          <w:p>
            <w:pPr>
              <w:widowControl/>
              <w:adjustRightInd/>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三、荷载2000KG</w:t>
            </w:r>
          </w:p>
        </w:tc>
        <w:tc>
          <w:tcPr>
            <w:tcW w:w="690"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个</w:t>
            </w:r>
          </w:p>
        </w:tc>
        <w:tc>
          <w:tcPr>
            <w:tcW w:w="990" w:type="dxa"/>
            <w:tcBorders>
              <w:tl2br w:val="nil"/>
              <w:tr2bl w:val="nil"/>
            </w:tcBorders>
            <w:vAlign w:val="center"/>
          </w:tcPr>
          <w:p>
            <w:pPr>
              <w:widowControl/>
              <w:adjustRightInd/>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126</w:t>
            </w:r>
          </w:p>
        </w:tc>
        <w:tc>
          <w:tcPr>
            <w:tcW w:w="1283"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900"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1143"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114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要求</w:t>
            </w:r>
            <w:r>
              <w:rPr>
                <w:rFonts w:hint="eastAsia" w:hAnsi="宋体" w:cs="宋体"/>
                <w:bCs/>
                <w:color w:val="000000" w:themeColor="text1"/>
                <w:sz w:val="24"/>
                <w:highlight w:val="none"/>
                <w:lang w:eastAsia="zh-CN"/>
                <w14:textFill>
                  <w14:solidFill>
                    <w14:schemeClr w14:val="tx1"/>
                  </w14:solidFill>
                </w14:textFill>
              </w:rPr>
              <w:t>进车层容车</w:t>
            </w:r>
            <w:r>
              <w:rPr>
                <w:rFonts w:hint="eastAsia" w:hAnsi="宋体" w:cs="宋体"/>
                <w:bCs/>
                <w:color w:val="000000" w:themeColor="text1"/>
                <w:sz w:val="24"/>
                <w:highlight w:val="none"/>
                <w14:textFill>
                  <w14:solidFill>
                    <w14:schemeClr w14:val="tx1"/>
                  </w14:solidFill>
                </w14:textFill>
              </w:rPr>
              <w:t>高度不小于1750mm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879"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408" w:type="dxa"/>
            <w:tcBorders>
              <w:tl2br w:val="nil"/>
              <w:tr2bl w:val="nil"/>
            </w:tcBorders>
            <w:vAlign w:val="center"/>
          </w:tcPr>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正二负一</w:t>
            </w:r>
          </w:p>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升降横移类</w:t>
            </w:r>
          </w:p>
          <w:p>
            <w:pPr>
              <w:widowControl/>
              <w:adjustRightInd/>
              <w:jc w:val="left"/>
              <w:rPr>
                <w:rFonts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机械停车设备</w:t>
            </w:r>
          </w:p>
        </w:tc>
        <w:tc>
          <w:tcPr>
            <w:tcW w:w="2032" w:type="dxa"/>
            <w:tcBorders>
              <w:tl2br w:val="nil"/>
              <w:tr2bl w:val="nil"/>
            </w:tcBorders>
            <w:vAlign w:val="center"/>
          </w:tcPr>
          <w:p>
            <w:pPr>
              <w:widowControl/>
              <w:adjustRightInd/>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一、PSH2/1</w:t>
            </w:r>
          </w:p>
          <w:p>
            <w:pPr>
              <w:widowControl/>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二、容车规格（mm）</w:t>
            </w:r>
          </w:p>
          <w:p>
            <w:pPr>
              <w:widowControl/>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长</w:t>
            </w:r>
            <w:r>
              <w:rPr>
                <w:rFonts w:hint="eastAsia" w:ascii="宋体" w:hAnsi="宋体" w:eastAsia="宋体" w:cs="宋体"/>
                <w:color w:val="000000" w:themeColor="text1"/>
                <w:sz w:val="24"/>
                <w:szCs w:val="24"/>
                <w:highlight w:val="none"/>
                <w14:textFill>
                  <w14:solidFill>
                    <w14:schemeClr w14:val="tx1"/>
                  </w14:solidFill>
                </w14:textFill>
              </w:rPr>
              <w:t>5000✖</w:t>
            </w:r>
            <w:r>
              <w:rPr>
                <w:rFonts w:hint="eastAsia" w:ascii="宋体" w:hAnsi="宋体" w:eastAsia="宋体" w:cs="宋体"/>
                <w:b/>
                <w:color w:val="000000" w:themeColor="text1"/>
                <w:sz w:val="24"/>
                <w:szCs w:val="24"/>
                <w:highlight w:val="none"/>
                <w14:textFill>
                  <w14:solidFill>
                    <w14:schemeClr w14:val="tx1"/>
                  </w14:solidFill>
                </w14:textFill>
              </w:rPr>
              <w:t>宽</w:t>
            </w:r>
            <w:r>
              <w:rPr>
                <w:rFonts w:hint="eastAsia" w:ascii="宋体" w:hAnsi="宋体" w:eastAsia="宋体" w:cs="宋体"/>
                <w:color w:val="000000" w:themeColor="text1"/>
                <w:sz w:val="24"/>
                <w:szCs w:val="24"/>
                <w:highlight w:val="none"/>
                <w14:textFill>
                  <w14:solidFill>
                    <w14:schemeClr w14:val="tx1"/>
                  </w14:solidFill>
                </w14:textFill>
              </w:rPr>
              <w:t>1900及以上✖</w:t>
            </w:r>
            <w:r>
              <w:rPr>
                <w:rFonts w:hint="eastAsia" w:ascii="宋体" w:hAnsi="宋体" w:eastAsia="宋体" w:cs="宋体"/>
                <w:b/>
                <w:color w:val="000000" w:themeColor="text1"/>
                <w:sz w:val="24"/>
                <w:szCs w:val="24"/>
                <w:highlight w:val="none"/>
                <w14:textFill>
                  <w14:solidFill>
                    <w14:schemeClr w14:val="tx1"/>
                  </w14:solidFill>
                </w14:textFill>
              </w:rPr>
              <w:t>高</w:t>
            </w:r>
            <w:r>
              <w:rPr>
                <w:rFonts w:hint="eastAsia" w:ascii="宋体" w:hAnsi="宋体" w:eastAsia="宋体" w:cs="宋体"/>
                <w:color w:val="000000" w:themeColor="text1"/>
                <w:sz w:val="24"/>
                <w:szCs w:val="24"/>
                <w:highlight w:val="none"/>
                <w14:textFill>
                  <w14:solidFill>
                    <w14:schemeClr w14:val="tx1"/>
                  </w14:solidFill>
                </w14:textFill>
              </w:rPr>
              <w:t>1550及以上</w:t>
            </w:r>
          </w:p>
          <w:p>
            <w:pPr>
              <w:widowControl/>
              <w:adjustRightInd/>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三、荷载2000KG</w:t>
            </w:r>
          </w:p>
        </w:tc>
        <w:tc>
          <w:tcPr>
            <w:tcW w:w="690"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个</w:t>
            </w:r>
          </w:p>
        </w:tc>
        <w:tc>
          <w:tcPr>
            <w:tcW w:w="990" w:type="dxa"/>
            <w:tcBorders>
              <w:tl2br w:val="nil"/>
              <w:tr2bl w:val="nil"/>
            </w:tcBorders>
            <w:vAlign w:val="center"/>
          </w:tcPr>
          <w:p>
            <w:pPr>
              <w:widowControl/>
              <w:adjustRightInd/>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184</w:t>
            </w:r>
          </w:p>
        </w:tc>
        <w:tc>
          <w:tcPr>
            <w:tcW w:w="1283"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900"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1143"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114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要求</w:t>
            </w:r>
            <w:r>
              <w:rPr>
                <w:rFonts w:hint="eastAsia" w:hAnsi="宋体" w:cs="宋体"/>
                <w:bCs/>
                <w:color w:val="000000" w:themeColor="text1"/>
                <w:sz w:val="24"/>
                <w:highlight w:val="none"/>
                <w:lang w:eastAsia="zh-CN"/>
                <w14:textFill>
                  <w14:solidFill>
                    <w14:schemeClr w14:val="tx1"/>
                  </w14:solidFill>
                </w14:textFill>
              </w:rPr>
              <w:t>进车层容车</w:t>
            </w:r>
            <w:r>
              <w:rPr>
                <w:rFonts w:hint="eastAsia" w:hAnsi="宋体" w:cs="宋体"/>
                <w:bCs/>
                <w:color w:val="000000" w:themeColor="text1"/>
                <w:sz w:val="24"/>
                <w:highlight w:val="none"/>
                <w14:textFill>
                  <w14:solidFill>
                    <w14:schemeClr w14:val="tx1"/>
                  </w14:solidFill>
                </w14:textFill>
              </w:rPr>
              <w:t>高度不小于1750mm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879"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408" w:type="dxa"/>
            <w:tcBorders>
              <w:tl2br w:val="nil"/>
              <w:tr2bl w:val="nil"/>
            </w:tcBorders>
            <w:vAlign w:val="center"/>
          </w:tcPr>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正一负二</w:t>
            </w:r>
          </w:p>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升降横移类</w:t>
            </w:r>
          </w:p>
          <w:p>
            <w:pPr>
              <w:widowControl/>
              <w:adjustRightInd/>
              <w:jc w:val="left"/>
              <w:rPr>
                <w:rFonts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机械停车设备</w:t>
            </w:r>
          </w:p>
        </w:tc>
        <w:tc>
          <w:tcPr>
            <w:tcW w:w="2032" w:type="dxa"/>
            <w:tcBorders>
              <w:tl2br w:val="nil"/>
              <w:tr2bl w:val="nil"/>
            </w:tcBorders>
            <w:vAlign w:val="center"/>
          </w:tcPr>
          <w:p>
            <w:pPr>
              <w:widowControl/>
              <w:adjustRightInd/>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一、PSH1/2</w:t>
            </w:r>
          </w:p>
          <w:p>
            <w:pPr>
              <w:widowControl/>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二、容车规格（mm）</w:t>
            </w:r>
          </w:p>
          <w:p>
            <w:pPr>
              <w:widowControl/>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长</w:t>
            </w:r>
            <w:r>
              <w:rPr>
                <w:rFonts w:hint="eastAsia" w:ascii="宋体" w:hAnsi="宋体" w:eastAsia="宋体" w:cs="宋体"/>
                <w:color w:val="000000" w:themeColor="text1"/>
                <w:sz w:val="24"/>
                <w:szCs w:val="24"/>
                <w:highlight w:val="none"/>
                <w14:textFill>
                  <w14:solidFill>
                    <w14:schemeClr w14:val="tx1"/>
                  </w14:solidFill>
                </w14:textFill>
              </w:rPr>
              <w:t>5000✖</w:t>
            </w:r>
            <w:r>
              <w:rPr>
                <w:rFonts w:hint="eastAsia" w:ascii="宋体" w:hAnsi="宋体" w:eastAsia="宋体" w:cs="宋体"/>
                <w:b/>
                <w:color w:val="000000" w:themeColor="text1"/>
                <w:sz w:val="24"/>
                <w:szCs w:val="24"/>
                <w:highlight w:val="none"/>
                <w14:textFill>
                  <w14:solidFill>
                    <w14:schemeClr w14:val="tx1"/>
                  </w14:solidFill>
                </w14:textFill>
              </w:rPr>
              <w:t>宽</w:t>
            </w:r>
            <w:r>
              <w:rPr>
                <w:rFonts w:hint="eastAsia" w:ascii="宋体" w:hAnsi="宋体" w:eastAsia="宋体" w:cs="宋体"/>
                <w:color w:val="000000" w:themeColor="text1"/>
                <w:sz w:val="24"/>
                <w:szCs w:val="24"/>
                <w:highlight w:val="none"/>
                <w14:textFill>
                  <w14:solidFill>
                    <w14:schemeClr w14:val="tx1"/>
                  </w14:solidFill>
                </w14:textFill>
              </w:rPr>
              <w:t>1900 ✖</w:t>
            </w:r>
            <w:r>
              <w:rPr>
                <w:rFonts w:hint="eastAsia" w:ascii="宋体" w:hAnsi="宋体" w:eastAsia="宋体" w:cs="宋体"/>
                <w:b/>
                <w:color w:val="000000" w:themeColor="text1"/>
                <w:sz w:val="24"/>
                <w:szCs w:val="24"/>
                <w:highlight w:val="none"/>
                <w14:textFill>
                  <w14:solidFill>
                    <w14:schemeClr w14:val="tx1"/>
                  </w14:solidFill>
                </w14:textFill>
              </w:rPr>
              <w:t>高</w:t>
            </w:r>
            <w:r>
              <w:rPr>
                <w:rFonts w:hint="eastAsia" w:ascii="宋体" w:hAnsi="宋体" w:eastAsia="宋体" w:cs="宋体"/>
                <w:color w:val="000000" w:themeColor="text1"/>
                <w:sz w:val="24"/>
                <w:szCs w:val="24"/>
                <w:highlight w:val="none"/>
                <w14:textFill>
                  <w14:solidFill>
                    <w14:schemeClr w14:val="tx1"/>
                  </w14:solidFill>
                </w14:textFill>
              </w:rPr>
              <w:t>1550及以上</w:t>
            </w:r>
          </w:p>
          <w:p>
            <w:pPr>
              <w:widowControl/>
              <w:adjustRightInd/>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三、荷载2000KG</w:t>
            </w:r>
          </w:p>
        </w:tc>
        <w:tc>
          <w:tcPr>
            <w:tcW w:w="690"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个</w:t>
            </w:r>
          </w:p>
        </w:tc>
        <w:tc>
          <w:tcPr>
            <w:tcW w:w="990" w:type="dxa"/>
            <w:tcBorders>
              <w:tl2br w:val="nil"/>
              <w:tr2bl w:val="nil"/>
            </w:tcBorders>
            <w:vAlign w:val="center"/>
          </w:tcPr>
          <w:p>
            <w:pPr>
              <w:widowControl/>
              <w:adjustRightInd/>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1283"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900"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1143"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114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要求</w:t>
            </w:r>
            <w:r>
              <w:rPr>
                <w:rFonts w:hint="eastAsia" w:hAnsi="宋体" w:cs="宋体"/>
                <w:bCs/>
                <w:color w:val="000000" w:themeColor="text1"/>
                <w:sz w:val="24"/>
                <w:highlight w:val="none"/>
                <w:lang w:eastAsia="zh-CN"/>
                <w14:textFill>
                  <w14:solidFill>
                    <w14:schemeClr w14:val="tx1"/>
                  </w14:solidFill>
                </w14:textFill>
              </w:rPr>
              <w:t>进车层容车</w:t>
            </w:r>
            <w:r>
              <w:rPr>
                <w:rFonts w:hint="eastAsia" w:hAnsi="宋体" w:cs="宋体"/>
                <w:bCs/>
                <w:color w:val="000000" w:themeColor="text1"/>
                <w:sz w:val="24"/>
                <w:highlight w:val="none"/>
                <w14:textFill>
                  <w14:solidFill>
                    <w14:schemeClr w14:val="tx1"/>
                  </w14:solidFill>
                </w14:textFill>
              </w:rPr>
              <w:t>高度不小于1750mm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879"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408" w:type="dxa"/>
            <w:tcBorders>
              <w:tl2br w:val="nil"/>
              <w:tr2bl w:val="nil"/>
            </w:tcBorders>
            <w:vAlign w:val="center"/>
          </w:tcPr>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正二负二</w:t>
            </w:r>
          </w:p>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升降横移类</w:t>
            </w:r>
          </w:p>
          <w:p>
            <w:pPr>
              <w:widowControl/>
              <w:adjustRightInd/>
              <w:jc w:val="left"/>
              <w:rPr>
                <w:rFonts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机械停车设备</w:t>
            </w:r>
          </w:p>
        </w:tc>
        <w:tc>
          <w:tcPr>
            <w:tcW w:w="2032" w:type="dxa"/>
            <w:tcBorders>
              <w:tl2br w:val="nil"/>
              <w:tr2bl w:val="nil"/>
            </w:tcBorders>
            <w:vAlign w:val="center"/>
          </w:tcPr>
          <w:p>
            <w:pPr>
              <w:widowControl/>
              <w:adjustRightInd/>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一、PSH2/2</w:t>
            </w:r>
          </w:p>
          <w:p>
            <w:pPr>
              <w:widowControl/>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二、容车规格（mm）</w:t>
            </w:r>
          </w:p>
          <w:p>
            <w:pPr>
              <w:widowControl/>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长</w:t>
            </w:r>
            <w:r>
              <w:rPr>
                <w:rFonts w:hint="eastAsia" w:ascii="宋体" w:hAnsi="宋体" w:eastAsia="宋体" w:cs="宋体"/>
                <w:color w:val="000000" w:themeColor="text1"/>
                <w:sz w:val="24"/>
                <w:szCs w:val="24"/>
                <w:highlight w:val="none"/>
                <w14:textFill>
                  <w14:solidFill>
                    <w14:schemeClr w14:val="tx1"/>
                  </w14:solidFill>
                </w14:textFill>
              </w:rPr>
              <w:t>5000✖</w:t>
            </w:r>
            <w:r>
              <w:rPr>
                <w:rFonts w:hint="eastAsia" w:ascii="宋体" w:hAnsi="宋体" w:eastAsia="宋体" w:cs="宋体"/>
                <w:b/>
                <w:color w:val="000000" w:themeColor="text1"/>
                <w:sz w:val="24"/>
                <w:szCs w:val="24"/>
                <w:highlight w:val="none"/>
                <w14:textFill>
                  <w14:solidFill>
                    <w14:schemeClr w14:val="tx1"/>
                  </w14:solidFill>
                </w14:textFill>
              </w:rPr>
              <w:t>宽</w:t>
            </w:r>
            <w:r>
              <w:rPr>
                <w:rFonts w:hint="eastAsia" w:ascii="宋体" w:hAnsi="宋体" w:eastAsia="宋体" w:cs="宋体"/>
                <w:color w:val="000000" w:themeColor="text1"/>
                <w:sz w:val="24"/>
                <w:szCs w:val="24"/>
                <w:highlight w:val="none"/>
                <w14:textFill>
                  <w14:solidFill>
                    <w14:schemeClr w14:val="tx1"/>
                  </w14:solidFill>
                </w14:textFill>
              </w:rPr>
              <w:t>1900 ✖</w:t>
            </w:r>
            <w:r>
              <w:rPr>
                <w:rFonts w:hint="eastAsia" w:ascii="宋体" w:hAnsi="宋体" w:eastAsia="宋体" w:cs="宋体"/>
                <w:b/>
                <w:color w:val="000000" w:themeColor="text1"/>
                <w:sz w:val="24"/>
                <w:szCs w:val="24"/>
                <w:highlight w:val="none"/>
                <w14:textFill>
                  <w14:solidFill>
                    <w14:schemeClr w14:val="tx1"/>
                  </w14:solidFill>
                </w14:textFill>
              </w:rPr>
              <w:t>高</w:t>
            </w:r>
            <w:r>
              <w:rPr>
                <w:rFonts w:hint="eastAsia" w:ascii="宋体" w:hAnsi="宋体" w:eastAsia="宋体" w:cs="宋体"/>
                <w:color w:val="000000" w:themeColor="text1"/>
                <w:sz w:val="24"/>
                <w:szCs w:val="24"/>
                <w:highlight w:val="none"/>
                <w14:textFill>
                  <w14:solidFill>
                    <w14:schemeClr w14:val="tx1"/>
                  </w14:solidFill>
                </w14:textFill>
              </w:rPr>
              <w:t>1550及以上</w:t>
            </w:r>
          </w:p>
          <w:p>
            <w:pPr>
              <w:widowControl/>
              <w:adjustRightInd/>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三、荷载2000KG</w:t>
            </w:r>
          </w:p>
        </w:tc>
        <w:tc>
          <w:tcPr>
            <w:tcW w:w="690"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个</w:t>
            </w:r>
          </w:p>
        </w:tc>
        <w:tc>
          <w:tcPr>
            <w:tcW w:w="990" w:type="dxa"/>
            <w:tcBorders>
              <w:tl2br w:val="nil"/>
              <w:tr2bl w:val="nil"/>
            </w:tcBorders>
            <w:vAlign w:val="center"/>
          </w:tcPr>
          <w:p>
            <w:pPr>
              <w:widowControl/>
              <w:adjustRightInd/>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60</w:t>
            </w:r>
          </w:p>
        </w:tc>
        <w:tc>
          <w:tcPr>
            <w:tcW w:w="1283"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900"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1143"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1143" w:type="dxa"/>
            <w:tcBorders>
              <w:tl2br w:val="nil"/>
              <w:tr2bl w:val="nil"/>
            </w:tcBorders>
            <w:vAlign w:val="center"/>
          </w:tcPr>
          <w:p>
            <w:pPr>
              <w:pStyle w:val="319"/>
              <w:keepNext w:val="0"/>
              <w:keepLines w:val="0"/>
              <w:pageBreakBefore w:val="0"/>
              <w:kinsoku/>
              <w:wordWrap/>
              <w:overflowPunct/>
              <w:topLinePunct w:val="0"/>
              <w:autoSpaceDE/>
              <w:autoSpaceDN/>
              <w:bidi w:val="0"/>
              <w:adjustRightInd w:val="0"/>
              <w:snapToGrid w:val="0"/>
              <w:spacing w:line="240" w:lineRule="auto"/>
              <w:ind w:firstLine="200"/>
              <w:jc w:val="center"/>
              <w:textAlignment w:val="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要求</w:t>
            </w:r>
            <w:r>
              <w:rPr>
                <w:rFonts w:hint="eastAsia" w:hAnsi="宋体" w:cs="宋体"/>
                <w:color w:val="000000" w:themeColor="text1"/>
                <w:sz w:val="24"/>
                <w:szCs w:val="24"/>
                <w:highlight w:val="none"/>
                <w:lang w:eastAsia="zh-CN"/>
                <w14:textFill>
                  <w14:solidFill>
                    <w14:schemeClr w14:val="tx1"/>
                  </w14:solidFill>
                </w14:textFill>
              </w:rPr>
              <w:t>进车层容车</w:t>
            </w:r>
            <w:r>
              <w:rPr>
                <w:rFonts w:hint="eastAsia" w:hAnsi="宋体" w:cs="宋体"/>
                <w:color w:val="000000" w:themeColor="text1"/>
                <w:sz w:val="24"/>
                <w:szCs w:val="24"/>
                <w:highlight w:val="none"/>
                <w14:textFill>
                  <w14:solidFill>
                    <w14:schemeClr w14:val="tx1"/>
                  </w14:solidFill>
                </w14:textFill>
              </w:rPr>
              <w:t>高度不小于1750mm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3287" w:type="dxa"/>
            <w:gridSpan w:val="2"/>
            <w:tcBorders>
              <w:tl2br w:val="nil"/>
              <w:tr2bl w:val="nil"/>
            </w:tcBorders>
            <w:vAlign w:val="center"/>
          </w:tcPr>
          <w:p>
            <w:pPr>
              <w:snapToGrid w:val="0"/>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投标报价（小写）</w:t>
            </w:r>
          </w:p>
        </w:tc>
        <w:tc>
          <w:tcPr>
            <w:tcW w:w="7038" w:type="dxa"/>
            <w:gridSpan w:val="6"/>
            <w:tcBorders>
              <w:tl2br w:val="nil"/>
              <w:tr2bl w:val="nil"/>
            </w:tcBorders>
            <w:vAlign w:val="center"/>
          </w:tcPr>
          <w:p>
            <w:pPr>
              <w:snapToGrid w:val="0"/>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元</w:t>
            </w:r>
          </w:p>
        </w:tc>
        <w:tc>
          <w:tcPr>
            <w:tcW w:w="1143" w:type="dxa"/>
            <w:tcBorders>
              <w:tl2br w:val="nil"/>
              <w:tr2bl w:val="nil"/>
            </w:tcBorders>
            <w:vAlign w:val="center"/>
          </w:tcPr>
          <w:p>
            <w:pPr>
              <w:snapToGrid w:val="0"/>
              <w:spacing w:line="360" w:lineRule="auto"/>
              <w:rPr>
                <w:rFonts w:hint="eastAsia" w:ascii="宋体" w:hAnsi="宋体" w:cs="宋体"/>
                <w:color w:val="000000" w:themeColor="text1"/>
                <w:sz w:val="24"/>
                <w:highlight w:val="none"/>
                <w:u w:val="singl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3287" w:type="dxa"/>
            <w:gridSpan w:val="2"/>
            <w:tcBorders>
              <w:tl2br w:val="nil"/>
              <w:tr2bl w:val="nil"/>
            </w:tcBorders>
            <w:vAlign w:val="center"/>
          </w:tcPr>
          <w:p>
            <w:pPr>
              <w:snapToGrid w:val="0"/>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投标报价（大写）</w:t>
            </w:r>
          </w:p>
        </w:tc>
        <w:tc>
          <w:tcPr>
            <w:tcW w:w="7038" w:type="dxa"/>
            <w:gridSpan w:val="6"/>
            <w:tcBorders>
              <w:tl2br w:val="nil"/>
              <w:tr2bl w:val="nil"/>
            </w:tcBorders>
            <w:vAlign w:val="center"/>
          </w:tcPr>
          <w:p>
            <w:pPr>
              <w:snapToGrid w:val="0"/>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（按此报价唱标）</w:t>
            </w:r>
            <w:r>
              <w:rPr>
                <w:rFonts w:hint="eastAsia" w:ascii="宋体" w:hAnsi="宋体" w:cs="宋体"/>
                <w:color w:val="000000" w:themeColor="text1"/>
                <w:sz w:val="24"/>
                <w:highlight w:val="none"/>
                <w:u w:val="single"/>
                <w14:textFill>
                  <w14:solidFill>
                    <w14:schemeClr w14:val="tx1"/>
                  </w14:solidFill>
                </w14:textFill>
              </w:rPr>
              <w:t xml:space="preserve">  元</w:t>
            </w:r>
          </w:p>
        </w:tc>
        <w:tc>
          <w:tcPr>
            <w:tcW w:w="1143" w:type="dxa"/>
            <w:tcBorders>
              <w:tl2br w:val="nil"/>
              <w:tr2bl w:val="nil"/>
            </w:tcBorders>
            <w:vAlign w:val="center"/>
          </w:tcPr>
          <w:p>
            <w:pPr>
              <w:snapToGrid w:val="0"/>
              <w:spacing w:line="360" w:lineRule="auto"/>
              <w:rPr>
                <w:rFonts w:hint="eastAsia" w:ascii="宋体" w:hAnsi="宋体" w:cs="宋体"/>
                <w:b/>
                <w:bCs/>
                <w:color w:val="000000" w:themeColor="text1"/>
                <w:sz w:val="24"/>
                <w:highlight w:val="none"/>
                <w:u w:val="singl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0325" w:type="dxa"/>
            <w:gridSpan w:val="8"/>
            <w:tcBorders>
              <w:tl2br w:val="nil"/>
              <w:tr2bl w:val="nil"/>
            </w:tcBorders>
            <w:vAlign w:val="center"/>
          </w:tcPr>
          <w:p>
            <w:pPr>
              <w:adjustRightInd/>
              <w:spacing w:line="360" w:lineRule="auto"/>
              <w:jc w:val="lef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1、项目负责人：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联系电话： </w:t>
            </w:r>
            <w:r>
              <w:rPr>
                <w:rFonts w:hint="eastAsia" w:ascii="宋体" w:hAnsi="宋体" w:cs="宋体"/>
                <w:color w:val="000000" w:themeColor="text1"/>
                <w:sz w:val="24"/>
                <w:highlight w:val="none"/>
                <w:u w:val="single"/>
                <w14:textFill>
                  <w14:solidFill>
                    <w14:schemeClr w14:val="tx1"/>
                  </w14:solidFill>
                </w14:textFill>
              </w:rPr>
              <w:t xml:space="preserve">                </w:t>
            </w:r>
          </w:p>
          <w:p>
            <w:pPr>
              <w:pStyle w:val="132"/>
              <w:adjustRightInd/>
              <w:spacing w:before="0"/>
              <w:ind w:firstLine="0" w:firstLineChars="0"/>
              <w:jc w:val="left"/>
              <w:outlineLvl w:val="2"/>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w:t>
            </w:r>
            <w:r>
              <w:rPr>
                <w:rFonts w:hint="eastAsia" w:ascii="宋体" w:hAnsi="宋体" w:cs="宋体"/>
                <w:b/>
                <w:color w:val="000000" w:themeColor="text1"/>
                <w:szCs w:val="24"/>
                <w:highlight w:val="none"/>
                <w14:textFill>
                  <w14:solidFill>
                    <w14:schemeClr w14:val="tx1"/>
                  </w14:solidFill>
                </w14:textFill>
              </w:rPr>
              <w:t>合同履约期限：</w:t>
            </w:r>
            <w:r>
              <w:rPr>
                <w:rFonts w:hint="eastAsia" w:ascii="宋体" w:hAnsi="宋体" w:cs="宋体"/>
                <w:color w:val="000000" w:themeColor="text1"/>
                <w:szCs w:val="24"/>
                <w:highlight w:val="none"/>
                <w:u w:val="single"/>
                <w:lang w:val="en-US" w:eastAsia="zh-CN"/>
                <w14:textFill>
                  <w14:solidFill>
                    <w14:schemeClr w14:val="tx1"/>
                  </w14:solidFill>
                </w14:textFill>
              </w:rPr>
              <w:t xml:space="preserve"> 75 </w:t>
            </w:r>
            <w:r>
              <w:rPr>
                <w:rFonts w:hint="eastAsia" w:ascii="宋体" w:hAnsi="宋体" w:cs="宋体"/>
                <w:color w:val="000000" w:themeColor="text1"/>
                <w:szCs w:val="24"/>
                <w:highlight w:val="none"/>
                <w14:textFill>
                  <w14:solidFill>
                    <w14:schemeClr w14:val="tx1"/>
                  </w14:solidFill>
                </w14:textFill>
              </w:rPr>
              <w:t>日历天</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（具体时间按合同签订为准。其中含完成设备供货、安装及内容系统的部署、配套装饰等，经测试运行及培训，并通过甲方组织验收合格，正式交付使用，进入质保期（不含试运行）</w:t>
            </w:r>
            <w:r>
              <w:rPr>
                <w:rFonts w:hint="eastAsia" w:ascii="宋体" w:hAnsi="宋体" w:cs="宋体"/>
                <w:color w:val="000000" w:themeColor="text1"/>
                <w:szCs w:val="24"/>
                <w:highlight w:val="none"/>
                <w14:textFill>
                  <w14:solidFill>
                    <w14:schemeClr w14:val="tx1"/>
                  </w14:solidFill>
                </w14:textFill>
              </w:rPr>
              <w:t>。</w:t>
            </w:r>
          </w:p>
          <w:p>
            <w:pPr>
              <w:spacing w:line="360" w:lineRule="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3、合同履约地点：</w:t>
            </w:r>
            <w:r>
              <w:rPr>
                <w:rFonts w:hint="eastAsia" w:ascii="宋体" w:hAnsi="宋体" w:eastAsia="宋体" w:cs="宋体"/>
                <w:b w:val="0"/>
                <w:bCs w:val="0"/>
                <w:color w:val="000000" w:themeColor="text1"/>
                <w:kern w:val="44"/>
                <w:sz w:val="24"/>
                <w:szCs w:val="24"/>
                <w:highlight w:val="none"/>
                <w:lang w:val="en-US" w:eastAsia="zh-Hans" w:bidi="ar-SA"/>
                <w14:textFill>
                  <w14:solidFill>
                    <w14:schemeClr w14:val="tx1"/>
                  </w14:solidFill>
                </w14:textFill>
              </w:rPr>
              <w:t>杭州</w:t>
            </w:r>
            <w:r>
              <w:rPr>
                <w:rFonts w:hint="eastAsia" w:ascii="宋体" w:hAnsi="宋体" w:cs="宋体"/>
                <w:b w:val="0"/>
                <w:bCs w:val="0"/>
                <w:color w:val="000000" w:themeColor="text1"/>
                <w:kern w:val="44"/>
                <w:sz w:val="24"/>
                <w:szCs w:val="24"/>
                <w:highlight w:val="none"/>
                <w:lang w:val="en-US" w:eastAsia="zh-CN" w:bidi="ar-SA"/>
                <w14:textFill>
                  <w14:solidFill>
                    <w14:schemeClr w14:val="tx1"/>
                  </w14:solidFill>
                </w14:textFill>
              </w:rPr>
              <w:t>城西休闲公园</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w:t>
            </w:r>
          </w:p>
          <w:p>
            <w:pPr>
              <w:pStyle w:val="4"/>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4、试运行期：不少于1个月。</w:t>
            </w:r>
          </w:p>
          <w:p>
            <w:pPr>
              <w:keepNext/>
              <w:keepLines/>
              <w:spacing w:line="360" w:lineRule="auto"/>
              <w:outlineLvl w:val="1"/>
              <w:rPr>
                <w:rFonts w:hint="eastAsia" w:ascii="宋体" w:hAnsi="宋体" w:cs="宋体"/>
                <w:color w:val="000000" w:themeColor="text1"/>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5、质保期：</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年。</w:t>
            </w:r>
          </w:p>
        </w:tc>
        <w:tc>
          <w:tcPr>
            <w:tcW w:w="1143" w:type="dxa"/>
            <w:tcBorders>
              <w:tl2br w:val="nil"/>
              <w:tr2bl w:val="nil"/>
            </w:tcBorders>
            <w:vAlign w:val="center"/>
          </w:tcPr>
          <w:p>
            <w:pPr>
              <w:keepNext/>
              <w:keepLines/>
              <w:spacing w:line="360" w:lineRule="auto"/>
              <w:outlineLvl w:val="1"/>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r>
    </w:tbl>
    <w:p>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1、供应商需按本表格式填写，不得自行更改。</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p>
    <w:p>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color w:val="000000" w:themeColor="text1"/>
          <w:kern w:val="0"/>
          <w:sz w:val="24"/>
          <w:highlight w:val="none"/>
          <w:lang w:val="zh-CN"/>
          <w14:textFill>
            <w14:solidFill>
              <w14:schemeClr w14:val="tx1"/>
            </w14:solidFill>
          </w14:textFill>
        </w:rPr>
        <w:t>、特别提示：采购机构将对项目名称和项目编号，中标供应商名称、地址和中标金额，主要中标标的的名称、规格型号、数量、单价、服务要求等予以公示。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szCs w:val="22"/>
          <w:highlight w:val="none"/>
          <w14:textFill>
            <w14:solidFill>
              <w14:schemeClr w14:val="tx1"/>
            </w14:solidFill>
          </w14:textFill>
        </w:rPr>
        <w:t>4</w:t>
      </w:r>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napToGrid w:val="0"/>
        <w:spacing w:line="360" w:lineRule="auto"/>
        <w:ind w:firstLine="576"/>
        <w:jc w:val="center"/>
        <w:rPr>
          <w:rFonts w:hint="eastAsia" w:ascii="宋体" w:hAnsi="宋体" w:cs="宋体"/>
          <w:color w:val="000000" w:themeColor="text1"/>
          <w:kern w:val="0"/>
          <w:sz w:val="24"/>
          <w:highlight w:val="none"/>
          <w:lang w:val="zh-CN"/>
          <w14:textFill>
            <w14:solidFill>
              <w14:schemeClr w14:val="tx1"/>
            </w14:solidFill>
          </w14:textFill>
        </w:rPr>
      </w:pPr>
    </w:p>
    <w:p>
      <w:pPr>
        <w:snapToGrid w:val="0"/>
        <w:spacing w:line="360" w:lineRule="auto"/>
        <w:ind w:firstLine="576"/>
        <w:jc w:val="center"/>
        <w:rPr>
          <w:rFonts w:hint="eastAsia" w:ascii="宋体" w:hAnsi="宋体" w:cs="宋体"/>
          <w:color w:val="000000" w:themeColor="text1"/>
          <w:kern w:val="0"/>
          <w:sz w:val="24"/>
          <w:highlight w:val="none"/>
          <w:lang w:val="zh-CN"/>
          <w14:textFill>
            <w14:solidFill>
              <w14:schemeClr w14:val="tx1"/>
            </w14:solidFill>
          </w14:textFill>
        </w:rPr>
      </w:pPr>
    </w:p>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 xml:space="preserve">供应商名称(电子签名)：                              </w:t>
      </w:r>
    </w:p>
    <w:p>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rPr>
          <w:rFonts w:ascii="宋体" w:hAnsi="宋体" w:cs="宋体"/>
          <w:color w:val="000000" w:themeColor="text1"/>
          <w:sz w:val="32"/>
          <w:szCs w:val="32"/>
          <w:highlight w:val="none"/>
          <w14:textFill>
            <w14:solidFill>
              <w14:schemeClr w14:val="tx1"/>
            </w14:solidFill>
          </w14:textFill>
        </w:rPr>
      </w:pPr>
    </w:p>
    <w:p>
      <w:pPr>
        <w:rPr>
          <w:rFonts w:ascii="宋体" w:hAnsi="宋体" w:cs="宋体"/>
          <w:color w:val="000000" w:themeColor="text1"/>
          <w:sz w:val="32"/>
          <w:szCs w:val="32"/>
          <w:highlight w:val="none"/>
          <w14:textFill>
            <w14:solidFill>
              <w14:schemeClr w14:val="tx1"/>
            </w14:solidFill>
          </w14:textFill>
        </w:rPr>
      </w:pPr>
    </w:p>
    <w:p>
      <w:pPr>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eastAsia="宋体" w:cs="宋体"/>
          <w:b/>
          <w:color w:val="000000" w:themeColor="text1"/>
          <w:sz w:val="28"/>
          <w:szCs w:val="28"/>
          <w:highlight w:val="none"/>
          <w:lang w:eastAsia="zh-CN"/>
          <w14:textFill>
            <w14:solidFill>
              <w14:schemeClr w14:val="tx1"/>
            </w14:solidFill>
          </w14:textFill>
        </w:rPr>
        <w:br w:type="page"/>
      </w:r>
    </w:p>
    <w:p>
      <w:pPr>
        <w:pStyle w:val="2"/>
        <w:ind w:firstLine="0" w:firstLineChars="0"/>
        <w:jc w:val="center"/>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eastAsia="宋体" w:cs="宋体"/>
          <w:b/>
          <w:color w:val="000000" w:themeColor="text1"/>
          <w:sz w:val="28"/>
          <w:szCs w:val="28"/>
          <w:highlight w:val="none"/>
          <w:lang w:eastAsia="zh-CN"/>
          <w14:textFill>
            <w14:solidFill>
              <w14:schemeClr w14:val="tx1"/>
            </w14:solidFill>
          </w14:textFill>
        </w:rPr>
        <w:t>二、有偿维保费报价表</w:t>
      </w:r>
    </w:p>
    <w:p>
      <w:pPr>
        <w:pStyle w:val="2"/>
        <w:ind w:firstLine="0" w:firstLineChars="0"/>
        <w:jc w:val="right"/>
        <w:rPr>
          <w:rFonts w:ascii="宋体" w:hAnsi="宋体" w:eastAsia="宋体" w:cs="宋体"/>
          <w:b/>
          <w:color w:val="000000" w:themeColor="text1"/>
          <w:sz w:val="28"/>
          <w:szCs w:val="28"/>
          <w:highlight w:val="none"/>
          <w14:textFill>
            <w14:solidFill>
              <w14:schemeClr w14:val="tx1"/>
            </w14:solidFill>
          </w14:textFill>
        </w:rPr>
      </w:pPr>
      <w:r>
        <w:rPr>
          <w:rFonts w:hint="eastAsia" w:hAnsi="宋体"/>
          <w:color w:val="000000" w:themeColor="text1"/>
          <w:szCs w:val="24"/>
          <w:highlight w:val="none"/>
          <w:lang w:eastAsia="zh-CN"/>
          <w14:textFill>
            <w14:solidFill>
              <w14:schemeClr w14:val="tx1"/>
            </w14:solidFill>
          </w14:textFill>
        </w:rPr>
        <w:t>单位：人民币</w:t>
      </w:r>
      <w:r>
        <w:rPr>
          <w:rFonts w:hint="eastAsia" w:hAnsi="宋体"/>
          <w:color w:val="000000" w:themeColor="text1"/>
          <w:szCs w:val="24"/>
          <w:highlight w:val="none"/>
          <w:lang w:val="en-US" w:eastAsia="zh-CN"/>
          <w14:textFill>
            <w14:solidFill>
              <w14:schemeClr w14:val="tx1"/>
            </w14:solidFill>
          </w14:textFill>
        </w:rPr>
        <w:t>/</w:t>
      </w:r>
      <w:r>
        <w:rPr>
          <w:rFonts w:hint="eastAsia" w:hAnsi="宋体"/>
          <w:color w:val="000000" w:themeColor="text1"/>
          <w:highlight w:val="none"/>
          <w14:textFill>
            <w14:solidFill>
              <w14:schemeClr w14:val="tx1"/>
            </w14:solidFill>
          </w14:textFill>
        </w:rPr>
        <w:t>元</w:t>
      </w:r>
    </w:p>
    <w:tbl>
      <w:tblPr>
        <w:tblStyle w:val="64"/>
        <w:tblW w:w="909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6"/>
        <w:gridCol w:w="1554"/>
        <w:gridCol w:w="1114"/>
        <w:gridCol w:w="1184"/>
        <w:gridCol w:w="1996"/>
        <w:gridCol w:w="1940"/>
        <w:gridCol w:w="8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68" w:hRule="atLeast"/>
          <w:jc w:val="center"/>
        </w:trPr>
        <w:tc>
          <w:tcPr>
            <w:tcW w:w="426"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序</w:t>
            </w:r>
          </w:p>
          <w:p>
            <w:pPr>
              <w:pStyle w:val="34"/>
              <w:tabs>
                <w:tab w:val="left" w:pos="2340"/>
              </w:tabs>
              <w:snapToGrid w:val="0"/>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号</w:t>
            </w:r>
          </w:p>
        </w:tc>
        <w:tc>
          <w:tcPr>
            <w:tcW w:w="1554" w:type="dxa"/>
            <w:vAlign w:val="center"/>
          </w:tcPr>
          <w:p>
            <w:pPr>
              <w:pStyle w:val="34"/>
              <w:tabs>
                <w:tab w:val="left" w:pos="2340"/>
              </w:tabs>
              <w:snapToGrid w:val="0"/>
              <w:jc w:val="center"/>
              <w:rPr>
                <w:rFonts w:hint="eastAsia" w:hAnsi="宋体" w:eastAsia="宋体"/>
                <w:color w:val="000000" w:themeColor="text1"/>
                <w:highlight w:val="none"/>
                <w:lang w:eastAsia="zh-CN"/>
                <w14:textFill>
                  <w14:solidFill>
                    <w14:schemeClr w14:val="tx1"/>
                  </w14:solidFill>
                </w14:textFill>
              </w:rPr>
            </w:pPr>
            <w:r>
              <w:rPr>
                <w:rFonts w:hint="eastAsia" w:hAnsi="宋体"/>
                <w:color w:val="000000" w:themeColor="text1"/>
                <w:highlight w:val="none"/>
                <w14:textFill>
                  <w14:solidFill>
                    <w14:schemeClr w14:val="tx1"/>
                  </w14:solidFill>
                </w14:textFill>
              </w:rPr>
              <w:t>机械停车设备</w:t>
            </w:r>
            <w:r>
              <w:rPr>
                <w:rFonts w:hint="eastAsia" w:hAnsi="宋体"/>
                <w:color w:val="000000" w:themeColor="text1"/>
                <w:highlight w:val="none"/>
                <w:lang w:eastAsia="zh-CN"/>
                <w14:textFill>
                  <w14:solidFill>
                    <w14:schemeClr w14:val="tx1"/>
                  </w14:solidFill>
                </w14:textFill>
              </w:rPr>
              <w:t>及</w:t>
            </w:r>
            <w:r>
              <w:rPr>
                <w:rFonts w:hAnsi="宋体"/>
                <w:color w:val="000000" w:themeColor="text1"/>
                <w:highlight w:val="none"/>
                <w14:textFill>
                  <w14:solidFill>
                    <w14:schemeClr w14:val="tx1"/>
                  </w14:solidFill>
                </w14:textFill>
              </w:rPr>
              <w:t>型号规格</w:t>
            </w:r>
          </w:p>
        </w:tc>
        <w:tc>
          <w:tcPr>
            <w:tcW w:w="1114"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lang w:eastAsia="zh-CN"/>
                <w14:textFill>
                  <w14:solidFill>
                    <w14:schemeClr w14:val="tx1"/>
                  </w14:solidFill>
                </w14:textFill>
              </w:rPr>
              <w:t>维保</w:t>
            </w:r>
            <w:r>
              <w:rPr>
                <w:rFonts w:hint="eastAsia" w:hAnsi="宋体"/>
                <w:color w:val="000000" w:themeColor="text1"/>
                <w:highlight w:val="none"/>
                <w14:textFill>
                  <w14:solidFill>
                    <w14:schemeClr w14:val="tx1"/>
                  </w14:solidFill>
                </w14:textFill>
              </w:rPr>
              <w:t>服务内容</w:t>
            </w:r>
          </w:p>
        </w:tc>
        <w:tc>
          <w:tcPr>
            <w:tcW w:w="1184"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数量</w:t>
            </w:r>
          </w:p>
        </w:tc>
        <w:tc>
          <w:tcPr>
            <w:tcW w:w="1996" w:type="dxa"/>
            <w:tcBorders>
              <w:right w:val="single" w:color="auto" w:sz="4" w:space="0"/>
            </w:tcBorders>
            <w:vAlign w:val="center"/>
          </w:tcPr>
          <w:p>
            <w:pPr>
              <w:pStyle w:val="34"/>
              <w:tabs>
                <w:tab w:val="left" w:pos="2340"/>
              </w:tabs>
              <w:snapToGrid w:val="0"/>
              <w:ind w:right="-105"/>
              <w:jc w:val="center"/>
              <w:rPr>
                <w:rFonts w:hint="default" w:hAnsi="宋体" w:eastAsia="宋体"/>
                <w:color w:val="000000" w:themeColor="text1"/>
                <w:highlight w:val="none"/>
                <w:lang w:val="en-US" w:eastAsia="zh-CN"/>
                <w14:textFill>
                  <w14:solidFill>
                    <w14:schemeClr w14:val="tx1"/>
                  </w14:solidFill>
                </w14:textFill>
              </w:rPr>
            </w:pPr>
            <w:r>
              <w:rPr>
                <w:rFonts w:hint="eastAsia" w:hAnsi="宋体"/>
                <w:color w:val="000000" w:themeColor="text1"/>
                <w:highlight w:val="none"/>
                <w14:textFill>
                  <w14:solidFill>
                    <w14:schemeClr w14:val="tx1"/>
                  </w14:solidFill>
                </w14:textFill>
              </w:rPr>
              <w:t>综合</w:t>
            </w:r>
            <w:r>
              <w:rPr>
                <w:rFonts w:hAnsi="宋体"/>
                <w:color w:val="000000" w:themeColor="text1"/>
                <w:highlight w:val="none"/>
                <w14:textFill>
                  <w14:solidFill>
                    <w14:schemeClr w14:val="tx1"/>
                  </w14:solidFill>
                </w14:textFill>
              </w:rPr>
              <w:t>单价</w:t>
            </w:r>
            <w:r>
              <w:rPr>
                <w:rFonts w:hint="eastAsia" w:hAnsi="宋体"/>
                <w:color w:val="000000" w:themeColor="text1"/>
                <w:highlight w:val="none"/>
                <w:lang w:val="en-US" w:eastAsia="zh-CN"/>
                <w14:textFill>
                  <w14:solidFill>
                    <w14:schemeClr w14:val="tx1"/>
                  </w14:solidFill>
                </w14:textFill>
              </w:rPr>
              <w:t>/位/年</w:t>
            </w:r>
          </w:p>
        </w:tc>
        <w:tc>
          <w:tcPr>
            <w:tcW w:w="1940" w:type="dxa"/>
            <w:tcBorders>
              <w:left w:val="single" w:color="auto" w:sz="4" w:space="0"/>
            </w:tcBorders>
            <w:vAlign w:val="center"/>
          </w:tcPr>
          <w:p>
            <w:pPr>
              <w:pStyle w:val="34"/>
              <w:tabs>
                <w:tab w:val="left" w:pos="2340"/>
              </w:tabs>
              <w:snapToGrid w:val="0"/>
              <w:ind w:right="-105"/>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小计</w:t>
            </w:r>
          </w:p>
        </w:tc>
        <w:tc>
          <w:tcPr>
            <w:tcW w:w="881" w:type="dxa"/>
            <w:tcBorders>
              <w:left w:val="single" w:color="auto" w:sz="4" w:space="0"/>
            </w:tcBorders>
            <w:vAlign w:val="center"/>
          </w:tcPr>
          <w:p>
            <w:pPr>
              <w:pStyle w:val="34"/>
              <w:tabs>
                <w:tab w:val="left" w:pos="2340"/>
              </w:tabs>
              <w:snapToGrid w:val="0"/>
              <w:ind w:right="-105"/>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6"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w:t>
            </w:r>
          </w:p>
        </w:tc>
        <w:tc>
          <w:tcPr>
            <w:tcW w:w="1554" w:type="dxa"/>
            <w:vAlign w:val="center"/>
          </w:tcPr>
          <w:p>
            <w:pPr>
              <w:widowControl/>
              <w:tabs>
                <w:tab w:val="left" w:pos="2340"/>
              </w:tabs>
              <w:jc w:val="center"/>
              <w:rPr>
                <w:rFonts w:ascii="宋体" w:hAnsi="宋体" w:cs="宋体"/>
                <w:color w:val="000000" w:themeColor="text1"/>
                <w:kern w:val="0"/>
                <w:szCs w:val="21"/>
                <w:highlight w:val="none"/>
                <w14:textFill>
                  <w14:solidFill>
                    <w14:schemeClr w14:val="tx1"/>
                  </w14:solidFill>
                </w14:textFill>
              </w:rPr>
            </w:pPr>
          </w:p>
        </w:tc>
        <w:tc>
          <w:tcPr>
            <w:tcW w:w="1114" w:type="dxa"/>
            <w:vAlign w:val="center"/>
          </w:tcPr>
          <w:p>
            <w:pPr>
              <w:widowControl/>
              <w:tabs>
                <w:tab w:val="left" w:pos="2340"/>
              </w:tabs>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w:t>
            </w:r>
          </w:p>
        </w:tc>
        <w:tc>
          <w:tcPr>
            <w:tcW w:w="1184" w:type="dxa"/>
            <w:vAlign w:val="center"/>
          </w:tcPr>
          <w:p>
            <w:pPr>
              <w:widowControl/>
              <w:tabs>
                <w:tab w:val="left" w:pos="2340"/>
              </w:tabs>
              <w:jc w:val="center"/>
              <w:rPr>
                <w:rFonts w:ascii="宋体" w:hAnsi="宋体" w:cs="宋体"/>
                <w:color w:val="000000" w:themeColor="text1"/>
                <w:kern w:val="0"/>
                <w:szCs w:val="21"/>
                <w:highlight w:val="none"/>
                <w14:textFill>
                  <w14:solidFill>
                    <w14:schemeClr w14:val="tx1"/>
                  </w14:solidFill>
                </w14:textFill>
              </w:rPr>
            </w:pPr>
          </w:p>
        </w:tc>
        <w:tc>
          <w:tcPr>
            <w:tcW w:w="1996"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p>
        </w:tc>
        <w:tc>
          <w:tcPr>
            <w:tcW w:w="1940"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p>
        </w:tc>
        <w:tc>
          <w:tcPr>
            <w:tcW w:w="881"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6"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w:t>
            </w:r>
          </w:p>
        </w:tc>
        <w:tc>
          <w:tcPr>
            <w:tcW w:w="1554" w:type="dxa"/>
            <w:vAlign w:val="center"/>
          </w:tcPr>
          <w:p>
            <w:pPr>
              <w:widowControl/>
              <w:tabs>
                <w:tab w:val="left" w:pos="2340"/>
              </w:tabs>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w:t>
            </w:r>
          </w:p>
        </w:tc>
        <w:tc>
          <w:tcPr>
            <w:tcW w:w="1114" w:type="dxa"/>
            <w:vAlign w:val="center"/>
          </w:tcPr>
          <w:p>
            <w:pPr>
              <w:widowControl/>
              <w:tabs>
                <w:tab w:val="left" w:pos="2340"/>
              </w:tabs>
              <w:jc w:val="center"/>
              <w:rPr>
                <w:rFonts w:ascii="宋体" w:hAnsi="宋体" w:cs="宋体"/>
                <w:color w:val="000000" w:themeColor="text1"/>
                <w:kern w:val="0"/>
                <w:szCs w:val="21"/>
                <w:highlight w:val="none"/>
                <w14:textFill>
                  <w14:solidFill>
                    <w14:schemeClr w14:val="tx1"/>
                  </w14:solidFill>
                </w14:textFill>
              </w:rPr>
            </w:pPr>
          </w:p>
        </w:tc>
        <w:tc>
          <w:tcPr>
            <w:tcW w:w="1184" w:type="dxa"/>
            <w:vAlign w:val="center"/>
          </w:tcPr>
          <w:p>
            <w:pPr>
              <w:widowControl/>
              <w:tabs>
                <w:tab w:val="left" w:pos="2340"/>
              </w:tabs>
              <w:jc w:val="center"/>
              <w:rPr>
                <w:rFonts w:ascii="宋体" w:hAnsi="宋体" w:cs="宋体"/>
                <w:color w:val="000000" w:themeColor="text1"/>
                <w:kern w:val="0"/>
                <w:szCs w:val="21"/>
                <w:highlight w:val="none"/>
                <w14:textFill>
                  <w14:solidFill>
                    <w14:schemeClr w14:val="tx1"/>
                  </w14:solidFill>
                </w14:textFill>
              </w:rPr>
            </w:pPr>
          </w:p>
        </w:tc>
        <w:tc>
          <w:tcPr>
            <w:tcW w:w="1996"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p>
        </w:tc>
        <w:tc>
          <w:tcPr>
            <w:tcW w:w="1940"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p>
        </w:tc>
        <w:tc>
          <w:tcPr>
            <w:tcW w:w="881"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274" w:type="dxa"/>
            <w:gridSpan w:val="5"/>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合计（含税）元/车位/年</w:t>
            </w:r>
          </w:p>
        </w:tc>
        <w:tc>
          <w:tcPr>
            <w:tcW w:w="1940"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p>
        </w:tc>
        <w:tc>
          <w:tcPr>
            <w:tcW w:w="881"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4" w:hRule="atLeast"/>
          <w:jc w:val="center"/>
        </w:trPr>
        <w:tc>
          <w:tcPr>
            <w:tcW w:w="8214" w:type="dxa"/>
            <w:gridSpan w:val="6"/>
            <w:vAlign w:val="center"/>
          </w:tcPr>
          <w:p>
            <w:pPr>
              <w:pStyle w:val="34"/>
              <w:tabs>
                <w:tab w:val="left" w:pos="2340"/>
              </w:tabs>
              <w:snapToGrid w:val="0"/>
              <w:jc w:val="left"/>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备注</w:t>
            </w:r>
            <w:r>
              <w:rPr>
                <w:rFonts w:hint="eastAsia" w:hAnsi="宋体"/>
                <w:color w:val="000000" w:themeColor="text1"/>
                <w:sz w:val="24"/>
                <w:szCs w:val="24"/>
                <w:highlight w:val="none"/>
                <w:lang w:val="en-US" w:eastAsia="zh-CN"/>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lang w:eastAsia="zh-CN"/>
                <w14:textFill>
                  <w14:solidFill>
                    <w14:schemeClr w14:val="tx1"/>
                  </w14:solidFill>
                </w14:textFill>
              </w:rPr>
              <w:t>有偿</w:t>
            </w:r>
            <w:r>
              <w:rPr>
                <w:rFonts w:hint="eastAsia" w:hAnsi="宋体"/>
                <w:color w:val="000000" w:themeColor="text1"/>
                <w:sz w:val="24"/>
                <w:szCs w:val="24"/>
                <w:highlight w:val="none"/>
                <w14:textFill>
                  <w14:solidFill>
                    <w14:schemeClr w14:val="tx1"/>
                  </w14:solidFill>
                </w14:textFill>
              </w:rPr>
              <w:t>维保</w:t>
            </w:r>
            <w:r>
              <w:rPr>
                <w:rFonts w:hint="eastAsia" w:hAnsi="宋体"/>
                <w:color w:val="000000" w:themeColor="text1"/>
                <w:sz w:val="24"/>
                <w:szCs w:val="24"/>
                <w:highlight w:val="none"/>
                <w:lang w:eastAsia="zh-CN"/>
                <w14:textFill>
                  <w14:solidFill>
                    <w14:schemeClr w14:val="tx1"/>
                  </w14:solidFill>
                </w14:textFill>
              </w:rPr>
              <w:t>费</w:t>
            </w:r>
            <w:r>
              <w:rPr>
                <w:rFonts w:hint="eastAsia" w:hAnsi="宋体"/>
                <w:color w:val="000000" w:themeColor="text1"/>
                <w:sz w:val="24"/>
                <w:szCs w:val="24"/>
                <w:highlight w:val="none"/>
                <w14:textFill>
                  <w14:solidFill>
                    <w14:schemeClr w14:val="tx1"/>
                  </w14:solidFill>
                </w14:textFill>
              </w:rPr>
              <w:t>最高限价800元/车位/年。</w:t>
            </w:r>
          </w:p>
          <w:p>
            <w:pPr>
              <w:pStyle w:val="34"/>
              <w:tabs>
                <w:tab w:val="left" w:pos="2340"/>
              </w:tabs>
              <w:snapToGrid w:val="0"/>
              <w:jc w:val="left"/>
              <w:rPr>
                <w:rFonts w:hint="default" w:hAnsi="宋体" w:eastAsia="宋体"/>
                <w:color w:val="000000" w:themeColor="text1"/>
                <w:sz w:val="24"/>
                <w:szCs w:val="24"/>
                <w:highlight w:val="none"/>
                <w:lang w:val="en-US" w:eastAsia="zh-CN"/>
                <w14:textFill>
                  <w14:solidFill>
                    <w14:schemeClr w14:val="tx1"/>
                  </w14:solidFill>
                </w14:textFill>
              </w:rPr>
            </w:pPr>
            <w:r>
              <w:rPr>
                <w:rFonts w:hint="eastAsia" w:hAnsi="宋体"/>
                <w:color w:val="000000" w:themeColor="text1"/>
                <w:sz w:val="24"/>
                <w:szCs w:val="24"/>
                <w:highlight w:val="none"/>
                <w:lang w:eastAsia="zh-CN"/>
                <w14:textFill>
                  <w14:solidFill>
                    <w14:schemeClr w14:val="tx1"/>
                  </w14:solidFill>
                </w14:textFill>
              </w:rPr>
              <w:t>备注：本维保费综合单价有效期限</w:t>
            </w:r>
            <w:r>
              <w:rPr>
                <w:rFonts w:hint="eastAsia" w:hAnsi="宋体"/>
                <w:color w:val="000000" w:themeColor="text1"/>
                <w:sz w:val="24"/>
                <w:szCs w:val="24"/>
                <w:highlight w:val="none"/>
                <w:lang w:val="en-US" w:eastAsia="zh-CN"/>
                <w14:textFill>
                  <w14:solidFill>
                    <w14:schemeClr w14:val="tx1"/>
                  </w14:solidFill>
                </w14:textFill>
              </w:rPr>
              <w:t>3年，有效期限以外的综合单位重新议价。</w:t>
            </w:r>
          </w:p>
        </w:tc>
        <w:tc>
          <w:tcPr>
            <w:tcW w:w="881" w:type="dxa"/>
            <w:vAlign w:val="center"/>
          </w:tcPr>
          <w:p>
            <w:pPr>
              <w:pStyle w:val="34"/>
              <w:tabs>
                <w:tab w:val="left" w:pos="2340"/>
              </w:tabs>
              <w:snapToGrid w:val="0"/>
              <w:jc w:val="left"/>
              <w:rPr>
                <w:rFonts w:hAnsi="宋体"/>
                <w:color w:val="000000" w:themeColor="text1"/>
                <w:sz w:val="24"/>
                <w:szCs w:val="24"/>
                <w:highlight w:val="none"/>
                <w14:textFill>
                  <w14:solidFill>
                    <w14:schemeClr w14:val="tx1"/>
                  </w14:solidFill>
                </w14:textFill>
              </w:rPr>
            </w:pPr>
          </w:p>
        </w:tc>
      </w:tr>
    </w:tbl>
    <w:p>
      <w:pPr>
        <w:snapToGrid w:val="0"/>
        <w:spacing w:line="360" w:lineRule="auto"/>
        <w:ind w:firstLine="576"/>
        <w:jc w:val="center"/>
        <w:rPr>
          <w:rFonts w:hint="eastAsia" w:ascii="宋体" w:hAnsi="宋体" w:cs="宋体"/>
          <w:color w:val="000000" w:themeColor="text1"/>
          <w:kern w:val="0"/>
          <w:sz w:val="24"/>
          <w:highlight w:val="none"/>
          <w:lang w:val="zh-CN"/>
          <w14:textFill>
            <w14:solidFill>
              <w14:schemeClr w14:val="tx1"/>
            </w14:solidFill>
          </w14:textFill>
        </w:rPr>
      </w:pPr>
    </w:p>
    <w:p>
      <w:pPr>
        <w:snapToGrid w:val="0"/>
        <w:spacing w:line="360" w:lineRule="auto"/>
        <w:ind w:firstLine="576"/>
        <w:jc w:val="center"/>
        <w:rPr>
          <w:rFonts w:hint="eastAsia" w:ascii="宋体" w:hAnsi="宋体" w:cs="宋体"/>
          <w:color w:val="000000" w:themeColor="text1"/>
          <w:kern w:val="0"/>
          <w:sz w:val="24"/>
          <w:highlight w:val="none"/>
          <w:lang w:val="zh-CN"/>
          <w14:textFill>
            <w14:solidFill>
              <w14:schemeClr w14:val="tx1"/>
            </w14:solidFill>
          </w14:textFill>
        </w:rPr>
      </w:pPr>
    </w:p>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 xml:space="preserve">供应商名称(电子签名)：                              </w:t>
      </w:r>
    </w:p>
    <w:p>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rPr>
          <w:rFonts w:hint="eastAsia" w:ascii="宋体" w:hAnsi="宋体" w:eastAsia="宋体" w:cs="宋体"/>
          <w:color w:val="000000" w:themeColor="text1"/>
          <w:kern w:val="2"/>
          <w:sz w:val="32"/>
          <w:szCs w:val="32"/>
          <w:highlight w:val="none"/>
          <w14:textFill>
            <w14:solidFill>
              <w14:schemeClr w14:val="tx1"/>
            </w14:solidFill>
          </w14:textFill>
        </w:rPr>
      </w:pPr>
    </w:p>
    <w:p>
      <w:pPr>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br w:type="page"/>
      </w:r>
    </w:p>
    <w:p>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三、</w:t>
      </w:r>
      <w:r>
        <w:rPr>
          <w:rFonts w:hint="eastAsia" w:ascii="宋体" w:hAnsi="宋体" w:eastAsia="宋体" w:cs="宋体"/>
          <w:color w:val="000000" w:themeColor="text1"/>
          <w:sz w:val="32"/>
          <w:szCs w:val="32"/>
          <w:highlight w:val="none"/>
          <w14:textFill>
            <w14:solidFill>
              <w14:schemeClr w14:val="tx1"/>
            </w14:solidFill>
          </w14:textFill>
        </w:rPr>
        <w:t>中小企业声明函</w:t>
      </w:r>
    </w:p>
    <w:p>
      <w:pPr>
        <w:widowControl/>
        <w:spacing w:line="360" w:lineRule="auto"/>
        <w:ind w:firstLine="120" w:firstLineChars="5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2"/>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tabs>
          <w:tab w:val="left" w:pos="8085"/>
        </w:tabs>
        <w:spacing w:line="360" w:lineRule="auto"/>
        <w:ind w:firstLine="1285" w:firstLineChars="400"/>
        <w:jc w:val="left"/>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政府采购支持中小企业信用融资相关事项通知</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一、适用对象</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二、相关信息获取方式</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　政府采购信用融资操作流程：</w:t>
      </w:r>
    </w:p>
    <w:p>
      <w:pPr>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（一）线上融资模式：</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1.供应商根据合作银行提供的方案，自行选择金融产品，并办理开户等手续；</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2.供应商中标后，可通过杭州市政府采购网或“浙里办”测算授信额度；</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3.采购合同签订后，供应商在杭州市政府采购网或“浙里办”向合作银行发出融资申请；</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4.审批通过后，在线办理放贷手续。</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（二）线下融资模式：</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1.供应商根据合作银行提供的方案，自行选择金融产品，向合作银行提出信用资格预审，并办理开户等手续；</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2.采购合同签订后，供应商在杭州市政府采购网或“浙里办”向合作银行发出融资申请；</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4.审批通过后，合作银行应按照合作备忘录中约定的审批放款期限和优惠利率及时予以放款。</w:t>
      </w:r>
    </w:p>
    <w:p>
      <w:pPr>
        <w:pStyle w:val="5"/>
        <w:numPr>
          <w:ilvl w:val="255"/>
          <w:numId w:val="0"/>
        </w:numPr>
        <w:ind w:firstLine="960" w:firstLineChars="400"/>
        <w:rPr>
          <w:rFonts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（三）杭州e融平台申请融资</w:t>
      </w:r>
    </w:p>
    <w:p>
      <w:pPr>
        <w:pStyle w:val="5"/>
        <w:numPr>
          <w:ilvl w:val="255"/>
          <w:numId w:val="0"/>
        </w:numPr>
        <w:ind w:firstLine="960" w:firstLineChars="400"/>
        <w:rPr>
          <w:rFonts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供应商通过杭州e融平台政采贷专区，自行选择金融产品，按规定手续办理贷款流程。</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四、注意事项</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color w:val="000000" w:themeColor="text1"/>
          <w:kern w:val="0"/>
          <w:sz w:val="24"/>
          <w:highlight w:val="none"/>
          <w14:textFill>
            <w14:solidFill>
              <w14:schemeClr w14:val="tx1"/>
            </w14:solidFill>
          </w14:textFill>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highlight w:val="none"/>
          <w14:textFill>
            <w14:solidFill>
              <w14:schemeClr w14:val="tx1"/>
            </w14:solidFill>
          </w14:textFill>
        </w:rPr>
      </w:pPr>
      <w:bookmarkStart w:id="559" w:name="_Toc465665161"/>
      <w:r>
        <w:rPr>
          <w:rFonts w:hint="eastAsia" w:ascii="宋体" w:hAnsi="宋体" w:cs="宋体"/>
          <w:color w:val="000000" w:themeColor="text1"/>
          <w:highlight w:val="none"/>
          <w14:textFill>
            <w14:solidFill>
              <w14:schemeClr w14:val="tx1"/>
            </w14:solidFill>
          </w14:textFill>
        </w:rPr>
        <w:t>附件</w:t>
      </w:r>
      <w:bookmarkEnd w:id="559"/>
    </w:p>
    <w:p>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560" w:name="OLE_LINK13"/>
      <w:bookmarkStart w:id="561" w:name="OLE_LINK14"/>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560"/>
    <w:bookmarkEnd w:id="561"/>
    <w:p>
      <w:pPr>
        <w:spacing w:line="360" w:lineRule="auto"/>
        <w:rPr>
          <w:rFonts w:ascii="宋体" w:hAnsi="宋体" w:cs="宋体"/>
          <w:b/>
          <w:color w:val="000000" w:themeColor="text1"/>
          <w:spacing w:val="6"/>
          <w:sz w:val="30"/>
          <w:szCs w:val="30"/>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供应商名称（电子签名）</w:t>
      </w:r>
      <w:r>
        <w:rPr>
          <w:rFonts w:hint="eastAsia" w:ascii="宋体" w:hAnsi="宋体" w:cs="宋体"/>
          <w:color w:val="000000" w:themeColor="text1"/>
          <w:sz w:val="24"/>
          <w:highlight w:val="none"/>
          <w14:textFill>
            <w14:solidFill>
              <w14:schemeClr w14:val="tx1"/>
            </w14:solidFill>
          </w14:textFill>
        </w:rPr>
        <w:t>：</w:t>
      </w:r>
    </w:p>
    <w:p>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pPr>
        <w:spacing w:line="360" w:lineRule="auto"/>
        <w:jc w:val="center"/>
        <w:rPr>
          <w:rFonts w:ascii="宋体" w:hAnsi="宋体" w:cs="宋体"/>
          <w:b/>
          <w:bCs/>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b/>
          <w:bCs/>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000000" w:themeColor="text1"/>
          <w:sz w:val="24"/>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杭州西湖风景名胜区建设管理中心</w:t>
      </w:r>
      <w:r>
        <w:rPr>
          <w:rFonts w:hint="eastAsia" w:ascii="宋体" w:hAnsi="宋体" w:cs="宋体"/>
          <w:color w:val="000000" w:themeColor="text1"/>
          <w:sz w:val="24"/>
          <w:highlight w:val="none"/>
          <w:u w:val="single"/>
          <w14:textFill>
            <w14:solidFill>
              <w14:schemeClr w14:val="tx1"/>
            </w14:solidFill>
          </w14:textFill>
        </w:rPr>
        <w:t>、浙江泛亚工程咨询有限公司</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w:t>
      </w:r>
      <w:r>
        <w:rPr>
          <w:rFonts w:hint="eastAsia" w:ascii="宋体" w:hAnsi="宋体" w:cs="宋体"/>
          <w:color w:val="000000" w:themeColor="text1"/>
          <w:sz w:val="24"/>
          <w:highlight w:val="none"/>
          <w:lang w:eastAsia="zh-CN"/>
          <w14:textFill>
            <w14:solidFill>
              <w14:schemeClr w14:val="tx1"/>
            </w14:solidFill>
          </w14:textFill>
        </w:rPr>
        <w:t>杭州城西休闲公园地下停车库及配套服务用房--机械车位项目</w:t>
      </w:r>
      <w:r>
        <w:rPr>
          <w:rFonts w:hint="eastAsia" w:ascii="宋体" w:hAnsi="宋体" w:cs="宋体"/>
          <w:color w:val="000000" w:themeColor="text1"/>
          <w:sz w:val="24"/>
          <w:highlight w:val="none"/>
          <w14:textFill>
            <w14:solidFill>
              <w14:schemeClr w14:val="tx1"/>
            </w14:solidFill>
          </w14:textFill>
        </w:rPr>
        <w:t>项目【项目编号:</w:t>
      </w:r>
      <w:r>
        <w:rPr>
          <w:rFonts w:hint="eastAsia" w:ascii="宋体" w:hAnsi="宋体" w:cs="宋体"/>
          <w:color w:val="000000" w:themeColor="text1"/>
          <w:sz w:val="24"/>
          <w:highlight w:val="none"/>
          <w:lang w:eastAsia="zh-CN"/>
          <w14:textFill>
            <w14:solidFill>
              <w14:schemeClr w14:val="tx1"/>
            </w14:solidFill>
          </w14:textFill>
        </w:rPr>
        <w:t>LFF-202211-138</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供应商（法定名称章）：</w:t>
      </w:r>
    </w:p>
    <w:p>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供应商法定名称章（印模）                供应商“XX专用章”（印模）</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附件5：</w:t>
      </w:r>
      <w:r>
        <w:rPr>
          <w:rFonts w:hint="eastAsia" w:ascii="宋体" w:hAnsi="宋体" w:cs="宋体"/>
          <w:b/>
          <w:color w:val="000000" w:themeColor="text1"/>
          <w:sz w:val="32"/>
          <w:szCs w:val="32"/>
          <w:highlight w:val="none"/>
          <w14:textFill>
            <w14:solidFill>
              <w14:schemeClr w14:val="tx1"/>
            </w14:solidFill>
          </w14:textFill>
        </w:rPr>
        <w:t>中小企业声明函</w:t>
      </w:r>
    </w:p>
    <w:p>
      <w:pPr>
        <w:spacing w:line="360" w:lineRule="auto"/>
        <w:jc w:val="center"/>
        <w:rPr>
          <w:rFonts w:ascii="宋体" w:hAnsi="宋体" w:cs="宋体"/>
          <w:color w:val="000000" w:themeColor="text1"/>
          <w:sz w:val="24"/>
          <w:highlight w:val="none"/>
          <w:u w:val="single"/>
          <w14:textFill>
            <w14:solidFill>
              <w14:schemeClr w14:val="tx1"/>
            </w14:solidFill>
          </w14:textFill>
        </w:rPr>
      </w:pPr>
    </w:p>
    <w:p>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中小企业声明函（工程、服务）</w:t>
      </w:r>
    </w:p>
    <w:p>
      <w:pPr>
        <w:spacing w:line="360" w:lineRule="auto"/>
        <w:rPr>
          <w:rFonts w:ascii="宋体" w:hAnsi="宋体" w:cs="宋体"/>
          <w:color w:val="000000" w:themeColor="text1"/>
          <w:highlight w:val="none"/>
          <w14:textFill>
            <w14:solidFill>
              <w14:schemeClr w14:val="tx1"/>
            </w14:solidFill>
          </w14:textFill>
        </w:rPr>
      </w:pPr>
    </w:p>
    <w:p>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（单位名称）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杭州城西休闲公园地下停车库及配套服务用房--机械车位项目</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ind w:right="176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供应商名称（电子签名）：</w:t>
      </w:r>
    </w:p>
    <w:p>
      <w:pPr>
        <w:spacing w:line="360" w:lineRule="auto"/>
        <w:ind w:right="1120" w:firstLine="4680" w:firstLineChars="19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pPr>
        <w:spacing w:line="360" w:lineRule="auto"/>
        <w:ind w:firstLine="310" w:firstLineChars="147"/>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pPr>
        <w:spacing w:line="360" w:lineRule="auto"/>
        <w:ind w:right="420"/>
        <w:rPr>
          <w:rFonts w:ascii="宋体" w:hAnsi="宋体" w:cs="宋体"/>
          <w:color w:val="000000" w:themeColor="text1"/>
          <w:sz w:val="24"/>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注：</w:t>
      </w:r>
    </w:p>
    <w:p>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要求：①“标的名称”、“采购文件中明确的所属行业”依据采购文件第二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rPr>
          <w:rFonts w:hint="eastAsia" w:ascii="宋体" w:hAnsi="宋体" w:cs="宋体"/>
          <w:color w:val="000000" w:themeColor="text1"/>
          <w:sz w:val="24"/>
          <w:highlight w:val="none"/>
          <w14:textFill>
            <w14:solidFill>
              <w14:schemeClr w14:val="tx1"/>
            </w14:solidFill>
          </w14:textFill>
        </w:rPr>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color w:val="000000" w:themeColor="text1"/>
          <w:sz w:val="24"/>
          <w:highlight w:val="none"/>
          <w14:textFill>
            <w14:solidFill>
              <w14:schemeClr w14:val="tx1"/>
            </w14:solidFill>
          </w14:textFill>
        </w:rPr>
        <w:br w:type="page"/>
      </w:r>
    </w:p>
    <w:p>
      <w:pPr>
        <w:pStyle w:val="4"/>
        <w:rPr>
          <w:rFonts w:ascii="宋体" w:hAnsi="宋体" w:cs="宋体"/>
          <w:bCs/>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1312" behindDoc="0" locked="0" layoutInCell="1" allowOverlap="1">
            <wp:simplePos x="0" y="0"/>
            <wp:positionH relativeFrom="column">
              <wp:posOffset>704850</wp:posOffset>
            </wp:positionH>
            <wp:positionV relativeFrom="paragraph">
              <wp:posOffset>994410</wp:posOffset>
            </wp:positionV>
            <wp:extent cx="8671560" cy="5244465"/>
            <wp:effectExtent l="0" t="0" r="15240" b="133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8671560" cy="5244465"/>
                    </a:xfrm>
                    <a:prstGeom prst="rect">
                      <a:avLst/>
                    </a:prstGeom>
                    <a:noFill/>
                    <a:ln>
                      <a:noFill/>
                    </a:ln>
                  </pic:spPr>
                </pic:pic>
              </a:graphicData>
            </a:graphic>
          </wp:anchor>
        </w:drawing>
      </w:r>
    </w:p>
    <w:sectPr>
      <w:pgSz w:w="16838" w:h="11906" w:orient="landscape"/>
      <w:pgMar w:top="1418" w:right="1276" w:bottom="1418" w:left="1247"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_GB2312">
    <w:altName w:val="微软雅黑"/>
    <w:panose1 w:val="00000000000000000000"/>
    <w:charset w:val="00"/>
    <w:family w:val="auto"/>
    <w:pitch w:val="default"/>
    <w:sig w:usb0="00000000" w:usb1="00000000" w:usb2="00000000" w:usb3="00000000" w:csb0="0000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62" w:name="_Toc131845147"/>
    <w:bookmarkStart w:id="563" w:name="_Toc36110187"/>
    <w:bookmarkStart w:id="564" w:name="_Toc91899912"/>
    <w:bookmarkStart w:id="565" w:name="_Toc164085800"/>
    <w:r>
      <w:rPr>
        <w:rFonts w:hint="eastAsia" w:ascii="仿宋_GB2312" w:eastAsia="仿宋_GB2312"/>
        <w:kern w:val="0"/>
        <w:szCs w:val="21"/>
      </w:rPr>
      <w:t xml:space="preserve"> 页</w:t>
    </w:r>
    <w:bookmarkEnd w:id="562"/>
    <w:bookmarkEnd w:id="563"/>
    <w:bookmarkEnd w:id="564"/>
    <w:bookmarkEnd w:id="56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w:t>
    </w:r>
    <w:r>
      <w:rPr>
        <w:rFonts w:hint="eastAsia"/>
      </w:rPr>
      <w:t>采购文件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w:t>
    </w:r>
    <w:r>
      <w:rPr>
        <w:rFonts w:hint="eastAsia"/>
        <w:lang w:val="zh-CN"/>
      </w:rPr>
      <w:t>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b/>
        <w:i/>
        <w:u w:val="single"/>
      </w:rPr>
    </w:pPr>
    <w:r>
      <w:t></w:t>
    </w:r>
    <w:r>
      <w:rPr>
        <w:rFonts w:hint="eastAsia"/>
      </w:rPr>
      <w:t xml:space="preserve">                                                  </w:t>
    </w:r>
    <w:r>
      <w:t>杭州市政府采购公开</w:t>
    </w:r>
    <w:r>
      <w:rPr>
        <w:rFonts w:hint="eastAsia"/>
      </w:rPr>
      <w:t>采购文件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w:t>
    </w:r>
    <w:r>
      <w:rPr>
        <w:rFonts w:hint="eastAsia"/>
      </w:rPr>
      <w:t>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b/>
        <w:i/>
        <w:u w:val="single"/>
      </w:rPr>
    </w:pPr>
    <w:r>
      <w:rPr>
        <w:rFonts w:hint="eastAsia"/>
      </w:rPr>
      <w:t xml:space="preserve">                                  </w:t>
    </w:r>
    <w:r>
      <w:t>杭州市政府采购公开</w:t>
    </w:r>
    <w:r>
      <w:rPr>
        <w:rFonts w:hint="eastAsia"/>
      </w:rPr>
      <w:t>采购文件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w:t>
    </w:r>
    <w:r>
      <w:rPr>
        <w:rFonts w:hint="eastAsia"/>
      </w:rPr>
      <w:t>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b/>
        <w:i/>
        <w:iCs/>
        <w:u w:val="single"/>
      </w:rPr>
    </w:pPr>
    <w:r>
      <w:t>杭州市政府采购公开</w:t>
    </w:r>
    <w:r>
      <w:rPr>
        <w:rFonts w:hint="eastAsia"/>
      </w:rPr>
      <w:t>采购文件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w:t>
    </w:r>
    <w:r>
      <w:rPr>
        <w:rFonts w:hint="eastAsia"/>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1AFF5"/>
    <w:multiLevelType w:val="singleLevel"/>
    <w:tmpl w:val="8EE1AFF5"/>
    <w:lvl w:ilvl="0" w:tentative="0">
      <w:start w:val="1"/>
      <w:numFmt w:val="decimal"/>
      <w:suff w:val="nothing"/>
      <w:lvlText w:val="%1、"/>
      <w:lvlJc w:val="left"/>
    </w:lvl>
  </w:abstractNum>
  <w:abstractNum w:abstractNumId="1">
    <w:nsid w:val="A5038E33"/>
    <w:multiLevelType w:val="singleLevel"/>
    <w:tmpl w:val="A5038E33"/>
    <w:lvl w:ilvl="0" w:tentative="0">
      <w:start w:val="2"/>
      <w:numFmt w:val="decimal"/>
      <w:suff w:val="nothing"/>
      <w:lvlText w:val="%1、"/>
      <w:lvlJc w:val="left"/>
    </w:lvl>
  </w:abstractNum>
  <w:abstractNum w:abstractNumId="2">
    <w:nsid w:val="51C27EDC"/>
    <w:multiLevelType w:val="singleLevel"/>
    <w:tmpl w:val="51C27EDC"/>
    <w:lvl w:ilvl="0" w:tentative="0">
      <w:start w:val="3"/>
      <w:numFmt w:val="decimal"/>
      <w:suff w:val="nothing"/>
      <w:lvlText w:val="%1、"/>
      <w:lvlJc w:val="left"/>
    </w:lvl>
  </w:abstractNum>
  <w:abstractNum w:abstractNumId="3">
    <w:nsid w:val="75A1B00B"/>
    <w:multiLevelType w:val="singleLevel"/>
    <w:tmpl w:val="75A1B00B"/>
    <w:lvl w:ilvl="0" w:tentative="0">
      <w:start w:val="4"/>
      <w:numFmt w:val="chineseCounting"/>
      <w:suff w:val="space"/>
      <w:lvlText w:val="第%1部分"/>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iMGJlMDZjZTJjNmExODA2NjMyODUxYjlhZGIyYm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2A7"/>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933"/>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791"/>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1959"/>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3"/>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957"/>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361"/>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2ACC"/>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E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AF7DE8"/>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E7A73"/>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5D"/>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132"/>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050F"/>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67C"/>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AD3"/>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466"/>
    <w:rsid w:val="00F97A34"/>
    <w:rsid w:val="00F97E4A"/>
    <w:rsid w:val="00F97EA1"/>
    <w:rsid w:val="00FA003A"/>
    <w:rsid w:val="00FA05C8"/>
    <w:rsid w:val="00FA0678"/>
    <w:rsid w:val="00FA0DB6"/>
    <w:rsid w:val="00FA23F7"/>
    <w:rsid w:val="00FA27EB"/>
    <w:rsid w:val="00FA299F"/>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610EC"/>
    <w:rsid w:val="016E2F6B"/>
    <w:rsid w:val="018E0900"/>
    <w:rsid w:val="019F7441"/>
    <w:rsid w:val="01B14C06"/>
    <w:rsid w:val="01B37585"/>
    <w:rsid w:val="01D55165"/>
    <w:rsid w:val="01DF6BF8"/>
    <w:rsid w:val="01EC2C57"/>
    <w:rsid w:val="0223031E"/>
    <w:rsid w:val="022D1862"/>
    <w:rsid w:val="02571C51"/>
    <w:rsid w:val="025F0711"/>
    <w:rsid w:val="026B2E25"/>
    <w:rsid w:val="02824D4D"/>
    <w:rsid w:val="02AF383B"/>
    <w:rsid w:val="02CE65AA"/>
    <w:rsid w:val="02DC4B10"/>
    <w:rsid w:val="02DD76CE"/>
    <w:rsid w:val="02F36323"/>
    <w:rsid w:val="02F5619C"/>
    <w:rsid w:val="0326446A"/>
    <w:rsid w:val="032D5555"/>
    <w:rsid w:val="036634D2"/>
    <w:rsid w:val="036A59B4"/>
    <w:rsid w:val="03DD35E4"/>
    <w:rsid w:val="04076900"/>
    <w:rsid w:val="040D157B"/>
    <w:rsid w:val="0414771C"/>
    <w:rsid w:val="041A5A3B"/>
    <w:rsid w:val="042311BA"/>
    <w:rsid w:val="042B157A"/>
    <w:rsid w:val="04561A95"/>
    <w:rsid w:val="04610B65"/>
    <w:rsid w:val="046B19E4"/>
    <w:rsid w:val="047E1055"/>
    <w:rsid w:val="048D65BC"/>
    <w:rsid w:val="048F763B"/>
    <w:rsid w:val="049F330E"/>
    <w:rsid w:val="04AA775C"/>
    <w:rsid w:val="04AF1889"/>
    <w:rsid w:val="04F66F48"/>
    <w:rsid w:val="05251E14"/>
    <w:rsid w:val="05863C2B"/>
    <w:rsid w:val="05942874"/>
    <w:rsid w:val="05A16594"/>
    <w:rsid w:val="05A7762D"/>
    <w:rsid w:val="05D35C95"/>
    <w:rsid w:val="05F07A1A"/>
    <w:rsid w:val="060043AE"/>
    <w:rsid w:val="060E5941"/>
    <w:rsid w:val="06110FAF"/>
    <w:rsid w:val="063F4ED6"/>
    <w:rsid w:val="064216C6"/>
    <w:rsid w:val="06472934"/>
    <w:rsid w:val="06493CA7"/>
    <w:rsid w:val="065A6178"/>
    <w:rsid w:val="065D710A"/>
    <w:rsid w:val="066606B5"/>
    <w:rsid w:val="066F1CF3"/>
    <w:rsid w:val="067508F8"/>
    <w:rsid w:val="06930BB8"/>
    <w:rsid w:val="069A65B0"/>
    <w:rsid w:val="06DE46EF"/>
    <w:rsid w:val="07245D42"/>
    <w:rsid w:val="07264C62"/>
    <w:rsid w:val="073A569E"/>
    <w:rsid w:val="075C75B8"/>
    <w:rsid w:val="0779354C"/>
    <w:rsid w:val="07A01BFB"/>
    <w:rsid w:val="07B13BB2"/>
    <w:rsid w:val="07B62F76"/>
    <w:rsid w:val="07F26B2A"/>
    <w:rsid w:val="08061376"/>
    <w:rsid w:val="081538B4"/>
    <w:rsid w:val="08452D77"/>
    <w:rsid w:val="085032DE"/>
    <w:rsid w:val="086401F8"/>
    <w:rsid w:val="08751CAA"/>
    <w:rsid w:val="087E4C40"/>
    <w:rsid w:val="087F4308"/>
    <w:rsid w:val="08A871D0"/>
    <w:rsid w:val="08D66AD6"/>
    <w:rsid w:val="08DA33A3"/>
    <w:rsid w:val="08E80F13"/>
    <w:rsid w:val="09151F1E"/>
    <w:rsid w:val="091C14FF"/>
    <w:rsid w:val="09322AD0"/>
    <w:rsid w:val="09335624"/>
    <w:rsid w:val="0935436E"/>
    <w:rsid w:val="094027C8"/>
    <w:rsid w:val="0944690F"/>
    <w:rsid w:val="09535675"/>
    <w:rsid w:val="095F057D"/>
    <w:rsid w:val="09642282"/>
    <w:rsid w:val="09733572"/>
    <w:rsid w:val="09772C16"/>
    <w:rsid w:val="097F55EA"/>
    <w:rsid w:val="098350DA"/>
    <w:rsid w:val="098353B5"/>
    <w:rsid w:val="09A92330"/>
    <w:rsid w:val="09AB619A"/>
    <w:rsid w:val="09B06B87"/>
    <w:rsid w:val="09C13146"/>
    <w:rsid w:val="09E04166"/>
    <w:rsid w:val="09E75FE1"/>
    <w:rsid w:val="0A1C0718"/>
    <w:rsid w:val="0A2D3298"/>
    <w:rsid w:val="0A3E7710"/>
    <w:rsid w:val="0A4C1E6C"/>
    <w:rsid w:val="0A5B7E63"/>
    <w:rsid w:val="0AA07F0D"/>
    <w:rsid w:val="0AA374A5"/>
    <w:rsid w:val="0AAB7649"/>
    <w:rsid w:val="0AB36DB1"/>
    <w:rsid w:val="0ABC5606"/>
    <w:rsid w:val="0ADF4C24"/>
    <w:rsid w:val="0AE66BD8"/>
    <w:rsid w:val="0B165B61"/>
    <w:rsid w:val="0B30404E"/>
    <w:rsid w:val="0B3C6DA8"/>
    <w:rsid w:val="0B4C6C14"/>
    <w:rsid w:val="0B547599"/>
    <w:rsid w:val="0B631A88"/>
    <w:rsid w:val="0B683D45"/>
    <w:rsid w:val="0B732F2C"/>
    <w:rsid w:val="0B7F3F11"/>
    <w:rsid w:val="0B884417"/>
    <w:rsid w:val="0B9C06D5"/>
    <w:rsid w:val="0BDE2A9B"/>
    <w:rsid w:val="0BF24799"/>
    <w:rsid w:val="0BF6188C"/>
    <w:rsid w:val="0BF73C91"/>
    <w:rsid w:val="0C170175"/>
    <w:rsid w:val="0C2A5CE1"/>
    <w:rsid w:val="0C2D44FF"/>
    <w:rsid w:val="0C571A41"/>
    <w:rsid w:val="0C5C1171"/>
    <w:rsid w:val="0C5E1CBC"/>
    <w:rsid w:val="0C601702"/>
    <w:rsid w:val="0C615B50"/>
    <w:rsid w:val="0C721436"/>
    <w:rsid w:val="0C781B61"/>
    <w:rsid w:val="0C8445DA"/>
    <w:rsid w:val="0C87121B"/>
    <w:rsid w:val="0C8A49D1"/>
    <w:rsid w:val="0CBE6B66"/>
    <w:rsid w:val="0CC007F7"/>
    <w:rsid w:val="0CC617AC"/>
    <w:rsid w:val="0CC7352F"/>
    <w:rsid w:val="0CE618DF"/>
    <w:rsid w:val="0CF10955"/>
    <w:rsid w:val="0CFE707A"/>
    <w:rsid w:val="0D063BDA"/>
    <w:rsid w:val="0D08375F"/>
    <w:rsid w:val="0D085BA1"/>
    <w:rsid w:val="0D164E7A"/>
    <w:rsid w:val="0D184CFB"/>
    <w:rsid w:val="0D4A7419"/>
    <w:rsid w:val="0D692839"/>
    <w:rsid w:val="0D827401"/>
    <w:rsid w:val="0D84094E"/>
    <w:rsid w:val="0D8A00E9"/>
    <w:rsid w:val="0D8D589E"/>
    <w:rsid w:val="0D9071C6"/>
    <w:rsid w:val="0D913B3D"/>
    <w:rsid w:val="0DA01C73"/>
    <w:rsid w:val="0DD63300"/>
    <w:rsid w:val="0DDD6D83"/>
    <w:rsid w:val="0DF50604"/>
    <w:rsid w:val="0DF702FE"/>
    <w:rsid w:val="0DFB3293"/>
    <w:rsid w:val="0E060E51"/>
    <w:rsid w:val="0E0C334B"/>
    <w:rsid w:val="0E5139F9"/>
    <w:rsid w:val="0E5604B2"/>
    <w:rsid w:val="0E6D5D79"/>
    <w:rsid w:val="0E9D0089"/>
    <w:rsid w:val="0EB803EE"/>
    <w:rsid w:val="0EB9334C"/>
    <w:rsid w:val="0EDF7256"/>
    <w:rsid w:val="0EE74802"/>
    <w:rsid w:val="0EF823CD"/>
    <w:rsid w:val="0EF94D4B"/>
    <w:rsid w:val="0F0772F5"/>
    <w:rsid w:val="0F312AB7"/>
    <w:rsid w:val="0F352373"/>
    <w:rsid w:val="0F4958DC"/>
    <w:rsid w:val="0F515DF7"/>
    <w:rsid w:val="0F596BA8"/>
    <w:rsid w:val="0F6248D2"/>
    <w:rsid w:val="0F693536"/>
    <w:rsid w:val="0F7B0511"/>
    <w:rsid w:val="0F7B76D9"/>
    <w:rsid w:val="0F816ACD"/>
    <w:rsid w:val="0F8D4522"/>
    <w:rsid w:val="0F9832DB"/>
    <w:rsid w:val="0FA1275E"/>
    <w:rsid w:val="0FA364D6"/>
    <w:rsid w:val="0FBF3FD2"/>
    <w:rsid w:val="0FBF7FF3"/>
    <w:rsid w:val="0FCF6AA6"/>
    <w:rsid w:val="101E3DAE"/>
    <w:rsid w:val="105C0433"/>
    <w:rsid w:val="10646583"/>
    <w:rsid w:val="106D43EE"/>
    <w:rsid w:val="1077526D"/>
    <w:rsid w:val="107D4B15"/>
    <w:rsid w:val="108A3C80"/>
    <w:rsid w:val="10A8365F"/>
    <w:rsid w:val="10B04957"/>
    <w:rsid w:val="10C26171"/>
    <w:rsid w:val="10F33360"/>
    <w:rsid w:val="10FC16EA"/>
    <w:rsid w:val="110F1D40"/>
    <w:rsid w:val="11266F33"/>
    <w:rsid w:val="112A6EB7"/>
    <w:rsid w:val="112F256E"/>
    <w:rsid w:val="11494E5B"/>
    <w:rsid w:val="11763776"/>
    <w:rsid w:val="118963A1"/>
    <w:rsid w:val="11A025A1"/>
    <w:rsid w:val="11AE4CBE"/>
    <w:rsid w:val="11C6025A"/>
    <w:rsid w:val="11C6522A"/>
    <w:rsid w:val="11E104CC"/>
    <w:rsid w:val="11E20309"/>
    <w:rsid w:val="11FF0CDD"/>
    <w:rsid w:val="12255233"/>
    <w:rsid w:val="12530213"/>
    <w:rsid w:val="125F420A"/>
    <w:rsid w:val="127723A9"/>
    <w:rsid w:val="12862074"/>
    <w:rsid w:val="12883966"/>
    <w:rsid w:val="12901BA2"/>
    <w:rsid w:val="129E45B4"/>
    <w:rsid w:val="12B66520"/>
    <w:rsid w:val="12D81596"/>
    <w:rsid w:val="12E070F9"/>
    <w:rsid w:val="13072A44"/>
    <w:rsid w:val="131D659F"/>
    <w:rsid w:val="13397585"/>
    <w:rsid w:val="134850E0"/>
    <w:rsid w:val="13596EAB"/>
    <w:rsid w:val="135F4BE2"/>
    <w:rsid w:val="13623FB2"/>
    <w:rsid w:val="1367781A"/>
    <w:rsid w:val="139879D4"/>
    <w:rsid w:val="139B1A0A"/>
    <w:rsid w:val="139D25C7"/>
    <w:rsid w:val="13BE4ED6"/>
    <w:rsid w:val="13BF3CE4"/>
    <w:rsid w:val="13CD58C2"/>
    <w:rsid w:val="13FD3CDB"/>
    <w:rsid w:val="141008D8"/>
    <w:rsid w:val="14125FE6"/>
    <w:rsid w:val="146D271E"/>
    <w:rsid w:val="147478CA"/>
    <w:rsid w:val="148443FC"/>
    <w:rsid w:val="14982588"/>
    <w:rsid w:val="149955F1"/>
    <w:rsid w:val="149A5AD9"/>
    <w:rsid w:val="14A7619D"/>
    <w:rsid w:val="14CF5677"/>
    <w:rsid w:val="14F50E56"/>
    <w:rsid w:val="14FC0436"/>
    <w:rsid w:val="15000BA8"/>
    <w:rsid w:val="150536C3"/>
    <w:rsid w:val="150C1963"/>
    <w:rsid w:val="151447A0"/>
    <w:rsid w:val="15445871"/>
    <w:rsid w:val="1546436C"/>
    <w:rsid w:val="154A2F50"/>
    <w:rsid w:val="154A6454"/>
    <w:rsid w:val="156C2EC6"/>
    <w:rsid w:val="156F0C08"/>
    <w:rsid w:val="15762120"/>
    <w:rsid w:val="158D16D2"/>
    <w:rsid w:val="15BB3E4D"/>
    <w:rsid w:val="15C268F4"/>
    <w:rsid w:val="15F5110D"/>
    <w:rsid w:val="16117F11"/>
    <w:rsid w:val="163976E4"/>
    <w:rsid w:val="164A74F2"/>
    <w:rsid w:val="1662251B"/>
    <w:rsid w:val="168B3820"/>
    <w:rsid w:val="16A8729C"/>
    <w:rsid w:val="16B33777"/>
    <w:rsid w:val="16BC70A7"/>
    <w:rsid w:val="16C6339E"/>
    <w:rsid w:val="171C4DC0"/>
    <w:rsid w:val="172F2D79"/>
    <w:rsid w:val="17557BEF"/>
    <w:rsid w:val="175B4A52"/>
    <w:rsid w:val="176F6C9D"/>
    <w:rsid w:val="177B7D38"/>
    <w:rsid w:val="17D349C1"/>
    <w:rsid w:val="17D991C3"/>
    <w:rsid w:val="17E8421C"/>
    <w:rsid w:val="180715CC"/>
    <w:rsid w:val="18302C42"/>
    <w:rsid w:val="1830729E"/>
    <w:rsid w:val="183A07EC"/>
    <w:rsid w:val="184E71FB"/>
    <w:rsid w:val="1862729A"/>
    <w:rsid w:val="1870062C"/>
    <w:rsid w:val="18817102"/>
    <w:rsid w:val="18830A15"/>
    <w:rsid w:val="18852B28"/>
    <w:rsid w:val="188B5321"/>
    <w:rsid w:val="18A32514"/>
    <w:rsid w:val="18D1072B"/>
    <w:rsid w:val="18F90F15"/>
    <w:rsid w:val="18F951C9"/>
    <w:rsid w:val="19541AE6"/>
    <w:rsid w:val="195E521C"/>
    <w:rsid w:val="19932372"/>
    <w:rsid w:val="199C476F"/>
    <w:rsid w:val="199C7AF2"/>
    <w:rsid w:val="19A20DD5"/>
    <w:rsid w:val="19AE03F1"/>
    <w:rsid w:val="1A071A03"/>
    <w:rsid w:val="1A1F16AE"/>
    <w:rsid w:val="1A295829"/>
    <w:rsid w:val="1A2C356C"/>
    <w:rsid w:val="1A3B5C77"/>
    <w:rsid w:val="1A574945"/>
    <w:rsid w:val="1A615F3A"/>
    <w:rsid w:val="1A90440A"/>
    <w:rsid w:val="1A952EBF"/>
    <w:rsid w:val="1A984BAD"/>
    <w:rsid w:val="1AB8220E"/>
    <w:rsid w:val="1AE4166C"/>
    <w:rsid w:val="1AF06CFB"/>
    <w:rsid w:val="1AF11B8D"/>
    <w:rsid w:val="1B0167A6"/>
    <w:rsid w:val="1B11359C"/>
    <w:rsid w:val="1B171B26"/>
    <w:rsid w:val="1B2A271F"/>
    <w:rsid w:val="1B3A3A66"/>
    <w:rsid w:val="1B50328A"/>
    <w:rsid w:val="1B530544"/>
    <w:rsid w:val="1B542D7A"/>
    <w:rsid w:val="1B5D1AE2"/>
    <w:rsid w:val="1B713184"/>
    <w:rsid w:val="1B7C3B78"/>
    <w:rsid w:val="1BA209CF"/>
    <w:rsid w:val="1BB4777D"/>
    <w:rsid w:val="1BD75AB8"/>
    <w:rsid w:val="1BF14125"/>
    <w:rsid w:val="1BF21E2B"/>
    <w:rsid w:val="1C0459C2"/>
    <w:rsid w:val="1C1B3B4A"/>
    <w:rsid w:val="1C44694B"/>
    <w:rsid w:val="1C4C1CA3"/>
    <w:rsid w:val="1C88086E"/>
    <w:rsid w:val="1CB301F3"/>
    <w:rsid w:val="1CBD494F"/>
    <w:rsid w:val="1CDA105D"/>
    <w:rsid w:val="1D1A3B4F"/>
    <w:rsid w:val="1D266CE1"/>
    <w:rsid w:val="1D382CE5"/>
    <w:rsid w:val="1D3963AF"/>
    <w:rsid w:val="1D552DD9"/>
    <w:rsid w:val="1D6A673C"/>
    <w:rsid w:val="1D7A639C"/>
    <w:rsid w:val="1D8A2A83"/>
    <w:rsid w:val="1D8D4321"/>
    <w:rsid w:val="1D9247AE"/>
    <w:rsid w:val="1DB23D88"/>
    <w:rsid w:val="1DB567EC"/>
    <w:rsid w:val="1DB61742"/>
    <w:rsid w:val="1DCA10D2"/>
    <w:rsid w:val="1DED4FA0"/>
    <w:rsid w:val="1DF4775D"/>
    <w:rsid w:val="1DF51A98"/>
    <w:rsid w:val="1DF95513"/>
    <w:rsid w:val="1E3C0752"/>
    <w:rsid w:val="1E3D060F"/>
    <w:rsid w:val="1E3F7D2E"/>
    <w:rsid w:val="1E4134E4"/>
    <w:rsid w:val="1E5062B3"/>
    <w:rsid w:val="1E523514"/>
    <w:rsid w:val="1E714A66"/>
    <w:rsid w:val="1E802593"/>
    <w:rsid w:val="1E8B6156"/>
    <w:rsid w:val="1EA703CC"/>
    <w:rsid w:val="1EB7330C"/>
    <w:rsid w:val="1F0A0FF3"/>
    <w:rsid w:val="1F182311"/>
    <w:rsid w:val="1F5771FF"/>
    <w:rsid w:val="1F5C43F1"/>
    <w:rsid w:val="1F737B21"/>
    <w:rsid w:val="1F8B0487"/>
    <w:rsid w:val="1F941815"/>
    <w:rsid w:val="1FB93013"/>
    <w:rsid w:val="1FE868A9"/>
    <w:rsid w:val="2001472C"/>
    <w:rsid w:val="20034907"/>
    <w:rsid w:val="20173E4B"/>
    <w:rsid w:val="201C16D6"/>
    <w:rsid w:val="204E48BC"/>
    <w:rsid w:val="207F2647"/>
    <w:rsid w:val="208921B3"/>
    <w:rsid w:val="20973DEB"/>
    <w:rsid w:val="20B26522"/>
    <w:rsid w:val="20B26BB0"/>
    <w:rsid w:val="20B44310"/>
    <w:rsid w:val="20BA5DC0"/>
    <w:rsid w:val="20BA674D"/>
    <w:rsid w:val="20C22534"/>
    <w:rsid w:val="20D12777"/>
    <w:rsid w:val="20D44015"/>
    <w:rsid w:val="20DA787E"/>
    <w:rsid w:val="211116EB"/>
    <w:rsid w:val="216133FC"/>
    <w:rsid w:val="218D48F0"/>
    <w:rsid w:val="21B04A82"/>
    <w:rsid w:val="21D56769"/>
    <w:rsid w:val="21E52EF3"/>
    <w:rsid w:val="21EB1616"/>
    <w:rsid w:val="21FB5D7B"/>
    <w:rsid w:val="22015E94"/>
    <w:rsid w:val="220216DC"/>
    <w:rsid w:val="220B1C3D"/>
    <w:rsid w:val="221D1D20"/>
    <w:rsid w:val="22334A87"/>
    <w:rsid w:val="223B434C"/>
    <w:rsid w:val="225A6F68"/>
    <w:rsid w:val="225B2C40"/>
    <w:rsid w:val="22BE6801"/>
    <w:rsid w:val="22E36792"/>
    <w:rsid w:val="22E5075C"/>
    <w:rsid w:val="22F1348C"/>
    <w:rsid w:val="23002CAA"/>
    <w:rsid w:val="233500BF"/>
    <w:rsid w:val="23377FF7"/>
    <w:rsid w:val="236B425F"/>
    <w:rsid w:val="23836192"/>
    <w:rsid w:val="23901F29"/>
    <w:rsid w:val="23957A8C"/>
    <w:rsid w:val="239C0061"/>
    <w:rsid w:val="23B6137F"/>
    <w:rsid w:val="23B908A4"/>
    <w:rsid w:val="23D762F6"/>
    <w:rsid w:val="23E95BEF"/>
    <w:rsid w:val="23F973D4"/>
    <w:rsid w:val="23FD0064"/>
    <w:rsid w:val="244D0366"/>
    <w:rsid w:val="24500CA1"/>
    <w:rsid w:val="245375B0"/>
    <w:rsid w:val="24642C0A"/>
    <w:rsid w:val="248B58EB"/>
    <w:rsid w:val="24B22173"/>
    <w:rsid w:val="24B95AD9"/>
    <w:rsid w:val="24BE24DA"/>
    <w:rsid w:val="24CF5825"/>
    <w:rsid w:val="24D34421"/>
    <w:rsid w:val="24D663E6"/>
    <w:rsid w:val="24D77F2B"/>
    <w:rsid w:val="24E266DD"/>
    <w:rsid w:val="255049DB"/>
    <w:rsid w:val="255D4DBB"/>
    <w:rsid w:val="258B00E2"/>
    <w:rsid w:val="25A917A6"/>
    <w:rsid w:val="25AB0864"/>
    <w:rsid w:val="25B95E84"/>
    <w:rsid w:val="25BE27CC"/>
    <w:rsid w:val="25D23219"/>
    <w:rsid w:val="25F74A5C"/>
    <w:rsid w:val="261C357F"/>
    <w:rsid w:val="261C4494"/>
    <w:rsid w:val="2628662C"/>
    <w:rsid w:val="262D45DE"/>
    <w:rsid w:val="264048FF"/>
    <w:rsid w:val="26666F6E"/>
    <w:rsid w:val="26871DC8"/>
    <w:rsid w:val="26A53EF9"/>
    <w:rsid w:val="26A94201"/>
    <w:rsid w:val="26AC274F"/>
    <w:rsid w:val="26D22DA5"/>
    <w:rsid w:val="27044A29"/>
    <w:rsid w:val="27181100"/>
    <w:rsid w:val="271D34C8"/>
    <w:rsid w:val="27355BE4"/>
    <w:rsid w:val="276142BF"/>
    <w:rsid w:val="27783712"/>
    <w:rsid w:val="278C676B"/>
    <w:rsid w:val="27907362"/>
    <w:rsid w:val="27B5779C"/>
    <w:rsid w:val="27C46B92"/>
    <w:rsid w:val="28060F58"/>
    <w:rsid w:val="28333E1D"/>
    <w:rsid w:val="283C2BCC"/>
    <w:rsid w:val="28454BD6"/>
    <w:rsid w:val="28455253"/>
    <w:rsid w:val="2849353B"/>
    <w:rsid w:val="284E0E06"/>
    <w:rsid w:val="28551971"/>
    <w:rsid w:val="285B1C53"/>
    <w:rsid w:val="289F7086"/>
    <w:rsid w:val="28A57A1A"/>
    <w:rsid w:val="28B11647"/>
    <w:rsid w:val="28C32028"/>
    <w:rsid w:val="28C334D0"/>
    <w:rsid w:val="28CC490F"/>
    <w:rsid w:val="28CF57EE"/>
    <w:rsid w:val="28DE40AA"/>
    <w:rsid w:val="291D29FD"/>
    <w:rsid w:val="29345E77"/>
    <w:rsid w:val="294C65AD"/>
    <w:rsid w:val="297D349C"/>
    <w:rsid w:val="297E535E"/>
    <w:rsid w:val="29806583"/>
    <w:rsid w:val="298B3C4C"/>
    <w:rsid w:val="299A22A0"/>
    <w:rsid w:val="29BF1D06"/>
    <w:rsid w:val="29F26D24"/>
    <w:rsid w:val="29F6324E"/>
    <w:rsid w:val="29FE09F3"/>
    <w:rsid w:val="2A092F82"/>
    <w:rsid w:val="2A15033F"/>
    <w:rsid w:val="2A1662C1"/>
    <w:rsid w:val="2A176E57"/>
    <w:rsid w:val="2A1C0F07"/>
    <w:rsid w:val="2A1C7367"/>
    <w:rsid w:val="2A2815FA"/>
    <w:rsid w:val="2A32523A"/>
    <w:rsid w:val="2A44045E"/>
    <w:rsid w:val="2A4F0CFA"/>
    <w:rsid w:val="2A510484"/>
    <w:rsid w:val="2A69519D"/>
    <w:rsid w:val="2A6D6092"/>
    <w:rsid w:val="2A7D76B4"/>
    <w:rsid w:val="2AE9366F"/>
    <w:rsid w:val="2AF5247E"/>
    <w:rsid w:val="2B2D4A4E"/>
    <w:rsid w:val="2B437463"/>
    <w:rsid w:val="2B4D50F0"/>
    <w:rsid w:val="2B7807EE"/>
    <w:rsid w:val="2BA50BF7"/>
    <w:rsid w:val="2BBF00EC"/>
    <w:rsid w:val="2BC03B14"/>
    <w:rsid w:val="2BC37CFD"/>
    <w:rsid w:val="2BD5237F"/>
    <w:rsid w:val="2BE536CE"/>
    <w:rsid w:val="2BE758D9"/>
    <w:rsid w:val="2C0559CB"/>
    <w:rsid w:val="2C09049E"/>
    <w:rsid w:val="2C0A653C"/>
    <w:rsid w:val="2C191F85"/>
    <w:rsid w:val="2C9F197B"/>
    <w:rsid w:val="2CC97F56"/>
    <w:rsid w:val="2CDC634B"/>
    <w:rsid w:val="2CE61358"/>
    <w:rsid w:val="2CE82D6F"/>
    <w:rsid w:val="2CF45147"/>
    <w:rsid w:val="2D087520"/>
    <w:rsid w:val="2D343236"/>
    <w:rsid w:val="2D6706EB"/>
    <w:rsid w:val="2DA65BFA"/>
    <w:rsid w:val="2DB42000"/>
    <w:rsid w:val="2DD15014"/>
    <w:rsid w:val="2DF72DE4"/>
    <w:rsid w:val="2E0220AF"/>
    <w:rsid w:val="2E1E4B22"/>
    <w:rsid w:val="2E2B2D7C"/>
    <w:rsid w:val="2E433BD4"/>
    <w:rsid w:val="2E4B082A"/>
    <w:rsid w:val="2E5D4E86"/>
    <w:rsid w:val="2E5D790B"/>
    <w:rsid w:val="2E7D3F3E"/>
    <w:rsid w:val="2E8D3D34"/>
    <w:rsid w:val="2E9A2581"/>
    <w:rsid w:val="2E9A3C18"/>
    <w:rsid w:val="2E9D1C0D"/>
    <w:rsid w:val="2EA944D2"/>
    <w:rsid w:val="2EBB0FEE"/>
    <w:rsid w:val="2EC63002"/>
    <w:rsid w:val="2ED7364E"/>
    <w:rsid w:val="2EDA4EED"/>
    <w:rsid w:val="2F0A6B38"/>
    <w:rsid w:val="2F0B3BCB"/>
    <w:rsid w:val="2F195A15"/>
    <w:rsid w:val="2F2919D0"/>
    <w:rsid w:val="2F591BB5"/>
    <w:rsid w:val="2F594063"/>
    <w:rsid w:val="2F77273B"/>
    <w:rsid w:val="2F946CCB"/>
    <w:rsid w:val="2F962AD5"/>
    <w:rsid w:val="2FA33530"/>
    <w:rsid w:val="2FAA2B11"/>
    <w:rsid w:val="2FD25781"/>
    <w:rsid w:val="2FDC745C"/>
    <w:rsid w:val="2FE441D7"/>
    <w:rsid w:val="2FF877CF"/>
    <w:rsid w:val="2FFD7934"/>
    <w:rsid w:val="302C79CA"/>
    <w:rsid w:val="30393E95"/>
    <w:rsid w:val="30733ACD"/>
    <w:rsid w:val="30782C0F"/>
    <w:rsid w:val="308C3862"/>
    <w:rsid w:val="309379D8"/>
    <w:rsid w:val="30A270F7"/>
    <w:rsid w:val="30BC0D4E"/>
    <w:rsid w:val="30DF1478"/>
    <w:rsid w:val="30EC586F"/>
    <w:rsid w:val="311F12DD"/>
    <w:rsid w:val="31707551"/>
    <w:rsid w:val="31781B00"/>
    <w:rsid w:val="31945827"/>
    <w:rsid w:val="319C6071"/>
    <w:rsid w:val="31AC537E"/>
    <w:rsid w:val="31BC6B2B"/>
    <w:rsid w:val="31CC4FC0"/>
    <w:rsid w:val="31E3230A"/>
    <w:rsid w:val="31E3679B"/>
    <w:rsid w:val="31E732FD"/>
    <w:rsid w:val="31EC7411"/>
    <w:rsid w:val="321B1AA4"/>
    <w:rsid w:val="32231F8C"/>
    <w:rsid w:val="32432DA9"/>
    <w:rsid w:val="324C3F16"/>
    <w:rsid w:val="32517576"/>
    <w:rsid w:val="32792DC0"/>
    <w:rsid w:val="329A6E6D"/>
    <w:rsid w:val="32BE5C2C"/>
    <w:rsid w:val="32FB6478"/>
    <w:rsid w:val="32FE389F"/>
    <w:rsid w:val="33263B3F"/>
    <w:rsid w:val="33356B95"/>
    <w:rsid w:val="3350390F"/>
    <w:rsid w:val="33613E2E"/>
    <w:rsid w:val="33641229"/>
    <w:rsid w:val="336963EB"/>
    <w:rsid w:val="33746006"/>
    <w:rsid w:val="33816EEB"/>
    <w:rsid w:val="33870800"/>
    <w:rsid w:val="33DA117B"/>
    <w:rsid w:val="33DF6B01"/>
    <w:rsid w:val="33EB55CD"/>
    <w:rsid w:val="33EC4C02"/>
    <w:rsid w:val="340D2360"/>
    <w:rsid w:val="3410665D"/>
    <w:rsid w:val="34211214"/>
    <w:rsid w:val="342D1890"/>
    <w:rsid w:val="342E63AB"/>
    <w:rsid w:val="345D63A4"/>
    <w:rsid w:val="34735BC7"/>
    <w:rsid w:val="34950E68"/>
    <w:rsid w:val="34986E94"/>
    <w:rsid w:val="34AF62C9"/>
    <w:rsid w:val="34CB4388"/>
    <w:rsid w:val="34D816F4"/>
    <w:rsid w:val="34FA6E12"/>
    <w:rsid w:val="350847A9"/>
    <w:rsid w:val="350E3B42"/>
    <w:rsid w:val="354D7158"/>
    <w:rsid w:val="355A6D87"/>
    <w:rsid w:val="356C2617"/>
    <w:rsid w:val="358A7183"/>
    <w:rsid w:val="358D5588"/>
    <w:rsid w:val="35945E0F"/>
    <w:rsid w:val="35AF32A1"/>
    <w:rsid w:val="35C54671"/>
    <w:rsid w:val="35FA36F4"/>
    <w:rsid w:val="363A3B40"/>
    <w:rsid w:val="365302AE"/>
    <w:rsid w:val="36607A0A"/>
    <w:rsid w:val="366E227C"/>
    <w:rsid w:val="366F2E0D"/>
    <w:rsid w:val="367B6A5C"/>
    <w:rsid w:val="36844223"/>
    <w:rsid w:val="36940077"/>
    <w:rsid w:val="36A74ADA"/>
    <w:rsid w:val="36AD60D5"/>
    <w:rsid w:val="36B224F9"/>
    <w:rsid w:val="36BB2C81"/>
    <w:rsid w:val="36EA78C2"/>
    <w:rsid w:val="36EC0CC9"/>
    <w:rsid w:val="36FB1F52"/>
    <w:rsid w:val="37384EA6"/>
    <w:rsid w:val="373F410B"/>
    <w:rsid w:val="37A23FE5"/>
    <w:rsid w:val="37A84860"/>
    <w:rsid w:val="37BE2D67"/>
    <w:rsid w:val="37C370FA"/>
    <w:rsid w:val="37C4498C"/>
    <w:rsid w:val="37EE7094"/>
    <w:rsid w:val="380D1430"/>
    <w:rsid w:val="38296C89"/>
    <w:rsid w:val="383002EB"/>
    <w:rsid w:val="383832E4"/>
    <w:rsid w:val="384F4255"/>
    <w:rsid w:val="38586797"/>
    <w:rsid w:val="386F66A6"/>
    <w:rsid w:val="3886503D"/>
    <w:rsid w:val="38961E84"/>
    <w:rsid w:val="389E689B"/>
    <w:rsid w:val="38B60DFD"/>
    <w:rsid w:val="38BC0149"/>
    <w:rsid w:val="38CC0229"/>
    <w:rsid w:val="38D87D1C"/>
    <w:rsid w:val="38F1355F"/>
    <w:rsid w:val="390C65EA"/>
    <w:rsid w:val="391F631E"/>
    <w:rsid w:val="393E60BA"/>
    <w:rsid w:val="39636459"/>
    <w:rsid w:val="396B7F6C"/>
    <w:rsid w:val="398C57AF"/>
    <w:rsid w:val="39A71E6F"/>
    <w:rsid w:val="39B417A9"/>
    <w:rsid w:val="39BD1693"/>
    <w:rsid w:val="39FC5695"/>
    <w:rsid w:val="3A006D8E"/>
    <w:rsid w:val="3A076F0D"/>
    <w:rsid w:val="3A15658F"/>
    <w:rsid w:val="3A3651E5"/>
    <w:rsid w:val="3A541FF7"/>
    <w:rsid w:val="3A59760D"/>
    <w:rsid w:val="3A6D4E67"/>
    <w:rsid w:val="3A744481"/>
    <w:rsid w:val="3A8B1791"/>
    <w:rsid w:val="3A8C7BEF"/>
    <w:rsid w:val="3A906246"/>
    <w:rsid w:val="3AC76C6D"/>
    <w:rsid w:val="3B2349B7"/>
    <w:rsid w:val="3B385475"/>
    <w:rsid w:val="3B616CFF"/>
    <w:rsid w:val="3B6259F6"/>
    <w:rsid w:val="3B677B08"/>
    <w:rsid w:val="3B6C3370"/>
    <w:rsid w:val="3B7A783B"/>
    <w:rsid w:val="3B824942"/>
    <w:rsid w:val="3B8979FF"/>
    <w:rsid w:val="3B976654"/>
    <w:rsid w:val="3BBF7944"/>
    <w:rsid w:val="3BC01EFC"/>
    <w:rsid w:val="3BCA786A"/>
    <w:rsid w:val="3BD056AD"/>
    <w:rsid w:val="3BD31E2F"/>
    <w:rsid w:val="3BF15831"/>
    <w:rsid w:val="3BFF5DA5"/>
    <w:rsid w:val="3C105946"/>
    <w:rsid w:val="3C1F3E60"/>
    <w:rsid w:val="3C3466EE"/>
    <w:rsid w:val="3C471448"/>
    <w:rsid w:val="3C5F759A"/>
    <w:rsid w:val="3C6C525A"/>
    <w:rsid w:val="3C8539FB"/>
    <w:rsid w:val="3C8666B4"/>
    <w:rsid w:val="3C9115B1"/>
    <w:rsid w:val="3CC05722"/>
    <w:rsid w:val="3CC1149A"/>
    <w:rsid w:val="3CCE23CB"/>
    <w:rsid w:val="3CD17D17"/>
    <w:rsid w:val="3CD92C87"/>
    <w:rsid w:val="3CEB0E28"/>
    <w:rsid w:val="3D3C7F39"/>
    <w:rsid w:val="3D440F09"/>
    <w:rsid w:val="3D4504A0"/>
    <w:rsid w:val="3D66188F"/>
    <w:rsid w:val="3D6F7F64"/>
    <w:rsid w:val="3D8734BB"/>
    <w:rsid w:val="3D9A11D4"/>
    <w:rsid w:val="3DA16D89"/>
    <w:rsid w:val="3DA364BE"/>
    <w:rsid w:val="3DE041CB"/>
    <w:rsid w:val="3E0D48F6"/>
    <w:rsid w:val="3E1868B4"/>
    <w:rsid w:val="3E216046"/>
    <w:rsid w:val="3E2B306F"/>
    <w:rsid w:val="3E2D5039"/>
    <w:rsid w:val="3E377251"/>
    <w:rsid w:val="3E42664B"/>
    <w:rsid w:val="3E592ACF"/>
    <w:rsid w:val="3E5A7334"/>
    <w:rsid w:val="3E5C147A"/>
    <w:rsid w:val="3E7B5D6B"/>
    <w:rsid w:val="3E843E66"/>
    <w:rsid w:val="3E8F51FE"/>
    <w:rsid w:val="3E926F87"/>
    <w:rsid w:val="3E9A59DE"/>
    <w:rsid w:val="3EA01B6F"/>
    <w:rsid w:val="3EAF4836"/>
    <w:rsid w:val="3EC33DFA"/>
    <w:rsid w:val="3F060E16"/>
    <w:rsid w:val="3F0A7DDC"/>
    <w:rsid w:val="3F1461F9"/>
    <w:rsid w:val="3F1D1096"/>
    <w:rsid w:val="3F27408E"/>
    <w:rsid w:val="3F2F0234"/>
    <w:rsid w:val="3F5449DF"/>
    <w:rsid w:val="3F6363FE"/>
    <w:rsid w:val="3F756B8F"/>
    <w:rsid w:val="3F852C53"/>
    <w:rsid w:val="3F8F587F"/>
    <w:rsid w:val="3F95482B"/>
    <w:rsid w:val="3FAE55EA"/>
    <w:rsid w:val="4019356B"/>
    <w:rsid w:val="4026388A"/>
    <w:rsid w:val="402F092D"/>
    <w:rsid w:val="40592157"/>
    <w:rsid w:val="406E1CAE"/>
    <w:rsid w:val="407F62B2"/>
    <w:rsid w:val="40A0133A"/>
    <w:rsid w:val="40C31A53"/>
    <w:rsid w:val="40FC2A5F"/>
    <w:rsid w:val="40FF545D"/>
    <w:rsid w:val="410067C8"/>
    <w:rsid w:val="41520142"/>
    <w:rsid w:val="415B3C6B"/>
    <w:rsid w:val="416845DA"/>
    <w:rsid w:val="418F0D2A"/>
    <w:rsid w:val="419453CF"/>
    <w:rsid w:val="41A8096B"/>
    <w:rsid w:val="41AE5FD7"/>
    <w:rsid w:val="41D01505"/>
    <w:rsid w:val="41F8770C"/>
    <w:rsid w:val="42072045"/>
    <w:rsid w:val="42383FAC"/>
    <w:rsid w:val="42474939"/>
    <w:rsid w:val="424C3C57"/>
    <w:rsid w:val="42613FF3"/>
    <w:rsid w:val="42660D96"/>
    <w:rsid w:val="428667D2"/>
    <w:rsid w:val="42C572E6"/>
    <w:rsid w:val="42C65A5C"/>
    <w:rsid w:val="42CD1CE0"/>
    <w:rsid w:val="42E1381E"/>
    <w:rsid w:val="42ED6459"/>
    <w:rsid w:val="42FE58DD"/>
    <w:rsid w:val="43174B3D"/>
    <w:rsid w:val="43326C4D"/>
    <w:rsid w:val="433504EC"/>
    <w:rsid w:val="434B790E"/>
    <w:rsid w:val="4360274F"/>
    <w:rsid w:val="43761230"/>
    <w:rsid w:val="43977AB6"/>
    <w:rsid w:val="43A3342B"/>
    <w:rsid w:val="43C77C27"/>
    <w:rsid w:val="43DE09EE"/>
    <w:rsid w:val="44002FAD"/>
    <w:rsid w:val="440B54BC"/>
    <w:rsid w:val="44491D8C"/>
    <w:rsid w:val="44882FDB"/>
    <w:rsid w:val="449101DD"/>
    <w:rsid w:val="44CB3B1B"/>
    <w:rsid w:val="44D8532E"/>
    <w:rsid w:val="44DD1BBC"/>
    <w:rsid w:val="44DE1391"/>
    <w:rsid w:val="44E81CBA"/>
    <w:rsid w:val="44F43562"/>
    <w:rsid w:val="450665E4"/>
    <w:rsid w:val="45167D6C"/>
    <w:rsid w:val="45191E0F"/>
    <w:rsid w:val="451B225C"/>
    <w:rsid w:val="452410C9"/>
    <w:rsid w:val="4524623C"/>
    <w:rsid w:val="45317DFB"/>
    <w:rsid w:val="454669E0"/>
    <w:rsid w:val="456D3CE4"/>
    <w:rsid w:val="4579042C"/>
    <w:rsid w:val="457E617A"/>
    <w:rsid w:val="457F0571"/>
    <w:rsid w:val="45851176"/>
    <w:rsid w:val="45992FB4"/>
    <w:rsid w:val="45C63B94"/>
    <w:rsid w:val="46031658"/>
    <w:rsid w:val="460A6426"/>
    <w:rsid w:val="460E7DA5"/>
    <w:rsid w:val="461940F5"/>
    <w:rsid w:val="46422483"/>
    <w:rsid w:val="4659254A"/>
    <w:rsid w:val="465B0637"/>
    <w:rsid w:val="465E3F0D"/>
    <w:rsid w:val="466A16E6"/>
    <w:rsid w:val="46893F2B"/>
    <w:rsid w:val="469F5E79"/>
    <w:rsid w:val="46C155FF"/>
    <w:rsid w:val="46C4686E"/>
    <w:rsid w:val="46C51E06"/>
    <w:rsid w:val="46EB3CE3"/>
    <w:rsid w:val="471825FE"/>
    <w:rsid w:val="4729480B"/>
    <w:rsid w:val="477B778F"/>
    <w:rsid w:val="478203EC"/>
    <w:rsid w:val="479B70F9"/>
    <w:rsid w:val="47B025FA"/>
    <w:rsid w:val="4809698F"/>
    <w:rsid w:val="4811697D"/>
    <w:rsid w:val="48135B10"/>
    <w:rsid w:val="483C7385"/>
    <w:rsid w:val="4863298F"/>
    <w:rsid w:val="486A0C38"/>
    <w:rsid w:val="487A3E25"/>
    <w:rsid w:val="487B696E"/>
    <w:rsid w:val="4882187E"/>
    <w:rsid w:val="488B5503"/>
    <w:rsid w:val="48923A9B"/>
    <w:rsid w:val="48937E21"/>
    <w:rsid w:val="489A0361"/>
    <w:rsid w:val="48B94FF3"/>
    <w:rsid w:val="48E37AAB"/>
    <w:rsid w:val="48E857AF"/>
    <w:rsid w:val="48FD4B4C"/>
    <w:rsid w:val="490A68E0"/>
    <w:rsid w:val="491055FE"/>
    <w:rsid w:val="49117305"/>
    <w:rsid w:val="49361819"/>
    <w:rsid w:val="49413F52"/>
    <w:rsid w:val="495F5B3E"/>
    <w:rsid w:val="496F77D7"/>
    <w:rsid w:val="497654FD"/>
    <w:rsid w:val="49886BFF"/>
    <w:rsid w:val="4989333F"/>
    <w:rsid w:val="49B64211"/>
    <w:rsid w:val="49B92A04"/>
    <w:rsid w:val="49F6167F"/>
    <w:rsid w:val="4A064FA0"/>
    <w:rsid w:val="4A16615C"/>
    <w:rsid w:val="4A211AF6"/>
    <w:rsid w:val="4A425D48"/>
    <w:rsid w:val="4A4424D7"/>
    <w:rsid w:val="4A6718D3"/>
    <w:rsid w:val="4A71507A"/>
    <w:rsid w:val="4AB82D0F"/>
    <w:rsid w:val="4ACF01E8"/>
    <w:rsid w:val="4ACF7478"/>
    <w:rsid w:val="4AEB7664"/>
    <w:rsid w:val="4AFD7C19"/>
    <w:rsid w:val="4B0567D1"/>
    <w:rsid w:val="4B201A81"/>
    <w:rsid w:val="4B236AAE"/>
    <w:rsid w:val="4B282AE6"/>
    <w:rsid w:val="4B427C4A"/>
    <w:rsid w:val="4B707271"/>
    <w:rsid w:val="4B7F75D0"/>
    <w:rsid w:val="4B9739F7"/>
    <w:rsid w:val="4BA95F1B"/>
    <w:rsid w:val="4BC93EC7"/>
    <w:rsid w:val="4BEE2503"/>
    <w:rsid w:val="4C1E2465"/>
    <w:rsid w:val="4C245A30"/>
    <w:rsid w:val="4C6538FA"/>
    <w:rsid w:val="4C664A17"/>
    <w:rsid w:val="4CA27E0D"/>
    <w:rsid w:val="4CB6685F"/>
    <w:rsid w:val="4CC367FE"/>
    <w:rsid w:val="4D077F3C"/>
    <w:rsid w:val="4D123355"/>
    <w:rsid w:val="4D2A3B31"/>
    <w:rsid w:val="4D312C52"/>
    <w:rsid w:val="4D507137"/>
    <w:rsid w:val="4D73619F"/>
    <w:rsid w:val="4D797534"/>
    <w:rsid w:val="4D905305"/>
    <w:rsid w:val="4D964A72"/>
    <w:rsid w:val="4D9C1254"/>
    <w:rsid w:val="4DD06D5E"/>
    <w:rsid w:val="4DEF230B"/>
    <w:rsid w:val="4DF01BDF"/>
    <w:rsid w:val="4E141D71"/>
    <w:rsid w:val="4E40569A"/>
    <w:rsid w:val="4E793892"/>
    <w:rsid w:val="4E800872"/>
    <w:rsid w:val="4EC569ED"/>
    <w:rsid w:val="4ED50EA1"/>
    <w:rsid w:val="4EEC050C"/>
    <w:rsid w:val="4F104EC3"/>
    <w:rsid w:val="4F47354A"/>
    <w:rsid w:val="4F511FB2"/>
    <w:rsid w:val="4F911C54"/>
    <w:rsid w:val="4FE625E0"/>
    <w:rsid w:val="4FE8630A"/>
    <w:rsid w:val="4FEA6A7C"/>
    <w:rsid w:val="4FF534DD"/>
    <w:rsid w:val="4FFE4A87"/>
    <w:rsid w:val="5021480F"/>
    <w:rsid w:val="50616DC4"/>
    <w:rsid w:val="50962ECB"/>
    <w:rsid w:val="50A42E38"/>
    <w:rsid w:val="50A4577F"/>
    <w:rsid w:val="50B73D1F"/>
    <w:rsid w:val="50BD5BC9"/>
    <w:rsid w:val="50C00528"/>
    <w:rsid w:val="50C11EEE"/>
    <w:rsid w:val="50E0418D"/>
    <w:rsid w:val="50E97CFC"/>
    <w:rsid w:val="50FA4028"/>
    <w:rsid w:val="510949ED"/>
    <w:rsid w:val="510D65B7"/>
    <w:rsid w:val="511157AB"/>
    <w:rsid w:val="513F75DA"/>
    <w:rsid w:val="5142540C"/>
    <w:rsid w:val="518832C8"/>
    <w:rsid w:val="51986D55"/>
    <w:rsid w:val="519D3C50"/>
    <w:rsid w:val="51A0432A"/>
    <w:rsid w:val="51A86090"/>
    <w:rsid w:val="51B7396D"/>
    <w:rsid w:val="51E101BC"/>
    <w:rsid w:val="51E57A85"/>
    <w:rsid w:val="51FE1BA6"/>
    <w:rsid w:val="52157C17"/>
    <w:rsid w:val="522E4CC3"/>
    <w:rsid w:val="523734C2"/>
    <w:rsid w:val="5244713B"/>
    <w:rsid w:val="52615633"/>
    <w:rsid w:val="526F4DE4"/>
    <w:rsid w:val="52977FD4"/>
    <w:rsid w:val="52A25790"/>
    <w:rsid w:val="52A96B6F"/>
    <w:rsid w:val="52B45975"/>
    <w:rsid w:val="52CD2703"/>
    <w:rsid w:val="52D94AA4"/>
    <w:rsid w:val="52EA3A62"/>
    <w:rsid w:val="52F50BB8"/>
    <w:rsid w:val="52F70215"/>
    <w:rsid w:val="53097272"/>
    <w:rsid w:val="532A610A"/>
    <w:rsid w:val="53544462"/>
    <w:rsid w:val="538F59F6"/>
    <w:rsid w:val="539354E6"/>
    <w:rsid w:val="5397158E"/>
    <w:rsid w:val="53C6708F"/>
    <w:rsid w:val="53F266B1"/>
    <w:rsid w:val="54013861"/>
    <w:rsid w:val="54487265"/>
    <w:rsid w:val="544D6070"/>
    <w:rsid w:val="54605E1E"/>
    <w:rsid w:val="548B2661"/>
    <w:rsid w:val="548E0B39"/>
    <w:rsid w:val="54B00DFC"/>
    <w:rsid w:val="54B3506A"/>
    <w:rsid w:val="54C65448"/>
    <w:rsid w:val="54CA0D16"/>
    <w:rsid w:val="54D74CB2"/>
    <w:rsid w:val="54DD4057"/>
    <w:rsid w:val="54E7490F"/>
    <w:rsid w:val="550764A4"/>
    <w:rsid w:val="550B2BF6"/>
    <w:rsid w:val="55214EB5"/>
    <w:rsid w:val="55364EFD"/>
    <w:rsid w:val="553E76D4"/>
    <w:rsid w:val="55515B7B"/>
    <w:rsid w:val="555D4828"/>
    <w:rsid w:val="557A4C8B"/>
    <w:rsid w:val="558931E1"/>
    <w:rsid w:val="55923347"/>
    <w:rsid w:val="55925180"/>
    <w:rsid w:val="55983B1B"/>
    <w:rsid w:val="559B68D4"/>
    <w:rsid w:val="55A8376B"/>
    <w:rsid w:val="55AC6D33"/>
    <w:rsid w:val="55C20305"/>
    <w:rsid w:val="55DC29B6"/>
    <w:rsid w:val="55DD4241"/>
    <w:rsid w:val="55F62EB8"/>
    <w:rsid w:val="56306A8D"/>
    <w:rsid w:val="5640122A"/>
    <w:rsid w:val="564156CE"/>
    <w:rsid w:val="566B6D1E"/>
    <w:rsid w:val="56A01C11"/>
    <w:rsid w:val="56F4757D"/>
    <w:rsid w:val="56F50266"/>
    <w:rsid w:val="57032A2C"/>
    <w:rsid w:val="570F5219"/>
    <w:rsid w:val="575B631B"/>
    <w:rsid w:val="575D12B5"/>
    <w:rsid w:val="57610A87"/>
    <w:rsid w:val="577B1140"/>
    <w:rsid w:val="577B7F21"/>
    <w:rsid w:val="577F181B"/>
    <w:rsid w:val="57921984"/>
    <w:rsid w:val="579737F0"/>
    <w:rsid w:val="57AB7B30"/>
    <w:rsid w:val="57AF5251"/>
    <w:rsid w:val="57B26373"/>
    <w:rsid w:val="57B40121"/>
    <w:rsid w:val="57B63F04"/>
    <w:rsid w:val="57CD20C2"/>
    <w:rsid w:val="57D1482F"/>
    <w:rsid w:val="57D675AB"/>
    <w:rsid w:val="57D95FDD"/>
    <w:rsid w:val="57E411DB"/>
    <w:rsid w:val="57ED228D"/>
    <w:rsid w:val="5827444F"/>
    <w:rsid w:val="58523BC2"/>
    <w:rsid w:val="588642CA"/>
    <w:rsid w:val="58917D2F"/>
    <w:rsid w:val="5894085C"/>
    <w:rsid w:val="58A106A5"/>
    <w:rsid w:val="58A61818"/>
    <w:rsid w:val="58AE4F0C"/>
    <w:rsid w:val="58B85899"/>
    <w:rsid w:val="58CB127E"/>
    <w:rsid w:val="58E363A9"/>
    <w:rsid w:val="58F34061"/>
    <w:rsid w:val="59375BE3"/>
    <w:rsid w:val="59376914"/>
    <w:rsid w:val="59381A7E"/>
    <w:rsid w:val="594A6647"/>
    <w:rsid w:val="5955323E"/>
    <w:rsid w:val="595E1678"/>
    <w:rsid w:val="5965461A"/>
    <w:rsid w:val="596D5BD4"/>
    <w:rsid w:val="597E3DD8"/>
    <w:rsid w:val="598E5452"/>
    <w:rsid w:val="59CA59DA"/>
    <w:rsid w:val="59F80043"/>
    <w:rsid w:val="5A09252F"/>
    <w:rsid w:val="5A0B2778"/>
    <w:rsid w:val="5A10637D"/>
    <w:rsid w:val="5A217BE1"/>
    <w:rsid w:val="5A2A7C7B"/>
    <w:rsid w:val="5A3E2560"/>
    <w:rsid w:val="5A5D3B6E"/>
    <w:rsid w:val="5A637A76"/>
    <w:rsid w:val="5A6D33BA"/>
    <w:rsid w:val="5A792B1F"/>
    <w:rsid w:val="5A874767"/>
    <w:rsid w:val="5A9A35FE"/>
    <w:rsid w:val="5A9F29C3"/>
    <w:rsid w:val="5AA85BE2"/>
    <w:rsid w:val="5AAD6F28"/>
    <w:rsid w:val="5ABC7F70"/>
    <w:rsid w:val="5AD63A24"/>
    <w:rsid w:val="5B137A0E"/>
    <w:rsid w:val="5B2E1A1D"/>
    <w:rsid w:val="5B311471"/>
    <w:rsid w:val="5B321A89"/>
    <w:rsid w:val="5B843A1C"/>
    <w:rsid w:val="5B873E3F"/>
    <w:rsid w:val="5B9E7D89"/>
    <w:rsid w:val="5BA42BF1"/>
    <w:rsid w:val="5BD42B40"/>
    <w:rsid w:val="5C02690E"/>
    <w:rsid w:val="5C196DA7"/>
    <w:rsid w:val="5C1F025F"/>
    <w:rsid w:val="5C2A048C"/>
    <w:rsid w:val="5C36109E"/>
    <w:rsid w:val="5C495DD3"/>
    <w:rsid w:val="5C4B62F9"/>
    <w:rsid w:val="5C4E46A0"/>
    <w:rsid w:val="5C58107B"/>
    <w:rsid w:val="5C7B1A0A"/>
    <w:rsid w:val="5C80234E"/>
    <w:rsid w:val="5C8A680C"/>
    <w:rsid w:val="5C9A5B38"/>
    <w:rsid w:val="5CC91F79"/>
    <w:rsid w:val="5CCC52A0"/>
    <w:rsid w:val="5CFA0384"/>
    <w:rsid w:val="5D0C00B7"/>
    <w:rsid w:val="5D0C4701"/>
    <w:rsid w:val="5D0F0395"/>
    <w:rsid w:val="5D221076"/>
    <w:rsid w:val="5D226B16"/>
    <w:rsid w:val="5D2B49E2"/>
    <w:rsid w:val="5D3970FE"/>
    <w:rsid w:val="5D397964"/>
    <w:rsid w:val="5D5A391C"/>
    <w:rsid w:val="5D5F10C0"/>
    <w:rsid w:val="5D891B7B"/>
    <w:rsid w:val="5D9C1A89"/>
    <w:rsid w:val="5DAD38EE"/>
    <w:rsid w:val="5DB6074F"/>
    <w:rsid w:val="5DB9334F"/>
    <w:rsid w:val="5DD575E7"/>
    <w:rsid w:val="5E006862"/>
    <w:rsid w:val="5E0207B9"/>
    <w:rsid w:val="5E1834A1"/>
    <w:rsid w:val="5E261785"/>
    <w:rsid w:val="5E4A7017"/>
    <w:rsid w:val="5E552BBA"/>
    <w:rsid w:val="5E56783C"/>
    <w:rsid w:val="5E611C10"/>
    <w:rsid w:val="5E7A0F3F"/>
    <w:rsid w:val="5E7E6D93"/>
    <w:rsid w:val="5EFC7377"/>
    <w:rsid w:val="5F0441B1"/>
    <w:rsid w:val="5F061196"/>
    <w:rsid w:val="5F06174D"/>
    <w:rsid w:val="5F303AA6"/>
    <w:rsid w:val="5F3A3602"/>
    <w:rsid w:val="5F3B712F"/>
    <w:rsid w:val="5F45733B"/>
    <w:rsid w:val="5F6277C6"/>
    <w:rsid w:val="5F630463"/>
    <w:rsid w:val="5F6D0B1D"/>
    <w:rsid w:val="5F6D7533"/>
    <w:rsid w:val="5F8D0B82"/>
    <w:rsid w:val="5FCC5339"/>
    <w:rsid w:val="5FE34A5B"/>
    <w:rsid w:val="5FEB7114"/>
    <w:rsid w:val="5FFE1E36"/>
    <w:rsid w:val="600C6FB6"/>
    <w:rsid w:val="60161979"/>
    <w:rsid w:val="60232584"/>
    <w:rsid w:val="6025396A"/>
    <w:rsid w:val="607330CE"/>
    <w:rsid w:val="607E751E"/>
    <w:rsid w:val="60824919"/>
    <w:rsid w:val="60825176"/>
    <w:rsid w:val="60923B0B"/>
    <w:rsid w:val="609F2AC4"/>
    <w:rsid w:val="60F33A68"/>
    <w:rsid w:val="60FA2EE8"/>
    <w:rsid w:val="61054A27"/>
    <w:rsid w:val="610A52BC"/>
    <w:rsid w:val="611930D0"/>
    <w:rsid w:val="611D2366"/>
    <w:rsid w:val="61386654"/>
    <w:rsid w:val="61421856"/>
    <w:rsid w:val="615227C4"/>
    <w:rsid w:val="615D7134"/>
    <w:rsid w:val="61654E3F"/>
    <w:rsid w:val="6182292A"/>
    <w:rsid w:val="618B5A4F"/>
    <w:rsid w:val="619E02F2"/>
    <w:rsid w:val="619F7F92"/>
    <w:rsid w:val="61BC20AC"/>
    <w:rsid w:val="61E27856"/>
    <w:rsid w:val="61F94C26"/>
    <w:rsid w:val="62000E56"/>
    <w:rsid w:val="6206327E"/>
    <w:rsid w:val="623F6839"/>
    <w:rsid w:val="624F3E49"/>
    <w:rsid w:val="62632286"/>
    <w:rsid w:val="627921C2"/>
    <w:rsid w:val="62885958"/>
    <w:rsid w:val="62935DB1"/>
    <w:rsid w:val="62E4391D"/>
    <w:rsid w:val="62E567C3"/>
    <w:rsid w:val="62EC4908"/>
    <w:rsid w:val="62F40B65"/>
    <w:rsid w:val="62FB3911"/>
    <w:rsid w:val="62FC2CFE"/>
    <w:rsid w:val="63024505"/>
    <w:rsid w:val="63185A08"/>
    <w:rsid w:val="6320666B"/>
    <w:rsid w:val="634E142A"/>
    <w:rsid w:val="635600A5"/>
    <w:rsid w:val="635B1DB5"/>
    <w:rsid w:val="63711FED"/>
    <w:rsid w:val="63754B89"/>
    <w:rsid w:val="63880DDC"/>
    <w:rsid w:val="638D750D"/>
    <w:rsid w:val="63AC6CC0"/>
    <w:rsid w:val="63B0096C"/>
    <w:rsid w:val="63B82D47"/>
    <w:rsid w:val="63BA261B"/>
    <w:rsid w:val="64034D01"/>
    <w:rsid w:val="64055776"/>
    <w:rsid w:val="64240056"/>
    <w:rsid w:val="642C1952"/>
    <w:rsid w:val="64306D81"/>
    <w:rsid w:val="643E143A"/>
    <w:rsid w:val="64491666"/>
    <w:rsid w:val="648B6EEF"/>
    <w:rsid w:val="64C158BF"/>
    <w:rsid w:val="64CE2EAA"/>
    <w:rsid w:val="64DD2A65"/>
    <w:rsid w:val="64E738E4"/>
    <w:rsid w:val="6502427A"/>
    <w:rsid w:val="65181CEF"/>
    <w:rsid w:val="652C7549"/>
    <w:rsid w:val="653C3090"/>
    <w:rsid w:val="65854376"/>
    <w:rsid w:val="658767BE"/>
    <w:rsid w:val="65892531"/>
    <w:rsid w:val="65A17F37"/>
    <w:rsid w:val="65AD68DC"/>
    <w:rsid w:val="65D42813"/>
    <w:rsid w:val="65EC58B4"/>
    <w:rsid w:val="66195831"/>
    <w:rsid w:val="662E75B1"/>
    <w:rsid w:val="66342C2E"/>
    <w:rsid w:val="663E784C"/>
    <w:rsid w:val="665F6024"/>
    <w:rsid w:val="668B6A45"/>
    <w:rsid w:val="6692787F"/>
    <w:rsid w:val="66D24120"/>
    <w:rsid w:val="66DB67C8"/>
    <w:rsid w:val="67127E33"/>
    <w:rsid w:val="672F3F24"/>
    <w:rsid w:val="67357E07"/>
    <w:rsid w:val="673E055F"/>
    <w:rsid w:val="67551CE3"/>
    <w:rsid w:val="675B18CF"/>
    <w:rsid w:val="675E7762"/>
    <w:rsid w:val="679F04A6"/>
    <w:rsid w:val="67A22552"/>
    <w:rsid w:val="67B04461"/>
    <w:rsid w:val="67B22DCC"/>
    <w:rsid w:val="67BA0E3C"/>
    <w:rsid w:val="67BB77DC"/>
    <w:rsid w:val="67BE71AA"/>
    <w:rsid w:val="67D90273"/>
    <w:rsid w:val="67DB0DB2"/>
    <w:rsid w:val="67DE5875"/>
    <w:rsid w:val="67E55852"/>
    <w:rsid w:val="67EB1AB4"/>
    <w:rsid w:val="67FA1285"/>
    <w:rsid w:val="68060525"/>
    <w:rsid w:val="681330EB"/>
    <w:rsid w:val="68197E9F"/>
    <w:rsid w:val="682D3D04"/>
    <w:rsid w:val="68341280"/>
    <w:rsid w:val="68551F4F"/>
    <w:rsid w:val="687C10C9"/>
    <w:rsid w:val="68840C16"/>
    <w:rsid w:val="68876EFB"/>
    <w:rsid w:val="68884654"/>
    <w:rsid w:val="68914293"/>
    <w:rsid w:val="689F444F"/>
    <w:rsid w:val="68A37C8D"/>
    <w:rsid w:val="68B96DBB"/>
    <w:rsid w:val="68BB30BE"/>
    <w:rsid w:val="68CA2805"/>
    <w:rsid w:val="68D3654A"/>
    <w:rsid w:val="68E937A3"/>
    <w:rsid w:val="68EC43AE"/>
    <w:rsid w:val="691357BD"/>
    <w:rsid w:val="693E15D3"/>
    <w:rsid w:val="69627681"/>
    <w:rsid w:val="6977531D"/>
    <w:rsid w:val="697C2AF8"/>
    <w:rsid w:val="698E2580"/>
    <w:rsid w:val="699A7177"/>
    <w:rsid w:val="69B55D5F"/>
    <w:rsid w:val="69CC2BFF"/>
    <w:rsid w:val="69CC709D"/>
    <w:rsid w:val="69D90FDB"/>
    <w:rsid w:val="69F525FF"/>
    <w:rsid w:val="69FD55B8"/>
    <w:rsid w:val="6A0B1C62"/>
    <w:rsid w:val="6A1339CC"/>
    <w:rsid w:val="6A2406C8"/>
    <w:rsid w:val="6A2E78BF"/>
    <w:rsid w:val="6A333509"/>
    <w:rsid w:val="6A3B3D8A"/>
    <w:rsid w:val="6ADE0BD1"/>
    <w:rsid w:val="6AE96859"/>
    <w:rsid w:val="6B147746"/>
    <w:rsid w:val="6B24787C"/>
    <w:rsid w:val="6B573233"/>
    <w:rsid w:val="6B5B6274"/>
    <w:rsid w:val="6B5C61BC"/>
    <w:rsid w:val="6B935D53"/>
    <w:rsid w:val="6B9F7803"/>
    <w:rsid w:val="6C196F71"/>
    <w:rsid w:val="6C226FCB"/>
    <w:rsid w:val="6C31226F"/>
    <w:rsid w:val="6C463FA6"/>
    <w:rsid w:val="6C552F0B"/>
    <w:rsid w:val="6C6B6C2A"/>
    <w:rsid w:val="6C835F4E"/>
    <w:rsid w:val="6C850CCB"/>
    <w:rsid w:val="6C8C67B7"/>
    <w:rsid w:val="6C8E6D3B"/>
    <w:rsid w:val="6C9D744C"/>
    <w:rsid w:val="6CE14F1B"/>
    <w:rsid w:val="6D107750"/>
    <w:rsid w:val="6D167928"/>
    <w:rsid w:val="6D26299B"/>
    <w:rsid w:val="6D26427B"/>
    <w:rsid w:val="6D4772EC"/>
    <w:rsid w:val="6D667370"/>
    <w:rsid w:val="6D9078AF"/>
    <w:rsid w:val="6DAA3FEF"/>
    <w:rsid w:val="6DB95CF3"/>
    <w:rsid w:val="6DC0172B"/>
    <w:rsid w:val="6DCB690C"/>
    <w:rsid w:val="6DD41A5B"/>
    <w:rsid w:val="6DF43C2E"/>
    <w:rsid w:val="6DF51CA3"/>
    <w:rsid w:val="6E8335BD"/>
    <w:rsid w:val="6E8E12EF"/>
    <w:rsid w:val="6E972936"/>
    <w:rsid w:val="6EA44F40"/>
    <w:rsid w:val="6EB20ABF"/>
    <w:rsid w:val="6ED446C5"/>
    <w:rsid w:val="6EDC5B3C"/>
    <w:rsid w:val="6EE55435"/>
    <w:rsid w:val="6EED5F9B"/>
    <w:rsid w:val="6F2A7D94"/>
    <w:rsid w:val="6F547DC8"/>
    <w:rsid w:val="6F614293"/>
    <w:rsid w:val="6F8331F1"/>
    <w:rsid w:val="6F8F2BAE"/>
    <w:rsid w:val="6F9417E0"/>
    <w:rsid w:val="6FAE1A09"/>
    <w:rsid w:val="6FC104BF"/>
    <w:rsid w:val="6FD75BF8"/>
    <w:rsid w:val="6FD902CD"/>
    <w:rsid w:val="6FF439AD"/>
    <w:rsid w:val="6FFD5A3A"/>
    <w:rsid w:val="70025A76"/>
    <w:rsid w:val="704859CA"/>
    <w:rsid w:val="707723D0"/>
    <w:rsid w:val="70827219"/>
    <w:rsid w:val="70C76378"/>
    <w:rsid w:val="70F5661B"/>
    <w:rsid w:val="71153587"/>
    <w:rsid w:val="71272EDB"/>
    <w:rsid w:val="71360107"/>
    <w:rsid w:val="713B688E"/>
    <w:rsid w:val="71530B04"/>
    <w:rsid w:val="716562BC"/>
    <w:rsid w:val="71A87F57"/>
    <w:rsid w:val="71BA7C8A"/>
    <w:rsid w:val="71D43752"/>
    <w:rsid w:val="71F1796A"/>
    <w:rsid w:val="71FB452B"/>
    <w:rsid w:val="72127AC6"/>
    <w:rsid w:val="72154626"/>
    <w:rsid w:val="72262B5D"/>
    <w:rsid w:val="72283FF7"/>
    <w:rsid w:val="722E7212"/>
    <w:rsid w:val="723A0474"/>
    <w:rsid w:val="725923E4"/>
    <w:rsid w:val="72864BF7"/>
    <w:rsid w:val="729023FC"/>
    <w:rsid w:val="72AE3C93"/>
    <w:rsid w:val="72C708B1"/>
    <w:rsid w:val="72F71401"/>
    <w:rsid w:val="72FC075F"/>
    <w:rsid w:val="730B7818"/>
    <w:rsid w:val="730E64E0"/>
    <w:rsid w:val="732857F3"/>
    <w:rsid w:val="733C0236"/>
    <w:rsid w:val="733F60AF"/>
    <w:rsid w:val="734755EE"/>
    <w:rsid w:val="73522870"/>
    <w:rsid w:val="738547D2"/>
    <w:rsid w:val="73C0646E"/>
    <w:rsid w:val="742222F5"/>
    <w:rsid w:val="742C30C1"/>
    <w:rsid w:val="743261FE"/>
    <w:rsid w:val="74476126"/>
    <w:rsid w:val="746E36DA"/>
    <w:rsid w:val="74706664"/>
    <w:rsid w:val="74786307"/>
    <w:rsid w:val="747F3682"/>
    <w:rsid w:val="74826AAD"/>
    <w:rsid w:val="7482725E"/>
    <w:rsid w:val="7496678D"/>
    <w:rsid w:val="749C4185"/>
    <w:rsid w:val="74EA287D"/>
    <w:rsid w:val="74EF395E"/>
    <w:rsid w:val="74F33BDF"/>
    <w:rsid w:val="75067759"/>
    <w:rsid w:val="7521699E"/>
    <w:rsid w:val="752E6DCD"/>
    <w:rsid w:val="7551380D"/>
    <w:rsid w:val="75581C94"/>
    <w:rsid w:val="75600BE5"/>
    <w:rsid w:val="7564475C"/>
    <w:rsid w:val="758141FF"/>
    <w:rsid w:val="7583797F"/>
    <w:rsid w:val="75A60C51"/>
    <w:rsid w:val="75D20F1D"/>
    <w:rsid w:val="75DA1077"/>
    <w:rsid w:val="75DA2C18"/>
    <w:rsid w:val="75F54412"/>
    <w:rsid w:val="7600557C"/>
    <w:rsid w:val="76126817"/>
    <w:rsid w:val="761D08E0"/>
    <w:rsid w:val="763972B9"/>
    <w:rsid w:val="76475789"/>
    <w:rsid w:val="765D347C"/>
    <w:rsid w:val="766A0D56"/>
    <w:rsid w:val="76826699"/>
    <w:rsid w:val="76A553AD"/>
    <w:rsid w:val="76C87133"/>
    <w:rsid w:val="76CD08D5"/>
    <w:rsid w:val="76D773C6"/>
    <w:rsid w:val="76DB4B92"/>
    <w:rsid w:val="76E934EC"/>
    <w:rsid w:val="77052AA4"/>
    <w:rsid w:val="77136511"/>
    <w:rsid w:val="77340A39"/>
    <w:rsid w:val="77351FD0"/>
    <w:rsid w:val="77420E4E"/>
    <w:rsid w:val="77472422"/>
    <w:rsid w:val="774C0FC7"/>
    <w:rsid w:val="777F31F2"/>
    <w:rsid w:val="77D1700D"/>
    <w:rsid w:val="77EC04CC"/>
    <w:rsid w:val="77F17D01"/>
    <w:rsid w:val="78063C29"/>
    <w:rsid w:val="78775729"/>
    <w:rsid w:val="78A42DB0"/>
    <w:rsid w:val="78A656AB"/>
    <w:rsid w:val="78B2245C"/>
    <w:rsid w:val="78D67AA0"/>
    <w:rsid w:val="78E172CC"/>
    <w:rsid w:val="78EA1D1F"/>
    <w:rsid w:val="7904172F"/>
    <w:rsid w:val="790F7E27"/>
    <w:rsid w:val="792A231A"/>
    <w:rsid w:val="79316829"/>
    <w:rsid w:val="795B1D53"/>
    <w:rsid w:val="797E66A9"/>
    <w:rsid w:val="798518A4"/>
    <w:rsid w:val="79A97383"/>
    <w:rsid w:val="79C8563A"/>
    <w:rsid w:val="79DC2E94"/>
    <w:rsid w:val="79E27E8B"/>
    <w:rsid w:val="79F13A07"/>
    <w:rsid w:val="79F850CE"/>
    <w:rsid w:val="79FD443C"/>
    <w:rsid w:val="7A07146E"/>
    <w:rsid w:val="7A097A01"/>
    <w:rsid w:val="7A1545F8"/>
    <w:rsid w:val="7A1D1975"/>
    <w:rsid w:val="7A347300"/>
    <w:rsid w:val="7A3E5150"/>
    <w:rsid w:val="7A4670D6"/>
    <w:rsid w:val="7A4F3F08"/>
    <w:rsid w:val="7A534B63"/>
    <w:rsid w:val="7A615382"/>
    <w:rsid w:val="7A67303B"/>
    <w:rsid w:val="7AAB1D04"/>
    <w:rsid w:val="7ABA4368"/>
    <w:rsid w:val="7AD05746"/>
    <w:rsid w:val="7ADE0E8D"/>
    <w:rsid w:val="7AE709F8"/>
    <w:rsid w:val="7B257FFD"/>
    <w:rsid w:val="7B343476"/>
    <w:rsid w:val="7B5A2978"/>
    <w:rsid w:val="7B5A7E4C"/>
    <w:rsid w:val="7B5B24DE"/>
    <w:rsid w:val="7B667AF9"/>
    <w:rsid w:val="7B6E3FBF"/>
    <w:rsid w:val="7B7468F8"/>
    <w:rsid w:val="7BEE0103"/>
    <w:rsid w:val="7C0405EE"/>
    <w:rsid w:val="7C0A0FE4"/>
    <w:rsid w:val="7C254906"/>
    <w:rsid w:val="7C280203"/>
    <w:rsid w:val="7C354905"/>
    <w:rsid w:val="7C3F770A"/>
    <w:rsid w:val="7C590818"/>
    <w:rsid w:val="7C7C10F6"/>
    <w:rsid w:val="7C853BEA"/>
    <w:rsid w:val="7C881368"/>
    <w:rsid w:val="7CA81753"/>
    <w:rsid w:val="7CD552C0"/>
    <w:rsid w:val="7CE27788"/>
    <w:rsid w:val="7CF60710"/>
    <w:rsid w:val="7D0C32F1"/>
    <w:rsid w:val="7D0F408D"/>
    <w:rsid w:val="7D1961AD"/>
    <w:rsid w:val="7D491C6C"/>
    <w:rsid w:val="7D527C7D"/>
    <w:rsid w:val="7D5429C0"/>
    <w:rsid w:val="7D553689"/>
    <w:rsid w:val="7D61324B"/>
    <w:rsid w:val="7D6E6D43"/>
    <w:rsid w:val="7D7D04EA"/>
    <w:rsid w:val="7DB06B11"/>
    <w:rsid w:val="7DB57A34"/>
    <w:rsid w:val="7DE60973"/>
    <w:rsid w:val="7DEF0916"/>
    <w:rsid w:val="7E1E5218"/>
    <w:rsid w:val="7E7318ED"/>
    <w:rsid w:val="7E8C64E6"/>
    <w:rsid w:val="7E9A4E1F"/>
    <w:rsid w:val="7EA7723A"/>
    <w:rsid w:val="7EF56FBB"/>
    <w:rsid w:val="7F0768EB"/>
    <w:rsid w:val="7F0C5FC9"/>
    <w:rsid w:val="7F143BEC"/>
    <w:rsid w:val="7F5D2F08"/>
    <w:rsid w:val="7F715AF2"/>
    <w:rsid w:val="7F886E69"/>
    <w:rsid w:val="7FA95232"/>
    <w:rsid w:val="7FB12A09"/>
    <w:rsid w:val="7FD269B4"/>
    <w:rsid w:val="7FEE3921"/>
    <w:rsid w:val="7FFD5912"/>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3"/>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9"/>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0"/>
    <w:qFormat/>
    <w:uiPriority w:val="0"/>
    <w:pPr>
      <w:ind w:firstLine="420"/>
    </w:pPr>
    <w:rPr>
      <w:rFonts w:hAnsi="Calibri" w:cs="Times New Roman"/>
      <w:snapToGrid/>
      <w:szCs w:val="20"/>
    </w:rPr>
  </w:style>
  <w:style w:type="paragraph" w:styleId="27">
    <w:name w:val="Body Text Indent"/>
    <w:basedOn w:val="1"/>
    <w:next w:val="1"/>
    <w:link w:val="265"/>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Plain Text"/>
    <w:basedOn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envelope return"/>
    <w:basedOn w:val="1"/>
    <w:qFormat/>
    <w:uiPriority w:val="99"/>
    <w:pPr>
      <w:snapToGrid w:val="0"/>
    </w:pPr>
    <w:rPr>
      <w:rFonts w:ascii="Arial" w:hAnsi="Arial" w:cs="Arial"/>
    </w:rPr>
  </w:style>
  <w:style w:type="paragraph" w:styleId="43">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7"/>
    <w:link w:val="309"/>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4"/>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1"/>
    <w:qFormat/>
    <w:uiPriority w:val="0"/>
    <w:pPr>
      <w:spacing w:after="120" w:line="480" w:lineRule="auto"/>
    </w:pPr>
  </w:style>
  <w:style w:type="paragraph" w:styleId="59">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7"/>
    <w:qFormat/>
    <w:uiPriority w:val="0"/>
    <w:rPr>
      <w:b/>
      <w:bCs/>
    </w:rPr>
  </w:style>
  <w:style w:type="paragraph" w:styleId="63">
    <w:name w:val="Body Text First Indent 2"/>
    <w:basedOn w:val="27"/>
    <w:link w:val="122"/>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标题 2 Char"/>
    <w:qFormat/>
    <w:uiPriority w:val="0"/>
    <w:rPr>
      <w:rFonts w:ascii="Arial" w:hAnsi="Arial" w:eastAsia="黑体"/>
      <w:b/>
      <w:kern w:val="2"/>
      <w:sz w:val="32"/>
      <w:lang w:val="en-US" w:eastAsia="zh-CN"/>
    </w:rPr>
  </w:style>
  <w:style w:type="character" w:customStyle="1" w:styleId="82">
    <w:name w:val="标题 1 字符1"/>
    <w:link w:val="4"/>
    <w:qFormat/>
    <w:uiPriority w:val="9"/>
    <w:rPr>
      <w:b/>
      <w:bCs/>
      <w:kern w:val="44"/>
      <w:sz w:val="44"/>
      <w:szCs w:val="4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2"/>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3"/>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9"/>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5"/>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7"/>
    <w:qFormat/>
    <w:uiPriority w:val="0"/>
    <w:rPr>
      <w:rFonts w:ascii="宋体"/>
      <w:kern w:val="2"/>
      <w:sz w:val="24"/>
      <w:szCs w:val="21"/>
      <w:lang w:val="zh-CN"/>
    </w:rPr>
  </w:style>
  <w:style w:type="character" w:customStyle="1" w:styleId="183">
    <w:name w:val="标题 9 字符"/>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17"/>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1"/>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70"/>
    <w:qFormat/>
    <w:uiPriority w:val="0"/>
    <w:rPr>
      <w:rFonts w:ascii="仿宋_GB2312" w:hAnsi="仿宋" w:eastAsia="仿宋_GB2312" w:cs="仿宋_GB2312"/>
      <w:sz w:val="32"/>
      <w:szCs w:val="30"/>
      <w:lang w:val="zh-CN"/>
    </w:rPr>
  </w:style>
  <w:style w:type="character" w:customStyle="1" w:styleId="219">
    <w:name w:val="HTML 地址 字符"/>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7"/>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61"/>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9"/>
    <w:qFormat/>
    <w:uiPriority w:val="0"/>
    <w:rPr>
      <w:rFonts w:ascii="黑体" w:hAnsi="Courier New" w:eastAsia="黑体"/>
    </w:rPr>
  </w:style>
  <w:style w:type="character" w:customStyle="1" w:styleId="301">
    <w:name w:val="正文文本 2 字符1"/>
    <w:link w:val="58"/>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10"/>
    <w:qFormat/>
    <w:uiPriority w:val="0"/>
    <w:rPr>
      <w:b/>
      <w:bCs/>
      <w:kern w:val="2"/>
      <w:sz w:val="24"/>
      <w:szCs w:val="24"/>
    </w:rPr>
  </w:style>
  <w:style w:type="character" w:customStyle="1" w:styleId="307">
    <w:name w:val="正文文本缩进 2 字符"/>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2"/>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26"/>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1"/>
    <w:qFormat/>
    <w:uiPriority w:val="0"/>
    <w:rPr>
      <w:kern w:val="2"/>
      <w:sz w:val="21"/>
      <w:szCs w:val="24"/>
    </w:rPr>
  </w:style>
  <w:style w:type="character" w:customStyle="1" w:styleId="344">
    <w:name w:val="签名 字符"/>
    <w:link w:val="44"/>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5"/>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3"/>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1"/>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7"/>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71"/>
    <w:qFormat/>
    <w:uiPriority w:val="0"/>
    <w:rPr>
      <w:rFonts w:ascii="Arial" w:hAnsi="Arial" w:eastAsia="黑体" w:cs="Arial"/>
      <w:snapToGrid w:val="0"/>
      <w:kern w:val="0"/>
      <w:szCs w:val="21"/>
    </w:rPr>
  </w:style>
  <w:style w:type="character" w:customStyle="1" w:styleId="431">
    <w:name w:val="hui"/>
    <w:basedOn w:val="71"/>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25"/>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6"/>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tabs>
        <w:tab w:val="left" w:pos="2790"/>
        <w:tab w:val="left" w:pos="4230"/>
      </w:tabs>
      <w:spacing w:after="156" w:afterLines="50"/>
      <w:jc w:val="left"/>
      <w:outlineLvl w:val="3"/>
    </w:pPr>
    <w:rPr>
      <w:sz w:val="24"/>
      <w:szCs w:val="24"/>
    </w:rPr>
  </w:style>
  <w:style w:type="paragraph" w:customStyle="1" w:styleId="648">
    <w:name w:val="样式4"/>
    <w:basedOn w:val="458"/>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9"/>
    <w:qFormat/>
    <w:uiPriority w:val="0"/>
    <w:rPr>
      <w:kern w:val="2"/>
      <w:sz w:val="21"/>
      <w:szCs w:val="24"/>
      <w:lang w:val="zh-CN"/>
    </w:rPr>
  </w:style>
  <w:style w:type="character" w:customStyle="1" w:styleId="931">
    <w:name w:val="无间隔 字符"/>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8"/>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Normal]"/>
    <w:qFormat/>
    <w:uiPriority w:val="0"/>
    <w:rPr>
      <w:rFonts w:ascii="宋体" w:hAnsi="宋体" w:eastAsia="宋体" w:cs="Times New Roman"/>
      <w:sz w:val="24"/>
      <w:szCs w:val="22"/>
      <w:lang w:val="zh-CN" w:eastAsia="zh-CN" w:bidi="ar-SA"/>
    </w:rPr>
  </w:style>
  <w:style w:type="character" w:customStyle="1" w:styleId="963">
    <w:name w:val="font101"/>
    <w:basedOn w:val="71"/>
    <w:qFormat/>
    <w:uiPriority w:val="0"/>
    <w:rPr>
      <w:rFonts w:hint="eastAsia" w:ascii="宋体" w:hAnsi="宋体" w:eastAsia="宋体" w:cs="宋体"/>
      <w:color w:val="1731F3"/>
      <w:sz w:val="18"/>
      <w:szCs w:val="18"/>
      <w:u w:val="none"/>
    </w:rPr>
  </w:style>
  <w:style w:type="paragraph" w:customStyle="1" w:styleId="964">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NormalCharacter"/>
    <w:link w:val="966"/>
    <w:semiHidden/>
    <w:qFormat/>
    <w:uiPriority w:val="0"/>
    <w:rPr>
      <w:rFonts w:ascii="??_GB2312" w:hAnsi="??_GB2312" w:eastAsia="??_GB2312"/>
      <w:b/>
      <w:sz w:val="32"/>
      <w:szCs w:val="32"/>
    </w:rPr>
  </w:style>
  <w:style w:type="paragraph" w:customStyle="1" w:styleId="966">
    <w:name w:val="UserStyle_108"/>
    <w:basedOn w:val="1"/>
    <w:link w:val="965"/>
    <w:qFormat/>
    <w:uiPriority w:val="0"/>
    <w:pPr>
      <w:textAlignment w:val="baseline"/>
    </w:pPr>
    <w:rPr>
      <w:rFonts w:ascii="??_GB2312" w:hAnsi="??_GB2312" w:eastAsia="??_GB2312"/>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88</Pages>
  <Words>46859</Words>
  <Characters>49844</Characters>
  <Lines>410</Lines>
  <Paragraphs>115</Paragraphs>
  <TotalTime>7</TotalTime>
  <ScaleCrop>false</ScaleCrop>
  <LinksUpToDate>false</LinksUpToDate>
  <CharactersWithSpaces>54360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李芳芳-天堂眼</cp:lastModifiedBy>
  <cp:lastPrinted>2021-12-27T11:06:00Z</cp:lastPrinted>
  <dcterms:modified xsi:type="dcterms:W3CDTF">2023-01-31T15:19:16Z</dcterms:modified>
  <dc:title>杭州市市民卡扩大发卡工程</dc:title>
  <cp:revision>211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33EE3F069AC34D4A968477D2169425EE</vt:lpwstr>
  </property>
</Properties>
</file>