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绍兴市第七人民医院关于药物浓度检测委托服务项目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ZJFY-20247002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524"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419"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绍兴市第七人民医院关于药物浓度检测委托服务项目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 xml:space="preserve"> 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ZJFY-20247002</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800000.00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800000.00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绍兴市第七人民医院关于药物浓度检测委托服务项目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800000.00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称：绍兴市第七人民医院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址：绍兴市越城区胜利西路1234号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20"/>
      <w:bookmarkStart w:id="10" w:name="_Toc35393807"/>
      <w:bookmarkStart w:id="11" w:name="_Toc28359097"/>
      <w:bookmarkStart w:id="12" w:name="_Toc35393638"/>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沈惠强</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0575-85397728</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唐亮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质疑联系方式：0575-85397715</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3"/>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3"/>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3"/>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3"/>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3"/>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3"/>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3"/>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3"/>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440" w:lineRule="exact"/>
              <w:rPr>
                <w:rFonts w:hint="eastAsia" w:ascii="仿宋_GB2312" w:hAnsi="仿宋" w:eastAsia="仿宋_GB2312"/>
                <w:kern w:val="0"/>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hint="eastAsia" w:ascii="仿宋_GB2312" w:hAnsi="仿宋" w:eastAsia="仿宋_GB2312"/>
                    <w:kern w:val="0"/>
                    <w:sz w:val="24"/>
                  </w:rPr>
                  <w:sym w:font="Wingdings" w:char="00FE"/>
                </w:r>
              </w:sdtContent>
            </w:sdt>
            <w:r>
              <w:rPr>
                <w:rFonts w:hint="eastAsia" w:ascii="仿宋_GB2312" w:hAnsi="仿宋" w:eastAsia="仿宋_GB2312"/>
                <w:kern w:val="0"/>
                <w:sz w:val="24"/>
              </w:rPr>
              <w:t>A不组织。</w:t>
            </w:r>
          </w:p>
          <w:p>
            <w:pPr>
              <w:spacing w:line="440" w:lineRule="exact"/>
              <w:rPr>
                <w:rFonts w:ascii="仿宋_GB2312" w:hAnsi="宋体" w:eastAsia="仿宋_GB2312"/>
                <w:b/>
                <w:sz w:val="24"/>
              </w:rPr>
            </w:pPr>
            <w:sdt>
              <w:sdtPr>
                <w:rPr>
                  <w:rFonts w:hint="eastAsia" w:ascii="仿宋_GB2312" w:hAnsi="仿宋" w:eastAsia="仿宋_GB2312"/>
                  <w:kern w:val="0"/>
                  <w:sz w:val="24"/>
                </w:rPr>
                <w:id w:val="110"/>
              </w:sdtPr>
              <w:sdtEndPr>
                <w:rPr>
                  <w:rFonts w:hint="eastAsia" w:ascii="仿宋_GB2312" w:hAnsi="仿宋" w:eastAsia="仿宋_GB2312"/>
                  <w:kern w:val="0"/>
                  <w:sz w:val="24"/>
                </w:rPr>
              </w:sdtEndPr>
              <w:sdtContent>
                <w:r>
                  <w:rPr>
                    <w:rFonts w:hint="eastAsia" w:ascii="仿宋_GB2312" w:hAnsi="仿宋" w:eastAsia="仿宋_GB2312"/>
                    <w:kern w:val="0"/>
                    <w:sz w:val="24"/>
                  </w:rPr>
                  <w:t>☐</w:t>
                </w:r>
              </w:sdtContent>
            </w:sdt>
            <w:r>
              <w:rPr>
                <w:rFonts w:hint="eastAsia" w:ascii="仿宋_GB2312" w:hAnsi="仿宋" w:eastAsia="仿宋_GB2312"/>
                <w:kern w:val="0"/>
                <w:sz w:val="24"/>
              </w:rPr>
              <w:t>B组织，时间：</w:t>
            </w:r>
            <w:r>
              <w:rPr>
                <w:rFonts w:ascii="仿宋_GB2312" w:hAnsi="仿宋" w:eastAsia="仿宋_GB2312"/>
                <w:sz w:val="24"/>
                <w:u w:val="single"/>
              </w:rPr>
              <w:t xml:space="preserve">      </w:t>
            </w:r>
            <w:r>
              <w:rPr>
                <w:rFonts w:hint="eastAsia" w:ascii="仿宋_GB2312" w:hAnsi="仿宋" w:eastAsia="仿宋_GB2312"/>
                <w:kern w:val="0"/>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3"/>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3"/>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en-US" w:eastAsia="zh-CN"/>
              </w:rPr>
              <w:t>20</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lang w:eastAsia="zh-CN"/>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gridSpan w:val="2"/>
            <w:vAlign w:val="center"/>
          </w:tcPr>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120"/>
              </w:sdtPr>
              <w:sdtEndPr>
                <w:rPr>
                  <w:rFonts w:hint="eastAsia" w:ascii="仿宋_GB2312" w:hAnsi="仿宋" w:eastAsia="仿宋_GB2312" w:cs="仿宋"/>
                  <w:kern w:val="0"/>
                  <w:sz w:val="24"/>
                  <w:lang w:val="zh-CN"/>
                </w:rPr>
              </w:sdtEndPr>
              <w:sdtContent>
                <w:r>
                  <w:rPr>
                    <w:rFonts w:hint="eastAsia" w:ascii="仿宋_GB2312" w:hAnsi="仿宋" w:eastAsia="仿宋_GB2312" w:cs="仿宋"/>
                    <w:sz w:val="24"/>
                    <w:lang w:val="zh-CN"/>
                  </w:rPr>
                  <w:sym w:font="Wingdings" w:char="F0FE"/>
                </w:r>
              </w:sdtContent>
            </w:sdt>
            <w:r>
              <w:rPr>
                <w:rFonts w:hint="eastAsia" w:ascii="仿宋_GB2312" w:hAnsi="仿宋" w:eastAsia="仿宋_GB2312" w:cs="仿宋"/>
                <w:sz w:val="24"/>
                <w:lang w:val="zh-CN"/>
              </w:rPr>
              <w:t>本项目不允许采购进口产品。</w:t>
            </w:r>
          </w:p>
          <w:p>
            <w:pPr>
              <w:spacing w:line="440" w:lineRule="exact"/>
              <w:rPr>
                <w:rFonts w:ascii="仿宋_GB2312" w:hAnsi="仿宋_GB2312" w:eastAsia="仿宋_GB2312" w:cs="仿宋_GB2312"/>
                <w:b/>
                <w:sz w:val="24"/>
              </w:rPr>
            </w:pPr>
            <w:sdt>
              <w:sdtPr>
                <w:rPr>
                  <w:rFonts w:hint="eastAsia" w:ascii="仿宋_GB2312" w:hAnsi="仿宋" w:eastAsia="仿宋_GB2312" w:cs="仿宋"/>
                  <w:sz w:val="24"/>
                  <w:lang w:val="zh-CN"/>
                </w:rPr>
                <w:id w:val="121"/>
              </w:sdtPr>
              <w:sdtEndPr>
                <w:rPr>
                  <w:rFonts w:hint="eastAsia" w:ascii="仿宋_GB2312" w:hAnsi="仿宋" w:eastAsia="仿宋_GB2312" w:cs="仿宋"/>
                  <w:sz w:val="24"/>
                  <w:lang w:val="zh-CN"/>
                </w:rPr>
              </w:sdtEndPr>
              <w:sdtContent>
                <w:r>
                  <w:rPr>
                    <w:rFonts w:hint="eastAsia" w:ascii="仿宋_GB2312" w:hAnsi="仿宋" w:eastAsia="仿宋_GB2312" w:cs="仿宋"/>
                    <w:sz w:val="24"/>
                    <w:lang w:val="zh-CN"/>
                  </w:rPr>
                  <w:t>☐</w:t>
                </w:r>
              </w:sdtContent>
            </w:sdt>
            <w:r>
              <w:rPr>
                <w:rFonts w:hint="eastAsia" w:ascii="仿宋_GB2312" w:hAnsi="仿宋" w:eastAsia="仿宋_GB2312" w:cs="仿宋"/>
                <w:sz w:val="24"/>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kern w:val="0"/>
                <w:sz w:val="24"/>
              </w:rPr>
              <w:t>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gridSpan w:val="2"/>
            <w:vAlign w:val="center"/>
          </w:tcPr>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☐A货物类，单一产品或核心产品为：。</w:t>
            </w:r>
          </w:p>
          <w:p>
            <w:pPr>
              <w:spacing w:line="440" w:lineRule="exact"/>
              <w:rPr>
                <w:rFonts w:ascii="仿宋_GB2312" w:hAnsi="仿宋_GB2312" w:eastAsia="仿宋_GB2312" w:cs="仿宋_GB2312"/>
                <w:sz w:val="24"/>
              </w:rPr>
            </w:pPr>
            <w:sdt>
              <w:sdtPr>
                <w:rPr>
                  <w:rFonts w:hint="eastAsia" w:ascii="仿宋_GB2312" w:hAnsi="仿宋" w:eastAsia="仿宋_GB2312" w:cs="仿宋"/>
                  <w:sz w:val="24"/>
                  <w:lang w:val="zh-CN"/>
                </w:rPr>
                <w:id w:val="474885559"/>
              </w:sdtPr>
              <w:sdtEndPr>
                <w:rPr>
                  <w:rFonts w:hint="eastAsia" w:ascii="仿宋_GB2312" w:hAnsi="仿宋" w:eastAsia="仿宋_GB2312" w:cs="仿宋"/>
                  <w:sz w:val="24"/>
                  <w:lang w:val="zh-CN"/>
                </w:rPr>
              </w:sdtEndPr>
              <w:sdtContent>
                <w:sdt>
                  <w:sdtPr>
                    <w:rPr>
                      <w:rFonts w:hint="eastAsia" w:ascii="仿宋_GB2312" w:hAnsi="仿宋" w:eastAsia="仿宋_GB2312" w:cs="仿宋"/>
                      <w:sz w:val="24"/>
                      <w:lang w:val="zh-CN"/>
                    </w:rPr>
                    <w:id w:val="118727868"/>
                  </w:sdtPr>
                  <w:sdtEndPr>
                    <w:rPr>
                      <w:rFonts w:hint="eastAsia" w:ascii="仿宋_GB2312" w:hAnsi="仿宋" w:eastAsia="仿宋_GB2312" w:cs="仿宋"/>
                      <w:sz w:val="24"/>
                      <w:lang w:val="zh-CN"/>
                    </w:rPr>
                  </w:sdtEndPr>
                  <w:sdtContent>
                    <w:r>
                      <w:rPr>
                        <w:rFonts w:hint="eastAsia" w:ascii="仿宋_GB2312" w:hAnsi="仿宋" w:eastAsia="仿宋_GB2312" w:cs="仿宋"/>
                        <w:sz w:val="24"/>
                        <w:lang w:eastAsia="zh-CN"/>
                      </w:rPr>
                      <w:t>☑</w:t>
                    </w:r>
                  </w:sdtContent>
                </w:sdt>
              </w:sdtContent>
            </w:sdt>
            <w:r>
              <w:rPr>
                <w:rFonts w:hint="eastAsia" w:ascii="仿宋_GB2312" w:hAnsi="仿宋" w:eastAsia="仿宋_GB2312" w:cs="仿宋"/>
                <w:sz w:val="24"/>
                <w:lang w:val="zh-CN"/>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1640" w:type="dxa"/>
            <w:gridSpan w:val="2"/>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6730"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宋体" w:eastAsia="仿宋_GB2312" w:cs="宋体"/>
                <w:kern w:val="0"/>
                <w:sz w:val="24"/>
                <w:u w:val="single"/>
              </w:rPr>
              <w:t>其他未列明行业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gridSpan w:val="2"/>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gridSpan w:val="2"/>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3"/>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3"/>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sz w:val="24"/>
              </w:rPr>
              <w:t>采购代理服务费：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①代理服务费收费标准：具体比例按《年度招标采购委托代理服务》规定的收费标准收取</w:t>
            </w:r>
            <w:r>
              <w:rPr>
                <w:rFonts w:hint="eastAsia" w:ascii="仿宋" w:hAnsi="仿宋" w:eastAsia="仿宋" w:cs="仿宋"/>
                <w:color w:val="auto"/>
                <w:sz w:val="24"/>
                <w:highlight w:val="none"/>
                <w:lang w:eastAsia="zh-CN"/>
              </w:rPr>
              <w:t>（50万元以下部分按1%收取，50-100万元部分按0.8%收取，100-150万元部分按0.6%收取，150万元以上部分按0.4%收取）</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pPr>
              <w:spacing w:line="440" w:lineRule="exact"/>
              <w:jc w:val="left"/>
              <w:rPr>
                <w:rFonts w:ascii="仿宋_GB2312" w:hAnsi="仿宋" w:eastAsia="仿宋_GB2312" w:cs="仿宋"/>
                <w:b/>
                <w:kern w:val="0"/>
                <w:sz w:val="24"/>
                <w:szCs w:val="21"/>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2.2.3授权代表社保证明；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rPr>
      </w:pPr>
      <w:r>
        <w:rPr>
          <w:rFonts w:hint="eastAsia" w:ascii="仿宋_GB2312" w:hAnsi="仿宋" w:eastAsia="仿宋_GB2312" w:cs="仿宋"/>
          <w:sz w:val="24"/>
        </w:rPr>
        <w:t>2.2.4法定代表人身份证明书；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2.2.9供应商应提供针对项目的完整技术解决方案：（如果有）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2.2.17验收方案；（如果有）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sz w:val="24"/>
          <w:u w:val="wave"/>
        </w:rPr>
      </w:pPr>
      <w:r>
        <w:rPr>
          <w:rFonts w:hint="eastAsia" w:ascii="仿宋_GB2312" w:hAnsi="仿宋" w:eastAsia="仿宋_GB2312" w:cs="仿宋"/>
          <w:b/>
          <w:bCs/>
          <w:sz w:val="24"/>
        </w:rPr>
        <w:t>2.2.18</w:t>
      </w:r>
      <w:r>
        <w:rPr>
          <w:rFonts w:hint="eastAsia" w:ascii="仿宋_GB2312" w:hAnsi="仿宋" w:eastAsia="仿宋_GB2312" w:cs="仿宋"/>
          <w:b/>
          <w:bCs/>
          <w:sz w:val="24"/>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lang w:val="zh-CN"/>
        </w:rPr>
      </w:pPr>
      <w:r>
        <w:rPr>
          <w:rFonts w:hint="eastAsia" w:ascii="仿宋_GB2312" w:hAnsi="仿宋" w:eastAsia="仿宋_GB2312" w:cs="仿宋"/>
          <w:sz w:val="24"/>
        </w:rPr>
        <w:t>2.2.19投标人需要说明的其他文件和说明（格式自拟）。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2中小企业声明函</w:t>
      </w:r>
      <w:r>
        <w:rPr>
          <w:rFonts w:hint="eastAsia" w:ascii="仿宋_GB2312" w:hAnsi="仿宋" w:eastAsia="仿宋_GB2312" w:cs="仿宋"/>
          <w:sz w:val="24"/>
        </w:rPr>
        <w:t>（如果有）</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3残疾人福利性单位声明函（如果有）。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4729768"/>
      <w:bookmarkEnd w:id="21"/>
      <w:bookmarkStart w:id="22" w:name="_Hlt68072990"/>
      <w:bookmarkEnd w:id="22"/>
      <w:bookmarkStart w:id="23" w:name="_Hlt74714665"/>
      <w:bookmarkEnd w:id="23"/>
      <w:bookmarkStart w:id="24" w:name="_Hlt68073093"/>
      <w:bookmarkEnd w:id="24"/>
      <w:bookmarkStart w:id="25" w:name="_Hlt75236011"/>
      <w:bookmarkEnd w:id="25"/>
      <w:bookmarkStart w:id="26" w:name="_Hlt74730295"/>
      <w:bookmarkEnd w:id="26"/>
      <w:bookmarkStart w:id="27" w:name="_Hlt68403820"/>
      <w:bookmarkEnd w:id="27"/>
      <w:bookmarkStart w:id="28" w:name="_Hlt68072998"/>
      <w:bookmarkEnd w:id="28"/>
      <w:bookmarkStart w:id="29" w:name="_Hlt68057669"/>
      <w:bookmarkEnd w:id="29"/>
      <w:bookmarkStart w:id="30" w:name="_Hlt75236290"/>
      <w:bookmarkEnd w:id="30"/>
      <w:bookmarkStart w:id="31" w:name="_Hlt75236101"/>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000000" w:themeColor="text1"/>
          <w:sz w:val="24"/>
          <w:highlight w:val="none"/>
          <w14:textFill>
            <w14:solidFill>
              <w14:schemeClr w14:val="tx1"/>
            </w14:solidFill>
          </w14:textFill>
        </w:rPr>
      </w:pPr>
      <w:bookmarkStart w:id="36" w:name="第五部分"/>
      <w:bookmarkStart w:id="37" w:name="_Toc86217003"/>
      <w:r>
        <w:rPr>
          <w:rFonts w:hint="eastAsia" w:ascii="仿宋_GB2312" w:hAnsi="新宋体" w:eastAsia="仿宋_GB2312" w:cs="Arial"/>
          <w:b/>
          <w:bCs/>
          <w:color w:val="000000" w:themeColor="text1"/>
          <w:sz w:val="24"/>
          <w:highlight w:val="none"/>
          <w:bdr w:val="single" w:color="auto" w:sz="4" w:space="0"/>
          <w14:textFill>
            <w14:solidFill>
              <w14:schemeClr w14:val="tx1"/>
            </w14:solidFill>
          </w14:textFill>
        </w:rPr>
        <w:t>01标</w:t>
      </w:r>
      <w:bookmarkStart w:id="38" w:name="_Toc32678"/>
      <w:bookmarkStart w:id="39" w:name="_Toc7206"/>
      <w:r>
        <w:rPr>
          <w:rFonts w:hint="eastAsia" w:ascii="仿宋_GB2312" w:hAnsi="新宋体" w:eastAsia="仿宋_GB2312" w:cs="Arial"/>
          <w:b/>
          <w:bCs/>
          <w:color w:val="000000" w:themeColor="text1"/>
          <w:sz w:val="24"/>
          <w:highlight w:val="none"/>
          <w:lang w:eastAsia="zh-CN"/>
          <w14:textFill>
            <w14:solidFill>
              <w14:schemeClr w14:val="tx1"/>
            </w14:solidFill>
          </w14:textFill>
        </w:rPr>
        <w:t>绍兴市第七人民医院关于药物浓度检测委托服务项目</w:t>
      </w:r>
    </w:p>
    <w:bookmarkEnd w:id="38"/>
    <w:bookmarkEnd w:id="39"/>
    <w:p>
      <w:pPr>
        <w:spacing w:line="360" w:lineRule="exact"/>
        <w:jc w:val="left"/>
        <w:rPr>
          <w:rFonts w:hint="eastAsia" w:ascii="仿宋" w:hAnsi="仿宋" w:eastAsia="仿宋" w:cs="仿宋"/>
          <w:sz w:val="24"/>
          <w:lang w:eastAsia="zh-CN"/>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采购内容及技术参数要求</w:t>
      </w:r>
      <w:r>
        <w:rPr>
          <w:rFonts w:hint="eastAsia" w:ascii="仿宋" w:hAnsi="仿宋" w:eastAsia="仿宋" w:cs="仿宋"/>
          <w:b/>
          <w:sz w:val="24"/>
          <w:lang w:eastAsia="zh-CN"/>
        </w:rPr>
        <w:t>：</w:t>
      </w:r>
    </w:p>
    <w:tbl>
      <w:tblPr>
        <w:tblStyle w:val="62"/>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933"/>
        <w:gridCol w:w="1719"/>
        <w:gridCol w:w="1159"/>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exact"/>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标段</w:t>
            </w:r>
          </w:p>
        </w:tc>
        <w:tc>
          <w:tcPr>
            <w:tcW w:w="39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项目内容</w:t>
            </w:r>
          </w:p>
        </w:tc>
        <w:tc>
          <w:tcPr>
            <w:tcW w:w="171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浙江省医疗服务价格收费标准</w:t>
            </w:r>
          </w:p>
          <w:p>
            <w:pPr>
              <w:spacing w:line="400" w:lineRule="exact"/>
              <w:jc w:val="center"/>
              <w:rPr>
                <w:rFonts w:ascii="仿宋" w:hAnsi="仿宋" w:eastAsia="仿宋" w:cs="仿宋"/>
                <w:color w:val="000000"/>
                <w:sz w:val="21"/>
                <w:szCs w:val="21"/>
              </w:rPr>
            </w:pPr>
          </w:p>
        </w:tc>
        <w:tc>
          <w:tcPr>
            <w:tcW w:w="115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参考年</w:t>
            </w:r>
          </w:p>
          <w:p>
            <w:pPr>
              <w:spacing w:line="4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采购量</w:t>
            </w:r>
          </w:p>
        </w:tc>
        <w:tc>
          <w:tcPr>
            <w:tcW w:w="19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18"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ascii="仿宋" w:hAnsi="仿宋" w:eastAsia="仿宋" w:cs="仿宋"/>
                <w:color w:val="000000"/>
                <w:sz w:val="21"/>
                <w:szCs w:val="21"/>
              </w:rPr>
            </w:pPr>
            <w:r>
              <w:rPr>
                <w:rFonts w:hint="eastAsia" w:ascii="仿宋" w:hAnsi="仿宋" w:eastAsia="仿宋" w:cs="仿宋"/>
                <w:sz w:val="21"/>
                <w:szCs w:val="21"/>
              </w:rPr>
              <w:t>抗精神病药：氯氮平、喹硫平、奥氮平、帕潘立酮、利培酮、氯丙嗪、阿立哌唑、齐拉西酮等</w:t>
            </w:r>
          </w:p>
        </w:tc>
        <w:tc>
          <w:tcPr>
            <w:tcW w:w="1719" w:type="dxa"/>
            <w:vMerge w:val="restart"/>
            <w:tcBorders>
              <w:top w:val="single" w:color="auto" w:sz="4" w:space="0"/>
              <w:left w:val="single" w:color="auto" w:sz="4" w:space="0"/>
              <w:right w:val="single" w:color="auto" w:sz="4" w:space="0"/>
            </w:tcBorders>
            <w:noWrap w:val="0"/>
            <w:vAlign w:val="center"/>
          </w:tcPr>
          <w:p>
            <w:pPr>
              <w:jc w:val="center"/>
              <w:rPr>
                <w:rFonts w:ascii="仿宋" w:hAnsi="仿宋" w:eastAsia="仿宋" w:cs="仿宋"/>
                <w:color w:val="000000"/>
                <w:sz w:val="21"/>
                <w:szCs w:val="21"/>
              </w:rPr>
            </w:pPr>
          </w:p>
          <w:p>
            <w:pPr>
              <w:jc w:val="center"/>
              <w:rPr>
                <w:rFonts w:ascii="仿宋" w:hAnsi="仿宋" w:eastAsia="仿宋" w:cs="仿宋"/>
                <w:color w:val="000000"/>
                <w:sz w:val="21"/>
                <w:szCs w:val="21"/>
              </w:rPr>
            </w:pPr>
          </w:p>
          <w:p>
            <w:pPr>
              <w:jc w:val="center"/>
              <w:rPr>
                <w:rFonts w:ascii="仿宋" w:hAnsi="仿宋" w:eastAsia="仿宋" w:cs="仿宋"/>
                <w:color w:val="000000"/>
                <w:kern w:val="0"/>
                <w:sz w:val="21"/>
                <w:szCs w:val="21"/>
              </w:rPr>
            </w:pPr>
            <w:r>
              <w:rPr>
                <w:rFonts w:hint="eastAsia" w:ascii="仿宋" w:hAnsi="仿宋" w:eastAsia="仿宋" w:cs="仿宋"/>
                <w:color w:val="000000"/>
                <w:sz w:val="21"/>
                <w:szCs w:val="21"/>
              </w:rPr>
              <w:t>70元/项</w:t>
            </w:r>
          </w:p>
        </w:tc>
        <w:tc>
          <w:tcPr>
            <w:tcW w:w="1159" w:type="dxa"/>
            <w:vMerge w:val="restart"/>
            <w:tcBorders>
              <w:top w:val="single" w:color="auto" w:sz="4" w:space="0"/>
              <w:left w:val="single" w:color="auto" w:sz="4" w:space="0"/>
              <w:right w:val="single" w:color="auto" w:sz="4" w:space="0"/>
            </w:tcBorders>
            <w:noWrap w:val="0"/>
            <w:vAlign w:val="center"/>
          </w:tcPr>
          <w:p>
            <w:pPr>
              <w:widowControl/>
              <w:jc w:val="center"/>
              <w:rPr>
                <w:rFonts w:ascii="仿宋" w:hAnsi="仿宋" w:eastAsia="仿宋" w:cs="仿宋"/>
                <w:sz w:val="21"/>
                <w:szCs w:val="21"/>
              </w:rPr>
            </w:pPr>
            <w:r>
              <w:rPr>
                <w:rFonts w:hint="eastAsia" w:ascii="仿宋" w:hAnsi="仿宋" w:eastAsia="仿宋" w:cs="仿宋"/>
                <w:sz w:val="21"/>
                <w:szCs w:val="21"/>
                <w:lang w:val="en-US" w:eastAsia="zh-CN"/>
              </w:rPr>
              <w:t>8</w:t>
            </w:r>
            <w:r>
              <w:rPr>
                <w:rFonts w:hint="eastAsia" w:ascii="仿宋" w:hAnsi="仿宋" w:eastAsia="仿宋" w:cs="仿宋"/>
                <w:sz w:val="21"/>
                <w:szCs w:val="21"/>
              </w:rPr>
              <w:t>0万元</w:t>
            </w:r>
          </w:p>
          <w:p>
            <w:pPr>
              <w:widowControl/>
              <w:jc w:val="center"/>
              <w:rPr>
                <w:rFonts w:ascii="仿宋" w:hAnsi="仿宋" w:eastAsia="仿宋" w:cs="仿宋"/>
                <w:color w:val="FF0000"/>
                <w:kern w:val="0"/>
                <w:sz w:val="21"/>
                <w:szCs w:val="21"/>
              </w:rPr>
            </w:pPr>
            <w:r>
              <w:rPr>
                <w:rFonts w:hint="eastAsia" w:ascii="仿宋" w:hAnsi="仿宋" w:eastAsia="仿宋" w:cs="仿宋"/>
                <w:sz w:val="21"/>
                <w:szCs w:val="21"/>
              </w:rPr>
              <w:t>（该金额为履约期内可支付的上限价，即合同涉及总金额）</w:t>
            </w:r>
          </w:p>
        </w:tc>
        <w:tc>
          <w:tcPr>
            <w:tcW w:w="1942" w:type="dxa"/>
            <w:vMerge w:val="restart"/>
            <w:tcBorders>
              <w:top w:val="single" w:color="auto" w:sz="4" w:space="0"/>
              <w:left w:val="single" w:color="auto" w:sz="4" w:space="0"/>
              <w:right w:val="single" w:color="auto" w:sz="4" w:space="0"/>
            </w:tcBorders>
            <w:noWrap w:val="0"/>
            <w:vAlign w:val="center"/>
          </w:tcPr>
          <w:p>
            <w:pPr>
              <w:spacing w:line="440" w:lineRule="exact"/>
              <w:jc w:val="left"/>
              <w:rPr>
                <w:rFonts w:ascii="仿宋" w:hAnsi="仿宋" w:eastAsia="仿宋" w:cs="仿宋"/>
                <w:bCs/>
                <w:sz w:val="21"/>
                <w:szCs w:val="21"/>
              </w:rPr>
            </w:pPr>
            <w:r>
              <w:rPr>
                <w:rFonts w:hint="eastAsia" w:ascii="仿宋" w:hAnsi="仿宋" w:eastAsia="仿宋" w:cs="仿宋"/>
                <w:bCs/>
                <w:sz w:val="21"/>
                <w:szCs w:val="21"/>
              </w:rPr>
              <w:t>1、样品基质效应干扰能够控制在20%以内，不同药物的质谱峰能够完全分离，不存在化合物间相互干扰；</w:t>
            </w:r>
          </w:p>
          <w:p>
            <w:pPr>
              <w:spacing w:line="440" w:lineRule="exact"/>
              <w:jc w:val="left"/>
              <w:rPr>
                <w:rFonts w:ascii="仿宋" w:hAnsi="仿宋" w:eastAsia="仿宋" w:cs="仿宋"/>
                <w:bCs/>
                <w:sz w:val="21"/>
                <w:szCs w:val="21"/>
              </w:rPr>
            </w:pPr>
            <w:r>
              <w:rPr>
                <w:rFonts w:hint="eastAsia" w:ascii="仿宋" w:hAnsi="仿宋" w:eastAsia="仿宋" w:cs="仿宋"/>
                <w:bCs/>
                <w:sz w:val="21"/>
                <w:szCs w:val="21"/>
              </w:rPr>
              <w:t>2、质控要求日内精密度应RSD≤15%，日间精密度应RSD≤15%，加样回收率在80%-120%，线性R2&gt;0.99。</w:t>
            </w:r>
          </w:p>
          <w:p>
            <w:pPr>
              <w:jc w:val="left"/>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718"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pPr>
              <w:jc w:val="both"/>
              <w:rPr>
                <w:rFonts w:ascii="仿宋" w:hAnsi="仿宋" w:eastAsia="仿宋" w:cs="仿宋"/>
                <w:sz w:val="21"/>
                <w:szCs w:val="21"/>
              </w:rPr>
            </w:pPr>
            <w:r>
              <w:rPr>
                <w:rFonts w:hint="eastAsia" w:ascii="仿宋" w:hAnsi="仿宋" w:eastAsia="仿宋" w:cs="仿宋"/>
                <w:sz w:val="21"/>
                <w:szCs w:val="21"/>
              </w:rPr>
              <w:t>抗抑郁类药物：度洛西汀、氟西丁、去甲氟西汀、米氮平、帕罗西汀、舍曲林、曲唑酮、文拉法辛等</w:t>
            </w:r>
          </w:p>
        </w:tc>
        <w:tc>
          <w:tcPr>
            <w:tcW w:w="171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15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942"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8"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right w:val="single" w:color="auto" w:sz="4" w:space="0"/>
            </w:tcBorders>
            <w:noWrap w:val="0"/>
            <w:vAlign w:val="center"/>
          </w:tcPr>
          <w:p>
            <w:pPr>
              <w:jc w:val="both"/>
              <w:rPr>
                <w:rFonts w:ascii="仿宋" w:hAnsi="仿宋" w:eastAsia="仿宋" w:cs="仿宋"/>
                <w:color w:val="000000"/>
                <w:sz w:val="21"/>
                <w:szCs w:val="21"/>
              </w:rPr>
            </w:pPr>
            <w:r>
              <w:rPr>
                <w:rFonts w:hint="eastAsia" w:ascii="仿宋" w:hAnsi="仿宋" w:eastAsia="仿宋" w:cs="仿宋"/>
                <w:sz w:val="21"/>
                <w:szCs w:val="21"/>
              </w:rPr>
              <w:t>抗焦虑/催眠药：阿普唑仑、氯硝西泮等</w:t>
            </w:r>
          </w:p>
        </w:tc>
        <w:tc>
          <w:tcPr>
            <w:tcW w:w="171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15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942"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ascii="仿宋" w:hAnsi="仿宋" w:eastAsia="仿宋" w:cs="仿宋"/>
                <w:color w:val="000000"/>
                <w:sz w:val="21"/>
                <w:szCs w:val="21"/>
              </w:rPr>
            </w:pPr>
            <w:r>
              <w:rPr>
                <w:rFonts w:hint="eastAsia" w:ascii="仿宋" w:hAnsi="仿宋" w:eastAsia="仿宋" w:cs="仿宋"/>
                <w:sz w:val="21"/>
                <w:szCs w:val="21"/>
              </w:rPr>
              <w:t>抗癫痫药：丙戊酸、拉莫三嗪等</w:t>
            </w:r>
          </w:p>
        </w:tc>
        <w:tc>
          <w:tcPr>
            <w:tcW w:w="171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15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942"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ascii="仿宋" w:hAnsi="仿宋" w:eastAsia="仿宋" w:cs="仿宋"/>
                <w:color w:val="000000"/>
                <w:sz w:val="21"/>
                <w:szCs w:val="21"/>
              </w:rPr>
            </w:pPr>
            <w:r>
              <w:rPr>
                <w:rFonts w:hint="eastAsia" w:ascii="仿宋" w:hAnsi="仿宋" w:eastAsia="仿宋" w:cs="仿宋"/>
                <w:sz w:val="21"/>
                <w:szCs w:val="21"/>
              </w:rPr>
              <w:t>其他：西酞普兰、艾司西酞普兰、安非他酮、氟哌啶醇、氨磺必利、氟伏沙明、奥卡西平、卡马西平、苯妥英钠</w:t>
            </w:r>
          </w:p>
        </w:tc>
        <w:tc>
          <w:tcPr>
            <w:tcW w:w="171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159" w:type="dxa"/>
            <w:vMerge w:val="continue"/>
            <w:tcBorders>
              <w:left w:val="single" w:color="auto" w:sz="4" w:space="0"/>
              <w:right w:val="single" w:color="auto" w:sz="4" w:space="0"/>
            </w:tcBorders>
            <w:noWrap w:val="0"/>
            <w:vAlign w:val="center"/>
          </w:tcPr>
          <w:p>
            <w:pPr>
              <w:jc w:val="center"/>
              <w:rPr>
                <w:rFonts w:ascii="仿宋" w:hAnsi="仿宋" w:eastAsia="仿宋" w:cs="仿宋"/>
                <w:color w:val="000000"/>
                <w:sz w:val="21"/>
                <w:szCs w:val="21"/>
              </w:rPr>
            </w:pPr>
          </w:p>
        </w:tc>
        <w:tc>
          <w:tcPr>
            <w:tcW w:w="1942" w:type="dxa"/>
            <w:vMerge w:val="continue"/>
            <w:tcBorders>
              <w:left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ascii="仿宋" w:hAnsi="仿宋" w:eastAsia="仿宋" w:cs="仿宋"/>
                <w:color w:val="000000"/>
                <w:sz w:val="21"/>
                <w:szCs w:val="21"/>
              </w:rPr>
            </w:pPr>
            <w:r>
              <w:rPr>
                <w:rFonts w:hint="eastAsia" w:ascii="仿宋" w:hAnsi="仿宋" w:eastAsia="仿宋" w:cs="仿宋"/>
                <w:color w:val="000000"/>
                <w:kern w:val="0"/>
                <w:sz w:val="21"/>
                <w:szCs w:val="21"/>
              </w:rPr>
              <w:t>应临床需要新开展的治疗药物监测</w:t>
            </w:r>
          </w:p>
        </w:tc>
        <w:tc>
          <w:tcPr>
            <w:tcW w:w="1719" w:type="dxa"/>
            <w:vMerge w:val="continue"/>
            <w:tcBorders>
              <w:left w:val="single" w:color="auto" w:sz="4" w:space="0"/>
              <w:bottom w:val="single" w:color="auto" w:sz="4" w:space="0"/>
              <w:right w:val="single" w:color="auto" w:sz="4" w:space="0"/>
            </w:tcBorders>
            <w:noWrap w:val="0"/>
            <w:vAlign w:val="center"/>
          </w:tcPr>
          <w:p>
            <w:pPr>
              <w:widowControl/>
              <w:jc w:val="center"/>
              <w:rPr>
                <w:rFonts w:ascii="仿宋" w:hAnsi="仿宋" w:eastAsia="仿宋" w:cs="仿宋"/>
                <w:color w:val="000000"/>
                <w:kern w:val="0"/>
                <w:sz w:val="21"/>
                <w:szCs w:val="21"/>
              </w:rPr>
            </w:pPr>
          </w:p>
        </w:tc>
        <w:tc>
          <w:tcPr>
            <w:tcW w:w="1159" w:type="dxa"/>
            <w:vMerge w:val="continue"/>
            <w:tcBorders>
              <w:left w:val="single" w:color="auto" w:sz="4" w:space="0"/>
              <w:bottom w:val="single" w:color="auto" w:sz="4" w:space="0"/>
              <w:right w:val="single" w:color="auto" w:sz="4" w:space="0"/>
            </w:tcBorders>
            <w:noWrap w:val="0"/>
            <w:vAlign w:val="center"/>
          </w:tcPr>
          <w:p>
            <w:pPr>
              <w:widowControl/>
              <w:jc w:val="center"/>
              <w:rPr>
                <w:rFonts w:ascii="仿宋" w:hAnsi="仿宋" w:eastAsia="仿宋" w:cs="仿宋"/>
                <w:color w:val="000000"/>
                <w:kern w:val="0"/>
                <w:sz w:val="21"/>
                <w:szCs w:val="21"/>
              </w:rPr>
            </w:pPr>
          </w:p>
        </w:tc>
        <w:tc>
          <w:tcPr>
            <w:tcW w:w="1942" w:type="dxa"/>
            <w:vMerge w:val="continue"/>
            <w:tcBorders>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1"/>
                <w:szCs w:val="21"/>
              </w:rPr>
            </w:pPr>
          </w:p>
        </w:tc>
      </w:tr>
    </w:tbl>
    <w:p>
      <w:pPr>
        <w:keepNext w:val="0"/>
        <w:keepLines w:val="0"/>
        <w:pageBreakBefore w:val="0"/>
        <w:widowControl w:val="0"/>
        <w:kinsoku/>
        <w:wordWrap/>
        <w:overflowPunct/>
        <w:topLinePunct w:val="0"/>
        <w:autoSpaceDE/>
        <w:autoSpaceDN/>
        <w:bidi w:val="0"/>
        <w:snapToGrid/>
        <w:spacing w:line="336" w:lineRule="auto"/>
        <w:jc w:val="left"/>
        <w:textAlignment w:val="auto"/>
        <w:rPr>
          <w:rFonts w:hint="default" w:ascii="仿宋" w:hAnsi="仿宋" w:eastAsia="仿宋" w:cs="仿宋"/>
          <w:b/>
          <w:sz w:val="24"/>
          <w:lang w:val="en-US" w:eastAsia="zh-CN"/>
        </w:rPr>
      </w:pPr>
      <w:r>
        <w:rPr>
          <w:rFonts w:hint="eastAsia" w:ascii="仿宋" w:hAnsi="仿宋" w:eastAsia="仿宋" w:cs="仿宋"/>
          <w:b/>
          <w:sz w:val="24"/>
        </w:rPr>
        <w:t>2、技术要求</w:t>
      </w:r>
      <w:r>
        <w:rPr>
          <w:rFonts w:hint="eastAsia" w:ascii="仿宋" w:hAnsi="仿宋" w:eastAsia="仿宋" w:cs="仿宋"/>
          <w:b/>
          <w:sz w:val="24"/>
          <w:lang w:val="en-US" w:eastAsia="zh-CN"/>
        </w:rPr>
        <w:t>：</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2.1提供相应的《项目总汇与采样手册》，开展项目能满足临床需求。</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2.2具抗精神病类药物浓度高效液相色谱-串联质谱检测技术，并已开展实施。</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2.3精神类药物浓度检测项目参加国际或国家卫生部或省临检中心举办的室间质评活动。</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ascii="仿宋" w:hAnsi="仿宋" w:eastAsia="仿宋" w:cs="仿宋"/>
          <w:color w:val="000000"/>
          <w:szCs w:val="24"/>
        </w:rPr>
      </w:pPr>
      <w:r>
        <w:rPr>
          <w:rFonts w:hint="eastAsia" w:ascii="仿宋" w:hAnsi="仿宋" w:eastAsia="仿宋" w:cs="仿宋"/>
          <w:sz w:val="24"/>
        </w:rPr>
        <w:t>2.4每周一至周日上午11:00前收取标本，按标本保存条件进行运输，对保证标本的可靠性和有效性负责，并按《项目总汇与采样手册》中的规定“报告时间”内，准时发放报告（检测结果≤72h出报告），保证检验报告的准确性和及</w:t>
      </w:r>
      <w:r>
        <w:rPr>
          <w:rFonts w:hint="eastAsia" w:ascii="仿宋" w:hAnsi="仿宋" w:eastAsia="仿宋" w:cs="仿宋"/>
          <w:color w:val="000000"/>
          <w:kern w:val="0"/>
          <w:sz w:val="24"/>
          <w:szCs w:val="24"/>
          <w:lang w:val="en-US" w:eastAsia="zh-CN" w:bidi="ar-SA"/>
        </w:rPr>
        <w:t>时性。如检测结果为危急值应立即报告给采购人。</w:t>
      </w:r>
    </w:p>
    <w:p>
      <w:pPr>
        <w:pStyle w:val="12"/>
        <w:keepNext w:val="0"/>
        <w:keepLines w:val="0"/>
        <w:pageBreakBefore w:val="0"/>
        <w:widowControl w:val="0"/>
        <w:tabs>
          <w:tab w:val="clear" w:pos="1697"/>
        </w:tabs>
        <w:kinsoku/>
        <w:wordWrap/>
        <w:overflowPunct/>
        <w:topLinePunct w:val="0"/>
        <w:autoSpaceDE/>
        <w:autoSpaceDN/>
        <w:bidi w:val="0"/>
        <w:snapToGrid/>
        <w:spacing w:after="156" w:line="336" w:lineRule="auto"/>
        <w:ind w:left="0" w:firstLine="480" w:firstLineChars="200"/>
        <w:textAlignment w:val="auto"/>
        <w:rPr>
          <w:rFonts w:ascii="仿宋" w:hAnsi="仿宋" w:eastAsia="仿宋" w:cs="仿宋"/>
          <w:color w:val="000000"/>
          <w:szCs w:val="24"/>
        </w:rPr>
      </w:pPr>
      <w:r>
        <w:rPr>
          <w:rFonts w:hint="eastAsia" w:ascii="仿宋" w:hAnsi="仿宋" w:eastAsia="仿宋" w:cs="仿宋"/>
          <w:color w:val="000000"/>
          <w:szCs w:val="24"/>
        </w:rPr>
        <w:t>2.5对检验后的标本按照相关法规规定的时间进行妥善保存，以便检验结果有疑义时进行免费复查或再委托第三方检验，这种情况所发生的费用，由供应商承担。</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2.6供应商对采购人不明原因（非院方及患者原因或产品质量问题）引起的医疗投诉、纠纷，能协助招标方做好患者的协调工作，并承担一定的处理费用。</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2.7遵守保密制度，保护受检者的秘密，未经许可，不得向无关人员泄露受检者的检测情况。</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2.8提供LIS软件对接等服务。（电脑配置、接口要求均需符合采购人信息系统要求）。</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2.9科研标本扣率按合作协议收的统一扣率执行。</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szCs w:val="24"/>
        </w:rPr>
      </w:pPr>
      <w:r>
        <w:rPr>
          <w:rFonts w:hint="eastAsia" w:ascii="仿宋" w:hAnsi="仿宋" w:eastAsia="仿宋" w:cs="仿宋"/>
          <w:color w:val="000000"/>
          <w:kern w:val="0"/>
          <w:sz w:val="24"/>
          <w:szCs w:val="24"/>
          <w:lang w:val="en-US" w:eastAsia="zh-CN" w:bidi="ar-SA"/>
        </w:rPr>
        <w:t>2.10合同期内，由于公司注销等原因，中标供应商应以书面的形式说明原因并协助采购人做好产品的延续工作。同时采购人有权重新组织采购。</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2.11本次确定1家中标供应商，如供应商质量或服务不能达到规定要求，采购人将取消其中标资格，重新组织采购。</w:t>
      </w:r>
    </w:p>
    <w:p>
      <w:pPr>
        <w:keepNext w:val="0"/>
        <w:keepLines w:val="0"/>
        <w:pageBreakBefore w:val="0"/>
        <w:widowControl w:val="0"/>
        <w:kinsoku/>
        <w:wordWrap/>
        <w:overflowPunct/>
        <w:topLinePunct w:val="0"/>
        <w:autoSpaceDE/>
        <w:autoSpaceDN/>
        <w:bidi w:val="0"/>
        <w:snapToGrid/>
        <w:spacing w:line="336" w:lineRule="auto"/>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3、合同的签订：</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3.1中标人须在中标通知书发出30日内按招标文件和中标人投标文件的约定，凭中标通知书和采购人在约定的时间、地点，由法定代表人或授权委托人与采购人签订书面合同。</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3.1.1交货（接受样本）地点：绍兴市第七人民医院检验科门诊一楼。</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3.2合同期限：本标合同期暂定壹年。合同只签订单价，不定数量，数量由招标单位根据需求临时通知中标单位。在协议中所执行的价格必须与中标价格一致，在协议执行期内不得随意变更。合同期满后，招标人将对中标产品价格、质量及服务等进行评估，并根据评估情况与中标人进行谈判。中标人价格、服务均能满足投标人要求的，可续签合同（不超过壹年），否则重新组织招标。</w:t>
      </w:r>
    </w:p>
    <w:p>
      <w:pPr>
        <w:keepNext w:val="0"/>
        <w:keepLines w:val="0"/>
        <w:pageBreakBefore w:val="0"/>
        <w:widowControl w:val="0"/>
        <w:kinsoku/>
        <w:wordWrap/>
        <w:overflowPunct/>
        <w:topLinePunct w:val="0"/>
        <w:autoSpaceDE/>
        <w:autoSpaceDN/>
        <w:bidi w:val="0"/>
        <w:snapToGrid/>
        <w:spacing w:line="336" w:lineRule="auto"/>
        <w:ind w:firstLine="480" w:firstLineChars="200"/>
        <w:jc w:val="left"/>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3.3.付款方式：检测服务费经院方核对无误后90日内以银行转帐方式将中标方开具发票金额汇入中标方指定帐户。</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ascii="仿宋" w:hAnsi="仿宋" w:eastAsia="仿宋"/>
          <w:color w:val="000000"/>
          <w:sz w:val="24"/>
          <w:u w:val="single"/>
        </w:rPr>
      </w:pPr>
      <w:r>
        <w:rPr>
          <w:rFonts w:hint="eastAsia" w:ascii="仿宋" w:hAnsi="仿宋" w:eastAsia="仿宋"/>
          <w:color w:val="000000"/>
          <w:sz w:val="24"/>
        </w:rPr>
        <w:t>合同编号：</w:t>
      </w:r>
    </w:p>
    <w:p>
      <w:pPr>
        <w:spacing w:line="480" w:lineRule="auto"/>
        <w:jc w:val="center"/>
        <w:rPr>
          <w:rFonts w:ascii="仿宋" w:hAnsi="仿宋" w:eastAsia="仿宋"/>
          <w:b/>
          <w:color w:val="000000"/>
          <w:sz w:val="28"/>
          <w:szCs w:val="28"/>
        </w:rPr>
      </w:pPr>
    </w:p>
    <w:p>
      <w:pPr>
        <w:spacing w:line="480" w:lineRule="auto"/>
        <w:jc w:val="center"/>
        <w:rPr>
          <w:rFonts w:ascii="仿宋" w:hAnsi="仿宋" w:eastAsia="仿宋"/>
          <w:b/>
          <w:color w:val="000000"/>
          <w:sz w:val="24"/>
        </w:rPr>
      </w:pPr>
    </w:p>
    <w:p>
      <w:pPr>
        <w:spacing w:line="480" w:lineRule="auto"/>
        <w:jc w:val="center"/>
        <w:rPr>
          <w:rFonts w:ascii="仿宋" w:hAnsi="仿宋" w:eastAsia="仿宋"/>
          <w:b/>
          <w:color w:val="000000"/>
          <w:sz w:val="24"/>
          <w:highlight w:val="none"/>
        </w:rPr>
      </w:pPr>
    </w:p>
    <w:p>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政府采购合同参考范本</w:t>
      </w:r>
    </w:p>
    <w:p>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（服务类）</w:t>
      </w:r>
    </w:p>
    <w:p>
      <w:pPr>
        <w:pStyle w:val="702"/>
        <w:rPr>
          <w:rFonts w:ascii="仿宋" w:hAnsi="仿宋" w:eastAsia="仿宋"/>
          <w:color w:val="000000"/>
          <w:szCs w:val="24"/>
        </w:rPr>
      </w:pPr>
    </w:p>
    <w:p>
      <w:pPr>
        <w:pStyle w:val="702"/>
        <w:rPr>
          <w:rFonts w:ascii="仿宋" w:hAnsi="仿宋" w:eastAsia="仿宋"/>
          <w:color w:val="000000"/>
          <w:szCs w:val="24"/>
        </w:rPr>
      </w:pPr>
    </w:p>
    <w:p>
      <w:pPr>
        <w:pStyle w:val="702"/>
        <w:jc w:val="center"/>
        <w:rPr>
          <w:rFonts w:ascii="仿宋" w:hAnsi="仿宋" w:eastAsia="仿宋"/>
          <w:color w:val="000000"/>
          <w:szCs w:val="24"/>
        </w:rPr>
      </w:pPr>
    </w:p>
    <w:p>
      <w:pPr>
        <w:pStyle w:val="702"/>
        <w:ind w:firstLine="2843" w:firstLineChars="1180"/>
        <w:rPr>
          <w:rFonts w:ascii="仿宋" w:hAnsi="仿宋" w:eastAsia="仿宋"/>
          <w:b/>
          <w:color w:val="000000"/>
          <w:szCs w:val="24"/>
        </w:rPr>
      </w:pPr>
      <w:r>
        <w:rPr>
          <w:rFonts w:hint="eastAsia" w:ascii="仿宋" w:hAnsi="仿宋" w:eastAsia="仿宋"/>
          <w:b/>
          <w:color w:val="000000"/>
          <w:szCs w:val="24"/>
        </w:rPr>
        <w:t>第一部分  合同书</w:t>
      </w:r>
    </w:p>
    <w:p>
      <w:pPr>
        <w:pStyle w:val="702"/>
        <w:rPr>
          <w:rFonts w:ascii="仿宋" w:hAnsi="仿宋" w:eastAsia="仿宋"/>
          <w:color w:val="000000"/>
          <w:szCs w:val="24"/>
        </w:rPr>
      </w:pPr>
    </w:p>
    <w:p>
      <w:pPr>
        <w:pStyle w:val="702"/>
        <w:rPr>
          <w:rFonts w:ascii="仿宋" w:hAnsi="仿宋" w:eastAsia="仿宋"/>
          <w:color w:val="000000"/>
          <w:szCs w:val="24"/>
        </w:rPr>
      </w:pPr>
    </w:p>
    <w:p>
      <w:pPr>
        <w:spacing w:before="120" w:line="22" w:lineRule="atLeast"/>
        <w:rPr>
          <w:rFonts w:ascii="仿宋" w:hAnsi="仿宋" w:eastAsia="仿宋"/>
          <w:color w:val="000000"/>
          <w:sz w:val="24"/>
        </w:rPr>
      </w:pPr>
    </w:p>
    <w:p>
      <w:pPr>
        <w:spacing w:before="120" w:line="22" w:lineRule="atLeast"/>
        <w:ind w:left="960"/>
        <w:rPr>
          <w:rFonts w:ascii="仿宋" w:hAnsi="仿宋" w:eastAsia="仿宋"/>
          <w:color w:val="000000"/>
          <w:sz w:val="24"/>
        </w:rPr>
      </w:pPr>
      <w:r>
        <w:rPr>
          <w:rFonts w:hint="eastAsia" w:ascii="仿宋" w:hAnsi="仿宋" w:eastAsia="仿宋"/>
          <w:color w:val="000000"/>
          <w:sz w:val="24"/>
        </w:rPr>
        <w:t>项目名称：</w:t>
      </w:r>
    </w:p>
    <w:p>
      <w:pPr>
        <w:pStyle w:val="599"/>
        <w:spacing w:before="120" w:line="22" w:lineRule="atLeast"/>
        <w:rPr>
          <w:rFonts w:ascii="仿宋" w:hAnsi="仿宋" w:eastAsia="仿宋"/>
          <w:color w:val="000000"/>
          <w:szCs w:val="24"/>
        </w:rPr>
      </w:pPr>
    </w:p>
    <w:p>
      <w:pPr>
        <w:pStyle w:val="599"/>
        <w:spacing w:before="120" w:line="22" w:lineRule="atLeast"/>
        <w:rPr>
          <w:rFonts w:ascii="仿宋" w:hAnsi="仿宋" w:eastAsia="仿宋"/>
          <w:color w:val="000000"/>
          <w:szCs w:val="24"/>
        </w:rPr>
      </w:pPr>
    </w:p>
    <w:p>
      <w:pPr>
        <w:rPr>
          <w:rFonts w:ascii="仿宋" w:hAnsi="仿宋" w:eastAsia="仿宋"/>
          <w:color w:val="000000"/>
          <w:sz w:val="24"/>
        </w:rPr>
      </w:pPr>
    </w:p>
    <w:p>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甲方：</w:t>
      </w:r>
    </w:p>
    <w:p>
      <w:pPr>
        <w:spacing w:before="120" w:line="22" w:lineRule="atLeast"/>
        <w:rPr>
          <w:rFonts w:ascii="仿宋" w:hAnsi="仿宋" w:eastAsia="仿宋"/>
          <w:color w:val="000000"/>
          <w:sz w:val="24"/>
        </w:rPr>
      </w:pPr>
    </w:p>
    <w:p>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乙方：</w:t>
      </w:r>
    </w:p>
    <w:p>
      <w:pPr>
        <w:spacing w:before="120" w:line="22" w:lineRule="atLeast"/>
        <w:rPr>
          <w:rFonts w:ascii="仿宋" w:hAnsi="仿宋" w:eastAsia="仿宋"/>
          <w:color w:val="000000"/>
          <w:sz w:val="24"/>
        </w:rPr>
      </w:pPr>
    </w:p>
    <w:p>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签订地：</w:t>
      </w:r>
    </w:p>
    <w:p>
      <w:pPr>
        <w:spacing w:before="120" w:line="22" w:lineRule="atLeast"/>
        <w:rPr>
          <w:rFonts w:ascii="仿宋" w:hAnsi="仿宋" w:eastAsia="仿宋"/>
          <w:color w:val="000000"/>
          <w:sz w:val="24"/>
        </w:rPr>
      </w:pPr>
    </w:p>
    <w:p>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签订日期：年月日</w:t>
      </w:r>
    </w:p>
    <w:p>
      <w:pPr>
        <w:widowControl/>
        <w:jc w:val="left"/>
        <w:rPr>
          <w:rFonts w:ascii="仿宋" w:hAnsi="仿宋" w:eastAsia="仿宋"/>
          <w:color w:val="000000"/>
          <w:kern w:val="0"/>
          <w:sz w:val="24"/>
        </w:rPr>
        <w:sectPr>
          <w:footerReference r:id="rId7"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年月日</w:t>
      </w:r>
      <w:r>
        <w:rPr>
          <w:rFonts w:hint="eastAsia" w:ascii="仿宋" w:hAnsi="仿宋" w:eastAsia="仿宋"/>
          <w:color w:val="000000"/>
          <w:sz w:val="24"/>
        </w:rPr>
        <w:t>，</w:t>
      </w:r>
      <w:r>
        <w:rPr>
          <w:rFonts w:hint="eastAsia" w:ascii="仿宋" w:hAnsi="仿宋" w:eastAsia="仿宋"/>
          <w:color w:val="000000"/>
          <w:sz w:val="24"/>
          <w:u w:val="single"/>
        </w:rPr>
        <w:t>（采购人）</w:t>
      </w:r>
      <w:r>
        <w:rPr>
          <w:rFonts w:hint="eastAsia" w:ascii="仿宋" w:hAnsi="仿宋" w:eastAsia="仿宋"/>
          <w:color w:val="000000"/>
          <w:sz w:val="24"/>
        </w:rPr>
        <w:t>以</w:t>
      </w:r>
      <w:r>
        <w:rPr>
          <w:rFonts w:ascii="仿宋" w:hAnsi="仿宋" w:eastAsia="仿宋"/>
          <w:color w:val="000000"/>
          <w:sz w:val="24"/>
          <w:u w:val="single"/>
        </w:rPr>
        <w:t xml:space="preserve">   （政府采购方式）  </w:t>
      </w:r>
      <w:r>
        <w:rPr>
          <w:rFonts w:hint="eastAsia" w:ascii="仿宋" w:hAnsi="仿宋" w:eastAsia="仿宋"/>
          <w:color w:val="000000"/>
          <w:sz w:val="24"/>
        </w:rPr>
        <w:t>对</w:t>
      </w:r>
      <w:r>
        <w:rPr>
          <w:rFonts w:ascii="仿宋" w:hAnsi="仿宋" w:eastAsia="仿宋"/>
          <w:color w:val="000000"/>
          <w:sz w:val="24"/>
          <w:u w:val="single"/>
        </w:rPr>
        <w:t xml:space="preserve">   （同前</w:t>
      </w:r>
      <w:r>
        <w:rPr>
          <w:rFonts w:hint="eastAsia" w:ascii="仿宋" w:hAnsi="仿宋" w:eastAsia="仿宋"/>
          <w:color w:val="000000"/>
          <w:sz w:val="24"/>
          <w:u w:val="single"/>
        </w:rPr>
        <w:t>页项目名称）</w:t>
      </w:r>
      <w:r>
        <w:rPr>
          <w:rFonts w:hint="eastAsia" w:ascii="仿宋" w:hAnsi="仿宋" w:eastAsia="仿宋"/>
          <w:color w:val="000000"/>
          <w:sz w:val="24"/>
        </w:rPr>
        <w:t>项目进行了采购。经</w:t>
      </w:r>
      <w:r>
        <w:rPr>
          <w:rFonts w:ascii="仿宋" w:hAnsi="仿宋" w:eastAsia="仿宋"/>
          <w:color w:val="000000"/>
          <w:sz w:val="24"/>
          <w:u w:val="single"/>
        </w:rPr>
        <w:t xml:space="preserve">   （相关评定主体名称）   </w:t>
      </w:r>
      <w:r>
        <w:rPr>
          <w:rFonts w:hint="eastAsia" w:ascii="仿宋" w:hAnsi="仿宋" w:eastAsia="仿宋"/>
          <w:color w:val="000000"/>
          <w:sz w:val="24"/>
        </w:rPr>
        <w:t>评定，</w:t>
      </w:r>
      <w:r>
        <w:rPr>
          <w:rFonts w:ascii="仿宋" w:hAnsi="仿宋" w:eastAsia="仿宋"/>
          <w:color w:val="000000"/>
          <w:sz w:val="24"/>
          <w:u w:val="single"/>
        </w:rPr>
        <w:t xml:space="preserve">   （中标供应商名称）</w:t>
      </w:r>
      <w:r>
        <w:rPr>
          <w:rFonts w:hint="eastAsia" w:ascii="仿宋" w:hAnsi="仿宋" w:eastAsia="仿宋"/>
          <w:color w:val="000000"/>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根据《中华人民共和国民法典》、《中华人民共和国政府采购法》等相关法律法规之规定，按照平等、自愿、公平、诚实信用和绿色的原则，经</w:t>
      </w:r>
      <w:r>
        <w:rPr>
          <w:rFonts w:hint="eastAsia" w:ascii="仿宋" w:hAnsi="仿宋" w:eastAsia="仿宋"/>
          <w:color w:val="000000"/>
          <w:sz w:val="24"/>
          <w:u w:val="single"/>
        </w:rPr>
        <w:t>（采购人）</w:t>
      </w:r>
      <w:r>
        <w:rPr>
          <w:rFonts w:ascii="仿宋" w:hAnsi="仿宋" w:eastAsia="仿宋"/>
          <w:color w:val="000000"/>
          <w:sz w:val="24"/>
          <w:lang w:val="zh-CN"/>
        </w:rPr>
        <w:t>(以下简称：甲方)和</w:t>
      </w:r>
      <w:r>
        <w:rPr>
          <w:rFonts w:ascii="仿宋" w:hAnsi="仿宋" w:eastAsia="仿宋"/>
          <w:color w:val="000000"/>
          <w:sz w:val="24"/>
          <w:u w:val="single"/>
        </w:rPr>
        <w:t xml:space="preserve">   （中标供应商名称）   </w:t>
      </w:r>
      <w:r>
        <w:rPr>
          <w:rFonts w:ascii="仿宋" w:hAnsi="仿宋" w:eastAsia="仿宋"/>
          <w:color w:val="000000"/>
          <w:sz w:val="24"/>
          <w:lang w:val="zh-CN"/>
        </w:rPr>
        <w:t>(以下简称：乙方)协商一致，约定以下合同</w:t>
      </w:r>
      <w:r>
        <w:rPr>
          <w:rFonts w:hint="eastAsia" w:ascii="仿宋" w:hAnsi="仿宋" w:eastAsia="仿宋"/>
          <w:color w:val="000000"/>
          <w:sz w:val="24"/>
        </w:rPr>
        <w:t>条款，以兹共同遵守、全面履行。</w:t>
      </w:r>
    </w:p>
    <w:p>
      <w:pPr>
        <w:spacing w:line="560" w:lineRule="exact"/>
        <w:ind w:firstLine="482" w:firstLineChars="200"/>
        <w:outlineLvl w:val="0"/>
        <w:rPr>
          <w:rFonts w:ascii="仿宋" w:hAnsi="仿宋" w:eastAsia="仿宋"/>
          <w:b/>
          <w:color w:val="000000"/>
          <w:sz w:val="24"/>
        </w:rPr>
      </w:pPr>
      <w:bookmarkStart w:id="40" w:name="_Toc24059"/>
      <w:bookmarkStart w:id="41" w:name="_Toc2232"/>
      <w:bookmarkStart w:id="42" w:name="_Toc3029"/>
      <w:r>
        <w:rPr>
          <w:rFonts w:ascii="仿宋" w:hAnsi="仿宋" w:eastAsia="仿宋"/>
          <w:b/>
          <w:color w:val="000000"/>
          <w:sz w:val="24"/>
        </w:rPr>
        <w:t xml:space="preserve">1.1 </w:t>
      </w:r>
      <w:r>
        <w:rPr>
          <w:rFonts w:hint="eastAsia" w:ascii="仿宋" w:hAnsi="仿宋" w:eastAsia="仿宋"/>
          <w:b/>
          <w:color w:val="000000"/>
          <w:sz w:val="24"/>
        </w:rPr>
        <w:t>合同组成部分</w:t>
      </w:r>
      <w:bookmarkEnd w:id="40"/>
      <w:bookmarkEnd w:id="41"/>
      <w:bookmarkEnd w:id="42"/>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1.1.1 </w:t>
      </w:r>
      <w:r>
        <w:rPr>
          <w:rFonts w:hint="eastAsia" w:ascii="仿宋" w:hAnsi="仿宋" w:eastAsia="仿宋"/>
          <w:color w:val="000000"/>
          <w:sz w:val="24"/>
        </w:rPr>
        <w:t>本合同及其补充合同、变更协议；</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1.1.2 </w:t>
      </w:r>
      <w:r>
        <w:rPr>
          <w:rFonts w:hint="eastAsia" w:ascii="仿宋" w:hAnsi="仿宋" w:eastAsia="仿宋"/>
          <w:color w:val="000000"/>
          <w:sz w:val="24"/>
        </w:rPr>
        <w:t>中标通知书；</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1.1.3 </w:t>
      </w:r>
      <w:r>
        <w:rPr>
          <w:rFonts w:hint="eastAsia" w:ascii="仿宋" w:hAnsi="仿宋" w:eastAsia="仿宋"/>
          <w:color w:val="000000"/>
          <w:sz w:val="24"/>
        </w:rPr>
        <w:t>投标文件（含澄清或者说明文件）；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1.1.4 </w:t>
      </w:r>
      <w:r>
        <w:rPr>
          <w:rFonts w:hint="eastAsia" w:ascii="仿宋" w:hAnsi="仿宋" w:eastAsia="仿宋"/>
          <w:color w:val="000000"/>
          <w:sz w:val="24"/>
        </w:rPr>
        <w:t>招标文件（含澄清或者修改文件）；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1.1.5 </w:t>
      </w:r>
      <w:r>
        <w:rPr>
          <w:rFonts w:hint="eastAsia" w:ascii="仿宋" w:hAnsi="仿宋" w:eastAsia="仿宋"/>
          <w:color w:val="000000"/>
          <w:sz w:val="24"/>
        </w:rPr>
        <w:t>其他相关采购文件。</w:t>
      </w:r>
    </w:p>
    <w:p>
      <w:pPr>
        <w:spacing w:line="560" w:lineRule="exact"/>
        <w:ind w:firstLine="482" w:firstLineChars="200"/>
        <w:outlineLvl w:val="0"/>
        <w:rPr>
          <w:rFonts w:ascii="仿宋" w:hAnsi="仿宋" w:eastAsia="仿宋"/>
          <w:b/>
          <w:color w:val="000000"/>
          <w:sz w:val="24"/>
        </w:rPr>
      </w:pPr>
      <w:bookmarkStart w:id="43" w:name="_Toc21295"/>
      <w:bookmarkStart w:id="44" w:name="_Toc27126"/>
      <w:bookmarkStart w:id="45" w:name="_Toc24300"/>
      <w:r>
        <w:rPr>
          <w:rFonts w:ascii="仿宋" w:hAnsi="仿宋" w:eastAsia="仿宋"/>
          <w:b/>
          <w:color w:val="000000"/>
          <w:sz w:val="24"/>
        </w:rPr>
        <w:t xml:space="preserve">1.2 </w:t>
      </w:r>
      <w:bookmarkEnd w:id="43"/>
      <w:bookmarkEnd w:id="44"/>
      <w:bookmarkEnd w:id="45"/>
      <w:r>
        <w:rPr>
          <w:rFonts w:hint="eastAsia" w:ascii="仿宋" w:hAnsi="仿宋" w:eastAsia="仿宋"/>
          <w:b/>
          <w:color w:val="000000"/>
          <w:sz w:val="24"/>
        </w:rPr>
        <w:t>服务</w:t>
      </w:r>
    </w:p>
    <w:p>
      <w:pPr>
        <w:spacing w:line="560" w:lineRule="exact"/>
        <w:ind w:firstLine="480" w:firstLineChars="200"/>
        <w:rPr>
          <w:rFonts w:ascii="仿宋" w:hAnsi="仿宋" w:eastAsia="仿宋"/>
          <w:color w:val="000000"/>
          <w:sz w:val="24"/>
          <w:u w:val="single"/>
        </w:rPr>
      </w:pPr>
      <w:r>
        <w:rPr>
          <w:rFonts w:ascii="仿宋" w:hAnsi="仿宋" w:eastAsia="仿宋"/>
          <w:color w:val="000000"/>
          <w:sz w:val="24"/>
        </w:rPr>
        <w:t xml:space="preserve">1.2.1 </w:t>
      </w:r>
      <w:r>
        <w:rPr>
          <w:rFonts w:hint="eastAsia" w:ascii="仿宋" w:hAnsi="仿宋" w:eastAsia="仿宋"/>
          <w:color w:val="000000"/>
          <w:sz w:val="24"/>
        </w:rPr>
        <w:t>服务内容：；</w:t>
      </w:r>
    </w:p>
    <w:p>
      <w:pPr>
        <w:spacing w:line="560" w:lineRule="exact"/>
        <w:ind w:firstLine="480" w:firstLineChars="200"/>
        <w:rPr>
          <w:rFonts w:ascii="仿宋" w:hAnsi="仿宋" w:eastAsia="仿宋"/>
          <w:color w:val="000000"/>
          <w:sz w:val="24"/>
          <w:u w:val="single"/>
        </w:rPr>
      </w:pPr>
      <w:r>
        <w:rPr>
          <w:rFonts w:ascii="仿宋" w:hAnsi="仿宋" w:eastAsia="仿宋"/>
          <w:color w:val="000000"/>
          <w:sz w:val="24"/>
        </w:rPr>
        <w:t>1.2.2</w:t>
      </w:r>
      <w:r>
        <w:rPr>
          <w:rFonts w:hint="eastAsia" w:ascii="仿宋" w:hAnsi="仿宋" w:eastAsia="仿宋"/>
          <w:color w:val="000000"/>
          <w:sz w:val="24"/>
        </w:rPr>
        <w:t>服务数量：；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1.2.3 </w:t>
      </w:r>
      <w:r>
        <w:rPr>
          <w:rFonts w:hint="eastAsia" w:ascii="仿宋" w:hAnsi="仿宋" w:eastAsia="仿宋"/>
          <w:color w:val="000000"/>
          <w:sz w:val="24"/>
        </w:rPr>
        <w:t>服务质量：</w:t>
      </w:r>
      <w:r>
        <w:rPr>
          <w:rFonts w:hint="eastAsia" w:ascii="仿宋" w:hAnsi="仿宋" w:eastAsia="仿宋"/>
          <w:color w:val="000000"/>
          <w:sz w:val="24"/>
          <w:u w:val="single"/>
        </w:rPr>
        <w:t>　　　　　　　　　</w:t>
      </w:r>
      <w:r>
        <w:rPr>
          <w:rFonts w:ascii="仿宋" w:hAnsi="仿宋" w:eastAsia="仿宋"/>
          <w:color w:val="000000"/>
          <w:sz w:val="24"/>
          <w:u w:val="single"/>
        </w:rPr>
        <w:t xml:space="preserve">                      　      </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46" w:name="_Toc21631"/>
      <w:bookmarkStart w:id="47" w:name="_Toc21551"/>
      <w:bookmarkStart w:id="48" w:name="_Toc23292"/>
      <w:r>
        <w:rPr>
          <w:rFonts w:ascii="仿宋" w:hAnsi="仿宋" w:eastAsia="仿宋"/>
          <w:b/>
          <w:color w:val="000000"/>
          <w:sz w:val="24"/>
        </w:rPr>
        <w:t xml:space="preserve">1.3 </w:t>
      </w:r>
      <w:r>
        <w:rPr>
          <w:rFonts w:hint="eastAsia" w:ascii="仿宋" w:hAnsi="仿宋" w:eastAsia="仿宋"/>
          <w:b/>
          <w:color w:val="000000"/>
          <w:sz w:val="24"/>
        </w:rPr>
        <w:t>价款</w:t>
      </w:r>
      <w:bookmarkEnd w:id="46"/>
      <w:bookmarkEnd w:id="47"/>
      <w:bookmarkEnd w:id="48"/>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本合同总价为：￥元（大写：元人民币）。</w:t>
      </w:r>
    </w:p>
    <w:p>
      <w:pPr>
        <w:spacing w:line="560" w:lineRule="exact"/>
        <w:ind w:firstLine="480" w:firstLineChars="200"/>
        <w:rPr>
          <w:rFonts w:ascii="仿宋" w:hAnsi="仿宋" w:eastAsia="仿宋"/>
          <w:color w:val="000000"/>
          <w:sz w:val="24"/>
          <w:u w:val="single"/>
        </w:rPr>
      </w:pPr>
      <w:r>
        <w:rPr>
          <w:rFonts w:hint="eastAsia" w:ascii="仿宋" w:hAnsi="仿宋" w:eastAsia="仿宋"/>
          <w:color w:val="000000"/>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bl>
    <w:p>
      <w:pPr>
        <w:spacing w:line="440" w:lineRule="exact"/>
        <w:ind w:firstLine="482" w:firstLineChars="200"/>
        <w:outlineLvl w:val="0"/>
        <w:rPr>
          <w:rFonts w:ascii="仿宋" w:hAnsi="仿宋" w:eastAsia="仿宋"/>
          <w:b/>
          <w:color w:val="000000"/>
          <w:sz w:val="24"/>
        </w:rPr>
      </w:pPr>
      <w:bookmarkStart w:id="49" w:name="_Toc22618"/>
      <w:bookmarkStart w:id="50" w:name="_Toc10340"/>
      <w:bookmarkStart w:id="51" w:name="_Toc1814"/>
      <w:r>
        <w:rPr>
          <w:rFonts w:ascii="仿宋" w:hAnsi="仿宋" w:eastAsia="仿宋"/>
          <w:b/>
          <w:color w:val="000000"/>
          <w:sz w:val="24"/>
        </w:rPr>
        <w:t xml:space="preserve">1.4 </w:t>
      </w:r>
      <w:r>
        <w:rPr>
          <w:rFonts w:hint="eastAsia" w:ascii="仿宋" w:hAnsi="仿宋" w:eastAsia="仿宋"/>
          <w:b/>
          <w:color w:val="000000"/>
          <w:sz w:val="24"/>
        </w:rPr>
        <w:t>付款</w:t>
      </w:r>
      <w:bookmarkEnd w:id="49"/>
      <w:bookmarkEnd w:id="50"/>
      <w:bookmarkEnd w:id="51"/>
      <w:r>
        <w:rPr>
          <w:rFonts w:hint="eastAsia" w:ascii="仿宋" w:hAnsi="仿宋" w:eastAsia="仿宋"/>
          <w:b/>
          <w:color w:val="000000"/>
          <w:sz w:val="24"/>
        </w:rPr>
        <w:t>方式、时间和条件</w:t>
      </w:r>
    </w:p>
    <w:p>
      <w:pPr>
        <w:pStyle w:val="958"/>
        <w:spacing w:before="0" w:beforeAutospacing="0" w:after="0" w:afterAutospacing="0" w:line="440" w:lineRule="exact"/>
        <w:ind w:firstLine="480"/>
        <w:rPr>
          <w:rFonts w:ascii="仿宋" w:hAnsi="仿宋" w:eastAsia="仿宋" w:cs="Times New Roman"/>
          <w:color w:val="000000"/>
        </w:rPr>
      </w:pPr>
      <w:r>
        <w:rPr>
          <w:rFonts w:ascii="仿宋" w:hAnsi="仿宋" w:eastAsia="仿宋" w:cs="Times New Roman"/>
          <w:color w:val="000000"/>
        </w:rPr>
        <w:t>1.4.1</w:t>
      </w:r>
      <w:r>
        <w:rPr>
          <w:rFonts w:hint="eastAsia" w:ascii="仿宋" w:hAnsi="仿宋" w:eastAsia="仿宋" w:cs="Times New Roman"/>
          <w:color w:val="000000"/>
        </w:rPr>
        <w:t>甲方应严格履行合同，及时组织验收，验收合格后及时将合同款支付完毕。对于满足合同约定支付条件的，甲方自收到发票后</w:t>
      </w:r>
      <w:r>
        <w:rPr>
          <w:rFonts w:ascii="仿宋" w:hAnsi="仿宋" w:eastAsia="仿宋" w:cs="Times New Roman"/>
          <w:color w:val="000000"/>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000000"/>
          <w:sz w:val="24"/>
        </w:rPr>
      </w:pPr>
      <w:r>
        <w:rPr>
          <w:rFonts w:ascii="仿宋" w:hAnsi="仿宋" w:eastAsia="仿宋"/>
          <w:color w:val="000000"/>
          <w:sz w:val="24"/>
        </w:rPr>
        <w:t>1.4.2甲方在政府采购合同中约定预付款，</w:t>
      </w:r>
      <w:r>
        <w:rPr>
          <w:rFonts w:hint="eastAsia" w:ascii="仿宋" w:hAnsi="仿宋" w:eastAsia="仿宋"/>
          <w:color w:val="000000"/>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pPr>
        <w:spacing w:line="440" w:lineRule="exact"/>
        <w:ind w:firstLine="480" w:firstLineChars="200"/>
        <w:rPr>
          <w:rFonts w:ascii="仿宋" w:hAnsi="仿宋" w:eastAsia="仿宋"/>
          <w:color w:val="000000"/>
          <w:sz w:val="24"/>
        </w:rPr>
      </w:pPr>
      <w:r>
        <w:rPr>
          <w:rFonts w:ascii="仿宋" w:hAnsi="仿宋" w:eastAsia="仿宋"/>
          <w:color w:val="000000"/>
          <w:sz w:val="24"/>
        </w:rPr>
        <w:t>1.4.3</w:t>
      </w:r>
      <w:r>
        <w:rPr>
          <w:rFonts w:hint="eastAsia" w:ascii="仿宋" w:hAnsi="仿宋" w:eastAsia="仿宋"/>
          <w:color w:val="000000"/>
          <w:sz w:val="24"/>
        </w:rPr>
        <w:t>甲方迟延支付乙方款项的，向乙方支付逾期利息。双方可以在合同专用条款中约定逾期利率，约定利率不得低于合同订立时</w:t>
      </w:r>
      <w:r>
        <w:rPr>
          <w:rFonts w:ascii="仿宋" w:hAnsi="仿宋" w:eastAsia="仿宋"/>
          <w:color w:val="000000"/>
          <w:sz w:val="24"/>
        </w:rPr>
        <w:t>1年</w:t>
      </w:r>
      <w:r>
        <w:rPr>
          <w:rFonts w:hint="eastAsia" w:ascii="仿宋" w:hAnsi="仿宋" w:eastAsia="仿宋"/>
          <w:color w:val="000000"/>
          <w:sz w:val="24"/>
        </w:rPr>
        <w:t>期贷款市场报价利率；未作约定的，按照每日利率万分之五支付逾期利息。</w:t>
      </w:r>
    </w:p>
    <w:p>
      <w:pPr>
        <w:spacing w:line="440" w:lineRule="exact"/>
        <w:ind w:firstLine="480" w:firstLineChars="200"/>
        <w:outlineLvl w:val="0"/>
        <w:rPr>
          <w:rFonts w:ascii="仿宋" w:hAnsi="仿宋" w:eastAsia="仿宋"/>
          <w:color w:val="000000"/>
          <w:sz w:val="24"/>
        </w:rPr>
      </w:pPr>
      <w:r>
        <w:rPr>
          <w:rFonts w:ascii="仿宋" w:hAnsi="仿宋" w:eastAsia="仿宋"/>
          <w:color w:val="000000"/>
          <w:sz w:val="24"/>
        </w:rPr>
        <w:t>1.4.4资金支付的方式、时间和条件详见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440" w:lineRule="exact"/>
        <w:ind w:firstLine="482" w:firstLineChars="200"/>
        <w:outlineLvl w:val="0"/>
        <w:rPr>
          <w:rFonts w:ascii="仿宋" w:hAnsi="仿宋" w:eastAsia="仿宋"/>
          <w:b/>
          <w:color w:val="000000"/>
          <w:sz w:val="24"/>
        </w:rPr>
      </w:pPr>
      <w:bookmarkStart w:id="52" w:name="_Toc19304"/>
      <w:bookmarkStart w:id="53" w:name="_Toc2846"/>
      <w:bookmarkStart w:id="54" w:name="_Toc32071"/>
      <w:r>
        <w:rPr>
          <w:rFonts w:ascii="仿宋" w:hAnsi="仿宋" w:eastAsia="仿宋"/>
          <w:b/>
          <w:color w:val="000000"/>
          <w:sz w:val="24"/>
        </w:rPr>
        <w:t>1.5</w:t>
      </w:r>
      <w:r>
        <w:rPr>
          <w:rFonts w:hint="eastAsia" w:ascii="仿宋" w:hAnsi="仿宋" w:eastAsia="仿宋"/>
          <w:b/>
          <w:color w:val="000000"/>
          <w:sz w:val="24"/>
        </w:rPr>
        <w:t>交付期限、地点和方式</w:t>
      </w:r>
      <w:bookmarkEnd w:id="52"/>
      <w:bookmarkEnd w:id="53"/>
      <w:bookmarkEnd w:id="54"/>
    </w:p>
    <w:p>
      <w:pPr>
        <w:spacing w:line="440" w:lineRule="exact"/>
        <w:ind w:firstLine="480" w:firstLineChars="200"/>
        <w:rPr>
          <w:rFonts w:ascii="仿宋" w:hAnsi="仿宋" w:eastAsia="仿宋"/>
          <w:color w:val="000000"/>
          <w:sz w:val="24"/>
          <w:u w:val="single"/>
        </w:rPr>
      </w:pPr>
      <w:r>
        <w:rPr>
          <w:rFonts w:ascii="仿宋" w:hAnsi="仿宋" w:eastAsia="仿宋"/>
          <w:color w:val="000000"/>
          <w:sz w:val="24"/>
        </w:rPr>
        <w:t xml:space="preserve">1.5.1 </w:t>
      </w:r>
      <w:r>
        <w:rPr>
          <w:rFonts w:hint="eastAsia" w:ascii="仿宋" w:hAnsi="仿宋" w:eastAsia="仿宋"/>
          <w:color w:val="000000"/>
          <w:sz w:val="24"/>
        </w:rPr>
        <w:t>交付期限：</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440" w:lineRule="exact"/>
        <w:ind w:firstLine="480" w:firstLineChars="200"/>
        <w:rPr>
          <w:rFonts w:ascii="仿宋" w:hAnsi="仿宋" w:eastAsia="仿宋"/>
          <w:color w:val="000000"/>
          <w:sz w:val="24"/>
        </w:rPr>
      </w:pPr>
      <w:r>
        <w:rPr>
          <w:rFonts w:ascii="仿宋" w:hAnsi="仿宋" w:eastAsia="仿宋"/>
          <w:color w:val="000000"/>
          <w:sz w:val="24"/>
        </w:rPr>
        <w:t xml:space="preserve">1.5.2 </w:t>
      </w:r>
      <w:r>
        <w:rPr>
          <w:rFonts w:hint="eastAsia" w:ascii="仿宋" w:hAnsi="仿宋" w:eastAsia="仿宋"/>
          <w:color w:val="000000"/>
          <w:sz w:val="24"/>
        </w:rPr>
        <w:t>交付地点：</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1.5.3 </w:t>
      </w:r>
      <w:r>
        <w:rPr>
          <w:rFonts w:hint="eastAsia" w:ascii="仿宋" w:hAnsi="仿宋" w:eastAsia="仿宋"/>
          <w:color w:val="000000"/>
          <w:sz w:val="24"/>
        </w:rPr>
        <w:t>交付方式：</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55" w:name="_Toc21423"/>
      <w:bookmarkStart w:id="56" w:name="_Toc27250"/>
      <w:bookmarkStart w:id="57" w:name="_Toc19554"/>
      <w:r>
        <w:rPr>
          <w:rFonts w:ascii="仿宋" w:hAnsi="仿宋" w:eastAsia="仿宋"/>
          <w:b/>
          <w:color w:val="000000"/>
          <w:sz w:val="24"/>
        </w:rPr>
        <w:t xml:space="preserve">1.6 </w:t>
      </w:r>
      <w:r>
        <w:rPr>
          <w:rFonts w:hint="eastAsia" w:ascii="仿宋" w:hAnsi="仿宋" w:eastAsia="仿宋"/>
          <w:b/>
          <w:color w:val="000000"/>
          <w:sz w:val="24"/>
        </w:rPr>
        <w:t>违约责任</w:t>
      </w:r>
      <w:bookmarkEnd w:id="55"/>
      <w:bookmarkEnd w:id="56"/>
      <w:bookmarkEnd w:id="57"/>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1.6.1 </w:t>
      </w:r>
      <w:r>
        <w:rPr>
          <w:rFonts w:hint="eastAsia" w:ascii="仿宋" w:hAnsi="仿宋" w:eastAsia="仿宋"/>
          <w:color w:val="000000"/>
          <w:sz w:val="24"/>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000000"/>
          <w:sz w:val="24"/>
        </w:rPr>
        <w:t>%计算，最高限额为本合同总价的%；迟延交付的违约金计算数额达到前述最高限额之日起，甲方有权在要求乙方支付违约金的同时，书面通知乙方解除本合同；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1.6.2 </w:t>
      </w:r>
      <w:r>
        <w:rPr>
          <w:rFonts w:hint="eastAsia" w:ascii="仿宋" w:hAnsi="仿宋" w:eastAsia="仿宋"/>
          <w:color w:val="000000"/>
          <w:sz w:val="24"/>
        </w:rPr>
        <w:t>除不可抗力外，如果甲方没有按照本合同约定的付款方式付款，那么乙方可要求甲方支付违约金，违约金按每迟延付款一日的应付而未付款的</w:t>
      </w:r>
      <w:r>
        <w:rPr>
          <w:rFonts w:ascii="仿宋" w:hAnsi="仿宋" w:eastAsia="仿宋"/>
          <w:color w:val="000000"/>
          <w:sz w:val="24"/>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1.6.3 </w:t>
      </w:r>
      <w:r>
        <w:rPr>
          <w:rFonts w:hint="eastAsia" w:ascii="仿宋" w:hAnsi="仿宋" w:eastAsia="仿宋"/>
          <w:color w:val="00000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1.6.4 </w:t>
      </w:r>
      <w:r>
        <w:rPr>
          <w:rFonts w:hint="eastAsia" w:ascii="仿宋" w:hAnsi="仿宋" w:eastAsia="仿宋"/>
          <w:color w:val="000000"/>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1.6.5 </w:t>
      </w:r>
      <w:r>
        <w:rPr>
          <w:rFonts w:hint="eastAsia" w:ascii="仿宋" w:hAnsi="仿宋" w:eastAsia="仿宋"/>
          <w:color w:val="000000"/>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1.6.6 </w:t>
      </w:r>
      <w:r>
        <w:rPr>
          <w:rFonts w:hint="eastAsia" w:ascii="仿宋" w:hAnsi="仿宋" w:eastAsia="仿宋"/>
          <w:color w:val="000000"/>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olor w:val="000000"/>
        </w:rPr>
      </w:pPr>
      <w:r>
        <w:rPr>
          <w:rFonts w:hint="eastAsia" w:ascii="仿宋" w:hAnsi="仿宋" w:eastAsia="仿宋"/>
          <w:color w:val="000000"/>
          <w:sz w:val="24"/>
        </w:rPr>
        <w:t>1.6.7违约责任</w:t>
      </w:r>
      <w:r>
        <w:rPr>
          <w:rFonts w:hint="eastAsia" w:ascii="仿宋" w:hAnsi="仿宋" w:eastAsia="仿宋"/>
          <w:b/>
          <w:i/>
          <w:color w:val="000000"/>
          <w:sz w:val="24"/>
          <w:u w:val="single"/>
        </w:rPr>
        <w:t>合同专用条款</w:t>
      </w:r>
      <w:r>
        <w:rPr>
          <w:rFonts w:hint="eastAsia" w:ascii="仿宋" w:hAnsi="仿宋" w:eastAsia="仿宋"/>
          <w:color w:val="000000"/>
          <w:sz w:val="24"/>
        </w:rPr>
        <w:t>另有约定的，从其约定。</w:t>
      </w:r>
    </w:p>
    <w:p>
      <w:pPr>
        <w:spacing w:line="560" w:lineRule="exact"/>
        <w:ind w:firstLine="482" w:firstLineChars="200"/>
        <w:outlineLvl w:val="0"/>
        <w:rPr>
          <w:rFonts w:ascii="仿宋" w:hAnsi="仿宋" w:eastAsia="仿宋"/>
          <w:b/>
          <w:color w:val="000000"/>
          <w:sz w:val="24"/>
        </w:rPr>
      </w:pPr>
      <w:bookmarkStart w:id="58" w:name="_Toc28375"/>
      <w:bookmarkStart w:id="59" w:name="_Toc15583"/>
      <w:bookmarkStart w:id="60" w:name="_Toc16021"/>
      <w:r>
        <w:rPr>
          <w:rFonts w:ascii="仿宋" w:hAnsi="仿宋" w:eastAsia="仿宋"/>
          <w:b/>
          <w:color w:val="000000"/>
          <w:sz w:val="24"/>
        </w:rPr>
        <w:t xml:space="preserve">1.7 </w:t>
      </w:r>
      <w:r>
        <w:rPr>
          <w:rFonts w:hint="eastAsia" w:ascii="仿宋" w:hAnsi="仿宋" w:eastAsia="仿宋"/>
          <w:b/>
          <w:color w:val="000000"/>
          <w:sz w:val="24"/>
        </w:rPr>
        <w:t>合同争议的解决</w:t>
      </w:r>
      <w:bookmarkEnd w:id="58"/>
      <w:bookmarkEnd w:id="59"/>
      <w:bookmarkEnd w:id="60"/>
    </w:p>
    <w:p>
      <w:pPr>
        <w:spacing w:line="560" w:lineRule="exact"/>
        <w:ind w:left="-61" w:leftChars="-29" w:right="-420" w:rightChars="-200" w:firstLine="240" w:firstLineChars="100"/>
        <w:rPr>
          <w:rFonts w:ascii="仿宋" w:hAnsi="仿宋" w:eastAsia="仿宋"/>
          <w:color w:val="000000"/>
          <w:sz w:val="24"/>
        </w:rPr>
      </w:pPr>
      <w:r>
        <w:rPr>
          <w:rFonts w:hint="eastAsia" w:ascii="仿宋" w:hAnsi="仿宋" w:eastAsia="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sz w:val="24"/>
          <w:u w:val="single"/>
        </w:rPr>
        <w:t xml:space="preserve"> 合同专用条款  </w:t>
      </w:r>
      <w:r>
        <w:rPr>
          <w:rFonts w:hint="eastAsia" w:ascii="仿宋" w:hAnsi="仿宋" w:eastAsia="仿宋"/>
          <w:color w:val="000000"/>
          <w:sz w:val="24"/>
        </w:rPr>
        <w:t>条款规定的方式解决：</w:t>
      </w:r>
    </w:p>
    <w:p>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1.7.1 </w:t>
      </w:r>
      <w:r>
        <w:rPr>
          <w:rFonts w:hint="eastAsia" w:ascii="仿宋" w:hAnsi="仿宋" w:eastAsia="仿宋"/>
          <w:color w:val="000000"/>
          <w:sz w:val="24"/>
        </w:rPr>
        <w:t>将争议提交</w:t>
      </w:r>
      <w:r>
        <w:rPr>
          <w:rFonts w:hint="eastAsia" w:ascii="仿宋" w:hAnsi="仿宋" w:eastAsia="仿宋"/>
          <w:b/>
          <w:i/>
          <w:color w:val="000000"/>
          <w:sz w:val="24"/>
          <w:u w:val="single"/>
        </w:rPr>
        <w:t>合同专用条款</w:t>
      </w:r>
      <w:r>
        <w:rPr>
          <w:rFonts w:hint="eastAsia" w:ascii="仿宋" w:hAnsi="仿宋" w:eastAsia="仿宋"/>
          <w:color w:val="000000"/>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1.7.2 </w:t>
      </w:r>
      <w:r>
        <w:rPr>
          <w:rFonts w:hint="eastAsia" w:ascii="仿宋" w:hAnsi="仿宋" w:eastAsia="仿宋"/>
          <w:color w:val="000000"/>
          <w:sz w:val="24"/>
        </w:rPr>
        <w:t>向</w:t>
      </w:r>
      <w:r>
        <w:rPr>
          <w:rFonts w:hint="eastAsia" w:ascii="仿宋" w:hAnsi="仿宋" w:eastAsia="仿宋"/>
          <w:b/>
          <w:i/>
          <w:color w:val="000000"/>
          <w:sz w:val="24"/>
          <w:u w:val="single"/>
        </w:rPr>
        <w:t>合同专用条款</w:t>
      </w:r>
      <w:r>
        <w:rPr>
          <w:rFonts w:hint="eastAsia" w:ascii="仿宋" w:hAnsi="仿宋" w:eastAsia="仿宋"/>
          <w:color w:val="000000"/>
          <w:sz w:val="24"/>
        </w:rPr>
        <w:t>人民法院起诉。</w:t>
      </w:r>
    </w:p>
    <w:p>
      <w:pPr>
        <w:spacing w:line="560" w:lineRule="exact"/>
        <w:ind w:firstLine="482" w:firstLineChars="200"/>
        <w:outlineLvl w:val="0"/>
        <w:rPr>
          <w:rFonts w:ascii="仿宋" w:hAnsi="仿宋" w:eastAsia="仿宋"/>
          <w:b/>
          <w:color w:val="000000"/>
          <w:sz w:val="24"/>
        </w:rPr>
      </w:pPr>
      <w:bookmarkStart w:id="61" w:name="_Toc7245"/>
      <w:bookmarkStart w:id="62" w:name="_Toc15322"/>
      <w:bookmarkStart w:id="63" w:name="_Toc11173"/>
      <w:r>
        <w:rPr>
          <w:rFonts w:ascii="仿宋" w:hAnsi="仿宋" w:eastAsia="仿宋"/>
          <w:b/>
          <w:color w:val="000000"/>
          <w:sz w:val="24"/>
        </w:rPr>
        <w:t xml:space="preserve">1.8 </w:t>
      </w:r>
      <w:r>
        <w:rPr>
          <w:rFonts w:hint="eastAsia" w:ascii="仿宋" w:hAnsi="仿宋" w:eastAsia="仿宋"/>
          <w:b/>
          <w:color w:val="000000"/>
          <w:sz w:val="24"/>
        </w:rPr>
        <w:t>合同生效</w:t>
      </w:r>
      <w:bookmarkEnd w:id="61"/>
      <w:bookmarkEnd w:id="62"/>
      <w:bookmarkEnd w:id="63"/>
    </w:p>
    <w:p>
      <w:pPr>
        <w:spacing w:line="560" w:lineRule="exact"/>
        <w:ind w:firstLine="480" w:firstLineChars="200"/>
        <w:rPr>
          <w:rFonts w:ascii="仿宋" w:hAnsi="仿宋" w:eastAsia="仿宋"/>
          <w:b/>
          <w:color w:val="000000"/>
          <w:sz w:val="24"/>
        </w:rPr>
      </w:pPr>
      <w:r>
        <w:rPr>
          <w:rFonts w:hint="eastAsia" w:ascii="仿宋" w:hAnsi="仿宋" w:eastAsia="仿宋"/>
          <w:color w:val="000000"/>
          <w:sz w:val="24"/>
        </w:rPr>
        <w:t>本合同自双方当事人盖章或者签字时生效。</w:t>
      </w:r>
    </w:p>
    <w:p>
      <w:pPr>
        <w:autoSpaceDE w:val="0"/>
        <w:autoSpaceDN w:val="0"/>
        <w:spacing w:line="240" w:lineRule="exact"/>
        <w:rPr>
          <w:rFonts w:ascii="仿宋" w:hAnsi="仿宋" w:eastAsia="仿宋"/>
          <w:color w:val="000000"/>
          <w:sz w:val="24"/>
          <w:lang w:val="zh-CN"/>
        </w:rPr>
      </w:pPr>
    </w:p>
    <w:p>
      <w:pPr>
        <w:autoSpaceDE w:val="0"/>
        <w:autoSpaceDN w:val="0"/>
        <w:spacing w:line="560" w:lineRule="exact"/>
        <w:rPr>
          <w:rFonts w:ascii="仿宋" w:hAnsi="仿宋" w:eastAsia="仿宋"/>
          <w:color w:val="000000"/>
          <w:sz w:val="24"/>
          <w:lang w:val="zh-CN"/>
        </w:rPr>
      </w:pPr>
      <w:r>
        <w:rPr>
          <w:rFonts w:hint="eastAsia" w:ascii="仿宋" w:hAnsi="仿宋" w:eastAsia="仿宋"/>
          <w:b/>
          <w:color w:val="000000"/>
          <w:sz w:val="24"/>
          <w:lang w:val="zh-CN"/>
        </w:rPr>
        <w:t>甲方</w:t>
      </w:r>
      <w:r>
        <w:rPr>
          <w:rFonts w:hint="eastAsia" w:ascii="仿宋" w:hAnsi="仿宋" w:eastAsia="仿宋"/>
          <w:color w:val="000000"/>
          <w:sz w:val="24"/>
          <w:lang w:val="zh-CN"/>
        </w:rPr>
        <w:t>：</w:t>
      </w:r>
      <w:r>
        <w:rPr>
          <w:rFonts w:ascii="仿宋" w:hAnsi="仿宋" w:eastAsia="仿宋"/>
          <w:b/>
          <w:color w:val="000000"/>
          <w:sz w:val="24"/>
          <w:lang w:val="zh-CN"/>
        </w:rPr>
        <w:t xml:space="preserve">      乙方</w:t>
      </w:r>
      <w:r>
        <w:rPr>
          <w:rFonts w:hint="eastAsia" w:ascii="仿宋" w:hAnsi="仿宋" w:eastAsia="仿宋"/>
          <w:color w:val="000000"/>
          <w:sz w:val="24"/>
          <w:lang w:val="zh-CN"/>
        </w:rPr>
        <w:t>：</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统一社会信用代码：统一社会信用代码或身份证号码：</w:t>
      </w:r>
    </w:p>
    <w:p>
      <w:pPr>
        <w:autoSpaceDE w:val="0"/>
        <w:autoSpaceDN w:val="0"/>
        <w:spacing w:line="240" w:lineRule="exact"/>
        <w:rPr>
          <w:rFonts w:ascii="仿宋" w:hAnsi="仿宋" w:eastAsia="仿宋"/>
          <w:color w:val="000000"/>
          <w:sz w:val="24"/>
          <w:lang w:val="zh-CN"/>
        </w:rPr>
      </w:pP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住所：住所：</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法定代表人或法定代表人</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授权代表（签字）：</w:t>
      </w:r>
      <w:r>
        <w:rPr>
          <w:rFonts w:ascii="仿宋" w:hAnsi="仿宋" w:eastAsia="仿宋"/>
          <w:color w:val="000000"/>
          <w:sz w:val="24"/>
          <w:lang w:val="zh-CN"/>
        </w:rPr>
        <w:t xml:space="preserve">                        或授权代表（签字）: </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联系人：联系人：</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约定送达地址：约定送达地址：</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邮政编码：邮政编码：</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电话</w:t>
      </w:r>
      <w:r>
        <w:rPr>
          <w:rFonts w:ascii="仿宋" w:hAnsi="仿宋" w:eastAsia="仿宋"/>
          <w:color w:val="000000"/>
          <w:sz w:val="24"/>
          <w:lang w:val="zh-CN"/>
        </w:rPr>
        <w:t xml:space="preserve">:                                    电话: </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传真</w:t>
      </w:r>
      <w:r>
        <w:rPr>
          <w:rFonts w:ascii="仿宋" w:hAnsi="仿宋" w:eastAsia="仿宋"/>
          <w:color w:val="000000"/>
          <w:sz w:val="24"/>
          <w:lang w:val="zh-CN"/>
        </w:rPr>
        <w:t xml:space="preserve">:                                    </w:t>
      </w:r>
      <w:r>
        <w:rPr>
          <w:rFonts w:hint="eastAsia" w:ascii="仿宋" w:hAnsi="仿宋" w:eastAsia="仿宋"/>
          <w:color w:val="000000"/>
          <w:sz w:val="24"/>
          <w:lang w:val="zh-CN"/>
        </w:rPr>
        <w:t>传真</w:t>
      </w:r>
      <w:r>
        <w:rPr>
          <w:rFonts w:ascii="仿宋" w:hAnsi="仿宋" w:eastAsia="仿宋"/>
          <w:color w:val="000000"/>
          <w:sz w:val="24"/>
          <w:lang w:val="zh-CN"/>
        </w:rPr>
        <w:t>:</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lang w:val="zh-CN"/>
        </w:rPr>
        <w:t>电子邮箱：电子邮箱：</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 xml:space="preserve">                               开户银行： </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开户名称：</w:t>
      </w:r>
      <w:r>
        <w:rPr>
          <w:rFonts w:ascii="仿宋" w:hAnsi="仿宋" w:eastAsia="仿宋"/>
          <w:color w:val="000000"/>
          <w:sz w:val="24"/>
        </w:rPr>
        <w:t xml:space="preserve">                               开户名称： </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开户账号：开户账号：</w:t>
      </w:r>
    </w:p>
    <w:p>
      <w:pPr>
        <w:widowControl/>
        <w:spacing w:line="560" w:lineRule="exact"/>
        <w:jc w:val="left"/>
        <w:rPr>
          <w:rFonts w:ascii="仿宋" w:hAnsi="仿宋" w:eastAsia="仿宋"/>
          <w:b/>
          <w:color w:val="000000"/>
          <w:sz w:val="24"/>
        </w:rPr>
      </w:pPr>
      <w:bookmarkStart w:id="64" w:name="_Toc331685783"/>
    </w:p>
    <w:p>
      <w:pPr>
        <w:pStyle w:val="702"/>
        <w:pageBreakBefore/>
        <w:spacing w:line="560" w:lineRule="exact"/>
        <w:ind w:firstLine="723"/>
        <w:jc w:val="center"/>
        <w:rPr>
          <w:rFonts w:ascii="仿宋" w:hAnsi="仿宋" w:eastAsia="仿宋"/>
          <w:b/>
          <w:color w:val="000000"/>
          <w:sz w:val="36"/>
          <w:szCs w:val="36"/>
        </w:rPr>
      </w:pPr>
      <w:r>
        <w:rPr>
          <w:rFonts w:hint="eastAsia" w:ascii="仿宋" w:hAnsi="仿宋" w:eastAsia="仿宋"/>
          <w:b/>
          <w:color w:val="000000"/>
          <w:sz w:val="36"/>
          <w:szCs w:val="36"/>
        </w:rPr>
        <w:t>第二部分合同一般条款</w:t>
      </w:r>
      <w:bookmarkEnd w:id="64"/>
    </w:p>
    <w:p>
      <w:pPr>
        <w:spacing w:line="560" w:lineRule="exact"/>
        <w:ind w:firstLine="482" w:firstLineChars="200"/>
        <w:outlineLvl w:val="0"/>
        <w:rPr>
          <w:rFonts w:ascii="仿宋" w:hAnsi="仿宋" w:eastAsia="仿宋"/>
          <w:b/>
          <w:color w:val="000000"/>
          <w:sz w:val="24"/>
        </w:rPr>
      </w:pPr>
      <w:bookmarkStart w:id="65" w:name="_Ref467379101"/>
      <w:bookmarkStart w:id="66" w:name="_Toc259093669"/>
      <w:bookmarkStart w:id="67" w:name="_Toc487900349"/>
      <w:bookmarkStart w:id="68" w:name="_Ref467379205"/>
      <w:bookmarkStart w:id="69" w:name="_Ref467379195"/>
      <w:bookmarkStart w:id="70" w:name="_Ref467378404"/>
      <w:bookmarkStart w:id="71" w:name="_Toc16917"/>
      <w:bookmarkStart w:id="72" w:name="_Ref467379225"/>
      <w:bookmarkStart w:id="73" w:name="_Ref467379214"/>
      <w:bookmarkStart w:id="74" w:name="_Ref467379109"/>
      <w:bookmarkStart w:id="75" w:name="_Ref467378499"/>
      <w:bookmarkStart w:id="76" w:name="_Toc19614"/>
      <w:bookmarkStart w:id="77" w:name="_Ref467379094"/>
      <w:bookmarkStart w:id="78" w:name="_Ref467378463"/>
      <w:bookmarkStart w:id="79" w:name="_Toc28763"/>
      <w:bookmarkStart w:id="80" w:name="_Toc279701240"/>
      <w:r>
        <w:rPr>
          <w:rFonts w:ascii="仿宋" w:hAnsi="仿宋" w:eastAsia="仿宋"/>
          <w:b/>
          <w:color w:val="000000"/>
          <w:sz w:val="24"/>
        </w:rPr>
        <w:t xml:space="preserve">2.1 </w:t>
      </w:r>
      <w:r>
        <w:rPr>
          <w:rFonts w:hint="eastAsia" w:ascii="仿宋" w:hAnsi="仿宋" w:eastAsia="仿宋"/>
          <w:b/>
          <w:color w:val="000000"/>
          <w:sz w:val="24"/>
        </w:rPr>
        <w:t>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本合同中的下列词语应按以下内容进行解释：</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2.1.1 </w:t>
      </w:r>
      <w:r>
        <w:rPr>
          <w:rFonts w:hint="eastAsia" w:ascii="仿宋" w:hAnsi="仿宋" w:eastAsia="仿宋"/>
          <w:color w:val="000000"/>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2.1.2 </w:t>
      </w:r>
      <w:r>
        <w:rPr>
          <w:rFonts w:hint="eastAsia" w:ascii="仿宋" w:hAnsi="仿宋" w:eastAsia="仿宋"/>
          <w:color w:val="000000"/>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2.1.3 </w:t>
      </w:r>
      <w:r>
        <w:rPr>
          <w:rFonts w:hint="eastAsia" w:ascii="仿宋" w:hAnsi="仿宋" w:eastAsia="仿宋"/>
          <w:color w:val="000000"/>
          <w:sz w:val="24"/>
        </w:rPr>
        <w:t>“服务”系指中标供应商根据合同约定应向采购人履行的除货物和工程以外的其他政府采购对象，包括采购人自身需要的服务和向社会公众提供的公共服务。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olor w:val="000000"/>
          <w:sz w:val="24"/>
        </w:rPr>
      </w:pPr>
      <w:bookmarkStart w:id="81" w:name="_Ref467378840"/>
      <w:r>
        <w:rPr>
          <w:rFonts w:ascii="仿宋" w:hAnsi="仿宋" w:eastAsia="仿宋"/>
          <w:color w:val="000000"/>
          <w:sz w:val="24"/>
        </w:rPr>
        <w:t xml:space="preserve">2.1.4 </w:t>
      </w:r>
      <w:r>
        <w:rPr>
          <w:rFonts w:hint="eastAsia" w:ascii="仿宋" w:hAnsi="仿宋" w:eastAsia="仿宋"/>
          <w:color w:val="000000"/>
          <w:sz w:val="24"/>
        </w:rPr>
        <w:t>“甲方”系指与中标供应商签署合同的采购人</w:t>
      </w:r>
      <w:bookmarkEnd w:id="81"/>
      <w:r>
        <w:rPr>
          <w:rFonts w:hint="eastAsia" w:ascii="仿宋" w:hAnsi="仿宋" w:eastAsia="仿宋"/>
          <w:color w:val="000000"/>
          <w:sz w:val="24"/>
        </w:rPr>
        <w:t>。</w:t>
      </w:r>
    </w:p>
    <w:p>
      <w:pPr>
        <w:spacing w:line="560" w:lineRule="exact"/>
        <w:ind w:firstLine="480" w:firstLineChars="200"/>
        <w:rPr>
          <w:rFonts w:ascii="仿宋" w:hAnsi="仿宋" w:eastAsia="仿宋"/>
          <w:color w:val="000000"/>
          <w:sz w:val="24"/>
        </w:rPr>
      </w:pPr>
      <w:bookmarkStart w:id="82" w:name="_Ref467379400"/>
      <w:r>
        <w:rPr>
          <w:rFonts w:ascii="仿宋" w:hAnsi="仿宋" w:eastAsia="仿宋"/>
          <w:color w:val="000000"/>
          <w:sz w:val="24"/>
        </w:rPr>
        <w:t xml:space="preserve">2.1.5 </w:t>
      </w:r>
      <w:r>
        <w:rPr>
          <w:rFonts w:hint="eastAsia" w:ascii="仿宋" w:hAnsi="仿宋" w:eastAsia="仿宋"/>
          <w:color w:val="000000"/>
          <w:sz w:val="24"/>
        </w:rPr>
        <w:t>“乙方”系指根据合同约定提供服务的中标供应商</w:t>
      </w:r>
      <w:bookmarkEnd w:id="82"/>
      <w:r>
        <w:rPr>
          <w:rFonts w:hint="eastAsia" w:ascii="仿宋" w:hAnsi="仿宋" w:eastAsia="仿宋"/>
          <w:color w:val="000000"/>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000000"/>
          <w:sz w:val="24"/>
        </w:rPr>
      </w:pPr>
      <w:bookmarkStart w:id="83" w:name="_Ref467379436"/>
      <w:r>
        <w:rPr>
          <w:rFonts w:ascii="仿宋" w:hAnsi="仿宋" w:eastAsia="仿宋"/>
          <w:color w:val="000000"/>
          <w:sz w:val="24"/>
        </w:rPr>
        <w:t xml:space="preserve">2.1.6 </w:t>
      </w:r>
      <w:r>
        <w:rPr>
          <w:rFonts w:hint="eastAsia" w:ascii="仿宋" w:hAnsi="仿宋" w:eastAsia="仿宋"/>
          <w:color w:val="000000"/>
          <w:sz w:val="24"/>
        </w:rPr>
        <w:t>“现场”系指合同约定服务地点。</w:t>
      </w:r>
      <w:bookmarkEnd w:id="83"/>
    </w:p>
    <w:p>
      <w:pPr>
        <w:spacing w:line="560" w:lineRule="exact"/>
        <w:ind w:firstLine="482" w:firstLineChars="200"/>
        <w:outlineLvl w:val="0"/>
        <w:rPr>
          <w:rFonts w:ascii="仿宋" w:hAnsi="仿宋" w:eastAsia="仿宋"/>
          <w:b/>
          <w:color w:val="000000"/>
          <w:sz w:val="24"/>
        </w:rPr>
      </w:pPr>
      <w:bookmarkStart w:id="84" w:name="_Toc32504"/>
      <w:bookmarkStart w:id="85" w:name="_Toc279701241"/>
      <w:bookmarkStart w:id="86" w:name="_Toc487900350"/>
      <w:bookmarkStart w:id="87" w:name="_Toc13336"/>
      <w:bookmarkStart w:id="88" w:name="_Toc27635"/>
      <w:bookmarkStart w:id="89" w:name="_Toc259093670"/>
      <w:r>
        <w:rPr>
          <w:rFonts w:ascii="仿宋" w:hAnsi="仿宋" w:eastAsia="仿宋"/>
          <w:b/>
          <w:color w:val="000000"/>
          <w:sz w:val="24"/>
        </w:rPr>
        <w:t xml:space="preserve">2.2 </w:t>
      </w:r>
      <w:r>
        <w:rPr>
          <w:rFonts w:hint="eastAsia" w:ascii="仿宋" w:hAnsi="仿宋" w:eastAsia="仿宋"/>
          <w:b/>
          <w:color w:val="000000"/>
          <w:sz w:val="24"/>
        </w:rPr>
        <w:t>技术规范</w:t>
      </w:r>
      <w:bookmarkEnd w:id="84"/>
      <w:bookmarkEnd w:id="85"/>
      <w:bookmarkEnd w:id="86"/>
      <w:bookmarkEnd w:id="87"/>
      <w:bookmarkEnd w:id="88"/>
      <w:bookmarkEnd w:id="89"/>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服务所应遵守的技术规范应与采购文件规定的技术规范和技术规范附件</w:t>
      </w:r>
      <w:r>
        <w:rPr>
          <w:rFonts w:ascii="仿宋" w:hAnsi="仿宋" w:eastAsia="仿宋"/>
          <w:color w:val="000000"/>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000000"/>
          <w:sz w:val="24"/>
        </w:rPr>
      </w:pPr>
      <w:bookmarkStart w:id="90" w:name="_Toc487900351"/>
      <w:bookmarkStart w:id="91" w:name="_Toc9829"/>
      <w:bookmarkStart w:id="92" w:name="_Toc279701242"/>
      <w:bookmarkStart w:id="93" w:name="_Toc31634"/>
      <w:bookmarkStart w:id="94" w:name="_Toc27853"/>
      <w:bookmarkStart w:id="95" w:name="_Toc259093671"/>
      <w:r>
        <w:rPr>
          <w:rFonts w:ascii="仿宋" w:hAnsi="仿宋" w:eastAsia="仿宋"/>
          <w:b/>
          <w:color w:val="000000"/>
          <w:sz w:val="24"/>
        </w:rPr>
        <w:t xml:space="preserve">2.3 </w:t>
      </w:r>
      <w:r>
        <w:rPr>
          <w:rFonts w:hint="eastAsia" w:ascii="仿宋" w:hAnsi="仿宋" w:eastAsia="仿宋"/>
          <w:b/>
          <w:color w:val="000000"/>
          <w:sz w:val="24"/>
        </w:rPr>
        <w:t>知识产权</w:t>
      </w:r>
      <w:bookmarkEnd w:id="90"/>
      <w:bookmarkEnd w:id="91"/>
      <w:bookmarkEnd w:id="92"/>
      <w:bookmarkEnd w:id="93"/>
      <w:bookmarkEnd w:id="94"/>
      <w:bookmarkEnd w:id="95"/>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2.3.1 </w:t>
      </w:r>
      <w:r>
        <w:rPr>
          <w:rFonts w:hint="eastAsia" w:ascii="仿宋" w:hAnsi="仿宋" w:eastAsia="仿宋"/>
          <w:color w:val="000000"/>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000000"/>
          <w:sz w:val="24"/>
        </w:rPr>
      </w:pPr>
      <w:r>
        <w:rPr>
          <w:rFonts w:ascii="仿宋" w:hAnsi="仿宋" w:eastAsia="仿宋"/>
          <w:color w:val="000000"/>
          <w:sz w:val="24"/>
        </w:rPr>
        <w:t>2.3.2</w:t>
      </w:r>
      <w:r>
        <w:rPr>
          <w:rFonts w:hint="eastAsia" w:ascii="仿宋" w:hAnsi="仿宋" w:eastAsia="仿宋"/>
          <w:color w:val="000000"/>
          <w:sz w:val="24"/>
        </w:rPr>
        <w:t>合同涉及技术成果的归属</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96" w:name="_Ref467378541"/>
      <w:bookmarkStart w:id="97" w:name="_Toc259093674"/>
      <w:bookmarkStart w:id="98" w:name="_Ref467379542"/>
      <w:bookmarkStart w:id="99" w:name="_Toc279701245"/>
      <w:bookmarkStart w:id="100" w:name="_Ref467379536"/>
      <w:bookmarkStart w:id="101" w:name="_Toc487900354"/>
      <w:bookmarkStart w:id="102" w:name="_Ref467379527"/>
      <w:bookmarkStart w:id="103" w:name="_Ref467378591"/>
      <w:bookmarkStart w:id="104" w:name="_Toc26182"/>
      <w:bookmarkStart w:id="105" w:name="_Toc30272"/>
      <w:bookmarkStart w:id="106" w:name="_Toc19074"/>
      <w:r>
        <w:rPr>
          <w:rFonts w:ascii="仿宋" w:hAnsi="仿宋" w:eastAsia="仿宋"/>
          <w:b/>
          <w:color w:val="000000"/>
          <w:sz w:val="24"/>
        </w:rPr>
        <w:t>2.</w:t>
      </w:r>
      <w:bookmarkEnd w:id="96"/>
      <w:bookmarkEnd w:id="97"/>
      <w:bookmarkEnd w:id="98"/>
      <w:bookmarkEnd w:id="99"/>
      <w:bookmarkEnd w:id="100"/>
      <w:bookmarkEnd w:id="101"/>
      <w:bookmarkEnd w:id="102"/>
      <w:bookmarkEnd w:id="103"/>
      <w:r>
        <w:rPr>
          <w:rFonts w:hint="eastAsia" w:ascii="仿宋" w:hAnsi="仿宋" w:eastAsia="仿宋"/>
          <w:b/>
          <w:color w:val="000000"/>
          <w:sz w:val="24"/>
        </w:rPr>
        <w:t>4</w:t>
      </w:r>
      <w:r>
        <w:rPr>
          <w:rFonts w:ascii="仿宋" w:hAnsi="仿宋" w:eastAsia="仿宋"/>
          <w:b/>
          <w:color w:val="000000"/>
          <w:sz w:val="24"/>
        </w:rPr>
        <w:t xml:space="preserve"> </w:t>
      </w:r>
      <w:r>
        <w:rPr>
          <w:rFonts w:hint="eastAsia" w:ascii="仿宋" w:hAnsi="仿宋" w:eastAsia="仿宋"/>
          <w:b/>
          <w:color w:val="000000"/>
          <w:sz w:val="24"/>
        </w:rPr>
        <w:t>履约检查和问题反馈</w:t>
      </w:r>
      <w:bookmarkEnd w:id="104"/>
      <w:bookmarkEnd w:id="105"/>
      <w:bookmarkEnd w:id="106"/>
    </w:p>
    <w:p>
      <w:pPr>
        <w:spacing w:line="560" w:lineRule="exact"/>
        <w:ind w:firstLine="480" w:firstLineChars="200"/>
        <w:rPr>
          <w:rFonts w:ascii="仿宋" w:hAnsi="仿宋" w:eastAsia="仿宋"/>
          <w:color w:val="000000"/>
          <w:sz w:val="24"/>
        </w:rPr>
      </w:pPr>
      <w:bookmarkStart w:id="107" w:name="_Ref467379657"/>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.1</w:t>
      </w:r>
      <w:bookmarkEnd w:id="107"/>
      <w:bookmarkStart w:id="108" w:name="_Toc186431854"/>
      <w:bookmarkStart w:id="109" w:name="_Ref467379807"/>
      <w:bookmarkStart w:id="110" w:name="_Ref467379793"/>
      <w:bookmarkStart w:id="111" w:name="_Toc487900357"/>
      <w:bookmarkStart w:id="112" w:name="_Toc259093676"/>
      <w:bookmarkStart w:id="113" w:name="_Toc279701247"/>
      <w:r>
        <w:rPr>
          <w:rFonts w:hint="eastAsia" w:ascii="仿宋" w:hAnsi="仿宋" w:eastAsia="仿宋"/>
          <w:color w:val="000000"/>
          <w:sz w:val="24"/>
        </w:rPr>
        <w:t>甲方有权在其认为必要时，对乙方是否能够按照合同约定提供服务进行履约检查，以确保乙方所提供服务能够依约满足甲方之项目需求，但不得因履约检查妨碍乙方的正常工作，乙方应予积极配合；</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olor w:val="000000"/>
          <w:sz w:val="24"/>
        </w:rPr>
        <w:t>。</w:t>
      </w:r>
    </w:p>
    <w:bookmarkEnd w:id="109"/>
    <w:bookmarkEnd w:id="110"/>
    <w:bookmarkEnd w:id="111"/>
    <w:bookmarkEnd w:id="112"/>
    <w:bookmarkEnd w:id="113"/>
    <w:bookmarkEnd w:id="114"/>
    <w:p>
      <w:pPr>
        <w:spacing w:line="560" w:lineRule="exact"/>
        <w:ind w:firstLine="482" w:firstLineChars="200"/>
        <w:outlineLvl w:val="0"/>
        <w:rPr>
          <w:rFonts w:ascii="仿宋" w:hAnsi="仿宋" w:eastAsia="仿宋"/>
          <w:b/>
          <w:color w:val="000000"/>
          <w:sz w:val="24"/>
        </w:rPr>
      </w:pPr>
      <w:bookmarkStart w:id="115" w:name="_Toc7502"/>
      <w:bookmarkStart w:id="116" w:name="_Toc259093683"/>
      <w:bookmarkStart w:id="117" w:name="_Toc487900364"/>
      <w:bookmarkStart w:id="118" w:name="_Ref467378121"/>
      <w:bookmarkStart w:id="119" w:name="_Toc279701254"/>
      <w:r>
        <w:rPr>
          <w:rFonts w:ascii="仿宋" w:hAnsi="仿宋" w:eastAsia="仿宋"/>
          <w:b/>
          <w:color w:val="000000"/>
          <w:sz w:val="24"/>
        </w:rPr>
        <w:t>2.</w:t>
      </w:r>
      <w:r>
        <w:rPr>
          <w:rFonts w:hint="eastAsia" w:ascii="仿宋" w:hAnsi="仿宋" w:eastAsia="仿宋"/>
          <w:b/>
          <w:color w:val="000000"/>
          <w:sz w:val="24"/>
        </w:rPr>
        <w:t>5</w:t>
      </w:r>
      <w:r>
        <w:rPr>
          <w:rFonts w:ascii="仿宋" w:hAnsi="仿宋" w:eastAsia="仿宋"/>
          <w:b/>
          <w:color w:val="000000"/>
          <w:sz w:val="24"/>
        </w:rPr>
        <w:t xml:space="preserve"> </w:t>
      </w:r>
      <w:r>
        <w:rPr>
          <w:rFonts w:hint="eastAsia" w:ascii="仿宋" w:hAnsi="仿宋" w:eastAsia="仿宋"/>
          <w:b/>
          <w:color w:val="000000"/>
          <w:sz w:val="24"/>
        </w:rPr>
        <w:t>合同变更</w:t>
      </w:r>
      <w:bookmarkEnd w:id="115"/>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合同继续履行将损害国家利益和社会公共利益的，双方当事人应当以书面形式变更合同。有过错的一方应当承担赔偿责任，双方当事人都有过错的，各自承担相应的责任。</w:t>
      </w:r>
      <w:bookmarkStart w:id="120" w:name="_Toc279701259"/>
      <w:bookmarkStart w:id="121" w:name="_Toc487900369"/>
      <w:bookmarkStart w:id="122" w:name="_Toc259093688"/>
    </w:p>
    <w:p>
      <w:pPr>
        <w:spacing w:line="560" w:lineRule="exact"/>
        <w:ind w:firstLine="482" w:firstLineChars="200"/>
        <w:outlineLvl w:val="0"/>
        <w:rPr>
          <w:rFonts w:ascii="仿宋" w:hAnsi="仿宋" w:eastAsia="仿宋"/>
          <w:b/>
          <w:color w:val="000000"/>
          <w:sz w:val="24"/>
        </w:rPr>
      </w:pPr>
      <w:bookmarkStart w:id="123" w:name="_Toc15237"/>
      <w:bookmarkStart w:id="124" w:name="_Toc22955"/>
      <w:bookmarkStart w:id="125" w:name="_Toc10366"/>
      <w:r>
        <w:rPr>
          <w:rFonts w:ascii="仿宋" w:hAnsi="仿宋" w:eastAsia="仿宋"/>
          <w:b/>
          <w:color w:val="000000"/>
          <w:sz w:val="24"/>
        </w:rPr>
        <w:t>2.</w:t>
      </w:r>
      <w:r>
        <w:rPr>
          <w:rFonts w:hint="eastAsia" w:ascii="仿宋" w:hAnsi="仿宋" w:eastAsia="仿宋"/>
          <w:b/>
          <w:color w:val="000000"/>
          <w:sz w:val="24"/>
        </w:rPr>
        <w:t>6</w:t>
      </w:r>
      <w:r>
        <w:rPr>
          <w:rFonts w:ascii="仿宋" w:hAnsi="仿宋" w:eastAsia="仿宋"/>
          <w:b/>
          <w:color w:val="000000"/>
          <w:sz w:val="24"/>
        </w:rPr>
        <w:t xml:space="preserve"> </w:t>
      </w:r>
      <w:r>
        <w:rPr>
          <w:rFonts w:hint="eastAsia" w:ascii="仿宋" w:hAnsi="仿宋" w:eastAsia="仿宋"/>
          <w:b/>
          <w:color w:val="000000"/>
          <w:sz w:val="24"/>
        </w:rPr>
        <w:t>合同转让</w:t>
      </w:r>
      <w:bookmarkEnd w:id="120"/>
      <w:bookmarkEnd w:id="121"/>
      <w:bookmarkEnd w:id="122"/>
      <w:r>
        <w:rPr>
          <w:rFonts w:hint="eastAsia" w:ascii="仿宋" w:hAnsi="仿宋" w:eastAsia="仿宋"/>
          <w:b/>
          <w:color w:val="000000"/>
          <w:sz w:val="24"/>
        </w:rPr>
        <w:t>和分包</w:t>
      </w:r>
      <w:bookmarkEnd w:id="123"/>
      <w:bookmarkEnd w:id="124"/>
      <w:bookmarkEnd w:id="125"/>
      <w:r>
        <w:rPr>
          <w:rFonts w:hint="eastAsia" w:ascii="仿宋" w:hAnsi="仿宋" w:eastAsia="仿宋"/>
          <w:b/>
          <w:color w:val="000000"/>
          <w:sz w:val="24"/>
        </w:rPr>
        <w:t>（如有）</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.2乙方采取分包方式履行合同的，甲方可直接向分包供应商支付款项。</w:t>
      </w:r>
    </w:p>
    <w:p>
      <w:pPr>
        <w:spacing w:line="560" w:lineRule="exact"/>
        <w:ind w:firstLine="482" w:firstLineChars="200"/>
        <w:outlineLvl w:val="0"/>
        <w:rPr>
          <w:rFonts w:ascii="仿宋" w:hAnsi="仿宋" w:eastAsia="仿宋"/>
          <w:b/>
          <w:color w:val="000000"/>
          <w:sz w:val="24"/>
        </w:rPr>
      </w:pPr>
      <w:bookmarkStart w:id="126" w:name="_Toc14066"/>
      <w:bookmarkStart w:id="127" w:name="_Toc16508"/>
      <w:bookmarkStart w:id="128" w:name="_Toc13566"/>
      <w:r>
        <w:rPr>
          <w:rFonts w:ascii="仿宋" w:hAnsi="仿宋" w:eastAsia="仿宋"/>
          <w:b/>
          <w:color w:val="000000"/>
          <w:sz w:val="24"/>
        </w:rPr>
        <w:t>2.</w:t>
      </w:r>
      <w:r>
        <w:rPr>
          <w:rFonts w:hint="eastAsia" w:ascii="仿宋" w:hAnsi="仿宋" w:eastAsia="仿宋"/>
          <w:b/>
          <w:color w:val="000000"/>
          <w:sz w:val="24"/>
        </w:rPr>
        <w:t>7</w:t>
      </w:r>
      <w:r>
        <w:rPr>
          <w:rFonts w:ascii="仿宋" w:hAnsi="仿宋" w:eastAsia="仿宋"/>
          <w:b/>
          <w:color w:val="000000"/>
          <w:sz w:val="24"/>
        </w:rPr>
        <w:t xml:space="preserve"> </w:t>
      </w:r>
      <w:r>
        <w:rPr>
          <w:rFonts w:hint="eastAsia" w:ascii="仿宋" w:hAnsi="仿宋" w:eastAsia="仿宋"/>
          <w:b/>
          <w:color w:val="000000"/>
          <w:sz w:val="24"/>
        </w:rPr>
        <w:t>不可抗力</w:t>
      </w:r>
      <w:bookmarkEnd w:id="126"/>
      <w:bookmarkEnd w:id="127"/>
      <w:bookmarkEnd w:id="128"/>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.2 </w:t>
      </w:r>
      <w:r>
        <w:rPr>
          <w:rFonts w:hint="eastAsia" w:ascii="仿宋" w:hAnsi="仿宋" w:eastAsia="仿宋"/>
          <w:color w:val="000000"/>
          <w:sz w:val="24"/>
        </w:rPr>
        <w:t>因不可抗力致使不能实现合同目的的，当事人可以解除合同；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.3 </w:t>
      </w:r>
      <w:r>
        <w:rPr>
          <w:rFonts w:hint="eastAsia" w:ascii="仿宋" w:hAnsi="仿宋" w:eastAsia="仿宋"/>
          <w:color w:val="000000"/>
          <w:sz w:val="24"/>
        </w:rPr>
        <w:t>因不可抗力致使合同有变更必要的，双方当事人应在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约定时间内以书面形式变更合同；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.4受不可抗力影响的一方在不可抗力发生后，应在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约定时间内以书面形式通知对方当事人，并在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约定时间内，将有关部门出具的证明文件送达对方当事人。</w:t>
      </w:r>
    </w:p>
    <w:p>
      <w:pPr>
        <w:spacing w:line="560" w:lineRule="exact"/>
        <w:ind w:firstLine="482" w:firstLineChars="200"/>
        <w:outlineLvl w:val="0"/>
        <w:rPr>
          <w:rFonts w:ascii="仿宋" w:hAnsi="仿宋" w:eastAsia="仿宋"/>
          <w:b/>
          <w:color w:val="000000"/>
          <w:sz w:val="24"/>
        </w:rPr>
      </w:pPr>
      <w:bookmarkStart w:id="129" w:name="_Toc6969"/>
      <w:bookmarkStart w:id="130" w:name="_Toc30676"/>
      <w:bookmarkStart w:id="131" w:name="_Toc689"/>
      <w:bookmarkStart w:id="132" w:name="_Toc487900365"/>
      <w:bookmarkStart w:id="133" w:name="_Toc259093684"/>
      <w:bookmarkStart w:id="134" w:name="_Toc279701255"/>
      <w:r>
        <w:rPr>
          <w:rFonts w:ascii="仿宋" w:hAnsi="仿宋" w:eastAsia="仿宋"/>
          <w:b/>
          <w:color w:val="000000"/>
          <w:sz w:val="24"/>
        </w:rPr>
        <w:t>2.</w:t>
      </w:r>
      <w:r>
        <w:rPr>
          <w:rFonts w:hint="eastAsia" w:ascii="仿宋" w:hAnsi="仿宋" w:eastAsia="仿宋"/>
          <w:b/>
          <w:color w:val="000000"/>
          <w:sz w:val="24"/>
        </w:rPr>
        <w:t>8</w:t>
      </w:r>
      <w:r>
        <w:rPr>
          <w:rFonts w:ascii="仿宋" w:hAnsi="仿宋" w:eastAsia="仿宋"/>
          <w:b/>
          <w:color w:val="000000"/>
          <w:sz w:val="24"/>
        </w:rPr>
        <w:t xml:space="preserve"> </w:t>
      </w:r>
      <w:r>
        <w:rPr>
          <w:rFonts w:hint="eastAsia" w:ascii="仿宋" w:hAnsi="仿宋" w:eastAsia="仿宋"/>
          <w:b/>
          <w:color w:val="000000"/>
          <w:sz w:val="24"/>
        </w:rPr>
        <w:t>税费</w:t>
      </w:r>
      <w:bookmarkEnd w:id="129"/>
      <w:bookmarkEnd w:id="130"/>
      <w:bookmarkEnd w:id="131"/>
      <w:bookmarkEnd w:id="132"/>
      <w:bookmarkEnd w:id="133"/>
      <w:bookmarkEnd w:id="134"/>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与合同有关的一切税费，均按照中华人民共和国法律的相关规定。</w:t>
      </w:r>
    </w:p>
    <w:p>
      <w:pPr>
        <w:spacing w:line="560" w:lineRule="exact"/>
        <w:ind w:firstLine="482" w:firstLineChars="200"/>
        <w:outlineLvl w:val="0"/>
        <w:rPr>
          <w:rFonts w:ascii="仿宋" w:hAnsi="仿宋" w:eastAsia="仿宋"/>
          <w:b/>
          <w:color w:val="000000"/>
          <w:sz w:val="24"/>
        </w:rPr>
      </w:pPr>
      <w:bookmarkStart w:id="135" w:name="_Toc279701258"/>
      <w:bookmarkStart w:id="136" w:name="_Toc259093687"/>
      <w:bookmarkStart w:id="137" w:name="_Toc7102"/>
      <w:bookmarkStart w:id="138" w:name="_Toc16959"/>
      <w:bookmarkStart w:id="139" w:name="_Toc8298"/>
      <w:bookmarkStart w:id="140" w:name="_Toc487900368"/>
      <w:r>
        <w:rPr>
          <w:rFonts w:ascii="仿宋" w:hAnsi="仿宋" w:eastAsia="仿宋"/>
          <w:b/>
          <w:color w:val="000000"/>
          <w:sz w:val="24"/>
        </w:rPr>
        <w:t>2.</w:t>
      </w:r>
      <w:r>
        <w:rPr>
          <w:rFonts w:hint="eastAsia" w:ascii="仿宋" w:hAnsi="仿宋" w:eastAsia="仿宋"/>
          <w:b/>
          <w:color w:val="000000"/>
          <w:sz w:val="24"/>
        </w:rPr>
        <w:t>9</w:t>
      </w:r>
      <w:r>
        <w:rPr>
          <w:rFonts w:ascii="仿宋" w:hAnsi="仿宋" w:eastAsia="仿宋"/>
          <w:b/>
          <w:color w:val="000000"/>
          <w:sz w:val="24"/>
        </w:rPr>
        <w:t>乙方破产</w:t>
      </w:r>
      <w:bookmarkEnd w:id="135"/>
      <w:bookmarkEnd w:id="136"/>
      <w:bookmarkEnd w:id="137"/>
      <w:bookmarkEnd w:id="138"/>
      <w:bookmarkEnd w:id="139"/>
      <w:bookmarkEnd w:id="140"/>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000000"/>
          <w:sz w:val="24"/>
        </w:rPr>
      </w:pPr>
      <w:bookmarkStart w:id="141" w:name="_Toc15387"/>
      <w:bookmarkStart w:id="142" w:name="_Toc6134"/>
      <w:bookmarkStart w:id="143" w:name="_Toc29333"/>
      <w:r>
        <w:rPr>
          <w:rFonts w:ascii="仿宋" w:hAnsi="仿宋" w:eastAsia="仿宋"/>
          <w:b/>
          <w:color w:val="000000"/>
          <w:sz w:val="24"/>
        </w:rPr>
        <w:t>2.1</w:t>
      </w:r>
      <w:r>
        <w:rPr>
          <w:rFonts w:hint="eastAsia" w:ascii="仿宋" w:hAnsi="仿宋" w:eastAsia="仿宋"/>
          <w:b/>
          <w:color w:val="000000"/>
          <w:sz w:val="24"/>
        </w:rPr>
        <w:t>0合同中止、终止</w:t>
      </w:r>
      <w:bookmarkEnd w:id="141"/>
      <w:bookmarkEnd w:id="142"/>
      <w:bookmarkEnd w:id="143"/>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 xml:space="preserve">.1 </w:t>
      </w:r>
      <w:r>
        <w:rPr>
          <w:rFonts w:hint="eastAsia" w:ascii="仿宋" w:hAnsi="仿宋" w:eastAsia="仿宋"/>
          <w:color w:val="000000"/>
          <w:sz w:val="24"/>
        </w:rPr>
        <w:t>双方当事人不得擅自中止或者终止合同；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000000"/>
          <w:sz w:val="24"/>
        </w:rPr>
      </w:pPr>
      <w:bookmarkStart w:id="144" w:name="_Toc6596"/>
      <w:bookmarkStart w:id="145" w:name="_Toc14563"/>
      <w:bookmarkStart w:id="146" w:name="_Toc1125"/>
      <w:r>
        <w:rPr>
          <w:rFonts w:ascii="仿宋" w:hAnsi="仿宋" w:eastAsia="仿宋"/>
          <w:b/>
          <w:color w:val="000000"/>
          <w:sz w:val="24"/>
        </w:rPr>
        <w:t>2.1</w:t>
      </w:r>
      <w:r>
        <w:rPr>
          <w:rFonts w:hint="eastAsia" w:ascii="仿宋" w:hAnsi="仿宋" w:eastAsia="仿宋"/>
          <w:b/>
          <w:color w:val="000000"/>
          <w:sz w:val="24"/>
        </w:rPr>
        <w:t>1</w:t>
      </w:r>
      <w:r>
        <w:rPr>
          <w:rFonts w:ascii="仿宋" w:hAnsi="仿宋" w:eastAsia="仿宋"/>
          <w:b/>
          <w:color w:val="000000"/>
          <w:sz w:val="24"/>
        </w:rPr>
        <w:t>检验和验收</w:t>
      </w:r>
      <w:bookmarkEnd w:id="144"/>
      <w:bookmarkEnd w:id="145"/>
      <w:bookmarkEnd w:id="146"/>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.1</w:t>
      </w:r>
      <w:r>
        <w:rPr>
          <w:rFonts w:hint="eastAsia" w:ascii="仿宋" w:hAnsi="仿宋" w:eastAsia="仿宋"/>
          <w:color w:val="000000"/>
          <w:sz w:val="24"/>
        </w:rPr>
        <w:t>服务</w:t>
      </w:r>
      <w:r>
        <w:rPr>
          <w:rFonts w:ascii="仿宋" w:hAnsi="仿宋" w:eastAsia="仿宋"/>
          <w:color w:val="000000"/>
          <w:sz w:val="24"/>
        </w:rPr>
        <w:t>交付前，乙方应对</w:t>
      </w:r>
      <w:r>
        <w:rPr>
          <w:rFonts w:hint="eastAsia" w:ascii="仿宋" w:hAnsi="仿宋" w:eastAsia="仿宋"/>
          <w:color w:val="000000"/>
          <w:sz w:val="24"/>
        </w:rPr>
        <w:t>服务内容</w:t>
      </w:r>
      <w:r>
        <w:rPr>
          <w:rFonts w:ascii="仿宋" w:hAnsi="仿宋" w:eastAsia="仿宋"/>
          <w:color w:val="000000"/>
          <w:sz w:val="24"/>
        </w:rPr>
        <w:t>进行详细、全面的检验，并向甲方出具证明</w:t>
      </w:r>
      <w:r>
        <w:rPr>
          <w:rFonts w:hint="eastAsia" w:ascii="仿宋" w:hAnsi="仿宋" w:eastAsia="仿宋"/>
          <w:color w:val="000000"/>
          <w:sz w:val="24"/>
        </w:rPr>
        <w:t>服务</w:t>
      </w:r>
      <w:r>
        <w:rPr>
          <w:rFonts w:ascii="仿宋" w:hAnsi="仿宋" w:eastAsia="仿宋"/>
          <w:color w:val="000000"/>
          <w:sz w:val="24"/>
        </w:rPr>
        <w:t>符合合同约定的文件；</w:t>
      </w:r>
      <w:r>
        <w:rPr>
          <w:rFonts w:hint="eastAsia" w:ascii="仿宋" w:hAnsi="仿宋" w:eastAsia="仿宋"/>
          <w:color w:val="000000"/>
          <w:sz w:val="24"/>
        </w:rPr>
        <w:t>服务</w:t>
      </w:r>
      <w:r>
        <w:rPr>
          <w:rFonts w:ascii="仿宋" w:hAnsi="仿宋" w:eastAsia="仿宋"/>
          <w:color w:val="000000"/>
          <w:sz w:val="24"/>
        </w:rPr>
        <w:t>交付时，乙方在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 xml:space="preserve">.3 </w:t>
      </w:r>
      <w:r>
        <w:rPr>
          <w:rFonts w:hint="eastAsia" w:ascii="仿宋" w:hAnsi="仿宋" w:eastAsia="仿宋"/>
          <w:color w:val="000000"/>
          <w:sz w:val="24"/>
        </w:rPr>
        <w:t>检验和验收标准、程序等具体内容以及前述验收书的效力详见</w:t>
      </w:r>
      <w:r>
        <w:rPr>
          <w:rFonts w:hint="eastAsia" w:ascii="仿宋" w:hAnsi="仿宋" w:eastAsia="仿宋"/>
          <w:b/>
          <w:i/>
          <w:color w:val="000000"/>
          <w:sz w:val="24"/>
          <w:u w:val="single"/>
        </w:rPr>
        <w:t>合同专用条款</w:t>
      </w:r>
      <w:r>
        <w:rPr>
          <w:rFonts w:hint="eastAsia" w:ascii="仿宋" w:hAnsi="仿宋" w:eastAsia="仿宋"/>
          <w:i/>
          <w:color w:val="000000"/>
          <w:sz w:val="24"/>
        </w:rPr>
        <w:t>。</w:t>
      </w:r>
    </w:p>
    <w:bookmarkEnd w:id="116"/>
    <w:bookmarkEnd w:id="117"/>
    <w:bookmarkEnd w:id="118"/>
    <w:bookmarkEnd w:id="119"/>
    <w:p>
      <w:pPr>
        <w:spacing w:line="560" w:lineRule="exact"/>
        <w:ind w:firstLine="482" w:firstLineChars="200"/>
        <w:outlineLvl w:val="0"/>
        <w:rPr>
          <w:rFonts w:ascii="仿宋" w:hAnsi="仿宋" w:eastAsia="仿宋"/>
          <w:b/>
          <w:color w:val="000000"/>
          <w:sz w:val="24"/>
        </w:rPr>
      </w:pPr>
      <w:bookmarkStart w:id="147" w:name="_Toc487900371"/>
      <w:bookmarkStart w:id="148" w:name="_Toc259093690"/>
      <w:bookmarkStart w:id="149" w:name="_Toc279701261"/>
      <w:bookmarkStart w:id="150" w:name="_Toc19604"/>
      <w:bookmarkStart w:id="151" w:name="_Toc25182"/>
      <w:bookmarkStart w:id="152" w:name="_Toc11284"/>
      <w:r>
        <w:rPr>
          <w:rFonts w:ascii="仿宋" w:hAnsi="仿宋" w:eastAsia="仿宋"/>
          <w:b/>
          <w:color w:val="000000"/>
          <w:sz w:val="24"/>
        </w:rPr>
        <w:t>2.1</w:t>
      </w:r>
      <w:r>
        <w:rPr>
          <w:rFonts w:hint="eastAsia" w:ascii="仿宋" w:hAnsi="仿宋" w:eastAsia="仿宋"/>
          <w:b/>
          <w:color w:val="000000"/>
          <w:sz w:val="24"/>
        </w:rPr>
        <w:t>2</w:t>
      </w:r>
      <w:r>
        <w:rPr>
          <w:rFonts w:ascii="仿宋" w:hAnsi="仿宋" w:eastAsia="仿宋"/>
          <w:b/>
          <w:color w:val="000000"/>
          <w:sz w:val="24"/>
        </w:rPr>
        <w:t xml:space="preserve"> </w:t>
      </w:r>
      <w:r>
        <w:rPr>
          <w:rFonts w:hint="eastAsia" w:ascii="仿宋" w:hAnsi="仿宋" w:eastAsia="仿宋"/>
          <w:b/>
          <w:color w:val="000000"/>
          <w:sz w:val="24"/>
        </w:rPr>
        <w:t>通知</w:t>
      </w:r>
      <w:bookmarkEnd w:id="147"/>
      <w:bookmarkEnd w:id="148"/>
      <w:bookmarkEnd w:id="149"/>
      <w:r>
        <w:rPr>
          <w:rFonts w:hint="eastAsia" w:ascii="仿宋" w:hAnsi="仿宋" w:eastAsia="仿宋"/>
          <w:b/>
          <w:color w:val="000000"/>
          <w:sz w:val="24"/>
        </w:rPr>
        <w:t>和送达</w:t>
      </w:r>
      <w:bookmarkEnd w:id="150"/>
      <w:bookmarkEnd w:id="151"/>
      <w:bookmarkEnd w:id="152"/>
    </w:p>
    <w:p>
      <w:pPr>
        <w:spacing w:line="560" w:lineRule="exact"/>
        <w:ind w:firstLine="480" w:firstLineChars="200"/>
        <w:rPr>
          <w:rFonts w:ascii="仿宋" w:hAnsi="仿宋" w:eastAsia="仿宋"/>
          <w:color w:val="000000"/>
          <w:sz w:val="24"/>
        </w:rPr>
      </w:pPr>
      <w:bookmarkStart w:id="153" w:name="_Toc3135"/>
      <w:bookmarkStart w:id="154" w:name="_Toc6698"/>
      <w:bookmarkStart w:id="155" w:name="_Toc279701262"/>
      <w:bookmarkStart w:id="156" w:name="_Toc259093691"/>
      <w:bookmarkStart w:id="157" w:name="_Toc487900372"/>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.1</w:t>
      </w:r>
      <w:r>
        <w:rPr>
          <w:rFonts w:hint="eastAsia" w:ascii="仿宋" w:hAnsi="仿宋" w:eastAsia="仿宋"/>
          <w:color w:val="000000"/>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3"/>
      <w:bookmarkEnd w:id="154"/>
    </w:p>
    <w:p>
      <w:pPr>
        <w:spacing w:line="560" w:lineRule="exact"/>
        <w:ind w:firstLine="480" w:firstLineChars="200"/>
        <w:rPr>
          <w:rFonts w:ascii="仿宋" w:hAnsi="仿宋" w:eastAsia="仿宋"/>
          <w:color w:val="000000"/>
          <w:sz w:val="24"/>
        </w:rPr>
      </w:pPr>
      <w:bookmarkStart w:id="158" w:name="_Toc23294"/>
      <w:bookmarkStart w:id="159" w:name="_Toc23128"/>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sz w:val="24"/>
        </w:rPr>
        <w:t>的，邮件挂号寄出或者交邮之日之次日视为送达。</w:t>
      </w:r>
      <w:bookmarkEnd w:id="158"/>
      <w:bookmarkEnd w:id="159"/>
    </w:p>
    <w:p>
      <w:pPr>
        <w:spacing w:line="560" w:lineRule="exact"/>
        <w:ind w:firstLine="482" w:firstLineChars="200"/>
        <w:outlineLvl w:val="0"/>
        <w:rPr>
          <w:rFonts w:ascii="仿宋" w:hAnsi="仿宋" w:eastAsia="仿宋"/>
          <w:b/>
          <w:color w:val="000000"/>
          <w:sz w:val="24"/>
        </w:rPr>
      </w:pPr>
      <w:bookmarkStart w:id="160" w:name="_Toc18540"/>
      <w:bookmarkStart w:id="161" w:name="_Toc4355"/>
      <w:bookmarkStart w:id="162" w:name="_Toc30599"/>
      <w:r>
        <w:rPr>
          <w:rFonts w:ascii="仿宋" w:hAnsi="仿宋" w:eastAsia="仿宋"/>
          <w:b/>
          <w:color w:val="000000"/>
          <w:sz w:val="24"/>
        </w:rPr>
        <w:t>2.1</w:t>
      </w:r>
      <w:r>
        <w:rPr>
          <w:rFonts w:hint="eastAsia" w:ascii="仿宋" w:hAnsi="仿宋" w:eastAsia="仿宋"/>
          <w:b/>
          <w:color w:val="000000"/>
          <w:sz w:val="24"/>
        </w:rPr>
        <w:t>3</w:t>
      </w:r>
      <w:r>
        <w:rPr>
          <w:rFonts w:ascii="仿宋" w:hAnsi="仿宋" w:eastAsia="仿宋"/>
          <w:b/>
          <w:color w:val="000000"/>
          <w:sz w:val="24"/>
        </w:rPr>
        <w:t xml:space="preserve"> </w:t>
      </w:r>
      <w:r>
        <w:rPr>
          <w:rFonts w:hint="eastAsia" w:ascii="仿宋" w:hAnsi="仿宋" w:eastAsia="仿宋"/>
          <w:b/>
          <w:color w:val="000000"/>
          <w:sz w:val="24"/>
        </w:rPr>
        <w:t>计量单位</w:t>
      </w:r>
      <w:bookmarkEnd w:id="155"/>
      <w:bookmarkEnd w:id="156"/>
      <w:bookmarkEnd w:id="157"/>
      <w:bookmarkEnd w:id="160"/>
      <w:bookmarkEnd w:id="161"/>
      <w:bookmarkEnd w:id="162"/>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除技术规范中另有规定外</w:t>
      </w:r>
      <w:r>
        <w:rPr>
          <w:rFonts w:ascii="仿宋" w:hAnsi="仿宋" w:eastAsia="仿宋"/>
          <w:color w:val="000000"/>
          <w:sz w:val="24"/>
        </w:rPr>
        <w:t>,合同的计量单位均使用国家法定计量单位。</w:t>
      </w:r>
    </w:p>
    <w:p>
      <w:pPr>
        <w:spacing w:line="560" w:lineRule="exact"/>
        <w:ind w:firstLine="482" w:firstLineChars="200"/>
        <w:outlineLvl w:val="0"/>
        <w:rPr>
          <w:rFonts w:ascii="仿宋" w:hAnsi="仿宋" w:eastAsia="仿宋"/>
          <w:b/>
          <w:color w:val="000000"/>
          <w:sz w:val="24"/>
        </w:rPr>
      </w:pPr>
      <w:bookmarkStart w:id="163" w:name="_Toc487900373"/>
      <w:bookmarkStart w:id="164" w:name="_Toc18567"/>
      <w:bookmarkStart w:id="165" w:name="_Toc259093692"/>
      <w:bookmarkStart w:id="166" w:name="_Toc12773"/>
      <w:bookmarkStart w:id="167" w:name="_Toc279701263"/>
      <w:bookmarkStart w:id="168" w:name="_Toc10330"/>
      <w:r>
        <w:rPr>
          <w:rFonts w:ascii="仿宋" w:hAnsi="仿宋" w:eastAsia="仿宋"/>
          <w:b/>
          <w:color w:val="000000"/>
          <w:sz w:val="24"/>
        </w:rPr>
        <w:t>2.1</w:t>
      </w:r>
      <w:r>
        <w:rPr>
          <w:rFonts w:hint="eastAsia" w:ascii="仿宋" w:hAnsi="仿宋" w:eastAsia="仿宋"/>
          <w:b/>
          <w:color w:val="000000"/>
          <w:sz w:val="24"/>
        </w:rPr>
        <w:t>4合同使用的文字和适用的法律</w:t>
      </w:r>
      <w:bookmarkEnd w:id="163"/>
      <w:bookmarkEnd w:id="164"/>
      <w:bookmarkEnd w:id="165"/>
      <w:bookmarkEnd w:id="166"/>
      <w:bookmarkEnd w:id="167"/>
      <w:bookmarkEnd w:id="168"/>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.1 </w:t>
      </w:r>
      <w:r>
        <w:rPr>
          <w:rFonts w:hint="eastAsia" w:ascii="仿宋" w:hAnsi="仿宋" w:eastAsia="仿宋"/>
          <w:color w:val="000000"/>
          <w:sz w:val="24"/>
        </w:rPr>
        <w:t>合同使用汉语书就、变更和解释；</w:t>
      </w:r>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合同适用中华人民共和国法律。</w:t>
      </w:r>
    </w:p>
    <w:p>
      <w:pPr>
        <w:spacing w:line="560" w:lineRule="exact"/>
        <w:ind w:firstLine="482" w:firstLineChars="200"/>
        <w:outlineLvl w:val="0"/>
        <w:rPr>
          <w:rFonts w:ascii="仿宋" w:hAnsi="仿宋" w:eastAsia="仿宋"/>
          <w:b/>
          <w:color w:val="000000"/>
          <w:sz w:val="24"/>
        </w:rPr>
      </w:pPr>
      <w:bookmarkStart w:id="169" w:name="_Toc3148"/>
      <w:bookmarkStart w:id="170" w:name="_Toc16673"/>
      <w:bookmarkStart w:id="171" w:name="_Toc279701264"/>
      <w:bookmarkStart w:id="172" w:name="_Toc12004"/>
      <w:bookmarkStart w:id="173" w:name="_Toc259093693"/>
      <w:bookmarkStart w:id="174" w:name="_Toc487900374"/>
      <w:r>
        <w:rPr>
          <w:rFonts w:ascii="仿宋" w:hAnsi="仿宋" w:eastAsia="仿宋"/>
          <w:b/>
          <w:color w:val="000000"/>
          <w:sz w:val="24"/>
        </w:rPr>
        <w:t>2.</w:t>
      </w:r>
      <w:r>
        <w:rPr>
          <w:rFonts w:hint="eastAsia" w:ascii="仿宋" w:hAnsi="仿宋" w:eastAsia="仿宋"/>
          <w:b/>
          <w:color w:val="000000"/>
          <w:sz w:val="24"/>
        </w:rPr>
        <w:t>15履约保证金</w:t>
      </w:r>
      <w:bookmarkEnd w:id="169"/>
      <w:bookmarkEnd w:id="170"/>
      <w:bookmarkEnd w:id="171"/>
      <w:bookmarkEnd w:id="172"/>
      <w:bookmarkEnd w:id="173"/>
    </w:p>
    <w:p>
      <w:pPr>
        <w:pStyle w:val="958"/>
        <w:spacing w:before="0" w:beforeAutospacing="0" w:after="0" w:afterAutospacing="0" w:line="360" w:lineRule="auto"/>
        <w:ind w:firstLine="420"/>
        <w:rPr>
          <w:rFonts w:ascii="仿宋" w:hAnsi="仿宋" w:eastAsia="仿宋"/>
          <w:color w:val="000000"/>
        </w:rPr>
      </w:pPr>
      <w:r>
        <w:rPr>
          <w:rFonts w:ascii="仿宋" w:hAnsi="仿宋" w:eastAsia="仿宋"/>
          <w:color w:val="000000"/>
        </w:rPr>
        <w:t>2.</w:t>
      </w:r>
      <w:r>
        <w:rPr>
          <w:rFonts w:hint="eastAsia" w:ascii="仿宋" w:hAnsi="仿宋" w:eastAsia="仿宋"/>
          <w:color w:val="000000"/>
        </w:rPr>
        <w:t>15</w:t>
      </w:r>
      <w:r>
        <w:rPr>
          <w:rFonts w:ascii="仿宋" w:hAnsi="仿宋" w:eastAsia="仿宋"/>
          <w:color w:val="000000"/>
        </w:rPr>
        <w:t xml:space="preserve">.1 </w:t>
      </w:r>
      <w:r>
        <w:rPr>
          <w:rFonts w:hint="eastAsia" w:ascii="仿宋" w:hAnsi="仿宋" w:eastAsia="仿宋"/>
          <w:color w:val="000000"/>
        </w:rPr>
        <w:t>采购文件要求乙方提交履约保证金的，乙方应按</w:t>
      </w:r>
      <w:r>
        <w:rPr>
          <w:rFonts w:hint="eastAsia" w:ascii="仿宋" w:hAnsi="仿宋" w:eastAsia="仿宋"/>
          <w:b/>
          <w:i/>
          <w:color w:val="000000"/>
          <w:u w:val="single"/>
        </w:rPr>
        <w:t>合同专用条款</w:t>
      </w:r>
      <w:r>
        <w:rPr>
          <w:rFonts w:hint="eastAsia" w:ascii="仿宋" w:hAnsi="仿宋" w:eastAsia="仿宋"/>
          <w:color w:val="000000"/>
        </w:rPr>
        <w:t>约定的方式，以支票、汇票、本票或者金融机构、担保机构出具的保函等非现金形式，提交不超过合同金额2.</w:t>
      </w:r>
      <w:r>
        <w:rPr>
          <w:rFonts w:ascii="仿宋" w:hAnsi="仿宋" w:eastAsia="仿宋"/>
          <w:color w:val="000000"/>
        </w:rPr>
        <w:t>5%的履约保证金；鼓励和支持乙方以银行、保险公司出具的保函形式提供履约保证。</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.2  </w:t>
      </w:r>
      <w:r>
        <w:rPr>
          <w:rFonts w:hint="eastAsia" w:ascii="仿宋" w:hAnsi="仿宋" w:eastAsia="仿宋"/>
          <w:color w:val="000000"/>
          <w:sz w:val="24"/>
        </w:rPr>
        <w:t>履约保证金在</w:t>
      </w:r>
      <w:r>
        <w:rPr>
          <w:rFonts w:hint="eastAsia" w:ascii="仿宋" w:hAnsi="仿宋" w:eastAsia="仿宋"/>
          <w:b/>
          <w:i/>
          <w:color w:val="000000"/>
          <w:sz w:val="24"/>
          <w:u w:val="single"/>
        </w:rPr>
        <w:t>合同专用条款</w:t>
      </w:r>
      <w:r>
        <w:rPr>
          <w:rFonts w:hint="eastAsia" w:ascii="仿宋" w:hAnsi="仿宋" w:eastAsia="仿宋"/>
          <w:color w:val="000000"/>
          <w:sz w:val="24"/>
        </w:rPr>
        <w:t>约定期间内不予退还。乙方在前述约定期间届满前能履行完合同约定义务事项的，甲方在前述约定期间届满之日起个工作日内，按</w:t>
      </w:r>
      <w:r>
        <w:rPr>
          <w:rFonts w:hint="eastAsia" w:ascii="仿宋" w:hAnsi="仿宋" w:eastAsia="仿宋"/>
          <w:b/>
          <w:i/>
          <w:color w:val="000000"/>
          <w:sz w:val="24"/>
          <w:u w:val="single"/>
        </w:rPr>
        <w:t>合同专用条款</w:t>
      </w:r>
      <w:r>
        <w:rPr>
          <w:rFonts w:hint="eastAsia" w:ascii="仿宋" w:hAnsi="仿宋" w:eastAsia="仿宋"/>
          <w:color w:val="000000"/>
          <w:sz w:val="24"/>
        </w:rPr>
        <w:t>约定的方式将履约保证金退还乙方，逾期退还的，乙方可要求甲方支付违约金，违约金按每迟延退还一日的应退还而未退还金额的</w:t>
      </w:r>
      <w:r>
        <w:rPr>
          <w:rFonts w:ascii="仿宋" w:hAnsi="仿宋" w:eastAsia="仿宋"/>
          <w:color w:val="000000"/>
          <w:sz w:val="24"/>
        </w:rPr>
        <w:t xml:space="preserve">%计算，最高限额为本合同履约保证金的%； </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.3 </w:t>
      </w:r>
      <w:r>
        <w:rPr>
          <w:rFonts w:hint="eastAsia" w:ascii="仿宋" w:hAnsi="仿宋" w:eastAsia="仿宋"/>
          <w:color w:val="00000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000000"/>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.4</w:t>
      </w:r>
      <w:r>
        <w:rPr>
          <w:rFonts w:hint="eastAsia" w:ascii="仿宋" w:hAnsi="仿宋" w:eastAsia="仿宋"/>
          <w:color w:val="000000"/>
          <w:sz w:val="24"/>
        </w:rPr>
        <w:t>甲方</w:t>
      </w:r>
      <w:r>
        <w:rPr>
          <w:rFonts w:ascii="仿宋" w:hAnsi="仿宋" w:eastAsia="仿宋"/>
          <w:color w:val="000000"/>
          <w:sz w:val="24"/>
        </w:rPr>
        <w:t>在</w:t>
      </w:r>
      <w:r>
        <w:rPr>
          <w:rFonts w:hint="eastAsia" w:ascii="仿宋" w:hAnsi="仿宋" w:eastAsia="仿宋"/>
          <w:color w:val="000000"/>
          <w:sz w:val="24"/>
        </w:rPr>
        <w:t>乙方</w:t>
      </w:r>
      <w:r>
        <w:rPr>
          <w:rFonts w:ascii="仿宋" w:hAnsi="仿宋" w:eastAsia="仿宋"/>
          <w:color w:val="000000"/>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对于因甲方原因导致变更、中止或者终止政府采购合同的，甲方应当依照合同约定对供应商受到的损失予以赔偿或者补偿。</w:t>
      </w:r>
    </w:p>
    <w:bookmarkEnd w:id="174"/>
    <w:p>
      <w:pPr>
        <w:spacing w:line="560" w:lineRule="exact"/>
        <w:ind w:firstLine="482" w:firstLineChars="200"/>
        <w:outlineLvl w:val="0"/>
        <w:rPr>
          <w:rFonts w:ascii="仿宋" w:hAnsi="仿宋" w:eastAsia="仿宋"/>
          <w:b/>
          <w:color w:val="000000"/>
          <w:sz w:val="24"/>
        </w:rPr>
      </w:pPr>
      <w:bookmarkStart w:id="175" w:name="_Toc19890"/>
      <w:bookmarkStart w:id="176" w:name="_Toc14001"/>
      <w:bookmarkStart w:id="177" w:name="_Toc6885"/>
      <w:r>
        <w:rPr>
          <w:rFonts w:ascii="仿宋" w:hAnsi="仿宋" w:eastAsia="仿宋"/>
          <w:b/>
          <w:color w:val="000000"/>
          <w:sz w:val="24"/>
        </w:rPr>
        <w:t>2.</w:t>
      </w:r>
      <w:r>
        <w:rPr>
          <w:rFonts w:hint="eastAsia" w:ascii="仿宋" w:hAnsi="仿宋" w:eastAsia="仿宋"/>
          <w:b/>
          <w:color w:val="000000"/>
          <w:sz w:val="24"/>
        </w:rPr>
        <w:t>16合同份数</w:t>
      </w:r>
      <w:bookmarkEnd w:id="175"/>
      <w:bookmarkEnd w:id="176"/>
      <w:bookmarkEnd w:id="177"/>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合同份数按</w:t>
      </w:r>
      <w:r>
        <w:rPr>
          <w:rFonts w:hint="eastAsia" w:ascii="仿宋" w:hAnsi="仿宋" w:eastAsia="仿宋"/>
          <w:b/>
          <w:i/>
          <w:color w:val="000000"/>
          <w:sz w:val="24"/>
          <w:u w:val="single"/>
        </w:rPr>
        <w:t>合同专用条款</w:t>
      </w:r>
      <w:r>
        <w:rPr>
          <w:rFonts w:hint="eastAsia" w:ascii="仿宋" w:hAnsi="仿宋" w:eastAsia="仿宋"/>
          <w:color w:val="000000"/>
          <w:sz w:val="24"/>
        </w:rPr>
        <w:t>规定，每份均具有同等法律效力。</w:t>
      </w:r>
    </w:p>
    <w:p>
      <w:pPr>
        <w:pStyle w:val="702"/>
        <w:spacing w:line="560" w:lineRule="exact"/>
        <w:jc w:val="center"/>
        <w:rPr>
          <w:rFonts w:ascii="仿宋" w:hAnsi="仿宋" w:eastAsia="仿宋"/>
          <w:b/>
          <w:color w:val="000000"/>
          <w:szCs w:val="24"/>
        </w:rPr>
      </w:pPr>
      <w:r>
        <w:rPr>
          <w:rFonts w:ascii="仿宋" w:hAnsi="仿宋" w:eastAsia="仿宋" w:cs="Times New Roman"/>
          <w:color w:val="000000"/>
          <w:kern w:val="0"/>
          <w:szCs w:val="24"/>
        </w:rPr>
        <w:br w:type="page"/>
      </w:r>
      <w:bookmarkStart w:id="178" w:name="_Toc331685784"/>
      <w:bookmarkEnd w:id="178"/>
      <w:r>
        <w:rPr>
          <w:rFonts w:hint="eastAsia" w:ascii="仿宋" w:hAnsi="仿宋" w:eastAsia="仿宋"/>
          <w:b/>
          <w:color w:val="000000"/>
          <w:szCs w:val="24"/>
        </w:rPr>
        <w:t>第三部分合同专用条款</w:t>
      </w:r>
    </w:p>
    <w:p>
      <w:pPr>
        <w:spacing w:line="560" w:lineRule="exact"/>
        <w:ind w:left="-420" w:leftChars="-200" w:right="-420" w:rightChars="-200" w:firstLine="480" w:firstLineChars="200"/>
        <w:rPr>
          <w:rFonts w:ascii="仿宋" w:hAnsi="仿宋" w:eastAsia="仿宋"/>
          <w:color w:val="000000"/>
        </w:rPr>
      </w:pPr>
      <w:r>
        <w:rPr>
          <w:rFonts w:hint="eastAsia" w:ascii="仿宋" w:hAnsi="仿宋" w:eastAsia="仿宋"/>
          <w:color w:val="000000"/>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360" w:lineRule="auto"/>
              <w:jc w:val="center"/>
              <w:rPr>
                <w:rFonts w:ascii="仿宋" w:hAnsi="仿宋" w:eastAsia="仿宋"/>
                <w:b/>
                <w:color w:val="000000"/>
                <w:sz w:val="24"/>
              </w:rPr>
            </w:pPr>
            <w:r>
              <w:rPr>
                <w:rFonts w:hint="eastAsia" w:ascii="仿宋" w:hAnsi="仿宋" w:eastAsia="仿宋"/>
                <w:b/>
                <w:color w:val="000000"/>
                <w:sz w:val="24"/>
              </w:rPr>
              <w:t>条款号</w:t>
            </w:r>
          </w:p>
        </w:tc>
        <w:tc>
          <w:tcPr>
            <w:tcW w:w="8275" w:type="dxa"/>
            <w:noWrap w:val="0"/>
            <w:vAlign w:val="center"/>
          </w:tcPr>
          <w:p>
            <w:pPr>
              <w:spacing w:line="360" w:lineRule="auto"/>
              <w:jc w:val="center"/>
              <w:rPr>
                <w:rFonts w:ascii="仿宋" w:hAnsi="仿宋" w:eastAsia="仿宋"/>
                <w:b/>
                <w:color w:val="000000"/>
                <w:sz w:val="24"/>
              </w:rPr>
            </w:pPr>
            <w:r>
              <w:rPr>
                <w:rFonts w:hint="eastAsia" w:ascii="仿宋" w:hAnsi="仿宋" w:eastAsia="仿宋"/>
                <w:b/>
                <w:color w:val="000000"/>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1.4.4</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1.5.1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1.5.2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1.5.3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1.6.7</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1.7.1</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2.3.2</w:t>
            </w:r>
          </w:p>
        </w:tc>
        <w:tc>
          <w:tcPr>
            <w:tcW w:w="8275" w:type="dxa"/>
            <w:noWrap w:val="0"/>
            <w:vAlign w:val="center"/>
          </w:tcPr>
          <w:p>
            <w:pPr>
              <w:spacing w:line="360" w:lineRule="auto"/>
              <w:ind w:left="-420" w:leftChars="-200" w:right="-420" w:rightChars="-200" w:firstLine="480" w:firstLineChars="200"/>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2.4.1</w:t>
            </w:r>
          </w:p>
        </w:tc>
        <w:tc>
          <w:tcPr>
            <w:tcW w:w="8275" w:type="dxa"/>
            <w:noWrap w:val="0"/>
            <w:vAlign w:val="center"/>
          </w:tcPr>
          <w:p>
            <w:pPr>
              <w:spacing w:line="360" w:lineRule="auto"/>
              <w:ind w:left="-420" w:leftChars="-200" w:right="-420" w:rightChars="-200" w:firstLine="480" w:firstLineChars="200"/>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2.4.2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360" w:lineRule="auto"/>
              <w:rPr>
                <w:rFonts w:ascii="仿宋" w:hAnsi="仿宋" w:eastAsia="仿宋"/>
                <w:color w:val="000000"/>
                <w:sz w:val="24"/>
              </w:rPr>
            </w:pPr>
            <w:r>
              <w:rPr>
                <w:rFonts w:hint="eastAsia" w:ascii="仿宋" w:hAnsi="仿宋" w:eastAsia="仿宋"/>
                <w:color w:val="000000"/>
                <w:sz w:val="24"/>
              </w:rPr>
              <w:t xml:space="preserve">2.8 </w:t>
            </w:r>
          </w:p>
        </w:tc>
        <w:tc>
          <w:tcPr>
            <w:tcW w:w="8275" w:type="dxa"/>
            <w:noWrap w:val="0"/>
            <w:vAlign w:val="top"/>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2.12.3</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2.12.4</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2.16.1</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2.16.3</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pPr>
              <w:spacing w:line="360" w:lineRule="auto"/>
              <w:rPr>
                <w:rFonts w:ascii="仿宋" w:hAnsi="仿宋" w:eastAsia="仿宋"/>
                <w:color w:val="000000"/>
                <w:sz w:val="24"/>
              </w:rPr>
            </w:pPr>
            <w:r>
              <w:rPr>
                <w:rFonts w:hint="eastAsia" w:ascii="仿宋" w:hAnsi="仿宋" w:eastAsia="仿宋"/>
                <w:color w:val="000000"/>
                <w:sz w:val="24"/>
              </w:rPr>
              <w:t>2.20.1</w:t>
            </w:r>
          </w:p>
        </w:tc>
        <w:tc>
          <w:tcPr>
            <w:tcW w:w="8275" w:type="dxa"/>
            <w:noWrap w:val="0"/>
            <w:vAlign w:val="top"/>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2.20.2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color w:val="000000"/>
                <w:sz w:val="24"/>
              </w:rPr>
            </w:pPr>
            <w:r>
              <w:rPr>
                <w:rFonts w:ascii="仿宋" w:hAnsi="仿宋" w:eastAsia="仿宋"/>
                <w:color w:val="000000"/>
                <w:sz w:val="24"/>
              </w:rPr>
              <w:t>2.2</w:t>
            </w:r>
            <w:r>
              <w:rPr>
                <w:rFonts w:hint="eastAsia" w:ascii="仿宋" w:hAnsi="仿宋" w:eastAsia="仿宋"/>
                <w:color w:val="000000"/>
                <w:sz w:val="24"/>
              </w:rPr>
              <w:t>2</w:t>
            </w:r>
          </w:p>
        </w:tc>
        <w:tc>
          <w:tcPr>
            <w:tcW w:w="8275" w:type="dxa"/>
            <w:noWrap w:val="0"/>
            <w:vAlign w:val="center"/>
          </w:tcPr>
          <w:p>
            <w:pPr>
              <w:spacing w:line="360" w:lineRule="auto"/>
              <w:rPr>
                <w:rFonts w:ascii="仿宋" w:hAnsi="仿宋" w:eastAsia="仿宋"/>
                <w:color w:val="000000"/>
                <w:sz w:val="24"/>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244" w:type="dxa"/>
        <w:tblCellSpacing w:w="0" w:type="dxa"/>
        <w:tblInd w:w="-7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7"/>
        <w:gridCol w:w="904"/>
        <w:gridCol w:w="67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1" w:hRule="atLeast"/>
          <w:tblCellSpacing w:w="0" w:type="dxa"/>
        </w:trPr>
        <w:tc>
          <w:tcPr>
            <w:tcW w:w="1567"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项目</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分值</w:t>
            </w:r>
          </w:p>
        </w:tc>
        <w:tc>
          <w:tcPr>
            <w:tcW w:w="6773"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评分内容、方法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9" w:hRule="atLeast"/>
          <w:tblCellSpacing w:w="0" w:type="dxa"/>
        </w:trPr>
        <w:tc>
          <w:tcPr>
            <w:tcW w:w="1567" w:type="dxa"/>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实验室</w:t>
            </w:r>
          </w:p>
          <w:p>
            <w:pPr>
              <w:widowControl/>
              <w:jc w:val="center"/>
              <w:rPr>
                <w:rFonts w:ascii="仿宋" w:hAnsi="仿宋" w:eastAsia="仿宋" w:cs="仿宋"/>
                <w:bCs/>
                <w:iCs/>
                <w:sz w:val="24"/>
              </w:rPr>
            </w:pPr>
            <w:r>
              <w:rPr>
                <w:rFonts w:hint="eastAsia" w:ascii="仿宋" w:hAnsi="仿宋" w:eastAsia="仿宋" w:cs="仿宋"/>
                <w:bCs/>
                <w:iCs/>
                <w:sz w:val="24"/>
              </w:rPr>
              <w:t>相关资质</w:t>
            </w:r>
          </w:p>
          <w:p>
            <w:pPr>
              <w:widowControl/>
              <w:jc w:val="center"/>
              <w:rPr>
                <w:rFonts w:ascii="仿宋" w:hAnsi="仿宋" w:eastAsia="仿宋" w:cs="仿宋"/>
                <w:bCs/>
                <w:iCs/>
                <w:sz w:val="24"/>
              </w:rPr>
            </w:pPr>
            <w:r>
              <w:rPr>
                <w:rFonts w:hint="eastAsia" w:ascii="仿宋" w:hAnsi="仿宋" w:eastAsia="仿宋" w:cs="仿宋"/>
                <w:bCs/>
                <w:iCs/>
                <w:sz w:val="24"/>
              </w:rPr>
              <w:t>（1</w:t>
            </w:r>
            <w:r>
              <w:rPr>
                <w:rFonts w:hint="eastAsia" w:ascii="仿宋" w:hAnsi="仿宋" w:eastAsia="仿宋" w:cs="仿宋"/>
                <w:bCs/>
                <w:iCs/>
                <w:sz w:val="24"/>
                <w:lang w:val="en-US" w:eastAsia="zh-CN"/>
              </w:rPr>
              <w:t>0</w:t>
            </w:r>
            <w:r>
              <w:rPr>
                <w:rFonts w:hint="eastAsia" w:ascii="仿宋" w:hAnsi="仿宋" w:eastAsia="仿宋" w:cs="仿宋"/>
                <w:bCs/>
                <w:iCs/>
                <w:sz w:val="24"/>
              </w:rPr>
              <w:t>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10</w:t>
            </w:r>
          </w:p>
        </w:tc>
        <w:tc>
          <w:tcPr>
            <w:tcW w:w="6773" w:type="dxa"/>
            <w:noWrap w:val="0"/>
            <w:vAlign w:val="center"/>
          </w:tcPr>
          <w:p>
            <w:pPr>
              <w:widowControl/>
              <w:numPr>
                <w:ilvl w:val="0"/>
                <w:numId w:val="1"/>
              </w:numPr>
              <w:jc w:val="left"/>
              <w:rPr>
                <w:rFonts w:hint="eastAsia" w:ascii="仿宋" w:hAnsi="仿宋" w:eastAsia="仿宋" w:cs="仿宋"/>
                <w:bCs/>
                <w:iCs/>
                <w:sz w:val="24"/>
              </w:rPr>
            </w:pPr>
            <w:r>
              <w:rPr>
                <w:rFonts w:hint="eastAsia" w:ascii="仿宋" w:hAnsi="仿宋" w:eastAsia="仿宋" w:cs="仿宋"/>
                <w:bCs/>
                <w:iCs/>
                <w:sz w:val="24"/>
              </w:rPr>
              <w:t>投标人实验室获得ISO45001（医学检验、病理诊断服务活动所涉及的职业健康安全管理认证）得1分，ISO14001（医学检验、病理诊断服务活动所涉及的环境管理认证）得1分，提供证书复印件加盖投标人公章</w:t>
            </w:r>
            <w:r>
              <w:rPr>
                <w:rFonts w:hint="eastAsia" w:ascii="仿宋" w:hAnsi="仿宋" w:eastAsia="仿宋" w:cs="仿宋"/>
                <w:bCs/>
                <w:iCs/>
                <w:sz w:val="24"/>
                <w:lang w:eastAsia="zh-CN"/>
              </w:rPr>
              <w:t>，</w:t>
            </w:r>
            <w:r>
              <w:rPr>
                <w:rFonts w:hint="eastAsia" w:ascii="仿宋" w:hAnsi="仿宋" w:eastAsia="仿宋" w:cs="仿宋"/>
                <w:bCs/>
                <w:iCs/>
                <w:sz w:val="24"/>
              </w:rPr>
              <w:t>未获得者不得分。</w:t>
            </w:r>
          </w:p>
          <w:p>
            <w:pPr>
              <w:widowControl/>
              <w:numPr>
                <w:ilvl w:val="0"/>
                <w:numId w:val="1"/>
              </w:numPr>
              <w:jc w:val="left"/>
              <w:rPr>
                <w:rFonts w:hint="eastAsia" w:ascii="仿宋" w:hAnsi="仿宋" w:eastAsia="仿宋" w:cs="仿宋"/>
                <w:bCs/>
                <w:iCs/>
                <w:sz w:val="24"/>
              </w:rPr>
            </w:pPr>
            <w:r>
              <w:rPr>
                <w:rFonts w:hint="eastAsia" w:ascii="仿宋" w:hAnsi="仿宋" w:eastAsia="仿宋" w:cs="仿宋"/>
                <w:bCs/>
                <w:iCs/>
                <w:sz w:val="24"/>
              </w:rPr>
              <w:t>投标人从2021年起获得国家或省政府部门认定的国家或省级重点实验室资质者得2分，提供证书复印件加盖投标人公章</w:t>
            </w:r>
            <w:r>
              <w:rPr>
                <w:rFonts w:hint="eastAsia" w:ascii="仿宋" w:hAnsi="仿宋" w:eastAsia="仿宋" w:cs="仿宋"/>
                <w:bCs/>
                <w:iCs/>
                <w:sz w:val="24"/>
                <w:lang w:eastAsia="zh-CN"/>
              </w:rPr>
              <w:t>，</w:t>
            </w:r>
            <w:r>
              <w:rPr>
                <w:rFonts w:hint="eastAsia" w:ascii="仿宋" w:hAnsi="仿宋" w:eastAsia="仿宋" w:cs="仿宋"/>
                <w:bCs/>
                <w:iCs/>
                <w:sz w:val="24"/>
              </w:rPr>
              <w:t>未获得者不得分。</w:t>
            </w:r>
          </w:p>
          <w:p>
            <w:pPr>
              <w:widowControl/>
              <w:numPr>
                <w:ilvl w:val="0"/>
                <w:numId w:val="1"/>
              </w:numPr>
              <w:jc w:val="left"/>
              <w:rPr>
                <w:rFonts w:ascii="仿宋" w:hAnsi="仿宋" w:eastAsia="仿宋" w:cs="仿宋"/>
                <w:bCs/>
                <w:iCs/>
                <w:sz w:val="24"/>
              </w:rPr>
            </w:pPr>
            <w:r>
              <w:rPr>
                <w:rFonts w:hint="eastAsia" w:ascii="仿宋" w:hAnsi="仿宋" w:eastAsia="仿宋" w:cs="仿宋"/>
                <w:bCs/>
                <w:iCs/>
                <w:sz w:val="24"/>
              </w:rPr>
              <w:t>投标人为本项目提供检测的实验室整体通过CAP认证的得2分，提供证书复印件（英文证书需提供中文翻译件）加盖投标人公章作为证明材料，未获得不得分。主办检测实验室与投标人必须一致（以营业执照为准），投标人中标后不得更换主办检测实验室。</w:t>
            </w:r>
          </w:p>
          <w:p>
            <w:pPr>
              <w:widowControl/>
              <w:numPr>
                <w:ilvl w:val="0"/>
                <w:numId w:val="1"/>
              </w:numPr>
              <w:jc w:val="left"/>
              <w:rPr>
                <w:rFonts w:ascii="仿宋" w:hAnsi="仿宋" w:eastAsia="仿宋" w:cs="仿宋"/>
                <w:bCs/>
                <w:iCs/>
                <w:sz w:val="24"/>
              </w:rPr>
            </w:pPr>
            <w:r>
              <w:rPr>
                <w:rFonts w:hint="eastAsia" w:ascii="仿宋" w:hAnsi="仿宋" w:eastAsia="仿宋" w:cs="仿宋"/>
                <w:bCs/>
                <w:iCs/>
                <w:sz w:val="24"/>
              </w:rPr>
              <w:t>投标人为本项目提供检测服务的实验室通过ISO 15189认可数量达到</w:t>
            </w:r>
            <w:r>
              <w:rPr>
                <w:rFonts w:hint="eastAsia" w:ascii="仿宋" w:hAnsi="仿宋" w:eastAsia="仿宋" w:cs="仿宋"/>
                <w:bCs/>
                <w:iCs/>
                <w:sz w:val="24"/>
                <w:lang w:val="en-US" w:eastAsia="zh-CN"/>
              </w:rPr>
              <w:t>2</w:t>
            </w:r>
            <w:r>
              <w:rPr>
                <w:rFonts w:hint="eastAsia" w:ascii="仿宋" w:hAnsi="仿宋" w:eastAsia="仿宋" w:cs="仿宋"/>
                <w:bCs/>
                <w:iCs/>
                <w:sz w:val="24"/>
              </w:rPr>
              <w:t>00项的得1分，每增加30项加1分，最高得4分。提供上述证书复印件加盖投标人公章，未提供不得分。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tblCellSpacing w:w="0" w:type="dxa"/>
        </w:trPr>
        <w:tc>
          <w:tcPr>
            <w:tcW w:w="1567" w:type="dxa"/>
            <w:noWrap w:val="0"/>
            <w:vAlign w:val="center"/>
          </w:tcPr>
          <w:p>
            <w:pPr>
              <w:pStyle w:val="12"/>
              <w:widowControl w:val="0"/>
              <w:tabs>
                <w:tab w:val="left" w:pos="420"/>
                <w:tab w:val="left" w:pos="780"/>
              </w:tabs>
              <w:spacing w:after="156"/>
              <w:ind w:left="0" w:firstLine="0"/>
              <w:jc w:val="both"/>
              <w:rPr>
                <w:rFonts w:ascii="仿宋" w:hAnsi="仿宋" w:eastAsia="仿宋" w:cs="仿宋"/>
                <w:bCs/>
                <w:iCs/>
                <w:kern w:val="2"/>
                <w:szCs w:val="24"/>
              </w:rPr>
            </w:pPr>
            <w:r>
              <w:rPr>
                <w:rFonts w:hint="eastAsia" w:ascii="仿宋" w:hAnsi="仿宋" w:eastAsia="仿宋" w:cs="仿宋"/>
                <w:bCs/>
                <w:iCs/>
                <w:kern w:val="2"/>
                <w:szCs w:val="24"/>
              </w:rPr>
              <w:t>业绩（3分）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3</w:t>
            </w:r>
          </w:p>
        </w:tc>
        <w:tc>
          <w:tcPr>
            <w:tcW w:w="6773" w:type="dxa"/>
            <w:noWrap w:val="0"/>
            <w:vAlign w:val="center"/>
          </w:tcPr>
          <w:p>
            <w:pPr>
              <w:widowControl/>
              <w:jc w:val="left"/>
              <w:rPr>
                <w:rFonts w:ascii="仿宋" w:hAnsi="仿宋" w:eastAsia="仿宋" w:cs="仿宋"/>
                <w:bCs/>
                <w:iCs/>
                <w:sz w:val="24"/>
              </w:rPr>
            </w:pPr>
            <w:r>
              <w:rPr>
                <w:rFonts w:hint="eastAsia" w:ascii="仿宋" w:hAnsi="仿宋" w:eastAsia="仿宋" w:cs="仿宋"/>
                <w:bCs/>
                <w:iCs/>
                <w:sz w:val="24"/>
              </w:rPr>
              <w:t>提供202</w:t>
            </w:r>
            <w:r>
              <w:rPr>
                <w:rFonts w:hint="eastAsia" w:ascii="仿宋" w:hAnsi="仿宋" w:eastAsia="仿宋" w:cs="仿宋"/>
                <w:bCs/>
                <w:iCs/>
                <w:sz w:val="24"/>
                <w:lang w:val="en-US" w:eastAsia="zh-CN"/>
              </w:rPr>
              <w:t>1</w:t>
            </w:r>
            <w:r>
              <w:rPr>
                <w:rFonts w:hint="eastAsia" w:ascii="仿宋" w:hAnsi="仿宋" w:eastAsia="仿宋" w:cs="仿宋"/>
                <w:bCs/>
                <w:iCs/>
                <w:sz w:val="24"/>
              </w:rPr>
              <w:t>年起至今投标人外送合作客户清单（关于精神类药物浓度检测），每提供一份合同得1分，最高得3分，提供合同复印件加盖投标人公章（以合同签订时间为准），未提供不得分。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5" w:hRule="atLeast"/>
          <w:tblCellSpacing w:w="0" w:type="dxa"/>
        </w:trPr>
        <w:tc>
          <w:tcPr>
            <w:tcW w:w="1567" w:type="dxa"/>
            <w:vMerge w:val="restart"/>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实验室</w:t>
            </w:r>
          </w:p>
          <w:p>
            <w:pPr>
              <w:widowControl/>
              <w:jc w:val="center"/>
              <w:rPr>
                <w:rFonts w:ascii="仿宋" w:hAnsi="仿宋" w:eastAsia="仿宋" w:cs="仿宋"/>
                <w:bCs/>
                <w:iCs/>
                <w:sz w:val="24"/>
              </w:rPr>
            </w:pPr>
            <w:r>
              <w:rPr>
                <w:rFonts w:hint="eastAsia" w:ascii="仿宋" w:hAnsi="仿宋" w:eastAsia="仿宋" w:cs="仿宋"/>
                <w:bCs/>
                <w:iCs/>
                <w:sz w:val="24"/>
              </w:rPr>
              <w:t>检测能力</w:t>
            </w:r>
          </w:p>
          <w:p>
            <w:pPr>
              <w:widowControl/>
              <w:jc w:val="center"/>
              <w:rPr>
                <w:rFonts w:ascii="仿宋" w:hAnsi="仿宋" w:eastAsia="仿宋" w:cs="仿宋"/>
                <w:bCs/>
                <w:iCs/>
                <w:sz w:val="24"/>
              </w:rPr>
            </w:pPr>
            <w:r>
              <w:rPr>
                <w:rFonts w:hint="eastAsia" w:ascii="仿宋" w:hAnsi="仿宋" w:eastAsia="仿宋" w:cs="仿宋"/>
                <w:bCs/>
                <w:iCs/>
                <w:sz w:val="24"/>
              </w:rPr>
              <w:t>（1</w:t>
            </w:r>
            <w:r>
              <w:rPr>
                <w:rFonts w:hint="eastAsia" w:ascii="仿宋" w:hAnsi="仿宋" w:eastAsia="仿宋" w:cs="仿宋"/>
                <w:bCs/>
                <w:iCs/>
                <w:sz w:val="24"/>
                <w:lang w:val="en-US" w:eastAsia="zh-CN"/>
              </w:rPr>
              <w:t>8</w:t>
            </w:r>
            <w:r>
              <w:rPr>
                <w:rFonts w:hint="eastAsia" w:ascii="仿宋" w:hAnsi="仿宋" w:eastAsia="仿宋" w:cs="仿宋"/>
                <w:bCs/>
                <w:iCs/>
                <w:sz w:val="24"/>
              </w:rPr>
              <w:t>分）</w:t>
            </w:r>
          </w:p>
        </w:tc>
        <w:tc>
          <w:tcPr>
            <w:tcW w:w="904" w:type="dxa"/>
            <w:noWrap w:val="0"/>
            <w:vAlign w:val="center"/>
          </w:tcPr>
          <w:p>
            <w:pPr>
              <w:pStyle w:val="12"/>
              <w:widowControl w:val="0"/>
              <w:tabs>
                <w:tab w:val="left" w:pos="420"/>
                <w:tab w:val="left" w:pos="780"/>
              </w:tabs>
              <w:spacing w:after="156"/>
              <w:ind w:left="0" w:firstLine="0"/>
              <w:jc w:val="center"/>
              <w:rPr>
                <w:rFonts w:hint="eastAsia" w:ascii="仿宋" w:hAnsi="仿宋" w:eastAsia="仿宋" w:cs="仿宋"/>
                <w:bCs/>
                <w:iCs/>
                <w:kern w:val="2"/>
                <w:szCs w:val="24"/>
                <w:lang w:eastAsia="zh-CN"/>
              </w:rPr>
            </w:pPr>
            <w:r>
              <w:rPr>
                <w:rFonts w:hint="eastAsia" w:ascii="仿宋" w:hAnsi="仿宋" w:eastAsia="仿宋" w:cs="仿宋"/>
                <w:bCs/>
                <w:iCs/>
                <w:kern w:val="2"/>
                <w:szCs w:val="24"/>
                <w:lang w:val="en-US" w:eastAsia="zh-CN"/>
              </w:rPr>
              <w:t>5</w:t>
            </w:r>
          </w:p>
        </w:tc>
        <w:tc>
          <w:tcPr>
            <w:tcW w:w="6773" w:type="dxa"/>
            <w:noWrap w:val="0"/>
            <w:vAlign w:val="center"/>
          </w:tcPr>
          <w:p>
            <w:pPr>
              <w:widowControl/>
              <w:jc w:val="left"/>
              <w:rPr>
                <w:rFonts w:ascii="仿宋" w:hAnsi="仿宋" w:eastAsia="仿宋" w:cs="仿宋"/>
                <w:bCs/>
                <w:iCs/>
                <w:sz w:val="24"/>
              </w:rPr>
            </w:pPr>
            <w:r>
              <w:rPr>
                <w:rFonts w:hint="eastAsia" w:ascii="仿宋" w:hAnsi="仿宋" w:eastAsia="仿宋" w:cs="仿宋"/>
                <w:bCs/>
                <w:iCs/>
                <w:sz w:val="24"/>
              </w:rPr>
              <w:t>投标人具备质谱检测能力（提供项目</w:t>
            </w:r>
            <w:r>
              <w:rPr>
                <w:rFonts w:hint="eastAsia" w:ascii="仿宋" w:hAnsi="仿宋" w:eastAsia="仿宋" w:cs="仿宋"/>
                <w:bCs/>
                <w:iCs/>
                <w:sz w:val="24"/>
                <w:lang w:eastAsia="zh-CN"/>
              </w:rPr>
              <w:t>手册，</w:t>
            </w:r>
            <w:r>
              <w:rPr>
                <w:rFonts w:hint="eastAsia" w:ascii="仿宋" w:hAnsi="仿宋" w:eastAsia="仿宋" w:cs="仿宋"/>
                <w:bCs/>
                <w:iCs/>
                <w:sz w:val="24"/>
              </w:rPr>
              <w:t>加盖投标人公章）</w:t>
            </w:r>
            <w:r>
              <w:rPr>
                <w:rFonts w:hint="eastAsia" w:ascii="仿宋" w:hAnsi="仿宋" w:eastAsia="仿宋" w:cs="仿宋"/>
                <w:bCs/>
                <w:iCs/>
                <w:sz w:val="24"/>
                <w:lang w:eastAsia="zh-CN"/>
              </w:rPr>
              <w:t>，</w:t>
            </w:r>
            <w:r>
              <w:rPr>
                <w:rFonts w:hint="eastAsia" w:ascii="仿宋" w:hAnsi="仿宋" w:eastAsia="仿宋" w:cs="仿宋"/>
                <w:bCs/>
                <w:iCs/>
                <w:sz w:val="24"/>
              </w:rPr>
              <w:t>质谱</w:t>
            </w:r>
            <w:r>
              <w:rPr>
                <w:rFonts w:hint="eastAsia" w:ascii="仿宋" w:hAnsi="仿宋" w:eastAsia="仿宋" w:cs="仿宋"/>
                <w:bCs/>
                <w:iCs/>
                <w:sz w:val="24"/>
                <w:lang w:eastAsia="zh-CN"/>
              </w:rPr>
              <w:t>药物浓度项目开展数量</w:t>
            </w:r>
            <w:r>
              <w:rPr>
                <w:rFonts w:hint="eastAsia" w:ascii="仿宋" w:hAnsi="仿宋" w:eastAsia="仿宋" w:cs="仿宋"/>
                <w:bCs/>
                <w:iCs/>
                <w:sz w:val="24"/>
                <w:lang w:val="en-US" w:eastAsia="zh-CN"/>
              </w:rPr>
              <w:t>80项以上的</w:t>
            </w:r>
            <w:r>
              <w:rPr>
                <w:rFonts w:hint="eastAsia" w:ascii="仿宋" w:hAnsi="仿宋" w:eastAsia="仿宋" w:cs="仿宋"/>
                <w:bCs/>
                <w:iCs/>
                <w:sz w:val="24"/>
              </w:rPr>
              <w:t>得</w:t>
            </w:r>
            <w:r>
              <w:rPr>
                <w:rFonts w:hint="eastAsia" w:ascii="仿宋" w:hAnsi="仿宋" w:eastAsia="仿宋" w:cs="仿宋"/>
                <w:bCs/>
                <w:iCs/>
                <w:sz w:val="24"/>
                <w:lang w:val="en-US" w:eastAsia="zh-CN"/>
              </w:rPr>
              <w:t>5</w:t>
            </w:r>
            <w:r>
              <w:rPr>
                <w:rFonts w:hint="eastAsia" w:ascii="仿宋" w:hAnsi="仿宋" w:eastAsia="仿宋" w:cs="仿宋"/>
                <w:bCs/>
                <w:iCs/>
                <w:sz w:val="24"/>
              </w:rPr>
              <w:t>分，</w:t>
            </w:r>
            <w:r>
              <w:rPr>
                <w:rFonts w:hint="eastAsia" w:ascii="仿宋" w:hAnsi="仿宋" w:eastAsia="仿宋" w:cs="仿宋"/>
                <w:bCs/>
                <w:iCs/>
                <w:sz w:val="24"/>
                <w:lang w:val="en-US" w:eastAsia="zh-CN"/>
              </w:rPr>
              <w:t>50-80项的</w:t>
            </w:r>
            <w:r>
              <w:rPr>
                <w:rFonts w:hint="eastAsia" w:ascii="仿宋" w:hAnsi="仿宋" w:eastAsia="仿宋" w:cs="仿宋"/>
                <w:bCs/>
                <w:iCs/>
                <w:sz w:val="24"/>
              </w:rPr>
              <w:t>得</w:t>
            </w:r>
            <w:r>
              <w:rPr>
                <w:rFonts w:hint="eastAsia" w:ascii="仿宋" w:hAnsi="仿宋" w:eastAsia="仿宋" w:cs="仿宋"/>
                <w:bCs/>
                <w:iCs/>
                <w:sz w:val="24"/>
                <w:lang w:val="en-US" w:eastAsia="zh-CN"/>
              </w:rPr>
              <w:t>3</w:t>
            </w:r>
            <w:r>
              <w:rPr>
                <w:rFonts w:hint="eastAsia" w:ascii="仿宋" w:hAnsi="仿宋" w:eastAsia="仿宋" w:cs="仿宋"/>
                <w:bCs/>
                <w:iCs/>
                <w:sz w:val="24"/>
              </w:rPr>
              <w:t>分，</w:t>
            </w:r>
            <w:r>
              <w:rPr>
                <w:rFonts w:hint="eastAsia" w:ascii="仿宋" w:hAnsi="仿宋" w:eastAsia="仿宋" w:cs="仿宋"/>
                <w:bCs/>
                <w:iCs/>
                <w:sz w:val="24"/>
                <w:lang w:val="en-US" w:eastAsia="zh-CN"/>
              </w:rPr>
              <w:t>50项以下的</w:t>
            </w:r>
            <w:r>
              <w:rPr>
                <w:rFonts w:hint="eastAsia" w:ascii="仿宋" w:hAnsi="仿宋" w:eastAsia="仿宋" w:cs="仿宋"/>
                <w:bCs/>
                <w:iCs/>
                <w:sz w:val="24"/>
              </w:rPr>
              <w:t>得1分，</w:t>
            </w:r>
            <w:r>
              <w:rPr>
                <w:rFonts w:hint="eastAsia" w:ascii="仿宋" w:hAnsi="仿宋" w:eastAsia="仿宋" w:cs="仿宋"/>
                <w:bCs/>
                <w:iCs/>
                <w:sz w:val="24"/>
                <w:lang w:eastAsia="zh-CN"/>
              </w:rPr>
              <w:t>不</w:t>
            </w:r>
            <w:r>
              <w:rPr>
                <w:rFonts w:hint="eastAsia" w:ascii="仿宋" w:hAnsi="仿宋" w:eastAsia="仿宋" w:cs="仿宋"/>
                <w:bCs/>
                <w:iCs/>
                <w:sz w:val="24"/>
              </w:rPr>
              <w:t>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blCellSpacing w:w="0" w:type="dxa"/>
        </w:trPr>
        <w:tc>
          <w:tcPr>
            <w:tcW w:w="1567" w:type="dxa"/>
            <w:vMerge w:val="continue"/>
            <w:noWrap w:val="0"/>
            <w:vAlign w:val="center"/>
          </w:tcPr>
          <w:p>
            <w:pPr>
              <w:widowControl/>
              <w:jc w:val="center"/>
              <w:rPr>
                <w:rFonts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2</w:t>
            </w:r>
          </w:p>
        </w:tc>
        <w:tc>
          <w:tcPr>
            <w:tcW w:w="6773" w:type="dxa"/>
            <w:noWrap w:val="0"/>
            <w:vAlign w:val="center"/>
          </w:tcPr>
          <w:p>
            <w:pPr>
              <w:widowControl/>
              <w:jc w:val="left"/>
              <w:rPr>
                <w:rFonts w:hint="eastAsia" w:ascii="仿宋" w:hAnsi="仿宋" w:eastAsia="仿宋" w:cs="仿宋"/>
                <w:bCs/>
                <w:iCs/>
                <w:sz w:val="24"/>
                <w:lang w:eastAsia="zh-CN"/>
              </w:rPr>
            </w:pPr>
            <w:r>
              <w:rPr>
                <w:rFonts w:hint="eastAsia" w:ascii="仿宋" w:hAnsi="仿宋" w:eastAsia="仿宋" w:cs="仿宋"/>
                <w:bCs/>
                <w:iCs/>
                <w:sz w:val="24"/>
              </w:rPr>
              <w:t>有检测仪器医疗器械注册证的得2分，提供注册证复印件加盖投标人公章，未提供的不得分</w:t>
            </w:r>
            <w:r>
              <w:rPr>
                <w:rFonts w:hint="eastAsia" w:ascii="仿宋" w:hAnsi="仿宋" w:eastAsia="仿宋" w:cs="仿宋"/>
                <w:bCs/>
                <w:iCs/>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1" w:hRule="atLeast"/>
          <w:tblCellSpacing w:w="0" w:type="dxa"/>
        </w:trPr>
        <w:tc>
          <w:tcPr>
            <w:tcW w:w="1567" w:type="dxa"/>
            <w:vMerge w:val="continue"/>
            <w:noWrap w:val="0"/>
            <w:vAlign w:val="center"/>
          </w:tcPr>
          <w:p>
            <w:pPr>
              <w:widowControl/>
              <w:jc w:val="center"/>
              <w:rPr>
                <w:rFonts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5</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投标人具有的副高及以上实验室人员或质谱领域人才情况，13人及以上的得5分；10-12人得4分；7-9人得3分；4-6人得2分；1-3人得1分。</w:t>
            </w:r>
          </w:p>
          <w:p>
            <w:pPr>
              <w:widowControl/>
              <w:jc w:val="left"/>
              <w:rPr>
                <w:rFonts w:ascii="仿宋" w:hAnsi="仿宋" w:eastAsia="仿宋" w:cs="仿宋"/>
                <w:bCs/>
                <w:iCs/>
                <w:sz w:val="24"/>
              </w:rPr>
            </w:pPr>
            <w:r>
              <w:rPr>
                <w:rFonts w:hint="eastAsia" w:ascii="仿宋" w:hAnsi="仿宋" w:eastAsia="仿宋" w:cs="仿宋"/>
                <w:bCs/>
                <w:iCs/>
                <w:sz w:val="24"/>
              </w:rPr>
              <w:t>证明材料：以投标文件中出具的上述人员的职称证书（副高及以上）、专业技术资格证书及近三个月任一时间的缴纳社保或聘用合同复印件加盖投标人公章为评分依据。证明材料不完整或未提供的均不得分。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blCellSpacing w:w="0" w:type="dxa"/>
        </w:trPr>
        <w:tc>
          <w:tcPr>
            <w:tcW w:w="1567" w:type="dxa"/>
            <w:vMerge w:val="continue"/>
            <w:noWrap w:val="0"/>
            <w:vAlign w:val="center"/>
          </w:tcPr>
          <w:p>
            <w:pPr>
              <w:widowControl/>
              <w:jc w:val="center"/>
              <w:rPr>
                <w:rFonts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hint="eastAsia" w:ascii="仿宋" w:hAnsi="仿宋" w:eastAsia="仿宋" w:cs="仿宋"/>
                <w:bCs/>
                <w:iCs/>
                <w:kern w:val="2"/>
                <w:szCs w:val="24"/>
              </w:rPr>
            </w:pPr>
            <w:r>
              <w:rPr>
                <w:rFonts w:hint="eastAsia" w:ascii="仿宋" w:hAnsi="仿宋" w:eastAsia="仿宋" w:cs="仿宋"/>
                <w:bCs/>
                <w:iCs/>
                <w:kern w:val="2"/>
                <w:szCs w:val="24"/>
              </w:rPr>
              <w:t>3</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根据投标人标本采集、收取方案等情况进行综合评审，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3</w:t>
            </w:r>
            <w:r>
              <w:rPr>
                <w:rFonts w:hint="eastAsia" w:ascii="仿宋" w:hAnsi="仿宋" w:eastAsia="仿宋" w:cs="仿宋"/>
                <w:bCs/>
                <w:iCs/>
                <w:sz w:val="24"/>
              </w:rPr>
              <w:t>分，未提供不得分。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2" w:hRule="atLeast"/>
          <w:tblCellSpacing w:w="0" w:type="dxa"/>
        </w:trPr>
        <w:tc>
          <w:tcPr>
            <w:tcW w:w="1567" w:type="dxa"/>
            <w:vMerge w:val="continue"/>
            <w:noWrap w:val="0"/>
            <w:vAlign w:val="center"/>
          </w:tcPr>
          <w:p>
            <w:pPr>
              <w:widowControl/>
              <w:jc w:val="center"/>
              <w:rPr>
                <w:rFonts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hint="eastAsia" w:ascii="仿宋" w:hAnsi="仿宋" w:eastAsia="仿宋" w:cs="仿宋"/>
                <w:bCs/>
                <w:iCs/>
                <w:kern w:val="2"/>
                <w:szCs w:val="24"/>
              </w:rPr>
            </w:pPr>
            <w:r>
              <w:rPr>
                <w:rFonts w:hint="eastAsia" w:ascii="仿宋" w:hAnsi="仿宋" w:eastAsia="仿宋" w:cs="仿宋"/>
                <w:bCs/>
                <w:iCs/>
                <w:kern w:val="2"/>
                <w:szCs w:val="24"/>
              </w:rPr>
              <w:t>3</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根据投标人提供的检验报告单质量、临床解读情况进行综合评审，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3</w:t>
            </w:r>
            <w:r>
              <w:rPr>
                <w:rFonts w:hint="eastAsia" w:ascii="仿宋" w:hAnsi="仿宋" w:eastAsia="仿宋" w:cs="仿宋"/>
                <w:bCs/>
                <w:iCs/>
                <w:sz w:val="24"/>
              </w:rPr>
              <w:t>分，未提供不得分。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tblCellSpacing w:w="0" w:type="dxa"/>
        </w:trPr>
        <w:tc>
          <w:tcPr>
            <w:tcW w:w="1567" w:type="dxa"/>
            <w:vMerge w:val="restart"/>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实验室质量控制方案（15分）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10</w:t>
            </w:r>
          </w:p>
        </w:tc>
        <w:tc>
          <w:tcPr>
            <w:tcW w:w="6773" w:type="dxa"/>
            <w:noWrap w:val="0"/>
            <w:vAlign w:val="center"/>
          </w:tcPr>
          <w:p>
            <w:pPr>
              <w:widowControl/>
              <w:jc w:val="left"/>
              <w:rPr>
                <w:rFonts w:hint="eastAsia" w:ascii="仿宋" w:hAnsi="仿宋" w:eastAsia="仿宋" w:cs="仿宋"/>
                <w:bCs/>
                <w:iCs/>
                <w:sz w:val="24"/>
                <w:lang w:eastAsia="zh-CN"/>
              </w:rPr>
            </w:pPr>
            <w:r>
              <w:rPr>
                <w:rFonts w:hint="eastAsia" w:ascii="仿宋" w:hAnsi="仿宋" w:eastAsia="仿宋" w:cs="仿宋"/>
                <w:bCs/>
                <w:iCs/>
                <w:sz w:val="24"/>
              </w:rPr>
              <w:t>根据投标人的提供实验室质量控制方案，202</w:t>
            </w:r>
            <w:r>
              <w:rPr>
                <w:rFonts w:hint="eastAsia" w:ascii="仿宋" w:hAnsi="仿宋" w:eastAsia="仿宋" w:cs="仿宋"/>
                <w:bCs/>
                <w:iCs/>
                <w:sz w:val="24"/>
                <w:lang w:val="en-US" w:eastAsia="zh-CN"/>
              </w:rPr>
              <w:t>3</w:t>
            </w:r>
            <w:r>
              <w:rPr>
                <w:rFonts w:hint="eastAsia" w:ascii="仿宋" w:hAnsi="仿宋" w:eastAsia="仿宋" w:cs="仿宋"/>
                <w:bCs/>
                <w:iCs/>
                <w:sz w:val="24"/>
              </w:rPr>
              <w:t>年国际或国家卫健委室间质评成绩、省级临检中心室间质评成绩</w:t>
            </w:r>
            <w:r>
              <w:rPr>
                <w:rFonts w:hint="eastAsia" w:ascii="仿宋" w:hAnsi="仿宋" w:eastAsia="仿宋" w:cs="仿宋"/>
                <w:bCs/>
                <w:iCs/>
                <w:sz w:val="24"/>
                <w:lang w:eastAsia="zh-CN"/>
              </w:rPr>
              <w:t>和</w:t>
            </w:r>
            <w:r>
              <w:rPr>
                <w:rFonts w:hint="eastAsia" w:ascii="仿宋" w:hAnsi="仿宋" w:eastAsia="仿宋" w:cs="仿宋"/>
                <w:bCs/>
                <w:iCs/>
                <w:sz w:val="24"/>
              </w:rPr>
              <w:t>数量等进行综合评审，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10</w:t>
            </w:r>
            <w:r>
              <w:rPr>
                <w:rFonts w:hint="eastAsia" w:ascii="仿宋" w:hAnsi="仿宋" w:eastAsia="仿宋" w:cs="仿宋"/>
                <w:bCs/>
                <w:iCs/>
                <w:sz w:val="24"/>
              </w:rPr>
              <w:t>分</w:t>
            </w:r>
            <w:r>
              <w:rPr>
                <w:rFonts w:hint="eastAsia" w:ascii="仿宋" w:hAnsi="仿宋" w:eastAsia="仿宋" w:cs="仿宋"/>
                <w:bCs/>
                <w:iCs/>
                <w:sz w:val="24"/>
                <w:lang w:eastAsia="zh-CN"/>
              </w:rPr>
              <w:t>，</w:t>
            </w:r>
            <w:r>
              <w:rPr>
                <w:rFonts w:hint="eastAsia" w:ascii="仿宋" w:hAnsi="仿宋" w:eastAsia="仿宋" w:cs="仿宋"/>
                <w:bCs/>
                <w:iCs/>
                <w:sz w:val="24"/>
              </w:rPr>
              <w:t>未提供不得分</w:t>
            </w:r>
            <w:r>
              <w:rPr>
                <w:rFonts w:hint="eastAsia" w:ascii="仿宋" w:hAnsi="仿宋" w:eastAsia="仿宋" w:cs="仿宋"/>
                <w:bCs/>
                <w:iCs/>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tblCellSpacing w:w="0" w:type="dxa"/>
        </w:trPr>
        <w:tc>
          <w:tcPr>
            <w:tcW w:w="1567" w:type="dxa"/>
            <w:vMerge w:val="continue"/>
            <w:noWrap w:val="0"/>
            <w:vAlign w:val="center"/>
          </w:tcPr>
          <w:p>
            <w:pPr>
              <w:widowControl/>
              <w:jc w:val="center"/>
              <w:rPr>
                <w:rFonts w:hint="eastAsia"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hint="eastAsia" w:ascii="仿宋" w:hAnsi="仿宋" w:eastAsia="仿宋" w:cs="仿宋"/>
                <w:bCs/>
                <w:iCs/>
                <w:kern w:val="2"/>
                <w:szCs w:val="24"/>
              </w:rPr>
            </w:pPr>
            <w:r>
              <w:rPr>
                <w:rFonts w:hint="eastAsia" w:ascii="仿宋" w:hAnsi="仿宋" w:eastAsia="仿宋" w:cs="仿宋"/>
                <w:bCs/>
                <w:iCs/>
                <w:kern w:val="2"/>
                <w:szCs w:val="24"/>
              </w:rPr>
              <w:t>4</w:t>
            </w:r>
          </w:p>
        </w:tc>
        <w:tc>
          <w:tcPr>
            <w:tcW w:w="6773" w:type="dxa"/>
            <w:noWrap w:val="0"/>
            <w:vAlign w:val="center"/>
          </w:tcPr>
          <w:p>
            <w:pPr>
              <w:widowControl/>
              <w:jc w:val="left"/>
              <w:rPr>
                <w:rFonts w:hint="eastAsia" w:ascii="仿宋" w:hAnsi="仿宋" w:eastAsia="仿宋" w:cs="仿宋"/>
                <w:bCs/>
                <w:iCs/>
                <w:sz w:val="24"/>
                <w:lang w:eastAsia="zh-CN"/>
              </w:rPr>
            </w:pPr>
            <w:r>
              <w:rPr>
                <w:rFonts w:hint="eastAsia" w:ascii="仿宋" w:hAnsi="仿宋" w:eastAsia="仿宋" w:cs="仿宋"/>
                <w:bCs/>
                <w:iCs/>
                <w:sz w:val="24"/>
                <w:lang w:eastAsia="zh-CN"/>
              </w:rPr>
              <w:t>根据投标人提供的</w:t>
            </w:r>
            <w:r>
              <w:rPr>
                <w:rFonts w:hint="eastAsia" w:ascii="仿宋" w:hAnsi="仿宋" w:eastAsia="仿宋" w:cs="仿宋"/>
                <w:bCs/>
                <w:iCs/>
                <w:sz w:val="24"/>
              </w:rPr>
              <w:t>临床质谱质量控制软件的科学性、适用性</w:t>
            </w:r>
            <w:r>
              <w:rPr>
                <w:rFonts w:hint="eastAsia" w:ascii="仿宋" w:hAnsi="仿宋" w:eastAsia="仿宋" w:cs="仿宋"/>
                <w:bCs/>
                <w:iCs/>
                <w:sz w:val="24"/>
                <w:lang w:eastAsia="zh-CN"/>
              </w:rPr>
              <w:t>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4</w:t>
            </w:r>
            <w:r>
              <w:rPr>
                <w:rFonts w:hint="eastAsia" w:ascii="仿宋" w:hAnsi="仿宋" w:eastAsia="仿宋" w:cs="仿宋"/>
                <w:bCs/>
                <w:iCs/>
                <w:sz w:val="24"/>
              </w:rPr>
              <w:t>分，未提供不得分。</w:t>
            </w:r>
            <w:r>
              <w:rPr>
                <w:rFonts w:hint="eastAsia" w:ascii="仿宋" w:hAnsi="仿宋" w:eastAsia="仿宋" w:cs="仿宋"/>
                <w:bCs/>
                <w:iCs/>
                <w:sz w:val="24"/>
                <w:lang w:eastAsia="zh-CN"/>
              </w:rPr>
              <w:t>（</w:t>
            </w:r>
            <w:r>
              <w:rPr>
                <w:rFonts w:hint="eastAsia" w:ascii="仿宋" w:hAnsi="仿宋" w:eastAsia="仿宋" w:cs="仿宋"/>
                <w:bCs/>
                <w:iCs/>
                <w:sz w:val="24"/>
              </w:rPr>
              <w:t>需提供</w:t>
            </w:r>
            <w:r>
              <w:rPr>
                <w:rFonts w:hint="eastAsia" w:ascii="仿宋" w:hAnsi="仿宋" w:eastAsia="仿宋" w:cs="仿宋"/>
                <w:bCs/>
                <w:iCs/>
                <w:sz w:val="24"/>
                <w:lang w:eastAsia="zh-CN"/>
              </w:rPr>
              <w:t>计算机</w:t>
            </w:r>
            <w:r>
              <w:rPr>
                <w:rFonts w:hint="eastAsia" w:ascii="仿宋" w:hAnsi="仿宋" w:eastAsia="仿宋" w:cs="仿宋"/>
                <w:bCs/>
                <w:iCs/>
                <w:sz w:val="24"/>
              </w:rPr>
              <w:t>软件</w:t>
            </w:r>
            <w:r>
              <w:rPr>
                <w:rFonts w:hint="eastAsia" w:ascii="仿宋" w:hAnsi="仿宋" w:eastAsia="仿宋" w:cs="仿宋"/>
                <w:bCs/>
                <w:iCs/>
                <w:sz w:val="24"/>
                <w:lang w:eastAsia="zh-CN"/>
              </w:rPr>
              <w:t>著作权登记证书复印件</w:t>
            </w:r>
            <w:r>
              <w:rPr>
                <w:rFonts w:hint="eastAsia" w:ascii="仿宋" w:hAnsi="仿宋" w:eastAsia="仿宋" w:cs="仿宋"/>
                <w:bCs/>
                <w:iCs/>
                <w:sz w:val="24"/>
              </w:rPr>
              <w:t>加盖投标人公章，否则不得分</w:t>
            </w:r>
            <w:r>
              <w:rPr>
                <w:rFonts w:hint="eastAsia" w:ascii="仿宋" w:hAnsi="仿宋" w:eastAsia="仿宋" w:cs="仿宋"/>
                <w:bCs/>
                <w:iCs/>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tblCellSpacing w:w="0" w:type="dxa"/>
        </w:trPr>
        <w:tc>
          <w:tcPr>
            <w:tcW w:w="1567" w:type="dxa"/>
            <w:vMerge w:val="continue"/>
            <w:noWrap w:val="0"/>
            <w:vAlign w:val="center"/>
          </w:tcPr>
          <w:p>
            <w:pPr>
              <w:widowControl/>
              <w:jc w:val="center"/>
              <w:rPr>
                <w:rFonts w:hint="eastAsia" w:ascii="仿宋" w:hAnsi="仿宋" w:eastAsia="仿宋" w:cs="仿宋"/>
                <w:bCs/>
                <w:iCs/>
                <w:sz w:val="24"/>
              </w:rPr>
            </w:pPr>
          </w:p>
        </w:tc>
        <w:tc>
          <w:tcPr>
            <w:tcW w:w="904" w:type="dxa"/>
            <w:noWrap w:val="0"/>
            <w:vAlign w:val="center"/>
          </w:tcPr>
          <w:p>
            <w:pPr>
              <w:pStyle w:val="12"/>
              <w:widowControl w:val="0"/>
              <w:tabs>
                <w:tab w:val="left" w:pos="420"/>
                <w:tab w:val="left" w:pos="780"/>
              </w:tabs>
              <w:spacing w:after="156"/>
              <w:ind w:left="0" w:firstLine="0"/>
              <w:jc w:val="center"/>
              <w:rPr>
                <w:rFonts w:hint="eastAsia" w:ascii="仿宋" w:hAnsi="仿宋" w:eastAsia="仿宋" w:cs="仿宋"/>
                <w:bCs/>
                <w:iCs/>
                <w:kern w:val="2"/>
                <w:szCs w:val="24"/>
              </w:rPr>
            </w:pPr>
            <w:r>
              <w:rPr>
                <w:rFonts w:hint="eastAsia" w:ascii="仿宋" w:hAnsi="仿宋" w:eastAsia="仿宋" w:cs="仿宋"/>
                <w:bCs/>
                <w:iCs/>
                <w:kern w:val="2"/>
                <w:szCs w:val="24"/>
              </w:rPr>
              <w:t>1</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提供国家或省级以上政府部门颁布的质量相关奖项证明资料，一份0.5分，最高得1分。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3" w:hRule="atLeast"/>
          <w:tblCellSpacing w:w="0" w:type="dxa"/>
        </w:trPr>
        <w:tc>
          <w:tcPr>
            <w:tcW w:w="1567" w:type="dxa"/>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标本冷链物流服务（10分）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10</w:t>
            </w:r>
          </w:p>
        </w:tc>
        <w:tc>
          <w:tcPr>
            <w:tcW w:w="6773" w:type="dxa"/>
            <w:noWrap w:val="0"/>
            <w:vAlign w:val="center"/>
          </w:tcPr>
          <w:p>
            <w:pPr>
              <w:widowControl/>
              <w:jc w:val="left"/>
              <w:rPr>
                <w:rFonts w:ascii="仿宋" w:hAnsi="仿宋" w:eastAsia="仿宋" w:cs="仿宋"/>
                <w:bCs/>
                <w:iCs/>
                <w:sz w:val="24"/>
              </w:rPr>
            </w:pPr>
            <w:r>
              <w:rPr>
                <w:rFonts w:hint="eastAsia" w:ascii="仿宋" w:hAnsi="仿宋" w:eastAsia="仿宋" w:cs="仿宋"/>
                <w:bCs/>
                <w:iCs/>
                <w:sz w:val="24"/>
              </w:rPr>
              <w:t>1.投标人具有全程冷链物流车辆相关证明文件得2.5分，提供复印件加盖投标人公章，未提供不得分。</w:t>
            </w:r>
          </w:p>
          <w:p>
            <w:pPr>
              <w:widowControl/>
              <w:jc w:val="left"/>
              <w:rPr>
                <w:rFonts w:ascii="仿宋" w:hAnsi="仿宋" w:eastAsia="仿宋" w:cs="仿宋"/>
                <w:bCs/>
                <w:iCs/>
                <w:sz w:val="24"/>
              </w:rPr>
            </w:pPr>
            <w:r>
              <w:rPr>
                <w:rFonts w:hint="eastAsia" w:ascii="仿宋" w:hAnsi="仿宋" w:eastAsia="仿宋" w:cs="仿宋"/>
                <w:bCs/>
                <w:iCs/>
                <w:sz w:val="24"/>
              </w:rPr>
              <w:t>2.根据投标人提供的冷链物流方案，包括物流人员安排，车辆安排，路线接收安排，质量保障，温控措施，应急方案等情况进行综合评审，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7.5</w:t>
            </w:r>
            <w:r>
              <w:rPr>
                <w:rFonts w:hint="eastAsia" w:ascii="仿宋" w:hAnsi="仿宋" w:eastAsia="仿宋" w:cs="仿宋"/>
                <w:bCs/>
                <w:iCs/>
                <w:sz w:val="24"/>
              </w:rPr>
              <w:t>分，未提供不得分。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 w:hRule="atLeast"/>
          <w:tblCellSpacing w:w="0" w:type="dxa"/>
        </w:trPr>
        <w:tc>
          <w:tcPr>
            <w:tcW w:w="1567" w:type="dxa"/>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终端配置、报告及时性（5分）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5</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1.根据投标人是否提供终端配置（电脑、打印机、台式扫描仪、LIS端口等）及是否能确保检测结果传递的及时性等情况进行综合评审，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3</w:t>
            </w:r>
            <w:r>
              <w:rPr>
                <w:rFonts w:hint="eastAsia" w:ascii="仿宋" w:hAnsi="仿宋" w:eastAsia="仿宋" w:cs="仿宋"/>
                <w:bCs/>
                <w:iCs/>
                <w:sz w:val="24"/>
              </w:rPr>
              <w:t>分，未提供不得分。</w:t>
            </w:r>
          </w:p>
          <w:p>
            <w:pPr>
              <w:widowControl/>
              <w:jc w:val="left"/>
              <w:rPr>
                <w:rFonts w:ascii="仿宋" w:hAnsi="仿宋" w:eastAsia="仿宋" w:cs="仿宋"/>
                <w:bCs/>
                <w:iCs/>
                <w:sz w:val="24"/>
              </w:rPr>
            </w:pPr>
            <w:r>
              <w:rPr>
                <w:rFonts w:hint="eastAsia" w:ascii="仿宋" w:hAnsi="仿宋" w:eastAsia="仿宋" w:cs="仿宋"/>
                <w:bCs/>
                <w:iCs/>
                <w:sz w:val="24"/>
              </w:rPr>
              <w:t>2.投标人所使用的系统需通过第三方权威机构认证的实验室信息系统安全等级保护，提供三级安全测评报告备案证明（复印件），</w:t>
            </w:r>
            <w:r>
              <w:rPr>
                <w:rFonts w:hint="eastAsia" w:ascii="仿宋" w:hAnsi="仿宋" w:eastAsia="仿宋" w:cs="仿宋"/>
                <w:bCs/>
                <w:iCs/>
                <w:sz w:val="24"/>
                <w:lang w:eastAsia="zh-CN"/>
              </w:rPr>
              <w:t>每</w:t>
            </w:r>
            <w:r>
              <w:rPr>
                <w:rFonts w:hint="eastAsia" w:ascii="仿宋" w:hAnsi="仿宋" w:eastAsia="仿宋" w:cs="仿宋"/>
                <w:bCs/>
                <w:iCs/>
                <w:sz w:val="24"/>
              </w:rPr>
              <w:t>1份得1分，</w:t>
            </w:r>
            <w:r>
              <w:rPr>
                <w:rFonts w:hint="eastAsia" w:ascii="仿宋" w:hAnsi="仿宋" w:eastAsia="仿宋" w:cs="仿宋"/>
                <w:bCs/>
                <w:iCs/>
                <w:sz w:val="24"/>
                <w:lang w:eastAsia="zh-CN"/>
              </w:rPr>
              <w:t>最高得</w:t>
            </w:r>
            <w:r>
              <w:rPr>
                <w:rFonts w:hint="eastAsia" w:ascii="仿宋" w:hAnsi="仿宋" w:eastAsia="仿宋" w:cs="仿宋"/>
                <w:bCs/>
                <w:iCs/>
                <w:sz w:val="24"/>
                <w:lang w:val="en-US" w:eastAsia="zh-CN"/>
              </w:rPr>
              <w:t>2分，</w:t>
            </w:r>
            <w:r>
              <w:rPr>
                <w:rFonts w:hint="eastAsia" w:ascii="仿宋" w:hAnsi="仿宋" w:eastAsia="仿宋" w:cs="仿宋"/>
                <w:bCs/>
                <w:iCs/>
                <w:sz w:val="24"/>
              </w:rPr>
              <w:t>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 w:hRule="atLeast"/>
          <w:tblCellSpacing w:w="0" w:type="dxa"/>
        </w:trPr>
        <w:tc>
          <w:tcPr>
            <w:tcW w:w="1567" w:type="dxa"/>
            <w:noWrap w:val="0"/>
            <w:vAlign w:val="center"/>
          </w:tcPr>
          <w:p>
            <w:pPr>
              <w:widowControl/>
              <w:jc w:val="center"/>
              <w:rPr>
                <w:rFonts w:ascii="仿宋" w:hAnsi="仿宋" w:eastAsia="仿宋" w:cs="仿宋"/>
                <w:bCs/>
                <w:iCs/>
                <w:sz w:val="24"/>
              </w:rPr>
            </w:pPr>
            <w:r>
              <w:rPr>
                <w:rFonts w:hint="eastAsia" w:ascii="仿宋" w:hAnsi="仿宋" w:eastAsia="仿宋" w:cs="仿宋"/>
                <w:bCs/>
                <w:iCs/>
                <w:sz w:val="24"/>
              </w:rPr>
              <w:t>投诉（纠纷）处理方案（5分）</w:t>
            </w:r>
          </w:p>
        </w:tc>
        <w:tc>
          <w:tcPr>
            <w:tcW w:w="904" w:type="dxa"/>
            <w:noWrap w:val="0"/>
            <w:vAlign w:val="center"/>
          </w:tcPr>
          <w:p>
            <w:pPr>
              <w:pStyle w:val="12"/>
              <w:widowControl w:val="0"/>
              <w:tabs>
                <w:tab w:val="left" w:pos="420"/>
                <w:tab w:val="left" w:pos="780"/>
              </w:tabs>
              <w:spacing w:after="156"/>
              <w:ind w:left="0" w:firstLine="0"/>
              <w:jc w:val="center"/>
              <w:rPr>
                <w:rFonts w:ascii="仿宋" w:hAnsi="仿宋" w:eastAsia="仿宋" w:cs="仿宋"/>
                <w:bCs/>
                <w:iCs/>
                <w:kern w:val="2"/>
                <w:szCs w:val="24"/>
              </w:rPr>
            </w:pPr>
            <w:r>
              <w:rPr>
                <w:rFonts w:hint="eastAsia" w:ascii="仿宋" w:hAnsi="仿宋" w:eastAsia="仿宋" w:cs="仿宋"/>
                <w:bCs/>
                <w:iCs/>
                <w:kern w:val="2"/>
                <w:szCs w:val="24"/>
              </w:rPr>
              <w:t>5</w:t>
            </w:r>
            <w:bookmarkStart w:id="189" w:name="_GoBack"/>
            <w:bookmarkEnd w:id="189"/>
          </w:p>
        </w:tc>
        <w:tc>
          <w:tcPr>
            <w:tcW w:w="6773" w:type="dxa"/>
            <w:noWrap w:val="0"/>
            <w:vAlign w:val="center"/>
          </w:tcPr>
          <w:p>
            <w:pPr>
              <w:widowControl/>
              <w:jc w:val="left"/>
              <w:rPr>
                <w:rFonts w:ascii="仿宋" w:hAnsi="仿宋" w:eastAsia="仿宋" w:cs="仿宋"/>
                <w:bCs/>
                <w:iCs/>
                <w:sz w:val="24"/>
              </w:rPr>
            </w:pPr>
            <w:r>
              <w:rPr>
                <w:rFonts w:hint="eastAsia" w:ascii="仿宋" w:hAnsi="仿宋" w:eastAsia="仿宋" w:cs="仿宋"/>
                <w:bCs/>
                <w:iCs/>
                <w:sz w:val="24"/>
              </w:rPr>
              <w:t>根据投标人提供的投诉（纠纷）的解决方案及方案可行性、完善性等方面进行综合评审，</w:t>
            </w:r>
            <w:r>
              <w:rPr>
                <w:rFonts w:hint="eastAsia" w:ascii="仿宋" w:hAnsi="仿宋" w:eastAsia="仿宋" w:cs="仿宋"/>
                <w:bCs/>
                <w:iCs/>
                <w:sz w:val="24"/>
                <w:lang w:val="en-US" w:eastAsia="zh-CN"/>
              </w:rPr>
              <w:t>0</w:t>
            </w:r>
            <w:r>
              <w:rPr>
                <w:rFonts w:hint="eastAsia" w:ascii="仿宋" w:hAnsi="仿宋" w:eastAsia="仿宋" w:cs="仿宋"/>
                <w:bCs/>
                <w:iCs/>
                <w:sz w:val="24"/>
              </w:rPr>
              <w:t>-</w:t>
            </w:r>
            <w:r>
              <w:rPr>
                <w:rFonts w:hint="eastAsia" w:ascii="仿宋" w:hAnsi="仿宋" w:eastAsia="仿宋" w:cs="仿宋"/>
                <w:bCs/>
                <w:iCs/>
                <w:sz w:val="24"/>
                <w:lang w:val="en-US" w:eastAsia="zh-CN"/>
              </w:rPr>
              <w:t>5</w:t>
            </w:r>
            <w:r>
              <w:rPr>
                <w:rFonts w:hint="eastAsia" w:ascii="仿宋" w:hAnsi="仿宋" w:eastAsia="仿宋" w:cs="仿宋"/>
                <w:bCs/>
                <w:iCs/>
                <w:sz w:val="24"/>
              </w:rPr>
              <w:t>分，未提供不得分。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其他优惠承诺（</w:t>
            </w:r>
            <w:r>
              <w:rPr>
                <w:rFonts w:hint="eastAsia" w:ascii="仿宋" w:hAnsi="仿宋" w:eastAsia="仿宋" w:cs="仿宋"/>
                <w:bCs/>
                <w:iCs/>
                <w:sz w:val="24"/>
                <w:lang w:val="en-US" w:eastAsia="zh-CN"/>
              </w:rPr>
              <w:t>4</w:t>
            </w:r>
            <w:r>
              <w:rPr>
                <w:rFonts w:hint="eastAsia" w:ascii="仿宋" w:hAnsi="仿宋" w:eastAsia="仿宋" w:cs="仿宋"/>
                <w:bCs/>
                <w:iCs/>
                <w:sz w:val="24"/>
              </w:rPr>
              <w:t>分）</w:t>
            </w:r>
          </w:p>
        </w:tc>
        <w:tc>
          <w:tcPr>
            <w:tcW w:w="904" w:type="dxa"/>
            <w:noWrap w:val="0"/>
            <w:vAlign w:val="center"/>
          </w:tcPr>
          <w:p>
            <w:pPr>
              <w:widowControl/>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4</w:t>
            </w:r>
          </w:p>
        </w:tc>
        <w:tc>
          <w:tcPr>
            <w:tcW w:w="6773"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lang w:eastAsia="zh-CN"/>
              </w:rPr>
              <w:t>对投标人</w:t>
            </w:r>
            <w:r>
              <w:rPr>
                <w:rFonts w:hint="eastAsia" w:ascii="仿宋" w:hAnsi="仿宋" w:eastAsia="仿宋" w:cs="仿宋"/>
                <w:bCs/>
                <w:iCs/>
                <w:sz w:val="24"/>
              </w:rPr>
              <w:t>根据自身能力提供</w:t>
            </w:r>
            <w:r>
              <w:rPr>
                <w:rFonts w:hint="eastAsia" w:ascii="仿宋" w:hAnsi="仿宋" w:eastAsia="仿宋" w:cs="仿宋"/>
                <w:bCs/>
                <w:iCs/>
                <w:sz w:val="24"/>
                <w:lang w:eastAsia="zh-CN"/>
              </w:rPr>
              <w:t>的</w:t>
            </w:r>
            <w:r>
              <w:rPr>
                <w:rFonts w:hint="eastAsia" w:ascii="仿宋" w:hAnsi="仿宋" w:eastAsia="仿宋" w:cs="仿宋"/>
                <w:bCs/>
                <w:iCs/>
                <w:sz w:val="24"/>
              </w:rPr>
              <w:t>各种服务</w:t>
            </w:r>
            <w:r>
              <w:rPr>
                <w:rFonts w:hint="eastAsia" w:ascii="仿宋" w:hAnsi="仿宋" w:eastAsia="仿宋" w:cs="仿宋"/>
                <w:bCs/>
                <w:iCs/>
                <w:sz w:val="24"/>
                <w:lang w:eastAsia="zh-CN"/>
              </w:rPr>
              <w:t>承诺进行综合评审，</w:t>
            </w:r>
            <w:r>
              <w:rPr>
                <w:rFonts w:hint="eastAsia" w:ascii="仿宋" w:hAnsi="仿宋" w:eastAsia="仿宋" w:cs="仿宋"/>
                <w:bCs/>
                <w:iCs/>
                <w:sz w:val="24"/>
                <w:lang w:val="en-US" w:eastAsia="zh-CN"/>
              </w:rPr>
              <w:t>0-4分，</w:t>
            </w:r>
            <w:r>
              <w:rPr>
                <w:rFonts w:hint="eastAsia" w:ascii="仿宋" w:hAnsi="仿宋" w:eastAsia="仿宋" w:cs="仿宋"/>
                <w:bCs/>
                <w:iCs/>
                <w:sz w:val="24"/>
              </w:rPr>
              <w:t>未提供不得分。</w:t>
            </w:r>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 减分：投标人的信誉情况：</w:t>
      </w:r>
      <w:r>
        <w:rPr>
          <w:rFonts w:hint="eastAsia" w:ascii="仿宋" w:hAnsi="仿宋" w:eastAsia="仿宋" w:cs="仿宋"/>
          <w:b w:val="0"/>
          <w:bCs w:val="0"/>
          <w:iCs/>
          <w:color w:val="auto"/>
          <w:sz w:val="24"/>
          <w:highlight w:val="none"/>
        </w:rPr>
        <w:t>政府采购领域中投标人在项目招标、投标和合同履约期间是否存在不良行为记录。</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w:t>
      </w:r>
      <w:r>
        <w:rPr>
          <w:rFonts w:hint="eastAsia" w:ascii="仿宋" w:hAnsi="仿宋" w:eastAsia="仿宋" w:cs="仿宋"/>
          <w:b w:val="0"/>
          <w:bCs w:val="0"/>
          <w:iCs/>
          <w:color w:val="auto"/>
          <w:sz w:val="24"/>
          <w:highlight w:val="none"/>
        </w:rPr>
        <w:t>投标人参加本次政府采购活动前三年内在浙江省范围内政府采购领域中受到不良行为记录处罚的每次扣1分。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2.2.2本项目以浙江省医疗服务价格收费标准</w:t>
      </w:r>
      <w:r>
        <w:rPr>
          <w:rFonts w:hint="eastAsia" w:ascii="仿宋" w:hAnsi="仿宋" w:eastAsia="仿宋" w:cs="仿宋"/>
          <w:bCs/>
          <w:iCs/>
          <w:color w:val="auto"/>
          <w:sz w:val="24"/>
          <w:highlight w:val="none"/>
          <w:lang w:eastAsia="zh-CN"/>
        </w:rPr>
        <w:t>百分比报价</w:t>
      </w:r>
      <w:r>
        <w:rPr>
          <w:rFonts w:hint="eastAsia" w:ascii="仿宋" w:hAnsi="仿宋" w:eastAsia="仿宋" w:cs="仿宋"/>
          <w:bCs/>
          <w:iCs/>
          <w:color w:val="auto"/>
          <w:sz w:val="24"/>
          <w:highlight w:val="none"/>
        </w:rPr>
        <w:t>（小写,小数点后保留两位</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rPr>
        <w:t>，如:投标人报价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0.00%，则外送检测费为70元/项</w:t>
      </w:r>
      <w:r>
        <w:rPr>
          <w:rFonts w:hint="default" w:ascii="仿宋" w:hAnsi="仿宋" w:eastAsia="仿宋" w:cs="仿宋"/>
          <w:bCs/>
          <w:iCs/>
          <w:color w:val="auto"/>
          <w:sz w:val="24"/>
          <w:highlight w:val="none"/>
        </w:rPr>
        <w:t>×</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0%=2</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元/项。</w:t>
      </w:r>
      <w:r>
        <w:rPr>
          <w:rFonts w:hint="eastAsia" w:ascii="仿宋" w:hAnsi="仿宋" w:eastAsia="仿宋" w:cs="仿宋"/>
          <w:b/>
          <w:bCs w:val="0"/>
          <w:iCs/>
          <w:color w:val="auto"/>
          <w:sz w:val="24"/>
          <w:highlight w:val="none"/>
        </w:rPr>
        <w:t>上限为3</w:t>
      </w:r>
      <w:r>
        <w:rPr>
          <w:rFonts w:hint="eastAsia" w:ascii="仿宋" w:hAnsi="仿宋" w:eastAsia="仿宋" w:cs="仿宋"/>
          <w:b/>
          <w:bCs w:val="0"/>
          <w:iCs/>
          <w:color w:val="auto"/>
          <w:sz w:val="24"/>
          <w:highlight w:val="none"/>
          <w:lang w:val="en-US" w:eastAsia="zh-CN"/>
        </w:rPr>
        <w:t>8</w:t>
      </w:r>
      <w:r>
        <w:rPr>
          <w:rFonts w:hint="eastAsia" w:ascii="仿宋" w:hAnsi="仿宋" w:eastAsia="仿宋" w:cs="仿宋"/>
          <w:b/>
          <w:bCs w:val="0"/>
          <w:iCs/>
          <w:color w:val="auto"/>
          <w:sz w:val="24"/>
          <w:highlight w:val="none"/>
        </w:rPr>
        <w:t>%，如超过上限，作无效标处理。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2.2.3其他投标人的价格分统一按照下列公式计算：</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rPr>
          <w:rFonts w:hint="eastAsia"/>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（5）</w:t>
      </w:r>
      <w:r>
        <w:rPr>
          <w:rFonts w:hint="eastAsia" w:cs="仿宋"/>
        </w:rPr>
        <w:t>法定代表人身份证明书…………………………………………………… （页码）</w:t>
      </w:r>
    </w:p>
    <w:p>
      <w:pPr>
        <w:pStyle w:val="904"/>
        <w:spacing w:line="336" w:lineRule="auto"/>
        <w:ind w:left="0" w:firstLine="0" w:firstLineChars="0"/>
        <w:rPr>
          <w:rFonts w:cs="仿宋"/>
        </w:rPr>
      </w:pPr>
      <w:r>
        <w:rPr>
          <w:rFonts w:hint="eastAsia" w:cs="仿宋"/>
          <w:lang w:val="zh-CN"/>
        </w:rPr>
        <w:t>（6）</w:t>
      </w:r>
      <w:r>
        <w:rPr>
          <w:rFonts w:hint="eastAsia" w:cs="仿宋"/>
        </w:rPr>
        <w:t>商务技术偏离表…………………………………………………………… （页码）</w:t>
      </w:r>
    </w:p>
    <w:p>
      <w:pPr>
        <w:pStyle w:val="904"/>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5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exact"/>
          <w:jc w:val="center"/>
        </w:trPr>
        <w:tc>
          <w:tcPr>
            <w:tcW w:w="2941" w:type="dxa"/>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项目名称</w:t>
            </w:r>
          </w:p>
        </w:tc>
        <w:tc>
          <w:tcPr>
            <w:tcW w:w="5639" w:type="dxa"/>
            <w:vAlign w:val="center"/>
          </w:tcPr>
          <w:p>
            <w:pP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绍兴市第七人民医院关于药物浓度检测委托服务项目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exact"/>
          <w:jc w:val="center"/>
        </w:trPr>
        <w:tc>
          <w:tcPr>
            <w:tcW w:w="2941" w:type="dxa"/>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投标折扣率</w:t>
            </w:r>
          </w:p>
        </w:tc>
        <w:tc>
          <w:tcPr>
            <w:tcW w:w="5639" w:type="dxa"/>
            <w:vAlign w:val="center"/>
          </w:tcPr>
          <w:p>
            <w:pPr>
              <w:rPr>
                <w:rFonts w:ascii="仿宋_GB2312" w:hAnsi="仿宋_GB2312" w:eastAsia="仿宋_GB2312" w:cs="仿宋_GB2312"/>
                <w:kern w:val="0"/>
                <w:sz w:val="24"/>
              </w:rPr>
            </w:pPr>
            <w:r>
              <w:rPr>
                <w:rFonts w:hint="eastAsia" w:ascii="仿宋" w:hAnsi="仿宋" w:eastAsia="仿宋" w:cs="仿宋"/>
                <w:bCs/>
                <w:iCs/>
                <w:sz w:val="24"/>
              </w:rPr>
              <w:t>浙江省医疗服务价格收费标准</w:t>
            </w:r>
            <w:r>
              <w:rPr>
                <w:rFonts w:hint="eastAsia" w:ascii="仿宋" w:hAnsi="仿宋" w:eastAsia="仿宋" w:cs="仿宋"/>
                <w:bCs/>
                <w:iCs/>
                <w:sz w:val="24"/>
                <w:u w:val="single"/>
              </w:rPr>
              <w:t xml:space="preserve">    </w:t>
            </w:r>
            <w:r>
              <w:rPr>
                <w:rFonts w:hint="eastAsia" w:ascii="仿宋" w:hAnsi="仿宋" w:eastAsia="仿宋" w:cs="仿宋"/>
                <w:bCs/>
                <w:iCs/>
                <w:sz w:val="24"/>
              </w:rPr>
              <w:t>%</w:t>
            </w: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3"/>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79" w:name="_Hlk101259491"/>
      <w:r>
        <w:rPr>
          <w:rFonts w:hint="eastAsia" w:ascii="仿宋_GB2312" w:hAnsi="仿宋" w:eastAsia="仿宋_GB2312" w:cs="仿宋"/>
          <w:sz w:val="32"/>
          <w:szCs w:val="32"/>
        </w:rPr>
        <w:t>（如果有）</w:t>
      </w:r>
      <w:bookmarkEnd w:id="179"/>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Ansi="仿宋" w:cs="仿宋"/>
          <w:b/>
          <w:color w:val="auto"/>
        </w:rPr>
      </w:pPr>
    </w:p>
    <w:p>
      <w:pPr>
        <w:pStyle w:val="80"/>
        <w:rPr>
          <w:rFonts w:ascii="仿宋_GB2312" w:hAnsi="仿宋" w:eastAsia="仿宋_GB2312" w:cs="仿宋"/>
          <w:b/>
          <w:sz w:val="24"/>
        </w:rPr>
      </w:pPr>
    </w:p>
    <w:p>
      <w:pPr>
        <w:rPr>
          <w:rFonts w:ascii="仿宋_GB2312" w:hAnsi="仿宋" w:eastAsia="仿宋_GB2312" w:cs="仿宋"/>
          <w:b/>
          <w:sz w:val="24"/>
        </w:rPr>
      </w:pPr>
    </w:p>
    <w:p>
      <w:pPr>
        <w:pStyle w:val="79"/>
        <w:rPr>
          <w:rFonts w:hAnsi="仿宋" w:cs="仿宋"/>
          <w:b/>
          <w:color w:val="auto"/>
        </w:rPr>
      </w:pPr>
    </w:p>
    <w:p>
      <w:pPr>
        <w:pStyle w:val="80"/>
        <w:rPr>
          <w:rFonts w:ascii="仿宋_GB2312" w:eastAsia="仿宋_GB2312"/>
        </w:rPr>
      </w:pPr>
    </w:p>
    <w:p>
      <w:pPr>
        <w:pStyle w:val="80"/>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79"/>
        <w:widowControl/>
        <w:spacing w:line="360" w:lineRule="auto"/>
        <w:ind w:firstLine="120" w:firstLineChars="50"/>
        <w:rPr>
          <w:rFonts w:hAnsi="仿宋" w:cs="仿宋"/>
          <w:b/>
          <w:color w:val="auto"/>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3"/>
        <w:rPr>
          <w:rFonts w:hint="eastAsia"/>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0" w:name="_Hlk101131882"/>
      <w:r>
        <w:rPr>
          <w:rFonts w:hint="eastAsia" w:ascii="仿宋" w:hAnsi="仿宋" w:eastAsia="仿宋" w:cs="仿宋"/>
          <w:color w:val="auto"/>
          <w:kern w:val="0"/>
          <w:sz w:val="24"/>
          <w:highlight w:val="none"/>
          <w:u w:val="single"/>
        </w:rPr>
        <w:t>联合体成员X,……</w:t>
      </w:r>
      <w:bookmarkEnd w:id="18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1"/>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2"/>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3" w:name="OLE_LINK13"/>
      <w:bookmarkStart w:id="184" w:name="OLE_LINK14"/>
      <w:r>
        <w:rPr>
          <w:rFonts w:hint="eastAsia" w:ascii="仿宋" w:hAnsi="仿宋" w:eastAsia="仿宋" w:cs="仿宋"/>
          <w:b/>
          <w:color w:val="auto"/>
          <w:spacing w:val="6"/>
          <w:sz w:val="32"/>
          <w:szCs w:val="32"/>
          <w:highlight w:val="none"/>
        </w:rPr>
        <w:t>残疾人福利性单位声明函</w:t>
      </w:r>
    </w:p>
    <w:bookmarkEnd w:id="183"/>
    <w:bookmarkEnd w:id="18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5" w:name="_Toc91899912"/>
    <w:bookmarkStart w:id="186" w:name="_Toc36110187"/>
    <w:bookmarkStart w:id="187" w:name="_Toc164085800"/>
    <w:bookmarkStart w:id="188" w:name="_Toc131845147"/>
    <w:r>
      <w:rPr>
        <w:rFonts w:hint="eastAsia" w:ascii="仿宋_GB2312" w:eastAsia="仿宋_GB2312"/>
        <w:kern w:val="0"/>
        <w:szCs w:val="21"/>
      </w:rPr>
      <w:t xml:space="preserve"> 页</w:t>
    </w:r>
    <w:bookmarkEnd w:id="185"/>
    <w:bookmarkEnd w:id="186"/>
    <w:bookmarkEnd w:id="187"/>
    <w:bookmarkEnd w:id="18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ZJFY-20247002</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ZJFY-20247002</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F8F52FF"/>
    <w:multiLevelType w:val="singleLevel"/>
    <w:tmpl w:val="0F8F52F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4B72BAC"/>
    <w:rsid w:val="04C924C0"/>
    <w:rsid w:val="0CAE4D39"/>
    <w:rsid w:val="0F096B8F"/>
    <w:rsid w:val="0F63063F"/>
    <w:rsid w:val="109C5E4D"/>
    <w:rsid w:val="120347F9"/>
    <w:rsid w:val="14F05CCB"/>
    <w:rsid w:val="18E60774"/>
    <w:rsid w:val="196E568D"/>
    <w:rsid w:val="1D2F1C3B"/>
    <w:rsid w:val="27D50B6B"/>
    <w:rsid w:val="2DBE3E50"/>
    <w:rsid w:val="30CD01D9"/>
    <w:rsid w:val="325F008C"/>
    <w:rsid w:val="337D0F55"/>
    <w:rsid w:val="367F41A7"/>
    <w:rsid w:val="374D2342"/>
    <w:rsid w:val="3F1D6FC6"/>
    <w:rsid w:val="427E60E8"/>
    <w:rsid w:val="49547CAB"/>
    <w:rsid w:val="4ECC71BA"/>
    <w:rsid w:val="4F4B3D85"/>
    <w:rsid w:val="4F75014E"/>
    <w:rsid w:val="596E73D9"/>
    <w:rsid w:val="5B45089A"/>
    <w:rsid w:val="5F4E5E85"/>
    <w:rsid w:val="5F561B6F"/>
    <w:rsid w:val="5F57E5CA"/>
    <w:rsid w:val="608B5AEC"/>
    <w:rsid w:val="63BB4762"/>
    <w:rsid w:val="652561BA"/>
    <w:rsid w:val="66551FB6"/>
    <w:rsid w:val="669C35D3"/>
    <w:rsid w:val="67DE2B76"/>
    <w:rsid w:val="680578CB"/>
    <w:rsid w:val="6C9E34CA"/>
    <w:rsid w:val="6DEB30BD"/>
    <w:rsid w:val="6E093496"/>
    <w:rsid w:val="6FC37AD4"/>
    <w:rsid w:val="7316615C"/>
    <w:rsid w:val="74A9072E"/>
    <w:rsid w:val="755E4A17"/>
    <w:rsid w:val="75FB438B"/>
    <w:rsid w:val="78AD1F79"/>
    <w:rsid w:val="799F1C7A"/>
    <w:rsid w:val="7CF22563"/>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9"/>
    <w:autoRedefine/>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5"/>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2"/>
    <w:autoRedefine/>
    <w:qFormat/>
    <w:uiPriority w:val="0"/>
    <w:pPr>
      <w:spacing w:after="120" w:line="480" w:lineRule="auto"/>
    </w:pPr>
  </w:style>
  <w:style w:type="paragraph" w:styleId="56">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autoRedefine/>
    <w:qFormat/>
    <w:uiPriority w:val="0"/>
    <w:rPr>
      <w:b/>
      <w:bCs/>
    </w:rPr>
  </w:style>
  <w:style w:type="paragraph" w:styleId="60">
    <w:name w:val="Body Text First Indent"/>
    <w:basedOn w:val="23"/>
    <w:next w:val="1"/>
    <w:link w:val="321"/>
    <w:autoRedefine/>
    <w:qFormat/>
    <w:uiPriority w:val="0"/>
    <w:pPr>
      <w:ind w:firstLine="420"/>
    </w:pPr>
    <w:rPr>
      <w:rFonts w:hAnsi="Calibri" w:cs="Times New Roman"/>
      <w:snapToGrid/>
      <w:szCs w:val="20"/>
    </w:rPr>
  </w:style>
  <w:style w:type="paragraph" w:styleId="61">
    <w:name w:val="Body Text First Indent 2"/>
    <w:basedOn w:val="24"/>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autoRedefine/>
    <w:qFormat/>
    <w:uiPriority w:val="0"/>
    <w:pPr>
      <w:spacing w:line="360" w:lineRule="auto"/>
      <w:ind w:firstLine="480" w:firstLineChars="200"/>
    </w:pPr>
    <w:rPr>
      <w:rFonts w:ascii="宋体"/>
      <w:sz w:val="24"/>
      <w:szCs w:val="20"/>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59"/>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6"/>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7"/>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5"/>
    <w:autoRedefine/>
    <w:qFormat/>
    <w:uiPriority w:val="0"/>
    <w:rPr>
      <w:rFonts w:ascii="宋体"/>
      <w:kern w:val="2"/>
      <w:sz w:val="24"/>
      <w:szCs w:val="21"/>
      <w:lang w:val="zh-CN"/>
    </w:rPr>
  </w:style>
  <w:style w:type="character" w:customStyle="1" w:styleId="183">
    <w:name w:val="标题 9 Char"/>
    <w:link w:val="10"/>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8"/>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5"/>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4"/>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8"/>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6"/>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6"/>
    <w:autoRedefine/>
    <w:qFormat/>
    <w:uiPriority w:val="0"/>
    <w:rPr>
      <w:rFonts w:ascii="黑体" w:hAnsi="Courier New" w:eastAsia="黑体"/>
    </w:rPr>
  </w:style>
  <w:style w:type="character" w:customStyle="1" w:styleId="302">
    <w:name w:val="正文文本 2 Char1"/>
    <w:link w:val="55"/>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5"/>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8"/>
    <w:autoRedefine/>
    <w:qFormat/>
    <w:uiPriority w:val="0"/>
    <w:rPr>
      <w:b/>
      <w:bCs/>
      <w:kern w:val="2"/>
      <w:sz w:val="24"/>
      <w:szCs w:val="24"/>
    </w:rPr>
  </w:style>
  <w:style w:type="character" w:customStyle="1" w:styleId="308">
    <w:name w:val="正文文本缩进 2 Char"/>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49"/>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0"/>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5"/>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1"/>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2"/>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0"/>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1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6"/>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4"/>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8"/>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3"/>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3"/>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8"/>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40152</Words>
  <Characters>42752</Characters>
  <Paragraphs>1943</Paragraphs>
  <TotalTime>24</TotalTime>
  <ScaleCrop>false</ScaleCrop>
  <LinksUpToDate>false</LinksUpToDate>
  <CharactersWithSpaces>50218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WW</cp:lastModifiedBy>
  <cp:lastPrinted>2021-12-28T19:06:00Z</cp:lastPrinted>
  <dcterms:modified xsi:type="dcterms:W3CDTF">2024-04-25T04:26:16Z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ies>
</file>