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highlight w:val="none"/>
        </w:rPr>
      </w:pPr>
    </w:p>
    <w:p>
      <w:pPr>
        <w:adjustRightInd/>
        <w:spacing w:line="360" w:lineRule="auto"/>
        <w:jc w:val="center"/>
        <w:rPr>
          <w:rFonts w:ascii="仿宋" w:hAnsi="仿宋" w:eastAsia="仿宋" w:cs="仿宋_GB2312"/>
          <w:sz w:val="48"/>
          <w:szCs w:val="48"/>
          <w:highlight w:val="none"/>
        </w:rPr>
      </w:pPr>
    </w:p>
    <w:p>
      <w:pPr>
        <w:pStyle w:val="5"/>
        <w:rPr>
          <w:highlight w:val="none"/>
        </w:rPr>
      </w:pPr>
    </w:p>
    <w:p>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杭州西湖博物馆总馆安保服务项目</w:t>
      </w:r>
    </w:p>
    <w:p>
      <w:pPr>
        <w:adjustRightInd/>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招标文件</w:t>
      </w:r>
    </w:p>
    <w:p>
      <w:pPr>
        <w:pStyle w:val="5"/>
        <w:rPr>
          <w:highlight w:val="none"/>
        </w:rPr>
      </w:pP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snapToGrid w:val="0"/>
        <w:spacing w:line="360" w:lineRule="auto"/>
        <w:jc w:val="center"/>
        <w:rPr>
          <w:rFonts w:ascii="仿宋" w:hAnsi="仿宋" w:eastAsia="仿宋" w:cs="仿宋_GB2312"/>
          <w:sz w:val="30"/>
          <w:szCs w:val="30"/>
          <w:highlight w:val="none"/>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rPr>
        <w:t>FYC012208-73</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pStyle w:val="5"/>
        <w:rPr>
          <w:rFonts w:ascii="仿宋" w:eastAsia="仿宋" w:cs="仿宋_GB2312"/>
          <w:sz w:val="24"/>
          <w:highlight w:val="none"/>
        </w:rPr>
      </w:pPr>
    </w:p>
    <w:p>
      <w:pPr>
        <w:rPr>
          <w:highlight w:val="none"/>
        </w:rPr>
      </w:pPr>
    </w:p>
    <w:p>
      <w:pPr>
        <w:spacing w:line="360" w:lineRule="auto"/>
        <w:rPr>
          <w:rFonts w:ascii="仿宋" w:hAnsi="仿宋" w:eastAsia="仿宋" w:cs="仿宋_GB2312"/>
          <w:sz w:val="32"/>
          <w:szCs w:val="32"/>
          <w:highlight w:val="none"/>
        </w:rPr>
      </w:pP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杭州西湖博物馆总馆</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(西湖学研究院、杭州西湖风景名胜区网宣中心)</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浙江泛亚工程咨询有限公司</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二〇二二年八月</w:t>
      </w:r>
      <w:r>
        <w:rPr>
          <w:rFonts w:hint="eastAsia" w:ascii="仿宋" w:hAnsi="仿宋" w:eastAsia="仿宋" w:cs="仿宋_GB2312"/>
          <w:bCs/>
          <w:sz w:val="32"/>
          <w:szCs w:val="32"/>
          <w:highlight w:val="none"/>
          <w:lang w:val="en-US" w:eastAsia="zh-CN"/>
        </w:rPr>
        <w:t>十</w:t>
      </w:r>
      <w:r>
        <w:rPr>
          <w:rFonts w:hint="eastAsia" w:ascii="仿宋" w:hAnsi="仿宋" w:eastAsia="仿宋" w:cs="仿宋_GB2312"/>
          <w:bCs/>
          <w:sz w:val="32"/>
          <w:szCs w:val="32"/>
          <w:highlight w:val="none"/>
        </w:rPr>
        <w:t>日</w:t>
      </w:r>
    </w:p>
    <w:p>
      <w:pPr>
        <w:spacing w:line="360" w:lineRule="auto"/>
        <w:jc w:val="center"/>
        <w:rPr>
          <w:rFonts w:ascii="仿宋" w:hAnsi="仿宋" w:eastAsia="仿宋" w:cs="仿宋_GB2312"/>
          <w:sz w:val="24"/>
          <w:highlight w:val="none"/>
        </w:rPr>
      </w:pPr>
      <w:r>
        <w:rPr>
          <w:rFonts w:ascii="仿宋" w:hAnsi="仿宋" w:eastAsia="仿宋" w:cs="仿宋_GB2312"/>
          <w:sz w:val="24"/>
          <w:highlight w:val="none"/>
        </w:rPr>
        <w:br w:type="page"/>
      </w:r>
      <w:bookmarkStart w:id="0" w:name="_Hlt67893495"/>
      <w:bookmarkEnd w:id="0"/>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b/>
          <w:sz w:val="48"/>
          <w:szCs w:val="48"/>
          <w:highlight w:val="none"/>
        </w:rPr>
      </w:pPr>
      <w:r>
        <w:rPr>
          <w:rFonts w:hint="eastAsia" w:ascii="仿宋" w:hAnsi="仿宋" w:eastAsia="仿宋" w:cs="仿宋_GB2312"/>
          <w:b/>
          <w:sz w:val="48"/>
          <w:szCs w:val="48"/>
          <w:highlight w:val="none"/>
        </w:rPr>
        <w:t>目</w:t>
      </w:r>
      <w:r>
        <w:rPr>
          <w:rFonts w:ascii="仿宋" w:hAnsi="仿宋" w:eastAsia="仿宋" w:cs="仿宋_GB2312"/>
          <w:b/>
          <w:sz w:val="48"/>
          <w:szCs w:val="48"/>
          <w:highlight w:val="none"/>
        </w:rPr>
        <w:t xml:space="preserve">  </w:t>
      </w:r>
      <w:r>
        <w:rPr>
          <w:rFonts w:hint="eastAsia" w:ascii="仿宋" w:hAnsi="仿宋" w:eastAsia="仿宋" w:cs="仿宋_GB2312"/>
          <w:b/>
          <w:sz w:val="48"/>
          <w:szCs w:val="48"/>
          <w:highlight w:val="none"/>
        </w:rPr>
        <w:t>录</w:t>
      </w:r>
    </w:p>
    <w:p>
      <w:pPr>
        <w:spacing w:line="360" w:lineRule="auto"/>
        <w:rPr>
          <w:rFonts w:ascii="仿宋" w:hAnsi="仿宋" w:eastAsia="仿宋" w:cs="仿宋_GB2312"/>
          <w:sz w:val="32"/>
          <w:szCs w:val="32"/>
          <w:highlight w:val="none"/>
        </w:rPr>
      </w:pPr>
    </w:p>
    <w:p>
      <w:pPr>
        <w:spacing w:line="360" w:lineRule="auto"/>
        <w:rPr>
          <w:rFonts w:ascii="仿宋" w:hAnsi="仿宋" w:eastAsia="仿宋" w:cs="仿宋_GB2312"/>
          <w:sz w:val="32"/>
          <w:szCs w:val="32"/>
          <w:highlight w:val="none"/>
        </w:rPr>
      </w:pP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第一部分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招标公告</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第二部分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投标人须知</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第三部分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采购需求</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第四部分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评标办法</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第五部分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拟签订的合同文本</w:t>
      </w:r>
    </w:p>
    <w:p>
      <w:pPr>
        <w:spacing w:line="360" w:lineRule="auto"/>
        <w:ind w:firstLine="1280" w:firstLineChars="400"/>
        <w:rPr>
          <w:rFonts w:ascii="仿宋" w:hAnsi="仿宋" w:eastAsia="仿宋" w:cs="仿宋_GB2312"/>
          <w:sz w:val="32"/>
          <w:szCs w:val="32"/>
          <w:highlight w:val="none"/>
        </w:rPr>
      </w:pPr>
      <w:r>
        <w:rPr>
          <w:rFonts w:hint="eastAsia" w:ascii="仿宋" w:hAnsi="仿宋" w:eastAsia="仿宋" w:cs="仿宋_GB2312"/>
          <w:sz w:val="32"/>
          <w:szCs w:val="32"/>
          <w:highlight w:val="none"/>
        </w:rPr>
        <w:t>第六部分</w:t>
      </w:r>
      <w:r>
        <w:rPr>
          <w:rFonts w:ascii="仿宋" w:hAnsi="仿宋" w:eastAsia="仿宋" w:cs="仿宋_GB2312"/>
          <w:sz w:val="32"/>
          <w:szCs w:val="32"/>
          <w:highlight w:val="none"/>
        </w:rPr>
        <w:t xml:space="preserve">      </w:t>
      </w:r>
      <w:r>
        <w:rPr>
          <w:rFonts w:hint="eastAsia" w:ascii="仿宋" w:hAnsi="仿宋" w:eastAsia="仿宋" w:cs="仿宋_GB2312"/>
          <w:sz w:val="32"/>
          <w:szCs w:val="32"/>
          <w:highlight w:val="none"/>
        </w:rPr>
        <w:t>应提交的有关格式范例</w:t>
      </w:r>
    </w:p>
    <w:p>
      <w:pPr>
        <w:spacing w:line="360" w:lineRule="auto"/>
        <w:ind w:firstLine="549" w:firstLineChars="229"/>
        <w:rPr>
          <w:rFonts w:ascii="仿宋" w:hAnsi="仿宋" w:eastAsia="仿宋" w:cs="仿宋_GB2312"/>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ind w:firstLine="549" w:firstLineChars="229"/>
        <w:rPr>
          <w:rFonts w:ascii="仿宋" w:hAnsi="仿宋" w:eastAsia="仿宋" w:cs="仿宋_GB2312"/>
          <w:sz w:val="24"/>
          <w:highlight w:val="none"/>
        </w:rPr>
      </w:pPr>
    </w:p>
    <w:p>
      <w:pPr>
        <w:spacing w:line="360" w:lineRule="auto"/>
        <w:rPr>
          <w:rFonts w:ascii="仿宋" w:hAnsi="仿宋" w:eastAsia="仿宋" w:cs="仿宋_GB2312"/>
          <w:sz w:val="24"/>
          <w:highlight w:val="none"/>
        </w:rPr>
      </w:pPr>
    </w:p>
    <w:p>
      <w:pPr>
        <w:adjustRightInd/>
        <w:spacing w:line="360" w:lineRule="auto"/>
        <w:jc w:val="center"/>
        <w:outlineLvl w:val="0"/>
        <w:rPr>
          <w:rFonts w:ascii="仿宋_GB2312" w:hAnsi="仿宋" w:eastAsia="仿宋_GB2312" w:cs="仿宋_GB2312"/>
          <w:b/>
          <w:sz w:val="36"/>
          <w:szCs w:val="20"/>
          <w:highlight w:val="none"/>
        </w:rPr>
      </w:pPr>
      <w:bookmarkStart w:id="3" w:name="第一部分"/>
      <w:r>
        <w:rPr>
          <w:rFonts w:ascii="仿宋" w:hAnsi="仿宋" w:eastAsia="仿宋" w:cs="仿宋_GB2312"/>
          <w:b/>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sz w:val="36"/>
          <w:szCs w:val="20"/>
          <w:highlight w:val="none"/>
        </w:rPr>
        <w:t>第一部分</w:t>
      </w:r>
      <w:r>
        <w:rPr>
          <w:rFonts w:ascii="仿宋" w:hAnsi="仿宋" w:eastAsia="仿宋" w:cs="仿宋_GB2312"/>
          <w:b/>
          <w:sz w:val="36"/>
          <w:szCs w:val="20"/>
          <w:highlight w:val="none"/>
        </w:rPr>
        <w:t xml:space="preserve"> </w:t>
      </w:r>
      <w:r>
        <w:rPr>
          <w:rFonts w:hint="eastAsia" w:ascii="仿宋_GB2312" w:hAnsi="仿宋" w:eastAsia="仿宋_GB2312" w:cs="仿宋_GB2312"/>
          <w:b/>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杭州西湖博物馆总馆安保服务项目招标项目的潜在投标人应在政采云平台（</w:t>
      </w:r>
      <w:r>
        <w:rPr>
          <w:highlight w:val="none"/>
        </w:rPr>
        <w:fldChar w:fldCharType="begin"/>
      </w:r>
      <w:r>
        <w:rPr>
          <w:highlight w:val="none"/>
        </w:rPr>
        <w:instrText xml:space="preserve"> HYPERLINK "https://www.zcygov.cn/）获取（下载）招标文件，并于2022年%20%20月%20%20日09:00" </w:instrText>
      </w:r>
      <w:r>
        <w:rPr>
          <w:highlight w:val="none"/>
        </w:rPr>
        <w:fldChar w:fldCharType="separate"/>
      </w:r>
      <w:r>
        <w:rPr>
          <w:rFonts w:hint="eastAsia" w:ascii="仿宋_GB2312" w:hAnsi="仿宋" w:eastAsia="仿宋_GB2312"/>
          <w:sz w:val="24"/>
          <w:highlight w:val="none"/>
        </w:rPr>
        <w:t>https://www.zcygov.cn/）获取（下载）招标文件，并于2022年09月01日09:00</w:t>
      </w:r>
      <w:r>
        <w:rPr>
          <w:rFonts w:hint="eastAsia" w:ascii="仿宋_GB2312" w:hAnsi="仿宋" w:eastAsia="仿宋_GB2312"/>
          <w:sz w:val="24"/>
          <w:highlight w:val="none"/>
        </w:rPr>
        <w:fldChar w:fldCharType="end"/>
      </w:r>
      <w:r>
        <w:rPr>
          <w:rFonts w:hint="eastAsia" w:ascii="仿宋_GB2312" w:hAnsi="仿宋" w:eastAsia="仿宋_GB2312"/>
          <w:sz w:val="24"/>
          <w:highlight w:val="none"/>
        </w:rPr>
        <w:t>（北</w:t>
      </w:r>
      <w:r>
        <w:rPr>
          <w:rFonts w:hint="eastAsia" w:ascii="仿宋_GB2312" w:hAnsi="仿宋" w:eastAsia="仿宋_GB2312"/>
          <w:bCs/>
          <w:sz w:val="24"/>
          <w:highlight w:val="none"/>
        </w:rPr>
        <w:t>京时间）前</w:t>
      </w:r>
      <w:r>
        <w:rPr>
          <w:rFonts w:hint="eastAsia" w:ascii="仿宋_GB2312" w:hAnsi="仿宋" w:eastAsia="仿宋_GB2312"/>
          <w:sz w:val="24"/>
          <w:highlight w:val="none"/>
        </w:rPr>
        <w:t>递交（上传）投标文件。</w:t>
      </w:r>
    </w:p>
    <w:p>
      <w:pPr>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一、项目基本情况</w:t>
      </w:r>
      <w:r>
        <w:rPr>
          <w:rFonts w:ascii="仿宋_GB2312" w:hAnsi="仿宋" w:eastAsia="仿宋_GB2312"/>
          <w:b/>
          <w:sz w:val="24"/>
          <w:highlight w:val="none"/>
        </w:rPr>
        <w:t xml:space="preserve">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sz w:val="24"/>
          <w:highlight w:val="none"/>
        </w:rPr>
        <w:t>项目编号：FYC012208-73</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项目名称：</w:t>
      </w:r>
      <w:r>
        <w:rPr>
          <w:rFonts w:hint="eastAsia" w:ascii="仿宋_GB2312" w:hAnsi="仿宋" w:eastAsia="仿宋_GB2312"/>
          <w:sz w:val="24"/>
          <w:highlight w:val="none"/>
        </w:rPr>
        <w:t>杭州西湖博物馆总馆安保服务项目</w:t>
      </w:r>
    </w:p>
    <w:p>
      <w:pPr>
        <w:snapToGrid w:val="0"/>
        <w:spacing w:line="360" w:lineRule="auto"/>
        <w:ind w:firstLine="480" w:firstLineChars="200"/>
        <w:rPr>
          <w:rFonts w:ascii="仿宋_GB2312" w:hAnsi="仿宋" w:eastAsia="仿宋_GB2312"/>
          <w:bCs/>
          <w:sz w:val="24"/>
          <w:highlight w:val="none"/>
        </w:rPr>
      </w:pPr>
      <w:r>
        <w:rPr>
          <w:rFonts w:hint="eastAsia" w:ascii="仿宋_GB2312" w:hAnsi="仿宋" w:eastAsia="仿宋_GB2312"/>
          <w:sz w:val="24"/>
          <w:highlight w:val="none"/>
        </w:rPr>
        <w:t>预算金额（元）：</w:t>
      </w:r>
      <w:r>
        <w:rPr>
          <w:rFonts w:hint="eastAsia" w:ascii="仿宋_GB2312" w:hAnsi="仿宋" w:eastAsia="仿宋_GB2312"/>
          <w:bCs/>
          <w:sz w:val="24"/>
          <w:highlight w:val="none"/>
        </w:rPr>
        <w:t>5280000</w:t>
      </w:r>
    </w:p>
    <w:p>
      <w:pPr>
        <w:snapToGrid w:val="0"/>
        <w:spacing w:line="360" w:lineRule="auto"/>
        <w:ind w:firstLine="480" w:firstLineChars="200"/>
        <w:rPr>
          <w:rFonts w:ascii="仿宋_GB2312" w:hAnsi="仿宋" w:eastAsia="仿宋_GB2312"/>
          <w:bCs/>
          <w:sz w:val="24"/>
          <w:highlight w:val="none"/>
        </w:rPr>
      </w:pPr>
      <w:r>
        <w:rPr>
          <w:rFonts w:hint="eastAsia" w:ascii="仿宋_GB2312" w:hAnsi="仿宋" w:eastAsia="仿宋_GB2312"/>
          <w:sz w:val="24"/>
          <w:highlight w:val="none"/>
        </w:rPr>
        <w:t>最高限价（元）：</w:t>
      </w:r>
      <w:r>
        <w:rPr>
          <w:rFonts w:hint="eastAsia" w:ascii="仿宋_GB2312" w:hAnsi="仿宋" w:eastAsia="仿宋_GB2312"/>
          <w:bCs/>
          <w:sz w:val="24"/>
          <w:highlight w:val="none"/>
        </w:rPr>
        <w:t>5280000</w:t>
      </w:r>
    </w:p>
    <w:p>
      <w:pPr>
        <w:pStyle w:val="17"/>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采购需求：</w:t>
      </w:r>
    </w:p>
    <w:p>
      <w:pPr>
        <w:pStyle w:val="17"/>
        <w:spacing w:line="360" w:lineRule="auto"/>
        <w:ind w:firstLine="480"/>
        <w:rPr>
          <w:rFonts w:ascii="仿宋_GB2312" w:hAnsi="仿宋" w:eastAsia="仿宋_GB2312"/>
          <w:b/>
          <w:color w:val="auto"/>
          <w:sz w:val="24"/>
          <w:highlight w:val="none"/>
        </w:rPr>
      </w:pPr>
    </w:p>
    <w:p>
      <w:pPr>
        <w:pStyle w:val="1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标项名称</w:t>
      </w:r>
      <w:r>
        <w:rPr>
          <w:rFonts w:hint="eastAsia" w:ascii="仿宋" w:hAnsi="仿宋" w:eastAsia="仿宋"/>
          <w:snapToGrid/>
          <w:color w:val="auto"/>
          <w:kern w:val="2"/>
          <w:sz w:val="24"/>
          <w:szCs w:val="24"/>
          <w:highlight w:val="none"/>
        </w:rPr>
        <w:t>：</w:t>
      </w:r>
      <w:r>
        <w:rPr>
          <w:rFonts w:hint="eastAsia" w:ascii="仿宋_GB2312" w:hAnsi="仿宋" w:eastAsia="仿宋_GB2312"/>
          <w:sz w:val="24"/>
          <w:highlight w:val="none"/>
        </w:rPr>
        <w:t>杭州西湖博物馆总馆安保服务项目</w:t>
      </w:r>
    </w:p>
    <w:p>
      <w:pPr>
        <w:pStyle w:val="17"/>
        <w:spacing w:line="360" w:lineRule="auto"/>
        <w:ind w:firstLine="48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数量:</w:t>
      </w:r>
      <w:r>
        <w:rPr>
          <w:rFonts w:hint="eastAsia" w:ascii="仿宋" w:hAnsi="仿宋" w:eastAsia="仿宋"/>
          <w:snapToGrid/>
          <w:color w:val="auto"/>
          <w:kern w:val="2"/>
          <w:sz w:val="24"/>
          <w:szCs w:val="24"/>
          <w:highlight w:val="none"/>
        </w:rPr>
        <w:t>1</w:t>
      </w:r>
    </w:p>
    <w:p>
      <w:pPr>
        <w:pStyle w:val="17"/>
        <w:spacing w:line="360" w:lineRule="auto"/>
        <w:ind w:firstLine="480"/>
        <w:rPr>
          <w:rFonts w:ascii="仿宋" w:hAnsi="仿宋" w:eastAsia="仿宋_GB2312"/>
          <w:snapToGrid/>
          <w:color w:val="auto"/>
          <w:kern w:val="2"/>
          <w:sz w:val="24"/>
          <w:szCs w:val="24"/>
          <w:highlight w:val="none"/>
        </w:rPr>
      </w:pPr>
      <w:r>
        <w:rPr>
          <w:rFonts w:ascii="仿宋" w:hAnsi="仿宋" w:eastAsia="仿宋"/>
          <w:snapToGrid/>
          <w:color w:val="auto"/>
          <w:kern w:val="2"/>
          <w:sz w:val="24"/>
          <w:szCs w:val="24"/>
          <w:highlight w:val="none"/>
        </w:rPr>
        <w:t>预算金额（元）:</w:t>
      </w:r>
      <w:r>
        <w:rPr>
          <w:rFonts w:hint="eastAsia" w:ascii="仿宋_GB2312" w:hAnsi="仿宋" w:eastAsia="仿宋_GB2312"/>
          <w:bCs/>
          <w:sz w:val="24"/>
          <w:highlight w:val="none"/>
        </w:rPr>
        <w:t xml:space="preserve"> 5280000</w:t>
      </w:r>
    </w:p>
    <w:p>
      <w:pPr>
        <w:pStyle w:val="17"/>
        <w:spacing w:line="360" w:lineRule="auto"/>
        <w:ind w:firstLine="480"/>
        <w:rPr>
          <w:rFonts w:ascii="仿宋_GB2312" w:hAnsi="仿宋" w:eastAsia="仿宋_GB2312"/>
          <w:sz w:val="24"/>
          <w:highlight w:val="none"/>
        </w:rPr>
      </w:pPr>
      <w:r>
        <w:rPr>
          <w:rFonts w:ascii="仿宋_GB2312" w:hAnsi="仿宋" w:eastAsia="仿宋_GB2312"/>
          <w:sz w:val="24"/>
          <w:highlight w:val="none"/>
        </w:rPr>
        <w:t>简要规格描述或项目基本概况介绍、用途：</w:t>
      </w:r>
      <w:r>
        <w:rPr>
          <w:rFonts w:hint="eastAsia" w:ascii="仿宋_GB2312" w:hAnsi="仿宋" w:eastAsia="仿宋_GB2312"/>
          <w:sz w:val="24"/>
          <w:highlight w:val="none"/>
        </w:rPr>
        <w:t>杭州西湖博物馆总馆安保服务项目主要内容：</w:t>
      </w:r>
      <w:r>
        <w:rPr>
          <w:rFonts w:hint="eastAsia" w:ascii="仿宋" w:hAnsi="仿宋" w:eastAsia="仿宋" w:cs="仿宋"/>
          <w:b w:val="0"/>
          <w:bCs/>
          <w:sz w:val="24"/>
          <w:highlight w:val="none"/>
        </w:rPr>
        <w:t>日常门岗登统记、执勤、24小时治安巡查、文物保护（含野外文物）、博物馆出入口安检、护林守土、安全防范、安检设施操作及维护、**、消防（</w:t>
      </w:r>
      <w:r>
        <w:rPr>
          <w:rFonts w:hint="eastAsia" w:ascii="仿宋" w:hAnsi="仿宋" w:eastAsia="仿宋" w:cs="仿宋"/>
          <w:b w:val="0"/>
          <w:bCs/>
          <w:sz w:val="24"/>
          <w:highlight w:val="none"/>
          <w:lang w:val="en-US" w:eastAsia="zh-CN"/>
        </w:rPr>
        <w:t>含</w:t>
      </w:r>
      <w:r>
        <w:rPr>
          <w:rFonts w:hint="eastAsia" w:ascii="仿宋" w:hAnsi="仿宋" w:eastAsia="仿宋" w:cs="仿宋"/>
          <w:b w:val="0"/>
          <w:bCs/>
          <w:sz w:val="24"/>
          <w:highlight w:val="none"/>
        </w:rPr>
        <w:t>微型消防站、</w:t>
      </w:r>
      <w:r>
        <w:rPr>
          <w:rFonts w:hint="eastAsia" w:ascii="仿宋" w:hAnsi="仿宋" w:eastAsia="仿宋" w:cs="仿宋"/>
          <w:b w:val="0"/>
          <w:bCs/>
          <w:sz w:val="24"/>
          <w:highlight w:val="none"/>
          <w:lang w:val="en-US" w:eastAsia="zh-CN"/>
        </w:rPr>
        <w:t>消防巡查、</w:t>
      </w:r>
      <w:r>
        <w:rPr>
          <w:rFonts w:hint="eastAsia" w:ascii="仿宋" w:hAnsi="仿宋" w:eastAsia="仿宋" w:cs="仿宋"/>
          <w:b w:val="0"/>
          <w:bCs/>
          <w:sz w:val="24"/>
          <w:highlight w:val="none"/>
        </w:rPr>
        <w:t>消控</w:t>
      </w:r>
      <w:r>
        <w:rPr>
          <w:rFonts w:hint="eastAsia" w:ascii="仿宋" w:hAnsi="仿宋" w:eastAsia="仿宋" w:cs="仿宋"/>
          <w:b w:val="0"/>
          <w:bCs/>
          <w:sz w:val="24"/>
          <w:highlight w:val="none"/>
          <w:lang w:val="en-US" w:eastAsia="zh-CN"/>
        </w:rPr>
        <w:t>值班）</w:t>
      </w:r>
      <w:r>
        <w:rPr>
          <w:rFonts w:hint="eastAsia" w:ascii="仿宋" w:hAnsi="仿宋" w:eastAsia="仿宋" w:cs="仿宋"/>
          <w:b w:val="0"/>
          <w:bCs/>
          <w:sz w:val="24"/>
          <w:highlight w:val="none"/>
        </w:rPr>
        <w:t>、水体、视频监控管理、车辆停放管理、疫情防控，以及项目周边治安状况的联防联治等等</w:t>
      </w:r>
      <w:r>
        <w:rPr>
          <w:rFonts w:ascii="仿宋_GB2312" w:hAnsi="仿宋" w:eastAsia="仿宋_GB2312"/>
          <w:sz w:val="24"/>
          <w:highlight w:val="none"/>
        </w:rPr>
        <w:t>。</w:t>
      </w:r>
      <w:r>
        <w:rPr>
          <w:rFonts w:hint="eastAsia" w:ascii="仿宋_GB2312" w:hAnsi="仿宋" w:eastAsia="仿宋_GB2312"/>
          <w:sz w:val="24"/>
          <w:highlight w:val="none"/>
        </w:rPr>
        <w:t>详见招标文件第三部分采购需求。</w:t>
      </w:r>
    </w:p>
    <w:p>
      <w:pPr>
        <w:pStyle w:val="17"/>
        <w:spacing w:line="360" w:lineRule="auto"/>
        <w:ind w:firstLine="480"/>
        <w:rPr>
          <w:rFonts w:ascii="仿宋_GB2312" w:hAnsi="仿宋" w:eastAsia="仿宋_GB2312"/>
          <w:bCs/>
          <w:color w:val="auto"/>
          <w:sz w:val="24"/>
          <w:highlight w:val="none"/>
        </w:rPr>
      </w:pPr>
      <w:r>
        <w:rPr>
          <w:rFonts w:ascii="仿宋" w:hAnsi="仿宋" w:eastAsia="仿宋"/>
          <w:snapToGrid/>
          <w:color w:val="auto"/>
          <w:kern w:val="2"/>
          <w:sz w:val="24"/>
          <w:szCs w:val="24"/>
          <w:highlight w:val="none"/>
        </w:rPr>
        <w:t>备注：</w:t>
      </w:r>
    </w:p>
    <w:p>
      <w:pPr>
        <w:pStyle w:val="129"/>
        <w:snapToGrid w:val="0"/>
        <w:spacing w:before="0"/>
        <w:ind w:firstLine="480"/>
        <w:outlineLvl w:val="2"/>
        <w:rPr>
          <w:rFonts w:ascii="仿宋_GB2312" w:hAnsi="仿宋" w:eastAsia="仿宋_GB2312"/>
          <w:bCs/>
          <w:highlight w:val="none"/>
        </w:rPr>
      </w:pPr>
    </w:p>
    <w:p>
      <w:pPr>
        <w:pStyle w:val="17"/>
        <w:spacing w:line="360" w:lineRule="auto"/>
        <w:ind w:firstLine="480"/>
        <w:rPr>
          <w:rFonts w:ascii="仿宋" w:hAnsi="仿宋" w:eastAsia="仿宋"/>
          <w:snapToGrid/>
          <w:color w:val="auto"/>
          <w:kern w:val="2"/>
          <w:sz w:val="24"/>
          <w:szCs w:val="24"/>
          <w:highlight w:val="none"/>
        </w:rPr>
      </w:pPr>
      <w:r>
        <w:rPr>
          <w:rFonts w:hint="eastAsia" w:ascii="仿宋" w:hAnsi="仿宋" w:eastAsia="仿宋"/>
          <w:snapToGrid/>
          <w:color w:val="auto"/>
          <w:kern w:val="2"/>
          <w:sz w:val="24"/>
          <w:szCs w:val="24"/>
          <w:highlight w:val="none"/>
        </w:rPr>
        <w:t>合同履约期限：标项 1，12个月(</w:t>
      </w:r>
      <w:r>
        <w:rPr>
          <w:rFonts w:hint="eastAsia" w:ascii="仿宋" w:hAnsi="仿宋" w:eastAsia="仿宋"/>
          <w:snapToGrid/>
          <w:color w:val="auto"/>
          <w:kern w:val="2"/>
          <w:sz w:val="24"/>
          <w:szCs w:val="24"/>
          <w:highlight w:val="none"/>
          <w:lang w:val="en-US" w:eastAsia="zh-CN"/>
        </w:rPr>
        <w:t>计划于</w:t>
      </w:r>
      <w:r>
        <w:rPr>
          <w:rFonts w:hint="eastAsia" w:ascii="仿宋" w:hAnsi="仿宋" w:eastAsia="仿宋"/>
          <w:snapToGrid/>
          <w:color w:val="auto"/>
          <w:kern w:val="2"/>
          <w:sz w:val="24"/>
          <w:szCs w:val="24"/>
          <w:highlight w:val="none"/>
        </w:rPr>
        <w:t>2022年9月8日</w:t>
      </w:r>
      <w:r>
        <w:rPr>
          <w:rFonts w:hint="eastAsia" w:ascii="仿宋" w:hAnsi="仿宋" w:eastAsia="仿宋"/>
          <w:snapToGrid/>
          <w:color w:val="auto"/>
          <w:kern w:val="2"/>
          <w:sz w:val="24"/>
          <w:szCs w:val="24"/>
          <w:highlight w:val="none"/>
          <w:lang w:val="en-US" w:eastAsia="zh-CN"/>
        </w:rPr>
        <w:t>至</w:t>
      </w:r>
      <w:r>
        <w:rPr>
          <w:rFonts w:hint="eastAsia" w:ascii="仿宋" w:hAnsi="仿宋" w:eastAsia="仿宋"/>
          <w:snapToGrid/>
          <w:color w:val="auto"/>
          <w:kern w:val="2"/>
          <w:sz w:val="24"/>
          <w:szCs w:val="24"/>
          <w:highlight w:val="none"/>
        </w:rPr>
        <w:t>2023年9月7日)，具体以合同</w:t>
      </w:r>
      <w:r>
        <w:rPr>
          <w:rFonts w:hint="eastAsia" w:ascii="仿宋" w:hAnsi="仿宋" w:eastAsia="仿宋"/>
          <w:snapToGrid/>
          <w:color w:val="auto"/>
          <w:kern w:val="2"/>
          <w:sz w:val="24"/>
          <w:szCs w:val="24"/>
          <w:highlight w:val="none"/>
          <w:lang w:val="en-US" w:eastAsia="zh-CN"/>
        </w:rPr>
        <w:t>约定</w:t>
      </w:r>
      <w:r>
        <w:rPr>
          <w:rFonts w:hint="eastAsia" w:ascii="仿宋" w:hAnsi="仿宋" w:eastAsia="仿宋"/>
          <w:snapToGrid/>
          <w:color w:val="auto"/>
          <w:kern w:val="2"/>
          <w:sz w:val="24"/>
          <w:szCs w:val="24"/>
          <w:highlight w:val="none"/>
        </w:rPr>
        <w:t>为准。</w:t>
      </w:r>
    </w:p>
    <w:p>
      <w:pPr>
        <w:pStyle w:val="17"/>
        <w:spacing w:line="360" w:lineRule="auto"/>
        <w:ind w:firstLine="480"/>
        <w:rPr>
          <w:rFonts w:ascii="仿宋" w:hAnsi="仿宋" w:eastAsia="仿宋"/>
          <w:snapToGrid/>
          <w:color w:val="auto"/>
          <w:kern w:val="2"/>
          <w:sz w:val="24"/>
          <w:szCs w:val="24"/>
          <w:highlight w:val="none"/>
        </w:rPr>
      </w:pPr>
      <w:r>
        <w:rPr>
          <w:rFonts w:hint="eastAsia" w:ascii="仿宋" w:hAnsi="仿宋" w:eastAsia="仿宋"/>
          <w:snapToGrid/>
          <w:color w:val="auto"/>
          <w:kern w:val="2"/>
          <w:sz w:val="24"/>
          <w:szCs w:val="24"/>
          <w:highlight w:val="none"/>
        </w:rPr>
        <w:t>本项目（否）接受联合体投标。</w:t>
      </w:r>
    </w:p>
    <w:p>
      <w:pPr>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二、申请人的资格要求：</w:t>
      </w:r>
    </w:p>
    <w:p>
      <w:pPr>
        <w:kinsoku w:val="0"/>
        <w:overflowPunct w:val="0"/>
        <w:autoSpaceDE w:val="0"/>
        <w:autoSpaceDN w:val="0"/>
        <w:snapToGrid w:val="0"/>
        <w:spacing w:line="360" w:lineRule="auto"/>
        <w:ind w:firstLine="480"/>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highlight w:val="none"/>
        </w:rPr>
        <w:t>1.</w:t>
      </w:r>
      <w:r>
        <w:rPr>
          <w:rFonts w:hint="eastAsia" w:ascii="仿宋" w:hAnsi="仿宋" w:eastAsia="仿宋" w:cs="仿宋_GB2312"/>
          <w:snapToGrid w:val="0"/>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kinsoku w:val="0"/>
        <w:overflowPunct w:val="0"/>
        <w:autoSpaceDE w:val="0"/>
        <w:autoSpaceDN w:val="0"/>
        <w:snapToGrid w:val="0"/>
        <w:spacing w:line="360" w:lineRule="auto"/>
        <w:ind w:firstLine="465"/>
        <w:rPr>
          <w:rFonts w:ascii="仿宋_GB2312" w:hAnsi="仿宋" w:eastAsia="仿宋_GB2312"/>
          <w:sz w:val="24"/>
          <w:highlight w:val="none"/>
        </w:rPr>
      </w:pPr>
      <w:r>
        <w:rPr>
          <w:rFonts w:ascii="仿宋" w:hAnsi="仿宋" w:eastAsia="仿宋" w:cs="仿宋_GB2312"/>
          <w:snapToGrid w:val="0"/>
          <w:kern w:val="28"/>
          <w:sz w:val="24"/>
          <w:szCs w:val="20"/>
          <w:highlight w:val="none"/>
        </w:rPr>
        <w:t>2.</w:t>
      </w:r>
      <w:r>
        <w:rPr>
          <w:rFonts w:hint="eastAsia" w:ascii="仿宋" w:hAnsi="仿宋" w:eastAsia="仿宋" w:cs="仿宋_GB2312"/>
          <w:snapToGrid w:val="0"/>
          <w:kern w:val="28"/>
          <w:sz w:val="24"/>
          <w:szCs w:val="20"/>
          <w:highlight w:val="none"/>
        </w:rPr>
        <w:t>落实政府采购政策需满足的资格要求：标项1：供应商为中小企业/小微企业</w:t>
      </w:r>
      <w:r>
        <w:rPr>
          <w:rFonts w:hint="eastAsia" w:ascii="仿宋_GB2312" w:hAnsi="仿宋" w:eastAsia="仿宋_GB2312"/>
          <w:sz w:val="24"/>
          <w:highlight w:val="none"/>
        </w:rPr>
        <w:t>；</w:t>
      </w:r>
    </w:p>
    <w:p>
      <w:pPr>
        <w:kinsoku w:val="0"/>
        <w:overflowPunct w:val="0"/>
        <w:autoSpaceDE w:val="0"/>
        <w:autoSpaceDN w:val="0"/>
        <w:snapToGrid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3.本项目的特定资格要</w:t>
      </w:r>
      <w:bookmarkStart w:id="401" w:name="_GoBack"/>
      <w:r>
        <w:rPr>
          <w:rFonts w:ascii="仿宋_GB2312" w:hAnsi="仿宋" w:eastAsia="仿宋_GB2312"/>
          <w:sz w:val="24"/>
          <w:highlight w:val="none"/>
        </w:rPr>
        <w:t>求：标项1：</w:t>
      </w:r>
      <w:r>
        <w:rPr>
          <w:rFonts w:hint="eastAsia" w:ascii="仿宋_GB2312" w:hAnsi="仿宋" w:eastAsia="仿宋_GB2312"/>
          <w:sz w:val="24"/>
          <w:highlight w:val="none"/>
        </w:rPr>
        <w:t>具有公</w:t>
      </w:r>
      <w:bookmarkEnd w:id="401"/>
      <w:r>
        <w:rPr>
          <w:rFonts w:hint="eastAsia" w:ascii="仿宋_GB2312" w:hAnsi="仿宋" w:eastAsia="仿宋_GB2312" w:cs="Arial"/>
          <w:kern w:val="0"/>
          <w:sz w:val="24"/>
          <w:highlight w:val="none"/>
        </w:rPr>
        <w:t>安部门颁发的有效期内的《保安服务许可证》</w:t>
      </w:r>
      <w:r>
        <w:rPr>
          <w:rFonts w:hint="eastAsia" w:ascii="仿宋_GB2312" w:hAnsi="仿宋" w:eastAsia="仿宋_GB2312"/>
          <w:sz w:val="24"/>
          <w:highlight w:val="none"/>
        </w:rPr>
        <w:t>。</w:t>
      </w:r>
    </w:p>
    <w:p>
      <w:pPr>
        <w:kinsoku w:val="0"/>
        <w:overflowPunct w:val="0"/>
        <w:autoSpaceDE w:val="0"/>
        <w:autoSpaceDN w:val="0"/>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三、获取招标文件</w:t>
      </w:r>
      <w:r>
        <w:rPr>
          <w:rFonts w:ascii="仿宋_GB2312" w:hAnsi="仿宋" w:eastAsia="仿宋_GB2312"/>
          <w:b/>
          <w:sz w:val="24"/>
          <w:highlight w:val="none"/>
        </w:rPr>
        <w:t xml:space="preserve"> </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时间：</w:t>
      </w:r>
      <w:r>
        <w:rPr>
          <w:rFonts w:ascii="仿宋_GB2312" w:hAnsi="仿宋" w:eastAsia="仿宋_GB2312"/>
          <w:sz w:val="24"/>
          <w:highlight w:val="none"/>
        </w:rPr>
        <w:t>/至</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rPr>
        <w:t>09</w:t>
      </w:r>
      <w:r>
        <w:rPr>
          <w:rFonts w:ascii="仿宋_GB2312" w:hAnsi="仿宋" w:eastAsia="仿宋_GB2312"/>
          <w:sz w:val="24"/>
          <w:highlight w:val="none"/>
          <w:u w:val="single"/>
        </w:rPr>
        <w:t>月</w:t>
      </w:r>
      <w:r>
        <w:rPr>
          <w:rFonts w:hint="eastAsia" w:ascii="仿宋_GB2312" w:hAnsi="仿宋" w:eastAsia="仿宋_GB2312"/>
          <w:sz w:val="24"/>
          <w:highlight w:val="none"/>
          <w:u w:val="single"/>
        </w:rPr>
        <w:t>01</w:t>
      </w:r>
      <w:r>
        <w:rPr>
          <w:rFonts w:ascii="仿宋_GB2312" w:hAnsi="仿宋" w:eastAsia="仿宋_GB2312"/>
          <w:sz w:val="24"/>
          <w:highlight w:val="none"/>
          <w:u w:val="single"/>
        </w:rPr>
        <w:t>日</w:t>
      </w:r>
      <w:r>
        <w:rPr>
          <w:rFonts w:hint="eastAsia" w:ascii="仿宋_GB2312" w:hAnsi="仿宋" w:eastAsia="仿宋_GB2312"/>
          <w:sz w:val="24"/>
          <w:highlight w:val="none"/>
        </w:rPr>
        <w:t>，每天上午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kinsoku w:val="0"/>
        <w:overflowPunct w:val="0"/>
        <w:autoSpaceDE w:val="0"/>
        <w:autoSpaceDN w:val="0"/>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提交投标文件截止时间：</w:t>
      </w:r>
      <w:r>
        <w:rPr>
          <w:rFonts w:ascii="仿宋_GB2312" w:hAnsi="仿宋" w:eastAsia="仿宋_GB2312"/>
          <w:sz w:val="24"/>
          <w:highlight w:val="none"/>
          <w:u w:val="single"/>
        </w:rPr>
        <w:t xml:space="preserve"> </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rPr>
        <w:t>09月01日09:00</w:t>
      </w:r>
      <w:r>
        <w:rPr>
          <w:rFonts w:hint="eastAsia" w:ascii="仿宋_GB2312" w:hAnsi="仿宋" w:eastAsia="仿宋_GB2312"/>
          <w:sz w:val="24"/>
          <w:highlight w:val="none"/>
        </w:rPr>
        <w:t>（北京时间）</w:t>
      </w:r>
    </w:p>
    <w:p>
      <w:pPr>
        <w:kinsoku w:val="0"/>
        <w:overflowPunct w:val="0"/>
        <w:autoSpaceDE w:val="0"/>
        <w:autoSpaceDN w:val="0"/>
        <w:snapToGrid w:val="0"/>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kinsoku w:val="0"/>
        <w:overflowPunct w:val="0"/>
        <w:autoSpaceDE w:val="0"/>
        <w:autoSpaceDN w:val="0"/>
        <w:snapToGrid w:val="0"/>
        <w:spacing w:line="360" w:lineRule="auto"/>
        <w:ind w:firstLine="482" w:firstLineChars="200"/>
        <w:rPr>
          <w:rFonts w:ascii="仿宋_GB2312" w:hAnsi="仿宋" w:eastAsia="仿宋_GB2312"/>
          <w:bCs/>
          <w:sz w:val="24"/>
          <w:highlight w:val="none"/>
          <w:u w:val="single"/>
        </w:rPr>
      </w:pPr>
      <w:r>
        <w:rPr>
          <w:rFonts w:hint="eastAsia" w:ascii="仿宋_GB2312" w:hAnsi="仿宋" w:eastAsia="仿宋_GB2312"/>
          <w:b/>
          <w:sz w:val="24"/>
          <w:highlight w:val="none"/>
        </w:rPr>
        <w:t>开标时间：</w:t>
      </w:r>
      <w:r>
        <w:rPr>
          <w:rFonts w:hint="eastAsia" w:ascii="仿宋_GB2312" w:hAnsi="仿宋" w:eastAsia="仿宋_GB2312"/>
          <w:sz w:val="24"/>
          <w:highlight w:val="none"/>
          <w:u w:val="single"/>
        </w:rPr>
        <w:t>2022</w:t>
      </w:r>
      <w:r>
        <w:rPr>
          <w:rFonts w:ascii="仿宋_GB2312" w:hAnsi="仿宋" w:eastAsia="仿宋_GB2312"/>
          <w:sz w:val="24"/>
          <w:highlight w:val="none"/>
          <w:u w:val="single"/>
        </w:rPr>
        <w:t>年</w:t>
      </w:r>
      <w:r>
        <w:rPr>
          <w:rFonts w:hint="eastAsia" w:ascii="仿宋_GB2312" w:hAnsi="仿宋" w:eastAsia="仿宋_GB2312"/>
          <w:sz w:val="24"/>
          <w:highlight w:val="none"/>
          <w:u w:val="single"/>
        </w:rPr>
        <w:t>09月01日09:00</w:t>
      </w:r>
    </w:p>
    <w:p>
      <w:pPr>
        <w:kinsoku w:val="0"/>
        <w:overflowPunct w:val="0"/>
        <w:autoSpaceDE w:val="0"/>
        <w:autoSpaceDN w:val="0"/>
        <w:snapToGrid w:val="0"/>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pStyle w:val="5"/>
        <w:keepNext w:val="0"/>
        <w:keepLines w:val="0"/>
        <w:numPr>
          <w:ilvl w:val="0"/>
          <w:numId w:val="1"/>
        </w:numPr>
        <w:adjustRightInd w:val="0"/>
        <w:snapToGrid w:val="0"/>
        <w:rPr>
          <w:sz w:val="24"/>
          <w:highlight w:val="none"/>
          <w:lang w:val="en-US"/>
        </w:rPr>
      </w:pPr>
      <w:r>
        <w:rPr>
          <w:rFonts w:hint="eastAsia"/>
          <w:sz w:val="24"/>
          <w:highlight w:val="none"/>
          <w:lang w:val="en-US"/>
        </w:rPr>
        <w:t>采购意向公开链接</w:t>
      </w:r>
    </w:p>
    <w:p>
      <w:pPr>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rPr>
        <w:t>https://zfcg.czt.zj.gov.cn/innerUsed_noticeDetails/index.html?noticeId=8766693&amp;utm=web-government-front.2e418808.0.0.b349437016b811ed815bc5ff5c9659a7</w:t>
      </w:r>
    </w:p>
    <w:p>
      <w:pPr>
        <w:kinsoku w:val="0"/>
        <w:overflowPunct w:val="0"/>
        <w:autoSpaceDE w:val="0"/>
        <w:autoSpaceDN w:val="0"/>
        <w:snapToGrid w:val="0"/>
        <w:spacing w:line="360" w:lineRule="auto"/>
        <w:rPr>
          <w:rFonts w:ascii="仿宋_GB2312" w:hAnsi="仿宋" w:eastAsia="仿宋_GB2312"/>
          <w:sz w:val="24"/>
          <w:highlight w:val="none"/>
        </w:rPr>
      </w:pPr>
      <w:r>
        <w:rPr>
          <w:rFonts w:hint="eastAsia" w:ascii="仿宋_GB2312" w:hAnsi="仿宋" w:eastAsia="仿宋_GB2312"/>
          <w:b/>
          <w:sz w:val="24"/>
          <w:highlight w:val="none"/>
        </w:rPr>
        <w:t>六、公告期限</w:t>
      </w:r>
      <w:r>
        <w:rPr>
          <w:rFonts w:ascii="仿宋_GB2312" w:hAnsi="仿宋" w:eastAsia="仿宋_GB2312"/>
          <w:b/>
          <w:sz w:val="24"/>
          <w:highlight w:val="none"/>
        </w:rPr>
        <w:t xml:space="preserve"> </w:t>
      </w:r>
    </w:p>
    <w:p>
      <w:pPr>
        <w:kinsoku w:val="0"/>
        <w:overflowPunct w:val="0"/>
        <w:autoSpaceDE w:val="0"/>
        <w:autoSpaceDN w:val="0"/>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自本公告发布之日起</w:t>
      </w:r>
      <w:r>
        <w:rPr>
          <w:rFonts w:ascii="仿宋_GB2312" w:hAnsi="仿宋" w:eastAsia="仿宋_GB2312"/>
          <w:sz w:val="24"/>
          <w:highlight w:val="none"/>
        </w:rPr>
        <w:t>5个工作日。</w:t>
      </w:r>
    </w:p>
    <w:p>
      <w:pPr>
        <w:kinsoku w:val="0"/>
        <w:overflowPunct w:val="0"/>
        <w:autoSpaceDE w:val="0"/>
        <w:autoSpaceDN w:val="0"/>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七、其他补充事宜</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仿宋" w:hAnsi="仿宋" w:eastAsia="仿宋"/>
          <w:sz w:val="24"/>
          <w:highlight w:val="none"/>
        </w:rPr>
      </w:pPr>
      <w:r>
        <w:rPr>
          <w:rFonts w:ascii="仿宋" w:hAnsi="仿宋" w:eastAsia="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insoku w:val="0"/>
        <w:overflowPunct w:val="0"/>
        <w:autoSpaceDE w:val="0"/>
        <w:autoSpaceDN w:val="0"/>
        <w:snapToGrid w:val="0"/>
        <w:spacing w:line="360" w:lineRule="auto"/>
        <w:ind w:firstLine="480" w:firstLineChars="200"/>
        <w:rPr>
          <w:rFonts w:ascii="仿宋" w:hAnsi="仿宋" w:eastAsia="仿宋" w:cs="仿宋_GB2312"/>
          <w:sz w:val="24"/>
          <w:highlight w:val="none"/>
        </w:rPr>
      </w:pPr>
      <w:r>
        <w:rPr>
          <w:rFonts w:ascii="仿宋" w:hAnsi="仿宋" w:eastAsia="仿宋"/>
          <w:sz w:val="24"/>
          <w:highlight w:val="none"/>
        </w:rPr>
        <w:t>4.其他事项：（1）需要落实的政府采购政策：包括节约资源、保护环境、支持创新、促进中小企业发展等。详见招标文件的第二部分总则。（2）电子招投标的说明：</w:t>
      </w:r>
      <w:r>
        <w:rPr>
          <w:rFonts w:hint="eastAsia" w:ascii="仿宋" w:hAnsi="仿宋" w:eastAsia="仿宋"/>
          <w:sz w:val="24"/>
          <w:highlight w:val="none"/>
        </w:rPr>
        <w:t>①</w:t>
      </w:r>
      <w:r>
        <w:rPr>
          <w:rFonts w:ascii="仿宋" w:hAnsi="仿宋" w:eastAsia="仿宋"/>
          <w:sz w:val="24"/>
          <w:highlight w:val="none"/>
        </w:rPr>
        <w:t>电子招投标：本项目以数据电文形式，依托“政府采购云平台（www.zcygov.cn）”进行招投标活动，不接受纸质投标文件；</w:t>
      </w:r>
      <w:r>
        <w:rPr>
          <w:rFonts w:hint="eastAsia" w:ascii="仿宋" w:hAnsi="仿宋" w:eastAsia="仿宋"/>
          <w:sz w:val="24"/>
          <w:highlight w:val="none"/>
        </w:rPr>
        <w:t>②</w:t>
      </w:r>
      <w:r>
        <w:rPr>
          <w:rFonts w:ascii="仿宋" w:hAnsi="仿宋" w:eastAsia="仿宋"/>
          <w:sz w:val="24"/>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sz w:val="24"/>
          <w:highlight w:val="none"/>
        </w:rPr>
        <w:t>③</w:t>
      </w:r>
      <w:r>
        <w:rPr>
          <w:rFonts w:ascii="仿宋" w:hAnsi="仿宋" w:eastAsia="仿宋"/>
          <w:sz w:val="24"/>
          <w:highlight w:val="none"/>
        </w:rPr>
        <w:t>招标文件的获取：使用账号登录或者使用CA登录政采云平台；进入“项目采购”应用，在获取采购文件菜单中选择项目，获取招标文件；</w:t>
      </w:r>
      <w:r>
        <w:rPr>
          <w:rFonts w:hint="eastAsia" w:ascii="仿宋" w:hAnsi="仿宋" w:eastAsia="仿宋"/>
          <w:sz w:val="24"/>
          <w:highlight w:val="none"/>
        </w:rPr>
        <w:t>④</w:t>
      </w:r>
      <w:r>
        <w:rPr>
          <w:rFonts w:ascii="仿宋" w:hAnsi="仿宋" w:eastAsia="仿宋"/>
          <w:sz w:val="24"/>
          <w:highlight w:val="none"/>
        </w:rPr>
        <w:t>投标文件的制作：在“政采云电子交易客户端”中完成“填写基本信息”、“导入投标文件”、“标书关联”、“标书检查”、“电子签名”、“生成电子标书”等操作；</w:t>
      </w:r>
      <w:r>
        <w:rPr>
          <w:rFonts w:hint="eastAsia" w:ascii="仿宋" w:hAnsi="仿宋" w:eastAsia="仿宋"/>
          <w:sz w:val="24"/>
          <w:highlight w:val="none"/>
        </w:rPr>
        <w:t>⑤</w:t>
      </w:r>
      <w:r>
        <w:rPr>
          <w:rFonts w:ascii="仿宋" w:hAnsi="仿宋" w:eastAsia="仿宋"/>
          <w:sz w:val="24"/>
          <w:highlight w:val="none"/>
        </w:rPr>
        <w:t xml:space="preserve">采购人、采购机构将依托政采云平台完成本项目的电子交易活动，平台不接受未按上述方式获取招标文件的供应商进行投标活动； </w:t>
      </w:r>
      <w:r>
        <w:rPr>
          <w:rFonts w:hint="eastAsia" w:ascii="仿宋" w:hAnsi="仿宋" w:eastAsia="仿宋"/>
          <w:sz w:val="24"/>
          <w:highlight w:val="none"/>
        </w:rPr>
        <w:t>⑥</w:t>
      </w:r>
      <w:r>
        <w:rPr>
          <w:rFonts w:ascii="仿宋" w:hAnsi="仿宋" w:eastAsia="仿宋"/>
          <w:sz w:val="24"/>
          <w:highlight w:val="none"/>
        </w:rPr>
        <w:t>对未按上述方式获取招标文件的供应商对该文件提出的质疑，采购人或采购代理机构将不予处理；</w:t>
      </w:r>
      <w:r>
        <w:rPr>
          <w:rFonts w:hint="eastAsia" w:ascii="仿宋" w:hAnsi="仿宋" w:eastAsia="仿宋"/>
          <w:sz w:val="24"/>
          <w:highlight w:val="none"/>
        </w:rPr>
        <w:t>⑦</w:t>
      </w:r>
      <w:r>
        <w:rPr>
          <w:rFonts w:ascii="仿宋" w:hAnsi="仿宋" w:eastAsia="仿宋"/>
          <w:sz w:val="24"/>
          <w:highlight w:val="none"/>
        </w:rPr>
        <w:t>不提供招标文件纸质版；</w:t>
      </w:r>
      <w:r>
        <w:rPr>
          <w:rFonts w:hint="eastAsia" w:ascii="仿宋" w:hAnsi="仿宋" w:eastAsia="仿宋"/>
          <w:sz w:val="24"/>
          <w:highlight w:val="none"/>
        </w:rPr>
        <w:t>⑧</w:t>
      </w:r>
      <w:r>
        <w:rPr>
          <w:rFonts w:ascii="仿宋" w:hAnsi="仿宋" w:eastAsia="仿宋"/>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highlight w:val="none"/>
        </w:rPr>
        <w:t>⑨</w:t>
      </w:r>
      <w:r>
        <w:rPr>
          <w:rFonts w:ascii="仿宋" w:hAnsi="仿宋" w:eastAsia="仿宋"/>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仿宋" w:hAnsi="仿宋" w:eastAsia="仿宋"/>
          <w:sz w:val="24"/>
          <w:highlight w:val="none"/>
        </w:rPr>
        <w:t>⑩</w:t>
      </w:r>
      <w:r>
        <w:rPr>
          <w:rFonts w:ascii="仿宋" w:hAnsi="仿宋" w:eastAsia="仿宋"/>
          <w:sz w:val="24"/>
          <w:highlight w:val="none"/>
        </w:rPr>
        <w:t>具体操作指南：详见政采云平台“服务中心-帮助文档-项目采购-操作流程-电子招投标-政府采购项目电子交易管理操作指南-供应商”。</w:t>
      </w:r>
    </w:p>
    <w:p>
      <w:pPr>
        <w:kinsoku w:val="0"/>
        <w:overflowPunct w:val="0"/>
        <w:autoSpaceDE w:val="0"/>
        <w:autoSpaceDN w:val="0"/>
        <w:snapToGrid w:val="0"/>
        <w:spacing w:line="360" w:lineRule="auto"/>
        <w:rPr>
          <w:rFonts w:ascii="仿宋_GB2312" w:hAnsi="仿宋" w:eastAsia="仿宋_GB2312"/>
          <w:b/>
          <w:sz w:val="24"/>
          <w:highlight w:val="none"/>
        </w:rPr>
      </w:pPr>
      <w:r>
        <w:rPr>
          <w:rFonts w:hint="eastAsia" w:ascii="仿宋_GB2312" w:hAnsi="仿宋" w:eastAsia="仿宋_GB2312"/>
          <w:b/>
          <w:sz w:val="24"/>
          <w:highlight w:val="none"/>
        </w:rPr>
        <w:t>八、对本次采购提出询问、质疑、投诉，请按以下方式联系</w:t>
      </w:r>
    </w:p>
    <w:p>
      <w:pPr>
        <w:kinsoku w:val="0"/>
        <w:overflowPunct w:val="0"/>
        <w:autoSpaceDE w:val="0"/>
        <w:autoSpaceDN w:val="0"/>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1.采购人信息</w:t>
      </w:r>
    </w:p>
    <w:p>
      <w:pPr>
        <w:kinsoku w:val="0"/>
        <w:overflowPunct w:val="0"/>
        <w:autoSpaceDE w:val="0"/>
        <w:autoSpaceDN w:val="0"/>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名    称：</w:t>
      </w:r>
      <w:r>
        <w:rPr>
          <w:rFonts w:hint="eastAsia" w:ascii="仿宋_GB2312" w:hAnsi="仿宋" w:eastAsia="仿宋_GB2312"/>
          <w:sz w:val="24"/>
          <w:highlight w:val="none"/>
        </w:rPr>
        <w:t>杭州西湖博物馆总馆(西湖学研究院、杭州西湖风景名胜区网宣中心)</w:t>
      </w:r>
      <w:r>
        <w:rPr>
          <w:rFonts w:ascii="仿宋_GB2312" w:hAnsi="仿宋" w:eastAsia="仿宋_GB2312"/>
          <w:sz w:val="24"/>
          <w:highlight w:val="none"/>
        </w:rPr>
        <w:t xml:space="preserve"> </w:t>
      </w:r>
    </w:p>
    <w:p>
      <w:pPr>
        <w:kinsoku w:val="0"/>
        <w:overflowPunct w:val="0"/>
        <w:autoSpaceDE w:val="0"/>
        <w:autoSpaceDN w:val="0"/>
        <w:snapToGrid w:val="0"/>
        <w:spacing w:line="360" w:lineRule="auto"/>
        <w:ind w:firstLine="480"/>
        <w:rPr>
          <w:rFonts w:ascii="仿宋_GB2312" w:hAnsi="仿宋" w:eastAsia="仿宋_GB2312"/>
          <w:sz w:val="24"/>
          <w:highlight w:val="none"/>
        </w:rPr>
      </w:pPr>
      <w:r>
        <w:rPr>
          <w:rFonts w:ascii="仿宋_GB2312" w:hAnsi="仿宋" w:eastAsia="仿宋_GB2312"/>
          <w:sz w:val="24"/>
          <w:highlight w:val="none"/>
        </w:rPr>
        <w:t>地    址：</w:t>
      </w:r>
      <w:r>
        <w:rPr>
          <w:rFonts w:hint="eastAsia" w:ascii="仿宋_GB2312" w:hAnsi="仿宋" w:eastAsia="仿宋_GB2312"/>
          <w:sz w:val="24"/>
          <w:highlight w:val="none"/>
        </w:rPr>
        <w:t xml:space="preserve">南山路89号 </w:t>
      </w:r>
      <w:r>
        <w:rPr>
          <w:rFonts w:ascii="仿宋_GB2312" w:hAnsi="仿宋" w:eastAsia="仿宋_GB2312"/>
          <w:sz w:val="24"/>
          <w:highlight w:val="none"/>
        </w:rPr>
        <w:t xml:space="preserve">      </w:t>
      </w:r>
    </w:p>
    <w:p>
      <w:pPr>
        <w:kinsoku w:val="0"/>
        <w:overflowPunct w:val="0"/>
        <w:autoSpaceDE w:val="0"/>
        <w:autoSpaceDN w:val="0"/>
        <w:snapToGrid w:val="0"/>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传</w:t>
      </w:r>
      <w:r>
        <w:rPr>
          <w:rFonts w:ascii="仿宋_GB2312" w:hAnsi="仿宋" w:eastAsia="仿宋_GB2312"/>
          <w:sz w:val="24"/>
          <w:highlight w:val="none"/>
        </w:rPr>
        <w:t xml:space="preserve">    真：/</w:t>
      </w:r>
    </w:p>
    <w:p>
      <w:pPr>
        <w:kinsoku w:val="0"/>
        <w:overflowPunct w:val="0"/>
        <w:autoSpaceDE w:val="0"/>
        <w:autoSpaceDN w:val="0"/>
        <w:snapToGrid w:val="0"/>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项目联系人（询问）：孙卫宁</w:t>
      </w:r>
    </w:p>
    <w:p>
      <w:pPr>
        <w:kinsoku w:val="0"/>
        <w:overflowPunct w:val="0"/>
        <w:autoSpaceDE w:val="0"/>
        <w:autoSpaceDN w:val="0"/>
        <w:snapToGrid w:val="0"/>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0571-86084919 </w:t>
      </w:r>
    </w:p>
    <w:p>
      <w:pPr>
        <w:kinsoku w:val="0"/>
        <w:overflowPunct w:val="0"/>
        <w:autoSpaceDE w:val="0"/>
        <w:autoSpaceDN w:val="0"/>
        <w:snapToGrid w:val="0"/>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许培锋</w:t>
      </w:r>
    </w:p>
    <w:p>
      <w:pPr>
        <w:snapToGrid w:val="0"/>
        <w:spacing w:line="360" w:lineRule="auto"/>
        <w:rPr>
          <w:rFonts w:hint="eastAsia" w:ascii="仿宋_GB2312" w:hAnsi="仿宋" w:eastAsia="仿宋_GB2312"/>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0571-87882296</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2.采购代理机构信息            </w:t>
      </w:r>
    </w:p>
    <w:p>
      <w:pPr>
        <w:snapToGrid w:val="0"/>
        <w:spacing w:line="360" w:lineRule="auto"/>
        <w:ind w:firstLine="480"/>
        <w:rPr>
          <w:rFonts w:ascii="仿宋_GB2312" w:hAnsi="仿宋" w:eastAsia="仿宋_GB2312"/>
          <w:sz w:val="24"/>
          <w:highlight w:val="none"/>
        </w:rPr>
      </w:pPr>
      <w:r>
        <w:rPr>
          <w:rFonts w:hint="eastAsia" w:ascii="仿宋_GB2312" w:hAnsi="仿宋" w:eastAsia="仿宋_GB2312"/>
          <w:sz w:val="24"/>
          <w:highlight w:val="none"/>
        </w:rPr>
        <w:t>名</w:t>
      </w:r>
      <w:r>
        <w:rPr>
          <w:rFonts w:ascii="仿宋_GB2312" w:hAnsi="仿宋" w:eastAsia="仿宋_GB2312"/>
          <w:sz w:val="24"/>
          <w:highlight w:val="none"/>
        </w:rPr>
        <w:t xml:space="preserve">    </w:t>
      </w:r>
      <w:r>
        <w:rPr>
          <w:rFonts w:hint="eastAsia" w:ascii="仿宋_GB2312" w:hAnsi="仿宋" w:eastAsia="仿宋_GB2312"/>
          <w:sz w:val="24"/>
          <w:highlight w:val="none"/>
        </w:rPr>
        <w:t>称：浙江泛亚工程咨询有限公司</w:t>
      </w:r>
    </w:p>
    <w:p>
      <w:pPr>
        <w:snapToGrid w:val="0"/>
        <w:spacing w:line="360" w:lineRule="auto"/>
        <w:ind w:firstLine="480"/>
        <w:rPr>
          <w:rFonts w:ascii="仿宋_GB2312" w:hAnsi="仿宋" w:eastAsia="仿宋"/>
          <w:sz w:val="24"/>
          <w:highlight w:val="non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hint="eastAsia" w:ascii="仿宋" w:hAnsi="仿宋" w:eastAsia="仿宋"/>
          <w:sz w:val="24"/>
          <w:highlight w:val="none"/>
        </w:rPr>
        <w:t>杭州市天目山路181号天际大厦803、804</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传    真：/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项目联系人（询问）：</w:t>
      </w:r>
      <w:r>
        <w:rPr>
          <w:rFonts w:hint="eastAsia" w:ascii="仿宋_GB2312" w:hAnsi="仿宋" w:eastAsia="仿宋_GB2312"/>
          <w:sz w:val="24"/>
          <w:highlight w:val="none"/>
        </w:rPr>
        <w:t>苗月平</w:t>
      </w:r>
      <w:r>
        <w:rPr>
          <w:rFonts w:ascii="仿宋_GB2312" w:hAnsi="仿宋" w:eastAsia="仿宋_GB2312"/>
          <w:sz w:val="24"/>
          <w:highlight w:val="none"/>
        </w:rPr>
        <w:t xml:space="preserve">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项目联系方式（询问）：</w:t>
      </w:r>
      <w:r>
        <w:rPr>
          <w:rFonts w:hint="eastAsia" w:ascii="仿宋_GB2312" w:hAnsi="仿宋" w:eastAsia="仿宋_GB2312"/>
          <w:sz w:val="24"/>
          <w:highlight w:val="none"/>
        </w:rPr>
        <w:t xml:space="preserve">0571-87359305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质疑联系人：</w:t>
      </w:r>
      <w:r>
        <w:rPr>
          <w:rFonts w:hint="eastAsia" w:ascii="仿宋_GB2312" w:hAnsi="仿宋" w:eastAsia="仿宋_GB2312"/>
          <w:sz w:val="24"/>
          <w:highlight w:val="none"/>
        </w:rPr>
        <w:t>童晓玲</w:t>
      </w:r>
      <w:r>
        <w:rPr>
          <w:rFonts w:ascii="仿宋_GB2312" w:hAnsi="仿宋" w:eastAsia="仿宋_GB2312"/>
          <w:sz w:val="24"/>
          <w:highlight w:val="none"/>
        </w:rPr>
        <w:t xml:space="preserve"> </w:t>
      </w:r>
    </w:p>
    <w:p>
      <w:pPr>
        <w:snapToGrid w:val="0"/>
        <w:spacing w:line="360" w:lineRule="auto"/>
        <w:rPr>
          <w:rFonts w:ascii="仿宋" w:hAnsi="仿宋" w:eastAsia="仿宋"/>
          <w:sz w:val="24"/>
          <w:highlight w:val="none"/>
        </w:rPr>
      </w:pPr>
      <w:r>
        <w:rPr>
          <w:rFonts w:ascii="仿宋_GB2312" w:hAnsi="仿宋" w:eastAsia="仿宋_GB2312"/>
          <w:sz w:val="24"/>
          <w:highlight w:val="none"/>
        </w:rPr>
        <w:t xml:space="preserve">    质疑联系方式：</w:t>
      </w:r>
      <w:r>
        <w:rPr>
          <w:rFonts w:hint="eastAsia" w:ascii="仿宋_GB2312" w:hAnsi="仿宋" w:eastAsia="仿宋_GB2312"/>
          <w:sz w:val="24"/>
          <w:highlight w:val="none"/>
        </w:rPr>
        <w:t>0571-87993215</w:t>
      </w:r>
      <w:r>
        <w:rPr>
          <w:rFonts w:hint="eastAsia" w:ascii="仿宋" w:hAnsi="仿宋" w:eastAsia="仿宋"/>
          <w:sz w:val="24"/>
          <w:highlight w:val="none"/>
        </w:rPr>
        <w:t xml:space="preserve">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3.同级政府采购监督管理部门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名    称：杭州西湖风景名胜区管理委员会财政局</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地    址：</w:t>
      </w:r>
      <w:r>
        <w:rPr>
          <w:rFonts w:hint="eastAsia" w:ascii="仿宋_GB2312" w:hAnsi="仿宋" w:eastAsia="仿宋_GB2312"/>
          <w:sz w:val="24"/>
          <w:highlight w:val="none"/>
        </w:rPr>
        <w:t xml:space="preserve">杭州市龙井路1号 </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w:t>
      </w:r>
      <w:r>
        <w:rPr>
          <w:rFonts w:hint="eastAsia" w:ascii="仿宋_GB2312" w:hAnsi="仿宋" w:eastAsia="仿宋_GB2312"/>
          <w:sz w:val="24"/>
          <w:highlight w:val="none"/>
        </w:rPr>
        <w:t xml:space="preserve">  </w:t>
      </w:r>
      <w:r>
        <w:rPr>
          <w:rFonts w:ascii="仿宋_GB2312" w:hAnsi="仿宋" w:eastAsia="仿宋_GB2312"/>
          <w:sz w:val="24"/>
          <w:highlight w:val="none"/>
        </w:rPr>
        <w:t>传    真：</w:t>
      </w:r>
      <w:r>
        <w:rPr>
          <w:rFonts w:hint="eastAsia" w:ascii="仿宋_GB2312" w:hAnsi="仿宋" w:eastAsia="仿宋_GB2312"/>
          <w:sz w:val="24"/>
          <w:highlight w:val="none"/>
        </w:rPr>
        <w:t>0571-87179813</w:t>
      </w:r>
    </w:p>
    <w:p>
      <w:pPr>
        <w:snapToGrid w:val="0"/>
        <w:spacing w:line="360" w:lineRule="auto"/>
        <w:rPr>
          <w:rFonts w:ascii="仿宋_GB2312" w:hAnsi="仿宋" w:eastAsia="仿宋_GB2312"/>
          <w:sz w:val="24"/>
          <w:highlight w:val="none"/>
        </w:rPr>
      </w:pPr>
      <w:r>
        <w:rPr>
          <w:rFonts w:ascii="仿宋_GB2312" w:hAnsi="仿宋" w:eastAsia="仿宋_GB2312"/>
          <w:sz w:val="24"/>
          <w:highlight w:val="none"/>
        </w:rPr>
        <w:t xml:space="preserve">    联系人 ：</w:t>
      </w:r>
      <w:r>
        <w:rPr>
          <w:rFonts w:hint="eastAsia" w:ascii="仿宋_GB2312" w:hAnsi="仿宋" w:eastAsia="仿宋_GB2312"/>
          <w:sz w:val="24"/>
          <w:highlight w:val="none"/>
        </w:rPr>
        <w:t xml:space="preserve">刘女士 </w:t>
      </w:r>
      <w:r>
        <w:rPr>
          <w:rFonts w:ascii="仿宋_GB2312" w:hAnsi="仿宋" w:eastAsia="仿宋_GB2312"/>
          <w:sz w:val="24"/>
          <w:highlight w:val="none"/>
        </w:rPr>
        <w:t xml:space="preserve">   </w:t>
      </w:r>
    </w:p>
    <w:p>
      <w:pPr>
        <w:snapToGrid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监督投诉电话：</w:t>
      </w:r>
      <w:r>
        <w:rPr>
          <w:rFonts w:hint="eastAsia" w:ascii="仿宋_GB2312" w:hAnsi="仿宋" w:eastAsia="仿宋_GB2312"/>
          <w:sz w:val="24"/>
          <w:highlight w:val="none"/>
        </w:rPr>
        <w:t xml:space="preserve">0571-87179536 </w:t>
      </w:r>
      <w:r>
        <w:rPr>
          <w:rFonts w:ascii="仿宋_GB2312" w:hAnsi="仿宋" w:eastAsia="仿宋_GB2312"/>
          <w:sz w:val="24"/>
          <w:highlight w:val="none"/>
        </w:rPr>
        <w:t xml:space="preserve">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若对项目采购电子交易系统操作有疑问，可登录政采云（</w:t>
      </w:r>
      <w:r>
        <w:rPr>
          <w:rFonts w:ascii="仿宋_GB2312" w:hAnsi="仿宋" w:eastAsia="仿宋_GB2312"/>
          <w:sz w:val="24"/>
          <w:highlight w:val="none"/>
        </w:rPr>
        <w:t>https://www.zcygov.cn/），点击右侧咨询小采，获取采小蜜智能服务管家帮助，或拨打政</w:t>
      </w:r>
      <w:r>
        <w:rPr>
          <w:rFonts w:hint="eastAsia" w:ascii="仿宋_GB2312" w:hAnsi="仿宋" w:eastAsia="仿宋_GB2312"/>
          <w:sz w:val="24"/>
          <w:highlight w:val="none"/>
        </w:rPr>
        <w:t>采云服务热线</w:t>
      </w:r>
      <w:r>
        <w:rPr>
          <w:rFonts w:ascii="仿宋_GB2312" w:hAnsi="仿宋" w:eastAsia="仿宋_GB2312"/>
          <w:sz w:val="24"/>
          <w:highlight w:val="none"/>
        </w:rPr>
        <w:t>400-881-7190获取热线服务帮助。</w:t>
      </w:r>
    </w:p>
    <w:p>
      <w:pPr>
        <w:snapToGrid w:val="0"/>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CA问题联系电话（人工）：</w:t>
      </w:r>
      <w:r>
        <w:rPr>
          <w:rFonts w:hint="eastAsia" w:ascii="仿宋_GB2312" w:hAnsi="仿宋" w:eastAsia="仿宋_GB2312"/>
          <w:sz w:val="24"/>
          <w:highlight w:val="none"/>
        </w:rPr>
        <w:t>汇信</w:t>
      </w:r>
      <w:r>
        <w:rPr>
          <w:rFonts w:ascii="仿宋_GB2312" w:hAnsi="仿宋" w:eastAsia="仿宋_GB2312"/>
          <w:sz w:val="24"/>
          <w:highlight w:val="none"/>
        </w:rPr>
        <w:t>CA 400-888-4636；天谷CA 400-087-8198。</w:t>
      </w:r>
    </w:p>
    <w:p>
      <w:pPr>
        <w:pStyle w:val="33"/>
        <w:spacing w:line="360" w:lineRule="auto"/>
        <w:ind w:firstLine="480" w:firstLineChars="200"/>
        <w:rPr>
          <w:rFonts w:ascii="仿宋" w:hAnsi="仿宋" w:eastAsia="仿宋" w:cs="仿宋_GB2312"/>
          <w:sz w:val="24"/>
          <w:szCs w:val="24"/>
          <w:highlight w:val="none"/>
        </w:rPr>
      </w:pPr>
      <w:r>
        <w:rPr>
          <w:rFonts w:ascii="仿宋" w:hAnsi="仿宋" w:eastAsia="仿宋" w:cs="仿宋_GB2312"/>
          <w:sz w:val="24"/>
          <w:highlight w:val="none"/>
        </w:rPr>
        <w:t xml:space="preserve">                              </w:t>
      </w:r>
    </w:p>
    <w:p>
      <w:pPr>
        <w:adjustRightInd/>
        <w:spacing w:line="360" w:lineRule="auto"/>
        <w:jc w:val="center"/>
        <w:outlineLvl w:val="0"/>
        <w:rPr>
          <w:rFonts w:ascii="仿宋" w:hAnsi="仿宋" w:eastAsia="仿宋" w:cs="仿宋_GB2312"/>
          <w:b/>
          <w:sz w:val="36"/>
          <w:szCs w:val="20"/>
          <w:highlight w:val="none"/>
        </w:rPr>
      </w:pPr>
      <w:r>
        <w:rPr>
          <w:rFonts w:ascii="仿宋" w:hAnsi="仿宋" w:eastAsia="仿宋" w:cs="仿宋_GB2312"/>
          <w:b/>
          <w:sz w:val="36"/>
          <w:szCs w:val="20"/>
          <w:highlight w:val="none"/>
        </w:rPr>
        <w:br w:type="page"/>
      </w:r>
      <w:r>
        <w:rPr>
          <w:rFonts w:hint="eastAsia" w:ascii="仿宋" w:hAnsi="仿宋" w:eastAsia="仿宋" w:cs="仿宋_GB2312"/>
          <w:b/>
          <w:sz w:val="36"/>
          <w:szCs w:val="20"/>
          <w:highlight w:val="none"/>
        </w:rPr>
        <w:t>第二部分</w:t>
      </w:r>
      <w:bookmarkEnd w:id="8"/>
      <w:r>
        <w:rPr>
          <w:rFonts w:ascii="仿宋" w:hAnsi="仿宋" w:eastAsia="仿宋" w:cs="仿宋_GB2312"/>
          <w:b/>
          <w:sz w:val="36"/>
          <w:szCs w:val="20"/>
          <w:highlight w:val="none"/>
        </w:rPr>
        <w:t xml:space="preserve"> 投标人须知</w:t>
      </w:r>
      <w:bookmarkEnd w:id="9"/>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12" w:space="0"/>
              <w:left w:val="single" w:color="auto" w:sz="12"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序号</w:t>
            </w:r>
          </w:p>
        </w:tc>
        <w:tc>
          <w:tcPr>
            <w:tcW w:w="1843" w:type="dxa"/>
            <w:tcBorders>
              <w:top w:val="single" w:color="auto" w:sz="12"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事项</w:t>
            </w:r>
          </w:p>
        </w:tc>
        <w:tc>
          <w:tcPr>
            <w:tcW w:w="6095" w:type="dxa"/>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报价要求</w:t>
            </w:r>
          </w:p>
        </w:tc>
        <w:tc>
          <w:tcPr>
            <w:tcW w:w="6095"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kern w:val="0"/>
                <w:sz w:val="24"/>
                <w:highlight w:val="none"/>
                <w:lang w:val="zh-CN"/>
              </w:rPr>
              <w:t>有关本项目实施所需的所有费用（含税费）均计入报价。</w:t>
            </w:r>
            <w:r>
              <w:rPr>
                <w:rFonts w:hint="eastAsia" w:ascii="仿宋_GB2312" w:hAnsi="仿宋" w:eastAsia="仿宋_GB2312" w:cs="仿宋_GB2312"/>
                <w:sz w:val="24"/>
                <w:highlight w:val="none"/>
              </w:rPr>
              <w:t>开标一览表（报价表）</w:t>
            </w:r>
            <w:r>
              <w:rPr>
                <w:rFonts w:hint="eastAsia" w:ascii="仿宋_GB2312" w:hAnsi="仿宋" w:eastAsia="仿宋_GB2312"/>
                <w:sz w:val="24"/>
                <w:highlight w:val="none"/>
              </w:rPr>
              <w:t>是报价的唯一载体</w:t>
            </w:r>
            <w:r>
              <w:rPr>
                <w:rFonts w:hint="eastAsia" w:ascii="仿宋_GB2312" w:hAnsi="仿宋" w:eastAsia="仿宋_GB2312" w:cs="仿宋_GB2312"/>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highlight w:val="none"/>
                <w:lang w:val="zh-CN"/>
              </w:rPr>
            </w:pPr>
            <w:r>
              <w:rPr>
                <w:rFonts w:hint="eastAsia" w:ascii="仿宋_GB2312" w:hAnsi="仿宋" w:eastAsia="仿宋_GB2312" w:cs="仿宋_GB2312"/>
                <w:b/>
                <w:kern w:val="0"/>
                <w:sz w:val="24"/>
                <w:highlight w:val="none"/>
                <w:lang w:val="zh-CN"/>
              </w:rPr>
              <w:t>投标报价超过招标文件中规定的预算金额或者最高限价的</w:t>
            </w:r>
            <w:r>
              <w:rPr>
                <w:rFonts w:ascii="仿宋_GB2312" w:hAnsi="仿宋" w:eastAsia="仿宋_GB2312"/>
                <w:b/>
                <w:kern w:val="0"/>
                <w:sz w:val="24"/>
                <w:highlight w:val="none"/>
                <w:lang w:val="zh-CN"/>
              </w:rPr>
              <w:t>;</w:t>
            </w:r>
          </w:p>
          <w:p>
            <w:pPr>
              <w:spacing w:line="360" w:lineRule="auto"/>
              <w:ind w:firstLine="241" w:firstLineChars="100"/>
              <w:rPr>
                <w:rFonts w:ascii="仿宋_GB2312" w:hAnsi="仿宋" w:eastAsia="仿宋_GB2312" w:cs="仿宋_GB2312"/>
                <w:b/>
                <w:sz w:val="24"/>
                <w:highlight w:val="none"/>
              </w:rPr>
            </w:pPr>
            <w:r>
              <w:rPr>
                <w:rFonts w:hint="eastAsia" w:ascii="仿宋_GB2312" w:hAnsi="仿宋" w:eastAsia="仿宋_GB2312" w:cs="Arial"/>
                <w:b/>
                <w:kern w:val="0"/>
                <w:sz w:val="24"/>
                <w:highlight w:val="none"/>
              </w:rPr>
              <w:t>报价明显低于其他通过符合性审查投标人的报价，有可能不能诚信履约的，未能按要求提供书面说明或者提交相关证明材料证明其报价合理性的</w:t>
            </w:r>
            <w:r>
              <w:rPr>
                <w:rFonts w:ascii="仿宋_GB2312" w:hAnsi="仿宋" w:eastAsia="仿宋_GB2312" w:cs="仿宋_GB2312"/>
                <w:b/>
                <w:sz w:val="24"/>
                <w:szCs w:val="21"/>
                <w:highlight w:val="none"/>
              </w:rPr>
              <w:t>;</w:t>
            </w:r>
          </w:p>
          <w:p>
            <w:pPr>
              <w:spacing w:line="360" w:lineRule="auto"/>
              <w:ind w:firstLine="241" w:firstLineChars="100"/>
              <w:rPr>
                <w:rFonts w:ascii="仿宋_GB2312" w:hAnsi="仿宋" w:eastAsia="仿宋_GB2312"/>
                <w:sz w:val="24"/>
                <w:highlight w:val="none"/>
              </w:rPr>
            </w:pPr>
            <w:r>
              <w:rPr>
                <w:rFonts w:hint="eastAsia" w:ascii="仿宋_GB2312" w:hAnsi="仿宋" w:eastAsia="仿宋_GB2312" w:cs="Arial"/>
                <w:b/>
                <w:kern w:val="0"/>
                <w:sz w:val="24"/>
                <w:highlight w:val="none"/>
              </w:rPr>
              <w:t>投标人对根据修正原则修正后的报价不确认的</w:t>
            </w:r>
            <w:r>
              <w:rPr>
                <w:rFonts w:hint="eastAsia" w:ascii="仿宋_GB2312" w:hAnsi="仿宋" w:eastAsia="仿宋_GB2312"/>
                <w:b/>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095"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rPr>
                <w:rFonts w:ascii="仿宋_GB2312" w:hAnsi="仿宋" w:eastAsia="仿宋_GB2312" w:cs="仿宋_GB2312"/>
                <w:sz w:val="24"/>
                <w:highlight w:val="none"/>
              </w:rPr>
            </w:pPr>
            <w:r>
              <w:rPr>
                <w:rFonts w:hint="eastAsia" w:ascii="仿宋" w:hAnsi="仿宋" w:eastAsia="仿宋"/>
                <w:sz w:val="24"/>
                <w:highlight w:val="none"/>
              </w:rPr>
              <w:t>不</w:t>
            </w:r>
            <w:r>
              <w:rPr>
                <w:rFonts w:hint="eastAsia" w:ascii="仿宋_GB2312" w:hAnsi="仿宋" w:eastAsia="仿宋_GB2312"/>
                <w:sz w:val="24"/>
                <w:highlight w:val="none"/>
              </w:rPr>
              <w:t>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投标人应当提供的资格、资信证明文件</w:t>
            </w: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1）资格证明文件：见招标文件第二部分11.1。</w:t>
            </w:r>
          </w:p>
          <w:p>
            <w:pPr>
              <w:spacing w:line="360" w:lineRule="auto"/>
              <w:rPr>
                <w:rFonts w:ascii="Arial" w:hAnsi="Arial" w:eastAsia="黑体" w:cs="Arial"/>
                <w:snapToGrid w:val="0"/>
                <w:kern w:val="0"/>
                <w:szCs w:val="21"/>
                <w:highlight w:val="none"/>
              </w:rPr>
            </w:pPr>
            <w:r>
              <w:rPr>
                <w:rFonts w:hint="eastAsia" w:ascii="仿宋_GB2312" w:hAnsi="仿宋" w:eastAsia="仿宋_GB2312"/>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w:t>
            </w:r>
            <w:r>
              <w:rPr>
                <w:rFonts w:ascii="仿宋_GB2312" w:hAnsi="仿宋" w:eastAsia="仿宋_GB2312"/>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开标前答疑会或现场考察</w:t>
            </w: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 w:eastAsia="仿宋_GB2312"/>
                <w:sz w:val="24"/>
                <w:szCs w:val="20"/>
                <w:highlight w:val="none"/>
              </w:rPr>
            </w:pPr>
            <w:r>
              <w:rPr>
                <w:rFonts w:hint="eastAsia" w:ascii="仿宋_GB2312" w:hAnsi="仿宋" w:eastAsia="仿宋_GB2312"/>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项目属性与核心产品</w:t>
            </w: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采购标的对应的中小企业划分标准所属行业</w:t>
            </w:r>
          </w:p>
        </w:tc>
        <w:tc>
          <w:tcPr>
            <w:tcW w:w="6095" w:type="dxa"/>
            <w:tcBorders>
              <w:top w:val="single" w:color="auto" w:sz="4" w:space="0"/>
              <w:left w:val="single" w:color="auto" w:sz="4" w:space="0"/>
              <w:bottom w:val="single" w:color="auto" w:sz="4" w:space="0"/>
              <w:right w:val="single" w:color="auto" w:sz="12" w:space="0"/>
            </w:tcBorders>
            <w:vAlign w:val="center"/>
          </w:tcPr>
          <w:p>
            <w:pPr>
              <w:snapToGrid w:val="0"/>
              <w:spacing w:line="360" w:lineRule="auto"/>
              <w:rPr>
                <w:rFonts w:eastAsia="仿宋_GB2312"/>
                <w:highlight w:val="none"/>
              </w:rPr>
            </w:pPr>
            <w:r>
              <w:rPr>
                <w:rFonts w:hint="eastAsia" w:ascii="仿宋_GB2312" w:hAnsi="仿宋" w:eastAsia="仿宋_GB2312" w:cs="Arial"/>
                <w:kern w:val="0"/>
                <w:sz w:val="24"/>
                <w:highlight w:val="none"/>
              </w:rPr>
              <w:t>（</w:t>
            </w:r>
            <w:r>
              <w:rPr>
                <w:rFonts w:ascii="仿宋_GB2312" w:hAnsi="仿宋" w:eastAsia="仿宋_GB2312" w:cs="Arial"/>
                <w:kern w:val="0"/>
                <w:sz w:val="24"/>
                <w:highlight w:val="none"/>
              </w:rPr>
              <w:t>1</w:t>
            </w:r>
            <w:r>
              <w:rPr>
                <w:rFonts w:hint="eastAsia" w:ascii="仿宋_GB2312" w:hAnsi="仿宋" w:eastAsia="仿宋_GB2312" w:cs="Arial"/>
                <w:kern w:val="0"/>
                <w:sz w:val="24"/>
                <w:highlight w:val="none"/>
              </w:rPr>
              <w:t>）标的：</w:t>
            </w:r>
            <w:r>
              <w:rPr>
                <w:rFonts w:hint="eastAsia" w:ascii="仿宋_GB2312" w:hAnsi="仿宋" w:eastAsia="仿宋_GB2312"/>
                <w:sz w:val="24"/>
                <w:highlight w:val="none"/>
                <w:u w:val="single"/>
              </w:rPr>
              <w:t>杭州西湖博物馆总馆安保服务项目</w:t>
            </w:r>
            <w:r>
              <w:rPr>
                <w:rFonts w:hint="eastAsia" w:ascii="仿宋_GB2312" w:hAnsi="仿宋" w:eastAsia="仿宋_GB2312" w:cs="Arial"/>
                <w:kern w:val="0"/>
                <w:sz w:val="24"/>
                <w:highlight w:val="none"/>
              </w:rPr>
              <w:t>，属于</w:t>
            </w:r>
            <w:r>
              <w:rPr>
                <w:rFonts w:hint="eastAsia" w:ascii="仿宋_GB2312" w:hAnsi="仿宋" w:eastAsia="仿宋_GB2312"/>
                <w:b/>
                <w:sz w:val="24"/>
                <w:highlight w:val="none"/>
                <w:u w:val="single"/>
              </w:rPr>
              <w:t>租赁和商务服务业</w:t>
            </w:r>
            <w:r>
              <w:rPr>
                <w:rFonts w:hint="eastAsia" w:ascii="仿宋_GB2312" w:hAnsi="仿宋" w:eastAsia="仿宋_GB2312" w:cs="Arial"/>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44" w:hRule="atLeast"/>
          <w:tblHeader/>
        </w:trPr>
        <w:tc>
          <w:tcPr>
            <w:tcW w:w="629" w:type="dxa"/>
            <w:vMerge w:val="restart"/>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7</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中小企业信用融资</w:t>
            </w: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仿宋_GB2312" w:hAnsi="仿宋" w:eastAsia="仿宋_GB2312"/>
                <w:sz w:val="24"/>
                <w:highlight w:val="none"/>
              </w:rPr>
            </w:pPr>
            <w:r>
              <w:rPr>
                <w:rFonts w:hint="eastAsia" w:ascii="仿宋_GB2312" w:hAnsi="仿宋" w:eastAsia="仿宋_GB2312"/>
                <w:snapToGrid w:val="0"/>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85" w:hRule="atLeast"/>
          <w:tblHeader/>
        </w:trPr>
        <w:tc>
          <w:tcPr>
            <w:tcW w:w="629" w:type="dxa"/>
            <w:vMerge w:val="continue"/>
            <w:tcBorders>
              <w:top w:val="single" w:color="auto" w:sz="4" w:space="0"/>
              <w:left w:val="single" w:color="auto" w:sz="12" w:space="0"/>
              <w:bottom w:val="single" w:color="auto" w:sz="4" w:space="0"/>
              <w:right w:val="single" w:color="auto" w:sz="4" w:space="0"/>
            </w:tcBorders>
            <w:vAlign w:val="center"/>
          </w:tcPr>
          <w:p>
            <w:pPr>
              <w:spacing w:line="360" w:lineRule="auto"/>
              <w:ind w:firstLine="420" w:firstLineChars="200"/>
              <w:jc w:val="center"/>
              <w:rPr>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highlight w:val="none"/>
              </w:rPr>
            </w:pPr>
          </w:p>
        </w:tc>
        <w:tc>
          <w:tcPr>
            <w:tcW w:w="6095" w:type="dxa"/>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9" w:hRule="atLeast"/>
          <w:tblHeader/>
        </w:trPr>
        <w:tc>
          <w:tcPr>
            <w:tcW w:w="629" w:type="dxa"/>
            <w:tcBorders>
              <w:top w:val="single" w:color="auto" w:sz="4" w:space="0"/>
              <w:left w:val="single" w:color="auto" w:sz="12"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备份投标文件送达地点和签收人员</w:t>
            </w:r>
            <w:r>
              <w:rPr>
                <w:rFonts w:ascii="仿宋_GB2312" w:hAnsi="仿宋" w:eastAsia="仿宋_GB2312" w:cs="仿宋_GB2312"/>
                <w:b/>
                <w:sz w:val="24"/>
                <w:highlight w:val="none"/>
              </w:rPr>
              <w:t xml:space="preserve"> </w:t>
            </w:r>
          </w:p>
        </w:tc>
        <w:tc>
          <w:tcPr>
            <w:tcW w:w="6095" w:type="dxa"/>
            <w:tcBorders>
              <w:top w:val="single" w:color="auto" w:sz="4" w:space="0"/>
              <w:left w:val="single" w:color="auto" w:sz="4" w:space="0"/>
              <w:bottom w:val="single" w:color="auto" w:sz="4" w:space="0"/>
              <w:right w:val="single" w:color="auto" w:sz="12" w:space="0"/>
            </w:tcBorders>
            <w:vAlign w:val="center"/>
          </w:tcPr>
          <w:p>
            <w:pPr>
              <w:pStyle w:val="33"/>
              <w:spacing w:line="360" w:lineRule="auto"/>
              <w:rPr>
                <w:rFonts w:ascii="仿宋_GB2312" w:hAnsi="仿宋" w:eastAsia="仿宋_GB2312"/>
                <w:kern w:val="28"/>
                <w:sz w:val="24"/>
                <w:highlight w:val="none"/>
              </w:rPr>
            </w:pPr>
            <w:r>
              <w:rPr>
                <w:rFonts w:hint="eastAsia" w:ascii="仿宋_GB2312" w:hAnsi="仿宋" w:eastAsia="仿宋_GB2312" w:cs="Times New Roman"/>
                <w:kern w:val="28"/>
                <w:sz w:val="24"/>
                <w:szCs w:val="24"/>
                <w:highlight w:val="none"/>
              </w:rPr>
              <w:t>备份投标文件送达地点：</w:t>
            </w:r>
            <w:r>
              <w:rPr>
                <w:rFonts w:hint="eastAsia" w:ascii="仿宋_GB2312" w:hAnsi="仿宋" w:eastAsia="仿宋_GB2312"/>
                <w:sz w:val="24"/>
                <w:highlight w:val="none"/>
                <w:u w:val="single"/>
              </w:rPr>
              <w:t>杭州市天目山路181号天际大厦8楼803</w:t>
            </w:r>
            <w:r>
              <w:rPr>
                <w:rFonts w:hint="eastAsia" w:ascii="仿宋_GB2312" w:hAnsi="仿宋" w:eastAsia="仿宋_GB2312" w:cs="Times New Roman"/>
                <w:kern w:val="28"/>
                <w:sz w:val="24"/>
                <w:szCs w:val="24"/>
                <w:highlight w:val="none"/>
              </w:rPr>
              <w:t>；备份投标文件签收人员联系电话：</w:t>
            </w:r>
            <w:r>
              <w:rPr>
                <w:rFonts w:hint="eastAsia" w:ascii="仿宋_GB2312" w:hAnsi="仿宋" w:eastAsia="仿宋_GB2312"/>
                <w:sz w:val="24"/>
                <w:highlight w:val="none"/>
                <w:u w:val="single"/>
              </w:rPr>
              <w:t>13515813122</w:t>
            </w:r>
            <w:r>
              <w:rPr>
                <w:rFonts w:hint="eastAsia" w:ascii="仿宋_GB2312" w:hAnsi="仿宋" w:eastAsia="仿宋_GB2312" w:cs="仿宋_GB2312"/>
                <w:sz w:val="24"/>
                <w:szCs w:val="24"/>
                <w:highlight w:val="none"/>
              </w:rPr>
              <w:t>。</w:t>
            </w:r>
            <w:r>
              <w:rPr>
                <w:rFonts w:hint="eastAsia" w:ascii="仿宋_GB2312" w:hAnsi="仿宋" w:eastAsia="仿宋_GB2312" w:cs="仿宋_GB2312"/>
                <w:b/>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9</w:t>
            </w:r>
          </w:p>
        </w:tc>
        <w:tc>
          <w:tcPr>
            <w:tcW w:w="1843" w:type="dxa"/>
            <w:tcBorders>
              <w:top w:val="single" w:color="auto" w:sz="4" w:space="0"/>
              <w:left w:val="single" w:color="auto" w:sz="4" w:space="0"/>
              <w:bottom w:val="single" w:color="auto" w:sz="12" w:space="0"/>
              <w:right w:val="single" w:color="auto" w:sz="4" w:space="0"/>
            </w:tcBorders>
            <w:vAlign w:val="center"/>
          </w:tcPr>
          <w:p>
            <w:pPr>
              <w:snapToGrid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招标代理服务费</w:t>
            </w:r>
          </w:p>
        </w:tc>
        <w:tc>
          <w:tcPr>
            <w:tcW w:w="6095" w:type="dxa"/>
            <w:tcBorders>
              <w:top w:val="single" w:color="auto" w:sz="4" w:space="0"/>
              <w:left w:val="single" w:color="auto" w:sz="4" w:space="0"/>
              <w:bottom w:val="single" w:color="auto" w:sz="12" w:space="0"/>
              <w:right w:val="single" w:color="auto" w:sz="12" w:space="0"/>
            </w:tcBorders>
            <w:vAlign w:val="center"/>
          </w:tcPr>
          <w:p>
            <w:pPr>
              <w:spacing w:line="360" w:lineRule="auto"/>
              <w:rPr>
                <w:rFonts w:ascii="仿宋_GB2312" w:hAnsi="仿宋" w:eastAsia="仿宋_GB2312"/>
                <w:snapToGrid w:val="0"/>
                <w:kern w:val="28"/>
                <w:sz w:val="24"/>
                <w:highlight w:val="none"/>
              </w:rPr>
            </w:pPr>
            <w:r>
              <w:rPr>
                <w:rFonts w:hint="eastAsia" w:ascii="仿宋_GB2312" w:hAnsi="仿宋" w:eastAsia="仿宋_GB2312"/>
                <w:snapToGrid w:val="0"/>
                <w:kern w:val="28"/>
                <w:sz w:val="24"/>
                <w:highlight w:val="none"/>
              </w:rPr>
              <w:t>本项目的采购代理费由采购人支付。</w:t>
            </w:r>
          </w:p>
        </w:tc>
      </w:tr>
    </w:tbl>
    <w:p>
      <w:pPr>
        <w:snapToGrid w:val="0"/>
        <w:spacing w:line="360" w:lineRule="auto"/>
        <w:jc w:val="center"/>
        <w:rPr>
          <w:rFonts w:ascii="仿宋" w:hAnsi="仿宋" w:eastAsia="仿宋" w:cs="仿宋_GB2312"/>
          <w:b/>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sz w:val="32"/>
          <w:szCs w:val="20"/>
          <w:highlight w:val="none"/>
        </w:rPr>
      </w:pPr>
      <w:bookmarkStart w:id="11" w:name="第三部分"/>
      <w:bookmarkStart w:id="12" w:name="_Toc164416483"/>
    </w:p>
    <w:p>
      <w:pPr>
        <w:adjustRightInd/>
        <w:spacing w:line="360" w:lineRule="auto"/>
        <w:ind w:firstLine="3845" w:firstLineChars="1197"/>
        <w:outlineLvl w:val="0"/>
        <w:rPr>
          <w:rFonts w:ascii="仿宋_GB2312" w:hAnsi="仿宋" w:eastAsia="仿宋_GB2312" w:cs="仿宋_GB2312"/>
          <w:b/>
          <w:sz w:val="32"/>
          <w:szCs w:val="20"/>
          <w:highlight w:val="none"/>
        </w:rPr>
      </w:pPr>
    </w:p>
    <w:p>
      <w:pPr>
        <w:pStyle w:val="6"/>
        <w:rPr>
          <w:rFonts w:ascii="仿宋_GB2312" w:hAnsi="仿宋" w:eastAsia="仿宋_GB2312" w:cs="仿宋_GB2312"/>
          <w:szCs w:val="20"/>
          <w:highlight w:val="none"/>
        </w:rPr>
      </w:pPr>
    </w:p>
    <w:p>
      <w:pPr>
        <w:rPr>
          <w:highlight w:val="none"/>
        </w:rPr>
      </w:pPr>
    </w:p>
    <w:p>
      <w:pPr>
        <w:adjustRightInd/>
        <w:spacing w:line="360" w:lineRule="auto"/>
        <w:outlineLvl w:val="0"/>
        <w:rPr>
          <w:rFonts w:ascii="仿宋_GB2312" w:hAnsi="仿宋" w:eastAsia="仿宋_GB2312" w:cs="仿宋_GB2312"/>
          <w:b/>
          <w:sz w:val="32"/>
          <w:szCs w:val="20"/>
          <w:highlight w:val="none"/>
        </w:rPr>
      </w:pPr>
    </w:p>
    <w:p>
      <w:pPr>
        <w:adjustRightInd/>
        <w:spacing w:line="360" w:lineRule="auto"/>
        <w:ind w:firstLine="3845" w:firstLineChars="1197"/>
        <w:outlineLvl w:val="0"/>
        <w:rPr>
          <w:rFonts w:ascii="仿宋_GB2312" w:hAnsi="仿宋" w:eastAsia="仿宋_GB2312" w:cs="仿宋_GB2312"/>
          <w:b/>
          <w:sz w:val="32"/>
          <w:szCs w:val="20"/>
          <w:highlight w:val="none"/>
        </w:rPr>
      </w:pPr>
    </w:p>
    <w:p>
      <w:pPr>
        <w:adjustRightInd/>
        <w:spacing w:line="360" w:lineRule="auto"/>
        <w:ind w:firstLine="3845" w:firstLineChars="1197"/>
        <w:outlineLvl w:val="0"/>
        <w:rPr>
          <w:rFonts w:ascii="仿宋_GB2312" w:hAnsi="仿宋" w:eastAsia="仿宋_GB2312" w:cs="仿宋_GB2312"/>
          <w:b/>
          <w:sz w:val="32"/>
          <w:szCs w:val="20"/>
          <w:highlight w:val="none"/>
        </w:rPr>
      </w:pPr>
    </w:p>
    <w:p>
      <w:pPr>
        <w:adjustRightInd/>
        <w:spacing w:line="360" w:lineRule="auto"/>
        <w:ind w:firstLine="3845" w:firstLineChars="1197"/>
        <w:outlineLvl w:val="0"/>
        <w:rPr>
          <w:rFonts w:ascii="仿宋_GB2312" w:hAnsi="仿宋" w:eastAsia="仿宋_GB2312" w:cs="仿宋_GB2312"/>
          <w:b/>
          <w:sz w:val="32"/>
          <w:szCs w:val="20"/>
          <w:highlight w:val="none"/>
        </w:rPr>
      </w:pPr>
    </w:p>
    <w:p>
      <w:pPr>
        <w:adjustRightInd/>
        <w:spacing w:line="360" w:lineRule="auto"/>
        <w:ind w:firstLine="3845" w:firstLineChars="1197"/>
        <w:outlineLvl w:val="0"/>
        <w:rPr>
          <w:rFonts w:ascii="仿宋_GB2312" w:hAnsi="仿宋" w:eastAsia="仿宋_GB2312" w:cs="仿宋_GB2312"/>
          <w:b/>
          <w:sz w:val="32"/>
          <w:szCs w:val="20"/>
          <w:highlight w:val="none"/>
        </w:rPr>
      </w:pPr>
      <w:r>
        <w:rPr>
          <w:rFonts w:hint="eastAsia" w:ascii="仿宋_GB2312" w:hAnsi="仿宋" w:eastAsia="仿宋_GB2312" w:cs="仿宋_GB2312"/>
          <w:b/>
          <w:sz w:val="32"/>
          <w:szCs w:val="20"/>
          <w:highlight w:val="none"/>
        </w:rPr>
        <w:t>一、总则</w:t>
      </w:r>
    </w:p>
    <w:p>
      <w:pPr>
        <w:snapToGrid w:val="0"/>
        <w:spacing w:line="360" w:lineRule="auto"/>
        <w:ind w:firstLine="482" w:firstLineChars="200"/>
        <w:jc w:val="left"/>
        <w:outlineLvl w:val="1"/>
        <w:rPr>
          <w:rFonts w:ascii="仿宋_GB2312" w:hAnsi="仿宋" w:eastAsia="仿宋_GB2312"/>
          <w:b/>
          <w:sz w:val="24"/>
          <w:highlight w:val="none"/>
        </w:rPr>
      </w:pPr>
      <w:r>
        <w:rPr>
          <w:rFonts w:ascii="仿宋_GB2312" w:hAnsi="仿宋" w:eastAsia="仿宋_GB2312"/>
          <w:b/>
          <w:sz w:val="24"/>
          <w:highlight w:val="none"/>
        </w:rPr>
        <w:t>1.</w:t>
      </w:r>
      <w:r>
        <w:rPr>
          <w:rFonts w:hint="eastAsia" w:ascii="仿宋_GB2312" w:hAnsi="仿宋" w:eastAsia="仿宋_GB2312"/>
          <w:b/>
          <w:sz w:val="24"/>
          <w:highlight w:val="none"/>
        </w:rPr>
        <w:t>适用范围</w:t>
      </w:r>
    </w:p>
    <w:p>
      <w:pPr>
        <w:snapToGrid w:val="0"/>
        <w:spacing w:line="360" w:lineRule="auto"/>
        <w:ind w:firstLine="480" w:firstLineChars="200"/>
        <w:jc w:val="left"/>
        <w:rPr>
          <w:rFonts w:ascii="仿宋_GB2312" w:hAnsi="仿宋" w:eastAsia="仿宋_GB2312"/>
          <w:sz w:val="24"/>
          <w:highlight w:val="none"/>
        </w:rPr>
      </w:pPr>
      <w:r>
        <w:rPr>
          <w:rFonts w:hint="eastAsia" w:ascii="仿宋_GB2312" w:hAnsi="仿宋" w:eastAsia="仿宋_GB2312"/>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_GB2312" w:hAnsi="仿宋" w:eastAsia="仿宋_GB2312" w:cs="仿宋_GB2312"/>
          <w:b/>
          <w:sz w:val="24"/>
          <w:highlight w:val="none"/>
        </w:rPr>
      </w:pPr>
      <w:r>
        <w:rPr>
          <w:rFonts w:ascii="仿宋_GB2312" w:hAnsi="仿宋" w:eastAsia="仿宋_GB2312" w:cs="仿宋_GB2312"/>
          <w:b/>
          <w:sz w:val="24"/>
          <w:highlight w:val="none"/>
        </w:rPr>
        <w:t>2.定义</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2.1</w:t>
      </w:r>
      <w:r>
        <w:rPr>
          <w:rFonts w:hint="eastAsia" w:ascii="仿宋_GB2312" w:hAnsi="仿宋" w:eastAsia="仿宋_GB2312"/>
          <w:sz w:val="24"/>
          <w:highlight w:val="none"/>
        </w:rPr>
        <w:t>“采购人”系指招标公告中载明的本项目的采购人。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2.2</w:t>
      </w:r>
      <w:r>
        <w:rPr>
          <w:rFonts w:hint="eastAsia" w:ascii="仿宋_GB2312" w:hAnsi="仿宋" w:eastAsia="仿宋_GB2312"/>
          <w:sz w:val="24"/>
          <w:highlight w:val="none"/>
        </w:rPr>
        <w:t>“采购机构”系指招标公告中载明的本项目的采购机构。</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2.3</w:t>
      </w:r>
      <w:r>
        <w:rPr>
          <w:rFonts w:hint="eastAsia" w:ascii="仿宋_GB2312" w:hAnsi="仿宋" w:eastAsia="仿宋_GB2312"/>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2.4</w:t>
      </w:r>
      <w:r>
        <w:rPr>
          <w:rFonts w:hint="eastAsia" w:ascii="仿宋_GB2312" w:hAnsi="仿宋" w:eastAsia="仿宋_GB2312"/>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2.5“电子签名”系指数据电文中以电子形式所含、所附用于识别签名人身份并表明签名人认可其中内容的数据；</w:t>
      </w:r>
      <w:r>
        <w:rPr>
          <w:rFonts w:hint="eastAsia" w:ascii="仿宋" w:hAnsi="仿宋" w:eastAsia="仿宋"/>
          <w:sz w:val="24"/>
          <w:highlight w:val="none"/>
        </w:rPr>
        <w:t>“公章”系指单位法定名称章。因特殊原因需要使用冠以法定名称的业务专用章的，投标时须提供《业务专用章使用说明函》（附件</w:t>
      </w:r>
      <w:r>
        <w:rPr>
          <w:rFonts w:ascii="仿宋" w:hAnsi="仿宋" w:eastAsia="仿宋"/>
          <w:sz w:val="24"/>
          <w:highlight w:val="none"/>
        </w:rPr>
        <w:t>4）</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 xml:space="preserve">2.7 </w:t>
      </w:r>
      <w:r>
        <w:rPr>
          <w:rFonts w:hint="eastAsia" w:ascii="仿宋_GB2312" w:hAnsi="仿宋" w:eastAsia="仿宋_GB2312"/>
          <w:sz w:val="24"/>
          <w:highlight w:val="none"/>
        </w:rPr>
        <w:t>“▲”系指实质性要求条款。</w:t>
      </w:r>
    </w:p>
    <w:p>
      <w:pPr>
        <w:spacing w:line="360" w:lineRule="auto"/>
        <w:ind w:firstLine="482" w:firstLineChars="200"/>
        <w:rPr>
          <w:rFonts w:ascii="仿宋_GB2312" w:hAnsi="仿宋" w:eastAsia="仿宋_GB2312"/>
          <w:b/>
          <w:sz w:val="24"/>
          <w:highlight w:val="none"/>
        </w:rPr>
      </w:pPr>
      <w:r>
        <w:rPr>
          <w:rFonts w:ascii="仿宋_GB2312" w:hAnsi="仿宋" w:eastAsia="仿宋_GB2312"/>
          <w:b/>
          <w:sz w:val="24"/>
          <w:highlight w:val="none"/>
        </w:rPr>
        <w:t>3.</w:t>
      </w:r>
      <w:r>
        <w:rPr>
          <w:rFonts w:hint="eastAsia" w:ascii="仿宋_GB2312" w:hAnsi="仿宋" w:eastAsia="仿宋_GB2312"/>
          <w:b/>
          <w:sz w:val="24"/>
          <w:highlight w:val="none"/>
        </w:rPr>
        <w:t>采购项目需要落实的政府采购政策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3.1</w:t>
      </w:r>
      <w:r>
        <w:rPr>
          <w:rFonts w:hint="eastAsia" w:ascii="仿宋_GB2312" w:hAnsi="仿宋" w:eastAsia="仿宋_GB2312"/>
          <w:sz w:val="24"/>
          <w:highlight w:val="none"/>
        </w:rPr>
        <w:t>本项目原则上采购本国的服务。</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支持绿色发展</w:t>
      </w:r>
    </w:p>
    <w:p>
      <w:pPr>
        <w:spacing w:line="360" w:lineRule="auto"/>
        <w:ind w:firstLine="480" w:firstLineChars="200"/>
        <w:rPr>
          <w:sz w:val="24"/>
          <w:highlight w:val="none"/>
        </w:rPr>
      </w:pPr>
      <w:r>
        <w:rPr>
          <w:rFonts w:ascii="仿宋_GB2312" w:hAnsi="仿宋" w:eastAsia="仿宋_GB2312"/>
          <w:sz w:val="24"/>
          <w:highlight w:val="none"/>
        </w:rPr>
        <w:t>3.2.</w:t>
      </w:r>
      <w:r>
        <w:rPr>
          <w:rFonts w:hint="eastAsia" w:ascii="仿宋_GB2312" w:hAnsi="仿宋" w:eastAsia="仿宋_GB2312"/>
          <w:sz w:val="24"/>
          <w:highlight w:val="none"/>
        </w:rPr>
        <w:t>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eastAsia="仿宋_GB2312"/>
          <w:bCs/>
          <w:sz w:val="24"/>
          <w:highlight w:val="none"/>
        </w:rPr>
        <w:t>3.3.2</w:t>
      </w:r>
      <w:r>
        <w:rPr>
          <w:rFonts w:hint="eastAsia" w:ascii="仿宋_GB2312" w:hAnsi="宋体" w:eastAsia="仿宋_GB2312" w:cs="宋体"/>
          <w:kern w:val="0"/>
          <w:sz w:val="24"/>
          <w:highlight w:val="none"/>
        </w:rPr>
        <w:t>在政府采购活动中，投标人提供的服务符合下列情形的，享受中小企业扶持政策：</w:t>
      </w:r>
    </w:p>
    <w:p>
      <w:pPr>
        <w:widowControl/>
        <w:spacing w:line="360" w:lineRule="auto"/>
        <w:ind w:firstLine="480" w:firstLineChars="200"/>
        <w:jc w:val="left"/>
        <w:rPr>
          <w:rFonts w:ascii="仿宋_GB2312" w:hAnsi="宋体" w:eastAsia="仿宋_GB2312" w:cs="宋体"/>
          <w:kern w:val="0"/>
          <w:sz w:val="24"/>
          <w:highlight w:val="none"/>
        </w:rPr>
      </w:pPr>
      <w:r>
        <w:rPr>
          <w:rFonts w:ascii="仿宋_GB2312" w:hAnsi="宋体" w:eastAsia="仿宋_GB2312" w:cs="宋体"/>
          <w:kern w:val="0"/>
          <w:sz w:val="24"/>
          <w:highlight w:val="none"/>
        </w:rPr>
        <w:t>3.3.2.</w:t>
      </w:r>
      <w:r>
        <w:rPr>
          <w:rFonts w:hint="eastAsia" w:ascii="仿宋_GB2312" w:hAnsi="宋体" w:eastAsia="仿宋_GB2312" w:cs="宋体"/>
          <w:kern w:val="0"/>
          <w:sz w:val="24"/>
          <w:highlight w:val="none"/>
        </w:rPr>
        <w:t>1</w:t>
      </w:r>
      <w:r>
        <w:rPr>
          <w:rFonts w:ascii="仿宋_GB2312" w:hAnsi="宋体" w:eastAsia="仿宋_GB2312" w:cs="宋体"/>
          <w:kern w:val="0"/>
          <w:sz w:val="24"/>
          <w:highlight w:val="none"/>
        </w:rPr>
        <w:t>在服务采购项目中，服务由中小企业承接，即提供服务的人员为中小企业依照《中华人民共和国劳动合同法》订立劳动合同的从业人员。</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3.3.3</w:t>
      </w:r>
      <w:r>
        <w:rPr>
          <w:rFonts w:hint="eastAsia" w:ascii="仿宋_GB2312" w:hAnsi="仿宋" w:eastAsia="仿宋_GB2312"/>
          <w:sz w:val="24"/>
          <w:highlight w:val="none"/>
        </w:rPr>
        <w:t>对于未预留份额专门面向中小企业的政府采购服务项目，以及预留份额政府采购服务项目中的非预留部分标项，对小型和微型企业的投标报价给予20</w:t>
      </w:r>
      <w:r>
        <w:rPr>
          <w:rFonts w:ascii="仿宋_GB2312" w:hAnsi="仿宋" w:eastAsia="仿宋_GB2312"/>
          <w:sz w:val="24"/>
          <w:highlight w:val="none"/>
        </w:rPr>
        <w:t>%的扣除，用扣除后的价格参与评审。</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sz w:val="24"/>
          <w:highlight w:val="none"/>
        </w:rPr>
        <w:t>。</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highlight w:val="none"/>
        </w:rPr>
        <w:t>3.</w:t>
      </w:r>
      <w:r>
        <w:rPr>
          <w:rFonts w:hint="eastAsia" w:ascii="仿宋_GB2312" w:hAnsi="仿宋" w:eastAsia="仿宋_GB2312"/>
          <w:sz w:val="24"/>
          <w:highlight w:val="none"/>
        </w:rPr>
        <w:t>4</w:t>
      </w:r>
      <w:r>
        <w:rPr>
          <w:rFonts w:ascii="仿宋_GB2312" w:hAnsi="仿宋" w:eastAsia="仿宋_GB2312"/>
          <w:sz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杭州市政府采购网“中小企业信用融资”模块，查看信用融资政策文件及各相关银行服务方案。</w:t>
      </w:r>
      <w:r>
        <w:rPr>
          <w:rFonts w:ascii="仿宋_GB2312" w:hAnsi="仿宋" w:eastAsia="仿宋_GB2312"/>
          <w:sz w:val="24"/>
          <w:highlight w:val="none"/>
        </w:rPr>
        <w:cr/>
      </w:r>
      <w:r>
        <w:rPr>
          <w:rFonts w:hint="eastAsia" w:ascii="仿宋_GB2312" w:hAnsi="仿宋" w:eastAsia="仿宋_GB2312"/>
          <w:sz w:val="24"/>
          <w:highlight w:val="none"/>
        </w:rPr>
        <w:t xml:space="preserve">    </w:t>
      </w:r>
      <w:r>
        <w:rPr>
          <w:rFonts w:ascii="仿宋_GB2312" w:hAnsi="仿宋" w:eastAsia="仿宋_GB2312"/>
          <w:b/>
          <w:sz w:val="24"/>
          <w:highlight w:val="none"/>
        </w:rPr>
        <w:t>4.</w:t>
      </w:r>
      <w:r>
        <w:rPr>
          <w:rFonts w:hint="eastAsia" w:ascii="仿宋_GB2312" w:hAnsi="仿宋" w:eastAsia="仿宋_GB2312"/>
          <w:b/>
          <w:sz w:val="24"/>
          <w:highlight w:val="none"/>
        </w:rPr>
        <w:t>询问、质疑、投诉</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供应商对政府采购活动事项有疑问的，可以提出询问，采购人或者采购代理机构应当在</w:t>
      </w:r>
      <w:r>
        <w:rPr>
          <w:rFonts w:ascii="仿宋_GB2312" w:hAnsi="仿宋" w:eastAsia="仿宋_GB2312" w:cs="微软雅黑"/>
          <w:kern w:val="0"/>
          <w:sz w:val="24"/>
          <w:highlight w:val="none"/>
          <w:lang w:val="zh-CN"/>
        </w:rPr>
        <w:t>3个工作日内对供应</w:t>
      </w:r>
      <w:r>
        <w:rPr>
          <w:rFonts w:hint="eastAsia" w:ascii="仿宋_GB2312" w:hAnsi="仿宋" w:eastAsia="仿宋_GB2312" w:cs="微软雅黑"/>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4.2供应商质疑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cs="微软雅黑"/>
          <w:kern w:val="0"/>
          <w:sz w:val="24"/>
          <w:highlight w:val="none"/>
          <w:lang w:val="zh-CN"/>
        </w:rPr>
        <w:t>4.2</w:t>
      </w:r>
      <w:r>
        <w:rPr>
          <w:rFonts w:ascii="仿宋_GB2312" w:hAnsi="仿宋" w:eastAsia="仿宋_GB2312"/>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r>
        <w:rPr>
          <w:rFonts w:hint="eastAsia" w:ascii="仿宋_GB2312" w:hAnsi="仿宋" w:eastAsia="仿宋_GB2312"/>
          <w:snapToGrid/>
          <w:color w:val="auto"/>
          <w:kern w:val="2"/>
          <w:sz w:val="24"/>
          <w:highlight w:val="none"/>
        </w:rPr>
        <w:t>；</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4.2.2.2对采购过程提出质疑的，质疑期限为各采购程序环节结束之日起计算。对同一采购程序环节的质疑，供应商须一次性提出</w:t>
      </w:r>
      <w:r>
        <w:rPr>
          <w:rFonts w:hint="eastAsia" w:ascii="仿宋_GB2312" w:hAnsi="仿宋" w:eastAsia="仿宋_GB2312"/>
          <w:sz w:val="24"/>
          <w:highlight w:val="none"/>
        </w:rPr>
        <w:t>；</w:t>
      </w:r>
    </w:p>
    <w:p>
      <w:pPr>
        <w:pStyle w:val="33"/>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w:t>
      </w:r>
      <w:r>
        <w:rPr>
          <w:rFonts w:hint="eastAsia" w:ascii="仿宋_GB2312" w:hAnsi="仿宋" w:eastAsia="仿宋_GB2312"/>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4.2.3.1</w:t>
      </w:r>
      <w:r>
        <w:rPr>
          <w:rFonts w:hint="eastAsia" w:ascii="仿宋_GB2312" w:hAnsi="仿宋" w:eastAsia="仿宋_GB2312" w:cs="微软雅黑"/>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4.2.3.2</w:t>
      </w:r>
      <w:r>
        <w:rPr>
          <w:rFonts w:hint="eastAsia" w:ascii="仿宋_GB2312" w:hAnsi="仿宋" w:eastAsia="仿宋_GB2312" w:cs="微软雅黑"/>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4.2.3.3</w:t>
      </w:r>
      <w:r>
        <w:rPr>
          <w:rFonts w:hint="eastAsia" w:ascii="仿宋_GB2312" w:hAnsi="仿宋" w:eastAsia="仿宋_GB2312" w:cs="微软雅黑"/>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4.2.3.4</w:t>
      </w:r>
      <w:r>
        <w:rPr>
          <w:rFonts w:hint="eastAsia" w:ascii="仿宋_GB2312" w:hAnsi="仿宋" w:eastAsia="仿宋_GB2312" w:cs="微软雅黑"/>
          <w:kern w:val="0"/>
          <w:sz w:val="24"/>
          <w:highlight w:val="none"/>
          <w:lang w:val="zh-CN"/>
        </w:rPr>
        <w:t>事实依据；</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4.2.3.5</w:t>
      </w:r>
      <w:r>
        <w:rPr>
          <w:rFonts w:hint="eastAsia" w:ascii="仿宋_GB2312" w:hAnsi="仿宋" w:eastAsia="仿宋_GB2312" w:cs="微软雅黑"/>
          <w:kern w:val="0"/>
          <w:sz w:val="24"/>
          <w:highlight w:val="none"/>
          <w:lang w:val="zh-CN"/>
        </w:rPr>
        <w:t>必要的法律依据；</w:t>
      </w:r>
    </w:p>
    <w:p>
      <w:pPr>
        <w:pStyle w:val="33"/>
        <w:spacing w:line="360" w:lineRule="auto"/>
        <w:ind w:firstLine="480" w:firstLineChars="200"/>
        <w:rPr>
          <w:rFonts w:ascii="仿宋_GB2312" w:hAnsi="仿宋" w:eastAsia="仿宋_GB2312" w:cs="微软雅黑"/>
          <w:kern w:val="0"/>
          <w:sz w:val="24"/>
          <w:highlight w:val="none"/>
          <w:lang w:val="zh-CN"/>
        </w:rPr>
      </w:pPr>
      <w:r>
        <w:rPr>
          <w:rFonts w:ascii="仿宋_GB2312" w:hAnsi="仿宋" w:eastAsia="仿宋_GB2312" w:cs="微软雅黑"/>
          <w:kern w:val="0"/>
          <w:sz w:val="24"/>
          <w:highlight w:val="none"/>
          <w:lang w:val="zh-CN"/>
        </w:rPr>
        <w:t>4.2.3.6</w:t>
      </w:r>
      <w:r>
        <w:rPr>
          <w:rFonts w:hint="eastAsia" w:ascii="仿宋_GB2312" w:hAnsi="仿宋" w:eastAsia="仿宋_GB2312" w:cs="微软雅黑"/>
          <w:kern w:val="0"/>
          <w:sz w:val="24"/>
          <w:highlight w:val="none"/>
          <w:lang w:val="zh-CN"/>
        </w:rPr>
        <w:t>提出质疑的日期。</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质疑函范本及制作说明详见附件2。</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4.2.5询问或者质疑事项可能影响采购结果的，采购人应当暂停签订合同，已经签订合同的，应当中止履行合同。</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4.3供应商投诉</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4.3.2供应商投诉的事项不得超出已质疑事项的范围，基于质疑答复内容提出的投诉事项除外。</w:t>
      </w:r>
    </w:p>
    <w:p>
      <w:pPr>
        <w:pStyle w:val="33"/>
        <w:spacing w:line="360" w:lineRule="auto"/>
        <w:ind w:firstLine="480" w:firstLineChars="200"/>
        <w:rPr>
          <w:rFonts w:ascii="仿宋_GB2312" w:hAnsi="仿宋" w:eastAsia="仿宋_GB2312" w:cs="微软雅黑"/>
          <w:kern w:val="0"/>
          <w:sz w:val="24"/>
          <w:highlight w:val="none"/>
          <w:lang w:val="zh-CN"/>
        </w:rPr>
      </w:pPr>
      <w:r>
        <w:rPr>
          <w:rFonts w:hint="eastAsia" w:ascii="仿宋_GB2312" w:hAnsi="仿宋" w:eastAsia="仿宋_GB2312" w:cs="微软雅黑"/>
          <w:kern w:val="0"/>
          <w:sz w:val="24"/>
          <w:highlight w:val="none"/>
          <w:lang w:val="zh-CN"/>
        </w:rPr>
        <w:t>4.3.3供应商投诉应当有明确的请求和必要的证明材料。</w:t>
      </w:r>
    </w:p>
    <w:p>
      <w:pPr>
        <w:pStyle w:val="33"/>
        <w:spacing w:line="360" w:lineRule="auto"/>
        <w:ind w:firstLine="480" w:firstLineChars="200"/>
        <w:rPr>
          <w:rFonts w:ascii="仿宋_GB2312" w:hAnsi="仿宋" w:eastAsia="仿宋_GB2312" w:cs="仿宋_GB2312"/>
          <w:sz w:val="18"/>
          <w:szCs w:val="18"/>
          <w:highlight w:val="none"/>
        </w:rPr>
      </w:pPr>
      <w:r>
        <w:rPr>
          <w:rFonts w:hint="eastAsia" w:ascii="仿宋_GB2312" w:hAnsi="仿宋" w:eastAsia="仿宋_GB2312" w:cs="微软雅黑"/>
          <w:kern w:val="0"/>
          <w:sz w:val="24"/>
          <w:highlight w:val="none"/>
          <w:lang w:val="zh-CN"/>
        </w:rPr>
        <w:t>投诉书范本及制作说明详见附件3。</w:t>
      </w: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 xml:space="preserve">      </w:t>
      </w:r>
    </w:p>
    <w:p>
      <w:pPr>
        <w:adjustRightInd/>
        <w:spacing w:line="360" w:lineRule="auto"/>
        <w:jc w:val="center"/>
        <w:outlineLvl w:val="0"/>
        <w:rPr>
          <w:rFonts w:ascii="仿宋_GB2312" w:hAnsi="仿宋" w:eastAsia="仿宋_GB2312" w:cs="仿宋_GB2312"/>
          <w:b/>
          <w:sz w:val="32"/>
          <w:szCs w:val="20"/>
          <w:highlight w:val="none"/>
        </w:rPr>
      </w:pPr>
      <w:r>
        <w:rPr>
          <w:rFonts w:ascii="仿宋_GB2312" w:hAnsi="仿宋" w:eastAsia="仿宋_GB2312" w:cs="仿宋_GB2312"/>
          <w:b/>
          <w:sz w:val="32"/>
          <w:szCs w:val="20"/>
          <w:highlight w:val="none"/>
        </w:rPr>
        <w:t>二、招标文件的构成、澄清、修改</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5</w:t>
      </w:r>
      <w:r>
        <w:rPr>
          <w:rFonts w:hint="eastAsia" w:ascii="仿宋_GB2312" w:hAnsi="仿宋" w:eastAsia="仿宋_GB2312" w:cs="仿宋_GB2312"/>
          <w:b/>
          <w:sz w:val="24"/>
          <w:szCs w:val="24"/>
          <w:highlight w:val="none"/>
        </w:rPr>
        <w:t>.</w:t>
      </w:r>
      <w:r>
        <w:rPr>
          <w:rFonts w:ascii="仿宋_GB2312" w:hAnsi="仿宋" w:eastAsia="仿宋_GB2312" w:cs="仿宋_GB2312"/>
          <w:b/>
          <w:sz w:val="24"/>
          <w:szCs w:val="24"/>
          <w:highlight w:val="none"/>
        </w:rPr>
        <w:t>招标文件的构成</w:t>
      </w:r>
    </w:p>
    <w:p>
      <w:pPr>
        <w:pStyle w:val="33"/>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w:t>
      </w:r>
      <w:r>
        <w:rPr>
          <w:rFonts w:hint="eastAsia" w:ascii="仿宋_GB2312" w:hAnsi="仿宋" w:eastAsia="仿宋_GB2312" w:cs="仿宋_GB2312"/>
          <w:sz w:val="24"/>
          <w:szCs w:val="24"/>
          <w:highlight w:val="none"/>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5.1.1招标公告；</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5.1.2投标人须知；</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5.1.3采购需求；</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5.1.4评标</w:t>
      </w:r>
      <w:r>
        <w:rPr>
          <w:rFonts w:hint="eastAsia" w:ascii="仿宋_GB2312" w:hAnsi="仿宋" w:eastAsia="仿宋_GB2312" w:cs="仿宋_GB2312"/>
          <w:sz w:val="24"/>
          <w:szCs w:val="24"/>
          <w:highlight w:val="none"/>
        </w:rPr>
        <w:t>办</w:t>
      </w:r>
      <w:r>
        <w:rPr>
          <w:rFonts w:ascii="仿宋_GB2312" w:hAnsi="仿宋" w:eastAsia="仿宋_GB2312" w:cs="仿宋_GB2312"/>
          <w:sz w:val="24"/>
          <w:szCs w:val="24"/>
          <w:highlight w:val="none"/>
        </w:rPr>
        <w:t>法；</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5.1.5</w:t>
      </w:r>
      <w:r>
        <w:rPr>
          <w:rFonts w:hint="eastAsia" w:ascii="仿宋_GB2312" w:hAnsi="仿宋" w:eastAsia="仿宋_GB2312" w:cs="仿宋_GB2312"/>
          <w:sz w:val="24"/>
          <w:szCs w:val="24"/>
          <w:highlight w:val="none"/>
        </w:rPr>
        <w:t>拟签订的合同文本；</w:t>
      </w:r>
    </w:p>
    <w:p>
      <w:pPr>
        <w:pStyle w:val="33"/>
        <w:tabs>
          <w:tab w:val="left" w:pos="840"/>
        </w:tabs>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highlight w:val="none"/>
        </w:rPr>
        <w:t>5.1.6</w:t>
      </w:r>
      <w:r>
        <w:rPr>
          <w:rFonts w:hint="eastAsia" w:ascii="仿宋_GB2312" w:hAnsi="仿宋" w:eastAsia="仿宋_GB2312" w:cs="仿宋_GB2312"/>
          <w:sz w:val="24"/>
          <w:szCs w:val="24"/>
          <w:highlight w:val="none"/>
        </w:rPr>
        <w:t>应提交的有关格式范例。</w:t>
      </w:r>
    </w:p>
    <w:p>
      <w:pPr>
        <w:spacing w:line="360" w:lineRule="auto"/>
        <w:ind w:firstLine="480" w:firstLineChars="200"/>
        <w:rPr>
          <w:rFonts w:ascii="仿宋_GB2312" w:hAnsi="仿宋" w:eastAsia="仿宋_GB2312" w:cs="仿宋_GB2312"/>
          <w:sz w:val="24"/>
          <w:highlight w:val="none"/>
        </w:rPr>
      </w:pPr>
      <w:r>
        <w:rPr>
          <w:rFonts w:ascii="仿宋_GB2312" w:hAnsi="仿宋" w:eastAsia="仿宋_GB2312"/>
          <w:sz w:val="24"/>
          <w:highlight w:val="none"/>
        </w:rPr>
        <w:t>5.2与本项目有关的</w:t>
      </w:r>
      <w:r>
        <w:rPr>
          <w:rFonts w:hint="eastAsia" w:ascii="仿宋_GB2312" w:hAnsi="仿宋" w:eastAsia="仿宋_GB2312"/>
          <w:bCs/>
          <w:sz w:val="24"/>
          <w:highlight w:val="none"/>
        </w:rPr>
        <w:t>澄清或者修改的内容为招标文件的组成部分</w:t>
      </w:r>
      <w:r>
        <w:rPr>
          <w:rFonts w:hint="eastAsia" w:ascii="仿宋_GB2312" w:hAnsi="仿宋" w:eastAsia="仿宋_GB2312" w:cs="仿宋_GB2312"/>
          <w:sz w:val="24"/>
          <w:highlight w:val="none"/>
        </w:rPr>
        <w:t>。</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6.</w:t>
      </w:r>
      <w:r>
        <w:rPr>
          <w:rFonts w:hint="eastAsia" w:ascii="仿宋_GB2312" w:hAnsi="仿宋" w:eastAsia="仿宋_GB2312" w:cs="仿宋_GB2312"/>
          <w:b/>
          <w:sz w:val="24"/>
          <w:szCs w:val="24"/>
          <w:highlight w:val="none"/>
        </w:rPr>
        <w:t>招标文件的澄清、修改</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cs="仿宋_GB2312"/>
          <w:sz w:val="18"/>
          <w:szCs w:val="18"/>
          <w:highlight w:val="none"/>
        </w:rPr>
      </w:pPr>
      <w:r>
        <w:rPr>
          <w:rFonts w:ascii="仿宋_GB2312" w:hAnsi="仿宋" w:eastAsia="仿宋_GB2312"/>
          <w:highlight w:val="none"/>
        </w:rPr>
        <w:t>6.2</w:t>
      </w:r>
      <w:r>
        <w:rPr>
          <w:rFonts w:hint="eastAsia" w:ascii="仿宋_GB2312" w:hAnsi="仿宋" w:eastAsia="仿宋_GB2312"/>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ascii="仿宋_GB2312" w:hAnsi="仿宋" w:eastAsia="仿宋_GB2312" w:cs="仿宋_GB2312"/>
          <w:szCs w:val="24"/>
          <w:highlight w:val="none"/>
        </w:rPr>
        <w:t xml:space="preserve">    </w:t>
      </w:r>
    </w:p>
    <w:p>
      <w:pPr>
        <w:adjustRightInd/>
        <w:spacing w:line="360" w:lineRule="auto"/>
        <w:jc w:val="center"/>
        <w:outlineLvl w:val="0"/>
        <w:rPr>
          <w:rFonts w:ascii="仿宋_GB2312" w:hAnsi="仿宋" w:eastAsia="仿宋_GB2312" w:cs="仿宋_GB2312"/>
          <w:b/>
          <w:sz w:val="30"/>
          <w:szCs w:val="20"/>
          <w:highlight w:val="none"/>
        </w:rPr>
      </w:pPr>
    </w:p>
    <w:p>
      <w:pPr>
        <w:adjustRightInd/>
        <w:spacing w:line="360" w:lineRule="auto"/>
        <w:jc w:val="center"/>
        <w:outlineLvl w:val="0"/>
        <w:rPr>
          <w:rFonts w:ascii="仿宋_GB2312" w:hAnsi="仿宋" w:eastAsia="仿宋_GB2312" w:cs="仿宋_GB2312"/>
          <w:b/>
          <w:sz w:val="30"/>
          <w:szCs w:val="20"/>
          <w:highlight w:val="none"/>
        </w:rPr>
      </w:pPr>
      <w:r>
        <w:rPr>
          <w:rFonts w:hint="eastAsia" w:ascii="仿宋_GB2312" w:hAnsi="仿宋" w:eastAsia="仿宋_GB2312" w:cs="仿宋_GB2312"/>
          <w:b/>
          <w:sz w:val="30"/>
          <w:szCs w:val="20"/>
          <w:highlight w:val="none"/>
        </w:rPr>
        <w:t>三、投标</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7.</w:t>
      </w:r>
      <w:r>
        <w:rPr>
          <w:rFonts w:hint="eastAsia" w:ascii="仿宋_GB2312" w:hAnsi="仿宋" w:eastAsia="仿宋_GB2312" w:cs="仿宋_GB2312"/>
          <w:b/>
          <w:sz w:val="24"/>
          <w:szCs w:val="24"/>
          <w:highlight w:val="none"/>
        </w:rPr>
        <w:t>招标文件的获取</w:t>
      </w:r>
    </w:p>
    <w:p>
      <w:pPr>
        <w:spacing w:line="360" w:lineRule="auto"/>
        <w:ind w:firstLine="480" w:firstLineChars="200"/>
        <w:rPr>
          <w:rFonts w:ascii="仿宋_GB2312" w:hAnsi="仿宋" w:eastAsia="仿宋_GB2312" w:cs="仿宋_GB2312"/>
          <w:snapToGrid w:val="0"/>
          <w:kern w:val="28"/>
          <w:sz w:val="24"/>
          <w:highlight w:val="none"/>
        </w:rPr>
      </w:pPr>
      <w:r>
        <w:rPr>
          <w:rFonts w:hint="eastAsia" w:ascii="仿宋_GB2312" w:hAnsi="仿宋" w:eastAsia="仿宋_GB2312" w:cs="仿宋_GB2312"/>
          <w:snapToGrid w:val="0"/>
          <w:kern w:val="28"/>
          <w:sz w:val="24"/>
          <w:highlight w:val="none"/>
        </w:rPr>
        <w:t>详见招标公告中获取招标文件的时间期限、地点、方式及招标文件售价。</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8.开标前答疑会或现场考察</w:t>
      </w:r>
    </w:p>
    <w:p>
      <w:pPr>
        <w:pStyle w:val="33"/>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_GB2312" w:hAnsi="仿宋" w:eastAsia="仿宋_GB2312" w:cs="仿宋_GB2312"/>
          <w:b/>
          <w:szCs w:val="24"/>
          <w:highlight w:val="none"/>
        </w:rPr>
      </w:pPr>
      <w:r>
        <w:rPr>
          <w:rFonts w:ascii="仿宋_GB2312" w:hAnsi="仿宋" w:eastAsia="仿宋_GB2312"/>
          <w:b/>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10.</w:t>
      </w:r>
      <w:r>
        <w:rPr>
          <w:rFonts w:hint="eastAsia" w:ascii="仿宋_GB2312" w:hAnsi="仿宋" w:eastAsia="仿宋_GB2312" w:cs="仿宋_GB2312"/>
          <w:b/>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sz w:val="24"/>
          <w:highlight w:val="none"/>
          <w:lang w:val="zh-CN"/>
        </w:rPr>
      </w:pPr>
      <w:r>
        <w:rPr>
          <w:rFonts w:hint="eastAsia" w:ascii="仿宋_GB2312" w:hAnsi="仿宋" w:eastAsia="仿宋_GB2312" w:cs="仿宋_GB2312"/>
          <w:sz w:val="24"/>
          <w:highlight w:val="none"/>
        </w:rPr>
        <w:t>投标文件及投标人与采购有关的来往通知、函件和文件均应使用中文。</w:t>
      </w:r>
    </w:p>
    <w:p>
      <w:pPr>
        <w:pStyle w:val="33"/>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11.</w:t>
      </w:r>
      <w:r>
        <w:rPr>
          <w:rFonts w:hint="eastAsia" w:ascii="仿宋_GB2312" w:hAnsi="仿宋" w:eastAsia="仿宋_GB2312" w:cs="仿宋_GB2312"/>
          <w:b/>
          <w:sz w:val="24"/>
          <w:szCs w:val="24"/>
          <w:highlight w:val="none"/>
        </w:rPr>
        <w:t>投标文件的组成</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w:t>
      </w:r>
      <w:r>
        <w:rPr>
          <w:rFonts w:hint="eastAsia" w:ascii="仿宋_GB2312" w:hAnsi="仿宋" w:eastAsia="仿宋_GB2312" w:cs="仿宋_GB2312"/>
          <w:b/>
          <w:sz w:val="24"/>
          <w:highlight w:val="none"/>
        </w:rPr>
        <w:t>资格文件</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11.1.1符合参加政府采购活动应当具备的一般条件的承诺函；</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11.1.2落实政府采购政策需满足的资格要求</w:t>
      </w:r>
      <w:r>
        <w:rPr>
          <w:rFonts w:hint="eastAsia" w:ascii="仿宋_GB2312" w:hAnsi="仿宋" w:eastAsia="仿宋_GB2312" w:cs="仿宋_GB2312"/>
          <w:sz w:val="24"/>
          <w:highlight w:val="none"/>
        </w:rPr>
        <w:t>：</w:t>
      </w:r>
      <w:r>
        <w:rPr>
          <w:rFonts w:hint="eastAsia" w:ascii="仿宋" w:hAnsi="仿宋" w:eastAsia="仿宋"/>
          <w:snapToGrid w:val="0"/>
          <w:color w:val="000000"/>
          <w:kern w:val="28"/>
          <w:sz w:val="24"/>
          <w:highlight w:val="none"/>
        </w:rPr>
        <w:t>中小企业声明函</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11.1.3本项目的特定资格要求。</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hint="eastAsia" w:ascii="仿宋_GB2312" w:hAnsi="仿宋" w:eastAsia="仿宋_GB2312" w:cs="仿宋_GB2312"/>
          <w:b/>
          <w:sz w:val="24"/>
          <w:highlight w:val="none"/>
        </w:rPr>
        <w:t>商务技术</w:t>
      </w:r>
      <w:r>
        <w:rPr>
          <w:rFonts w:hint="eastAsia" w:ascii="仿宋_GB2312" w:hAnsi="仿宋" w:eastAsia="仿宋_GB2312" w:cs="仿宋_GB2312"/>
          <w:b/>
          <w:sz w:val="24"/>
          <w:highlight w:val="none"/>
          <w:lang w:val="zh-CN"/>
        </w:rPr>
        <w:t>文件：</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11.2.1投标函；</w:t>
      </w:r>
      <w:r>
        <w:rPr>
          <w:rFonts w:ascii="仿宋_GB2312" w:hAnsi="仿宋" w:eastAsia="仿宋_GB2312" w:cs="仿宋_GB2312"/>
          <w:sz w:val="24"/>
          <w:highlight w:val="none"/>
          <w:lang w:val="zh-CN"/>
        </w:rPr>
        <w:t xml:space="preserve"> </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符合性审查资料；</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评标标准相应的商务技术资料；</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商务技术偏离表；</w:t>
      </w:r>
    </w:p>
    <w:p>
      <w:pPr>
        <w:snapToGrid w:val="0"/>
        <w:spacing w:line="360" w:lineRule="auto"/>
        <w:ind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lang w:val="zh-CN"/>
        </w:rPr>
        <w:t>11.</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6</w:t>
      </w:r>
      <w:r>
        <w:rPr>
          <w:rFonts w:hint="eastAsia" w:ascii="仿宋_GB2312" w:hAnsi="仿宋" w:eastAsia="仿宋_GB2312" w:cs="仿宋_GB2312"/>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sz w:val="24"/>
          <w:highlight w:val="none"/>
          <w:u w:val="single"/>
          <w:lang w:val="zh-CN"/>
        </w:rPr>
      </w:pPr>
      <w:r>
        <w:rPr>
          <w:rFonts w:ascii="仿宋_GB2312" w:hAnsi="仿宋" w:eastAsia="仿宋_GB2312" w:cs="仿宋_GB2312"/>
          <w:kern w:val="0"/>
          <w:sz w:val="24"/>
          <w:highlight w:val="none"/>
          <w:lang w:val="zh-CN"/>
        </w:rPr>
        <w:t>11.</w:t>
      </w:r>
      <w:r>
        <w:rPr>
          <w:rFonts w:ascii="仿宋_GB2312" w:hAnsi="仿宋" w:eastAsia="仿宋_GB2312" w:cs="仿宋_GB2312"/>
          <w:kern w:val="0"/>
          <w:sz w:val="24"/>
          <w:highlight w:val="none"/>
        </w:rPr>
        <w:t>3</w:t>
      </w:r>
      <w:r>
        <w:rPr>
          <w:rFonts w:hint="eastAsia" w:ascii="仿宋_GB2312" w:hAnsi="仿宋" w:eastAsia="仿宋_GB2312" w:cs="仿宋_GB2312"/>
          <w:b/>
          <w:sz w:val="24"/>
          <w:highlight w:val="none"/>
        </w:rPr>
        <w:t>报价文件：</w:t>
      </w:r>
      <w:r>
        <w:rPr>
          <w:rFonts w:ascii="仿宋_GB2312" w:hAnsi="仿宋" w:eastAsia="仿宋_GB2312" w:cs="仿宋_GB2312"/>
          <w:sz w:val="24"/>
          <w:highlight w:val="none"/>
        </w:rPr>
        <w:t xml:space="preserve"> </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11.3.1开标一览表（报价表）</w:t>
      </w:r>
      <w:r>
        <w:rPr>
          <w:rFonts w:hint="eastAsia" w:ascii="仿宋_GB2312" w:hAnsi="仿宋" w:eastAsia="仿宋_GB2312" w:cs="仿宋_GB2312"/>
          <w:sz w:val="24"/>
          <w:highlight w:val="none"/>
        </w:rPr>
        <w:t>。</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投标文件含有采购人不能接受的附加条件的，投标无效；</w:t>
      </w:r>
    </w:p>
    <w:p>
      <w:pPr>
        <w:spacing w:line="360" w:lineRule="auto"/>
        <w:ind w:firstLine="482" w:firstLineChars="200"/>
        <w:rPr>
          <w:rFonts w:ascii="仿宋_GB2312" w:hAnsi="仿宋" w:eastAsia="仿宋_GB2312" w:cs="仿宋_GB2312"/>
          <w:b/>
          <w:sz w:val="24"/>
          <w:szCs w:val="21"/>
          <w:highlight w:val="none"/>
        </w:rPr>
      </w:pPr>
      <w:r>
        <w:rPr>
          <w:rFonts w:hint="eastAsia" w:ascii="仿宋_GB2312" w:hAnsi="仿宋" w:eastAsia="仿宋_GB2312"/>
          <w:b/>
          <w:sz w:val="24"/>
          <w:highlight w:val="none"/>
        </w:rPr>
        <w:t>投标人提供虚假材料投标的，投标无效。</w:t>
      </w:r>
    </w:p>
    <w:p>
      <w:pPr>
        <w:pStyle w:val="129"/>
        <w:snapToGrid w:val="0"/>
        <w:spacing w:before="0"/>
        <w:ind w:firstLine="482"/>
        <w:outlineLvl w:val="0"/>
        <w:rPr>
          <w:rFonts w:ascii="仿宋_GB2312" w:hAnsi="仿宋" w:eastAsia="仿宋_GB2312" w:cs="仿宋_GB2312"/>
          <w:b/>
          <w:szCs w:val="24"/>
          <w:highlight w:val="none"/>
        </w:rPr>
      </w:pPr>
      <w:r>
        <w:rPr>
          <w:rFonts w:ascii="仿宋_GB2312" w:hAnsi="仿宋" w:eastAsia="仿宋_GB2312" w:cs="仿宋_GB2312"/>
          <w:b/>
          <w:szCs w:val="24"/>
          <w:highlight w:val="none"/>
        </w:rPr>
        <w:t>12</w:t>
      </w:r>
      <w:r>
        <w:rPr>
          <w:rFonts w:ascii="仿宋_GB2312" w:hAnsi="仿宋" w:eastAsia="仿宋_GB2312" w:cs="仿宋_GB2312"/>
          <w:b/>
          <w:kern w:val="0"/>
          <w:szCs w:val="24"/>
          <w:highlight w:val="none"/>
          <w:lang w:val="zh-CN"/>
        </w:rPr>
        <w:t>.</w:t>
      </w:r>
      <w:r>
        <w:rPr>
          <w:rFonts w:hint="eastAsia" w:ascii="仿宋_GB2312" w:hAnsi="仿宋" w:eastAsia="仿宋_GB2312" w:cs="仿宋_GB2312"/>
          <w:b/>
          <w:szCs w:val="24"/>
          <w:highlight w:val="none"/>
        </w:rPr>
        <w:t>投标文件的编制</w:t>
      </w:r>
    </w:p>
    <w:p>
      <w:pPr>
        <w:spacing w:line="360" w:lineRule="auto"/>
        <w:ind w:firstLine="480" w:firstLineChars="200"/>
        <w:rPr>
          <w:rFonts w:ascii="仿宋_GB2312" w:hAnsi="仿宋" w:eastAsia="仿宋_GB2312" w:cs="仿宋_GB2312"/>
          <w:b/>
          <w:sz w:val="24"/>
          <w:highlight w:val="none"/>
        </w:rPr>
      </w:pPr>
      <w:r>
        <w:rPr>
          <w:rFonts w:ascii="仿宋_GB2312" w:hAnsi="仿宋" w:eastAsia="仿宋_GB2312" w:cs="仿宋_GB2312"/>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12.2投标人进行电子投标应安装客户端软件—“政</w:t>
      </w:r>
      <w:r>
        <w:rPr>
          <w:rFonts w:hint="eastAsia" w:ascii="仿宋_GB2312" w:hAnsi="仿宋" w:eastAsia="仿宋_GB2312" w:cs="仿宋_GB2312"/>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12.3使用“政</w:t>
      </w:r>
      <w:r>
        <w:rPr>
          <w:rFonts w:hint="eastAsia" w:ascii="仿宋_GB2312" w:hAnsi="仿宋" w:eastAsia="仿宋_GB2312" w:cs="仿宋_GB2312"/>
          <w:kern w:val="0"/>
          <w:sz w:val="24"/>
          <w:highlight w:val="none"/>
          <w:lang w:val="zh-CN"/>
        </w:rPr>
        <w:t>采云电子交易客户端”需要提前申领</w:t>
      </w:r>
      <w:r>
        <w:rPr>
          <w:rFonts w:ascii="仿宋_GB2312" w:hAnsi="仿宋" w:eastAsia="仿宋_GB2312" w:cs="仿宋_GB2312"/>
          <w:kern w:val="0"/>
          <w:sz w:val="24"/>
          <w:highlight w:val="none"/>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sz w:val="24"/>
          <w:highlight w:val="none"/>
        </w:rPr>
      </w:pPr>
      <w:r>
        <w:rPr>
          <w:rFonts w:ascii="仿宋_GB2312" w:hAnsi="仿宋" w:eastAsia="仿宋_GB2312"/>
          <w:b/>
          <w:sz w:val="24"/>
          <w:highlight w:val="none"/>
        </w:rPr>
        <w:t>13.投标文件的签署、盖章</w:t>
      </w:r>
    </w:p>
    <w:p>
      <w:pPr>
        <w:pStyle w:val="129"/>
        <w:snapToGrid w:val="0"/>
        <w:spacing w:before="0"/>
        <w:ind w:firstLine="480"/>
        <w:rPr>
          <w:rFonts w:ascii="仿宋_GB2312" w:hAnsi="仿宋" w:eastAsia="仿宋_GB2312" w:cs="仿宋_GB2312"/>
          <w:b/>
          <w:highlight w:val="none"/>
        </w:rPr>
      </w:pPr>
      <w:r>
        <w:rPr>
          <w:rFonts w:ascii="仿宋_GB2312" w:hAnsi="仿宋" w:eastAsia="仿宋_GB2312" w:cs="仿宋_GB2312"/>
          <w:szCs w:val="24"/>
          <w:highlight w:val="none"/>
        </w:rPr>
        <w:t>13.1投标文件按照招标文件第六部分格式要</w:t>
      </w:r>
      <w:r>
        <w:rPr>
          <w:rFonts w:hint="eastAsia" w:ascii="仿宋_GB2312" w:hAnsi="仿宋" w:eastAsia="仿宋_GB2312" w:cs="仿宋_GB2312"/>
          <w:highlight w:val="none"/>
        </w:rPr>
        <w:t>求进行签署、盖章。</w:t>
      </w:r>
      <w:r>
        <w:rPr>
          <w:rFonts w:hint="eastAsia" w:ascii="仿宋_GB2312" w:hAnsi="仿宋" w:eastAsia="仿宋_GB2312"/>
          <w:b/>
          <w:highlight w:val="none"/>
        </w:rPr>
        <w:t>▲</w:t>
      </w:r>
      <w:r>
        <w:rPr>
          <w:rFonts w:hint="eastAsia" w:ascii="仿宋_GB2312" w:hAnsi="仿宋" w:eastAsia="仿宋_GB2312" w:cs="仿宋_GB2312"/>
          <w:b/>
          <w:highlight w:val="none"/>
        </w:rPr>
        <w:t>投标人的投标文件未按照招标文件要求签署、盖章的，其投标无效</w:t>
      </w:r>
      <w:r>
        <w:rPr>
          <w:rFonts w:hint="eastAsia" w:ascii="仿宋_GB2312" w:hAnsi="仿宋" w:eastAsia="仿宋_GB2312" w:cs="仿宋_GB2312"/>
          <w:szCs w:val="24"/>
          <w:highlight w:val="none"/>
        </w:rPr>
        <w:t>。</w:t>
      </w:r>
    </w:p>
    <w:p>
      <w:pPr>
        <w:pStyle w:val="129"/>
        <w:kinsoku w:val="0"/>
        <w:autoSpaceDE w:val="0"/>
        <w:autoSpaceDN w:val="0"/>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kinsoku w:val="0"/>
        <w:autoSpaceDE w:val="0"/>
        <w:autoSpaceDN w:val="0"/>
        <w:snapToGrid w:val="0"/>
        <w:spacing w:before="0"/>
        <w:ind w:firstLine="480"/>
        <w:rPr>
          <w:rFonts w:ascii="仿宋_GB2312" w:hAnsi="仿宋" w:eastAsia="仿宋_GB2312" w:cs="仿宋_GB2312"/>
          <w:szCs w:val="24"/>
          <w:highlight w:val="none"/>
        </w:rPr>
      </w:pPr>
      <w:r>
        <w:rPr>
          <w:rFonts w:ascii="仿宋_GB2312" w:hAnsi="仿宋" w:eastAsia="仿宋_GB2312" w:cs="仿宋_GB2312"/>
          <w:highlight w:val="none"/>
        </w:rPr>
        <w:t>13.3招标文件对投标文件签署、盖章的要求适用于电子签名。</w:t>
      </w:r>
    </w:p>
    <w:p>
      <w:pPr>
        <w:pStyle w:val="129"/>
        <w:kinsoku w:val="0"/>
        <w:autoSpaceDE w:val="0"/>
        <w:autoSpaceDN w:val="0"/>
        <w:snapToGrid w:val="0"/>
        <w:spacing w:before="0"/>
        <w:ind w:firstLine="482"/>
        <w:rPr>
          <w:rFonts w:ascii="仿宋_GB2312" w:hAnsi="仿宋" w:eastAsia="仿宋_GB2312" w:cs="仿宋_GB2312"/>
          <w:b/>
          <w:szCs w:val="24"/>
          <w:highlight w:val="none"/>
        </w:rPr>
      </w:pPr>
      <w:r>
        <w:rPr>
          <w:rFonts w:ascii="仿宋_GB2312" w:hAnsi="仿宋" w:eastAsia="仿宋_GB2312" w:cs="仿宋_GB2312"/>
          <w:b/>
          <w:szCs w:val="24"/>
          <w:highlight w:val="none"/>
        </w:rPr>
        <w:t>14.</w:t>
      </w:r>
      <w:r>
        <w:rPr>
          <w:rFonts w:hint="eastAsia" w:ascii="仿宋_GB2312" w:hAnsi="仿宋" w:eastAsia="仿宋_GB2312" w:cs="仿宋_GB2312"/>
          <w:b/>
          <w:szCs w:val="24"/>
          <w:highlight w:val="none"/>
        </w:rPr>
        <w:t>投标文件的提交、补充、修改、撤回</w:t>
      </w:r>
    </w:p>
    <w:p>
      <w:pPr>
        <w:pStyle w:val="129"/>
        <w:kinsoku w:val="0"/>
        <w:autoSpaceDE w:val="0"/>
        <w:autoSpaceDN w:val="0"/>
        <w:snapToGrid w:val="0"/>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14.1</w:t>
      </w:r>
      <w:r>
        <w:rPr>
          <w:rFonts w:hint="eastAsia" w:ascii="仿宋_GB2312" w:hAnsi="仿宋" w:eastAsia="仿宋_GB2312" w:cs="仿宋_GB2312"/>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napToGrid w:val="0"/>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napToGrid w:val="0"/>
        <w:spacing w:before="0"/>
        <w:ind w:firstLine="480"/>
        <w:rPr>
          <w:rFonts w:ascii="仿宋_GB2312" w:hAnsi="仿宋" w:eastAsia="仿宋_GB2312" w:cs="仿宋_GB2312"/>
          <w:szCs w:val="24"/>
          <w:highlight w:val="none"/>
        </w:rPr>
      </w:pPr>
      <w:r>
        <w:rPr>
          <w:rFonts w:ascii="仿宋_GB2312" w:hAnsi="仿宋" w:eastAsia="仿宋_GB2312" w:cs="仿宋_GB2312"/>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napToGrid w:val="0"/>
        <w:spacing w:line="360" w:lineRule="auto"/>
        <w:ind w:firstLine="482" w:firstLineChars="200"/>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15.备份投标文件</w:t>
      </w:r>
    </w:p>
    <w:p>
      <w:pPr>
        <w:pStyle w:val="33"/>
        <w:snapToGrid w:val="0"/>
        <w:spacing w:line="360" w:lineRule="auto"/>
        <w:ind w:firstLine="360" w:firstLineChars="15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highlight w:val="none"/>
        </w:rPr>
        <w:t>但采购人、采购机构不强制或变相强制投标人提交备份投标文件。</w:t>
      </w:r>
    </w:p>
    <w:p>
      <w:pPr>
        <w:pStyle w:val="33"/>
        <w:snapToGrid w:val="0"/>
        <w:spacing w:line="360" w:lineRule="auto"/>
        <w:ind w:firstLine="480" w:firstLineChars="200"/>
        <w:rPr>
          <w:rFonts w:ascii="仿宋_GB2312" w:hAnsi="仿宋" w:eastAsia="仿宋_GB2312" w:cs="仿宋_GB2312"/>
          <w:b/>
          <w:sz w:val="24"/>
          <w:szCs w:val="24"/>
          <w:highlight w:val="none"/>
        </w:rPr>
      </w:pPr>
      <w:r>
        <w:rPr>
          <w:rFonts w:ascii="仿宋_GB2312" w:hAnsi="仿宋" w:eastAsia="仿宋_GB2312" w:cs="仿宋_GB2312"/>
          <w:sz w:val="24"/>
          <w:szCs w:val="24"/>
          <w:highlight w:val="none"/>
        </w:rPr>
        <w:t>15.2备份投标文件须在“政</w:t>
      </w:r>
      <w:r>
        <w:rPr>
          <w:rFonts w:hint="eastAsia" w:ascii="仿宋_GB2312" w:hAnsi="仿宋" w:eastAsia="仿宋_GB2312" w:cs="仿宋_GB2312"/>
          <w:sz w:val="24"/>
          <w:szCs w:val="24"/>
          <w:highlight w:val="none"/>
        </w:rPr>
        <w:t>采云投标客户端”制作生成，并储存在</w:t>
      </w:r>
      <w:r>
        <w:rPr>
          <w:rFonts w:ascii="仿宋_GB2312" w:hAnsi="仿宋" w:eastAsia="仿宋_GB2312"/>
          <w:sz w:val="24"/>
          <w:highlight w:val="none"/>
        </w:rPr>
        <w:t>DVD光盘</w:t>
      </w:r>
      <w:r>
        <w:rPr>
          <w:rFonts w:hint="eastAsia" w:ascii="仿宋_GB2312" w:hAnsi="仿宋" w:eastAsia="仿宋_GB2312" w:cs="仿宋_GB2312"/>
          <w:sz w:val="24"/>
          <w:szCs w:val="24"/>
          <w:highlight w:val="none"/>
        </w:rPr>
        <w:t>中。备份投标文件应当密封包装并在包装上加盖公章并注明投标项目名称，投标人名称</w:t>
      </w:r>
      <w:r>
        <w:rPr>
          <w:rFonts w:ascii="仿宋_GB2312" w:hAnsi="仿宋" w:eastAsia="仿宋_GB2312" w:cs="仿宋_GB2312"/>
          <w:sz w:val="24"/>
          <w:szCs w:val="24"/>
          <w:highlight w:val="none"/>
        </w:rPr>
        <w:t>。</w:t>
      </w:r>
      <w:r>
        <w:rPr>
          <w:rFonts w:hint="eastAsia" w:ascii="仿宋_GB2312" w:hAnsi="仿宋" w:eastAsia="仿宋_GB2312"/>
          <w:b/>
          <w:sz w:val="24"/>
          <w:highlight w:val="none"/>
        </w:rPr>
        <w:t>不符合上述制作、</w:t>
      </w:r>
      <w:r>
        <w:rPr>
          <w:rFonts w:hint="eastAsia" w:ascii="仿宋_GB2312" w:hAnsi="仿宋" w:eastAsia="仿宋_GB2312" w:cs="仿宋_GB2312"/>
          <w:b/>
          <w:sz w:val="24"/>
          <w:szCs w:val="24"/>
          <w:highlight w:val="none"/>
        </w:rPr>
        <w:t>存储、密封规定的备份投标文件将被视为无效或者被拒绝接收。</w:t>
      </w:r>
    </w:p>
    <w:p>
      <w:pPr>
        <w:pStyle w:val="33"/>
        <w:snapToGrid w:val="0"/>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napToGrid w:val="0"/>
        <w:spacing w:line="360" w:lineRule="auto"/>
        <w:ind w:firstLine="480" w:firstLineChars="200"/>
        <w:rPr>
          <w:rFonts w:ascii="仿宋_GB2312" w:hAnsi="仿宋" w:eastAsia="仿宋_GB2312" w:cs="仿宋_GB2312"/>
          <w:sz w:val="24"/>
          <w:szCs w:val="24"/>
          <w:highlight w:val="none"/>
        </w:rPr>
      </w:pPr>
      <w:r>
        <w:rPr>
          <w:rFonts w:ascii="仿宋_GB2312" w:hAnsi="仿宋" w:eastAsia="仿宋_GB2312" w:cs="仿宋_GB2312"/>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highlight w:val="none"/>
        </w:rPr>
        <w:t>招标文件第二部分投标人须知前附表规定的备份投标文件送达地点；</w:t>
      </w:r>
      <w:r>
        <w:rPr>
          <w:rFonts w:hint="eastAsia" w:ascii="仿宋_GB2312" w:hAnsi="仿宋" w:eastAsia="仿宋_GB2312" w:cs="仿宋_GB2312"/>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napToGrid w:val="0"/>
        <w:spacing w:line="360" w:lineRule="auto"/>
        <w:ind w:firstLine="479" w:firstLineChars="199"/>
        <w:rPr>
          <w:rFonts w:ascii="仿宋_GB2312" w:hAnsi="仿宋" w:eastAsia="仿宋_GB2312" w:cs="仿宋_GB2312"/>
          <w:b/>
          <w:sz w:val="24"/>
          <w:szCs w:val="24"/>
          <w:highlight w:val="none"/>
        </w:rPr>
      </w:pPr>
      <w:r>
        <w:rPr>
          <w:rFonts w:ascii="仿宋_GB2312" w:hAnsi="仿宋" w:eastAsia="仿宋_GB2312" w:cs="仿宋_GB2312"/>
          <w:b/>
          <w:sz w:val="24"/>
          <w:szCs w:val="24"/>
          <w:highlight w:val="none"/>
        </w:rPr>
        <w:t>15.5投标人仅提交备份投标文件，没有在电子交易平台传输递交投标文件的，投标无效。</w:t>
      </w:r>
    </w:p>
    <w:p>
      <w:pPr>
        <w:pStyle w:val="129"/>
        <w:snapToGrid w:val="0"/>
        <w:spacing w:before="0"/>
        <w:ind w:firstLine="482"/>
        <w:rPr>
          <w:rFonts w:ascii="仿宋_GB2312" w:hAnsi="仿宋" w:eastAsia="仿宋_GB2312" w:cs="仿宋_GB2312"/>
          <w:b/>
          <w:szCs w:val="24"/>
          <w:highlight w:val="none"/>
        </w:rPr>
      </w:pPr>
      <w:r>
        <w:rPr>
          <w:rFonts w:ascii="仿宋_GB2312" w:hAnsi="仿宋" w:eastAsia="仿宋_GB2312" w:cs="仿宋_GB2312"/>
          <w:b/>
          <w:szCs w:val="24"/>
          <w:highlight w:val="none"/>
        </w:rPr>
        <w:t>16.投标文件的无效处理</w:t>
      </w:r>
    </w:p>
    <w:p>
      <w:pPr>
        <w:pStyle w:val="2"/>
        <w:snapToGrid w:val="0"/>
        <w:spacing w:line="360" w:lineRule="auto"/>
        <w:rPr>
          <w:rFonts w:ascii="仿宋_GB2312" w:hAnsi="仿宋" w:eastAsia="仿宋_GB2312" w:cs="仿宋_GB2312"/>
          <w:szCs w:val="21"/>
          <w:highlight w:val="none"/>
        </w:rPr>
      </w:pPr>
      <w:r>
        <w:rPr>
          <w:rFonts w:hint="eastAsia" w:ascii="仿宋_GB2312" w:hAnsi="仿宋" w:eastAsia="仿宋_GB2312" w:cs="仿宋_GB2312"/>
          <w:szCs w:val="21"/>
          <w:highlight w:val="none"/>
        </w:rPr>
        <w:t>有招标文件第四部分</w:t>
      </w:r>
      <w:r>
        <w:rPr>
          <w:rFonts w:hint="eastAsia" w:ascii="仿宋_GB2312" w:hAnsi="仿宋" w:eastAsia="仿宋_GB2312"/>
          <w:highlight w:val="none"/>
        </w:rPr>
        <w:t>第</w:t>
      </w:r>
      <w:r>
        <w:rPr>
          <w:rFonts w:ascii="仿宋_GB2312" w:hAnsi="仿宋" w:eastAsia="仿宋_GB2312"/>
          <w:highlight w:val="none"/>
        </w:rPr>
        <w:t>13项规定</w:t>
      </w:r>
      <w:r>
        <w:rPr>
          <w:rFonts w:hint="eastAsia" w:ascii="仿宋_GB2312" w:hAnsi="仿宋" w:eastAsia="仿宋_GB2312" w:cs="仿宋_GB2312"/>
          <w:szCs w:val="21"/>
          <w:highlight w:val="none"/>
        </w:rPr>
        <w:t>的情形之一的，投标无效。</w:t>
      </w:r>
    </w:p>
    <w:p>
      <w:pPr>
        <w:pStyle w:val="129"/>
        <w:snapToGrid w:val="0"/>
        <w:spacing w:before="0"/>
        <w:ind w:firstLine="482"/>
        <w:rPr>
          <w:rFonts w:ascii="仿宋_GB2312" w:hAnsi="仿宋" w:eastAsia="仿宋_GB2312" w:cs="仿宋_GB2312"/>
          <w:b/>
          <w:szCs w:val="24"/>
          <w:highlight w:val="none"/>
        </w:rPr>
      </w:pPr>
      <w:r>
        <w:rPr>
          <w:rFonts w:ascii="仿宋_GB2312" w:hAnsi="仿宋" w:eastAsia="仿宋_GB2312" w:cs="仿宋_GB2312"/>
          <w:b/>
          <w:szCs w:val="24"/>
          <w:highlight w:val="none"/>
        </w:rPr>
        <w:t>17.投标有效期</w:t>
      </w:r>
    </w:p>
    <w:p>
      <w:pPr>
        <w:snapToGrid w:val="0"/>
        <w:spacing w:line="360" w:lineRule="auto"/>
        <w:ind w:firstLine="480" w:firstLineChars="200"/>
        <w:rPr>
          <w:rFonts w:ascii="仿宋_GB2312" w:hAnsi="仿宋" w:eastAsia="仿宋_GB2312" w:cs="仿宋_GB2312"/>
          <w:b/>
          <w:sz w:val="24"/>
          <w:szCs w:val="21"/>
          <w:highlight w:val="none"/>
        </w:rPr>
      </w:pPr>
      <w:r>
        <w:rPr>
          <w:rFonts w:ascii="仿宋_GB2312" w:hAnsi="仿宋" w:eastAsia="仿宋_GB2312" w:cs="仿宋_GB2312"/>
          <w:sz w:val="24"/>
          <w:szCs w:val="20"/>
          <w:highlight w:val="none"/>
        </w:rPr>
        <w:t>17.1投标有效期为从提交投标文件的截止之日起90天。▲</w:t>
      </w:r>
      <w:r>
        <w:rPr>
          <w:rFonts w:hint="eastAsia" w:ascii="仿宋_GB2312" w:hAnsi="仿宋" w:eastAsia="仿宋_GB2312" w:cs="仿宋_GB2312"/>
          <w:b/>
          <w:sz w:val="24"/>
          <w:szCs w:val="20"/>
          <w:highlight w:val="none"/>
        </w:rPr>
        <w:t>投标人的投标文件中承</w:t>
      </w:r>
      <w:r>
        <w:rPr>
          <w:rFonts w:hint="eastAsia" w:ascii="仿宋_GB2312" w:hAnsi="仿宋" w:eastAsia="仿宋_GB2312" w:cs="仿宋_GB2312"/>
          <w:b/>
          <w:sz w:val="24"/>
          <w:szCs w:val="21"/>
          <w:highlight w:val="none"/>
        </w:rPr>
        <w:t>诺的投标有效期少于招标文件中载明的投标有效期的，投标无效。</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17.2投标文件合格投递后，自投标截止日期起，在投标有效期内有效。</w:t>
      </w:r>
    </w:p>
    <w:p>
      <w:pPr>
        <w:pStyle w:val="129"/>
        <w:snapToGrid w:val="0"/>
        <w:spacing w:before="0"/>
        <w:ind w:firstLine="480"/>
        <w:rPr>
          <w:rFonts w:ascii="仿宋_GB2312" w:hAnsi="仿宋" w:eastAsia="仿宋_GB2312" w:cs="仿宋_GB2312"/>
          <w:b/>
          <w:sz w:val="32"/>
          <w:highlight w:val="none"/>
        </w:rPr>
      </w:pPr>
      <w:r>
        <w:rPr>
          <w:rFonts w:ascii="仿宋_GB2312" w:hAnsi="仿宋" w:eastAsia="仿宋_GB2312" w:cs="仿宋_GB2312"/>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1928" w:firstLineChars="600"/>
        <w:rPr>
          <w:rFonts w:ascii="仿宋_GB2312" w:hAnsi="仿宋" w:eastAsia="仿宋_GB2312" w:cs="仿宋_GB2312"/>
          <w:b/>
          <w:sz w:val="32"/>
          <w:highlight w:val="none"/>
        </w:rPr>
      </w:pPr>
    </w:p>
    <w:p>
      <w:pPr>
        <w:pStyle w:val="129"/>
        <w:spacing w:before="0"/>
        <w:ind w:firstLine="1928" w:firstLineChars="600"/>
        <w:rPr>
          <w:rFonts w:ascii="仿宋_GB2312" w:hAnsi="仿宋" w:eastAsia="仿宋_GB2312" w:cs="仿宋_GB2312"/>
          <w:b/>
          <w:sz w:val="32"/>
          <w:highlight w:val="none"/>
        </w:rPr>
      </w:pPr>
      <w:r>
        <w:rPr>
          <w:rFonts w:hint="eastAsia" w:ascii="仿宋_GB2312" w:hAnsi="仿宋" w:eastAsia="仿宋_GB2312" w:cs="仿宋_GB2312"/>
          <w:b/>
          <w:sz w:val="32"/>
          <w:highlight w:val="none"/>
        </w:rPr>
        <w:t>四、开标、资格审查与信用信息查询</w:t>
      </w:r>
    </w:p>
    <w:p>
      <w:pPr>
        <w:pStyle w:val="555"/>
        <w:snapToGrid w:val="0"/>
        <w:spacing w:before="0" w:line="360" w:lineRule="auto"/>
        <w:ind w:left="0" w:firstLine="482" w:firstLineChars="200"/>
        <w:contextualSpacing/>
        <w:rPr>
          <w:rFonts w:ascii="仿宋_GB2312" w:eastAsia="仿宋_GB2312"/>
          <w:sz w:val="24"/>
          <w:highlight w:val="none"/>
        </w:rPr>
      </w:pPr>
      <w:r>
        <w:rPr>
          <w:rFonts w:ascii="仿宋_GB2312" w:hAnsi="仿宋" w:eastAsia="仿宋_GB2312" w:cs="仿宋_GB2312"/>
          <w:b/>
          <w:sz w:val="24"/>
          <w:szCs w:val="24"/>
          <w:highlight w:val="none"/>
        </w:rPr>
        <w:t>18.开标</w:t>
      </w:r>
      <w:r>
        <w:rPr>
          <w:rFonts w:ascii="仿宋_GB2312" w:eastAsia="仿宋_GB2312"/>
          <w:sz w:val="24"/>
          <w:highlight w:val="none"/>
        </w:rPr>
        <w:t xml:space="preserve"> </w:t>
      </w:r>
    </w:p>
    <w:p>
      <w:pPr>
        <w:pStyle w:val="555"/>
        <w:snapToGrid w:val="0"/>
        <w:spacing w:before="0" w:line="360" w:lineRule="auto"/>
        <w:ind w:left="0" w:firstLine="480" w:firstLineChars="200"/>
        <w:contextualSpacing/>
        <w:rPr>
          <w:rFonts w:ascii="仿宋_GB2312" w:hAnsi="仿宋" w:eastAsia="仿宋_GB2312" w:cs="仿宋_GB2312"/>
          <w:sz w:val="24"/>
          <w:highlight w:val="none"/>
        </w:rPr>
      </w:pPr>
      <w:r>
        <w:rPr>
          <w:rFonts w:ascii="仿宋_GB2312" w:hAnsi="仿宋" w:eastAsia="仿宋_GB2312" w:cs="仿宋_GB2312"/>
          <w:sz w:val="24"/>
          <w:highlight w:val="none"/>
        </w:rPr>
        <w:t>18.1采购机构按照招标文件规定的时间通过电子交易平台组织开标，所有投标人均应当准时在线参加。投标人不足3家的，不得开标。</w:t>
      </w:r>
    </w:p>
    <w:p>
      <w:pPr>
        <w:pStyle w:val="555"/>
        <w:snapToGrid w:val="0"/>
        <w:spacing w:before="0" w:line="360" w:lineRule="auto"/>
        <w:ind w:left="0" w:firstLine="240" w:firstLineChars="100"/>
        <w:contextualSpacing/>
        <w:rPr>
          <w:rFonts w:ascii="仿宋_GB2312" w:hAnsi="仿宋" w:eastAsia="仿宋_GB2312" w:cs="仿宋_GB2312"/>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5"/>
        <w:snapToGrid w:val="0"/>
        <w:spacing w:before="0" w:line="360" w:lineRule="auto"/>
        <w:ind w:left="0" w:firstLine="240" w:firstLineChars="100"/>
        <w:contextualSpacing/>
        <w:rPr>
          <w:rFonts w:ascii="仿宋_GB2312" w:hAnsi="仿宋" w:eastAsia="仿宋_GB2312" w:cs="仿宋_GB2312"/>
          <w:b/>
          <w:sz w:val="24"/>
          <w:highlight w:val="none"/>
        </w:rPr>
      </w:pPr>
      <w:r>
        <w:rPr>
          <w:rFonts w:hint="eastAsia" w:ascii="仿宋_GB2312" w:hAnsi="仿宋" w:eastAsia="仿宋_GB2312" w:cs="仿宋_GB2312"/>
          <w:sz w:val="24"/>
          <w:highlight w:val="none"/>
        </w:rPr>
        <w:t>　</w:t>
      </w:r>
      <w:r>
        <w:rPr>
          <w:rFonts w:ascii="仿宋_GB2312" w:hAnsi="仿宋" w:eastAsia="仿宋_GB2312" w:cs="仿宋_GB2312"/>
          <w:sz w:val="24"/>
          <w:highlight w:val="none"/>
        </w:rPr>
        <w:t>18.3</w:t>
      </w:r>
      <w:r>
        <w:rPr>
          <w:rFonts w:hint="eastAsia" w:ascii="仿宋_GB2312" w:hAnsi="仿宋" w:eastAsia="仿宋_GB2312" w:cs="仿宋_GB2312"/>
          <w:b/>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ind w:firstLine="482" w:firstLineChars="200"/>
        <w:jc w:val="left"/>
        <w:rPr>
          <w:rFonts w:ascii="仿宋_GB2312" w:hAnsi="仿宋" w:eastAsia="仿宋_GB2312" w:cs="仿宋_GB2312"/>
          <w:b/>
          <w:sz w:val="24"/>
          <w:szCs w:val="20"/>
          <w:highlight w:val="none"/>
        </w:rPr>
      </w:pPr>
      <w:r>
        <w:rPr>
          <w:rFonts w:ascii="仿宋_GB2312" w:hAnsi="仿宋" w:eastAsia="仿宋_GB2312" w:cs="仿宋_GB2312"/>
          <w:b/>
          <w:sz w:val="24"/>
          <w:szCs w:val="20"/>
          <w:highlight w:val="none"/>
        </w:rPr>
        <w:t>19</w:t>
      </w:r>
      <w:r>
        <w:rPr>
          <w:rFonts w:hint="eastAsia" w:ascii="仿宋_GB2312" w:hAnsi="仿宋" w:eastAsia="仿宋_GB2312" w:cs="仿宋_GB2312"/>
          <w:b/>
          <w:sz w:val="24"/>
          <w:szCs w:val="20"/>
          <w:highlight w:val="none"/>
        </w:rPr>
        <w:t>.</w:t>
      </w:r>
      <w:r>
        <w:rPr>
          <w:rFonts w:ascii="仿宋_GB2312" w:hAnsi="仿宋" w:eastAsia="仿宋_GB2312" w:cs="仿宋_GB2312"/>
          <w:b/>
          <w:sz w:val="24"/>
          <w:szCs w:val="20"/>
          <w:highlight w:val="none"/>
        </w:rPr>
        <w:t>资格审查</w:t>
      </w:r>
    </w:p>
    <w:p>
      <w:pPr>
        <w:pStyle w:val="129"/>
        <w:snapToGrid w:val="0"/>
        <w:spacing w:before="0"/>
        <w:ind w:firstLine="480"/>
        <w:rPr>
          <w:rFonts w:ascii="仿宋_GB2312" w:hAnsi="仿宋" w:eastAsia="仿宋_GB2312" w:cs="Arial"/>
          <w:kern w:val="0"/>
          <w:szCs w:val="24"/>
          <w:highlight w:val="none"/>
        </w:rPr>
      </w:pPr>
      <w:r>
        <w:rPr>
          <w:rFonts w:ascii="仿宋_GB2312" w:hAnsi="仿宋" w:eastAsia="仿宋_GB2312" w:cs="Arial"/>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Arial"/>
          <w:kern w:val="0"/>
          <w:sz w:val="24"/>
          <w:highlight w:val="none"/>
        </w:rPr>
        <w:t>19.2</w:t>
      </w:r>
      <w:r>
        <w:rPr>
          <w:rFonts w:hint="eastAsia" w:ascii="仿宋_GB2312" w:hAnsi="仿宋" w:eastAsia="仿宋_GB2312" w:cs="仿宋_GB2312"/>
          <w:sz w:val="24"/>
          <w:highlight w:val="none"/>
        </w:rPr>
        <w:t>采购人或采购机构依据法律法规和招标文件的规定，对投标人的基本资格条件、特定资格条件进行审查。</w:t>
      </w:r>
    </w:p>
    <w:p>
      <w:pPr>
        <w:pStyle w:val="129"/>
        <w:snapToGrid w:val="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19.3投标人未按照招标文件要求提供与</w:t>
      </w:r>
      <w:r>
        <w:rPr>
          <w:rFonts w:hint="eastAsia" w:ascii="仿宋_GB2312" w:hAnsi="仿宋" w:eastAsia="仿宋_GB2312" w:cs="仿宋_GB2312"/>
          <w:highlight w:val="none"/>
        </w:rPr>
        <w:t>基本资格条件、特定资格条件相应的</w:t>
      </w:r>
      <w:r>
        <w:rPr>
          <w:rFonts w:hint="eastAsia" w:ascii="仿宋_GB2312" w:hAnsi="仿宋" w:eastAsia="仿宋_GB2312" w:cs="Arial"/>
          <w:kern w:val="0"/>
          <w:szCs w:val="24"/>
          <w:highlight w:val="none"/>
        </w:rPr>
        <w:t>有效资格证明材料的，视为</w:t>
      </w:r>
      <w:r>
        <w:rPr>
          <w:rFonts w:hint="eastAsia" w:ascii="仿宋_GB2312" w:hAnsi="仿宋" w:eastAsia="仿宋_GB2312" w:cs="仿宋_GB2312"/>
          <w:highlight w:val="none"/>
        </w:rPr>
        <w:t>投标人不具备招标文件中规定的资格要求，其投标无效。</w:t>
      </w:r>
    </w:p>
    <w:p>
      <w:pPr>
        <w:pStyle w:val="129"/>
        <w:snapToGrid w:val="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4对未通过资格审查的投标人，采购人或采购机构告知其未通过的原因。</w:t>
      </w:r>
    </w:p>
    <w:p>
      <w:pPr>
        <w:pStyle w:val="129"/>
        <w:snapToGrid w:val="0"/>
        <w:spacing w:before="0"/>
        <w:ind w:firstLine="480"/>
        <w:rPr>
          <w:rFonts w:ascii="仿宋_GB2312" w:hAnsi="仿宋" w:eastAsia="仿宋_GB2312" w:cs="仿宋_GB2312"/>
          <w:highlight w:val="none"/>
        </w:rPr>
      </w:pPr>
      <w:r>
        <w:rPr>
          <w:rFonts w:ascii="仿宋_GB2312" w:hAnsi="仿宋" w:eastAsia="仿宋_GB2312" w:cs="Arial"/>
          <w:kern w:val="0"/>
          <w:szCs w:val="24"/>
          <w:highlight w:val="none"/>
        </w:rPr>
        <w:t>19.</w:t>
      </w:r>
      <w:r>
        <w:rPr>
          <w:rFonts w:ascii="仿宋_GB2312" w:hAnsi="仿宋" w:eastAsia="仿宋_GB2312" w:cs="仿宋_GB2312"/>
          <w:highlight w:val="none"/>
        </w:rPr>
        <w:t>5合格投标人不足3家的，不再评标。</w:t>
      </w:r>
    </w:p>
    <w:p>
      <w:pPr>
        <w:pStyle w:val="129"/>
        <w:snapToGrid w:val="0"/>
        <w:spacing w:before="0"/>
        <w:ind w:firstLine="482"/>
        <w:rPr>
          <w:rFonts w:ascii="仿宋_GB2312" w:hAnsi="仿宋" w:eastAsia="仿宋_GB2312" w:cs="仿宋_GB2312"/>
          <w:b/>
          <w:szCs w:val="24"/>
          <w:highlight w:val="none"/>
        </w:rPr>
      </w:pPr>
      <w:r>
        <w:rPr>
          <w:rFonts w:ascii="仿宋_GB2312" w:hAnsi="仿宋" w:eastAsia="仿宋_GB2312" w:cs="仿宋_GB2312"/>
          <w:b/>
          <w:szCs w:val="24"/>
          <w:highlight w:val="none"/>
        </w:rPr>
        <w:t>20</w:t>
      </w:r>
      <w:r>
        <w:rPr>
          <w:rFonts w:hint="eastAsia" w:ascii="仿宋_GB2312" w:hAnsi="仿宋" w:eastAsia="仿宋_GB2312" w:cs="仿宋_GB2312"/>
          <w:b/>
          <w:szCs w:val="24"/>
          <w:highlight w:val="none"/>
        </w:rPr>
        <w:t>.</w:t>
      </w:r>
      <w:r>
        <w:rPr>
          <w:rFonts w:ascii="仿宋_GB2312" w:hAnsi="仿宋" w:eastAsia="仿宋_GB2312" w:cs="仿宋_GB2312"/>
          <w:b/>
          <w:szCs w:val="24"/>
          <w:highlight w:val="none"/>
        </w:rPr>
        <w:t>信用信息查询</w:t>
      </w:r>
    </w:p>
    <w:p>
      <w:pPr>
        <w:pStyle w:val="129"/>
        <w:snapToGrid w:val="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20.1信用信息查询渠道及截止时间：采购机构将通过“信用中国”网站(www.creditchina.gov.cn)、中国政府采购网(www.ccgp.gov.cn)渠道查询投标人投标截止时间当天的信用记录。</w:t>
      </w:r>
    </w:p>
    <w:p>
      <w:pPr>
        <w:pStyle w:val="129"/>
        <w:snapToGrid w:val="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20.2信用信息查询记录和证据留存的具体方式：现场查询的投标人的信用记录、查询结果经确认后将与采购文件一起存档。</w:t>
      </w:r>
    </w:p>
    <w:p>
      <w:pPr>
        <w:pStyle w:val="129"/>
        <w:snapToGrid w:val="0"/>
        <w:spacing w:before="0"/>
        <w:ind w:firstLine="495" w:firstLineChars="0"/>
        <w:rPr>
          <w:rFonts w:ascii="仿宋_GB2312" w:hAnsi="仿宋" w:eastAsia="仿宋_GB2312" w:cs="Arial"/>
          <w:kern w:val="0"/>
          <w:szCs w:val="24"/>
          <w:highlight w:val="none"/>
        </w:rPr>
      </w:pPr>
      <w:r>
        <w:rPr>
          <w:rFonts w:ascii="仿宋_GB2312" w:hAnsi="仿宋" w:eastAsia="仿宋_GB2312" w:cs="Arial"/>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0" w:firstLineChars="0"/>
        <w:rPr>
          <w:rFonts w:ascii="仿宋_GB2312" w:hAnsi="仿宋" w:eastAsia="仿宋_GB2312" w:cs="Arial"/>
          <w:kern w:val="0"/>
          <w:szCs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五、评标</w:t>
      </w:r>
    </w:p>
    <w:p>
      <w:pPr>
        <w:spacing w:line="360" w:lineRule="auto"/>
        <w:ind w:firstLine="482" w:firstLineChars="200"/>
        <w:rPr>
          <w:rFonts w:ascii="仿宋_GB2312" w:hAnsi="仿宋" w:eastAsia="仿宋_GB2312" w:cs="仿宋_GB2312"/>
          <w:b/>
          <w:sz w:val="24"/>
          <w:highlight w:val="none"/>
        </w:rPr>
      </w:pPr>
      <w:bookmarkStart w:id="13" w:name="_Toc91899903"/>
      <w:r>
        <w:rPr>
          <w:rFonts w:ascii="仿宋_GB2312" w:hAnsi="仿宋" w:eastAsia="仿宋_GB2312" w:cs="仿宋_GB2312"/>
          <w:b/>
          <w:sz w:val="24"/>
          <w:highlight w:val="none"/>
        </w:rPr>
        <w:t>21.</w:t>
      </w:r>
      <w:r>
        <w:rPr>
          <w:rFonts w:hint="eastAsia" w:ascii="仿宋_GB2312" w:hAnsi="仿宋" w:eastAsia="仿宋_GB2312" w:cs="仿宋_GB2312"/>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
        <w:spacing w:line="360" w:lineRule="auto"/>
        <w:ind w:left="479" w:leftChars="228" w:firstLine="0" w:firstLineChars="0"/>
        <w:rPr>
          <w:rFonts w:ascii="仿宋_GB2312" w:hAnsi="仿宋" w:eastAsia="仿宋_GB2312" w:cs="仿宋_GB2312"/>
          <w:b/>
          <w:highlight w:val="none"/>
        </w:rPr>
      </w:pPr>
      <w:r>
        <w:rPr>
          <w:rFonts w:ascii="仿宋_GB2312" w:hAnsi="仿宋" w:eastAsia="仿宋_GB2312" w:cs="仿宋_GB2312"/>
          <w:b/>
          <w:highlight w:val="none"/>
        </w:rPr>
        <w:t>22.</w:t>
      </w:r>
      <w:r>
        <w:rPr>
          <w:rFonts w:hint="eastAsia" w:ascii="仿宋_GB2312" w:hAnsi="仿宋" w:eastAsia="仿宋_GB2312" w:cs="仿宋_GB2312"/>
          <w:b/>
          <w:highlight w:val="none"/>
        </w:rPr>
        <w:t>确定中标供应商</w:t>
      </w:r>
    </w:p>
    <w:p>
      <w:pPr>
        <w:pStyle w:val="129"/>
        <w:snapToGrid w:val="0"/>
        <w:spacing w:before="0"/>
        <w:ind w:firstLine="480"/>
        <w:rPr>
          <w:rFonts w:ascii="仿宋_GB2312" w:hAnsi="仿宋" w:eastAsia="仿宋_GB2312" w:cs="仿宋_GB2312"/>
          <w:b/>
          <w:szCs w:val="24"/>
          <w:highlight w:val="none"/>
        </w:rPr>
      </w:pPr>
      <w:r>
        <w:rPr>
          <w:rFonts w:hint="eastAsia" w:ascii="仿宋_GB2312" w:hAnsi="仿宋" w:eastAsia="仿宋_GB2312" w:cs="仿宋_GB2312"/>
          <w:szCs w:val="24"/>
          <w:highlight w:val="none"/>
        </w:rPr>
        <w:t>采购人将自收到评审报告之日起</w:t>
      </w:r>
      <w:r>
        <w:rPr>
          <w:rFonts w:ascii="仿宋_GB2312" w:hAnsi="仿宋" w:eastAsia="仿宋_GB2312" w:cs="仿宋_GB2312"/>
          <w:szCs w:val="24"/>
          <w:highlight w:val="none"/>
        </w:rPr>
        <w:t>5个工作日内通过电子交易平台在评审报告推荐的中标候选人中按顺序确定中标供应商。</w:t>
      </w:r>
    </w:p>
    <w:p>
      <w:pPr>
        <w:pStyle w:val="129"/>
        <w:snapToGrid w:val="0"/>
        <w:spacing w:before="0"/>
        <w:ind w:firstLine="482"/>
        <w:rPr>
          <w:rFonts w:ascii="仿宋_GB2312" w:hAnsi="仿宋" w:eastAsia="仿宋_GB2312" w:cs="仿宋_GB2312"/>
          <w:b/>
          <w:szCs w:val="24"/>
          <w:highlight w:val="none"/>
        </w:rPr>
      </w:pPr>
      <w:r>
        <w:rPr>
          <w:rFonts w:ascii="仿宋_GB2312" w:hAnsi="仿宋" w:eastAsia="仿宋_GB2312" w:cs="仿宋_GB2312"/>
          <w:b/>
          <w:szCs w:val="24"/>
          <w:highlight w:val="none"/>
        </w:rPr>
        <w:t>23.</w:t>
      </w:r>
      <w:r>
        <w:rPr>
          <w:rFonts w:hint="eastAsia" w:ascii="仿宋_GB2312" w:hAnsi="仿宋" w:eastAsia="仿宋_GB2312" w:cs="仿宋_GB2312"/>
          <w:b/>
          <w:szCs w:val="24"/>
          <w:highlight w:val="none"/>
        </w:rPr>
        <w:t>中标通知与中标结果公告</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23.1自中标人确定之日起2个工作日内，采购机构通过电子交易平台向中标人发出中标通知书，</w:t>
      </w:r>
      <w:r>
        <w:rPr>
          <w:rFonts w:hint="eastAsia" w:ascii="仿宋_GB2312" w:hAnsi="仿宋" w:eastAsia="仿宋_GB2312" w:cs="仿宋_GB2312"/>
          <w:highlight w:val="none"/>
        </w:rPr>
        <w:t>同时编制发布采购结果公告。采购机构也可以以纸质形式进行中标通知。</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highlight w:val="none"/>
        </w:rPr>
        <w:t>的名称、规格型号、数量、单价、服务要求，开标记录、未中标情况说明、中标公告期限以及评审专家名单、评分汇总及明细。</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
        <w:snapToGrid w:val="0"/>
        <w:spacing w:line="360" w:lineRule="auto"/>
        <w:ind w:left="479" w:leftChars="228" w:firstLine="0" w:firstLineChars="0"/>
        <w:rPr>
          <w:rFonts w:ascii="仿宋_GB2312" w:hAnsi="仿宋" w:eastAsia="仿宋_GB2312" w:cs="仿宋_GB2312"/>
          <w:b/>
          <w:highlight w:val="none"/>
        </w:rPr>
      </w:pPr>
      <w:r>
        <w:rPr>
          <w:rFonts w:ascii="仿宋_GB2312" w:hAnsi="仿宋" w:eastAsia="仿宋_GB2312" w:cs="仿宋_GB2312"/>
          <w:b/>
          <w:highlight w:val="none"/>
        </w:rPr>
        <w:t>24.</w:t>
      </w:r>
      <w:r>
        <w:rPr>
          <w:rFonts w:hint="eastAsia" w:ascii="仿宋_GB2312" w:hAnsi="仿宋" w:eastAsia="仿宋_GB2312" w:cs="仿宋_GB2312"/>
          <w:highlight w:val="none"/>
        </w:rPr>
        <w:t>合同主要条款详见第五部分拟签订的合同文本。</w:t>
      </w:r>
    </w:p>
    <w:p>
      <w:pPr>
        <w:pStyle w:val="2"/>
        <w:snapToGrid w:val="0"/>
        <w:spacing w:line="360" w:lineRule="auto"/>
        <w:ind w:left="479" w:leftChars="228" w:firstLine="0" w:firstLineChars="0"/>
        <w:rPr>
          <w:rFonts w:ascii="仿宋_GB2312" w:hAnsi="仿宋" w:eastAsia="仿宋_GB2312" w:cs="仿宋_GB2312"/>
          <w:b/>
          <w:highlight w:val="none"/>
        </w:rPr>
      </w:pPr>
      <w:r>
        <w:rPr>
          <w:rFonts w:ascii="仿宋_GB2312" w:hAnsi="仿宋" w:eastAsia="仿宋_GB2312" w:cs="仿宋_GB2312"/>
          <w:b/>
          <w:highlight w:val="none"/>
        </w:rPr>
        <w:t>25.</w:t>
      </w:r>
      <w:r>
        <w:rPr>
          <w:rFonts w:hint="eastAsia" w:ascii="仿宋_GB2312" w:hAnsi="仿宋" w:eastAsia="仿宋_GB2312" w:cs="仿宋_GB2312"/>
          <w:b/>
          <w:highlight w:val="none"/>
        </w:rPr>
        <w:t>合同的签订</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25.1采购人与中标人应当通过电子交易平台在中标通知书发出之日起三十日内，按照招标文件确定的事项签订政府采购合同，并在</w:t>
      </w:r>
      <w:r>
        <w:rPr>
          <w:rFonts w:hint="eastAsia" w:ascii="仿宋_GB2312" w:hAnsi="仿宋" w:eastAsia="仿宋_GB2312" w:cs="仿宋_GB2312"/>
          <w:highlight w:val="none"/>
        </w:rPr>
        <w:t>合同签订之日起2个工作日</w:t>
      </w:r>
      <w:r>
        <w:rPr>
          <w:rFonts w:ascii="仿宋_GB2312" w:hAnsi="仿宋" w:eastAsia="仿宋_GB2312" w:cs="仿宋_GB2312"/>
          <w:highlight w:val="none"/>
        </w:rPr>
        <w:t>内依法发布合同公告。</w:t>
      </w:r>
    </w:p>
    <w:p>
      <w:pPr>
        <w:pStyle w:val="129"/>
        <w:snapToGrid w:val="0"/>
        <w:spacing w:before="0"/>
        <w:ind w:firstLine="480"/>
        <w:rPr>
          <w:rFonts w:ascii="仿宋_GB2312" w:hAnsi="仿宋" w:eastAsia="仿宋_GB2312"/>
          <w:kern w:val="0"/>
          <w:highlight w:val="none"/>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25.4中标供应</w:t>
      </w:r>
      <w:r>
        <w:rPr>
          <w:rFonts w:hint="eastAsia" w:ascii="仿宋_GB2312" w:hAnsi="仿宋" w:eastAsia="仿宋_GB2312" w:cs="仿宋_GB2312"/>
          <w:highlight w:val="none"/>
        </w:rPr>
        <w:t>商拒绝与采购人签订合同的，采购人可以按照评审报告推荐的中标或者成交候选人名单排序，确定下一候选人为中标供应商，也可以重新开展政府采购活动。</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25.5采购合同由采购人与中标供应商根据</w:t>
      </w:r>
      <w:r>
        <w:rPr>
          <w:rFonts w:hint="eastAsia" w:ascii="仿宋_GB2312" w:hAnsi="仿宋" w:eastAsia="仿宋_GB2312" w:cs="仿宋_GB2312"/>
          <w:highlight w:val="none"/>
        </w:rPr>
        <w:t>招标文件、投标文件等内容通过政府采购电子交易平台在线签订，自动备案。</w:t>
      </w:r>
    </w:p>
    <w:p>
      <w:pPr>
        <w:pStyle w:val="2"/>
        <w:snapToGrid w:val="0"/>
        <w:spacing w:line="360" w:lineRule="auto"/>
        <w:ind w:left="479" w:leftChars="228" w:firstLine="0" w:firstLineChars="0"/>
        <w:rPr>
          <w:rFonts w:ascii="仿宋_GB2312" w:hAnsi="仿宋" w:eastAsia="仿宋_GB2312" w:cs="仿宋_GB2312"/>
          <w:b/>
          <w:highlight w:val="none"/>
        </w:rPr>
      </w:pPr>
      <w:r>
        <w:rPr>
          <w:rFonts w:ascii="仿宋_GB2312" w:hAnsi="仿宋" w:eastAsia="仿宋_GB2312" w:cs="仿宋_GB2312"/>
          <w:b/>
          <w:highlight w:val="none"/>
        </w:rPr>
        <w:t>26.</w:t>
      </w:r>
      <w:r>
        <w:rPr>
          <w:rFonts w:hint="eastAsia" w:ascii="仿宋_GB2312" w:hAnsi="仿宋" w:eastAsia="仿宋_GB2312" w:cs="仿宋_GB2312"/>
          <w:b/>
          <w:highlight w:val="none"/>
        </w:rPr>
        <w:t>履约保证金</w:t>
      </w:r>
    </w:p>
    <w:p>
      <w:pPr>
        <w:pStyle w:val="5"/>
        <w:keepNext w:val="0"/>
        <w:keepLines w:val="0"/>
        <w:adjustRightInd w:val="0"/>
        <w:snapToGrid w:val="0"/>
        <w:ind w:left="0" w:firstLine="480" w:firstLineChars="200"/>
        <w:rPr>
          <w:rFonts w:cs="仿宋_GB2312"/>
          <w:b w:val="0"/>
          <w:bCs w:val="0"/>
          <w:sz w:val="24"/>
          <w:szCs w:val="20"/>
          <w:highlight w:val="none"/>
          <w:lang w:val="en-US"/>
        </w:rPr>
      </w:pPr>
      <w:r>
        <w:rPr>
          <w:rFonts w:hint="eastAsia" w:cs="仿宋_GB2312"/>
          <w:b w:val="0"/>
          <w:bCs w:val="0"/>
          <w:sz w:val="24"/>
          <w:szCs w:val="20"/>
          <w:highlight w:val="none"/>
          <w:lang w:val="en-US"/>
        </w:rPr>
        <w:t>本项目不收取履约保证金。</w:t>
      </w:r>
    </w:p>
    <w:p>
      <w:pPr>
        <w:snapToGrid w:val="0"/>
        <w:spacing w:line="360" w:lineRule="auto"/>
        <w:ind w:firstLine="3357" w:firstLineChars="1045"/>
        <w:rPr>
          <w:rFonts w:ascii="仿宋_GB2312" w:hAnsi="仿宋" w:eastAsia="仿宋_GB2312" w:cs="仿宋_GB2312"/>
          <w:b/>
          <w:sz w:val="32"/>
          <w:highlight w:val="none"/>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129"/>
        <w:snapToGrid w:val="0"/>
        <w:spacing w:before="0"/>
        <w:ind w:firstLine="482"/>
        <w:rPr>
          <w:rFonts w:ascii="仿宋_GB2312" w:hAnsi="仿宋" w:eastAsia="仿宋_GB2312" w:cs="仿宋_GB2312"/>
          <w:highlight w:val="none"/>
        </w:rPr>
      </w:pPr>
      <w:r>
        <w:rPr>
          <w:rFonts w:ascii="仿宋_GB2312" w:hAnsi="仿宋" w:eastAsia="仿宋_GB2312" w:cs="仿宋_GB2312"/>
          <w:b/>
          <w:szCs w:val="24"/>
          <w:highlight w:val="none"/>
        </w:rPr>
        <w:t>27.</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129"/>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九、验收</w:t>
      </w:r>
    </w:p>
    <w:p>
      <w:pPr>
        <w:pStyle w:val="2"/>
        <w:spacing w:line="360" w:lineRule="auto"/>
        <w:ind w:firstLine="482"/>
        <w:rPr>
          <w:rFonts w:ascii="仿宋_GB2312" w:hAnsi="仿宋" w:eastAsia="仿宋_GB2312" w:cs="仿宋_GB2312"/>
          <w:b/>
          <w:highlight w:val="none"/>
        </w:rPr>
      </w:pPr>
      <w:r>
        <w:rPr>
          <w:rFonts w:ascii="仿宋_GB2312" w:hAnsi="仿宋" w:eastAsia="仿宋_GB2312" w:cs="仿宋_GB2312"/>
          <w:b/>
          <w:highlight w:val="none"/>
        </w:rPr>
        <w:t>29.验收</w:t>
      </w:r>
    </w:p>
    <w:p>
      <w:pPr>
        <w:tabs>
          <w:tab w:val="left" w:pos="0"/>
        </w:tabs>
        <w:spacing w:line="360" w:lineRule="auto"/>
        <w:ind w:firstLine="480"/>
        <w:rPr>
          <w:rFonts w:ascii="仿宋_GB2312" w:hAnsi="仿宋" w:eastAsia="仿宋_GB2312" w:cs="Helvetica"/>
          <w:kern w:val="0"/>
          <w:sz w:val="24"/>
          <w:highlight w:val="none"/>
        </w:rPr>
      </w:pPr>
      <w:r>
        <w:rPr>
          <w:rFonts w:ascii="仿宋_GB2312" w:hAnsi="仿宋" w:eastAsia="仿宋_GB2312" w:cs="Helvetica"/>
          <w:kern w:val="0"/>
          <w:sz w:val="24"/>
          <w:highlight w:val="none"/>
        </w:rPr>
        <w:t>29.</w:t>
      </w:r>
      <w:r>
        <w:rPr>
          <w:rFonts w:hint="eastAsia" w:ascii="仿宋_GB2312" w:hAnsi="仿宋" w:eastAsia="仿宋_GB2312" w:cs="Helvetica"/>
          <w:kern w:val="0"/>
          <w:sz w:val="24"/>
          <w:highlight w:val="none"/>
        </w:rPr>
        <w:t>1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ascii="仿宋_GB2312" w:hAnsi="仿宋" w:eastAsia="仿宋_GB2312" w:cs="仿宋_GB2312"/>
          <w:sz w:val="18"/>
          <w:szCs w:val="18"/>
          <w:highlight w:val="none"/>
        </w:rPr>
      </w:pPr>
      <w:r>
        <w:rPr>
          <w:rFonts w:ascii="仿宋_GB2312" w:hAnsi="仿宋" w:eastAsia="仿宋_GB2312" w:cs="Helvetica"/>
          <w:kern w:val="0"/>
          <w:sz w:val="24"/>
          <w:highlight w:val="none"/>
        </w:rPr>
        <w:t>29.</w:t>
      </w:r>
      <w:r>
        <w:rPr>
          <w:rFonts w:hint="eastAsia" w:ascii="仿宋_GB2312" w:hAnsi="仿宋" w:eastAsia="仿宋_GB2312" w:cs="Helvetica"/>
          <w:kern w:val="0"/>
          <w:sz w:val="24"/>
          <w:highlight w:val="none"/>
        </w:rPr>
        <w:t>2</w:t>
      </w:r>
      <w:r>
        <w:rPr>
          <w:rFonts w:ascii="仿宋_GB2312" w:hAnsi="仿宋" w:eastAsia="仿宋_GB2312" w:cs="Helvetica"/>
          <w:kern w:val="0"/>
          <w:sz w:val="24"/>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5236101"/>
      <w:bookmarkEnd w:id="15"/>
      <w:bookmarkStart w:id="16" w:name="_Hlt68057669"/>
      <w:bookmarkEnd w:id="16"/>
      <w:bookmarkStart w:id="17" w:name="_Hlt68403820"/>
      <w:bookmarkEnd w:id="17"/>
      <w:bookmarkStart w:id="18" w:name="_Hlt74714665"/>
      <w:bookmarkEnd w:id="18"/>
      <w:bookmarkStart w:id="19" w:name="_Hlt74729768"/>
      <w:bookmarkEnd w:id="19"/>
      <w:bookmarkStart w:id="20" w:name="_Hlt75236290"/>
      <w:bookmarkEnd w:id="20"/>
      <w:bookmarkStart w:id="21" w:name="_Hlt74730295"/>
      <w:bookmarkEnd w:id="21"/>
      <w:bookmarkStart w:id="22" w:name="_Hlt68072990"/>
      <w:bookmarkEnd w:id="22"/>
      <w:bookmarkStart w:id="23" w:name="_Hlt75236011"/>
      <w:bookmarkEnd w:id="23"/>
      <w:bookmarkStart w:id="24" w:name="_Hlt74707468"/>
      <w:bookmarkEnd w:id="24"/>
      <w:bookmarkStart w:id="25" w:name="_Hlt68072998"/>
      <w:bookmarkEnd w:id="25"/>
    </w:p>
    <w:bookmarkEnd w:id="11"/>
    <w:bookmarkEnd w:id="12"/>
    <w:p>
      <w:pPr>
        <w:spacing w:line="360" w:lineRule="auto"/>
        <w:jc w:val="center"/>
        <w:outlineLvl w:val="0"/>
        <w:rPr>
          <w:rFonts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一、项目概况</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(一）本项目确定1家中标供应商，为杭州西湖博物馆总馆提供保安服务。</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(二）本项目服务性质为杭州市西湖景区，博物馆、纪念馆，是属于国家一级博物馆，全国、省、市文物重点保护单位和本市**怖袭击防范重点单位及消防安全重点单位。</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(三）本项目地点: 总馆办公区域为西湖景区内南山路89号，共计三大馆区，十一处场馆。本次采购</w:t>
      </w:r>
      <w:r>
        <w:rPr>
          <w:rFonts w:hint="eastAsia" w:ascii="仿宋" w:hAnsi="仿宋" w:eastAsia="仿宋" w:cs="仿宋"/>
          <w:b w:val="0"/>
          <w:bCs/>
          <w:sz w:val="24"/>
          <w:highlight w:val="none"/>
        </w:rPr>
        <w:t>服务范围包括日常门岗登统记、执勤、24小时治安巡查、文物保护（含野外文物）、博物馆出入口安检、护林守土、安全防范、安检设施操作及维护、**、消防（</w:t>
      </w:r>
      <w:r>
        <w:rPr>
          <w:rFonts w:hint="eastAsia" w:ascii="仿宋" w:hAnsi="仿宋" w:eastAsia="仿宋" w:cs="仿宋"/>
          <w:b w:val="0"/>
          <w:bCs/>
          <w:sz w:val="24"/>
          <w:highlight w:val="none"/>
          <w:lang w:val="en-US" w:eastAsia="zh-CN"/>
        </w:rPr>
        <w:t>含</w:t>
      </w:r>
      <w:r>
        <w:rPr>
          <w:rFonts w:hint="eastAsia" w:ascii="仿宋" w:hAnsi="仿宋" w:eastAsia="仿宋" w:cs="仿宋"/>
          <w:b w:val="0"/>
          <w:bCs/>
          <w:sz w:val="24"/>
          <w:highlight w:val="none"/>
        </w:rPr>
        <w:t>微型消防站、</w:t>
      </w:r>
      <w:r>
        <w:rPr>
          <w:rFonts w:hint="eastAsia" w:ascii="仿宋" w:hAnsi="仿宋" w:eastAsia="仿宋" w:cs="仿宋"/>
          <w:b w:val="0"/>
          <w:bCs/>
          <w:sz w:val="24"/>
          <w:highlight w:val="none"/>
          <w:lang w:val="en-US" w:eastAsia="zh-CN"/>
        </w:rPr>
        <w:t>消防巡查、</w:t>
      </w:r>
      <w:r>
        <w:rPr>
          <w:rFonts w:hint="eastAsia" w:ascii="仿宋" w:hAnsi="仿宋" w:eastAsia="仿宋" w:cs="仿宋"/>
          <w:b w:val="0"/>
          <w:bCs/>
          <w:sz w:val="24"/>
          <w:highlight w:val="none"/>
        </w:rPr>
        <w:t>消控</w:t>
      </w:r>
      <w:r>
        <w:rPr>
          <w:rFonts w:hint="eastAsia" w:ascii="仿宋" w:hAnsi="仿宋" w:eastAsia="仿宋" w:cs="仿宋"/>
          <w:b w:val="0"/>
          <w:bCs/>
          <w:sz w:val="24"/>
          <w:highlight w:val="none"/>
          <w:lang w:val="en-US" w:eastAsia="zh-CN"/>
        </w:rPr>
        <w:t>值班）</w:t>
      </w:r>
      <w:r>
        <w:rPr>
          <w:rFonts w:hint="eastAsia" w:ascii="仿宋" w:hAnsi="仿宋" w:eastAsia="仿宋" w:cs="仿宋"/>
          <w:b w:val="0"/>
          <w:bCs/>
          <w:sz w:val="24"/>
          <w:highlight w:val="none"/>
        </w:rPr>
        <w:t>、水体、视频监控管理、车辆停放管理、疫情防控，以及项目周边治安状况的联防联治等等。</w:t>
      </w:r>
    </w:p>
    <w:p>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二、总体要求</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(一）采购人对中标人派出的保安员的岗位设置具有决定权，对重要岗位的设置、管理以及其他重要的管理决策有直接参与权，可对中标人的管理工作提供有效的意见和建议。</w:t>
      </w:r>
    </w:p>
    <w:p>
      <w:pPr>
        <w:snapToGrid w:val="0"/>
        <w:spacing w:line="360" w:lineRule="auto"/>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rPr>
        <w:t>(二) 保安人员</w:t>
      </w:r>
      <w:r>
        <w:rPr>
          <w:rFonts w:hint="eastAsia" w:ascii="仿宋" w:hAnsi="仿宋" w:eastAsia="仿宋" w:cs="仿宋"/>
          <w:strike/>
          <w:dstrike w:val="0"/>
          <w:sz w:val="24"/>
          <w:highlight w:val="none"/>
        </w:rPr>
        <w:t>数量</w:t>
      </w:r>
      <w:r>
        <w:rPr>
          <w:rFonts w:hint="eastAsia" w:ascii="仿宋" w:hAnsi="仿宋" w:eastAsia="仿宋" w:cs="仿宋"/>
          <w:sz w:val="24"/>
          <w:highlight w:val="none"/>
        </w:rPr>
        <w:t>要求：</w:t>
      </w:r>
      <w:r>
        <w:rPr>
          <w:rFonts w:hint="eastAsia" w:ascii="仿宋" w:hAnsi="仿宋" w:eastAsia="仿宋" w:cs="仿宋"/>
          <w:sz w:val="24"/>
          <w:highlight w:val="none"/>
          <w:lang w:val="en-US" w:eastAsia="zh-CN"/>
        </w:rPr>
        <w:t>每工按8小时、做六休一计，总计每天不少于</w:t>
      </w:r>
      <w:r>
        <w:rPr>
          <w:rFonts w:hint="eastAsia" w:ascii="仿宋" w:hAnsi="仿宋" w:eastAsia="仿宋" w:cs="仿宋"/>
          <w:sz w:val="24"/>
          <w:highlight w:val="none"/>
          <w:u w:val="single"/>
        </w:rPr>
        <w:t>96</w:t>
      </w:r>
      <w:r>
        <w:rPr>
          <w:rFonts w:hint="eastAsia" w:ascii="仿宋" w:hAnsi="仿宋" w:eastAsia="仿宋" w:cs="仿宋"/>
          <w:sz w:val="24"/>
          <w:highlight w:val="none"/>
          <w:u w:val="single"/>
          <w:lang w:val="en-US" w:eastAsia="zh-CN"/>
        </w:rPr>
        <w:t>工</w:t>
      </w:r>
      <w:r>
        <w:rPr>
          <w:rFonts w:hint="eastAsia" w:ascii="仿宋" w:hAnsi="仿宋" w:eastAsia="仿宋" w:cs="仿宋"/>
          <w:sz w:val="24"/>
          <w:highlight w:val="none"/>
        </w:rPr>
        <w:t>。采购人按实际需要</w:t>
      </w:r>
      <w:r>
        <w:rPr>
          <w:rFonts w:hint="eastAsia" w:ascii="仿宋" w:hAnsi="仿宋" w:eastAsia="仿宋" w:cs="仿宋"/>
          <w:sz w:val="24"/>
          <w:highlight w:val="none"/>
          <w:lang w:val="en-US" w:eastAsia="zh-CN"/>
        </w:rPr>
        <w:t>要求中标人派驻</w:t>
      </w:r>
      <w:r>
        <w:rPr>
          <w:rFonts w:hint="eastAsia" w:ascii="仿宋" w:hAnsi="仿宋" w:eastAsia="仿宋" w:cs="仿宋"/>
          <w:sz w:val="24"/>
          <w:highlight w:val="none"/>
        </w:rPr>
        <w:t>（驻场）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其中</w:t>
      </w:r>
      <w:r>
        <w:rPr>
          <w:rFonts w:hint="eastAsia" w:ascii="仿宋" w:hAnsi="仿宋" w:eastAsia="仿宋" w:cs="仿宋"/>
          <w:sz w:val="24"/>
          <w:highlight w:val="none"/>
        </w:rPr>
        <w:t>项目管理总负责人1人，持有保安管理技师2级证书，年龄在45周岁以下，具有多年文博单位安保队伍管理经验，受采购人的直接领导（党员优先）；管理人员</w:t>
      </w:r>
      <w:r>
        <w:rPr>
          <w:rFonts w:hint="eastAsia" w:ascii="仿宋" w:hAnsi="仿宋" w:eastAsia="仿宋" w:cs="仿宋"/>
          <w:sz w:val="24"/>
          <w:highlight w:val="none"/>
          <w:lang w:eastAsia="zh-CN"/>
        </w:rPr>
        <w:t>（</w:t>
      </w:r>
      <w:r>
        <w:rPr>
          <w:rFonts w:hint="eastAsia" w:ascii="仿宋" w:hAnsi="仿宋" w:eastAsia="仿宋" w:cs="仿宋"/>
          <w:sz w:val="24"/>
          <w:highlight w:val="none"/>
        </w:rPr>
        <w:t>项目管理总负责</w:t>
      </w:r>
      <w:r>
        <w:rPr>
          <w:rFonts w:hint="eastAsia" w:ascii="仿宋" w:hAnsi="仿宋" w:eastAsia="仿宋" w:cs="仿宋"/>
          <w:sz w:val="24"/>
          <w:highlight w:val="none"/>
          <w:lang w:val="en-US" w:eastAsia="zh-CN"/>
        </w:rPr>
        <w:t>除外</w:t>
      </w:r>
      <w:r>
        <w:rPr>
          <w:rFonts w:hint="eastAsia" w:ascii="仿宋" w:hAnsi="仿宋" w:eastAsia="仿宋" w:cs="仿宋"/>
          <w:sz w:val="24"/>
          <w:highlight w:val="none"/>
          <w:lang w:eastAsia="zh-CN"/>
        </w:rPr>
        <w:t>）</w:t>
      </w:r>
      <w:r>
        <w:rPr>
          <w:rFonts w:hint="eastAsia" w:ascii="仿宋" w:hAnsi="仿宋" w:eastAsia="仿宋" w:cs="仿宋"/>
          <w:sz w:val="24"/>
          <w:highlight w:val="none"/>
        </w:rPr>
        <w:t>不少于6人</w:t>
      </w:r>
      <w:r>
        <w:rPr>
          <w:rFonts w:hint="eastAsia" w:ascii="仿宋" w:hAnsi="仿宋" w:eastAsia="仿宋" w:cs="仿宋"/>
          <w:sz w:val="24"/>
          <w:highlight w:val="none"/>
          <w:lang w:eastAsia="zh-CN"/>
        </w:rPr>
        <w:t>，</w:t>
      </w:r>
      <w:r>
        <w:rPr>
          <w:rFonts w:hint="eastAsia" w:ascii="仿宋" w:hAnsi="仿宋" w:eastAsia="仿宋" w:cs="仿宋"/>
          <w:sz w:val="24"/>
          <w:highlight w:val="none"/>
        </w:rPr>
        <w:t>持有保安管理技师2级证书</w:t>
      </w:r>
      <w:r>
        <w:rPr>
          <w:rFonts w:hint="eastAsia" w:ascii="仿宋" w:hAnsi="仿宋" w:eastAsia="仿宋" w:cs="仿宋"/>
          <w:sz w:val="24"/>
          <w:highlight w:val="none"/>
          <w:lang w:eastAsia="zh-CN"/>
        </w:rPr>
        <w:t>。</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拟投入人员中</w:t>
      </w:r>
      <w:r>
        <w:rPr>
          <w:rFonts w:hint="eastAsia" w:ascii="仿宋" w:hAnsi="仿宋" w:eastAsia="仿宋" w:cs="仿宋"/>
          <w:sz w:val="24"/>
          <w:highlight w:val="none"/>
        </w:rPr>
        <w:t>持有《建（构）筑物消防员职业资格证》的人员不少于8人；安检设施岗位保安员需持证上岗（安检仪操作相关证件）。</w:t>
      </w:r>
    </w:p>
    <w:p>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对不符合岗位要求的人</w:t>
      </w:r>
      <w:r>
        <w:rPr>
          <w:rFonts w:hint="eastAsia" w:ascii="仿宋" w:hAnsi="仿宋" w:eastAsia="仿宋" w:cs="仿宋"/>
          <w:sz w:val="24"/>
          <w:highlight w:val="none"/>
          <w:lang w:val="en-US" w:eastAsia="zh-CN"/>
        </w:rPr>
        <w:t>员</w:t>
      </w:r>
      <w:r>
        <w:rPr>
          <w:rFonts w:hint="eastAsia" w:ascii="仿宋" w:hAnsi="仿宋" w:eastAsia="仿宋" w:cs="仿宋"/>
          <w:sz w:val="24"/>
          <w:highlight w:val="none"/>
        </w:rPr>
        <w:t>，中标人须根据采购人的要求及时更换。对不称职的保安员，采购人有权要求中标人限期更换。</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三)中标人应针对本项目建立保安服务方案和有针对性且符合本单位各场馆现场实际的详细勤务实施方案，以及组织架构、日常管理等内容的规章制度。中标人对重要岗位的设置、人员安排与管理须报采购人同意。</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(四)采购人不提供员工宿舍，保安员的食宿及交通工具由中标人自行解决。</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五)中标人须有大型群众性活动临时保卫工作经验及相关业绩，应针对本项目建立保安服务方案（包括《重大节假日和重要活动工作方案》、《森林防火应急预案》、《**防暴应急预案》等）以及组织架构、人员录用等内容的规章制度。</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(六）中标人与保安员签订用工合同时，必须采用浙江省/杭州市人力资源和社会保障厅印制的浙江省/杭州市职工劳动合同版本。</w:t>
      </w:r>
    </w:p>
    <w:p>
      <w:pPr>
        <w:snapToGrid w:val="0"/>
        <w:spacing w:line="360" w:lineRule="auto"/>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(七)中标人在日常管理中要建立交接班、请（休</w:t>
      </w:r>
      <w:r>
        <w:rPr>
          <w:rFonts w:hint="eastAsia" w:ascii="仿宋" w:hAnsi="仿宋" w:eastAsia="仿宋" w:cs="仿宋"/>
          <w:sz w:val="24"/>
          <w:highlight w:val="none"/>
          <w:lang w:eastAsia="zh-CN"/>
        </w:rPr>
        <w:t>）</w:t>
      </w:r>
      <w:r>
        <w:rPr>
          <w:rFonts w:hint="eastAsia" w:ascii="仿宋" w:hAnsi="仿宋" w:eastAsia="仿宋" w:cs="仿宋"/>
          <w:sz w:val="24"/>
          <w:highlight w:val="none"/>
        </w:rPr>
        <w:t>假等登记等制度，采购人有权查阅记录。如因保安员的休（请）假、撤换或辞退造成保安人数的空缺，中标供应商应</w:t>
      </w:r>
      <w:r>
        <w:rPr>
          <w:rFonts w:hint="eastAsia" w:ascii="仿宋" w:hAnsi="仿宋" w:eastAsia="仿宋" w:cs="仿宋"/>
          <w:strike w:val="0"/>
          <w:dstrike w:val="0"/>
          <w:sz w:val="24"/>
          <w:highlight w:val="none"/>
          <w:lang w:val="en-US" w:eastAsia="zh-CN"/>
        </w:rPr>
        <w:t>及时</w:t>
      </w:r>
      <w:r>
        <w:rPr>
          <w:rFonts w:hint="eastAsia" w:ascii="仿宋" w:hAnsi="仿宋" w:eastAsia="仿宋" w:cs="仿宋"/>
          <w:sz w:val="24"/>
          <w:highlight w:val="none"/>
        </w:rPr>
        <w:t>补充，如不及时补充，采购人将按</w:t>
      </w:r>
      <w:r>
        <w:rPr>
          <w:rFonts w:hint="eastAsia" w:ascii="仿宋" w:hAnsi="仿宋" w:eastAsia="仿宋" w:cs="仿宋"/>
          <w:sz w:val="24"/>
          <w:highlight w:val="none"/>
          <w:u w:val="single"/>
        </w:rPr>
        <w:t xml:space="preserve"> 中标综合单价比例</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即=合同总价÷365天÷派工数量</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扣减服务费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如对采购人造成经济损失或社会影响的，相应责任由中标人承担。</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八）采购人有权提出更换不符合使用要求、对采购人产生不良影响或损害采购人利益的保安员。采购人提出更换要求并与中标人协商，协商完成后中标人应在3个工作日内予以更换，如不及时更换，采购人将按每天每人</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00元人民币</w:t>
      </w:r>
      <w:r>
        <w:rPr>
          <w:rFonts w:hint="eastAsia" w:ascii="仿宋" w:hAnsi="仿宋" w:eastAsia="仿宋" w:cs="仿宋"/>
          <w:sz w:val="24"/>
          <w:highlight w:val="none"/>
        </w:rPr>
        <w:t>的标准扣减服务费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如对采购人造成经济损失或社会影响的，相应责任由中标人承担。</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(九）在服务期内，中标人必须做好保安员安全教育及安全措施，若在服务范围内，发生劳动争议或生病、人身事故以及意外死亡等情况的，由中标人承担全部责任，采购人不承担任何责任。</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(十）中标人须为在岗保安员配备</w:t>
      </w:r>
      <w:r>
        <w:rPr>
          <w:rFonts w:hint="eastAsia" w:ascii="仿宋" w:hAnsi="仿宋" w:eastAsia="仿宋" w:cs="仿宋"/>
          <w:sz w:val="24"/>
          <w:highlight w:val="none"/>
          <w:lang w:val="en-US" w:eastAsia="zh-CN"/>
        </w:rPr>
        <w:t>统一服装、</w:t>
      </w:r>
      <w:r>
        <w:rPr>
          <w:rFonts w:hint="eastAsia" w:ascii="仿宋" w:hAnsi="仿宋" w:eastAsia="仿宋" w:cs="仿宋"/>
          <w:sz w:val="24"/>
          <w:highlight w:val="none"/>
        </w:rPr>
        <w:t>执勤装备和保安管理条例中规定的</w:t>
      </w:r>
      <w:r>
        <w:rPr>
          <w:rFonts w:hint="eastAsia" w:ascii="仿宋" w:hAnsi="仿宋" w:eastAsia="仿宋" w:cs="仿宋"/>
          <w:sz w:val="24"/>
          <w:highlight w:val="none"/>
          <w:lang w:val="en-US" w:eastAsia="zh-CN"/>
        </w:rPr>
        <w:t>其他</w:t>
      </w:r>
      <w:r>
        <w:rPr>
          <w:rFonts w:hint="eastAsia" w:ascii="仿宋" w:hAnsi="仿宋" w:eastAsia="仿宋" w:cs="仿宋"/>
          <w:sz w:val="24"/>
          <w:highlight w:val="none"/>
        </w:rPr>
        <w:t>装备。</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(十一）中标人需对</w:t>
      </w: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区域的重点部位的安全、秩序等，实行全天24小时安全保卫值岗;做好防火、防盗、防汛、防抢、**防暴及协助处理突发事件等安全防范工作;中标人具有随时增派保安员的应急机动能力，与公安机关建立**联防联动机制，在发生突发事件时，能够按照属地公安机关制定的工作预案及时进行响应。</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二）在重大节假日(元旦、春节、清明、端午节、五一劳动节、中秋、国庆)、重大活动、三防应急、处理特殊事件和紧急、突发事故时，中标人应根据采购人的需求，调配足够的人力和物资，完成以上任务，采购人对中标人派出的保安员有直接指挥权。</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 (十三)中标人须成立三支各10人的应急</w:t>
      </w:r>
      <w:r>
        <w:rPr>
          <w:rFonts w:hint="eastAsia" w:ascii="仿宋" w:hAnsi="仿宋" w:eastAsia="仿宋" w:cs="仿宋"/>
          <w:sz w:val="24"/>
          <w:highlight w:val="none"/>
          <w:lang w:val="en-US" w:eastAsia="zh-CN"/>
        </w:rPr>
        <w:t>处置</w:t>
      </w:r>
      <w:r>
        <w:rPr>
          <w:rFonts w:hint="eastAsia" w:ascii="仿宋" w:hAnsi="仿宋" w:eastAsia="仿宋" w:cs="仿宋"/>
          <w:sz w:val="24"/>
          <w:highlight w:val="none"/>
        </w:rPr>
        <w:t>队伍，主要负责处置三大馆区的三防、森林防火、**防暴等突发事件问题，保障服务区域的正常运作和安全稳定。应急</w:t>
      </w:r>
      <w:r>
        <w:rPr>
          <w:rFonts w:hint="eastAsia" w:ascii="仿宋" w:hAnsi="仿宋" w:eastAsia="仿宋" w:cs="仿宋"/>
          <w:sz w:val="24"/>
          <w:highlight w:val="none"/>
          <w:lang w:val="en-US" w:eastAsia="zh-CN"/>
        </w:rPr>
        <w:t>处置</w:t>
      </w:r>
      <w:r>
        <w:rPr>
          <w:rFonts w:hint="eastAsia" w:ascii="仿宋" w:hAnsi="仿宋" w:eastAsia="仿宋" w:cs="仿宋"/>
          <w:sz w:val="24"/>
          <w:highlight w:val="none"/>
        </w:rPr>
        <w:t>队伍具体要求:队伍要24小时备勤，必须配备一名队长，并接受博物馆、属地***统一调配，确保一声令下能立即出动。</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四)中标人派驻的保安员必须熟悉西湖景区、博物馆、纪念馆的相关管理要求、负责文物安全的保安员在聘用之前需接受文物保护业务知识的培训，经培训并得到采购人认可后方可上岗，中标人可提前与采购人协商培训事宜;并接收采购单位相关管理人员监督、检查;按照相关规定需掌握消防、灭火等基本的安全技能知识，做好防火、防盗、**防暴、治安、防灾害事故、疫情防控等安全防范工作。</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(十五）中标人供应商必须严格按照国家、浙江省、杭州市的相关劳动法规和保险条例，为保安员提供完善的劳动权益保障。</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(十六）中标人不得转包或分包项目内容，不得使用劳务派遣员工。</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(十七）中标人负责编制管理年度计划。</w:t>
      </w:r>
    </w:p>
    <w:p>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三、商务要求</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▲中标供应商应按照《中华人民共和国劳动法》的相关规定发放工资，服务人员工资不得低于杭州市企业职工最低工资标准（工资不含按国家规定供应商必须支付的社会保险及其他应付费用)。</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▲中标供应商应按照《中华人民共和国社会保险法》的相关规定，支付国家规定必须购买的社会保险费用（基本养老保险、基本医疗保险、工伤保险、失业保险和生育保险）。</w:t>
      </w:r>
    </w:p>
    <w:p>
      <w:pPr>
        <w:snapToGrid w:val="0"/>
        <w:spacing w:line="360" w:lineRule="auto"/>
        <w:ind w:firstLine="482" w:firstLineChars="200"/>
        <w:jc w:val="left"/>
        <w:rPr>
          <w:rFonts w:hint="default" w:ascii="仿宋" w:hAnsi="仿宋" w:eastAsia="仿宋" w:cs="仿宋"/>
          <w:b/>
          <w:sz w:val="24"/>
          <w:highlight w:val="none"/>
          <w:lang w:val="en-US" w:eastAsia="zh-CN"/>
        </w:rPr>
      </w:pPr>
      <w:r>
        <w:rPr>
          <w:rFonts w:hint="eastAsia" w:ascii="仿宋" w:hAnsi="仿宋" w:eastAsia="仿宋" w:cs="仿宋"/>
          <w:b/>
          <w:sz w:val="24"/>
          <w:highlight w:val="none"/>
        </w:rPr>
        <w:t>三、</w:t>
      </w:r>
      <w:r>
        <w:rPr>
          <w:rFonts w:hint="eastAsia" w:ascii="仿宋" w:hAnsi="仿宋" w:eastAsia="仿宋" w:cs="仿宋"/>
          <w:b/>
          <w:sz w:val="24"/>
          <w:highlight w:val="none"/>
          <w:lang w:val="en-US" w:eastAsia="zh-CN"/>
        </w:rPr>
        <w:t>合同期限</w:t>
      </w:r>
    </w:p>
    <w:p>
      <w:pPr>
        <w:snapToGrid w:val="0"/>
        <w:spacing w:line="360" w:lineRule="auto"/>
        <w:ind w:firstLine="480" w:firstLineChars="200"/>
        <w:jc w:val="left"/>
        <w:rPr>
          <w:rFonts w:ascii="仿宋" w:hAnsi="仿宋" w:eastAsia="仿宋" w:cs="仿宋"/>
          <w:b w:val="0"/>
          <w:bCs/>
          <w:sz w:val="24"/>
          <w:highlight w:val="none"/>
        </w:rPr>
      </w:pPr>
      <w:r>
        <w:rPr>
          <w:rFonts w:hint="eastAsia" w:ascii="仿宋" w:hAnsi="仿宋" w:eastAsia="仿宋" w:cs="仿宋"/>
          <w:b w:val="0"/>
          <w:bCs/>
          <w:sz w:val="24"/>
          <w:highlight w:val="none"/>
          <w:lang w:val="en-US" w:eastAsia="zh-CN"/>
        </w:rPr>
        <w:t>1.12个月，计划于2022年9月8日—2023年9月7日，具体以合同约定为准。</w:t>
      </w:r>
      <w:r>
        <w:rPr>
          <w:rFonts w:ascii="仿宋" w:hAnsi="仿宋" w:eastAsia="仿宋" w:cs="仿宋"/>
          <w:b w:val="0"/>
          <w:bCs/>
          <w:sz w:val="24"/>
          <w:highlight w:val="none"/>
        </w:rPr>
        <w:t>合同期满，</w:t>
      </w:r>
      <w:r>
        <w:rPr>
          <w:rFonts w:hint="eastAsia" w:ascii="仿宋" w:hAnsi="仿宋" w:eastAsia="仿宋" w:cs="仿宋"/>
          <w:b w:val="0"/>
          <w:bCs/>
          <w:sz w:val="24"/>
          <w:highlight w:val="none"/>
          <w:lang w:val="en-US" w:eastAsia="zh-CN"/>
        </w:rPr>
        <w:t>如因下一轮招标工作未完成，</w:t>
      </w:r>
      <w:r>
        <w:rPr>
          <w:rFonts w:ascii="仿宋" w:hAnsi="仿宋" w:eastAsia="仿宋" w:cs="仿宋"/>
          <w:b w:val="0"/>
          <w:bCs/>
          <w:sz w:val="24"/>
          <w:highlight w:val="none"/>
        </w:rPr>
        <w:t>甲方可要求乙方延续提供1-2个月的服务，费用标准按原合同</w:t>
      </w:r>
      <w:r>
        <w:rPr>
          <w:rFonts w:ascii="仿宋" w:hAnsi="仿宋" w:eastAsia="仿宋" w:cs="仿宋"/>
          <w:b w:val="0"/>
          <w:bCs/>
          <w:strike/>
          <w:dstrike w:val="0"/>
          <w:sz w:val="24"/>
          <w:highlight w:val="none"/>
        </w:rPr>
        <w:t>规定</w:t>
      </w:r>
      <w:r>
        <w:rPr>
          <w:rFonts w:ascii="仿宋" w:hAnsi="仿宋" w:eastAsia="仿宋" w:cs="仿宋"/>
          <w:b w:val="0"/>
          <w:bCs/>
          <w:sz w:val="24"/>
          <w:highlight w:val="none"/>
        </w:rPr>
        <w:t xml:space="preserve">执行。 </w:t>
      </w:r>
    </w:p>
    <w:p>
      <w:pPr>
        <w:numPr>
          <w:ilvl w:val="0"/>
          <w:numId w:val="2"/>
        </w:numPr>
        <w:snapToGrid w:val="0"/>
        <w:spacing w:line="360" w:lineRule="auto"/>
        <w:ind w:firstLine="480" w:firstLineChars="20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乙方在合同期内</w:t>
      </w:r>
      <w:r>
        <w:rPr>
          <w:rFonts w:hint="eastAsia" w:ascii="仿宋" w:hAnsi="仿宋" w:eastAsia="仿宋" w:cs="仿宋"/>
          <w:b w:val="0"/>
          <w:bCs/>
          <w:sz w:val="24"/>
          <w:highlight w:val="none"/>
          <w:lang w:val="en-US" w:eastAsia="zh-CN"/>
        </w:rPr>
        <w:t>未出现安全事故、无不良社会影响，保质保量完成相关服务的</w:t>
      </w:r>
      <w:r>
        <w:rPr>
          <w:rFonts w:hint="eastAsia" w:ascii="仿宋" w:hAnsi="仿宋" w:eastAsia="仿宋" w:cs="仿宋"/>
          <w:b w:val="0"/>
          <w:bCs/>
          <w:sz w:val="24"/>
          <w:highlight w:val="none"/>
        </w:rPr>
        <w:t>，甲</w:t>
      </w:r>
      <w:r>
        <w:rPr>
          <w:rFonts w:hint="eastAsia" w:ascii="仿宋" w:hAnsi="仿宋" w:eastAsia="仿宋" w:cs="仿宋"/>
          <w:b w:val="0"/>
          <w:bCs/>
          <w:sz w:val="24"/>
          <w:highlight w:val="none"/>
          <w:lang w:val="en-US" w:eastAsia="zh-CN"/>
        </w:rPr>
        <w:t>乙双方</w:t>
      </w:r>
      <w:r>
        <w:rPr>
          <w:rFonts w:hint="eastAsia" w:ascii="仿宋" w:hAnsi="仿宋" w:eastAsia="仿宋" w:cs="仿宋"/>
          <w:b w:val="0"/>
          <w:bCs/>
          <w:sz w:val="24"/>
          <w:highlight w:val="none"/>
        </w:rPr>
        <w:t>可按有关程序续签合同（续签合同价款及服务内容与原合同不变），合同续签不超过二年（次）。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仿宋" w:hAnsi="仿宋" w:eastAsia="仿宋" w:cs="仿宋"/>
          <w:b/>
          <w:sz w:val="24"/>
          <w:highlight w:val="none"/>
          <w:lang w:val="en-US" w:eastAsia="zh-CN"/>
        </w:rPr>
      </w:pPr>
      <w:r>
        <w:rPr>
          <w:rFonts w:hint="eastAsia" w:ascii="仿宋" w:hAnsi="仿宋" w:eastAsia="仿宋" w:cs="仿宋"/>
          <w:b/>
          <w:sz w:val="24"/>
          <w:highlight w:val="none"/>
          <w:lang w:val="en-US" w:eastAsia="zh-CN"/>
        </w:rPr>
        <w:t>四、付款方式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1.本项目为总价合同。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b/>
          <w:sz w:val="24"/>
          <w:highlight w:val="none"/>
        </w:rPr>
      </w:pPr>
      <w:r>
        <w:rPr>
          <w:rFonts w:hint="eastAsia" w:ascii="仿宋" w:hAnsi="仿宋" w:eastAsia="仿宋" w:cs="仿宋"/>
          <w:b w:val="0"/>
          <w:bCs/>
          <w:sz w:val="24"/>
          <w:highlight w:val="none"/>
          <w:lang w:val="en-US" w:eastAsia="zh-CN"/>
        </w:rPr>
        <w:t>2.在合同生效以及具备实施条件后15日内支付合同金额的20%作为预付款，其余费用分四次等额支付，并每次次等额扣回预付款。</w:t>
      </w:r>
      <w:r>
        <w:rPr>
          <w:rFonts w:hint="eastAsia" w:ascii="仿宋" w:hAnsi="仿宋" w:eastAsia="仿宋" w:cs="仿宋"/>
          <w:b w:val="0"/>
          <w:bCs/>
          <w:sz w:val="24"/>
          <w:highlight w:val="none"/>
        </w:rPr>
        <w:t xml:space="preserve">  </w:t>
      </w:r>
      <w:r>
        <w:rPr>
          <w:rFonts w:hint="eastAsia" w:ascii="仿宋" w:hAnsi="仿宋" w:eastAsia="仿宋" w:cs="仿宋"/>
          <w:b/>
          <w:sz w:val="24"/>
          <w:highlight w:val="none"/>
        </w:rPr>
        <w:t xml:space="preserve">        </w:t>
      </w:r>
    </w:p>
    <w:p>
      <w:pPr>
        <w:snapToGrid w:val="0"/>
        <w:spacing w:line="360" w:lineRule="auto"/>
        <w:ind w:firstLine="2891" w:firstLineChars="800"/>
        <w:jc w:val="left"/>
        <w:rPr>
          <w:rFonts w:hint="eastAsia" w:ascii="仿宋" w:hAnsi="仿宋" w:eastAsia="仿宋" w:cs="仿宋_GB2312"/>
          <w:b/>
          <w:sz w:val="36"/>
          <w:szCs w:val="36"/>
          <w:highlight w:val="none"/>
        </w:rPr>
      </w:pPr>
    </w:p>
    <w:p>
      <w:pPr>
        <w:snapToGrid w:val="0"/>
        <w:spacing w:line="360" w:lineRule="auto"/>
        <w:ind w:firstLine="2891" w:firstLineChars="800"/>
        <w:jc w:val="left"/>
        <w:rPr>
          <w:rFonts w:hint="eastAsia" w:ascii="仿宋" w:hAnsi="仿宋" w:eastAsia="仿宋" w:cs="仿宋_GB2312"/>
          <w:b/>
          <w:sz w:val="36"/>
          <w:szCs w:val="36"/>
          <w:highlight w:val="none"/>
        </w:rPr>
      </w:pPr>
    </w:p>
    <w:p>
      <w:pPr>
        <w:snapToGrid w:val="0"/>
        <w:spacing w:line="360" w:lineRule="auto"/>
        <w:ind w:firstLine="2891" w:firstLineChars="800"/>
        <w:jc w:val="left"/>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27" w:name="_Toc184313270"/>
      <w:bookmarkEnd w:id="27"/>
      <w:bookmarkStart w:id="28" w:name="_Toc184312126"/>
      <w:bookmarkEnd w:id="28"/>
      <w:bookmarkStart w:id="29" w:name="_Toc184314463"/>
      <w:bookmarkEnd w:id="29"/>
      <w:bookmarkStart w:id="30" w:name="_Toc184312069"/>
      <w:bookmarkEnd w:id="30"/>
      <w:bookmarkStart w:id="31" w:name="_Toc184312114"/>
      <w:bookmarkEnd w:id="31"/>
      <w:bookmarkStart w:id="32" w:name="_Toc184312119"/>
      <w:bookmarkEnd w:id="32"/>
      <w:bookmarkStart w:id="33" w:name="_Toc184310309"/>
      <w:bookmarkEnd w:id="33"/>
      <w:bookmarkStart w:id="34" w:name="_Toc184313295"/>
      <w:bookmarkEnd w:id="34"/>
      <w:bookmarkStart w:id="35" w:name="_Toc184314464"/>
      <w:bookmarkEnd w:id="35"/>
      <w:bookmarkStart w:id="36" w:name="_Toc184308076"/>
      <w:bookmarkEnd w:id="36"/>
      <w:bookmarkStart w:id="37" w:name="_Toc184310332"/>
      <w:bookmarkEnd w:id="37"/>
      <w:bookmarkStart w:id="38" w:name="_Toc184314416"/>
      <w:bookmarkEnd w:id="38"/>
      <w:bookmarkStart w:id="39" w:name="_Toc184308069"/>
      <w:bookmarkEnd w:id="39"/>
      <w:bookmarkStart w:id="40" w:name="_Toc184312079"/>
      <w:bookmarkEnd w:id="40"/>
      <w:bookmarkStart w:id="41" w:name="_Toc184312067"/>
      <w:bookmarkEnd w:id="41"/>
      <w:bookmarkStart w:id="42" w:name="_Toc184308047"/>
      <w:bookmarkEnd w:id="42"/>
      <w:bookmarkStart w:id="43" w:name="_Toc184313288"/>
      <w:bookmarkEnd w:id="43"/>
      <w:bookmarkStart w:id="44" w:name="_Toc184314430"/>
      <w:bookmarkEnd w:id="44"/>
      <w:bookmarkStart w:id="45" w:name="_Toc184310321"/>
      <w:bookmarkEnd w:id="45"/>
      <w:bookmarkStart w:id="46" w:name="_Toc184310312"/>
      <w:bookmarkEnd w:id="46"/>
      <w:bookmarkStart w:id="47" w:name="_Toc184308095"/>
      <w:bookmarkEnd w:id="47"/>
      <w:bookmarkStart w:id="48" w:name="_Toc184313239"/>
      <w:bookmarkEnd w:id="48"/>
      <w:bookmarkStart w:id="49" w:name="_Toc184310284"/>
      <w:bookmarkEnd w:id="49"/>
      <w:bookmarkStart w:id="50" w:name="_Toc184312102"/>
      <w:bookmarkEnd w:id="50"/>
      <w:bookmarkStart w:id="51" w:name="_Toc184313245"/>
      <w:bookmarkEnd w:id="51"/>
      <w:bookmarkStart w:id="52" w:name="_Toc184310314"/>
      <w:bookmarkEnd w:id="52"/>
      <w:bookmarkStart w:id="53" w:name="_Toc184310302"/>
      <w:bookmarkEnd w:id="53"/>
      <w:bookmarkStart w:id="54" w:name="_Toc184310290"/>
      <w:bookmarkEnd w:id="54"/>
      <w:bookmarkStart w:id="55" w:name="_Toc184312100"/>
      <w:bookmarkEnd w:id="55"/>
      <w:bookmarkStart w:id="56" w:name="_Toc184310315"/>
      <w:bookmarkEnd w:id="56"/>
      <w:bookmarkStart w:id="57" w:name="_Toc184314428"/>
      <w:bookmarkEnd w:id="57"/>
      <w:bookmarkStart w:id="58" w:name="_Toc184310308"/>
      <w:bookmarkEnd w:id="58"/>
      <w:bookmarkStart w:id="59" w:name="_Toc184313264"/>
      <w:bookmarkEnd w:id="59"/>
      <w:bookmarkStart w:id="60" w:name="_Toc184313302"/>
      <w:bookmarkEnd w:id="60"/>
      <w:bookmarkStart w:id="61" w:name="_Toc184313273"/>
      <w:bookmarkEnd w:id="61"/>
      <w:bookmarkStart w:id="62" w:name="_Toc184313259"/>
      <w:bookmarkEnd w:id="62"/>
      <w:bookmarkStart w:id="63" w:name="_Toc184313271"/>
      <w:bookmarkEnd w:id="63"/>
      <w:bookmarkStart w:id="64" w:name="_Toc184313246"/>
      <w:bookmarkEnd w:id="64"/>
      <w:bookmarkStart w:id="65" w:name="_Toc184310322"/>
      <w:bookmarkEnd w:id="65"/>
      <w:bookmarkStart w:id="66" w:name="_Toc184313257"/>
      <w:bookmarkEnd w:id="66"/>
      <w:bookmarkStart w:id="67" w:name="_Toc184308065"/>
      <w:bookmarkEnd w:id="67"/>
      <w:bookmarkStart w:id="68" w:name="_Toc184308072"/>
      <w:bookmarkEnd w:id="68"/>
      <w:bookmarkStart w:id="69" w:name="_Toc184313310"/>
      <w:bookmarkEnd w:id="69"/>
      <w:bookmarkStart w:id="70" w:name="_Toc184313268"/>
      <w:bookmarkEnd w:id="70"/>
      <w:bookmarkStart w:id="71" w:name="_Toc184314426"/>
      <w:bookmarkEnd w:id="71"/>
      <w:bookmarkStart w:id="72" w:name="_Toc184314415"/>
      <w:bookmarkEnd w:id="72"/>
      <w:bookmarkStart w:id="73" w:name="_Toc184312075"/>
      <w:bookmarkEnd w:id="73"/>
      <w:bookmarkStart w:id="74" w:name="_Toc184310300"/>
      <w:bookmarkEnd w:id="74"/>
      <w:bookmarkStart w:id="75" w:name="_Toc184308081"/>
      <w:bookmarkEnd w:id="75"/>
      <w:bookmarkStart w:id="76" w:name="_Toc184312116"/>
      <w:bookmarkEnd w:id="76"/>
      <w:bookmarkStart w:id="77" w:name="_Toc184314443"/>
      <w:bookmarkEnd w:id="77"/>
      <w:bookmarkStart w:id="78" w:name="_Toc184313296"/>
      <w:bookmarkEnd w:id="78"/>
      <w:bookmarkStart w:id="79" w:name="_Toc184308051"/>
      <w:bookmarkEnd w:id="79"/>
      <w:bookmarkStart w:id="80" w:name="_Toc184308074"/>
      <w:bookmarkEnd w:id="80"/>
      <w:bookmarkStart w:id="81" w:name="_Toc184308056"/>
      <w:bookmarkEnd w:id="81"/>
      <w:bookmarkStart w:id="82" w:name="_Toc184313258"/>
      <w:bookmarkEnd w:id="82"/>
      <w:bookmarkStart w:id="83" w:name="_Toc184308045"/>
      <w:bookmarkEnd w:id="83"/>
      <w:bookmarkStart w:id="84" w:name="_Toc184312129"/>
      <w:bookmarkEnd w:id="84"/>
      <w:bookmarkStart w:id="85" w:name="_Toc184312072"/>
      <w:bookmarkEnd w:id="85"/>
      <w:bookmarkStart w:id="86" w:name="_Toc184314413"/>
      <w:bookmarkEnd w:id="86"/>
      <w:bookmarkStart w:id="87" w:name="_Toc184308041"/>
      <w:bookmarkEnd w:id="87"/>
      <w:bookmarkStart w:id="88" w:name="_Toc184314474"/>
      <w:bookmarkEnd w:id="88"/>
      <w:bookmarkStart w:id="89" w:name="_Toc184313249"/>
      <w:bookmarkEnd w:id="89"/>
      <w:bookmarkStart w:id="90" w:name="_Toc184313280"/>
      <w:bookmarkEnd w:id="90"/>
      <w:bookmarkStart w:id="91" w:name="_Toc184314461"/>
      <w:bookmarkEnd w:id="91"/>
      <w:bookmarkStart w:id="92" w:name="_Toc184308073"/>
      <w:bookmarkEnd w:id="92"/>
      <w:bookmarkStart w:id="93" w:name="_Toc184312111"/>
      <w:bookmarkEnd w:id="93"/>
      <w:bookmarkStart w:id="94" w:name="_Toc184312088"/>
      <w:bookmarkEnd w:id="94"/>
      <w:bookmarkStart w:id="95" w:name="_Toc184310311"/>
      <w:bookmarkEnd w:id="95"/>
      <w:bookmarkStart w:id="96" w:name="_Toc184313251"/>
      <w:bookmarkEnd w:id="96"/>
      <w:bookmarkStart w:id="97" w:name="_Toc184308098"/>
      <w:bookmarkEnd w:id="97"/>
      <w:bookmarkStart w:id="98" w:name="_Toc184310288"/>
      <w:bookmarkEnd w:id="98"/>
      <w:bookmarkStart w:id="99" w:name="_Toc184314432"/>
      <w:bookmarkEnd w:id="99"/>
      <w:bookmarkStart w:id="100" w:name="_Toc184310339"/>
      <w:bookmarkEnd w:id="100"/>
      <w:bookmarkStart w:id="101" w:name="_Toc184313278"/>
      <w:bookmarkEnd w:id="101"/>
      <w:bookmarkStart w:id="102" w:name="_Toc184314422"/>
      <w:bookmarkEnd w:id="102"/>
      <w:bookmarkStart w:id="103" w:name="_Toc184312097"/>
      <w:bookmarkEnd w:id="103"/>
      <w:bookmarkStart w:id="104" w:name="_Toc184313269"/>
      <w:bookmarkEnd w:id="104"/>
      <w:bookmarkStart w:id="105" w:name="_Toc184314437"/>
      <w:bookmarkEnd w:id="105"/>
      <w:bookmarkStart w:id="106" w:name="_Toc184314417"/>
      <w:bookmarkEnd w:id="106"/>
      <w:bookmarkStart w:id="107" w:name="_Toc184313304"/>
      <w:bookmarkEnd w:id="107"/>
      <w:bookmarkStart w:id="108" w:name="_Toc184312109"/>
      <w:bookmarkEnd w:id="108"/>
      <w:bookmarkStart w:id="109" w:name="_Toc184312091"/>
      <w:bookmarkEnd w:id="109"/>
      <w:bookmarkStart w:id="110" w:name="_Toc184312127"/>
      <w:bookmarkEnd w:id="110"/>
      <w:bookmarkStart w:id="111" w:name="_Toc184310275"/>
      <w:bookmarkEnd w:id="111"/>
      <w:bookmarkStart w:id="112" w:name="_Toc184312105"/>
      <w:bookmarkEnd w:id="112"/>
      <w:bookmarkStart w:id="113" w:name="_Toc184312106"/>
      <w:bookmarkEnd w:id="113"/>
      <w:bookmarkStart w:id="114" w:name="_Toc184308091"/>
      <w:bookmarkEnd w:id="114"/>
      <w:bookmarkStart w:id="115" w:name="_Toc184313275"/>
      <w:bookmarkEnd w:id="115"/>
      <w:bookmarkStart w:id="116" w:name="_Toc184313294"/>
      <w:bookmarkEnd w:id="116"/>
      <w:bookmarkStart w:id="117" w:name="_Toc184308048"/>
      <w:bookmarkEnd w:id="117"/>
      <w:bookmarkStart w:id="118" w:name="_Toc184312121"/>
      <w:bookmarkEnd w:id="118"/>
      <w:bookmarkStart w:id="119" w:name="_Toc184313307"/>
      <w:bookmarkEnd w:id="119"/>
      <w:bookmarkStart w:id="120" w:name="_Toc184312133"/>
      <w:bookmarkEnd w:id="120"/>
      <w:bookmarkStart w:id="121" w:name="_Toc184308084"/>
      <w:bookmarkEnd w:id="121"/>
      <w:bookmarkStart w:id="122" w:name="_Toc184308046"/>
      <w:bookmarkEnd w:id="122"/>
      <w:bookmarkStart w:id="123" w:name="_Toc184310330"/>
      <w:bookmarkEnd w:id="123"/>
      <w:bookmarkStart w:id="124" w:name="_Toc184313283"/>
      <w:bookmarkEnd w:id="124"/>
      <w:bookmarkStart w:id="125" w:name="_Toc184310325"/>
      <w:bookmarkEnd w:id="125"/>
      <w:bookmarkStart w:id="126" w:name="_Toc184314451"/>
      <w:bookmarkEnd w:id="126"/>
      <w:bookmarkStart w:id="127" w:name="_Toc184313292"/>
      <w:bookmarkEnd w:id="127"/>
      <w:bookmarkStart w:id="128" w:name="_Toc184310318"/>
      <w:bookmarkEnd w:id="128"/>
      <w:bookmarkStart w:id="129" w:name="_Toc184310320"/>
      <w:bookmarkEnd w:id="129"/>
      <w:bookmarkStart w:id="130" w:name="_Toc184310293"/>
      <w:bookmarkEnd w:id="130"/>
      <w:bookmarkStart w:id="131" w:name="_Toc184314414"/>
      <w:bookmarkEnd w:id="131"/>
      <w:bookmarkStart w:id="132" w:name="_Toc184312076"/>
      <w:bookmarkEnd w:id="132"/>
      <w:bookmarkStart w:id="133" w:name="_Toc184312128"/>
      <w:bookmarkEnd w:id="133"/>
      <w:bookmarkStart w:id="134" w:name="_Toc184312095"/>
      <w:bookmarkEnd w:id="134"/>
      <w:bookmarkStart w:id="135" w:name="_Toc184308106"/>
      <w:bookmarkEnd w:id="135"/>
      <w:bookmarkStart w:id="136" w:name="_Toc184313248"/>
      <w:bookmarkEnd w:id="136"/>
      <w:bookmarkStart w:id="137" w:name="_Toc184308099"/>
      <w:bookmarkEnd w:id="137"/>
      <w:bookmarkStart w:id="138" w:name="_Toc184312093"/>
      <w:bookmarkEnd w:id="138"/>
      <w:bookmarkStart w:id="139" w:name="_Toc184308038"/>
      <w:bookmarkEnd w:id="139"/>
      <w:bookmarkStart w:id="140" w:name="_Toc184313255"/>
      <w:bookmarkEnd w:id="140"/>
      <w:bookmarkStart w:id="141" w:name="_Toc184313242"/>
      <w:bookmarkEnd w:id="141"/>
      <w:bookmarkStart w:id="142" w:name="_Toc184308077"/>
      <w:bookmarkEnd w:id="142"/>
      <w:bookmarkStart w:id="143" w:name="_Toc184312103"/>
      <w:bookmarkEnd w:id="143"/>
      <w:bookmarkStart w:id="144" w:name="_Toc184310294"/>
      <w:bookmarkEnd w:id="144"/>
      <w:bookmarkStart w:id="145" w:name="_Toc184313287"/>
      <w:bookmarkEnd w:id="145"/>
      <w:bookmarkStart w:id="146" w:name="_Toc184308083"/>
      <w:bookmarkEnd w:id="146"/>
      <w:bookmarkStart w:id="147" w:name="_Toc184314478"/>
      <w:bookmarkEnd w:id="147"/>
      <w:bookmarkStart w:id="148" w:name="_Toc184312123"/>
      <w:bookmarkEnd w:id="148"/>
      <w:bookmarkStart w:id="149" w:name="_Toc184308060"/>
      <w:bookmarkEnd w:id="149"/>
      <w:bookmarkStart w:id="150" w:name="_Toc184310296"/>
      <w:bookmarkEnd w:id="150"/>
      <w:bookmarkStart w:id="151" w:name="_Toc184314438"/>
      <w:bookmarkEnd w:id="151"/>
      <w:bookmarkStart w:id="152" w:name="_Toc184312124"/>
      <w:bookmarkEnd w:id="152"/>
      <w:bookmarkStart w:id="153" w:name="_Toc184310289"/>
      <w:bookmarkEnd w:id="153"/>
      <w:bookmarkStart w:id="154" w:name="_Toc184313262"/>
      <w:bookmarkEnd w:id="154"/>
      <w:bookmarkStart w:id="155" w:name="_Toc184313298"/>
      <w:bookmarkEnd w:id="155"/>
      <w:bookmarkStart w:id="156" w:name="_Toc184314425"/>
      <w:bookmarkEnd w:id="156"/>
      <w:bookmarkStart w:id="157" w:name="_Toc184312117"/>
      <w:bookmarkEnd w:id="157"/>
      <w:bookmarkStart w:id="158" w:name="_Toc184308036"/>
      <w:bookmarkEnd w:id="158"/>
      <w:bookmarkStart w:id="159" w:name="_Toc184308094"/>
      <w:bookmarkEnd w:id="159"/>
      <w:bookmarkStart w:id="160" w:name="_Toc184312094"/>
      <w:bookmarkEnd w:id="160"/>
      <w:bookmarkStart w:id="161" w:name="_Toc184310282"/>
      <w:bookmarkEnd w:id="161"/>
      <w:bookmarkStart w:id="162" w:name="_Toc184313285"/>
      <w:bookmarkEnd w:id="162"/>
      <w:bookmarkStart w:id="163" w:name="_Toc184308049"/>
      <w:bookmarkEnd w:id="163"/>
      <w:bookmarkStart w:id="164" w:name="_Toc184314441"/>
      <w:bookmarkEnd w:id="164"/>
      <w:bookmarkStart w:id="165" w:name="_Toc184314450"/>
      <w:bookmarkEnd w:id="165"/>
      <w:bookmarkStart w:id="166" w:name="_Toc184313306"/>
      <w:bookmarkEnd w:id="166"/>
      <w:bookmarkStart w:id="167" w:name="_Toc184313254"/>
      <w:bookmarkEnd w:id="167"/>
      <w:bookmarkStart w:id="168" w:name="_Toc184312070"/>
      <w:bookmarkEnd w:id="168"/>
      <w:bookmarkStart w:id="169" w:name="_Toc184310299"/>
      <w:bookmarkEnd w:id="169"/>
      <w:bookmarkStart w:id="170" w:name="_Toc184312096"/>
      <w:bookmarkEnd w:id="170"/>
      <w:bookmarkStart w:id="171" w:name="_Toc184308107"/>
      <w:bookmarkEnd w:id="171"/>
      <w:bookmarkStart w:id="172" w:name="_Toc184312078"/>
      <w:bookmarkEnd w:id="172"/>
      <w:bookmarkStart w:id="173" w:name="_Toc184308066"/>
      <w:bookmarkEnd w:id="173"/>
      <w:bookmarkStart w:id="174" w:name="_Toc184314419"/>
      <w:bookmarkEnd w:id="174"/>
      <w:bookmarkStart w:id="175" w:name="_Toc184313250"/>
      <w:bookmarkEnd w:id="175"/>
      <w:bookmarkStart w:id="176" w:name="_Toc184314455"/>
      <w:bookmarkEnd w:id="176"/>
      <w:bookmarkStart w:id="177" w:name="_Toc184314429"/>
      <w:bookmarkEnd w:id="177"/>
      <w:bookmarkStart w:id="178" w:name="_Toc184312071"/>
      <w:bookmarkEnd w:id="178"/>
      <w:bookmarkStart w:id="179" w:name="_Toc184310336"/>
      <w:bookmarkEnd w:id="179"/>
      <w:bookmarkStart w:id="180" w:name="_Toc184310301"/>
      <w:bookmarkEnd w:id="180"/>
      <w:bookmarkStart w:id="181" w:name="_Toc184312122"/>
      <w:bookmarkEnd w:id="181"/>
      <w:bookmarkStart w:id="182" w:name="_Toc184310333"/>
      <w:bookmarkEnd w:id="182"/>
      <w:bookmarkStart w:id="183" w:name="_Toc184308079"/>
      <w:bookmarkEnd w:id="183"/>
      <w:bookmarkStart w:id="184" w:name="_Toc184308089"/>
      <w:bookmarkEnd w:id="184"/>
      <w:bookmarkStart w:id="185" w:name="_Toc184313247"/>
      <w:bookmarkEnd w:id="185"/>
      <w:bookmarkStart w:id="186" w:name="_Toc184314424"/>
      <w:bookmarkEnd w:id="186"/>
      <w:bookmarkStart w:id="187" w:name="_Toc184312125"/>
      <w:bookmarkEnd w:id="187"/>
      <w:bookmarkStart w:id="188" w:name="_Toc184312137"/>
      <w:bookmarkEnd w:id="188"/>
      <w:bookmarkStart w:id="189" w:name="_Toc184308054"/>
      <w:bookmarkEnd w:id="189"/>
      <w:bookmarkStart w:id="190" w:name="_Toc184314452"/>
      <w:bookmarkEnd w:id="190"/>
      <w:bookmarkStart w:id="191" w:name="_Toc184313284"/>
      <w:bookmarkEnd w:id="191"/>
      <w:bookmarkStart w:id="192" w:name="_Toc184314446"/>
      <w:bookmarkEnd w:id="192"/>
      <w:bookmarkStart w:id="193" w:name="_Toc184313260"/>
      <w:bookmarkEnd w:id="193"/>
      <w:bookmarkStart w:id="194" w:name="_Toc184308067"/>
      <w:bookmarkEnd w:id="194"/>
      <w:bookmarkStart w:id="195" w:name="_Toc184308044"/>
      <w:bookmarkEnd w:id="195"/>
      <w:bookmarkStart w:id="196" w:name="_Toc184314453"/>
      <w:bookmarkEnd w:id="196"/>
      <w:bookmarkStart w:id="197" w:name="_Toc184312098"/>
      <w:bookmarkEnd w:id="197"/>
      <w:bookmarkStart w:id="198" w:name="_Toc184312085"/>
      <w:bookmarkEnd w:id="198"/>
      <w:bookmarkStart w:id="199" w:name="_Toc184313263"/>
      <w:bookmarkEnd w:id="199"/>
      <w:bookmarkStart w:id="200" w:name="_Toc184310313"/>
      <w:bookmarkEnd w:id="200"/>
      <w:bookmarkStart w:id="201" w:name="_Toc184310327"/>
      <w:bookmarkEnd w:id="201"/>
      <w:bookmarkStart w:id="202" w:name="_Toc184314456"/>
      <w:bookmarkEnd w:id="202"/>
      <w:bookmarkStart w:id="203" w:name="_Toc184308085"/>
      <w:bookmarkEnd w:id="203"/>
      <w:bookmarkStart w:id="204" w:name="_Toc184308061"/>
      <w:bookmarkEnd w:id="204"/>
      <w:bookmarkStart w:id="205" w:name="_Toc184314449"/>
      <w:bookmarkEnd w:id="205"/>
      <w:bookmarkStart w:id="206" w:name="_Toc184313276"/>
      <w:bookmarkEnd w:id="206"/>
      <w:bookmarkStart w:id="207" w:name="_Toc184310273"/>
      <w:bookmarkEnd w:id="207"/>
      <w:bookmarkStart w:id="208" w:name="_Toc184314466"/>
      <w:bookmarkEnd w:id="208"/>
      <w:bookmarkStart w:id="209" w:name="_Toc184308063"/>
      <w:bookmarkEnd w:id="209"/>
      <w:bookmarkStart w:id="210" w:name="_Toc184314482"/>
      <w:bookmarkEnd w:id="210"/>
      <w:bookmarkStart w:id="211" w:name="_Toc184310280"/>
      <w:bookmarkEnd w:id="211"/>
      <w:bookmarkStart w:id="212" w:name="_Toc184312089"/>
      <w:bookmarkEnd w:id="212"/>
      <w:bookmarkStart w:id="213" w:name="_Toc184313277"/>
      <w:bookmarkEnd w:id="213"/>
      <w:bookmarkStart w:id="214" w:name="_Toc184312113"/>
      <w:bookmarkEnd w:id="214"/>
      <w:bookmarkStart w:id="215" w:name="_Toc184310338"/>
      <w:bookmarkEnd w:id="215"/>
      <w:bookmarkStart w:id="216" w:name="_Toc184313301"/>
      <w:bookmarkEnd w:id="216"/>
      <w:bookmarkStart w:id="217" w:name="_Toc184312068"/>
      <w:bookmarkEnd w:id="217"/>
      <w:bookmarkStart w:id="218" w:name="_Toc184314472"/>
      <w:bookmarkEnd w:id="218"/>
      <w:bookmarkStart w:id="219" w:name="_Toc184313291"/>
      <w:bookmarkEnd w:id="219"/>
      <w:bookmarkStart w:id="220" w:name="_Toc184310344"/>
      <w:bookmarkEnd w:id="220"/>
      <w:bookmarkStart w:id="221" w:name="_Toc184312132"/>
      <w:bookmarkEnd w:id="221"/>
      <w:bookmarkStart w:id="222" w:name="_Toc184313289"/>
      <w:bookmarkEnd w:id="222"/>
      <w:bookmarkStart w:id="223" w:name="_Toc184312135"/>
      <w:bookmarkEnd w:id="223"/>
      <w:bookmarkStart w:id="224" w:name="_Toc184310324"/>
      <w:bookmarkEnd w:id="224"/>
      <w:bookmarkStart w:id="225" w:name="_Toc184314412"/>
      <w:bookmarkEnd w:id="225"/>
      <w:bookmarkStart w:id="226" w:name="_Toc184313281"/>
      <w:bookmarkEnd w:id="226"/>
      <w:bookmarkStart w:id="227" w:name="_Toc184308052"/>
      <w:bookmarkEnd w:id="227"/>
      <w:bookmarkStart w:id="228" w:name="_Toc184313290"/>
      <w:bookmarkEnd w:id="228"/>
      <w:bookmarkStart w:id="229" w:name="_Toc184308087"/>
      <w:bookmarkEnd w:id="229"/>
      <w:bookmarkStart w:id="230" w:name="_Toc184312099"/>
      <w:bookmarkEnd w:id="230"/>
      <w:bookmarkStart w:id="231" w:name="_Toc184310272"/>
      <w:bookmarkEnd w:id="231"/>
      <w:bookmarkStart w:id="232" w:name="_Toc184312130"/>
      <w:bookmarkEnd w:id="232"/>
      <w:bookmarkStart w:id="233" w:name="_Toc184314480"/>
      <w:bookmarkEnd w:id="233"/>
      <w:bookmarkStart w:id="234" w:name="_Toc184314435"/>
      <w:bookmarkEnd w:id="234"/>
      <w:bookmarkStart w:id="235" w:name="_Toc184310304"/>
      <w:bookmarkEnd w:id="235"/>
      <w:bookmarkStart w:id="236" w:name="_Toc184308042"/>
      <w:bookmarkEnd w:id="236"/>
      <w:bookmarkStart w:id="237" w:name="_Toc184310342"/>
      <w:bookmarkEnd w:id="237"/>
      <w:bookmarkStart w:id="238" w:name="_Toc184314475"/>
      <w:bookmarkEnd w:id="238"/>
      <w:bookmarkStart w:id="239" w:name="_Toc184314462"/>
      <w:bookmarkEnd w:id="239"/>
      <w:bookmarkStart w:id="240" w:name="_Toc184310329"/>
      <w:bookmarkEnd w:id="240"/>
      <w:bookmarkStart w:id="241" w:name="_Toc184310326"/>
      <w:bookmarkEnd w:id="241"/>
      <w:bookmarkStart w:id="242" w:name="_Toc184313252"/>
      <w:bookmarkEnd w:id="242"/>
      <w:bookmarkStart w:id="243" w:name="_Toc184312074"/>
      <w:bookmarkEnd w:id="243"/>
      <w:bookmarkStart w:id="244" w:name="_Toc184313253"/>
      <w:bookmarkEnd w:id="244"/>
      <w:bookmarkStart w:id="245" w:name="_Toc184313305"/>
      <w:bookmarkEnd w:id="245"/>
      <w:bookmarkStart w:id="246" w:name="_Toc184308093"/>
      <w:bookmarkEnd w:id="246"/>
      <w:bookmarkStart w:id="247" w:name="_Toc184313309"/>
      <w:bookmarkEnd w:id="247"/>
      <w:bookmarkStart w:id="248" w:name="_Toc184314476"/>
      <w:bookmarkEnd w:id="248"/>
      <w:bookmarkStart w:id="249" w:name="_Toc184312108"/>
      <w:bookmarkEnd w:id="249"/>
      <w:bookmarkStart w:id="250" w:name="_Toc184313282"/>
      <w:bookmarkEnd w:id="250"/>
      <w:bookmarkStart w:id="251" w:name="_Toc184312131"/>
      <w:bookmarkEnd w:id="251"/>
      <w:bookmarkStart w:id="252" w:name="_Toc184310341"/>
      <w:bookmarkEnd w:id="252"/>
      <w:bookmarkStart w:id="253" w:name="_Toc184310281"/>
      <w:bookmarkEnd w:id="253"/>
      <w:bookmarkStart w:id="254" w:name="_Toc184308088"/>
      <w:bookmarkEnd w:id="254"/>
      <w:bookmarkStart w:id="255" w:name="_Toc184310334"/>
      <w:bookmarkEnd w:id="255"/>
      <w:bookmarkStart w:id="256" w:name="_Toc184308090"/>
      <w:bookmarkEnd w:id="256"/>
      <w:bookmarkStart w:id="257" w:name="_Toc184314473"/>
      <w:bookmarkEnd w:id="257"/>
      <w:bookmarkStart w:id="258" w:name="_Toc184310335"/>
      <w:bookmarkEnd w:id="258"/>
      <w:bookmarkStart w:id="259" w:name="_Toc184313300"/>
      <w:bookmarkEnd w:id="259"/>
      <w:bookmarkStart w:id="260" w:name="_Toc184312084"/>
      <w:bookmarkEnd w:id="260"/>
      <w:bookmarkStart w:id="261" w:name="_Toc184313297"/>
      <w:bookmarkEnd w:id="261"/>
      <w:bookmarkStart w:id="262" w:name="_Toc184314470"/>
      <w:bookmarkEnd w:id="262"/>
      <w:bookmarkStart w:id="263" w:name="_Toc184310292"/>
      <w:bookmarkEnd w:id="263"/>
      <w:bookmarkStart w:id="264" w:name="_Toc184308086"/>
      <w:bookmarkEnd w:id="264"/>
      <w:bookmarkStart w:id="265" w:name="_Toc184310340"/>
      <w:bookmarkEnd w:id="265"/>
      <w:bookmarkStart w:id="266" w:name="_Toc184314431"/>
      <w:bookmarkEnd w:id="266"/>
      <w:bookmarkStart w:id="267" w:name="_Toc184310310"/>
      <w:bookmarkEnd w:id="267"/>
      <w:bookmarkStart w:id="268" w:name="_Toc184314418"/>
      <w:bookmarkEnd w:id="268"/>
      <w:bookmarkStart w:id="269" w:name="_Toc184308050"/>
      <w:bookmarkEnd w:id="269"/>
      <w:bookmarkStart w:id="270" w:name="_Toc184310278"/>
      <w:bookmarkEnd w:id="270"/>
      <w:bookmarkStart w:id="271" w:name="_Toc184308104"/>
      <w:bookmarkEnd w:id="271"/>
      <w:bookmarkStart w:id="272" w:name="_Toc184314411"/>
      <w:bookmarkEnd w:id="272"/>
      <w:bookmarkStart w:id="273" w:name="_Toc184313303"/>
      <w:bookmarkEnd w:id="273"/>
      <w:bookmarkStart w:id="274" w:name="_Toc184313240"/>
      <w:bookmarkEnd w:id="274"/>
      <w:bookmarkStart w:id="275" w:name="_Toc184312120"/>
      <w:bookmarkEnd w:id="275"/>
      <w:bookmarkStart w:id="276" w:name="_Toc184312087"/>
      <w:bookmarkEnd w:id="276"/>
      <w:bookmarkStart w:id="277" w:name="_Toc184308092"/>
      <w:bookmarkEnd w:id="277"/>
      <w:bookmarkStart w:id="278" w:name="_Toc184313267"/>
      <w:bookmarkEnd w:id="278"/>
      <w:bookmarkStart w:id="279" w:name="_Toc184314447"/>
      <w:bookmarkEnd w:id="279"/>
      <w:bookmarkStart w:id="280" w:name="_Toc184313274"/>
      <w:bookmarkEnd w:id="280"/>
      <w:bookmarkStart w:id="281" w:name="_Toc184312118"/>
      <w:bookmarkEnd w:id="281"/>
      <w:bookmarkStart w:id="282" w:name="_Toc184313244"/>
      <w:bookmarkEnd w:id="282"/>
      <w:bookmarkStart w:id="283" w:name="_Toc184312080"/>
      <w:bookmarkEnd w:id="283"/>
      <w:bookmarkStart w:id="284" w:name="_Toc184314471"/>
      <w:bookmarkEnd w:id="284"/>
      <w:bookmarkStart w:id="285" w:name="_Toc184314477"/>
      <w:bookmarkEnd w:id="285"/>
      <w:bookmarkStart w:id="286" w:name="_Toc184310297"/>
      <w:bookmarkEnd w:id="286"/>
      <w:bookmarkStart w:id="287" w:name="_Toc184314444"/>
      <w:bookmarkEnd w:id="287"/>
      <w:bookmarkStart w:id="288" w:name="_Toc184314420"/>
      <w:bookmarkEnd w:id="288"/>
      <w:bookmarkStart w:id="289" w:name="_Toc184308101"/>
      <w:bookmarkEnd w:id="289"/>
      <w:bookmarkStart w:id="290" w:name="_Toc184308100"/>
      <w:bookmarkEnd w:id="290"/>
      <w:bookmarkStart w:id="291" w:name="_Toc184314468"/>
      <w:bookmarkEnd w:id="291"/>
      <w:bookmarkStart w:id="292" w:name="_Toc184310291"/>
      <w:bookmarkEnd w:id="292"/>
      <w:bookmarkStart w:id="293" w:name="_Toc184310276"/>
      <w:bookmarkEnd w:id="293"/>
      <w:bookmarkStart w:id="294" w:name="_Toc184312115"/>
      <w:bookmarkEnd w:id="294"/>
      <w:bookmarkStart w:id="295" w:name="_Toc184314481"/>
      <w:bookmarkEnd w:id="295"/>
      <w:bookmarkStart w:id="296" w:name="_Toc184314457"/>
      <w:bookmarkEnd w:id="296"/>
      <w:bookmarkStart w:id="297" w:name="_Toc184308040"/>
      <w:bookmarkEnd w:id="297"/>
      <w:bookmarkStart w:id="298" w:name="_Toc184310285"/>
      <w:bookmarkEnd w:id="298"/>
      <w:bookmarkStart w:id="299" w:name="_Toc184312134"/>
      <w:bookmarkEnd w:id="299"/>
      <w:bookmarkStart w:id="300" w:name="_Toc184312090"/>
      <w:bookmarkEnd w:id="300"/>
      <w:bookmarkStart w:id="301" w:name="_Toc184310283"/>
      <w:bookmarkEnd w:id="301"/>
      <w:bookmarkStart w:id="302" w:name="_Toc184308068"/>
      <w:bookmarkEnd w:id="302"/>
      <w:bookmarkStart w:id="303" w:name="_Toc184314421"/>
      <w:bookmarkEnd w:id="303"/>
      <w:bookmarkStart w:id="304" w:name="_Toc184313308"/>
      <w:bookmarkEnd w:id="304"/>
      <w:bookmarkStart w:id="305" w:name="_Toc184310279"/>
      <w:bookmarkEnd w:id="305"/>
      <w:bookmarkStart w:id="306" w:name="_Toc184313266"/>
      <w:bookmarkEnd w:id="306"/>
      <w:bookmarkStart w:id="307" w:name="_Toc184312073"/>
      <w:bookmarkEnd w:id="307"/>
      <w:bookmarkStart w:id="308" w:name="_Toc184313261"/>
      <w:bookmarkEnd w:id="308"/>
      <w:bookmarkStart w:id="309" w:name="_Toc184312081"/>
      <w:bookmarkEnd w:id="309"/>
      <w:bookmarkStart w:id="310" w:name="_Toc184312083"/>
      <w:bookmarkEnd w:id="310"/>
      <w:bookmarkStart w:id="311" w:name="_Toc184314454"/>
      <w:bookmarkEnd w:id="311"/>
      <w:bookmarkStart w:id="312" w:name="_Toc184308039"/>
      <w:bookmarkEnd w:id="312"/>
      <w:bookmarkStart w:id="313" w:name="_Toc184314434"/>
      <w:bookmarkEnd w:id="313"/>
      <w:bookmarkStart w:id="314" w:name="_Toc184310277"/>
      <w:bookmarkEnd w:id="314"/>
      <w:bookmarkStart w:id="315" w:name="_Toc184314410"/>
      <w:bookmarkEnd w:id="315"/>
      <w:bookmarkStart w:id="316" w:name="_Toc184310274"/>
      <w:bookmarkEnd w:id="316"/>
      <w:bookmarkStart w:id="317" w:name="_Toc184314458"/>
      <w:bookmarkEnd w:id="317"/>
      <w:bookmarkStart w:id="318" w:name="_Toc184312110"/>
      <w:bookmarkEnd w:id="318"/>
      <w:bookmarkStart w:id="319" w:name="_Toc184313243"/>
      <w:bookmarkEnd w:id="319"/>
      <w:bookmarkStart w:id="320" w:name="_Toc184313272"/>
      <w:bookmarkEnd w:id="320"/>
      <w:bookmarkStart w:id="321" w:name="_Toc184308082"/>
      <w:bookmarkEnd w:id="321"/>
      <w:bookmarkStart w:id="322" w:name="_Toc184310298"/>
      <w:bookmarkEnd w:id="322"/>
      <w:bookmarkStart w:id="323" w:name="_Toc184308105"/>
      <w:bookmarkEnd w:id="323"/>
      <w:bookmarkStart w:id="324" w:name="_Toc184312086"/>
      <w:bookmarkEnd w:id="324"/>
      <w:bookmarkStart w:id="325" w:name="_Toc184310337"/>
      <w:bookmarkEnd w:id="325"/>
      <w:bookmarkStart w:id="326" w:name="_Toc184313256"/>
      <w:bookmarkEnd w:id="326"/>
      <w:bookmarkStart w:id="327" w:name="_Toc184308070"/>
      <w:bookmarkEnd w:id="327"/>
      <w:bookmarkStart w:id="328" w:name="_Toc184312104"/>
      <w:bookmarkEnd w:id="328"/>
      <w:bookmarkStart w:id="329" w:name="_Toc184314465"/>
      <w:bookmarkEnd w:id="329"/>
      <w:bookmarkStart w:id="330" w:name="_Toc184314460"/>
      <w:bookmarkEnd w:id="330"/>
      <w:bookmarkStart w:id="331" w:name="_Toc184314448"/>
      <w:bookmarkEnd w:id="331"/>
      <w:bookmarkStart w:id="332" w:name="_Toc184313293"/>
      <w:bookmarkEnd w:id="332"/>
      <w:bookmarkStart w:id="333" w:name="_Toc184314440"/>
      <w:bookmarkEnd w:id="333"/>
      <w:bookmarkStart w:id="334" w:name="_Toc184312101"/>
      <w:bookmarkEnd w:id="334"/>
      <w:bookmarkStart w:id="335" w:name="_Toc184310306"/>
      <w:bookmarkEnd w:id="335"/>
      <w:bookmarkStart w:id="336" w:name="_Toc184314479"/>
      <w:bookmarkEnd w:id="336"/>
      <w:bookmarkStart w:id="337" w:name="_Toc184310317"/>
      <w:bookmarkEnd w:id="337"/>
      <w:bookmarkStart w:id="338" w:name="_Toc184308064"/>
      <w:bookmarkEnd w:id="338"/>
      <w:bookmarkStart w:id="339" w:name="_Toc184312077"/>
      <w:bookmarkEnd w:id="339"/>
      <w:bookmarkStart w:id="340" w:name="_Toc184310305"/>
      <w:bookmarkEnd w:id="340"/>
      <w:bookmarkStart w:id="341" w:name="_Toc184310307"/>
      <w:bookmarkEnd w:id="341"/>
      <w:bookmarkStart w:id="342" w:name="_Toc184308102"/>
      <w:bookmarkEnd w:id="342"/>
      <w:bookmarkStart w:id="343" w:name="_Toc184313299"/>
      <w:bookmarkEnd w:id="343"/>
      <w:bookmarkStart w:id="344" w:name="_Toc184312136"/>
      <w:bookmarkEnd w:id="344"/>
      <w:bookmarkStart w:id="345" w:name="_Toc184308078"/>
      <w:bookmarkEnd w:id="345"/>
      <w:bookmarkStart w:id="346" w:name="_Toc184308059"/>
      <w:bookmarkEnd w:id="346"/>
      <w:bookmarkStart w:id="347" w:name="_Toc184312082"/>
      <w:bookmarkEnd w:id="347"/>
      <w:bookmarkStart w:id="348" w:name="_Toc184313286"/>
      <w:bookmarkEnd w:id="348"/>
      <w:bookmarkStart w:id="349" w:name="_Toc184314445"/>
      <w:bookmarkEnd w:id="349"/>
      <w:bookmarkStart w:id="350" w:name="_Toc184308075"/>
      <w:bookmarkEnd w:id="350"/>
      <w:bookmarkStart w:id="351" w:name="_Toc184314423"/>
      <w:bookmarkEnd w:id="351"/>
      <w:bookmarkStart w:id="352" w:name="_Toc184312112"/>
      <w:bookmarkEnd w:id="352"/>
      <w:bookmarkStart w:id="353" w:name="_Toc184310286"/>
      <w:bookmarkEnd w:id="353"/>
      <w:bookmarkStart w:id="354" w:name="_Toc184310331"/>
      <w:bookmarkEnd w:id="354"/>
      <w:bookmarkStart w:id="355" w:name="_Toc184308058"/>
      <w:bookmarkEnd w:id="355"/>
      <w:bookmarkStart w:id="356" w:name="_Toc184308037"/>
      <w:bookmarkEnd w:id="356"/>
      <w:bookmarkStart w:id="357" w:name="_Toc184310328"/>
      <w:bookmarkEnd w:id="357"/>
      <w:bookmarkStart w:id="358" w:name="_Toc184310343"/>
      <w:bookmarkEnd w:id="358"/>
      <w:bookmarkStart w:id="359" w:name="_Toc184313265"/>
      <w:bookmarkEnd w:id="359"/>
      <w:bookmarkStart w:id="360" w:name="_Toc184313238"/>
      <w:bookmarkEnd w:id="360"/>
      <w:bookmarkStart w:id="361" w:name="_Toc184314459"/>
      <w:bookmarkEnd w:id="361"/>
      <w:bookmarkStart w:id="362" w:name="_Toc184310316"/>
      <w:bookmarkEnd w:id="362"/>
      <w:bookmarkStart w:id="363" w:name="_Toc184314469"/>
      <w:bookmarkEnd w:id="363"/>
      <w:bookmarkStart w:id="364" w:name="_Toc184313279"/>
      <w:bookmarkEnd w:id="364"/>
      <w:bookmarkStart w:id="365" w:name="_Toc184310323"/>
      <w:bookmarkEnd w:id="365"/>
      <w:bookmarkStart w:id="366" w:name="_Toc184308071"/>
      <w:bookmarkEnd w:id="366"/>
      <w:bookmarkStart w:id="367" w:name="_Toc184308097"/>
      <w:bookmarkEnd w:id="367"/>
      <w:bookmarkStart w:id="368" w:name="_Toc184308096"/>
      <w:bookmarkEnd w:id="368"/>
      <w:bookmarkStart w:id="369" w:name="_Toc184308055"/>
      <w:bookmarkEnd w:id="369"/>
      <w:bookmarkStart w:id="370" w:name="_Toc184308062"/>
      <w:bookmarkEnd w:id="370"/>
      <w:bookmarkStart w:id="371" w:name="_Toc184308108"/>
      <w:bookmarkEnd w:id="371"/>
      <w:bookmarkStart w:id="372" w:name="_Toc184313241"/>
      <w:bookmarkEnd w:id="372"/>
      <w:bookmarkStart w:id="373" w:name="_Toc184308043"/>
      <w:bookmarkEnd w:id="373"/>
      <w:bookmarkStart w:id="374" w:name="_Toc184314433"/>
      <w:bookmarkEnd w:id="374"/>
      <w:bookmarkStart w:id="375" w:name="_Toc184308080"/>
      <w:bookmarkEnd w:id="375"/>
      <w:bookmarkStart w:id="376" w:name="_Toc184314442"/>
      <w:bookmarkEnd w:id="376"/>
      <w:bookmarkStart w:id="377" w:name="_Toc184308053"/>
      <w:bookmarkEnd w:id="377"/>
      <w:bookmarkStart w:id="378" w:name="_Toc184310287"/>
      <w:bookmarkEnd w:id="378"/>
      <w:bookmarkStart w:id="379" w:name="_Toc184314439"/>
      <w:bookmarkEnd w:id="379"/>
      <w:bookmarkStart w:id="380" w:name="_Toc184312138"/>
      <w:bookmarkEnd w:id="380"/>
      <w:bookmarkStart w:id="381" w:name="_Toc184310295"/>
      <w:bookmarkEnd w:id="381"/>
      <w:bookmarkStart w:id="382" w:name="_Toc184310303"/>
      <w:bookmarkEnd w:id="382"/>
      <w:bookmarkStart w:id="383" w:name="_Toc184312107"/>
      <w:bookmarkEnd w:id="383"/>
      <w:bookmarkStart w:id="384" w:name="_Toc184308103"/>
      <w:bookmarkEnd w:id="384"/>
      <w:bookmarkStart w:id="385" w:name="_Toc184312139"/>
      <w:bookmarkEnd w:id="385"/>
      <w:bookmarkStart w:id="386" w:name="_Toc184308057"/>
      <w:bookmarkEnd w:id="386"/>
      <w:bookmarkStart w:id="387" w:name="_Toc184310319"/>
      <w:bookmarkEnd w:id="387"/>
      <w:bookmarkStart w:id="388" w:name="_Toc184314467"/>
      <w:bookmarkEnd w:id="388"/>
      <w:bookmarkStart w:id="389" w:name="_Toc184314436"/>
      <w:bookmarkEnd w:id="389"/>
      <w:bookmarkStart w:id="390" w:name="_Toc184314427"/>
      <w:bookmarkEnd w:id="390"/>
      <w:bookmarkStart w:id="391" w:name="_Toc184312092"/>
      <w:bookmarkEnd w:id="391"/>
      <w:r>
        <w:rPr>
          <w:rFonts w:hint="eastAsia" w:ascii="仿宋" w:hAnsi="仿宋" w:eastAsia="仿宋" w:cs="仿宋_GB2312"/>
          <w:b/>
          <w:sz w:val="36"/>
          <w:szCs w:val="36"/>
          <w:highlight w:val="none"/>
        </w:rPr>
        <w:t>评标办法</w:t>
      </w:r>
    </w:p>
    <w:p>
      <w:pPr>
        <w:snapToGrid w:val="0"/>
        <w:spacing w:line="360" w:lineRule="auto"/>
        <w:jc w:val="center"/>
        <w:rPr>
          <w:rFonts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3"/>
        <w:tblpPr w:leftFromText="180" w:rightFromText="180" w:vertAnchor="text" w:horzAnchor="page" w:tblpX="1031" w:tblpY="1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2545"/>
        <w:gridCol w:w="4259"/>
        <w:gridCol w:w="59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80"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序号</w:t>
            </w:r>
          </w:p>
        </w:tc>
        <w:tc>
          <w:tcPr>
            <w:tcW w:w="3663" w:type="pct"/>
            <w:gridSpan w:val="2"/>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评标标准</w:t>
            </w:r>
          </w:p>
        </w:tc>
        <w:tc>
          <w:tcPr>
            <w:tcW w:w="318" w:type="pct"/>
            <w:vAlign w:val="center"/>
          </w:tcPr>
          <w:p>
            <w:pPr>
              <w:spacing w:line="360" w:lineRule="auto"/>
              <w:outlineLvl w:val="0"/>
              <w:rPr>
                <w:rFonts w:ascii="仿宋" w:hAnsi="仿宋" w:eastAsia="仿宋" w:cs="仿宋_GB2312"/>
                <w:bCs/>
                <w:sz w:val="24"/>
                <w:highlight w:val="none"/>
              </w:rPr>
            </w:pPr>
            <w:r>
              <w:rPr>
                <w:rFonts w:hint="eastAsia" w:ascii="仿宋" w:hAnsi="仿宋" w:eastAsia="仿宋" w:cs="仿宋_GB2312"/>
                <w:bCs/>
                <w:sz w:val="24"/>
                <w:highlight w:val="none"/>
              </w:rPr>
              <w:t>权重</w:t>
            </w:r>
          </w:p>
        </w:tc>
        <w:tc>
          <w:tcPr>
            <w:tcW w:w="738"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80"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1</w:t>
            </w:r>
          </w:p>
        </w:tc>
        <w:tc>
          <w:tcPr>
            <w:tcW w:w="1370" w:type="pc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管理体系认证</w:t>
            </w:r>
          </w:p>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（0-4分）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供应商具有有效的质量管理体系认证的得1分、环境管理体系认证的得1分、职业健康管理体系认证的得1分、企业诚信管理体系认证的得1分。</w:t>
            </w:r>
          </w:p>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注：管理体系认证证书须提供有效证书复印件，且在中国国家认证认可监督管理委员会(http://www.cnca.gov.cn)网站可以查询，否则不得分；供应商提供的证书复印件中信息与网页不一致的，本项不得分。</w:t>
            </w:r>
          </w:p>
        </w:tc>
        <w:tc>
          <w:tcPr>
            <w:tcW w:w="318" w:type="pct"/>
            <w:vAlign w:val="center"/>
          </w:tcPr>
          <w:p>
            <w:pPr>
              <w:snapToGrid w:val="0"/>
              <w:spacing w:line="30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4</w:t>
            </w:r>
          </w:p>
        </w:tc>
        <w:tc>
          <w:tcPr>
            <w:tcW w:w="738" w:type="pct"/>
            <w:vAlign w:val="center"/>
          </w:tcPr>
          <w:p>
            <w:pP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80" w:type="pc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2</w:t>
            </w:r>
          </w:p>
        </w:tc>
        <w:tc>
          <w:tcPr>
            <w:tcW w:w="1370" w:type="pc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类似项目业绩</w:t>
            </w:r>
          </w:p>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（0-1分）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供应商近两年（2020年1月1日-2021年12月31日）成功承担过5</w:t>
            </w:r>
            <w:r>
              <w:rPr>
                <w:rFonts w:ascii="仿宋" w:hAnsi="仿宋" w:eastAsia="仿宋" w:cs="宋体"/>
                <w:kern w:val="0"/>
                <w:sz w:val="24"/>
                <w:highlight w:val="none"/>
              </w:rPr>
              <w:t>A</w:t>
            </w:r>
            <w:r>
              <w:rPr>
                <w:rFonts w:hint="eastAsia" w:ascii="仿宋" w:hAnsi="仿宋" w:eastAsia="仿宋" w:cs="宋体"/>
                <w:kern w:val="0"/>
                <w:sz w:val="24"/>
                <w:highlight w:val="none"/>
              </w:rPr>
              <w:t>级景区</w:t>
            </w:r>
            <w:r>
              <w:rPr>
                <w:rFonts w:hint="eastAsia" w:ascii="仿宋" w:hAnsi="仿宋" w:eastAsia="仿宋" w:cs="宋体"/>
                <w:kern w:val="0"/>
                <w:sz w:val="24"/>
                <w:highlight w:val="none"/>
                <w:lang w:val="en-US" w:eastAsia="zh-CN"/>
              </w:rPr>
              <w:t>或</w:t>
            </w:r>
            <w:r>
              <w:rPr>
                <w:rFonts w:hint="eastAsia" w:ascii="仿宋" w:hAnsi="仿宋" w:eastAsia="仿宋" w:cs="宋体"/>
                <w:kern w:val="0"/>
                <w:sz w:val="24"/>
                <w:highlight w:val="none"/>
              </w:rPr>
              <w:t>国家一级博物馆安保服务项目的，每提供一个项目业绩得0.5分，最高得1分。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0-1分）</w:t>
            </w:r>
          </w:p>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须同时提供项目合同复印件、客户单位盖章的客户满意度调查表和服务费收款证明作为佐证材料，时间合同签订日为准或以合同期内客户满意度调查表时间或客户出具能证明业绩的反馈材料，未按要求提供完整材料的，不得分。）</w:t>
            </w:r>
          </w:p>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采购人在项目评审直至合同签订、履约期间，有权要求供应商出具响应文件中的合同、客户满意度调查表或服务费收款证明等材料，予以确认其的真实性和有效性，如出现与事实不符等情况，将根据有关规定以“提供虚假材料谋取中标（成交）”予以处理。】</w:t>
            </w:r>
          </w:p>
        </w:tc>
        <w:tc>
          <w:tcPr>
            <w:tcW w:w="318" w:type="pct"/>
            <w:vAlign w:val="center"/>
          </w:tcPr>
          <w:p>
            <w:pPr>
              <w:snapToGrid w:val="0"/>
              <w:spacing w:line="30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1</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80" w:type="pct"/>
            <w:vMerge w:val="restart"/>
            <w:vAlign w:val="center"/>
          </w:tcPr>
          <w:p>
            <w:pPr>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3</w:t>
            </w:r>
          </w:p>
        </w:tc>
        <w:tc>
          <w:tcPr>
            <w:tcW w:w="1370" w:type="pct"/>
            <w:vMerge w:val="restar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拟派遣保安人员情况（0-14分）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供应商提供的保安人员，其中，所有保安人员年龄在45周岁以下的得</w:t>
            </w:r>
            <w:r>
              <w:rPr>
                <w:rFonts w:hint="eastAsia" w:ascii="仿宋" w:hAnsi="仿宋" w:eastAsia="仿宋" w:cs="宋体"/>
                <w:kern w:val="0"/>
                <w:sz w:val="24"/>
                <w:highlight w:val="none"/>
                <w:lang w:val="en-US" w:eastAsia="zh-CN"/>
              </w:rPr>
              <w:t>4</w:t>
            </w:r>
            <w:r>
              <w:rPr>
                <w:rFonts w:hint="eastAsia" w:ascii="仿宋" w:hAnsi="仿宋" w:eastAsia="仿宋" w:cs="宋体"/>
                <w:kern w:val="0"/>
                <w:sz w:val="24"/>
                <w:highlight w:val="none"/>
              </w:rPr>
              <w:t>分；在45周岁（含）以上，50周岁（不含）以下的得</w:t>
            </w:r>
            <w:r>
              <w:rPr>
                <w:rFonts w:hint="eastAsia" w:ascii="仿宋" w:hAnsi="仿宋" w:eastAsia="仿宋" w:cs="宋体"/>
                <w:kern w:val="0"/>
                <w:sz w:val="24"/>
                <w:highlight w:val="none"/>
                <w:lang w:val="en-US" w:eastAsia="zh-CN"/>
              </w:rPr>
              <w:t>2</w:t>
            </w:r>
            <w:r>
              <w:rPr>
                <w:rFonts w:hint="eastAsia" w:ascii="仿宋" w:hAnsi="仿宋" w:eastAsia="仿宋" w:cs="宋体"/>
                <w:kern w:val="0"/>
                <w:sz w:val="24"/>
                <w:highlight w:val="none"/>
              </w:rPr>
              <w:t>分；50周岁以上，采购需求年龄要求以内的得1分。（须同时提供以上人员保安员上岗证复印件、在响应供应商近一个月社保缴纳记录、意外险参保记录以及提供供应商在本项目服务期间专职为本项目服务的承诺函，缺任一一项不得分）。</w:t>
            </w:r>
          </w:p>
        </w:tc>
        <w:tc>
          <w:tcPr>
            <w:tcW w:w="318" w:type="pct"/>
            <w:vAlign w:val="center"/>
          </w:tcPr>
          <w:p>
            <w:pPr>
              <w:autoSpaceDE w:val="0"/>
              <w:snapToGrid w:val="0"/>
              <w:spacing w:line="300" w:lineRule="auto"/>
              <w:jc w:val="center"/>
              <w:rPr>
                <w:rFonts w:hint="default" w:ascii="仿宋" w:hAnsi="仿宋" w:eastAsia="仿宋" w:cs="宋体"/>
                <w:kern w:val="0"/>
                <w:sz w:val="24"/>
                <w:highlight w:val="none"/>
                <w:lang w:val="en-US" w:eastAsia="zh-CN"/>
              </w:rPr>
            </w:pPr>
            <w:r>
              <w:rPr>
                <w:rFonts w:hint="eastAsia" w:ascii="仿宋" w:hAnsi="仿宋" w:eastAsia="仿宋" w:cs="宋体"/>
                <w:kern w:val="0"/>
                <w:sz w:val="24"/>
                <w:highlight w:val="none"/>
                <w:lang w:val="en-US" w:eastAsia="zh-CN"/>
              </w:rPr>
              <w:t>4</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widowControl/>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hint="default" w:ascii="仿宋" w:hAnsi="仿宋" w:eastAsia="仿宋" w:cs="宋体"/>
                <w:kern w:val="0"/>
                <w:sz w:val="24"/>
                <w:highlight w:val="none"/>
                <w:lang w:val="en-US" w:eastAsia="zh-CN"/>
              </w:rPr>
            </w:pPr>
            <w:r>
              <w:rPr>
                <w:rFonts w:hint="eastAsia" w:ascii="仿宋" w:hAnsi="仿宋" w:eastAsia="仿宋" w:cs="宋体"/>
                <w:snapToGrid w:val="0"/>
                <w:kern w:val="0"/>
                <w:sz w:val="24"/>
                <w:highlight w:val="none"/>
              </w:rPr>
              <w:t>项目负责人及管理人员必须具有类似项目的管理实施经验、具备较高的政治思想素养和业务水平和有较强的组织协调能力。持有保安管理技师2级证书，年龄在4</w:t>
            </w:r>
            <w:r>
              <w:rPr>
                <w:rFonts w:ascii="仿宋" w:hAnsi="仿宋" w:eastAsia="仿宋" w:cs="宋体"/>
                <w:snapToGrid w:val="0"/>
                <w:kern w:val="0"/>
                <w:sz w:val="24"/>
                <w:highlight w:val="none"/>
              </w:rPr>
              <w:t>5</w:t>
            </w:r>
            <w:r>
              <w:rPr>
                <w:rFonts w:hint="eastAsia" w:ascii="仿宋" w:hAnsi="仿宋" w:eastAsia="仿宋" w:cs="宋体"/>
                <w:snapToGrid w:val="0"/>
                <w:kern w:val="0"/>
                <w:sz w:val="24"/>
                <w:highlight w:val="none"/>
              </w:rPr>
              <w:t>周岁以下，受采购人的直接领导（党员优先）。提供客户单位管理实施经验证明及相关证书全部满足得</w:t>
            </w:r>
            <w:r>
              <w:rPr>
                <w:rFonts w:hint="eastAsia" w:ascii="仿宋" w:hAnsi="仿宋" w:eastAsia="仿宋" w:cs="宋体"/>
                <w:snapToGrid w:val="0"/>
                <w:kern w:val="0"/>
                <w:sz w:val="24"/>
                <w:highlight w:val="none"/>
                <w:lang w:val="en-US" w:eastAsia="zh-CN"/>
              </w:rPr>
              <w:t>5</w:t>
            </w:r>
            <w:r>
              <w:rPr>
                <w:rFonts w:hint="eastAsia" w:ascii="仿宋" w:hAnsi="仿宋" w:eastAsia="仿宋" w:cs="宋体"/>
                <w:snapToGrid w:val="0"/>
                <w:kern w:val="0"/>
                <w:sz w:val="24"/>
                <w:highlight w:val="none"/>
              </w:rPr>
              <w:t>分，部分满足得</w:t>
            </w:r>
            <w:r>
              <w:rPr>
                <w:rFonts w:hint="eastAsia" w:ascii="仿宋" w:hAnsi="仿宋" w:eastAsia="仿宋" w:cs="宋体"/>
                <w:snapToGrid w:val="0"/>
                <w:kern w:val="0"/>
                <w:sz w:val="24"/>
                <w:highlight w:val="none"/>
                <w:lang w:val="en-US" w:eastAsia="zh-CN"/>
              </w:rPr>
              <w:t>2</w:t>
            </w:r>
            <w:r>
              <w:rPr>
                <w:rFonts w:ascii="仿宋" w:hAnsi="仿宋" w:eastAsia="仿宋" w:cs="宋体"/>
                <w:snapToGrid w:val="0"/>
                <w:kern w:val="0"/>
                <w:sz w:val="24"/>
                <w:highlight w:val="none"/>
              </w:rPr>
              <w:t>.5</w:t>
            </w:r>
            <w:r>
              <w:rPr>
                <w:rFonts w:hint="eastAsia" w:ascii="仿宋" w:hAnsi="仿宋" w:eastAsia="仿宋" w:cs="宋体"/>
                <w:snapToGrid w:val="0"/>
                <w:kern w:val="0"/>
                <w:sz w:val="24"/>
                <w:highlight w:val="none"/>
              </w:rPr>
              <w:t>分</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lang w:val="en-US" w:eastAsia="zh-CN"/>
              </w:rPr>
              <w:t>不满足的得0分。</w:t>
            </w:r>
          </w:p>
        </w:tc>
        <w:tc>
          <w:tcPr>
            <w:tcW w:w="318" w:type="pct"/>
            <w:vAlign w:val="center"/>
          </w:tcPr>
          <w:p>
            <w:pPr>
              <w:autoSpaceDE w:val="0"/>
              <w:snapToGrid w:val="0"/>
              <w:spacing w:line="300" w:lineRule="auto"/>
              <w:jc w:val="center"/>
              <w:rPr>
                <w:rFonts w:hint="eastAsia" w:ascii="仿宋" w:hAnsi="仿宋" w:eastAsia="仿宋" w:cs="宋体"/>
                <w:kern w:val="0"/>
                <w:sz w:val="24"/>
                <w:highlight w:val="none"/>
                <w:lang w:eastAsia="zh-CN"/>
              </w:rPr>
            </w:pPr>
            <w:r>
              <w:rPr>
                <w:rFonts w:hint="eastAsia" w:ascii="仿宋" w:hAnsi="仿宋" w:eastAsia="仿宋" w:cs="宋体"/>
                <w:kern w:val="0"/>
                <w:sz w:val="24"/>
                <w:highlight w:val="none"/>
                <w:lang w:val="en-US" w:eastAsia="zh-CN"/>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widowControl/>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hint="eastAsia"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1.</w:t>
            </w:r>
            <w:r>
              <w:rPr>
                <w:rFonts w:hint="eastAsia" w:ascii="仿宋" w:hAnsi="仿宋" w:eastAsia="仿宋" w:cs="宋体"/>
                <w:snapToGrid w:val="0"/>
                <w:kern w:val="0"/>
                <w:sz w:val="24"/>
                <w:highlight w:val="none"/>
              </w:rPr>
              <w:t>管理人员</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rPr>
              <w:t>项目管理总负责</w:t>
            </w:r>
            <w:r>
              <w:rPr>
                <w:rFonts w:hint="eastAsia" w:ascii="仿宋" w:hAnsi="仿宋" w:eastAsia="仿宋" w:cs="宋体"/>
                <w:snapToGrid w:val="0"/>
                <w:kern w:val="0"/>
                <w:sz w:val="24"/>
                <w:highlight w:val="none"/>
                <w:lang w:val="en-US" w:eastAsia="zh-CN"/>
              </w:rPr>
              <w:t>除外</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lang w:val="en-US" w:eastAsia="zh-CN"/>
              </w:rPr>
              <w:t>在</w:t>
            </w:r>
            <w:r>
              <w:rPr>
                <w:rFonts w:hint="eastAsia" w:ascii="仿宋" w:hAnsi="仿宋" w:eastAsia="仿宋" w:cs="宋体"/>
                <w:snapToGrid w:val="0"/>
                <w:kern w:val="0"/>
                <w:sz w:val="24"/>
                <w:highlight w:val="none"/>
              </w:rPr>
              <w:t>6人</w:t>
            </w:r>
            <w:r>
              <w:rPr>
                <w:rFonts w:hint="eastAsia" w:ascii="仿宋" w:hAnsi="仿宋" w:eastAsia="仿宋" w:cs="宋体"/>
                <w:snapToGrid w:val="0"/>
                <w:kern w:val="0"/>
                <w:sz w:val="24"/>
                <w:highlight w:val="none"/>
                <w:lang w:val="en-US" w:eastAsia="zh-CN"/>
              </w:rPr>
              <w:t>基础上</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rPr>
              <w:t>持有保安管理技师2级证书</w:t>
            </w:r>
            <w:r>
              <w:rPr>
                <w:rFonts w:hint="eastAsia" w:ascii="仿宋" w:hAnsi="仿宋" w:eastAsia="仿宋" w:cs="宋体"/>
                <w:snapToGrid w:val="0"/>
                <w:kern w:val="0"/>
                <w:sz w:val="24"/>
                <w:highlight w:val="none"/>
                <w:lang w:val="en-US" w:eastAsia="zh-CN"/>
              </w:rPr>
              <w:t>的，每增加1人得1分，最多得3分</w:t>
            </w:r>
            <w:r>
              <w:rPr>
                <w:rFonts w:hint="eastAsia" w:ascii="仿宋" w:hAnsi="仿宋" w:eastAsia="仿宋" w:cs="宋体"/>
                <w:snapToGrid w:val="0"/>
                <w:kern w:val="0"/>
                <w:sz w:val="24"/>
                <w:highlight w:val="none"/>
                <w:lang w:eastAsia="zh-CN"/>
              </w:rPr>
              <w:t>。</w:t>
            </w:r>
          </w:p>
          <w:p>
            <w:pPr>
              <w:widowControl/>
              <w:spacing w:line="27" w:lineRule="atLeast"/>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lang w:val="en-US" w:eastAsia="zh-CN"/>
              </w:rPr>
              <w:t>2.拟投入人员中</w:t>
            </w:r>
            <w:r>
              <w:rPr>
                <w:rFonts w:hint="eastAsia" w:ascii="仿宋" w:hAnsi="仿宋" w:eastAsia="仿宋" w:cs="宋体"/>
                <w:snapToGrid w:val="0"/>
                <w:kern w:val="0"/>
                <w:sz w:val="24"/>
                <w:highlight w:val="none"/>
              </w:rPr>
              <w:t>持有《建（构）筑物消防员职业资格证》的人员8人</w:t>
            </w:r>
            <w:r>
              <w:rPr>
                <w:rFonts w:hint="eastAsia" w:ascii="仿宋" w:hAnsi="仿宋" w:eastAsia="仿宋" w:cs="宋体"/>
                <w:snapToGrid w:val="0"/>
                <w:kern w:val="0"/>
                <w:sz w:val="24"/>
                <w:highlight w:val="none"/>
                <w:lang w:val="en-US" w:eastAsia="zh-CN"/>
              </w:rPr>
              <w:t>基础上</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lang w:val="en-US" w:eastAsia="zh-CN"/>
              </w:rPr>
              <w:t>每增加1人得1分，最多得1分。</w:t>
            </w:r>
          </w:p>
          <w:p>
            <w:pPr>
              <w:widowControl/>
              <w:spacing w:line="27" w:lineRule="atLeast"/>
              <w:jc w:val="left"/>
              <w:rPr>
                <w:rFonts w:hint="eastAsia" w:ascii="仿宋" w:hAnsi="仿宋" w:eastAsia="仿宋" w:cs="宋体"/>
                <w:snapToGrid w:val="0"/>
                <w:kern w:val="0"/>
                <w:sz w:val="24"/>
                <w:highlight w:val="none"/>
                <w:lang w:val="en-US" w:eastAsia="zh-CN"/>
              </w:rPr>
            </w:pPr>
            <w:r>
              <w:rPr>
                <w:rFonts w:hint="eastAsia" w:ascii="仿宋" w:hAnsi="仿宋" w:eastAsia="仿宋" w:cs="宋体"/>
                <w:snapToGrid w:val="0"/>
                <w:kern w:val="0"/>
                <w:sz w:val="24"/>
                <w:highlight w:val="none"/>
                <w:lang w:val="en-US" w:eastAsia="zh-CN"/>
              </w:rPr>
              <w:t>3.</w:t>
            </w:r>
            <w:r>
              <w:rPr>
                <w:rFonts w:hint="eastAsia" w:ascii="仿宋" w:hAnsi="仿宋" w:eastAsia="仿宋" w:cs="宋体"/>
                <w:snapToGrid w:val="0"/>
                <w:kern w:val="0"/>
                <w:sz w:val="24"/>
                <w:highlight w:val="none"/>
              </w:rPr>
              <w:t>安检设施岗位保安员需持证上岗（安检仪操作相关证件）</w:t>
            </w:r>
            <w:r>
              <w:rPr>
                <w:rFonts w:hint="eastAsia" w:ascii="仿宋" w:hAnsi="仿宋" w:eastAsia="仿宋" w:cs="宋体"/>
                <w:snapToGrid w:val="0"/>
                <w:kern w:val="0"/>
                <w:sz w:val="24"/>
                <w:highlight w:val="none"/>
                <w:lang w:eastAsia="zh-CN"/>
              </w:rPr>
              <w:t>，</w:t>
            </w:r>
            <w:r>
              <w:rPr>
                <w:rFonts w:hint="eastAsia" w:ascii="仿宋" w:hAnsi="仿宋" w:eastAsia="仿宋" w:cs="宋体"/>
                <w:snapToGrid w:val="0"/>
                <w:kern w:val="0"/>
                <w:sz w:val="24"/>
                <w:highlight w:val="none"/>
                <w:lang w:val="en-US" w:eastAsia="zh-CN"/>
              </w:rPr>
              <w:t>每提供1人得0.5分，最多得1分。</w:t>
            </w:r>
          </w:p>
          <w:p>
            <w:pPr>
              <w:widowControl/>
              <w:spacing w:line="27" w:lineRule="atLeast"/>
              <w:jc w:val="left"/>
              <w:rPr>
                <w:rFonts w:hint="eastAsia" w:ascii="仿宋" w:hAnsi="仿宋" w:eastAsia="仿宋" w:cs="宋体"/>
                <w:snapToGrid w:val="0"/>
                <w:kern w:val="0"/>
                <w:sz w:val="24"/>
                <w:highlight w:val="none"/>
              </w:rPr>
            </w:pPr>
            <w:r>
              <w:rPr>
                <w:rFonts w:hint="eastAsia" w:ascii="仿宋" w:hAnsi="仿宋" w:eastAsia="仿宋" w:cs="宋体"/>
                <w:snapToGrid w:val="0"/>
                <w:kern w:val="0"/>
                <w:sz w:val="24"/>
                <w:highlight w:val="none"/>
                <w:lang w:val="en-US" w:eastAsia="zh-CN"/>
              </w:rPr>
              <w:t>以上人员需提供证书复印件及本单位为其缴纳的社保证明。</w:t>
            </w:r>
          </w:p>
        </w:tc>
        <w:tc>
          <w:tcPr>
            <w:tcW w:w="318" w:type="pct"/>
            <w:vAlign w:val="center"/>
          </w:tcPr>
          <w:p>
            <w:pPr>
              <w:autoSpaceDE w:val="0"/>
              <w:snapToGrid w:val="0"/>
              <w:spacing w:line="30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80" w:type="pct"/>
            <w:vMerge w:val="restar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4</w:t>
            </w:r>
          </w:p>
        </w:tc>
        <w:tc>
          <w:tcPr>
            <w:tcW w:w="1370" w:type="pct"/>
            <w:vMerge w:val="restar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供应商响应方案（0-</w:t>
            </w:r>
            <w:r>
              <w:rPr>
                <w:rFonts w:ascii="仿宋" w:hAnsi="仿宋" w:eastAsia="仿宋" w:cs="宋体"/>
                <w:kern w:val="0"/>
                <w:sz w:val="24"/>
                <w:highlight w:val="none"/>
              </w:rPr>
              <w:t>25</w:t>
            </w:r>
            <w:r>
              <w:rPr>
                <w:rFonts w:hint="eastAsia" w:ascii="仿宋" w:hAnsi="仿宋" w:eastAsia="仿宋" w:cs="宋体"/>
                <w:kern w:val="0"/>
                <w:sz w:val="24"/>
                <w:highlight w:val="none"/>
              </w:rPr>
              <w:t>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供应商响应方案的服务特点、服务定位、目标、管理模式等符合博物馆总馆安保管理特色。根据提供的方案的切合实际，且安全可行。符合的得5分，部分符合的得2分，不符合的不得分。</w:t>
            </w:r>
          </w:p>
        </w:tc>
        <w:tc>
          <w:tcPr>
            <w:tcW w:w="318" w:type="pct"/>
            <w:vAlign w:val="center"/>
          </w:tcPr>
          <w:p>
            <w:pPr>
              <w:autoSpaceDE w:val="0"/>
              <w:snapToGrid w:val="0"/>
              <w:spacing w:line="300" w:lineRule="auto"/>
              <w:jc w:val="center"/>
              <w:rPr>
                <w:rFonts w:ascii="仿宋" w:hAnsi="仿宋" w:eastAsia="仿宋" w:cs="宋体"/>
                <w:kern w:val="0"/>
                <w:sz w:val="24"/>
                <w:highlight w:val="none"/>
              </w:rPr>
            </w:pPr>
            <w:r>
              <w:rPr>
                <w:rFonts w:hint="eastAsia" w:ascii="仿宋" w:hAnsi="仿宋" w:eastAsia="仿宋" w:cs="宋体"/>
                <w:kern w:val="0"/>
                <w:sz w:val="24"/>
                <w:highlight w:val="none"/>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对</w:t>
            </w:r>
            <w:r>
              <w:rPr>
                <w:rFonts w:hint="eastAsia" w:ascii="仿宋" w:hAnsi="仿宋" w:eastAsia="仿宋" w:cs="仿宋"/>
                <w:b w:val="0"/>
                <w:bCs/>
                <w:sz w:val="24"/>
                <w:highlight w:val="none"/>
              </w:rPr>
              <w:t>日常门岗登统记、执勤、24小时治安巡查、文物保护（含野外文物）、博物馆出入口安检、护林守土、安全防范、安检设施操作及维护、**、消防（</w:t>
            </w:r>
            <w:r>
              <w:rPr>
                <w:rFonts w:hint="eastAsia" w:ascii="仿宋" w:hAnsi="仿宋" w:eastAsia="仿宋" w:cs="仿宋"/>
                <w:b w:val="0"/>
                <w:bCs/>
                <w:sz w:val="24"/>
                <w:highlight w:val="none"/>
                <w:lang w:val="en-US" w:eastAsia="zh-CN"/>
              </w:rPr>
              <w:t>含</w:t>
            </w:r>
            <w:r>
              <w:rPr>
                <w:rFonts w:hint="eastAsia" w:ascii="仿宋" w:hAnsi="仿宋" w:eastAsia="仿宋" w:cs="仿宋"/>
                <w:b w:val="0"/>
                <w:bCs/>
                <w:sz w:val="24"/>
                <w:highlight w:val="none"/>
              </w:rPr>
              <w:t>微型消防站、</w:t>
            </w:r>
            <w:r>
              <w:rPr>
                <w:rFonts w:hint="eastAsia" w:ascii="仿宋" w:hAnsi="仿宋" w:eastAsia="仿宋" w:cs="仿宋"/>
                <w:b w:val="0"/>
                <w:bCs/>
                <w:sz w:val="24"/>
                <w:highlight w:val="none"/>
                <w:lang w:val="en-US" w:eastAsia="zh-CN"/>
              </w:rPr>
              <w:t>消防巡查、</w:t>
            </w:r>
            <w:r>
              <w:rPr>
                <w:rFonts w:hint="eastAsia" w:ascii="仿宋" w:hAnsi="仿宋" w:eastAsia="仿宋" w:cs="仿宋"/>
                <w:b w:val="0"/>
                <w:bCs/>
                <w:sz w:val="24"/>
                <w:highlight w:val="none"/>
              </w:rPr>
              <w:t>消控</w:t>
            </w:r>
            <w:r>
              <w:rPr>
                <w:rFonts w:hint="eastAsia" w:ascii="仿宋" w:hAnsi="仿宋" w:eastAsia="仿宋" w:cs="仿宋"/>
                <w:b w:val="0"/>
                <w:bCs/>
                <w:sz w:val="24"/>
                <w:highlight w:val="none"/>
                <w:lang w:val="en-US" w:eastAsia="zh-CN"/>
              </w:rPr>
              <w:t>值班）</w:t>
            </w:r>
            <w:r>
              <w:rPr>
                <w:rFonts w:hint="eastAsia" w:ascii="仿宋" w:hAnsi="仿宋" w:eastAsia="仿宋" w:cs="仿宋"/>
                <w:b w:val="0"/>
                <w:bCs/>
                <w:sz w:val="24"/>
                <w:highlight w:val="none"/>
              </w:rPr>
              <w:t>、水体、视频监控管理、车辆停放管理、疫情防控，以及项目周边治安状况的联防联治等等</w:t>
            </w:r>
            <w:r>
              <w:rPr>
                <w:rFonts w:hint="eastAsia" w:ascii="仿宋" w:hAnsi="仿宋" w:eastAsia="仿宋" w:cs="宋体"/>
                <w:kern w:val="0"/>
                <w:sz w:val="24"/>
                <w:highlight w:val="none"/>
              </w:rPr>
              <w:t>工作内容认知清晰。符合的得5分，部分符合的得2分，不符合的不得分。</w:t>
            </w:r>
          </w:p>
        </w:tc>
        <w:tc>
          <w:tcPr>
            <w:tcW w:w="318" w:type="pct"/>
            <w:vAlign w:val="center"/>
          </w:tcPr>
          <w:p>
            <w:pPr>
              <w:spacing w:line="360" w:lineRule="auto"/>
              <w:jc w:val="center"/>
              <w:outlineLvl w:val="0"/>
              <w:rPr>
                <w:rFonts w:ascii="仿宋" w:hAnsi="仿宋" w:eastAsia="仿宋" w:cs="宋体"/>
                <w:kern w:val="0"/>
                <w:sz w:val="24"/>
                <w:highlight w:val="none"/>
              </w:rPr>
            </w:pPr>
            <w:r>
              <w:rPr>
                <w:rFonts w:hint="eastAsia" w:ascii="仿宋" w:hAnsi="仿宋" w:eastAsia="仿宋" w:cs="宋体"/>
                <w:kern w:val="0"/>
                <w:sz w:val="24"/>
                <w:highlight w:val="none"/>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依据管理要求，供应商提供大型群众性活动临时保卫队伍管理、服务方案。符合的得</w:t>
            </w:r>
            <w:r>
              <w:rPr>
                <w:rFonts w:ascii="仿宋" w:hAnsi="仿宋" w:eastAsia="仿宋" w:cs="宋体"/>
                <w:kern w:val="0"/>
                <w:sz w:val="24"/>
                <w:highlight w:val="none"/>
              </w:rPr>
              <w:t>5分，部分符合的得2分，不符合的不得分。</w:t>
            </w:r>
          </w:p>
        </w:tc>
        <w:tc>
          <w:tcPr>
            <w:tcW w:w="318" w:type="pct"/>
            <w:vAlign w:val="center"/>
          </w:tcPr>
          <w:p>
            <w:pPr>
              <w:spacing w:line="360" w:lineRule="auto"/>
              <w:jc w:val="center"/>
              <w:outlineLvl w:val="0"/>
              <w:rPr>
                <w:rFonts w:ascii="仿宋" w:hAnsi="仿宋" w:eastAsia="仿宋" w:cs="宋体"/>
                <w:kern w:val="0"/>
                <w:sz w:val="24"/>
                <w:highlight w:val="none"/>
              </w:rPr>
            </w:pPr>
            <w:r>
              <w:rPr>
                <w:rFonts w:hint="eastAsia" w:ascii="仿宋" w:hAnsi="仿宋" w:eastAsia="仿宋" w:cs="宋体"/>
                <w:kern w:val="0"/>
                <w:sz w:val="24"/>
                <w:highlight w:val="none"/>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依据管理要求，供应商能根据博物馆、**怖袭击防范重点目标及消防安全重点单位特点提供安保管理重点方案。符合的得5分，部分符合的得2分，不符合的不得分。</w:t>
            </w:r>
          </w:p>
        </w:tc>
        <w:tc>
          <w:tcPr>
            <w:tcW w:w="318" w:type="pct"/>
            <w:vAlign w:val="center"/>
          </w:tcPr>
          <w:p>
            <w:pPr>
              <w:spacing w:line="360" w:lineRule="auto"/>
              <w:jc w:val="center"/>
              <w:outlineLvl w:val="0"/>
              <w:rPr>
                <w:rFonts w:ascii="仿宋" w:hAnsi="仿宋" w:eastAsia="仿宋" w:cs="宋体"/>
                <w:kern w:val="0"/>
                <w:sz w:val="24"/>
                <w:highlight w:val="none"/>
              </w:rPr>
            </w:pPr>
            <w:r>
              <w:rPr>
                <w:rFonts w:ascii="仿宋" w:hAnsi="仿宋" w:eastAsia="仿宋" w:cs="宋体"/>
                <w:kern w:val="0"/>
                <w:sz w:val="24"/>
                <w:highlight w:val="none"/>
              </w:rPr>
              <w:t>5</w:t>
            </w:r>
          </w:p>
        </w:tc>
        <w:tc>
          <w:tcPr>
            <w:tcW w:w="738" w:type="pct"/>
          </w:tcPr>
          <w:p>
            <w:pPr>
              <w:spacing w:line="360" w:lineRule="auto"/>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 w:type="pct"/>
            <w:vMerge w:val="continue"/>
            <w:vAlign w:val="center"/>
          </w:tcPr>
          <w:p>
            <w:pPr>
              <w:jc w:val="center"/>
              <w:rPr>
                <w:rFonts w:ascii="仿宋" w:hAnsi="仿宋" w:eastAsia="仿宋" w:cs="仿宋_GB2312"/>
                <w:bCs/>
                <w:sz w:val="24"/>
                <w:highlight w:val="none"/>
              </w:rPr>
            </w:pPr>
          </w:p>
        </w:tc>
        <w:tc>
          <w:tcPr>
            <w:tcW w:w="1370" w:type="pct"/>
            <w:vMerge w:val="continue"/>
            <w:vAlign w:val="center"/>
          </w:tcPr>
          <w:p>
            <w:pP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依据管理要求，供应商提供保安员安全教育及安全措施方案。符合的得5分，部分符合的得2分，不符合的不得分。</w:t>
            </w:r>
          </w:p>
        </w:tc>
        <w:tc>
          <w:tcPr>
            <w:tcW w:w="318" w:type="pct"/>
            <w:vAlign w:val="center"/>
          </w:tcPr>
          <w:p>
            <w:pPr>
              <w:jc w:val="center"/>
              <w:rPr>
                <w:rFonts w:ascii="仿宋" w:hAnsi="仿宋" w:eastAsia="仿宋" w:cs="宋体"/>
                <w:kern w:val="0"/>
                <w:sz w:val="24"/>
                <w:highlight w:val="none"/>
              </w:rPr>
            </w:pPr>
            <w:r>
              <w:rPr>
                <w:rFonts w:hint="eastAsia" w:ascii="仿宋" w:hAnsi="仿宋" w:eastAsia="仿宋" w:cs="宋体"/>
                <w:kern w:val="0"/>
                <w:sz w:val="24"/>
                <w:highlight w:val="none"/>
              </w:rPr>
              <w:t>5</w:t>
            </w:r>
          </w:p>
        </w:tc>
        <w:tc>
          <w:tcPr>
            <w:tcW w:w="738" w:type="pct"/>
          </w:tcPr>
          <w:p>
            <w:pPr>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80"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5</w:t>
            </w:r>
          </w:p>
        </w:tc>
        <w:tc>
          <w:tcPr>
            <w:tcW w:w="1370" w:type="pc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管理制度情况</w:t>
            </w:r>
          </w:p>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（0-8分）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供应商有完善的管理制度、工作标准、实施时间计划、档案管理制度、舆情制度、固定资产管理方案及固定资产清册、疫情防控制度，全部符合得8分，每缺一项扣1分，扣完为止。</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8</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80"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6</w:t>
            </w:r>
          </w:p>
        </w:tc>
        <w:tc>
          <w:tcPr>
            <w:tcW w:w="1370" w:type="pc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人员服装及装备（0-5分）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按岗位、人员数量等各项要求配备保安人员所使用警械、对讲机、安检仪等装备数量充足，装备类型、功能有利于本项目的实施开展，有定期对装备进行维护保养的计划，使用及收纳有明确规范的。符合的得5分，部分符合的得2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0" w:type="pct"/>
            <w:vMerge w:val="restar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7</w:t>
            </w:r>
          </w:p>
        </w:tc>
        <w:tc>
          <w:tcPr>
            <w:tcW w:w="1370" w:type="pct"/>
            <w:vMerge w:val="restar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培训</w:t>
            </w:r>
          </w:p>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（0-1</w:t>
            </w:r>
            <w:r>
              <w:rPr>
                <w:rFonts w:ascii="仿宋" w:hAnsi="仿宋" w:eastAsia="仿宋" w:cs="宋体"/>
                <w:kern w:val="0"/>
                <w:sz w:val="24"/>
                <w:highlight w:val="none"/>
              </w:rPr>
              <w:t>3</w:t>
            </w:r>
            <w:r>
              <w:rPr>
                <w:rFonts w:hint="eastAsia" w:ascii="仿宋" w:hAnsi="仿宋" w:eastAsia="仿宋" w:cs="宋体"/>
                <w:kern w:val="0"/>
                <w:sz w:val="24"/>
                <w:highlight w:val="none"/>
              </w:rPr>
              <w:t>分）</w:t>
            </w: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供应商能提供每季度2次的岗位培训，且培训时段、间隔设置合理的得</w:t>
            </w:r>
            <w:r>
              <w:rPr>
                <w:rFonts w:ascii="仿宋" w:hAnsi="仿宋" w:eastAsia="仿宋" w:cs="宋体"/>
                <w:kern w:val="0"/>
                <w:sz w:val="24"/>
                <w:highlight w:val="none"/>
              </w:rPr>
              <w:t>3</w:t>
            </w:r>
            <w:r>
              <w:rPr>
                <w:rFonts w:hint="eastAsia" w:ascii="仿宋" w:hAnsi="仿宋" w:eastAsia="仿宋" w:cs="宋体"/>
                <w:kern w:val="0"/>
                <w:sz w:val="24"/>
                <w:highlight w:val="none"/>
              </w:rPr>
              <w:t>分；供应商能提供每季度3次及以上的岗位培训，能与属地相关单位建立岗位技能及三防培训计划得5分；其他情况不得分。本项最高得5分。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widowControl/>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供应商自有警械、对讲、安检仪、监控各项软硬件，能结合理论与实际操作对各项器具熟练使用进行有效培训。符合要求的得4分，部分符合的得2分，不符合的不得分。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4</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widowControl/>
              <w:spacing w:line="27" w:lineRule="atLeast"/>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rPr>
              <w:t>供应商提供公安联防联动相关培训计划，在发生突发事件时，能够按照属地公安机关制定的工作预案及时进行响应方案。符合要求的得4分，部分符合的得2分，不符合的不得分。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4</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80" w:type="pct"/>
            <w:vMerge w:val="restar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8</w:t>
            </w:r>
          </w:p>
        </w:tc>
        <w:tc>
          <w:tcPr>
            <w:tcW w:w="1370" w:type="pct"/>
            <w:vMerge w:val="restart"/>
            <w:vAlign w:val="center"/>
          </w:tcPr>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应急处置方案</w:t>
            </w:r>
          </w:p>
          <w:p>
            <w:pPr>
              <w:widowControl/>
              <w:spacing w:line="27" w:lineRule="atLeast"/>
              <w:jc w:val="center"/>
              <w:rPr>
                <w:rFonts w:ascii="仿宋" w:hAnsi="仿宋" w:eastAsia="仿宋" w:cs="宋体"/>
                <w:kern w:val="0"/>
                <w:sz w:val="24"/>
                <w:highlight w:val="none"/>
              </w:rPr>
            </w:pPr>
            <w:r>
              <w:rPr>
                <w:rFonts w:hint="eastAsia" w:ascii="仿宋" w:hAnsi="仿宋" w:eastAsia="仿宋" w:cs="宋体"/>
                <w:kern w:val="0"/>
                <w:sz w:val="24"/>
                <w:highlight w:val="none"/>
              </w:rPr>
              <w:t>（0-</w:t>
            </w:r>
            <w:r>
              <w:rPr>
                <w:rFonts w:hint="eastAsia" w:ascii="仿宋" w:hAnsi="仿宋" w:eastAsia="仿宋" w:cs="宋体"/>
                <w:kern w:val="0"/>
                <w:sz w:val="24"/>
                <w:highlight w:val="none"/>
                <w:lang w:val="en-US" w:eastAsia="zh-CN"/>
              </w:rPr>
              <w:t>20</w:t>
            </w:r>
            <w:r>
              <w:rPr>
                <w:rFonts w:hint="eastAsia" w:ascii="仿宋" w:hAnsi="仿宋" w:eastAsia="仿宋" w:cs="宋体"/>
                <w:kern w:val="0"/>
                <w:sz w:val="24"/>
                <w:highlight w:val="none"/>
              </w:rPr>
              <w:t>分）</w:t>
            </w:r>
          </w:p>
        </w:tc>
        <w:tc>
          <w:tcPr>
            <w:tcW w:w="2292" w:type="pct"/>
            <w:vAlign w:val="center"/>
          </w:tcPr>
          <w:p>
            <w:pPr>
              <w:widowControl/>
              <w:spacing w:line="27" w:lineRule="atLeast"/>
              <w:jc w:val="left"/>
              <w:rPr>
                <w:rFonts w:hint="default" w:ascii="仿宋" w:hAnsi="仿宋" w:eastAsia="仿宋" w:cs="宋体"/>
                <w:kern w:val="0"/>
                <w:sz w:val="24"/>
                <w:highlight w:val="none"/>
                <w:lang w:val="en-US" w:eastAsia="zh-CN"/>
              </w:rPr>
            </w:pPr>
            <w:r>
              <w:rPr>
                <w:rFonts w:hint="eastAsia" w:ascii="仿宋" w:hAnsi="仿宋" w:eastAsia="仿宋" w:cs="宋体"/>
                <w:kern w:val="0"/>
                <w:sz w:val="24"/>
                <w:highlight w:val="none"/>
                <w:lang w:val="en-US" w:eastAsia="zh-CN"/>
              </w:rPr>
              <w:t>针对应急处置要求提供实施方案</w:t>
            </w:r>
            <w:r>
              <w:rPr>
                <w:rFonts w:hint="eastAsia" w:ascii="仿宋" w:hAnsi="仿宋" w:eastAsia="仿宋" w:cs="宋体"/>
                <w:kern w:val="0"/>
                <w:sz w:val="24"/>
                <w:highlight w:val="none"/>
              </w:rPr>
              <w:t>。符合的得5分，部分符合的得2</w:t>
            </w:r>
            <w:r>
              <w:rPr>
                <w:rFonts w:hint="eastAsia" w:ascii="仿宋" w:hAnsi="仿宋" w:eastAsia="仿宋" w:cs="宋体"/>
                <w:kern w:val="0"/>
                <w:sz w:val="24"/>
                <w:highlight w:val="none"/>
                <w:lang w:val="en-US" w:eastAsia="zh-CN"/>
              </w:rPr>
              <w:t>.5</w:t>
            </w:r>
            <w:r>
              <w:rPr>
                <w:rFonts w:hint="eastAsia" w:ascii="仿宋" w:hAnsi="仿宋" w:eastAsia="仿宋" w:cs="宋体"/>
                <w:kern w:val="0"/>
                <w:sz w:val="24"/>
                <w:highlight w:val="none"/>
              </w:rPr>
              <w:t>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hint="eastAsia" w:ascii="仿宋" w:hAnsi="仿宋" w:eastAsia="仿宋" w:cs="仿宋_GB2312"/>
                <w:bCs/>
                <w:sz w:val="24"/>
                <w:highlight w:val="none"/>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adjustRightInd/>
              <w:snapToGrid w:val="0"/>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lang w:val="en-US" w:eastAsia="zh-CN"/>
              </w:rPr>
              <w:t>针对应急处置要求派的投入的团队人员</w:t>
            </w:r>
            <w:r>
              <w:rPr>
                <w:rFonts w:hint="eastAsia" w:ascii="仿宋" w:hAnsi="仿宋" w:eastAsia="仿宋" w:cs="宋体"/>
                <w:kern w:val="0"/>
                <w:sz w:val="24"/>
                <w:highlight w:val="none"/>
              </w:rPr>
              <w:t>。符合的得5分，部分符合的得2</w:t>
            </w:r>
            <w:r>
              <w:rPr>
                <w:rFonts w:hint="eastAsia" w:ascii="仿宋" w:hAnsi="仿宋" w:eastAsia="仿宋" w:cs="宋体"/>
                <w:kern w:val="0"/>
                <w:sz w:val="24"/>
                <w:highlight w:val="none"/>
                <w:lang w:val="en-US" w:eastAsia="zh-CN"/>
              </w:rPr>
              <w:t>.5</w:t>
            </w:r>
            <w:r>
              <w:rPr>
                <w:rFonts w:hint="eastAsia" w:ascii="仿宋" w:hAnsi="仿宋" w:eastAsia="仿宋" w:cs="宋体"/>
                <w:kern w:val="0"/>
                <w:sz w:val="24"/>
                <w:highlight w:val="none"/>
              </w:rPr>
              <w:t>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80" w:type="pct"/>
            <w:vMerge w:val="continue"/>
            <w:vAlign w:val="center"/>
          </w:tcPr>
          <w:p>
            <w:pPr>
              <w:spacing w:line="360" w:lineRule="auto"/>
              <w:jc w:val="center"/>
              <w:outlineLvl w:val="0"/>
              <w:rPr>
                <w:rFonts w:ascii="仿宋" w:hAnsi="仿宋" w:eastAsia="仿宋" w:cs="仿宋_GB2312"/>
                <w:bCs/>
                <w:sz w:val="24"/>
                <w:highlight w:val="none"/>
              </w:rPr>
            </w:pPr>
          </w:p>
        </w:tc>
        <w:tc>
          <w:tcPr>
            <w:tcW w:w="1370" w:type="pct"/>
            <w:vMerge w:val="continue"/>
            <w:vAlign w:val="center"/>
          </w:tcPr>
          <w:p>
            <w:pPr>
              <w:adjustRightInd/>
              <w:snapToGrid w:val="0"/>
              <w:jc w:val="center"/>
              <w:rPr>
                <w:rFonts w:ascii="仿宋" w:hAnsi="仿宋" w:eastAsia="仿宋" w:cs="宋体"/>
                <w:kern w:val="0"/>
                <w:sz w:val="24"/>
                <w:highlight w:val="none"/>
              </w:rPr>
            </w:pPr>
          </w:p>
        </w:tc>
        <w:tc>
          <w:tcPr>
            <w:tcW w:w="2292" w:type="pct"/>
            <w:vAlign w:val="center"/>
          </w:tcPr>
          <w:p>
            <w:pPr>
              <w:widowControl/>
              <w:spacing w:line="27" w:lineRule="atLeast"/>
              <w:jc w:val="left"/>
              <w:rPr>
                <w:rFonts w:ascii="仿宋" w:hAnsi="仿宋" w:eastAsia="仿宋" w:cs="宋体"/>
                <w:kern w:val="0"/>
                <w:sz w:val="24"/>
                <w:highlight w:val="none"/>
              </w:rPr>
            </w:pPr>
            <w:r>
              <w:rPr>
                <w:rFonts w:hint="eastAsia" w:ascii="仿宋" w:hAnsi="仿宋" w:eastAsia="仿宋" w:cs="宋体"/>
                <w:kern w:val="0"/>
                <w:sz w:val="24"/>
                <w:highlight w:val="none"/>
                <w:lang w:val="en-US" w:eastAsia="zh-CN"/>
              </w:rPr>
              <w:t>突发特殊情况下的应急保障措施。符合的得5分，部分符合的得2.5分，不符合的不得分。</w:t>
            </w:r>
          </w:p>
        </w:tc>
        <w:tc>
          <w:tcPr>
            <w:tcW w:w="318" w:type="pct"/>
            <w:vAlign w:val="center"/>
          </w:tcPr>
          <w:p>
            <w:pPr>
              <w:shd w:val="clear" w:color="auto" w:fill="FFFFFF"/>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0" w:type="pct"/>
            <w:vMerge w:val="continue"/>
            <w:vAlign w:val="center"/>
          </w:tcPr>
          <w:p>
            <w:pPr>
              <w:spacing w:line="360" w:lineRule="auto"/>
              <w:jc w:val="center"/>
              <w:outlineLvl w:val="0"/>
              <w:rPr>
                <w:rFonts w:hint="eastAsia" w:ascii="仿宋" w:hAnsi="仿宋" w:eastAsia="仿宋" w:cs="仿宋_GB2312"/>
                <w:bCs/>
                <w:sz w:val="24"/>
                <w:highlight w:val="none"/>
                <w:lang w:val="en-US" w:eastAsia="zh-CN"/>
              </w:rPr>
            </w:pPr>
          </w:p>
        </w:tc>
        <w:tc>
          <w:tcPr>
            <w:tcW w:w="1370" w:type="pct"/>
            <w:vMerge w:val="continue"/>
            <w:vAlign w:val="center"/>
          </w:tcPr>
          <w:p>
            <w:pPr>
              <w:adjustRightInd/>
              <w:snapToGrid w:val="0"/>
              <w:jc w:val="center"/>
              <w:rPr>
                <w:rFonts w:hint="eastAsia" w:ascii="仿宋" w:hAnsi="仿宋" w:eastAsia="仿宋" w:cs="宋体"/>
                <w:kern w:val="0"/>
                <w:sz w:val="24"/>
                <w:highlight w:val="none"/>
              </w:rPr>
            </w:pPr>
          </w:p>
        </w:tc>
        <w:tc>
          <w:tcPr>
            <w:tcW w:w="2292" w:type="pct"/>
          </w:tcPr>
          <w:p>
            <w:pPr>
              <w:shd w:val="clear" w:color="auto" w:fill="FFFFFF"/>
              <w:adjustRightInd/>
              <w:snapToGrid w:val="0"/>
              <w:jc w:val="left"/>
              <w:rPr>
                <w:rFonts w:hint="eastAsia" w:ascii="仿宋" w:hAnsi="仿宋" w:eastAsia="仿宋" w:cs="宋体"/>
                <w:kern w:val="0"/>
                <w:sz w:val="24"/>
                <w:highlight w:val="none"/>
                <w:lang w:val="en-US" w:eastAsia="zh-CN"/>
              </w:rPr>
            </w:pPr>
            <w:r>
              <w:rPr>
                <w:rFonts w:hint="eastAsia" w:ascii="仿宋" w:hAnsi="仿宋" w:eastAsia="仿宋" w:cs="宋体"/>
                <w:kern w:val="0"/>
                <w:sz w:val="24"/>
                <w:highlight w:val="none"/>
              </w:rPr>
              <w:t>与区域公安能建立联动机制的得</w:t>
            </w:r>
            <w:r>
              <w:rPr>
                <w:rFonts w:ascii="仿宋" w:hAnsi="仿宋" w:eastAsia="仿宋" w:cs="宋体"/>
                <w:kern w:val="0"/>
                <w:sz w:val="24"/>
                <w:highlight w:val="none"/>
              </w:rPr>
              <w:t>5</w:t>
            </w:r>
            <w:r>
              <w:rPr>
                <w:rFonts w:hint="eastAsia" w:ascii="仿宋" w:hAnsi="仿宋" w:eastAsia="仿宋" w:cs="宋体"/>
                <w:kern w:val="0"/>
                <w:sz w:val="24"/>
                <w:highlight w:val="none"/>
              </w:rPr>
              <w:t>分（提供证明材料），不提供的不得分。</w:t>
            </w:r>
          </w:p>
        </w:tc>
        <w:tc>
          <w:tcPr>
            <w:tcW w:w="318" w:type="pct"/>
            <w:vAlign w:val="center"/>
          </w:tcPr>
          <w:p>
            <w:pPr>
              <w:spacing w:line="360" w:lineRule="auto"/>
              <w:jc w:val="center"/>
              <w:outlineLvl w:val="0"/>
              <w:rPr>
                <w:rFonts w:hint="eastAsia" w:ascii="仿宋" w:hAnsi="仿宋" w:eastAsia="仿宋" w:cs="仿宋_GB2312"/>
                <w:bCs/>
                <w:sz w:val="24"/>
                <w:highlight w:val="none"/>
                <w:lang w:val="en-US" w:eastAsia="zh-CN"/>
              </w:rPr>
            </w:pPr>
            <w:r>
              <w:rPr>
                <w:rFonts w:hint="eastAsia" w:ascii="仿宋" w:hAnsi="仿宋" w:eastAsia="仿宋" w:cs="仿宋_GB2312"/>
                <w:bCs/>
                <w:sz w:val="24"/>
                <w:highlight w:val="none"/>
                <w:lang w:val="en-US" w:eastAsia="zh-CN"/>
              </w:rPr>
              <w:t>5</w:t>
            </w:r>
          </w:p>
        </w:tc>
        <w:tc>
          <w:tcPr>
            <w:tcW w:w="738" w:type="pct"/>
            <w:vAlign w:val="center"/>
          </w:tcPr>
          <w:p>
            <w:pPr>
              <w:spacing w:line="360" w:lineRule="auto"/>
              <w:jc w:val="center"/>
              <w:outlineLvl w:val="0"/>
              <w:rPr>
                <w:rFonts w:ascii="仿宋" w:hAnsi="仿宋" w:eastAsia="仿宋"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0" w:type="pct"/>
            <w:vAlign w:val="center"/>
          </w:tcPr>
          <w:p>
            <w:pPr>
              <w:spacing w:line="360" w:lineRule="auto"/>
              <w:jc w:val="center"/>
              <w:outlineLvl w:val="0"/>
              <w:rPr>
                <w:rFonts w:hint="eastAsia" w:ascii="仿宋" w:hAnsi="仿宋" w:eastAsia="仿宋" w:cs="仿宋_GB2312"/>
                <w:bCs/>
                <w:sz w:val="24"/>
                <w:highlight w:val="none"/>
                <w:lang w:eastAsia="zh-CN"/>
              </w:rPr>
            </w:pPr>
            <w:r>
              <w:rPr>
                <w:rFonts w:hint="eastAsia" w:ascii="仿宋" w:hAnsi="仿宋" w:eastAsia="仿宋" w:cs="仿宋_GB2312"/>
                <w:bCs/>
                <w:sz w:val="24"/>
                <w:highlight w:val="none"/>
                <w:lang w:val="en-US" w:eastAsia="zh-CN"/>
              </w:rPr>
              <w:t>9</w:t>
            </w:r>
          </w:p>
        </w:tc>
        <w:tc>
          <w:tcPr>
            <w:tcW w:w="1370" w:type="pct"/>
            <w:vAlign w:val="center"/>
          </w:tcPr>
          <w:p>
            <w:pPr>
              <w:adjustRightInd/>
              <w:snapToGrid w:val="0"/>
              <w:jc w:val="center"/>
              <w:rPr>
                <w:rFonts w:ascii="仿宋" w:hAnsi="仿宋" w:eastAsia="仿宋" w:cs="宋体"/>
                <w:kern w:val="0"/>
                <w:sz w:val="24"/>
                <w:highlight w:val="none"/>
              </w:rPr>
            </w:pPr>
            <w:r>
              <w:rPr>
                <w:rFonts w:hint="eastAsia" w:ascii="仿宋" w:hAnsi="仿宋" w:eastAsia="仿宋" w:cs="宋体"/>
                <w:kern w:val="0"/>
                <w:sz w:val="24"/>
                <w:highlight w:val="none"/>
              </w:rPr>
              <w:t>投标报价</w:t>
            </w:r>
          </w:p>
        </w:tc>
        <w:tc>
          <w:tcPr>
            <w:tcW w:w="2292" w:type="pct"/>
          </w:tcPr>
          <w:p>
            <w:pPr>
              <w:adjustRightInd/>
              <w:snapToGrid w:val="0"/>
              <w:jc w:val="left"/>
              <w:rPr>
                <w:rFonts w:ascii="仿宋" w:hAnsi="仿宋" w:eastAsia="仿宋" w:cs="宋体"/>
                <w:kern w:val="0"/>
                <w:sz w:val="24"/>
                <w:highlight w:val="none"/>
              </w:rPr>
            </w:pPr>
            <w:r>
              <w:rPr>
                <w:rFonts w:hint="eastAsia" w:ascii="仿宋" w:hAnsi="仿宋" w:eastAsia="仿宋" w:cs="宋体"/>
                <w:kern w:val="0"/>
                <w:sz w:val="24"/>
                <w:highlight w:val="none"/>
              </w:rPr>
              <w:t>有效投标报价的最低价作为评标基准价，其最低报价为满分；按［投标报价得分</w:t>
            </w:r>
            <w:r>
              <w:rPr>
                <w:rFonts w:ascii="仿宋" w:hAnsi="仿宋" w:eastAsia="仿宋" w:cs="宋体"/>
                <w:kern w:val="0"/>
                <w:sz w:val="24"/>
                <w:highlight w:val="none"/>
              </w:rPr>
              <w:t>=（评标基准价/投标报价）*</w:t>
            </w:r>
            <w:r>
              <w:rPr>
                <w:rFonts w:hint="eastAsia" w:ascii="仿宋" w:hAnsi="仿宋" w:eastAsia="仿宋" w:cs="宋体"/>
                <w:kern w:val="0"/>
                <w:sz w:val="24"/>
                <w:highlight w:val="none"/>
              </w:rPr>
              <w:t>10</w:t>
            </w:r>
            <w:r>
              <w:rPr>
                <w:rFonts w:ascii="仿宋" w:hAnsi="仿宋" w:eastAsia="仿宋" w:cs="宋体"/>
                <w:kern w:val="0"/>
                <w:sz w:val="24"/>
                <w:highlight w:val="none"/>
              </w:rPr>
              <w:t>］的计算公式计算。</w:t>
            </w:r>
          </w:p>
          <w:p>
            <w:pPr>
              <w:shd w:val="clear" w:color="auto" w:fill="FFFFFF"/>
              <w:adjustRightInd/>
              <w:snapToGrid w:val="0"/>
              <w:ind w:firstLine="420"/>
              <w:jc w:val="left"/>
              <w:rPr>
                <w:rFonts w:ascii="仿宋" w:hAnsi="仿宋" w:eastAsia="仿宋" w:cs="宋体"/>
                <w:kern w:val="0"/>
                <w:sz w:val="24"/>
                <w:highlight w:val="none"/>
              </w:rPr>
            </w:pPr>
            <w:r>
              <w:rPr>
                <w:rFonts w:ascii="仿宋" w:hAnsi="仿宋" w:eastAsia="仿宋" w:cs="宋体"/>
                <w:kern w:val="0"/>
                <w:sz w:val="24"/>
                <w:highlight w:val="none"/>
              </w:rPr>
              <w:t>评标过程中，不得去掉报价中的最高报价和最低报价。</w:t>
            </w:r>
          </w:p>
          <w:p>
            <w:pPr>
              <w:shd w:val="clear" w:color="auto" w:fill="FFFFFF"/>
              <w:adjustRightInd/>
              <w:snapToGrid w:val="0"/>
              <w:ind w:firstLine="420"/>
              <w:jc w:val="left"/>
              <w:rPr>
                <w:rFonts w:ascii="仿宋" w:hAnsi="仿宋" w:eastAsia="仿宋" w:cs="宋体"/>
                <w:kern w:val="0"/>
                <w:sz w:val="24"/>
                <w:highlight w:val="none"/>
              </w:rPr>
            </w:pPr>
            <w:r>
              <w:rPr>
                <w:rFonts w:ascii="仿宋" w:hAnsi="仿宋" w:eastAsia="仿宋" w:cs="宋体"/>
                <w:kern w:val="0"/>
                <w:sz w:val="24"/>
                <w:highlight w:val="none"/>
              </w:rPr>
              <w:t>因落实政府采购政策</w:t>
            </w:r>
            <w:r>
              <w:rPr>
                <w:rFonts w:hint="eastAsia" w:ascii="仿宋" w:hAnsi="仿宋" w:eastAsia="仿宋" w:cs="宋体"/>
                <w:kern w:val="0"/>
                <w:sz w:val="24"/>
                <w:highlight w:val="none"/>
              </w:rPr>
              <w:t>需要</w:t>
            </w:r>
            <w:r>
              <w:rPr>
                <w:rFonts w:ascii="仿宋" w:hAnsi="仿宋" w:eastAsia="仿宋" w:cs="宋体"/>
                <w:kern w:val="0"/>
                <w:sz w:val="24"/>
                <w:highlight w:val="none"/>
              </w:rPr>
              <w:t>进行价格调整的，以调整后的价格计算评标基准价和投标报价。</w:t>
            </w:r>
          </w:p>
        </w:tc>
        <w:tc>
          <w:tcPr>
            <w:tcW w:w="318" w:type="pct"/>
            <w:vAlign w:val="center"/>
          </w:tcPr>
          <w:p>
            <w:pPr>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1</w:t>
            </w:r>
            <w:r>
              <w:rPr>
                <w:rFonts w:hint="eastAsia" w:ascii="仿宋" w:hAnsi="仿宋" w:eastAsia="仿宋" w:cs="仿宋_GB2312"/>
                <w:bCs/>
                <w:sz w:val="24"/>
                <w:highlight w:val="none"/>
              </w:rPr>
              <w:t>0</w:t>
            </w:r>
          </w:p>
        </w:tc>
        <w:tc>
          <w:tcPr>
            <w:tcW w:w="738" w:type="pct"/>
            <w:vAlign w:val="center"/>
          </w:tcPr>
          <w:p>
            <w:pPr>
              <w:spacing w:line="360" w:lineRule="auto"/>
              <w:jc w:val="center"/>
              <w:outlineLvl w:val="0"/>
              <w:rPr>
                <w:rFonts w:ascii="仿宋" w:hAnsi="仿宋" w:eastAsia="仿宋" w:cs="仿宋_GB2312"/>
                <w:bCs/>
                <w:sz w:val="24"/>
                <w:highlight w:val="none"/>
              </w:rPr>
            </w:pPr>
            <w:r>
              <w:rPr>
                <w:rFonts w:ascii="仿宋" w:hAnsi="仿宋" w:eastAsia="仿宋" w:cs="仿宋_GB2312"/>
                <w:bCs/>
                <w:sz w:val="24"/>
                <w:highlight w:val="none"/>
              </w:rPr>
              <w:t>/</w:t>
            </w:r>
          </w:p>
        </w:tc>
      </w:tr>
    </w:tbl>
    <w:p>
      <w:pPr>
        <w:kinsoku w:val="0"/>
        <w:overflowPunct w:val="0"/>
        <w:autoSpaceDE w:val="0"/>
        <w:autoSpaceDN w:val="0"/>
        <w:snapToGrid w:val="0"/>
        <w:spacing w:line="360" w:lineRule="auto"/>
        <w:rPr>
          <w:rFonts w:ascii="仿宋" w:hAnsi="仿宋" w:eastAsia="仿宋" w:cs="仿宋_GB2312"/>
          <w:b/>
          <w:sz w:val="24"/>
          <w:highlight w:val="none"/>
        </w:rPr>
      </w:pPr>
      <w:r>
        <w:rPr>
          <w:rFonts w:ascii="Arial" w:hAnsi="Arial" w:cs="Arial"/>
          <w:sz w:val="20"/>
          <w:szCs w:val="20"/>
          <w:highlight w:val="none"/>
          <w:shd w:val="clear" w:color="auto" w:fill="FFFFFF"/>
        </w:rPr>
        <w:t> *</w:t>
      </w:r>
      <w:r>
        <w:rPr>
          <w:rFonts w:hint="eastAsia" w:ascii="仿宋" w:hAnsi="仿宋" w:eastAsia="仿宋" w:cs="仿宋_GB2312"/>
          <w:b/>
          <w:sz w:val="24"/>
          <w:highlight w:val="none"/>
        </w:rPr>
        <w:t>备注：</w:t>
      </w:r>
      <w:r>
        <w:rPr>
          <w:rFonts w:hint="eastAsia" w:ascii="仿宋" w:hAnsi="仿宋" w:eastAsia="仿宋" w:cs="仿宋_GB2312"/>
          <w:sz w:val="24"/>
          <w:highlight w:val="none"/>
        </w:rPr>
        <w:t>投标人编制投标文件（商务技术文件部分）时，建议按此目录（序号和内容）提供评标标准相应的商务技术资料。</w:t>
      </w:r>
      <w:r>
        <w:rPr>
          <w:rFonts w:ascii="仿宋" w:hAnsi="仿宋" w:eastAsia="仿宋" w:cs="仿宋_GB2312"/>
          <w:sz w:val="24"/>
          <w:highlight w:val="none"/>
        </w:rPr>
        <w:t> </w:t>
      </w:r>
    </w:p>
    <w:p>
      <w:pPr>
        <w:kinsoku w:val="0"/>
        <w:overflowPunct w:val="0"/>
        <w:autoSpaceDE w:val="0"/>
        <w:autoSpaceDN w:val="0"/>
        <w:snapToGrid w:val="0"/>
        <w:spacing w:line="360" w:lineRule="auto"/>
        <w:rPr>
          <w:rFonts w:ascii="仿宋_GB2312" w:hAnsi="仿宋" w:eastAsia="仿宋_GB2312" w:cs="Arial"/>
          <w:b/>
          <w:kern w:val="0"/>
          <w:sz w:val="24"/>
          <w:highlight w:val="none"/>
        </w:rPr>
      </w:pPr>
      <w:r>
        <w:rPr>
          <w:rFonts w:hint="eastAsia" w:ascii="仿宋_GB2312" w:hAnsi="仿宋" w:eastAsia="仿宋_GB2312" w:cs="Arial"/>
          <w:b/>
          <w:kern w:val="0"/>
          <w:sz w:val="24"/>
          <w:highlight w:val="none"/>
        </w:rPr>
        <w:t>一、评标方法</w:t>
      </w:r>
    </w:p>
    <w:p>
      <w:pPr>
        <w:kinsoku w:val="0"/>
        <w:overflowPunct w:val="0"/>
        <w:autoSpaceDE w:val="0"/>
        <w:autoSpaceDN w:val="0"/>
        <w:snapToGrid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1.</w:t>
      </w:r>
      <w:r>
        <w:rPr>
          <w:rFonts w:hint="eastAsia" w:ascii="仿宋_GB2312" w:hAnsi="仿宋" w:eastAsia="仿宋_GB2312" w:cs="Arial"/>
          <w:b/>
          <w:kern w:val="0"/>
          <w:sz w:val="24"/>
          <w:highlight w:val="none"/>
        </w:rPr>
        <w:t>本项目采用综合评分法。</w:t>
      </w:r>
      <w:r>
        <w:rPr>
          <w:rFonts w:hint="eastAsia" w:ascii="仿宋_GB2312" w:hAnsi="仿宋" w:eastAsia="仿宋_GB2312" w:cs="Arial"/>
          <w:kern w:val="0"/>
          <w:sz w:val="24"/>
          <w:highlight w:val="none"/>
        </w:rPr>
        <w:t>综合评分法，是指投标文件满足招标文件全部实质性要求，且按照评审因素的量化指标评审得分最高的投标人为中标候选人的评标方法。</w:t>
      </w:r>
    </w:p>
    <w:p>
      <w:pPr>
        <w:kinsoku w:val="0"/>
        <w:overflowPunct w:val="0"/>
        <w:autoSpaceDE w:val="0"/>
        <w:autoSpaceDN w:val="0"/>
        <w:snapToGrid w:val="0"/>
        <w:spacing w:line="360" w:lineRule="auto"/>
        <w:rPr>
          <w:rFonts w:ascii="仿宋_GB2312" w:hAnsi="仿宋" w:eastAsia="仿宋_GB2312" w:cs="Arial"/>
          <w:b/>
          <w:kern w:val="0"/>
          <w:sz w:val="24"/>
          <w:highlight w:val="none"/>
        </w:rPr>
      </w:pPr>
      <w:r>
        <w:rPr>
          <w:rFonts w:hint="eastAsia" w:ascii="仿宋_GB2312" w:hAnsi="仿宋" w:eastAsia="仿宋_GB2312" w:cs="Arial"/>
          <w:b/>
          <w:kern w:val="0"/>
          <w:sz w:val="24"/>
          <w:highlight w:val="none"/>
        </w:rPr>
        <w:t>二、评标标准</w:t>
      </w:r>
    </w:p>
    <w:p>
      <w:pPr>
        <w:kinsoku w:val="0"/>
        <w:overflowPunct w:val="0"/>
        <w:autoSpaceDE w:val="0"/>
        <w:autoSpaceDN w:val="0"/>
        <w:snapToGrid w:val="0"/>
        <w:spacing w:line="360" w:lineRule="auto"/>
        <w:ind w:firstLine="472" w:firstLineChars="196"/>
        <w:rPr>
          <w:rFonts w:ascii="仿宋_GB2312" w:hAnsi="仿宋_GB2312" w:eastAsia="仿宋_GB2312" w:cs="仿宋_GB2312"/>
          <w:b/>
          <w:sz w:val="24"/>
          <w:highlight w:val="none"/>
        </w:rPr>
      </w:pPr>
      <w:r>
        <w:rPr>
          <w:rFonts w:ascii="仿宋_GB2312" w:hAnsi="仿宋_GB2312" w:eastAsia="仿宋_GB2312" w:cs="仿宋_GB2312"/>
          <w:b/>
          <w:sz w:val="24"/>
          <w:highlight w:val="none"/>
        </w:rPr>
        <w:t>2.</w:t>
      </w:r>
      <w:r>
        <w:rPr>
          <w:rFonts w:hint="eastAsia" w:ascii="仿宋_GB2312" w:hAnsi="仿宋_GB2312" w:eastAsia="仿宋_GB2312" w:cs="仿宋_GB2312"/>
          <w:b/>
          <w:sz w:val="24"/>
          <w:highlight w:val="none"/>
        </w:rPr>
        <w:t>评标标准：</w:t>
      </w:r>
      <w:r>
        <w:rPr>
          <w:rFonts w:hint="eastAsia" w:ascii="仿宋_GB2312" w:hAnsi="仿宋" w:eastAsia="仿宋_GB2312" w:cs="Arial"/>
          <w:kern w:val="0"/>
          <w:sz w:val="24"/>
          <w:highlight w:val="none"/>
        </w:rPr>
        <w:t>见评标办法前附表。</w:t>
      </w:r>
    </w:p>
    <w:p>
      <w:pPr>
        <w:kinsoku w:val="0"/>
        <w:overflowPunct w:val="0"/>
        <w:autoSpaceDE w:val="0"/>
        <w:autoSpaceDN w:val="0"/>
        <w:snapToGrid w:val="0"/>
        <w:spacing w:line="360" w:lineRule="auto"/>
        <w:rPr>
          <w:rFonts w:ascii="仿宋_GB2312" w:hAnsi="仿宋" w:eastAsia="仿宋_GB2312" w:cs="Arial"/>
          <w:b/>
          <w:kern w:val="0"/>
          <w:sz w:val="24"/>
          <w:highlight w:val="none"/>
        </w:rPr>
      </w:pPr>
      <w:r>
        <w:rPr>
          <w:rFonts w:hint="eastAsia" w:ascii="仿宋_GB2312" w:hAnsi="仿宋" w:eastAsia="仿宋_GB2312" w:cs="Arial"/>
          <w:b/>
          <w:kern w:val="0"/>
          <w:sz w:val="24"/>
          <w:highlight w:val="none"/>
        </w:rPr>
        <w:t>三、评标程序</w:t>
      </w:r>
    </w:p>
    <w:p>
      <w:pPr>
        <w:kinsoku w:val="0"/>
        <w:overflowPunct w:val="0"/>
        <w:autoSpaceDE w:val="0"/>
        <w:autoSpaceDN w:val="0"/>
        <w:snapToGrid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3.1符合性审查。</w:t>
      </w:r>
      <w:r>
        <w:rPr>
          <w:rFonts w:ascii="仿宋_GB2312" w:hAnsi="仿宋" w:eastAsia="仿宋_GB2312" w:cs="Arial"/>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kern w:val="0"/>
          <w:sz w:val="24"/>
          <w:highlight w:val="none"/>
        </w:rPr>
        <w:t>不</w:t>
      </w:r>
      <w:r>
        <w:rPr>
          <w:rFonts w:ascii="仿宋_GB2312" w:hAnsi="仿宋" w:eastAsia="仿宋_GB2312" w:cs="Arial"/>
          <w:kern w:val="0"/>
          <w:sz w:val="24"/>
          <w:highlight w:val="none"/>
        </w:rPr>
        <w:t>满足招标文件的实质性要求</w:t>
      </w:r>
      <w:r>
        <w:rPr>
          <w:rFonts w:hint="eastAsia" w:ascii="仿宋_GB2312" w:hAnsi="仿宋" w:eastAsia="仿宋_GB2312" w:cs="Arial"/>
          <w:kern w:val="0"/>
          <w:sz w:val="24"/>
          <w:highlight w:val="none"/>
        </w:rPr>
        <w:t>的，投标无效。</w:t>
      </w:r>
    </w:p>
    <w:p>
      <w:pPr>
        <w:kinsoku w:val="0"/>
        <w:overflowPunct w:val="0"/>
        <w:autoSpaceDE w:val="0"/>
        <w:autoSpaceDN w:val="0"/>
        <w:snapToGrid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 xml:space="preserve">3.2 </w:t>
      </w:r>
      <w:r>
        <w:rPr>
          <w:rFonts w:hint="eastAsia" w:ascii="仿宋_GB2312" w:hAnsi="仿宋" w:eastAsia="仿宋_GB2312" w:cs="Arial"/>
          <w:b/>
          <w:kern w:val="0"/>
          <w:sz w:val="24"/>
          <w:highlight w:val="none"/>
        </w:rPr>
        <w:t>比较与评价。</w:t>
      </w:r>
      <w:r>
        <w:rPr>
          <w:rFonts w:ascii="仿宋_GB2312" w:hAnsi="仿宋" w:eastAsia="仿宋_GB2312" w:cs="Arial"/>
          <w:kern w:val="0"/>
          <w:sz w:val="24"/>
          <w:highlight w:val="none"/>
        </w:rPr>
        <w:t>评标委员会应当按照招标文件中规定的评标方法和标准，对符合性审查合格的投标文件进行商务和技术评估，综合比较与评价。</w:t>
      </w:r>
    </w:p>
    <w:p>
      <w:pPr>
        <w:kinsoku w:val="0"/>
        <w:overflowPunct w:val="0"/>
        <w:autoSpaceDE w:val="0"/>
        <w:autoSpaceDN w:val="0"/>
        <w:snapToGrid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3.3汇总商务技术得分。</w:t>
      </w:r>
      <w:r>
        <w:rPr>
          <w:rFonts w:hint="eastAsia" w:ascii="仿宋_GB2312" w:hAnsi="仿宋" w:eastAsia="仿宋_GB2312" w:cs="Arial"/>
          <w:kern w:val="0"/>
          <w:sz w:val="24"/>
          <w:highlight w:val="none"/>
        </w:rPr>
        <w:t>评标委员会各成员应当独立对每个投标人的商务和技术文件进行评价，并汇总商务技术得分情况。</w:t>
      </w:r>
    </w:p>
    <w:p>
      <w:pPr>
        <w:kinsoku w:val="0"/>
        <w:overflowPunct w:val="0"/>
        <w:autoSpaceDE w:val="0"/>
        <w:autoSpaceDN w:val="0"/>
        <w:snapToGrid w:val="0"/>
        <w:spacing w:line="360" w:lineRule="auto"/>
        <w:ind w:firstLine="472" w:firstLineChars="196"/>
        <w:rPr>
          <w:rFonts w:ascii="仿宋_GB2312" w:hAnsi="仿宋" w:eastAsia="仿宋_GB2312" w:cs="Arial"/>
          <w:b/>
          <w:kern w:val="0"/>
          <w:sz w:val="24"/>
          <w:highlight w:val="none"/>
        </w:rPr>
      </w:pPr>
      <w:r>
        <w:rPr>
          <w:rFonts w:ascii="仿宋_GB2312" w:hAnsi="仿宋" w:eastAsia="仿宋_GB2312" w:cs="Arial"/>
          <w:b/>
          <w:kern w:val="0"/>
          <w:sz w:val="24"/>
          <w:highlight w:val="none"/>
        </w:rPr>
        <w:t>3.4报价评审。</w:t>
      </w:r>
    </w:p>
    <w:p>
      <w:pPr>
        <w:pStyle w:val="129"/>
        <w:kinsoku w:val="0"/>
        <w:overflowPunct w:val="0"/>
        <w:autoSpaceDE w:val="0"/>
        <w:autoSpaceDN w:val="0"/>
        <w:snapToGrid w:val="0"/>
        <w:spacing w:before="0"/>
        <w:ind w:firstLine="508" w:firstLineChars="212"/>
        <w:rPr>
          <w:rFonts w:ascii="仿宋_GB2312" w:hAnsi="仿宋" w:eastAsia="仿宋_GB2312" w:cs="Arial"/>
          <w:kern w:val="0"/>
          <w:highlight w:val="none"/>
        </w:rPr>
      </w:pPr>
      <w:r>
        <w:rPr>
          <w:rFonts w:ascii="仿宋_GB2312" w:hAnsi="仿宋" w:eastAsia="仿宋_GB2312" w:cs="Arial"/>
          <w:kern w:val="0"/>
          <w:highlight w:val="none"/>
        </w:rPr>
        <w:t>3.4.1投标文件报价出现前后不一致的，按照下列规定修正：</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3.4.1.1投标文件中开标一览表(报价表)内容与投标文件中相应内容不一致的，以开标一览表(报价表)为准;</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3.4.1.2大写金额和小写金额不一致的，以大写金额为准;</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3.4.1.3单价金额小数点或者百分比有明显错位的，以开标一览表的总价为准，并修改单价;</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3.4.1.4总价金额与按单价汇总金额不一致的，以单价金额计算结果为准。</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3.4.1.5同时出现两种以上不一致的，按照3.4.1</w:t>
      </w:r>
      <w:r>
        <w:rPr>
          <w:rFonts w:hint="eastAsia" w:ascii="仿宋" w:hAnsi="仿宋" w:eastAsia="仿宋" w:cs="仿宋"/>
          <w:kern w:val="0"/>
          <w:szCs w:val="24"/>
          <w:highlight w:val="none"/>
        </w:rPr>
        <w:t>规定的顺序修正。修正后的报价按照财政部第</w:t>
      </w:r>
      <w:r>
        <w:rPr>
          <w:rFonts w:ascii="仿宋" w:hAnsi="仿宋" w:eastAsia="仿宋" w:cs="仿宋"/>
          <w:kern w:val="0"/>
          <w:szCs w:val="24"/>
          <w:highlight w:val="none"/>
        </w:rPr>
        <w:t>87号令</w:t>
      </w:r>
      <w:r>
        <w:rPr>
          <w:rFonts w:hint="eastAsia" w:ascii="仿宋" w:hAnsi="仿宋" w:eastAsia="仿宋" w:cs="仿宋"/>
          <w:kern w:val="0"/>
          <w:szCs w:val="24"/>
          <w:highlight w:val="none"/>
        </w:rPr>
        <w:t>《政府采购货物和服务招标投标管理办法》第五十一条第二款的规定经投标人确认后产生约束力。</w:t>
      </w:r>
    </w:p>
    <w:p>
      <w:pPr>
        <w:kinsoku w:val="0"/>
        <w:overflowPunct w:val="0"/>
        <w:autoSpaceDE w:val="0"/>
        <w:autoSpaceDN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3.4.2</w:t>
      </w:r>
      <w:r>
        <w:rPr>
          <w:rFonts w:hint="eastAsia" w:ascii="仿宋" w:hAnsi="仿宋" w:eastAsia="仿宋" w:cs="仿宋"/>
          <w:kern w:val="0"/>
          <w:sz w:val="24"/>
          <w:highlight w:val="none"/>
        </w:rPr>
        <w:t>投标文件出现不是唯一的、有选择性投标报价的，投标无效。</w:t>
      </w:r>
    </w:p>
    <w:p>
      <w:pPr>
        <w:kinsoku w:val="0"/>
        <w:overflowPunct w:val="0"/>
        <w:autoSpaceDE w:val="0"/>
        <w:autoSpaceDN w:val="0"/>
        <w:snapToGrid w:val="0"/>
        <w:spacing w:line="360" w:lineRule="auto"/>
        <w:ind w:firstLine="480" w:firstLineChars="200"/>
        <w:jc w:val="left"/>
        <w:rPr>
          <w:rFonts w:ascii="仿宋" w:hAnsi="仿宋" w:eastAsia="仿宋" w:cs="仿宋"/>
          <w:kern w:val="0"/>
          <w:sz w:val="24"/>
          <w:highlight w:val="none"/>
        </w:rPr>
      </w:pPr>
      <w:r>
        <w:rPr>
          <w:rFonts w:ascii="仿宋" w:hAnsi="仿宋" w:eastAsia="仿宋" w:cs="仿宋"/>
          <w:kern w:val="0"/>
          <w:sz w:val="24"/>
          <w:highlight w:val="none"/>
        </w:rPr>
        <w:t>3.4.3</w:t>
      </w:r>
      <w:r>
        <w:rPr>
          <w:rFonts w:hint="eastAsia" w:ascii="仿宋" w:hAnsi="仿宋" w:eastAsia="仿宋" w:cs="仿宋"/>
          <w:kern w:val="0"/>
          <w:sz w:val="24"/>
          <w:highlight w:val="none"/>
        </w:rPr>
        <w:t>投标报价超过招标文件中规定的预算金额或者最高限价的，投标无效。</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3.4.4</w:t>
      </w:r>
      <w:r>
        <w:rPr>
          <w:rFonts w:hint="eastAsia" w:ascii="仿宋" w:hAnsi="仿宋" w:eastAsia="仿宋" w:cs="仿宋"/>
          <w:kern w:val="0"/>
          <w:szCs w:val="24"/>
          <w:highlight w:val="none"/>
        </w:rPr>
        <w:t>评标委员会认为投标人的报价明显低于其他通过符合性审查投标人的报价，有可能不能诚信履约的，应当要求其在合理的时间内提供书面说明，必要时提交相关证明材料</w:t>
      </w:r>
      <w:r>
        <w:rPr>
          <w:rFonts w:ascii="仿宋" w:hAnsi="仿宋" w:eastAsia="仿宋" w:cs="仿宋"/>
          <w:kern w:val="0"/>
          <w:szCs w:val="24"/>
          <w:highlight w:val="none"/>
        </w:rPr>
        <w:t>;投标人不能证明其报价合理性的，评标委员会应当将其作为无效投标处理。</w:t>
      </w:r>
    </w:p>
    <w:p>
      <w:pPr>
        <w:pStyle w:val="129"/>
        <w:kinsoku w:val="0"/>
        <w:overflowPunct w:val="0"/>
        <w:autoSpaceDE w:val="0"/>
        <w:autoSpaceDN w:val="0"/>
        <w:snapToGrid w:val="0"/>
        <w:spacing w:before="0"/>
        <w:ind w:firstLine="480"/>
        <w:rPr>
          <w:rFonts w:ascii="仿宋" w:hAnsi="仿宋" w:eastAsia="仿宋" w:cs="仿宋"/>
          <w:kern w:val="0"/>
          <w:szCs w:val="24"/>
          <w:highlight w:val="none"/>
        </w:rPr>
      </w:pPr>
      <w:r>
        <w:rPr>
          <w:rFonts w:ascii="仿宋" w:hAnsi="仿宋" w:eastAsia="仿宋" w:cs="仿宋"/>
          <w:kern w:val="0"/>
          <w:szCs w:val="24"/>
          <w:highlight w:val="none"/>
        </w:rPr>
        <w:t>3.4.5</w:t>
      </w:r>
      <w:r>
        <w:rPr>
          <w:rFonts w:hint="eastAsia" w:ascii="仿宋" w:hAnsi="仿宋" w:eastAsia="仿宋" w:cs="仿宋"/>
          <w:kern w:val="0"/>
          <w:szCs w:val="24"/>
          <w:highlight w:val="none"/>
        </w:rPr>
        <w:t>对于未预留份额专门面向中小企业的政府采购服务项目，以及预留份额政府采购服务项目中的非预留部分标项，对小型和微型企业的投标报价给予20</w:t>
      </w:r>
      <w:r>
        <w:rPr>
          <w:rFonts w:ascii="仿宋" w:hAnsi="仿宋" w:eastAsia="仿宋" w:cs="仿宋"/>
          <w:kern w:val="0"/>
          <w:szCs w:val="24"/>
          <w:highlight w:val="none"/>
        </w:rPr>
        <w:t>%的扣除，用扣除后的价格参与评审。</w:t>
      </w:r>
    </w:p>
    <w:p>
      <w:pPr>
        <w:kinsoku w:val="0"/>
        <w:overflowPunct w:val="0"/>
        <w:autoSpaceDE w:val="0"/>
        <w:autoSpaceDN w:val="0"/>
        <w:snapToGrid w:val="0"/>
        <w:spacing w:line="360" w:lineRule="auto"/>
        <w:ind w:firstLine="482" w:firstLineChars="200"/>
        <w:rPr>
          <w:rFonts w:ascii="仿宋_GB2312" w:hAnsi="仿宋" w:eastAsia="仿宋_GB2312" w:cs="Arial"/>
          <w:b/>
          <w:kern w:val="0"/>
          <w:sz w:val="24"/>
          <w:highlight w:val="none"/>
        </w:rPr>
      </w:pPr>
      <w:r>
        <w:rPr>
          <w:rFonts w:ascii="仿宋_GB2312" w:hAnsi="仿宋" w:eastAsia="仿宋_GB2312" w:cs="Arial"/>
          <w:b/>
          <w:kern w:val="0"/>
          <w:sz w:val="24"/>
          <w:highlight w:val="none"/>
        </w:rPr>
        <w:t>3.5</w:t>
      </w:r>
      <w:r>
        <w:rPr>
          <w:rFonts w:hint="eastAsia" w:ascii="仿宋_GB2312" w:hAnsi="仿宋" w:eastAsia="仿宋_GB2312" w:cs="Arial"/>
          <w:b/>
          <w:kern w:val="0"/>
          <w:sz w:val="24"/>
          <w:highlight w:val="none"/>
        </w:rPr>
        <w:t>排序与推荐。</w:t>
      </w:r>
      <w:r>
        <w:rPr>
          <w:rFonts w:ascii="仿宋_GB2312" w:hAnsi="仿宋" w:eastAsia="仿宋_GB2312" w:cs="Arial"/>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highlight w:val="none"/>
        </w:rPr>
        <w:t>。评审得分相同的，采取随机抽取方式确定。</w:t>
      </w:r>
    </w:p>
    <w:p>
      <w:pPr>
        <w:kinsoku w:val="0"/>
        <w:overflowPunct w:val="0"/>
        <w:autoSpaceDE w:val="0"/>
        <w:autoSpaceDN w:val="0"/>
        <w:snapToGrid w:val="0"/>
        <w:spacing w:line="360" w:lineRule="auto"/>
        <w:ind w:firstLine="472" w:firstLineChars="196"/>
        <w:rPr>
          <w:rFonts w:ascii="仿宋_GB2312" w:hAnsi="仿宋" w:eastAsia="仿宋_GB2312" w:cs="Arial"/>
          <w:kern w:val="0"/>
          <w:sz w:val="24"/>
          <w:highlight w:val="none"/>
        </w:rPr>
      </w:pPr>
      <w:r>
        <w:rPr>
          <w:rFonts w:ascii="仿宋_GB2312" w:hAnsi="仿宋" w:eastAsia="仿宋_GB2312" w:cs="Arial"/>
          <w:b/>
          <w:kern w:val="0"/>
          <w:sz w:val="24"/>
          <w:highlight w:val="none"/>
        </w:rPr>
        <w:t>3.6编写评标报告。</w:t>
      </w:r>
      <w:r>
        <w:rPr>
          <w:rFonts w:ascii="仿宋_GB2312" w:hAnsi="仿宋" w:eastAsia="仿宋_GB2312" w:cs="Arial"/>
          <w:kern w:val="0"/>
          <w:sz w:val="24"/>
          <w:highlight w:val="none"/>
        </w:rPr>
        <w:t>评标委员会根据全体评标成员签字的原始评标记录和评标结果编写评标报告。</w:t>
      </w:r>
      <w:r>
        <w:rPr>
          <w:rFonts w:hint="eastAsia" w:ascii="仿宋_GB2312" w:hAnsi="仿宋" w:eastAsia="仿宋_GB2312" w:cs="Arial"/>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kinsoku w:val="0"/>
        <w:overflowPunct w:val="0"/>
        <w:autoSpaceDE w:val="0"/>
        <w:autoSpaceDN w:val="0"/>
        <w:snapToGrid w:val="0"/>
        <w:spacing w:line="360" w:lineRule="auto"/>
        <w:rPr>
          <w:rFonts w:ascii="仿宋_GB2312" w:hAnsi="仿宋" w:eastAsia="仿宋_GB2312" w:cs="Arial"/>
          <w:b/>
          <w:kern w:val="0"/>
          <w:sz w:val="24"/>
          <w:highlight w:val="none"/>
        </w:rPr>
      </w:pPr>
      <w:r>
        <w:rPr>
          <w:rFonts w:hint="eastAsia" w:ascii="仿宋_GB2312" w:hAnsi="仿宋" w:eastAsia="仿宋_GB2312" w:cs="Arial"/>
          <w:b/>
          <w:kern w:val="0"/>
          <w:sz w:val="24"/>
          <w:highlight w:val="none"/>
        </w:rPr>
        <w:t>四、评标中的其他事项</w:t>
      </w:r>
    </w:p>
    <w:p>
      <w:pPr>
        <w:pStyle w:val="129"/>
        <w:kinsoku w:val="0"/>
        <w:overflowPunct w:val="0"/>
        <w:autoSpaceDE w:val="0"/>
        <w:autoSpaceDN w:val="0"/>
        <w:snapToGrid w:val="0"/>
        <w:spacing w:before="0"/>
        <w:ind w:firstLine="472" w:firstLineChars="196"/>
        <w:rPr>
          <w:rFonts w:ascii="仿宋_GB2312" w:hAnsi="仿宋" w:eastAsia="仿宋_GB2312" w:cs="Arial"/>
          <w:kern w:val="0"/>
          <w:szCs w:val="24"/>
          <w:highlight w:val="none"/>
        </w:rPr>
      </w:pPr>
      <w:r>
        <w:rPr>
          <w:rFonts w:ascii="仿宋_GB2312" w:hAnsi="仿宋" w:eastAsia="仿宋_GB2312" w:cs="Arial"/>
          <w:b/>
          <w:kern w:val="0"/>
          <w:szCs w:val="24"/>
          <w:highlight w:val="none"/>
        </w:rPr>
        <w:t>4.1</w:t>
      </w:r>
      <w:r>
        <w:rPr>
          <w:rFonts w:hint="eastAsia" w:ascii="仿宋_GB2312" w:hAnsi="仿宋" w:eastAsia="仿宋_GB2312" w:cs="Arial"/>
          <w:b/>
          <w:kern w:val="0"/>
          <w:szCs w:val="24"/>
          <w:highlight w:val="none"/>
        </w:rPr>
        <w:t>投标人澄清、说明或者补正。</w:t>
      </w:r>
      <w:r>
        <w:rPr>
          <w:rFonts w:hint="eastAsia" w:ascii="仿宋_GB2312" w:hAnsi="仿宋" w:eastAsia="仿宋_GB2312" w:cs="Arial"/>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kinsoku w:val="0"/>
        <w:overflowPunct w:val="0"/>
        <w:autoSpaceDE w:val="0"/>
        <w:autoSpaceDN w:val="0"/>
        <w:snapToGrid w:val="0"/>
        <w:spacing w:line="360" w:lineRule="auto"/>
        <w:ind w:left="954" w:leftChars="226" w:hanging="479" w:firstLineChars="0"/>
        <w:rPr>
          <w:rFonts w:ascii="仿宋_GB2312" w:hAnsi="仿宋" w:eastAsia="仿宋_GB2312" w:cs="仿宋_GB2312"/>
          <w:szCs w:val="21"/>
          <w:highlight w:val="none"/>
        </w:rPr>
      </w:pPr>
      <w:r>
        <w:rPr>
          <w:rFonts w:ascii="仿宋_GB2312" w:hAnsi="仿宋" w:eastAsia="仿宋_GB2312" w:cs="Arial"/>
          <w:b/>
          <w:kern w:val="0"/>
          <w:highlight w:val="none"/>
        </w:rPr>
        <w:t>4.2投标无效。</w:t>
      </w:r>
      <w:r>
        <w:rPr>
          <w:rFonts w:hint="eastAsia" w:ascii="仿宋_GB2312" w:hAnsi="仿宋" w:eastAsia="仿宋_GB2312" w:cs="仿宋_GB2312"/>
          <w:szCs w:val="21"/>
          <w:highlight w:val="none"/>
        </w:rPr>
        <w:t>有下列情况之一的，投标无效：</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4.2.1投标人不具备招标文件中规定的资格要求的（投标人未提供有效的资格文件的，视为投标人不具备招标文件中规定的资格要求）；</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4.2.2投标文件未按照招标文件要求签署、盖章的；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3</w:t>
      </w:r>
      <w:r>
        <w:rPr>
          <w:rFonts w:ascii="仿宋_GB2312" w:hAnsi="仿宋" w:eastAsia="仿宋_GB2312" w:cs="Arial"/>
          <w:kern w:val="0"/>
          <w:sz w:val="24"/>
          <w:highlight w:val="none"/>
        </w:rPr>
        <w:t>投标文件含有采购人不能接受的附加条件的；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4</w:t>
      </w:r>
      <w:r>
        <w:rPr>
          <w:rFonts w:ascii="仿宋_GB2312" w:hAnsi="仿宋" w:eastAsia="仿宋_GB2312" w:cs="Arial"/>
          <w:kern w:val="0"/>
          <w:sz w:val="24"/>
          <w:highlight w:val="none"/>
        </w:rPr>
        <w:t>投标文件中承诺的投标有效期少于招标文件中载明的投标有效期的；</w:t>
      </w:r>
    </w:p>
    <w:p>
      <w:pPr>
        <w:kinsoku w:val="0"/>
        <w:overflowPunct w:val="0"/>
        <w:autoSpaceDE w:val="0"/>
        <w:autoSpaceDN w:val="0"/>
        <w:snapToGrid w:val="0"/>
        <w:spacing w:line="360" w:lineRule="auto"/>
        <w:ind w:firstLine="120" w:firstLineChars="50"/>
        <w:jc w:val="left"/>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w:t>
      </w:r>
      <w:r>
        <w:rPr>
          <w:rFonts w:hint="eastAsia" w:ascii="仿宋_GB2312" w:hAnsi="仿宋" w:eastAsia="仿宋_GB2312" w:cs="Arial"/>
          <w:kern w:val="0"/>
          <w:sz w:val="24"/>
          <w:highlight w:val="none"/>
        </w:rPr>
        <w:t xml:space="preserve"> </w:t>
      </w: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5</w:t>
      </w:r>
      <w:r>
        <w:rPr>
          <w:rFonts w:ascii="仿宋_GB2312" w:hAnsi="仿宋" w:eastAsia="仿宋_GB2312" w:cs="Arial"/>
          <w:kern w:val="0"/>
          <w:sz w:val="24"/>
          <w:highlight w:val="none"/>
        </w:rPr>
        <w:t>投标文件出现不是唯一的、有选择性投标报价的;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6</w:t>
      </w:r>
      <w:r>
        <w:rPr>
          <w:rFonts w:ascii="仿宋_GB2312" w:hAnsi="仿宋" w:eastAsia="仿宋_GB2312" w:cs="Arial"/>
          <w:kern w:val="0"/>
          <w:sz w:val="24"/>
          <w:highlight w:val="none"/>
        </w:rPr>
        <w:t>投标报价超过招标文件中规定的预算金额或者最高限价的;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7</w:t>
      </w:r>
      <w:r>
        <w:rPr>
          <w:rFonts w:ascii="仿宋_GB2312" w:hAnsi="仿宋" w:eastAsia="仿宋_GB2312" w:cs="Arial"/>
          <w:kern w:val="0"/>
          <w:sz w:val="24"/>
          <w:highlight w:val="none"/>
        </w:rPr>
        <w:t>报价明显低于其他通过符合性审查投标人的报价，有可能不能诚信履约的，未能按要求提供书面说明或者提交相关证明材料，不能证明其报价合理性的;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8</w:t>
      </w:r>
      <w:r>
        <w:rPr>
          <w:rFonts w:ascii="仿宋_GB2312" w:hAnsi="仿宋" w:eastAsia="仿宋_GB2312" w:cs="Arial"/>
          <w:kern w:val="0"/>
          <w:sz w:val="24"/>
          <w:highlight w:val="none"/>
        </w:rPr>
        <w:t>投标人对根据修正原则修正后的报价不确认的；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9</w:t>
      </w:r>
      <w:r>
        <w:rPr>
          <w:rFonts w:ascii="仿宋_GB2312" w:hAnsi="仿宋" w:eastAsia="仿宋_GB2312" w:cs="Arial"/>
          <w:kern w:val="0"/>
          <w:sz w:val="24"/>
          <w:highlight w:val="none"/>
        </w:rPr>
        <w:t>投标人提供虚假材料投标的；</w:t>
      </w:r>
    </w:p>
    <w:p>
      <w:pPr>
        <w:kinsoku w:val="0"/>
        <w:overflowPunct w:val="0"/>
        <w:autoSpaceDE w:val="0"/>
        <w:autoSpaceDN w:val="0"/>
        <w:snapToGrid w:val="0"/>
        <w:spacing w:line="360" w:lineRule="auto"/>
        <w:ind w:firstLine="240" w:firstLineChars="100"/>
        <w:rPr>
          <w:rFonts w:ascii="仿宋_GB2312" w:hAnsi="仿宋" w:eastAsia="仿宋_GB2312" w:cs="Arial"/>
          <w:kern w:val="0"/>
          <w:sz w:val="24"/>
          <w:highlight w:val="none"/>
        </w:rPr>
      </w:pPr>
      <w:r>
        <w:rPr>
          <w:rFonts w:ascii="仿宋_GB2312" w:hAnsi="仿宋" w:eastAsia="仿宋_GB2312" w:cs="Arial"/>
          <w:kern w:val="0"/>
          <w:sz w:val="24"/>
          <w:highlight w:val="none"/>
        </w:rPr>
        <w:t xml:space="preserve">  4.2.</w:t>
      </w:r>
      <w:r>
        <w:rPr>
          <w:rFonts w:hint="eastAsia" w:ascii="仿宋_GB2312" w:hAnsi="仿宋" w:eastAsia="仿宋_GB2312" w:cs="Arial"/>
          <w:kern w:val="0"/>
          <w:sz w:val="24"/>
          <w:highlight w:val="none"/>
        </w:rPr>
        <w:t>10</w:t>
      </w:r>
      <w:r>
        <w:rPr>
          <w:rFonts w:ascii="仿宋_GB2312" w:hAnsi="仿宋" w:eastAsia="仿宋_GB2312" w:cs="Arial"/>
          <w:kern w:val="0"/>
          <w:sz w:val="24"/>
          <w:highlight w:val="none"/>
        </w:rPr>
        <w:t>投标人有恶意串通、妨碍其他投标人的竞争行为、损害采购人或者其他投标人的合法权益情形的；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w:t>
      </w:r>
      <w:r>
        <w:rPr>
          <w:rFonts w:hint="eastAsia" w:ascii="仿宋_GB2312" w:hAnsi="仿宋" w:eastAsia="仿宋_GB2312" w:cs="Arial"/>
          <w:kern w:val="0"/>
          <w:sz w:val="24"/>
          <w:highlight w:val="none"/>
        </w:rPr>
        <w:t>11</w:t>
      </w:r>
      <w:r>
        <w:rPr>
          <w:rFonts w:ascii="仿宋_GB2312" w:hAnsi="仿宋" w:eastAsia="仿宋_GB2312" w:cs="Arial"/>
          <w:kern w:val="0"/>
          <w:sz w:val="24"/>
          <w:highlight w:val="none"/>
        </w:rPr>
        <w:t>投标人仅提交备份投标文件，没有在电子交易平台传输递交投标文件的，投标无效；</w:t>
      </w:r>
    </w:p>
    <w:p>
      <w:pPr>
        <w:pStyle w:val="5"/>
        <w:keepNext w:val="0"/>
        <w:keepLines w:val="0"/>
        <w:kinsoku w:val="0"/>
        <w:overflowPunct w:val="0"/>
        <w:autoSpaceDE w:val="0"/>
        <w:autoSpaceDN w:val="0"/>
        <w:adjustRightInd w:val="0"/>
        <w:snapToGrid w:val="0"/>
        <w:ind w:left="862" w:leftChars="205"/>
        <w:rPr>
          <w:rFonts w:cs="Arial"/>
          <w:b w:val="0"/>
          <w:bCs w:val="0"/>
          <w:kern w:val="0"/>
          <w:sz w:val="24"/>
          <w:szCs w:val="24"/>
          <w:highlight w:val="none"/>
          <w:lang w:val="en-US"/>
        </w:rPr>
      </w:pPr>
      <w:r>
        <w:rPr>
          <w:rFonts w:cs="Arial"/>
          <w:b w:val="0"/>
          <w:bCs w:val="0"/>
          <w:kern w:val="0"/>
          <w:sz w:val="24"/>
          <w:szCs w:val="24"/>
          <w:highlight w:val="none"/>
          <w:lang w:val="en-US"/>
        </w:rPr>
        <w:t>4.2.</w:t>
      </w:r>
      <w:r>
        <w:rPr>
          <w:rFonts w:hint="eastAsia" w:cs="Arial"/>
          <w:b w:val="0"/>
          <w:bCs w:val="0"/>
          <w:kern w:val="0"/>
          <w:sz w:val="24"/>
          <w:szCs w:val="24"/>
          <w:highlight w:val="none"/>
          <w:lang w:val="en-US"/>
        </w:rPr>
        <w:t>12投标文件不满足招标文件的其它实质性要求的；</w:t>
      </w:r>
    </w:p>
    <w:p>
      <w:pPr>
        <w:kinsoku w:val="0"/>
        <w:overflowPunct w:val="0"/>
        <w:autoSpaceDE w:val="0"/>
        <w:autoSpaceDN w:val="0"/>
        <w:snapToGrid w:val="0"/>
        <w:spacing w:line="360" w:lineRule="auto"/>
        <w:ind w:firstLine="480" w:firstLineChars="200"/>
        <w:rPr>
          <w:rFonts w:ascii="仿宋_GB2312" w:hAnsi="仿宋" w:eastAsia="仿宋_GB2312" w:cs="Arial"/>
          <w:kern w:val="0"/>
          <w:sz w:val="24"/>
          <w:highlight w:val="none"/>
        </w:rPr>
      </w:pPr>
      <w:r>
        <w:rPr>
          <w:rFonts w:ascii="仿宋_GB2312" w:hAnsi="仿宋" w:eastAsia="仿宋_GB2312" w:cs="Arial"/>
          <w:kern w:val="0"/>
          <w:sz w:val="24"/>
          <w:highlight w:val="none"/>
        </w:rPr>
        <w:t>4.2.1</w:t>
      </w:r>
      <w:r>
        <w:rPr>
          <w:rFonts w:hint="eastAsia" w:ascii="仿宋_GB2312" w:hAnsi="仿宋" w:eastAsia="仿宋_GB2312" w:cs="Arial"/>
          <w:kern w:val="0"/>
          <w:sz w:val="24"/>
          <w:highlight w:val="none"/>
        </w:rPr>
        <w:t>3</w:t>
      </w:r>
      <w:r>
        <w:rPr>
          <w:rFonts w:ascii="仿宋_GB2312" w:hAnsi="仿宋" w:eastAsia="仿宋_GB2312" w:cs="Arial"/>
          <w:kern w:val="0"/>
          <w:sz w:val="24"/>
          <w:highlight w:val="none"/>
        </w:rPr>
        <w:t>法律、法规、规章（适用本市的）及省级以上规范性文件（适用本市的）规定的其他无效情形。</w:t>
      </w:r>
    </w:p>
    <w:p>
      <w:pPr>
        <w:pStyle w:val="2"/>
        <w:kinsoku w:val="0"/>
        <w:overflowPunct w:val="0"/>
        <w:autoSpaceDE w:val="0"/>
        <w:autoSpaceDN w:val="0"/>
        <w:snapToGrid w:val="0"/>
        <w:spacing w:line="360" w:lineRule="auto"/>
        <w:ind w:firstLine="472" w:firstLineChars="196"/>
        <w:rPr>
          <w:rFonts w:ascii="仿宋_GB2312" w:hAnsi="仿宋" w:eastAsia="仿宋_GB2312" w:cs="仿宋_GB2312"/>
          <w:highlight w:val="none"/>
        </w:rPr>
      </w:pPr>
      <w:r>
        <w:rPr>
          <w:rFonts w:ascii="仿宋_GB2312" w:hAnsi="仿宋" w:eastAsia="仿宋_GB2312" w:cs="仿宋_GB2312"/>
          <w:b/>
          <w:highlight w:val="none"/>
        </w:rPr>
        <w:t>5.废标。</w:t>
      </w:r>
      <w:r>
        <w:rPr>
          <w:rFonts w:hint="eastAsia" w:ascii="仿宋_GB2312" w:hAnsi="仿宋" w:eastAsia="仿宋_GB2312" w:cs="仿宋_GB2312"/>
          <w:highlight w:val="none"/>
        </w:rPr>
        <w:t>根据《中华人民共和国政府采购法》第三十六条之规定，在采购中，出现下列情形之一的，应予废标：</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5.1符合专业条件的供应商或者对招标文件作实质响应的供应商不足3家的；</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5.2出现影响采购公正的违法、违规行为的；</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5.3投标人的报价均超过了采购预算，采购人不能支付的；</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5.4因重大变故，采购任务取消的。</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hint="eastAsia" w:ascii="仿宋_GB2312" w:hAnsi="仿宋" w:eastAsia="仿宋_GB2312" w:cs="仿宋_GB2312"/>
          <w:highlight w:val="none"/>
        </w:rPr>
        <w:t>废标后，采购机构应当将废标理由通知所有投标人。</w:t>
      </w:r>
    </w:p>
    <w:p>
      <w:pPr>
        <w:pStyle w:val="2"/>
        <w:kinsoku w:val="0"/>
        <w:overflowPunct w:val="0"/>
        <w:autoSpaceDE w:val="0"/>
        <w:autoSpaceDN w:val="0"/>
        <w:snapToGrid w:val="0"/>
        <w:spacing w:line="360" w:lineRule="auto"/>
        <w:ind w:firstLine="482"/>
        <w:rPr>
          <w:rFonts w:ascii="仿宋_GB2312" w:hAnsi="仿宋" w:eastAsia="仿宋_GB2312" w:cs="仿宋_GB2312"/>
          <w:highlight w:val="none"/>
        </w:rPr>
      </w:pPr>
      <w:r>
        <w:rPr>
          <w:rFonts w:ascii="仿宋_GB2312" w:hAnsi="仿宋" w:eastAsia="仿宋_GB2312" w:cs="仿宋_GB2312"/>
          <w:b/>
          <w:highlight w:val="none"/>
        </w:rPr>
        <w:t>6.修改招标文件，重新组织采购活动。</w:t>
      </w:r>
      <w:r>
        <w:rPr>
          <w:rFonts w:hint="eastAsia" w:ascii="仿宋_GB2312" w:hAnsi="仿宋" w:eastAsia="仿宋_GB2312" w:cs="仿宋_GB2312"/>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kinsoku w:val="0"/>
        <w:overflowPunct w:val="0"/>
        <w:autoSpaceDE w:val="0"/>
        <w:autoSpaceDN w:val="0"/>
        <w:snapToGrid w:val="0"/>
        <w:spacing w:line="360" w:lineRule="auto"/>
        <w:ind w:firstLine="482"/>
        <w:rPr>
          <w:rFonts w:ascii="仿宋_GB2312" w:hAnsi="仿宋" w:eastAsia="仿宋_GB2312" w:cs="仿宋_GB2312"/>
          <w:highlight w:val="none"/>
        </w:rPr>
      </w:pPr>
      <w:r>
        <w:rPr>
          <w:rFonts w:hint="eastAsia" w:ascii="仿宋_GB2312" w:hAnsi="Helvetica" w:eastAsia="仿宋_GB2312" w:cs="Helvetica"/>
          <w:b/>
          <w:kern w:val="0"/>
          <w:highlight w:val="none"/>
        </w:rPr>
        <w:t>7.重新开展采购。</w:t>
      </w:r>
      <w:r>
        <w:rPr>
          <w:rFonts w:hint="eastAsia" w:ascii="仿宋_GB2312" w:hAnsi="仿宋" w:eastAsia="仿宋_GB2312" w:cs="仿宋_GB2312"/>
          <w:highlight w:val="none"/>
        </w:rPr>
        <w:t>有政府采购法第七十一条、第七十二条规定的违法行为之一，影响或者可能影响中标、成交结果的，依照下列规定处理：</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7.1未确定中标或者中标人的，终止本次政府采购活动，重新开展政府采购</w:t>
      </w:r>
      <w:r>
        <w:rPr>
          <w:rFonts w:hint="eastAsia" w:ascii="仿宋_GB2312" w:hAnsi="仿宋" w:eastAsia="仿宋_GB2312" w:cs="仿宋_GB2312"/>
          <w:highlight w:val="none"/>
        </w:rPr>
        <w:t>活动。</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7.3政府采购合同已签订但尚未履行的，撤销合同，从合格的中标或者成交候选人中另行确定中标或者中标人；没有合格的中标或者成交候选人的，重新开展政府采购活动。</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7.4政府采购合同已经履行，给采购人、供应</w:t>
      </w:r>
      <w:r>
        <w:rPr>
          <w:rFonts w:hint="eastAsia" w:ascii="仿宋_GB2312" w:hAnsi="仿宋" w:eastAsia="仿宋_GB2312" w:cs="仿宋_GB2312"/>
          <w:highlight w:val="none"/>
        </w:rPr>
        <w:t>商造成损失的，由责任人承担赔偿责任。</w:t>
      </w:r>
    </w:p>
    <w:p>
      <w:pPr>
        <w:pStyle w:val="2"/>
        <w:kinsoku w:val="0"/>
        <w:overflowPunct w:val="0"/>
        <w:autoSpaceDE w:val="0"/>
        <w:autoSpaceDN w:val="0"/>
        <w:snapToGrid w:val="0"/>
        <w:spacing w:line="360" w:lineRule="auto"/>
        <w:rPr>
          <w:rFonts w:ascii="仿宋_GB2312" w:hAnsi="仿宋" w:eastAsia="仿宋_GB2312" w:cs="仿宋_GB2312"/>
          <w:highlight w:val="none"/>
        </w:rPr>
      </w:pPr>
      <w:r>
        <w:rPr>
          <w:rFonts w:ascii="仿宋_GB2312" w:hAnsi="仿宋" w:eastAsia="仿宋_GB2312" w:cs="仿宋_GB2312"/>
          <w:highlight w:val="none"/>
        </w:rPr>
        <w:t>7.5政府采购当事人有其他违反政府采购</w:t>
      </w:r>
      <w:r>
        <w:rPr>
          <w:rFonts w:hint="eastAsia" w:ascii="仿宋_GB2312" w:hAnsi="仿宋" w:eastAsia="仿宋_GB2312" w:cs="仿宋_GB2312"/>
          <w:highlight w:val="none"/>
        </w:rPr>
        <w:t>法</w:t>
      </w:r>
      <w:r>
        <w:rPr>
          <w:rFonts w:hint="eastAsia" w:ascii="仿宋_GB2312" w:hAnsi="仿宋" w:eastAsia="仿宋_GB2312" w:cs="Arial"/>
          <w:kern w:val="0"/>
          <w:highlight w:val="none"/>
        </w:rPr>
        <w:t>或者政府采购法实施条例等法律法规规定</w:t>
      </w:r>
      <w:r>
        <w:rPr>
          <w:rFonts w:hint="eastAsia" w:ascii="仿宋_GB2312" w:hAnsi="仿宋" w:eastAsia="仿宋_GB2312" w:cs="仿宋_GB2312"/>
          <w:highlight w:val="none"/>
        </w:rPr>
        <w:t>的行为，经改正后仍然影响或者可能影响中标、成交结果或者依法被认定为中标、成交无效的，依照</w:t>
      </w:r>
      <w:r>
        <w:rPr>
          <w:rFonts w:ascii="仿宋_GB2312" w:hAnsi="仿宋" w:eastAsia="仿宋_GB2312" w:cs="仿宋_GB2312"/>
          <w:highlight w:val="none"/>
        </w:rPr>
        <w:t>7.1-7.4规定处理。</w:t>
      </w:r>
    </w:p>
    <w:p>
      <w:pPr>
        <w:pStyle w:val="2"/>
        <w:kinsoku w:val="0"/>
        <w:overflowPunct w:val="0"/>
        <w:autoSpaceDE w:val="0"/>
        <w:autoSpaceDN w:val="0"/>
        <w:snapToGrid w:val="0"/>
        <w:spacing w:line="360" w:lineRule="auto"/>
        <w:rPr>
          <w:rFonts w:ascii="仿宋_GB2312" w:hAnsi="仿宋" w:eastAsia="仿宋_GB2312" w:cs="仿宋_GB2312"/>
          <w:highlight w:val="none"/>
        </w:rPr>
      </w:pPr>
    </w:p>
    <w:p>
      <w:pPr>
        <w:pStyle w:val="2"/>
        <w:kinsoku w:val="0"/>
        <w:overflowPunct w:val="0"/>
        <w:autoSpaceDE w:val="0"/>
        <w:autoSpaceDN w:val="0"/>
        <w:snapToGrid w:val="0"/>
        <w:spacing w:line="360" w:lineRule="auto"/>
        <w:rPr>
          <w:rFonts w:ascii="仿宋_GB2312" w:hAnsi="仿宋" w:eastAsia="仿宋_GB2312" w:cs="仿宋_GB2312"/>
          <w:highlight w:val="none"/>
        </w:rPr>
      </w:pPr>
    </w:p>
    <w:p>
      <w:pPr>
        <w:pStyle w:val="2"/>
        <w:snapToGrid w:val="0"/>
        <w:spacing w:line="360" w:lineRule="auto"/>
        <w:ind w:firstLine="0" w:firstLineChars="0"/>
        <w:rPr>
          <w:rFonts w:ascii="仿宋_GB2312" w:hAnsi="仿宋" w:eastAsia="仿宋_GB2312" w:cs="仿宋_GB2312"/>
          <w:highlight w:val="none"/>
        </w:rPr>
      </w:pPr>
    </w:p>
    <w:bookmarkEnd w:id="26"/>
    <w:p>
      <w:pPr>
        <w:spacing w:line="360" w:lineRule="auto"/>
        <w:ind w:left="720" w:leftChars="343" w:firstLine="1084" w:firstLineChars="300"/>
        <w:outlineLvl w:val="0"/>
        <w:rPr>
          <w:rFonts w:ascii="仿宋_GB2312" w:hAnsi="仿宋" w:eastAsia="仿宋_GB2312" w:cs="仿宋_GB2312"/>
          <w:b/>
          <w:sz w:val="36"/>
          <w:szCs w:val="36"/>
          <w:highlight w:val="none"/>
        </w:rPr>
      </w:pPr>
      <w:bookmarkStart w:id="392" w:name="第五部分"/>
      <w:bookmarkStart w:id="393" w:name="_Toc86217003"/>
    </w:p>
    <w:p>
      <w:pPr>
        <w:spacing w:line="360" w:lineRule="auto"/>
        <w:outlineLvl w:val="0"/>
        <w:rPr>
          <w:rFonts w:ascii="仿宋_GB2312" w:hAnsi="仿宋" w:eastAsia="仿宋_GB2312" w:cs="仿宋_GB2312"/>
          <w:b/>
          <w:sz w:val="36"/>
          <w:szCs w:val="36"/>
          <w:highlight w:val="none"/>
        </w:rPr>
      </w:pPr>
      <w:r>
        <w:rPr>
          <w:rFonts w:ascii="仿宋_GB2312" w:hAnsi="仿宋" w:eastAsia="仿宋_GB2312" w:cs="仿宋_GB2312"/>
          <w:b/>
          <w:sz w:val="36"/>
          <w:szCs w:val="36"/>
          <w:highlight w:val="none"/>
        </w:rPr>
        <w:t xml:space="preserve"> </w:t>
      </w:r>
    </w:p>
    <w:p>
      <w:pPr>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第五部分</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拟签订的合同文本</w:t>
      </w:r>
    </w:p>
    <w:p>
      <w:pPr>
        <w:spacing w:line="520" w:lineRule="exact"/>
        <w:jc w:val="center"/>
        <w:rPr>
          <w:rFonts w:ascii="仿宋" w:hAnsi="仿宋" w:eastAsia="仿宋" w:cs="宋体"/>
          <w:sz w:val="24"/>
          <w:highlight w:val="none"/>
        </w:rPr>
      </w:pPr>
      <w:r>
        <w:rPr>
          <w:rFonts w:hint="eastAsia" w:ascii="仿宋" w:hAnsi="仿宋" w:eastAsia="仿宋" w:cs="宋体"/>
          <w:sz w:val="24"/>
          <w:highlight w:val="none"/>
        </w:rPr>
        <w:t>（以最终合同为准）</w:t>
      </w:r>
    </w:p>
    <w:p>
      <w:pPr>
        <w:adjustRightInd/>
        <w:snapToGrid w:val="0"/>
        <w:spacing w:line="360" w:lineRule="auto"/>
        <w:ind w:firstLine="482"/>
        <w:rPr>
          <w:rFonts w:ascii="仿宋" w:hAnsi="仿宋" w:eastAsia="仿宋" w:cs="宋体"/>
          <w:spacing w:val="-2"/>
          <w:sz w:val="24"/>
          <w:highlight w:val="none"/>
        </w:rPr>
      </w:pPr>
      <w:r>
        <w:rPr>
          <w:rFonts w:hint="eastAsia" w:ascii="仿宋" w:hAnsi="仿宋" w:eastAsia="仿宋" w:cs="宋体"/>
          <w:sz w:val="24"/>
          <w:highlight w:val="none"/>
        </w:rPr>
        <w:t>说明：合同将由采购人（以下简称甲方）与经评审最终确定的中标人（以下简称乙方）结合本项目具体情况协商后签订，</w:t>
      </w:r>
      <w:r>
        <w:rPr>
          <w:rFonts w:hint="eastAsia" w:ascii="仿宋" w:hAnsi="仿宋" w:eastAsia="仿宋" w:cs="宋体"/>
          <w:spacing w:val="-2"/>
          <w:sz w:val="24"/>
          <w:highlight w:val="none"/>
        </w:rPr>
        <w:t>本合同为样稿。</w:t>
      </w:r>
    </w:p>
    <w:p>
      <w:pPr>
        <w:adjustRightInd/>
        <w:snapToGrid w:val="0"/>
        <w:spacing w:line="360" w:lineRule="auto"/>
        <w:ind w:firstLine="482"/>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杭州西湖博物馆总馆安保服务合同</w:t>
      </w:r>
    </w:p>
    <w:p>
      <w:pPr>
        <w:adjustRightInd/>
        <w:snapToGrid w:val="0"/>
        <w:spacing w:line="360" w:lineRule="auto"/>
        <w:ind w:firstLine="482"/>
        <w:rPr>
          <w:rFonts w:ascii="仿宋" w:hAnsi="仿宋" w:eastAsia="仿宋" w:cs="宋体"/>
          <w:b/>
          <w:sz w:val="24"/>
          <w:highlight w:val="none"/>
        </w:rPr>
      </w:pPr>
      <w:r>
        <w:rPr>
          <w:rFonts w:hint="eastAsia" w:ascii="仿宋" w:hAnsi="仿宋" w:eastAsia="仿宋" w:cs="宋体"/>
          <w:sz w:val="24"/>
          <w:highlight w:val="none"/>
        </w:rPr>
        <w:t>根据《中华人民共和国政府采购法》和《中华人民共和国民法典》、地方有关安保服务法律、法规和政策，在平等、自愿、协商一致的基础上，就采购人委托成交人（</w:t>
      </w:r>
      <w:r>
        <w:rPr>
          <w:rFonts w:hint="eastAsia" w:ascii="仿宋" w:hAnsi="仿宋" w:eastAsia="仿宋" w:cs="宋体"/>
          <w:kern w:val="0"/>
          <w:sz w:val="24"/>
          <w:highlight w:val="none"/>
          <w:lang w:val="zh-CN"/>
        </w:rPr>
        <w:t>经评审最终确定的</w:t>
      </w:r>
      <w:r>
        <w:rPr>
          <w:rFonts w:hint="eastAsia" w:ascii="仿宋" w:hAnsi="仿宋" w:eastAsia="仿宋" w:cs="宋体"/>
          <w:sz w:val="24"/>
          <w:highlight w:val="none"/>
        </w:rPr>
        <w:t>成交供应商）对杭州西湖博物馆总馆安保服务实行专业化、一体化的安保服务订立本合同。</w:t>
      </w:r>
    </w:p>
    <w:p>
      <w:pPr>
        <w:adjustRightInd/>
        <w:snapToGrid w:val="0"/>
        <w:spacing w:line="360" w:lineRule="auto"/>
        <w:ind w:firstLine="482"/>
        <w:rPr>
          <w:rFonts w:ascii="仿宋" w:hAnsi="仿宋" w:eastAsia="仿宋" w:cs="宋体"/>
          <w:b/>
          <w:sz w:val="24"/>
          <w:highlight w:val="none"/>
        </w:rPr>
      </w:pPr>
      <w:r>
        <w:rPr>
          <w:rFonts w:hint="eastAsia" w:ascii="仿宋" w:hAnsi="仿宋" w:eastAsia="仿宋" w:cs="宋体"/>
          <w:b/>
          <w:sz w:val="24"/>
          <w:highlight w:val="none"/>
        </w:rPr>
        <w:t>第一条 定义</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w:t>
      </w:r>
      <w:r>
        <w:rPr>
          <w:rFonts w:hint="eastAsia" w:ascii="仿宋" w:hAnsi="仿宋" w:eastAsia="仿宋" w:cs="宋体"/>
          <w:kern w:val="0"/>
          <w:sz w:val="24"/>
          <w:highlight w:val="none"/>
          <w:lang w:val="zh-CN"/>
        </w:rPr>
        <w:t>合同”</w:t>
      </w:r>
      <w:r>
        <w:rPr>
          <w:rFonts w:hint="eastAsia" w:ascii="仿宋" w:hAnsi="仿宋" w:eastAsia="仿宋" w:cs="宋体"/>
          <w:sz w:val="24"/>
          <w:highlight w:val="none"/>
        </w:rPr>
        <w:t>即由采购人、</w:t>
      </w:r>
      <w:r>
        <w:rPr>
          <w:rFonts w:hint="eastAsia" w:ascii="仿宋" w:hAnsi="仿宋" w:eastAsia="仿宋" w:cs="宋体"/>
          <w:kern w:val="0"/>
          <w:sz w:val="24"/>
          <w:highlight w:val="none"/>
          <w:lang w:val="zh-CN"/>
        </w:rPr>
        <w:t>成交人</w:t>
      </w:r>
      <w:r>
        <w:rPr>
          <w:rFonts w:hint="eastAsia" w:ascii="仿宋" w:hAnsi="仿宋" w:eastAsia="仿宋" w:cs="宋体"/>
          <w:sz w:val="24"/>
          <w:highlight w:val="none"/>
        </w:rPr>
        <w:t>共同签订的合同格式中的文件，包括所有的附件、附录和组成合同部分的所有其他文件。</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合同将由采购人</w:t>
      </w:r>
      <w:r>
        <w:rPr>
          <w:rFonts w:hint="eastAsia" w:ascii="仿宋_GB2312" w:hAnsi="仿宋" w:eastAsia="仿宋_GB2312"/>
          <w:sz w:val="24"/>
          <w:highlight w:val="none"/>
        </w:rPr>
        <w:t>杭州西湖博物馆总馆(西湖学研究院、杭州西湖风景名胜区网宣中心)</w:t>
      </w:r>
      <w:r>
        <w:rPr>
          <w:rFonts w:hint="eastAsia" w:ascii="仿宋" w:hAnsi="仿宋" w:eastAsia="仿宋" w:cs="宋体"/>
          <w:sz w:val="24"/>
          <w:highlight w:val="none"/>
        </w:rPr>
        <w:t>（以下简称甲方）与经评审最终确定的成交人</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（以下简称乙方）结合本项目具体情况协商后签订</w:t>
      </w:r>
      <w:r>
        <w:rPr>
          <w:rFonts w:hint="eastAsia" w:ascii="仿宋" w:hAnsi="仿宋" w:eastAsia="仿宋" w:cs="宋体"/>
          <w:kern w:val="0"/>
          <w:sz w:val="24"/>
          <w:highlight w:val="none"/>
          <w:lang w:val="zh-CN"/>
        </w:rPr>
        <w:t>。以下为甲方提出涉及乙方的主要条款，乙方在响应文件中应对其进行确认或拒绝。如乙方在其响应文件中未做拒绝或提出修改要求的，甲方将视作认同</w:t>
      </w:r>
      <w:r>
        <w:rPr>
          <w:rFonts w:hint="eastAsia" w:ascii="仿宋" w:hAnsi="仿宋" w:eastAsia="仿宋" w:cs="宋体"/>
          <w:sz w:val="24"/>
          <w:highlight w:val="none"/>
        </w:rPr>
        <w:t>。</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2.“合同价格”系指根据合同规定，在乙方全面正确地履行合同义务时，甲方应支付给乙方的款项。</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3.“安保服务”系指乙方按采购文件规定，结合本项目特点，提出安保服务服务定位、目标，为甲方提供优质的安保服务。</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4.“现场”系指将要提供安保服务与服务的地点。</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5.“验收”系指甲方依据国家有关规定接受合同所依据的程序和条件。</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第二条 适用范围</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本合同条款适用与本次采购活动。项目实施范围详见附件——响应文件和采购文件及补充文件、承诺书等。</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第三条  基本情况</w:t>
      </w:r>
    </w:p>
    <w:p>
      <w:pPr>
        <w:adjustRightInd/>
        <w:snapToGrid w:val="0"/>
        <w:spacing w:line="360" w:lineRule="auto"/>
        <w:ind w:firstLine="720" w:firstLineChars="300"/>
        <w:rPr>
          <w:rFonts w:ascii="仿宋" w:hAnsi="仿宋" w:eastAsia="仿宋" w:cs="宋体"/>
          <w:sz w:val="24"/>
          <w:highlight w:val="none"/>
          <w:u w:val="single"/>
        </w:rPr>
      </w:pPr>
      <w:r>
        <w:rPr>
          <w:rFonts w:hint="eastAsia" w:ascii="仿宋" w:hAnsi="仿宋" w:eastAsia="仿宋" w:cs="宋体"/>
          <w:sz w:val="24"/>
          <w:highlight w:val="none"/>
        </w:rPr>
        <w:t>名称：</w:t>
      </w:r>
      <w:r>
        <w:rPr>
          <w:rFonts w:hint="eastAsia" w:ascii="仿宋" w:hAnsi="仿宋" w:eastAsia="仿宋" w:cs="宋体"/>
          <w:sz w:val="24"/>
          <w:highlight w:val="none"/>
        </w:rPr>
        <w:softHyphen/>
      </w:r>
      <w:r>
        <w:rPr>
          <w:rFonts w:hint="eastAsia" w:ascii="仿宋" w:hAnsi="仿宋" w:eastAsia="仿宋" w:cs="宋体"/>
          <w:sz w:val="24"/>
          <w:highlight w:val="none"/>
        </w:rPr>
        <w:softHyphen/>
      </w:r>
      <w:r>
        <w:rPr>
          <w:rFonts w:hint="eastAsia" w:ascii="仿宋" w:hAnsi="仿宋" w:eastAsia="仿宋" w:cs="宋体"/>
          <w:sz w:val="24"/>
          <w:highlight w:val="none"/>
        </w:rPr>
        <w:t xml:space="preserve"> </w:t>
      </w:r>
      <w:r>
        <w:rPr>
          <w:rFonts w:hint="eastAsia" w:ascii="仿宋" w:hAnsi="仿宋" w:eastAsia="仿宋" w:cs="宋体"/>
          <w:sz w:val="24"/>
          <w:highlight w:val="none"/>
          <w:u w:val="single"/>
        </w:rPr>
        <w:t>___________________________</w:t>
      </w:r>
    </w:p>
    <w:p>
      <w:pPr>
        <w:adjustRightInd/>
        <w:snapToGrid w:val="0"/>
        <w:spacing w:line="360" w:lineRule="auto"/>
        <w:ind w:firstLine="720" w:firstLineChars="300"/>
        <w:rPr>
          <w:rFonts w:ascii="仿宋" w:hAnsi="仿宋" w:eastAsia="仿宋" w:cs="宋体"/>
          <w:sz w:val="24"/>
          <w:highlight w:val="none"/>
          <w:u w:val="single"/>
        </w:rPr>
      </w:pPr>
      <w:r>
        <w:rPr>
          <w:rFonts w:hint="eastAsia" w:ascii="仿宋" w:hAnsi="仿宋" w:eastAsia="仿宋" w:cs="宋体"/>
          <w:sz w:val="24"/>
          <w:highlight w:val="none"/>
        </w:rPr>
        <w:t>类型：</w:t>
      </w:r>
      <w:r>
        <w:rPr>
          <w:rFonts w:hint="eastAsia" w:ascii="仿宋" w:hAnsi="仿宋" w:eastAsia="仿宋" w:cs="宋体"/>
          <w:sz w:val="24"/>
          <w:highlight w:val="none"/>
        </w:rPr>
        <w:softHyphen/>
      </w:r>
      <w:r>
        <w:rPr>
          <w:rFonts w:hint="eastAsia" w:ascii="仿宋" w:hAnsi="仿宋" w:eastAsia="仿宋" w:cs="宋体"/>
          <w:sz w:val="24"/>
          <w:highlight w:val="none"/>
        </w:rPr>
        <w:softHyphen/>
      </w:r>
      <w:r>
        <w:rPr>
          <w:rFonts w:hint="eastAsia" w:ascii="仿宋" w:hAnsi="仿宋" w:eastAsia="仿宋" w:cs="宋体"/>
          <w:sz w:val="24"/>
          <w:highlight w:val="none"/>
        </w:rPr>
        <w:t xml:space="preserve"> </w:t>
      </w:r>
      <w:r>
        <w:rPr>
          <w:rFonts w:hint="eastAsia" w:ascii="仿宋" w:hAnsi="仿宋" w:eastAsia="仿宋" w:cs="宋体"/>
          <w:sz w:val="24"/>
          <w:highlight w:val="none"/>
          <w:u w:val="single"/>
        </w:rPr>
        <w:t>___________________________</w:t>
      </w:r>
    </w:p>
    <w:p>
      <w:pPr>
        <w:adjustRightInd/>
        <w:snapToGrid w:val="0"/>
        <w:spacing w:line="360" w:lineRule="auto"/>
        <w:ind w:firstLine="720" w:firstLineChars="300"/>
        <w:rPr>
          <w:rFonts w:ascii="仿宋" w:hAnsi="仿宋" w:eastAsia="仿宋" w:cs="宋体"/>
          <w:sz w:val="24"/>
          <w:highlight w:val="none"/>
        </w:rPr>
      </w:pPr>
      <w:r>
        <w:rPr>
          <w:rFonts w:hint="eastAsia" w:ascii="仿宋" w:hAnsi="仿宋" w:eastAsia="仿宋" w:cs="宋体"/>
          <w:sz w:val="24"/>
          <w:highlight w:val="none"/>
        </w:rPr>
        <w:t>位置：</w:t>
      </w:r>
      <w:r>
        <w:rPr>
          <w:rFonts w:hint="eastAsia" w:ascii="仿宋" w:hAnsi="仿宋" w:eastAsia="仿宋" w:cs="宋体"/>
          <w:sz w:val="24"/>
          <w:highlight w:val="none"/>
        </w:rPr>
        <w:softHyphen/>
      </w:r>
      <w:r>
        <w:rPr>
          <w:rFonts w:hint="eastAsia" w:ascii="仿宋" w:hAnsi="仿宋" w:eastAsia="仿宋" w:cs="宋体"/>
          <w:sz w:val="24"/>
          <w:highlight w:val="none"/>
        </w:rPr>
        <w:softHyphen/>
      </w:r>
      <w:r>
        <w:rPr>
          <w:rFonts w:hint="eastAsia" w:ascii="仿宋" w:hAnsi="仿宋" w:eastAsia="仿宋" w:cs="宋体"/>
          <w:sz w:val="24"/>
          <w:highlight w:val="none"/>
        </w:rPr>
        <w:t xml:space="preserve"> </w:t>
      </w:r>
      <w:r>
        <w:rPr>
          <w:rFonts w:hint="eastAsia" w:ascii="仿宋" w:hAnsi="仿宋" w:eastAsia="仿宋" w:cs="宋体"/>
          <w:sz w:val="24"/>
          <w:highlight w:val="none"/>
          <w:u w:val="single"/>
        </w:rPr>
        <w:t>__________</w:t>
      </w:r>
      <w:r>
        <w:rPr>
          <w:rFonts w:hint="eastAsia" w:ascii="仿宋" w:hAnsi="仿宋" w:eastAsia="仿宋" w:cs="宋体"/>
          <w:sz w:val="24"/>
          <w:highlight w:val="none"/>
        </w:rPr>
        <w:t>区/县</w:t>
      </w:r>
      <w:r>
        <w:rPr>
          <w:rFonts w:hint="eastAsia" w:ascii="仿宋" w:hAnsi="仿宋" w:eastAsia="仿宋" w:cs="宋体"/>
          <w:sz w:val="24"/>
          <w:highlight w:val="none"/>
          <w:u w:val="single"/>
        </w:rPr>
        <w:t>__________</w:t>
      </w:r>
      <w:r>
        <w:rPr>
          <w:rFonts w:hint="eastAsia" w:ascii="仿宋" w:hAnsi="仿宋" w:eastAsia="仿宋" w:cs="宋体"/>
          <w:sz w:val="24"/>
          <w:highlight w:val="none"/>
        </w:rPr>
        <w:t>乡/镇路</w:t>
      </w:r>
      <w:r>
        <w:rPr>
          <w:rFonts w:hint="eastAsia" w:ascii="仿宋" w:hAnsi="仿宋" w:eastAsia="仿宋" w:cs="宋体"/>
          <w:sz w:val="24"/>
          <w:highlight w:val="none"/>
          <w:u w:val="single"/>
        </w:rPr>
        <w:t>__________</w:t>
      </w:r>
      <w:r>
        <w:rPr>
          <w:rFonts w:hint="eastAsia" w:ascii="仿宋" w:hAnsi="仿宋" w:eastAsia="仿宋" w:cs="宋体"/>
          <w:sz w:val="24"/>
          <w:highlight w:val="none"/>
        </w:rPr>
        <w:t>弄</w:t>
      </w:r>
      <w:r>
        <w:rPr>
          <w:rFonts w:hint="eastAsia" w:ascii="仿宋" w:hAnsi="仿宋" w:eastAsia="仿宋" w:cs="宋体"/>
          <w:sz w:val="24"/>
          <w:highlight w:val="none"/>
          <w:u w:val="single"/>
        </w:rPr>
        <w:t>__________</w:t>
      </w:r>
      <w:r>
        <w:rPr>
          <w:rFonts w:hint="eastAsia" w:ascii="仿宋" w:hAnsi="仿宋" w:eastAsia="仿宋" w:cs="宋体"/>
          <w:sz w:val="24"/>
          <w:highlight w:val="none"/>
        </w:rPr>
        <w:t>号</w:t>
      </w:r>
    </w:p>
    <w:p>
      <w:pPr>
        <w:adjustRightInd/>
        <w:snapToGrid w:val="0"/>
        <w:spacing w:line="360" w:lineRule="auto"/>
        <w:ind w:firstLine="480" w:firstLineChars="200"/>
        <w:rPr>
          <w:rFonts w:ascii="仿宋" w:hAnsi="仿宋" w:eastAsia="仿宋" w:cs="宋体"/>
          <w:sz w:val="24"/>
          <w:highlight w:val="none"/>
          <w:u w:val="single"/>
        </w:rPr>
      </w:pPr>
      <w:r>
        <w:rPr>
          <w:rFonts w:hint="eastAsia" w:ascii="仿宋" w:hAnsi="仿宋" w:eastAsia="仿宋" w:cs="宋体"/>
          <w:sz w:val="24"/>
          <w:highlight w:val="none"/>
        </w:rPr>
        <w:t>安保服务范围（附规划平面图）：</w:t>
      </w:r>
    </w:p>
    <w:p>
      <w:pPr>
        <w:adjustRightInd/>
        <w:snapToGrid w:val="0"/>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第四条</w:t>
      </w:r>
      <w:r>
        <w:rPr>
          <w:rFonts w:hint="eastAsia" w:ascii="仿宋" w:hAnsi="仿宋" w:eastAsia="仿宋" w:cs="宋体"/>
          <w:sz w:val="24"/>
          <w:highlight w:val="none"/>
        </w:rPr>
        <w:t xml:space="preserve"> </w:t>
      </w:r>
      <w:r>
        <w:rPr>
          <w:rFonts w:hint="eastAsia" w:ascii="仿宋" w:hAnsi="仿宋" w:eastAsia="仿宋" w:cs="宋体"/>
          <w:b/>
          <w:sz w:val="24"/>
          <w:highlight w:val="none"/>
        </w:rPr>
        <w:t>委托管理事项</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列入本次安保服务的范围为：</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；（具体内容详见采购文件）。</w:t>
      </w:r>
    </w:p>
    <w:p>
      <w:pPr>
        <w:adjustRightInd/>
        <w:snapToGrid w:val="0"/>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第五条</w:t>
      </w:r>
      <w:r>
        <w:rPr>
          <w:rFonts w:hint="eastAsia" w:ascii="仿宋" w:hAnsi="仿宋" w:eastAsia="仿宋" w:cs="宋体"/>
          <w:sz w:val="24"/>
          <w:highlight w:val="none"/>
        </w:rPr>
        <w:t xml:space="preserve"> </w:t>
      </w:r>
      <w:r>
        <w:rPr>
          <w:rFonts w:hint="eastAsia" w:ascii="仿宋" w:hAnsi="仿宋" w:eastAsia="仿宋" w:cs="宋体"/>
          <w:b/>
          <w:sz w:val="24"/>
          <w:highlight w:val="none"/>
        </w:rPr>
        <w:t>合同期限</w:t>
      </w:r>
    </w:p>
    <w:p>
      <w:pPr>
        <w:adjustRightInd/>
        <w:snapToGrid w:val="0"/>
        <w:spacing w:line="360" w:lineRule="auto"/>
        <w:ind w:firstLine="960" w:firstLineChars="400"/>
        <w:rPr>
          <w:rFonts w:ascii="仿宋" w:hAnsi="仿宋" w:eastAsia="仿宋" w:cs="宋体"/>
          <w:sz w:val="24"/>
          <w:highlight w:val="none"/>
        </w:rPr>
      </w:pPr>
      <w:r>
        <w:rPr>
          <w:rFonts w:hint="eastAsia" w:ascii="仿宋" w:hAnsi="仿宋" w:eastAsia="仿宋" w:cs="宋体"/>
          <w:sz w:val="24"/>
          <w:highlight w:val="none"/>
        </w:rPr>
        <w:t>一年，自   年  月  日至  年  月 日。</w:t>
      </w:r>
    </w:p>
    <w:p>
      <w:pPr>
        <w:numPr>
          <w:ilvl w:val="0"/>
          <w:numId w:val="3"/>
        </w:numPr>
        <w:adjustRightInd/>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 xml:space="preserve"> 装备、耗材的使用</w:t>
      </w:r>
    </w:p>
    <w:p>
      <w:pPr>
        <w:autoSpaceDE w:val="0"/>
        <w:autoSpaceDN w:val="0"/>
        <w:spacing w:line="360" w:lineRule="auto"/>
        <w:rPr>
          <w:rFonts w:ascii="仿宋" w:hAnsi="仿宋" w:eastAsia="仿宋"/>
          <w:sz w:val="24"/>
          <w:highlight w:val="none"/>
          <w:lang w:val="zh-CN"/>
        </w:rPr>
      </w:pPr>
    </w:p>
    <w:p>
      <w:pPr>
        <w:adjustRightInd/>
        <w:snapToGrid w:val="0"/>
        <w:spacing w:line="360" w:lineRule="auto"/>
        <w:ind w:firstLine="482" w:firstLineChars="200"/>
        <w:rPr>
          <w:rFonts w:ascii="仿宋" w:hAnsi="仿宋" w:eastAsia="仿宋" w:cs="宋体"/>
          <w:snapToGrid w:val="0"/>
          <w:kern w:val="0"/>
          <w:sz w:val="24"/>
          <w:highlight w:val="none"/>
        </w:rPr>
      </w:pPr>
      <w:r>
        <w:rPr>
          <w:rFonts w:hint="eastAsia" w:ascii="仿宋" w:hAnsi="仿宋" w:eastAsia="仿宋" w:cs="宋体"/>
          <w:b/>
          <w:sz w:val="24"/>
          <w:highlight w:val="none"/>
        </w:rPr>
        <w:t>第七条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安保服务收费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本合同期内安保服务服务费为总计</w:t>
      </w:r>
      <w:r>
        <w:rPr>
          <w:rFonts w:hint="eastAsia" w:ascii="仿宋" w:hAnsi="仿宋" w:eastAsia="仿宋" w:cs="宋体"/>
          <w:kern w:val="0"/>
          <w:sz w:val="24"/>
          <w:highlight w:val="none"/>
          <w:lang w:val="zh-CN"/>
        </w:rPr>
        <w:t>人民币</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    元），其中每</w:t>
      </w:r>
      <w:r>
        <w:rPr>
          <w:rFonts w:hint="eastAsia" w:ascii="仿宋" w:hAnsi="仿宋" w:eastAsia="仿宋" w:cs="宋体"/>
          <w:kern w:val="0"/>
          <w:sz w:val="24"/>
          <w:highlight w:val="none"/>
          <w:lang w:val="en-US" w:eastAsia="zh-CN"/>
        </w:rPr>
        <w:t>工</w:t>
      </w:r>
      <w:r>
        <w:rPr>
          <w:rFonts w:hint="eastAsia" w:ascii="仿宋" w:hAnsi="仿宋" w:eastAsia="仿宋" w:cs="宋体"/>
          <w:kern w:val="0"/>
          <w:sz w:val="24"/>
          <w:highlight w:val="none"/>
          <w:lang w:val="zh-CN"/>
        </w:rPr>
        <w:t>保安人员服务费为人民币</w:t>
      </w:r>
      <w:r>
        <w:rPr>
          <w:rFonts w:hint="eastAsia" w:ascii="仿宋" w:hAnsi="仿宋" w:eastAsia="仿宋" w:cs="宋体"/>
          <w:kern w:val="0"/>
          <w:sz w:val="24"/>
          <w:highlight w:val="none"/>
          <w:u w:val="single"/>
          <w:lang w:val="zh-CN"/>
        </w:rPr>
        <w:t xml:space="preserve">            （</w:t>
      </w:r>
      <w:r>
        <w:rPr>
          <w:rFonts w:hint="eastAsia" w:ascii="仿宋" w:hAnsi="仿宋" w:eastAsia="仿宋" w:cs="宋体"/>
          <w:kern w:val="0"/>
          <w:sz w:val="24"/>
          <w:highlight w:val="none"/>
          <w:lang w:val="zh-CN"/>
        </w:rPr>
        <w:t>￥    元）</w:t>
      </w:r>
      <w:r>
        <w:rPr>
          <w:rFonts w:hint="eastAsia" w:ascii="仿宋" w:hAnsi="仿宋" w:eastAsia="仿宋" w:cs="宋体"/>
          <w:snapToGrid w:val="0"/>
          <w:kern w:val="0"/>
          <w:sz w:val="24"/>
          <w:highlight w:val="none"/>
        </w:rPr>
        <w:t>。本合同采用固定总价合同，指完成服务范围内的所有服务需要的费用，乙方不得另行向甲方或使用人收取任何费用。</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安保服务服务费成本监审：</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乙方承诺，接受甲方主管部门实施的安保服务服务费成本监审，并遵守以下原则：</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1.合法性原则。计入定价成本的费用符合有关法律、行政法律和国家统一会计制度的规定；</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2.相关性原则。计入定价成本的费用为与安保服务直接相关或间接相关的费用；</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3.对应性原则。计入定价成本的费用与安保服务内容及服务标准相对应；</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4.合理性原则。与安保服务定价成本各项费用的主要技术、经济指标均符合行业标准或者社会公允水平。</w:t>
      </w:r>
    </w:p>
    <w:p>
      <w:pPr>
        <w:adjustRightInd/>
        <w:snapToGrid w:val="0"/>
        <w:spacing w:line="360" w:lineRule="auto"/>
        <w:ind w:firstLine="482" w:firstLineChars="200"/>
        <w:rPr>
          <w:rFonts w:ascii="仿宋" w:hAnsi="仿宋" w:eastAsia="仿宋" w:cs="宋体"/>
          <w:b/>
          <w:sz w:val="24"/>
          <w:highlight w:val="none"/>
        </w:rPr>
      </w:pPr>
      <w:r>
        <w:rPr>
          <w:rFonts w:hint="eastAsia" w:ascii="仿宋" w:hAnsi="仿宋" w:eastAsia="仿宋" w:cs="宋体"/>
          <w:b/>
          <w:sz w:val="24"/>
          <w:highlight w:val="none"/>
        </w:rPr>
        <w:t>第八条</w:t>
      </w:r>
      <w:r>
        <w:rPr>
          <w:rFonts w:hint="eastAsia" w:ascii="仿宋" w:hAnsi="仿宋" w:eastAsia="仿宋" w:cs="宋体"/>
          <w:sz w:val="24"/>
          <w:highlight w:val="none"/>
        </w:rPr>
        <w:t xml:space="preserve"> </w:t>
      </w:r>
      <w:r>
        <w:rPr>
          <w:rFonts w:hint="eastAsia" w:ascii="仿宋" w:hAnsi="仿宋" w:eastAsia="仿宋" w:cs="宋体"/>
          <w:b/>
          <w:sz w:val="24"/>
          <w:highlight w:val="none"/>
        </w:rPr>
        <w:t>费用结算方式</w:t>
      </w:r>
    </w:p>
    <w:p>
      <w:pPr>
        <w:autoSpaceDE w:val="0"/>
        <w:autoSpaceDN w:val="0"/>
        <w:spacing w:line="360" w:lineRule="auto"/>
        <w:ind w:firstLine="480" w:firstLineChars="200"/>
        <w:rPr>
          <w:rFonts w:ascii="仿宋" w:hAnsi="仿宋" w:eastAsia="仿宋"/>
          <w:sz w:val="24"/>
          <w:highlight w:val="none"/>
          <w:lang w:val="zh-CN"/>
        </w:rPr>
      </w:pPr>
      <w:r>
        <w:rPr>
          <w:rFonts w:hint="eastAsia" w:ascii="仿宋" w:hAnsi="仿宋" w:eastAsia="仿宋" w:cs="仿宋"/>
          <w:b w:val="0"/>
          <w:bCs/>
          <w:sz w:val="24"/>
          <w:highlight w:val="none"/>
          <w:lang w:val="en-US" w:eastAsia="zh-CN"/>
        </w:rPr>
        <w:t>在合同生效以及具备实施条件后15日内支付合同金额的20%作为预付款，其余费用分四次等额支付，并每次次等额扣回预付款</w:t>
      </w:r>
      <w:r>
        <w:rPr>
          <w:rFonts w:hint="eastAsia" w:ascii="仿宋" w:hAnsi="仿宋" w:eastAsia="仿宋"/>
          <w:sz w:val="24"/>
          <w:highlight w:val="none"/>
          <w:lang w:val="zh-CN"/>
        </w:rPr>
        <w:t>。</w:t>
      </w:r>
    </w:p>
    <w:p>
      <w:pPr>
        <w:adjustRightInd/>
        <w:snapToGrid w:val="0"/>
        <w:spacing w:line="360" w:lineRule="auto"/>
        <w:ind w:firstLine="482" w:firstLineChars="200"/>
        <w:rPr>
          <w:rFonts w:ascii="仿宋" w:hAnsi="仿宋" w:eastAsia="仿宋" w:cs="宋体"/>
          <w:snapToGrid w:val="0"/>
          <w:kern w:val="0"/>
          <w:sz w:val="24"/>
          <w:highlight w:val="none"/>
        </w:rPr>
      </w:pPr>
      <w:r>
        <w:rPr>
          <w:rFonts w:hint="eastAsia" w:ascii="仿宋" w:hAnsi="仿宋" w:eastAsia="仿宋" w:cs="宋体"/>
          <w:b/>
          <w:sz w:val="24"/>
          <w:highlight w:val="none"/>
        </w:rPr>
        <w:t>第九条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履约保证金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本项目不收取履约保证金。</w:t>
      </w:r>
    </w:p>
    <w:p>
      <w:pPr>
        <w:adjustRightInd/>
        <w:snapToGrid w:val="0"/>
        <w:spacing w:line="360" w:lineRule="auto"/>
        <w:ind w:firstLine="482" w:firstLineChars="200"/>
        <w:rPr>
          <w:rFonts w:ascii="仿宋" w:hAnsi="仿宋" w:eastAsia="仿宋" w:cs="宋体"/>
          <w:snapToGrid w:val="0"/>
          <w:kern w:val="0"/>
          <w:sz w:val="24"/>
          <w:highlight w:val="none"/>
        </w:rPr>
      </w:pPr>
      <w:r>
        <w:rPr>
          <w:rFonts w:hint="eastAsia" w:ascii="仿宋" w:hAnsi="仿宋" w:eastAsia="仿宋" w:cs="宋体"/>
          <w:b/>
          <w:sz w:val="24"/>
          <w:highlight w:val="none"/>
        </w:rPr>
        <w:t>第十条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安保服务服务质量要求</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乙方须按下列约定，实现目标管理，如双方认为需要进一步细化的，可以通过附件形式进行进一步明确。</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1.甲方工作人员及其他 使用人可随时组织进行对乙方安保服务的综合考评；</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2.响应文件规定的其他内容。</w:t>
      </w:r>
    </w:p>
    <w:p>
      <w:pPr>
        <w:adjustRightInd/>
        <w:snapToGrid w:val="0"/>
        <w:spacing w:line="360" w:lineRule="auto"/>
        <w:ind w:firstLine="482" w:firstLineChars="200"/>
        <w:jc w:val="left"/>
        <w:rPr>
          <w:rFonts w:ascii="仿宋" w:hAnsi="仿宋" w:eastAsia="仿宋" w:cs="宋体"/>
          <w:snapToGrid w:val="0"/>
          <w:kern w:val="0"/>
          <w:sz w:val="24"/>
          <w:highlight w:val="none"/>
        </w:rPr>
      </w:pPr>
      <w:r>
        <w:rPr>
          <w:rFonts w:hint="eastAsia" w:ascii="仿宋" w:hAnsi="仿宋" w:eastAsia="仿宋" w:cs="宋体"/>
          <w:b/>
          <w:sz w:val="24"/>
          <w:highlight w:val="none"/>
        </w:rPr>
        <w:t>第十一条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经营制约</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1.未经甲方同意，乙方无权在承包区域中从事任何广告活动或类似宣传，甲方有权依照广告法和甲方相关的规定责令乙方限期改正，并接受处罚；但甲方在该区域发布的广告宣传保证不致影响乙方的正常工作；</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2.乙方不得以甲方的名义从事任何经济活动，且由此发生的一切债权、债务与甲方无关。</w:t>
      </w:r>
    </w:p>
    <w:p>
      <w:pPr>
        <w:adjustRightInd/>
        <w:snapToGrid w:val="0"/>
        <w:spacing w:line="360" w:lineRule="auto"/>
        <w:ind w:firstLine="482" w:firstLineChars="200"/>
        <w:rPr>
          <w:rFonts w:ascii="仿宋" w:hAnsi="仿宋" w:eastAsia="仿宋" w:cs="宋体"/>
          <w:snapToGrid w:val="0"/>
          <w:kern w:val="0"/>
          <w:sz w:val="24"/>
          <w:highlight w:val="none"/>
        </w:rPr>
      </w:pPr>
      <w:r>
        <w:rPr>
          <w:rFonts w:hint="eastAsia" w:ascii="仿宋" w:hAnsi="仿宋" w:eastAsia="仿宋" w:cs="宋体"/>
          <w:b/>
          <w:sz w:val="24"/>
          <w:highlight w:val="none"/>
        </w:rPr>
        <w:t>第十二条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乙方对甲方作出如下承诺</w:t>
      </w:r>
      <w:r>
        <w:rPr>
          <w:rFonts w:hint="eastAsia" w:ascii="仿宋" w:hAnsi="仿宋" w:eastAsia="仿宋" w:cs="宋体"/>
          <w:snapToGrid w:val="0"/>
          <w:kern w:val="0"/>
          <w:sz w:val="24"/>
          <w:highlight w:val="none"/>
        </w:rPr>
        <w:t>：</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未经甲方书面批准不以任何形式转租、转让、抵押承包区域，在承包区域只从事甲方认可的服务工作。在承包期间，乙方的任何股份配置变动应通知甲方。未经甲方书面批准，任何占有支配地位的股份转让都将视为乙方出租、转让的行为。</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2.乙方应允许甲方或其授权的人员对承包区域内各项服务质量控制进行检查，有关费用由乙方承担。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3.在承包区域的各项服务，其工作时间必须满足甲方的工作要求，包括星期天及公众假期。如遇特殊情况，甲方可要求乙方调整工作时间直至全天二十四小时工作。</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乙方必须聘请(或指定)一位经理(项目总负责人)，全权代表乙方与甲方保持密切联系并保证承包区域服务工作。根据综合考评或工作情况，甲方有权要求乙方在一个星期内更换经理（项目总负责人）、相关骨干人员。</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5.为承包区域的服务工作配备承诺的人员及人员数量（</w:t>
      </w:r>
      <w:r>
        <w:rPr>
          <w:rFonts w:hint="eastAsia" w:ascii="仿宋" w:hAnsi="仿宋" w:eastAsia="仿宋" w:cs="宋体"/>
          <w:i/>
          <w:snapToGrid w:val="0"/>
          <w:kern w:val="0"/>
          <w:sz w:val="24"/>
          <w:highlight w:val="none"/>
          <w:u w:val="single"/>
        </w:rPr>
        <w:t xml:space="preserve">        </w:t>
      </w:r>
      <w:r>
        <w:rPr>
          <w:rFonts w:hint="eastAsia" w:ascii="仿宋" w:hAnsi="仿宋" w:eastAsia="仿宋" w:cs="宋体"/>
          <w:snapToGrid w:val="0"/>
          <w:kern w:val="0"/>
          <w:sz w:val="24"/>
          <w:highlight w:val="none"/>
        </w:rPr>
        <w:t xml:space="preserve"> ），甲方不定期抽查乙方投入的人员数量，如果抽查时发现乙方投入的人员数量少于合同约定的数量，甲方可以按缺少人数每人</w:t>
      </w:r>
      <w:r>
        <w:rPr>
          <w:rFonts w:hint="eastAsia" w:ascii="仿宋" w:hAnsi="仿宋" w:eastAsia="仿宋" w:cs="宋体"/>
          <w:snapToGrid w:val="0"/>
          <w:kern w:val="0"/>
          <w:sz w:val="24"/>
          <w:highlight w:val="none"/>
          <w:u w:val="single"/>
        </w:rPr>
        <w:t xml:space="preserve">    </w:t>
      </w:r>
      <w:r>
        <w:rPr>
          <w:rFonts w:hint="eastAsia" w:ascii="仿宋" w:hAnsi="仿宋" w:eastAsia="仿宋" w:cs="宋体"/>
          <w:snapToGrid w:val="0"/>
          <w:kern w:val="0"/>
          <w:sz w:val="24"/>
          <w:highlight w:val="none"/>
        </w:rPr>
        <w:t>元/次累计扣除当月合同款。乙方聘用的工作人员必须符合劳动部门有关用工规定，并经乙方相关专业考核合格后持证上岗，甲方有权进行审核，该类费用开支由乙方负担。（因甲方或其他不可抗拒因素不计算在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6.在承包期间，乙方所有人员仅需乙方建立劳动合同关系，且所有人员使用须符合《劳动合同法》的有关规定。乙方人员发生事故或与乙方发生劳动争议均由乙方自行全权负责，相关费用乙方自行承担，以保证甲方在乙方人员索赔时不受责任的约束。</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7.乙方工作人员上岗穿着由甲方确认的制服及甲方许可的装饰物品，费用和制作均由乙方负担。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8.乙方必须出具或办妥法律及甲方规定的与承包区域经营业务有关的执照和许可证，方可从事经营并在经营中遵守一切有关条例和规定，自行缴纳有关税费。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9.乙方必须确保为甲方提供优质、高效的专业服务，并根据甲方要求改变不满意的服务状况，接受有关部门监督与检查。同时，乙方自觉参加甲方认为有助提高甲方形象的宣传活动。</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10.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全部由乙方承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11.乙方在承包区域因作业所需增加机械、电力设备及设施应征得甲方同意，并聘请有资格的承造商进行安装、保养并将施工安装保养记录手册和图，交由甲方备案。</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w:t>
      </w:r>
      <w:r>
        <w:rPr>
          <w:rFonts w:hint="eastAsia" w:ascii="仿宋" w:hAnsi="仿宋" w:eastAsia="仿宋" w:cs="宋体"/>
          <w:b/>
          <w:snapToGrid w:val="0"/>
          <w:kern w:val="0"/>
          <w:sz w:val="24"/>
          <w:highlight w:val="none"/>
        </w:rPr>
        <w:t>禁止事项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12.1乙方不得以任何理由向甲方工作人员支付小费或赠送实物，违者将终止合同。乙方人员也不得以任何形式向相关人员索取小费或钱物等。</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12.2不得在承包区域从事非法活动，也不得从事有损甲方利益的活动，同时不允许在承包区域对甲方经营活动进行滋扰性的行为。</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12.3除经甲方批准进行必要的维修工程外，乙方不得损毁承包区域原有的设施和装潢，不得更改已铺设的电缆、电线等电力装置。同时，也不得安装任何可能造成电缆负载过大的电器设备，以免无线电受干扰。</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12.4未获甲方书面同意，乙方任何时候都不能在承包区域存放易燃物品、挥发性大或气味浓烈的液体等。</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 xml:space="preserve">13. </w:t>
      </w:r>
      <w:r>
        <w:rPr>
          <w:rFonts w:hint="eastAsia" w:ascii="仿宋" w:hAnsi="仿宋" w:eastAsia="仿宋" w:cs="宋体"/>
          <w:b/>
          <w:snapToGrid w:val="0"/>
          <w:kern w:val="0"/>
          <w:sz w:val="24"/>
          <w:highlight w:val="none"/>
        </w:rPr>
        <w:t>保险</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13.1第三者责任保险</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乙方应对乙方人员以及第三方全权负责(如乙方应投保第三责任险)，在乙方的责任区内由于乙方原因导致自己员工或第三方的事故由乙方负责，甲方不承担任何责任。</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13.2员工人身意外</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在承包期内，乙方所有人员的工作责任事故由乙方自行全权负责(如乙方应对其员工投保人身意外险)，以保证甲方在乙方工作人员索赔时不受责任的约束。</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13.3其他保险及费用</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乙方须按《劳动合同法》和政府有关各部门规定为全体服务人员交纳所有相关的社会保险及其他相关费用。乙方对此全权负责。</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14.乙方及其员工遵守甲方的一切行政管理、消防安全等规定和制度，协助甲方做好区域的消防设施能正常使用，消防通道畅通，同时承担违规责任。</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15.遇突发事件或安全检查时，乙方必须配合有关部门执行任务，并指定专职人员协助工作，直至完成。</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16.乙方保证在承包期满当天下午五时前撤离现场。</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17.乙方须积极配合甲方对其进行的安保服务综合考评。</w:t>
      </w:r>
    </w:p>
    <w:p>
      <w:pPr>
        <w:adjustRightInd/>
        <w:snapToGrid w:val="0"/>
        <w:spacing w:line="360" w:lineRule="auto"/>
        <w:ind w:firstLine="480" w:firstLineChars="200"/>
        <w:rPr>
          <w:rFonts w:ascii="仿宋" w:hAnsi="仿宋" w:eastAsia="仿宋" w:cs="宋体"/>
          <w:bCs/>
          <w:sz w:val="24"/>
          <w:highlight w:val="none"/>
        </w:rPr>
      </w:pPr>
      <w:r>
        <w:rPr>
          <w:rFonts w:hint="eastAsia" w:ascii="仿宋" w:hAnsi="仿宋" w:eastAsia="仿宋" w:cs="宋体"/>
          <w:snapToGrid w:val="0"/>
          <w:kern w:val="0"/>
          <w:sz w:val="24"/>
          <w:highlight w:val="none"/>
        </w:rPr>
        <w:t>18.鉴于景区的知名度、敏感度、关注度，乙方承诺</w:t>
      </w:r>
      <w:r>
        <w:rPr>
          <w:rFonts w:hint="eastAsia" w:ascii="仿宋" w:hAnsi="仿宋" w:eastAsia="仿宋" w:cs="宋体"/>
          <w:bCs/>
          <w:sz w:val="24"/>
          <w:highlight w:val="none"/>
        </w:rPr>
        <w:t>以下每项每次扣款金额。</w:t>
      </w:r>
    </w:p>
    <w:p>
      <w:pPr>
        <w:adjustRightInd/>
        <w:snapToGrid w:val="0"/>
        <w:spacing w:line="360" w:lineRule="auto"/>
        <w:ind w:firstLine="480" w:firstLineChars="200"/>
        <w:rPr>
          <w:rFonts w:ascii="仿宋" w:hAnsi="仿宋" w:eastAsia="仿宋" w:cs="宋体"/>
          <w:bCs/>
          <w:sz w:val="24"/>
          <w:highlight w:val="none"/>
        </w:rPr>
      </w:pPr>
      <w:r>
        <w:rPr>
          <w:rFonts w:hint="eastAsia" w:ascii="仿宋" w:hAnsi="仿宋" w:eastAsia="仿宋" w:cs="宋体"/>
          <w:bCs/>
          <w:sz w:val="24"/>
          <w:highlight w:val="none"/>
        </w:rPr>
        <w:t>18.1外部抄告单，即上级主管部门及相关行政管理部门下发的抄告单，或相关媒体报道等不良影响情况出现，如出现一次将进行扣款处理，每次扣款最低5000元，具体扣款金额：</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元/次；</w:t>
      </w:r>
    </w:p>
    <w:p>
      <w:pPr>
        <w:adjustRightInd/>
        <w:snapToGrid w:val="0"/>
        <w:spacing w:line="360" w:lineRule="auto"/>
        <w:ind w:firstLine="480" w:firstLineChars="200"/>
        <w:rPr>
          <w:rFonts w:ascii="仿宋" w:hAnsi="仿宋" w:eastAsia="仿宋" w:cs="宋体"/>
          <w:bCs/>
          <w:sz w:val="24"/>
          <w:highlight w:val="none"/>
        </w:rPr>
      </w:pPr>
      <w:r>
        <w:rPr>
          <w:rFonts w:hint="eastAsia" w:ascii="仿宋" w:hAnsi="仿宋" w:eastAsia="仿宋" w:cs="宋体"/>
          <w:bCs/>
          <w:sz w:val="24"/>
          <w:highlight w:val="none"/>
        </w:rPr>
        <w:t>18.2在维护辖区秩序中，因保安人员未文明管理，行为失当，造成被管理对象人员伤亡的或者引起的重大事件、法律诉讼，如出现一次将进行扣款处理，每次扣款最低10000元，具体扣款金额：</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元/次。</w:t>
      </w:r>
    </w:p>
    <w:p>
      <w:pPr>
        <w:adjustRightInd/>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z w:val="24"/>
          <w:highlight w:val="none"/>
        </w:rPr>
        <w:t>第十三条</w:t>
      </w:r>
      <w:r>
        <w:rPr>
          <w:rFonts w:hint="eastAsia" w:ascii="仿宋" w:hAnsi="仿宋" w:eastAsia="仿宋" w:cs="宋体"/>
          <w:sz w:val="24"/>
          <w:highlight w:val="none"/>
        </w:rPr>
        <w:t xml:space="preserve"> </w:t>
      </w:r>
      <w:r>
        <w:rPr>
          <w:rFonts w:hint="eastAsia" w:ascii="仿宋" w:hAnsi="仿宋" w:eastAsia="仿宋" w:cs="宋体"/>
          <w:b/>
          <w:snapToGrid w:val="0"/>
          <w:kern w:val="0"/>
          <w:sz w:val="24"/>
          <w:highlight w:val="none"/>
        </w:rPr>
        <w:t>甲方对乙方作出如下承诺：</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1.甲方在职权范围内保证乙方的正常经营不受干扰。</w:t>
      </w:r>
    </w:p>
    <w:p>
      <w:pPr>
        <w:adjustRightInd/>
        <w:snapToGrid w:val="0"/>
        <w:spacing w:line="360" w:lineRule="auto"/>
        <w:ind w:firstLine="480" w:firstLineChars="200"/>
        <w:rPr>
          <w:rFonts w:ascii="仿宋" w:hAnsi="仿宋" w:eastAsia="仿宋" w:cs="宋体"/>
          <w:b/>
          <w:sz w:val="24"/>
          <w:highlight w:val="none"/>
        </w:rPr>
      </w:pPr>
      <w:r>
        <w:rPr>
          <w:rFonts w:hint="eastAsia" w:ascii="仿宋" w:hAnsi="仿宋" w:eastAsia="仿宋" w:cs="宋体"/>
          <w:snapToGrid w:val="0"/>
          <w:kern w:val="0"/>
          <w:sz w:val="24"/>
          <w:highlight w:val="none"/>
        </w:rPr>
        <w:t>2.保证乙方的员工按规定正常进入承包区域开展服务工作。</w:t>
      </w:r>
    </w:p>
    <w:p>
      <w:pPr>
        <w:adjustRightInd/>
        <w:snapToGrid w:val="0"/>
        <w:spacing w:line="360" w:lineRule="auto"/>
        <w:ind w:firstLine="482" w:firstLineChars="200"/>
        <w:rPr>
          <w:rFonts w:ascii="仿宋" w:hAnsi="仿宋" w:eastAsia="仿宋" w:cs="宋体"/>
          <w:sz w:val="24"/>
          <w:highlight w:val="none"/>
        </w:rPr>
      </w:pPr>
      <w:r>
        <w:rPr>
          <w:rFonts w:hint="eastAsia" w:ascii="仿宋" w:hAnsi="仿宋" w:eastAsia="仿宋" w:cs="宋体"/>
          <w:b/>
          <w:sz w:val="24"/>
          <w:highlight w:val="none"/>
        </w:rPr>
        <w:t xml:space="preserve">第十四条 </w:t>
      </w:r>
      <w:r>
        <w:rPr>
          <w:rFonts w:hint="eastAsia" w:ascii="仿宋" w:hAnsi="仿宋" w:eastAsia="仿宋" w:cs="宋体"/>
          <w:b/>
          <w:snapToGrid w:val="0"/>
          <w:kern w:val="0"/>
          <w:sz w:val="24"/>
          <w:highlight w:val="none"/>
        </w:rPr>
        <w:t>合同生效和终止</w:t>
      </w:r>
      <w:r>
        <w:rPr>
          <w:rFonts w:hint="eastAsia" w:ascii="仿宋" w:hAnsi="仿宋" w:eastAsia="仿宋" w:cs="宋体"/>
          <w:sz w:val="24"/>
          <w:highlight w:val="none"/>
        </w:rPr>
        <w:t>：</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w:t>
      </w:r>
      <w:r>
        <w:rPr>
          <w:rFonts w:hint="eastAsia" w:ascii="仿宋" w:hAnsi="仿宋" w:eastAsia="仿宋" w:cs="宋体"/>
          <w:sz w:val="24"/>
          <w:highlight w:val="none"/>
        </w:rPr>
        <w:t>本合同经甲乙双方法定代表人或其委托人签字盖章，经</w:t>
      </w:r>
      <w:r>
        <w:rPr>
          <w:rFonts w:hint="eastAsia" w:ascii="仿宋" w:hAnsi="仿宋" w:eastAsia="仿宋" w:cs="宋体"/>
          <w:sz w:val="24"/>
          <w:highlight w:val="none"/>
          <w:lang w:val="zh-CN"/>
        </w:rPr>
        <w:t>采购监管部门备案后生效</w:t>
      </w:r>
      <w:r>
        <w:rPr>
          <w:rFonts w:hint="eastAsia" w:ascii="仿宋" w:hAnsi="仿宋" w:eastAsia="仿宋" w:cs="宋体"/>
          <w:snapToGrid w:val="0"/>
          <w:kern w:val="0"/>
          <w:sz w:val="24"/>
          <w:highlight w:val="none"/>
        </w:rPr>
        <w:t>。</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w:t>
      </w:r>
      <w:r>
        <w:rPr>
          <w:rFonts w:hint="eastAsia" w:ascii="仿宋" w:hAnsi="仿宋" w:eastAsia="仿宋" w:cs="宋体"/>
          <w:b/>
          <w:snapToGrid w:val="0"/>
          <w:kern w:val="0"/>
          <w:sz w:val="24"/>
          <w:highlight w:val="none"/>
        </w:rPr>
        <w:t>终止</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w:t>
      </w:r>
      <w:r>
        <w:rPr>
          <w:rFonts w:hint="eastAsia" w:ascii="仿宋" w:hAnsi="仿宋" w:eastAsia="仿宋" w:cs="宋体"/>
          <w:b/>
          <w:snapToGrid w:val="0"/>
          <w:kern w:val="0"/>
          <w:sz w:val="24"/>
          <w:highlight w:val="none"/>
        </w:rPr>
        <w:t>提前终止</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2.1.1如果甲方在服务期内无理由终止合同，甲方须提前一个月向乙方发出书面通知终止承包，甲方支付给乙方月度承包服务款二倍金额的赔偿金。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2.1.2因乙方在服务期内超过</w:t>
      </w:r>
      <w:r>
        <w:rPr>
          <w:rFonts w:hint="eastAsia" w:ascii="仿宋" w:hAnsi="仿宋" w:eastAsia="仿宋" w:cs="宋体"/>
          <w:snapToGrid w:val="0"/>
          <w:kern w:val="0"/>
          <w:sz w:val="24"/>
          <w:highlight w:val="none"/>
          <w:u w:val="single"/>
        </w:rPr>
        <w:t xml:space="preserve">  </w:t>
      </w:r>
      <w:r>
        <w:rPr>
          <w:rFonts w:hint="eastAsia" w:ascii="仿宋" w:hAnsi="仿宋" w:eastAsia="仿宋" w:cs="宋体"/>
          <w:snapToGrid w:val="0"/>
          <w:kern w:val="0"/>
          <w:sz w:val="24"/>
          <w:highlight w:val="none"/>
        </w:rPr>
        <w:t>次安保服务综合考评未达标，甲方可以单方面终止承包，且乙方须支付给甲方月度承包服务款的</w:t>
      </w:r>
      <w:r>
        <w:rPr>
          <w:rFonts w:hint="eastAsia" w:ascii="仿宋" w:hAnsi="仿宋" w:eastAsia="仿宋" w:cs="宋体"/>
          <w:snapToGrid w:val="0"/>
          <w:kern w:val="0"/>
          <w:sz w:val="24"/>
          <w:highlight w:val="none"/>
          <w:u w:val="single"/>
        </w:rPr>
        <w:t xml:space="preserve">  倍</w:t>
      </w:r>
      <w:r>
        <w:rPr>
          <w:rFonts w:hint="eastAsia" w:ascii="仿宋" w:hAnsi="仿宋" w:eastAsia="仿宋" w:cs="宋体"/>
          <w:snapToGrid w:val="0"/>
          <w:kern w:val="0"/>
          <w:sz w:val="24"/>
          <w:highlight w:val="none"/>
        </w:rPr>
        <w:t>金额作为赔偿金。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2.1.3如甲方发现乙方擅自出现转租、转让、抵押承包等情况，甲方可以单方面终止承包，且乙方须支付给甲方月度承包服务款的</w:t>
      </w:r>
      <w:r>
        <w:rPr>
          <w:rFonts w:hint="eastAsia" w:ascii="仿宋" w:hAnsi="仿宋" w:eastAsia="仿宋" w:cs="宋体"/>
          <w:snapToGrid w:val="0"/>
          <w:kern w:val="0"/>
          <w:sz w:val="24"/>
          <w:highlight w:val="none"/>
          <w:u w:val="single"/>
        </w:rPr>
        <w:t xml:space="preserve">  倍</w:t>
      </w:r>
      <w:r>
        <w:rPr>
          <w:rFonts w:hint="eastAsia" w:ascii="仿宋" w:hAnsi="仿宋" w:eastAsia="仿宋" w:cs="宋体"/>
          <w:snapToGrid w:val="0"/>
          <w:kern w:val="0"/>
          <w:sz w:val="24"/>
          <w:highlight w:val="none"/>
        </w:rPr>
        <w:t>金额作为赔偿金。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2.1.4如果乙方在服务期内无理由终止合同，乙方须提前三个月向甲方发出书面通知终止承包，乙方须支付给甲方月度承包服务款的</w:t>
      </w:r>
      <w:r>
        <w:rPr>
          <w:rFonts w:hint="eastAsia" w:ascii="仿宋" w:hAnsi="仿宋" w:eastAsia="仿宋" w:cs="宋体"/>
          <w:snapToGrid w:val="0"/>
          <w:kern w:val="0"/>
          <w:sz w:val="24"/>
          <w:highlight w:val="none"/>
          <w:u w:val="single"/>
        </w:rPr>
        <w:t xml:space="preserve">  倍</w:t>
      </w:r>
      <w:r>
        <w:rPr>
          <w:rFonts w:hint="eastAsia" w:ascii="仿宋" w:hAnsi="仿宋" w:eastAsia="仿宋" w:cs="宋体"/>
          <w:snapToGrid w:val="0"/>
          <w:kern w:val="0"/>
          <w:sz w:val="24"/>
          <w:highlight w:val="none"/>
        </w:rPr>
        <w:t>金额作为赔偿金；如果乙方在服务期内突然无理由终止合同，未提前三个月向采购人发出书面通知终止承包，乙方须支付给甲方月度承包服务款的</w:t>
      </w:r>
      <w:r>
        <w:rPr>
          <w:rFonts w:hint="eastAsia" w:ascii="仿宋" w:hAnsi="仿宋" w:eastAsia="仿宋" w:cs="宋体"/>
          <w:snapToGrid w:val="0"/>
          <w:kern w:val="0"/>
          <w:sz w:val="24"/>
          <w:highlight w:val="none"/>
          <w:u w:val="single"/>
        </w:rPr>
        <w:t xml:space="preserve">  倍</w:t>
      </w:r>
      <w:r>
        <w:rPr>
          <w:rFonts w:hint="eastAsia" w:ascii="仿宋" w:hAnsi="仿宋" w:eastAsia="仿宋" w:cs="宋体"/>
          <w:snapToGrid w:val="0"/>
          <w:kern w:val="0"/>
          <w:sz w:val="24"/>
          <w:highlight w:val="none"/>
        </w:rPr>
        <w:t>金额作为赔偿金。。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2.1.5如果乙方在服务期内由于乙方原因造成重大责任事故或安全事故，甲方可以单方面终止承包，且乙方须赔偿给甲方造成的经济损失，并须支付给甲方月度承包服务款的</w:t>
      </w:r>
      <w:r>
        <w:rPr>
          <w:rFonts w:hint="eastAsia" w:ascii="仿宋" w:hAnsi="仿宋" w:eastAsia="仿宋" w:cs="宋体"/>
          <w:snapToGrid w:val="0"/>
          <w:kern w:val="0"/>
          <w:sz w:val="24"/>
          <w:highlight w:val="none"/>
          <w:u w:val="single"/>
        </w:rPr>
        <w:t xml:space="preserve">  倍</w:t>
      </w:r>
      <w:r>
        <w:rPr>
          <w:rFonts w:hint="eastAsia" w:ascii="仿宋" w:hAnsi="仿宋" w:eastAsia="仿宋" w:cs="宋体"/>
          <w:snapToGrid w:val="0"/>
          <w:kern w:val="0"/>
          <w:sz w:val="24"/>
          <w:highlight w:val="none"/>
        </w:rPr>
        <w:t>金额作为赔偿金。。</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2.1.6提前终止承包期早于月底最后一天，应视为月底最后一天期满，此条适用于上述2.1.1、2.1.2、2.1.3、2.1.4、2.1.5五条。</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2.1.7乙方未能履行合同和遵守有关规定，在甲方发出书面警告后一周内乙方仍无采取补救措施，甲方可立即终止承包。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2.1.8乙方破产清处、重组及兼并等事实发生，或被债权人接管经营，甲方不必通知乙方即可终止承包。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2.2</w:t>
      </w:r>
      <w:r>
        <w:rPr>
          <w:rFonts w:hint="eastAsia" w:ascii="仿宋" w:hAnsi="仿宋" w:eastAsia="仿宋" w:cs="宋体"/>
          <w:b/>
          <w:snapToGrid w:val="0"/>
          <w:kern w:val="0"/>
          <w:sz w:val="24"/>
          <w:highlight w:val="none"/>
        </w:rPr>
        <w:t>协议终止</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经双方协商同意，可在任何时候终止承包。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2.3</w:t>
      </w:r>
      <w:r>
        <w:rPr>
          <w:rFonts w:hint="eastAsia" w:ascii="仿宋" w:hAnsi="仿宋" w:eastAsia="仿宋" w:cs="宋体"/>
          <w:b/>
          <w:snapToGrid w:val="0"/>
          <w:kern w:val="0"/>
          <w:sz w:val="24"/>
          <w:highlight w:val="none"/>
        </w:rPr>
        <w:t>自然终止</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 xml:space="preserve">合同规定的承包服务期满，承包自然终止。 </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w:t>
      </w:r>
      <w:r>
        <w:rPr>
          <w:rFonts w:hint="eastAsia" w:ascii="仿宋" w:hAnsi="仿宋" w:eastAsia="仿宋" w:cs="宋体"/>
          <w:b/>
          <w:snapToGrid w:val="0"/>
          <w:kern w:val="0"/>
          <w:sz w:val="24"/>
          <w:highlight w:val="none"/>
        </w:rPr>
        <w:t>承包终止后果</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3.1终止承包，不影响根据合同规定进行的赔偿、补偿。</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3.2上述2.1.6、2.1.7二条的终止，乙方的将支付合同金额的1%作为违约金支付给甲方。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3.3承包终止时，双方应进行结算，甲方同时进行乙方承包区域设施、设备状况检查并要求乙方三天内将乙方物品撤离承包区域，否则甲方将代理处理，乙方支付甲方代理费及10%的手续费。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w:t>
      </w:r>
      <w:r>
        <w:rPr>
          <w:rFonts w:hint="eastAsia" w:ascii="仿宋" w:hAnsi="仿宋" w:eastAsia="仿宋" w:cs="宋体"/>
          <w:b/>
          <w:snapToGrid w:val="0"/>
          <w:kern w:val="0"/>
          <w:sz w:val="24"/>
          <w:highlight w:val="none"/>
        </w:rPr>
        <w:t>不放弃权利</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甲方接受乙方的服务，但不放弃对乙方违约行为进行追究的权利；同时，若甲方对乙方某一违约行为放弃进行追究的权利，但不放弃对乙方其他违约行为进行追究的权利。</w:t>
      </w:r>
    </w:p>
    <w:p>
      <w:pPr>
        <w:adjustRightInd/>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z w:val="24"/>
          <w:highlight w:val="none"/>
        </w:rPr>
        <w:t xml:space="preserve">第十五条 </w:t>
      </w:r>
      <w:r>
        <w:rPr>
          <w:rFonts w:hint="eastAsia" w:ascii="仿宋" w:hAnsi="仿宋" w:eastAsia="仿宋" w:cs="宋体"/>
          <w:b/>
          <w:snapToGrid w:val="0"/>
          <w:kern w:val="0"/>
          <w:sz w:val="24"/>
          <w:highlight w:val="none"/>
        </w:rPr>
        <w:t>双方权利义务</w:t>
      </w:r>
    </w:p>
    <w:p>
      <w:pPr>
        <w:adjustRightInd/>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1.甲方权利义务</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（1）代表和维护产权人、使用人的合法权益；</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（2）审定乙方拟定的安保服务制度；</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（3）检查监督乙方管理工作的实施及制度的执行情况；</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（4）审定乙方提出的安保服务服务年度计划、财务预算及决算；</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（5）负责收集、整理安保服务所需全部图纸、档案、资料，根据管理需要向乙方提供房屋相关资料和设备、设施的安装、使用和维护保养技术资料；</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（6）按期支付安保服务费用；</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（7）在不可预见的情况下，如发生煤气泄漏、漏电、火灾、救助人命、协助公安机关执行任务等突发事件的，甲方应积极配合乙方采取必要的紧急避险措施。</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（8）提供乙方所需的办公用房。</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w:t>
      </w:r>
      <w:r>
        <w:rPr>
          <w:rFonts w:ascii="仿宋" w:hAnsi="仿宋" w:eastAsia="仿宋" w:cs="宋体"/>
          <w:snapToGrid w:val="0"/>
          <w:kern w:val="0"/>
          <w:sz w:val="24"/>
          <w:highlight w:val="none"/>
        </w:rPr>
        <w:t>0</w:t>
      </w:r>
      <w:r>
        <w:rPr>
          <w:rFonts w:hint="eastAsia" w:ascii="仿宋" w:hAnsi="仿宋" w:eastAsia="仿宋" w:cs="宋体"/>
          <w:snapToGrid w:val="0"/>
          <w:kern w:val="0"/>
          <w:sz w:val="24"/>
          <w:highlight w:val="none"/>
        </w:rPr>
        <w:t>）甲方指派乙方保安人员从事任何工作必须符合</w:t>
      </w:r>
      <w:r>
        <w:rPr>
          <w:rFonts w:ascii="仿宋" w:hAnsi="仿宋" w:eastAsia="仿宋" w:cs="宋体"/>
          <w:snapToGrid w:val="0"/>
          <w:kern w:val="0"/>
          <w:sz w:val="24"/>
          <w:highlight w:val="none"/>
        </w:rPr>
        <w:t>《中华人民共和国安全生产法》</w:t>
      </w:r>
      <w:r>
        <w:rPr>
          <w:rFonts w:hint="eastAsia" w:ascii="仿宋" w:hAnsi="仿宋" w:eastAsia="仿宋" w:cs="宋体"/>
          <w:snapToGrid w:val="0"/>
          <w:kern w:val="0"/>
          <w:sz w:val="24"/>
          <w:highlight w:val="none"/>
        </w:rPr>
        <w:t>有关法律法规。</w:t>
      </w:r>
    </w:p>
    <w:p>
      <w:pPr>
        <w:adjustRightInd/>
        <w:snapToGrid w:val="0"/>
        <w:spacing w:line="360" w:lineRule="auto"/>
        <w:ind w:firstLine="482" w:firstLineChars="200"/>
        <w:rPr>
          <w:rFonts w:ascii="仿宋" w:hAnsi="仿宋" w:eastAsia="仿宋" w:cs="宋体"/>
          <w:b/>
          <w:snapToGrid w:val="0"/>
          <w:kern w:val="0"/>
          <w:sz w:val="24"/>
          <w:highlight w:val="none"/>
        </w:rPr>
      </w:pPr>
      <w:r>
        <w:rPr>
          <w:rFonts w:hint="eastAsia" w:ascii="仿宋" w:hAnsi="仿宋" w:eastAsia="仿宋" w:cs="宋体"/>
          <w:b/>
          <w:snapToGrid w:val="0"/>
          <w:kern w:val="0"/>
          <w:sz w:val="24"/>
          <w:highlight w:val="none"/>
        </w:rPr>
        <w:t>2.乙方权利义务</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z w:val="24"/>
          <w:highlight w:val="none"/>
        </w:rPr>
        <w:t>（1）</w:t>
      </w:r>
      <w:r>
        <w:rPr>
          <w:rFonts w:hint="eastAsia" w:ascii="仿宋" w:hAnsi="仿宋" w:eastAsia="仿宋" w:cs="宋体"/>
          <w:snapToGrid w:val="0"/>
          <w:kern w:val="0"/>
          <w:sz w:val="24"/>
          <w:highlight w:val="none"/>
        </w:rPr>
        <w:t>根据有关法律法规、响应文件及本合同的约定，制订安保服务制度、方案，根据甲方核定的安保服务制度、方案自主开展保安日常管理服务活动；乙方保安人员从事任何工作必须符合</w:t>
      </w:r>
      <w:r>
        <w:rPr>
          <w:rFonts w:ascii="仿宋" w:hAnsi="仿宋" w:eastAsia="仿宋" w:cs="宋体"/>
          <w:snapToGrid w:val="0"/>
          <w:kern w:val="0"/>
          <w:sz w:val="24"/>
          <w:highlight w:val="none"/>
        </w:rPr>
        <w:t>《中华人民共和国安全生产法》</w:t>
      </w:r>
      <w:r>
        <w:rPr>
          <w:rFonts w:hint="eastAsia" w:ascii="仿宋" w:hAnsi="仿宋" w:eastAsia="仿宋" w:cs="宋体"/>
          <w:snapToGrid w:val="0"/>
          <w:kern w:val="0"/>
          <w:sz w:val="24"/>
          <w:highlight w:val="none"/>
        </w:rPr>
        <w:t>有关法律法规。</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（2）按甲方要求及时如实向甲方报告安保服务服务实施情况；</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（3）不得将管理责任转让给第三方；</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（4）负责编制年度计划、方案，经双方议定后由乙方组织实施；</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w:t>
      </w:r>
      <w:r>
        <w:rPr>
          <w:rFonts w:ascii="仿宋" w:hAnsi="仿宋" w:eastAsia="仿宋" w:cs="宋体"/>
          <w:snapToGrid w:val="0"/>
          <w:kern w:val="0"/>
          <w:sz w:val="24"/>
          <w:highlight w:val="none"/>
        </w:rPr>
        <w:t>5</w:t>
      </w:r>
      <w:r>
        <w:rPr>
          <w:rFonts w:hint="eastAsia" w:ascii="仿宋" w:hAnsi="仿宋" w:eastAsia="仿宋" w:cs="宋体"/>
          <w:snapToGrid w:val="0"/>
          <w:kern w:val="0"/>
          <w:sz w:val="24"/>
          <w:highlight w:val="none"/>
        </w:rPr>
        <w:t>）建立、妥善保管和正确使用 相关的管理档案，并负责及时记载有关变更情况；</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w:t>
      </w:r>
      <w:r>
        <w:rPr>
          <w:rFonts w:ascii="仿宋" w:hAnsi="仿宋" w:eastAsia="仿宋" w:cs="宋体"/>
          <w:snapToGrid w:val="0"/>
          <w:kern w:val="0"/>
          <w:sz w:val="24"/>
          <w:highlight w:val="none"/>
        </w:rPr>
        <w:t>6</w:t>
      </w:r>
      <w:r>
        <w:rPr>
          <w:rFonts w:hint="eastAsia" w:ascii="仿宋" w:hAnsi="仿宋" w:eastAsia="仿宋" w:cs="宋体"/>
          <w:snapToGrid w:val="0"/>
          <w:kern w:val="0"/>
          <w:sz w:val="24"/>
          <w:highlight w:val="none"/>
        </w:rPr>
        <w:t>）对公用设施不得擅自占用和改变使用功能；</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w:t>
      </w:r>
      <w:r>
        <w:rPr>
          <w:rFonts w:ascii="仿宋" w:hAnsi="仿宋" w:eastAsia="仿宋" w:cs="宋体"/>
          <w:snapToGrid w:val="0"/>
          <w:kern w:val="0"/>
          <w:sz w:val="24"/>
          <w:highlight w:val="none"/>
        </w:rPr>
        <w:t>7</w:t>
      </w:r>
      <w:r>
        <w:rPr>
          <w:rFonts w:hint="eastAsia" w:ascii="仿宋" w:hAnsi="仿宋" w:eastAsia="仿宋" w:cs="宋体"/>
          <w:snapToGrid w:val="0"/>
          <w:kern w:val="0"/>
          <w:sz w:val="24"/>
          <w:highlight w:val="none"/>
        </w:rPr>
        <w:t>）因乙方在管理中的过错或违反本合同的约定进行管理造成甲方或第三人损失的，乙方应依法承担赔偿责任；</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w:t>
      </w:r>
      <w:r>
        <w:rPr>
          <w:rFonts w:ascii="仿宋" w:hAnsi="仿宋" w:eastAsia="仿宋" w:cs="宋体"/>
          <w:snapToGrid w:val="0"/>
          <w:kern w:val="0"/>
          <w:sz w:val="24"/>
          <w:highlight w:val="none"/>
        </w:rPr>
        <w:t>8</w:t>
      </w:r>
      <w:r>
        <w:rPr>
          <w:rFonts w:hint="eastAsia" w:ascii="仿宋" w:hAnsi="仿宋" w:eastAsia="仿宋" w:cs="宋体"/>
          <w:snapToGrid w:val="0"/>
          <w:kern w:val="0"/>
          <w:sz w:val="24"/>
          <w:highlight w:val="none"/>
        </w:rPr>
        <w:t>）乙方自行承担办公桌、电脑、打印机、文件柜等自身使用的办公用品，自行承担所有人员服装费用，但服装样式需经过甲方认可，办公、生活用水、电、通讯费用由乙方自行承担。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w:t>
      </w:r>
      <w:r>
        <w:rPr>
          <w:rFonts w:ascii="仿宋" w:hAnsi="仿宋" w:eastAsia="仿宋" w:cs="宋体"/>
          <w:snapToGrid w:val="0"/>
          <w:kern w:val="0"/>
          <w:sz w:val="24"/>
          <w:highlight w:val="none"/>
        </w:rPr>
        <w:t>9</w:t>
      </w:r>
      <w:r>
        <w:rPr>
          <w:rFonts w:hint="eastAsia" w:ascii="仿宋" w:hAnsi="仿宋" w:eastAsia="仿宋" w:cs="宋体"/>
          <w:snapToGrid w:val="0"/>
          <w:kern w:val="0"/>
          <w:sz w:val="24"/>
          <w:highlight w:val="none"/>
        </w:rPr>
        <w:t>）本合同终止时，乙方必须向甲方移交全部管理用房及安保服务的全部档案资料，确保移交的资料和设备、设施完好无缺。</w:t>
      </w:r>
    </w:p>
    <w:p>
      <w:pPr>
        <w:adjustRightInd/>
        <w:snapToGrid w:val="0"/>
        <w:spacing w:line="360" w:lineRule="auto"/>
        <w:ind w:firstLine="482" w:firstLineChars="200"/>
        <w:rPr>
          <w:rFonts w:ascii="仿宋" w:hAnsi="仿宋" w:eastAsia="仿宋" w:cs="宋体"/>
          <w:snapToGrid w:val="0"/>
          <w:kern w:val="0"/>
          <w:sz w:val="24"/>
          <w:highlight w:val="none"/>
        </w:rPr>
      </w:pPr>
      <w:r>
        <w:rPr>
          <w:rFonts w:hint="eastAsia" w:ascii="仿宋" w:hAnsi="仿宋" w:eastAsia="仿宋" w:cs="宋体"/>
          <w:b/>
          <w:sz w:val="24"/>
          <w:highlight w:val="none"/>
        </w:rPr>
        <w:t xml:space="preserve">第十六条 </w:t>
      </w:r>
      <w:r>
        <w:rPr>
          <w:rFonts w:hint="eastAsia" w:ascii="仿宋" w:hAnsi="仿宋" w:eastAsia="仿宋" w:cs="宋体"/>
          <w:b/>
          <w:snapToGrid w:val="0"/>
          <w:kern w:val="0"/>
          <w:sz w:val="24"/>
          <w:highlight w:val="none"/>
        </w:rPr>
        <w:t>乙方的人员配置</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w:t>
      </w:r>
      <w:r>
        <w:rPr>
          <w:rFonts w:hint="eastAsia" w:ascii="仿宋" w:hAnsi="仿宋" w:eastAsia="仿宋" w:cs="宋体"/>
          <w:b/>
          <w:snapToGrid w:val="0"/>
          <w:kern w:val="0"/>
          <w:sz w:val="24"/>
          <w:highlight w:val="none"/>
        </w:rPr>
        <w:t>乙方的人员配置</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 xml:space="preserve">1.1乙方的项目总负责人             ，身份证号码：                     </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1.2乙方必须采取措施，确保乙方人员稳定，特别是骨干人员。骨干人员变动须经甲方同意，其他人员变动须甲方备案。</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1.3乙方项目总负责人及部门负责人须及时与甲方沟通，第一时间报告重大、紧急事件；每月须向甲方汇报上月工作情况，并提供相关报告。</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w:t>
      </w:r>
      <w:r>
        <w:rPr>
          <w:rFonts w:hint="eastAsia" w:ascii="仿宋" w:hAnsi="仿宋" w:eastAsia="仿宋" w:cs="宋体"/>
          <w:b/>
          <w:snapToGrid w:val="0"/>
          <w:kern w:val="0"/>
          <w:sz w:val="24"/>
          <w:highlight w:val="none"/>
        </w:rPr>
        <w:t>人员要求</w:t>
      </w:r>
      <w:r>
        <w:rPr>
          <w:rFonts w:hint="eastAsia" w:ascii="仿宋" w:hAnsi="仿宋" w:eastAsia="仿宋" w:cs="宋体"/>
          <w:snapToGrid w:val="0"/>
          <w:kern w:val="0"/>
          <w:sz w:val="24"/>
          <w:highlight w:val="none"/>
        </w:rPr>
        <w:t>：</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（1）所有相关人员的配备须获得相关主管部门认证的，须配证并持证上岗，且根据不同岗位统一着装。</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（2）所有相关人员要求政治上可靠，身体素质好，无不良行为记录。</w:t>
      </w:r>
    </w:p>
    <w:p>
      <w:pPr>
        <w:adjustRightInd/>
        <w:snapToGrid w:val="0"/>
        <w:spacing w:line="360" w:lineRule="auto"/>
        <w:ind w:firstLine="480" w:firstLineChars="200"/>
        <w:rPr>
          <w:rFonts w:ascii="仿宋" w:hAnsi="仿宋" w:eastAsia="仿宋" w:cs="宋体"/>
          <w:snapToGrid w:val="0"/>
          <w:kern w:val="0"/>
          <w:sz w:val="24"/>
          <w:highlight w:val="none"/>
        </w:rPr>
      </w:pPr>
      <w:r>
        <w:rPr>
          <w:rFonts w:hint="eastAsia" w:ascii="仿宋" w:hAnsi="仿宋" w:eastAsia="仿宋" w:cs="宋体"/>
          <w:snapToGrid w:val="0"/>
          <w:kern w:val="0"/>
          <w:sz w:val="24"/>
          <w:highlight w:val="none"/>
        </w:rPr>
        <w:t>（3）重要岗位人员必须由甲方人事部门考核、政治审查通过方可录用。</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napToGrid w:val="0"/>
          <w:kern w:val="0"/>
          <w:sz w:val="24"/>
          <w:highlight w:val="none"/>
        </w:rPr>
        <w:t>（4）为提高安保服务水平，除乙方对服务人员的培训外，需接受甲方对服务人员的集中培训。</w:t>
      </w:r>
    </w:p>
    <w:p>
      <w:pPr>
        <w:autoSpaceDE w:val="0"/>
        <w:autoSpaceDN w:val="0"/>
        <w:adjustRightInd/>
        <w:snapToGrid w:val="0"/>
        <w:spacing w:line="360" w:lineRule="auto"/>
        <w:ind w:firstLine="482" w:firstLineChars="200"/>
        <w:jc w:val="left"/>
        <w:rPr>
          <w:rFonts w:ascii="仿宋" w:hAnsi="仿宋" w:eastAsia="仿宋" w:cs="宋体"/>
          <w:b/>
          <w:kern w:val="0"/>
          <w:sz w:val="24"/>
          <w:highlight w:val="none"/>
          <w:lang w:val="zh-CN"/>
        </w:rPr>
      </w:pPr>
      <w:r>
        <w:rPr>
          <w:rFonts w:hint="eastAsia" w:ascii="仿宋" w:hAnsi="仿宋" w:eastAsia="仿宋" w:cs="宋体"/>
          <w:b/>
          <w:sz w:val="24"/>
          <w:highlight w:val="none"/>
        </w:rPr>
        <w:t xml:space="preserve">第十七条 </w:t>
      </w:r>
      <w:r>
        <w:rPr>
          <w:rFonts w:hint="eastAsia" w:ascii="仿宋" w:hAnsi="仿宋" w:eastAsia="仿宋" w:cs="宋体"/>
          <w:b/>
          <w:kern w:val="0"/>
          <w:sz w:val="24"/>
          <w:highlight w:val="none"/>
          <w:lang w:val="zh-CN"/>
        </w:rPr>
        <w:t>争议处理</w:t>
      </w:r>
    </w:p>
    <w:p>
      <w:pPr>
        <w:autoSpaceDE w:val="0"/>
        <w:autoSpaceDN w:val="0"/>
        <w:adjustRightInd/>
        <w:snapToGrid w:val="0"/>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sz w:val="24"/>
          <w:highlight w:val="none"/>
        </w:rPr>
        <w:t>1.</w:t>
      </w:r>
      <w:r>
        <w:rPr>
          <w:rFonts w:hint="eastAsia" w:ascii="仿宋" w:hAnsi="仿宋" w:eastAsia="仿宋" w:cs="宋体"/>
          <w:kern w:val="0"/>
          <w:sz w:val="24"/>
          <w:highlight w:val="none"/>
          <w:lang w:val="zh-CN"/>
        </w:rPr>
        <w:t>合同在履行过程中发生争议时，甲方与乙方及时协商解决。协商不成时，提交杭州仲裁委员会仲裁。</w:t>
      </w:r>
    </w:p>
    <w:p>
      <w:pPr>
        <w:adjustRightInd/>
        <w:snapToGrid w:val="0"/>
        <w:spacing w:line="360" w:lineRule="auto"/>
        <w:ind w:firstLine="480" w:firstLineChars="200"/>
        <w:rPr>
          <w:rFonts w:ascii="仿宋" w:hAnsi="仿宋" w:eastAsia="仿宋" w:cs="宋体"/>
          <w:b/>
          <w:kern w:val="0"/>
          <w:sz w:val="24"/>
          <w:highlight w:val="none"/>
          <w:lang w:val="zh-CN"/>
        </w:rPr>
      </w:pPr>
      <w:r>
        <w:rPr>
          <w:rFonts w:hint="eastAsia" w:ascii="仿宋" w:hAnsi="仿宋" w:eastAsia="仿宋" w:cs="宋体"/>
          <w:sz w:val="24"/>
          <w:highlight w:val="none"/>
        </w:rPr>
        <w:t>2.</w:t>
      </w:r>
      <w:r>
        <w:rPr>
          <w:rFonts w:hint="eastAsia" w:ascii="仿宋" w:hAnsi="仿宋" w:eastAsia="仿宋" w:cs="宋体"/>
          <w:kern w:val="0"/>
          <w:sz w:val="24"/>
          <w:highlight w:val="none"/>
          <w:lang w:val="zh-CN"/>
        </w:rPr>
        <w:t>对于因违反或终止合同而引起的损失、损害的赔偿，由甲方与乙方友好协商解决，经协商仍未能达成一致的，提交杭州仲裁委员会仲裁。</w:t>
      </w:r>
    </w:p>
    <w:p>
      <w:pPr>
        <w:autoSpaceDE w:val="0"/>
        <w:autoSpaceDN w:val="0"/>
        <w:adjustRightInd/>
        <w:snapToGrid w:val="0"/>
        <w:spacing w:line="360" w:lineRule="auto"/>
        <w:ind w:firstLine="482" w:firstLineChars="200"/>
        <w:jc w:val="left"/>
        <w:rPr>
          <w:rFonts w:ascii="仿宋" w:hAnsi="仿宋" w:eastAsia="仿宋" w:cs="宋体"/>
          <w:b/>
          <w:kern w:val="0"/>
          <w:sz w:val="24"/>
          <w:highlight w:val="none"/>
          <w:lang w:val="zh-CN"/>
        </w:rPr>
      </w:pPr>
      <w:r>
        <w:rPr>
          <w:rFonts w:hint="eastAsia" w:ascii="仿宋" w:hAnsi="仿宋" w:eastAsia="仿宋" w:cs="宋体"/>
          <w:b/>
          <w:sz w:val="24"/>
          <w:highlight w:val="none"/>
        </w:rPr>
        <w:t xml:space="preserve">第十八条 </w:t>
      </w:r>
      <w:r>
        <w:rPr>
          <w:rFonts w:hint="eastAsia" w:ascii="仿宋" w:hAnsi="仿宋" w:eastAsia="仿宋" w:cs="宋体"/>
          <w:b/>
          <w:kern w:val="0"/>
          <w:sz w:val="24"/>
          <w:highlight w:val="none"/>
          <w:lang w:val="zh-CN"/>
        </w:rPr>
        <w:t>其他</w:t>
      </w:r>
    </w:p>
    <w:p>
      <w:pPr>
        <w:autoSpaceDE w:val="0"/>
        <w:autoSpaceDN w:val="0"/>
        <w:adjustRightInd/>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sz w:val="24"/>
          <w:highlight w:val="none"/>
        </w:rPr>
        <w:t>1.</w:t>
      </w:r>
      <w:r>
        <w:rPr>
          <w:rFonts w:hint="eastAsia" w:ascii="仿宋" w:hAnsi="仿宋" w:eastAsia="仿宋" w:cs="宋体"/>
          <w:kern w:val="0"/>
          <w:sz w:val="24"/>
          <w:highlight w:val="none"/>
          <w:lang w:val="zh-CN"/>
        </w:rPr>
        <w:t>本合同（□是  □否）为可融资合同，关于中小企业信用融资事项可登陆杭州市政府采购网（http://cg.hzft.gov.cn）“中小企业信用融资”专栏进行查询。</w:t>
      </w:r>
    </w:p>
    <w:p>
      <w:pPr>
        <w:adjustRightInd/>
        <w:spacing w:line="360" w:lineRule="auto"/>
        <w:ind w:firstLine="480"/>
        <w:outlineLvl w:val="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2.本合同（□是  □否）为中小企业预留合同。</w:t>
      </w:r>
    </w:p>
    <w:p>
      <w:pPr>
        <w:adjustRightInd/>
        <w:spacing w:line="360" w:lineRule="auto"/>
        <w:ind w:firstLine="480"/>
        <w:outlineLvl w:val="0"/>
        <w:rPr>
          <w:rFonts w:ascii="仿宋" w:hAnsi="仿宋" w:eastAsia="仿宋" w:cs="宋体"/>
          <w:kern w:val="0"/>
          <w:sz w:val="24"/>
          <w:highlight w:val="none"/>
          <w:lang w:val="zh-CN"/>
        </w:rPr>
      </w:pPr>
      <w:r>
        <w:rPr>
          <w:rFonts w:hint="eastAsia" w:ascii="仿宋" w:hAnsi="仿宋" w:eastAsia="仿宋" w:cs="宋体"/>
          <w:kern w:val="0"/>
          <w:sz w:val="24"/>
          <w:highlight w:val="none"/>
          <w:lang w:val="zh-CN"/>
        </w:rPr>
        <w:t>3.对于通过“要求以联合体形式参加或者合同分包等措施”签订的采购合同，联合协议或者分包意向协议以附件形式作为采购合同的组成部分。</w:t>
      </w:r>
    </w:p>
    <w:p>
      <w:pPr>
        <w:autoSpaceDE w:val="0"/>
        <w:autoSpaceDN w:val="0"/>
        <w:adjustRightInd/>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sz w:val="24"/>
          <w:highlight w:val="none"/>
        </w:rPr>
        <w:t>4.</w:t>
      </w:r>
      <w:r>
        <w:rPr>
          <w:rFonts w:hint="eastAsia" w:ascii="仿宋" w:hAnsi="仿宋" w:eastAsia="仿宋" w:cs="宋体"/>
          <w:kern w:val="0"/>
          <w:sz w:val="24"/>
          <w:highlight w:val="none"/>
          <w:lang w:val="zh-CN"/>
        </w:rPr>
        <w:t>未经过甲方的书面同意，乙方不得转让其应履行的合同项下的义务，和将部分合同项下的义务分包给其他单位完成。</w:t>
      </w:r>
    </w:p>
    <w:p>
      <w:pPr>
        <w:autoSpaceDE w:val="0"/>
        <w:autoSpaceDN w:val="0"/>
        <w:adjustRightInd/>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sz w:val="24"/>
          <w:highlight w:val="none"/>
        </w:rPr>
        <w:t>5.</w:t>
      </w:r>
      <w:r>
        <w:rPr>
          <w:rFonts w:hint="eastAsia" w:ascii="仿宋" w:hAnsi="仿宋" w:eastAsia="仿宋" w:cs="宋体"/>
          <w:kern w:val="0"/>
          <w:sz w:val="24"/>
          <w:highlight w:val="none"/>
          <w:lang w:val="zh-CN"/>
        </w:rPr>
        <w:t>乙方不得参与可能与合同规定的与甲方的利益相冲突的任何活动。</w:t>
      </w:r>
    </w:p>
    <w:p>
      <w:pPr>
        <w:autoSpaceDE w:val="0"/>
        <w:autoSpaceDN w:val="0"/>
        <w:adjustRightInd/>
        <w:spacing w:line="360" w:lineRule="auto"/>
        <w:ind w:firstLine="480" w:firstLineChars="200"/>
        <w:jc w:val="left"/>
        <w:rPr>
          <w:rFonts w:ascii="仿宋" w:hAnsi="仿宋" w:eastAsia="仿宋" w:cs="宋体"/>
          <w:kern w:val="0"/>
          <w:sz w:val="24"/>
          <w:highlight w:val="none"/>
          <w:lang w:val="zh-CN"/>
        </w:rPr>
      </w:pPr>
      <w:r>
        <w:rPr>
          <w:rFonts w:hint="eastAsia" w:ascii="仿宋" w:hAnsi="仿宋" w:eastAsia="仿宋" w:cs="宋体"/>
          <w:sz w:val="24"/>
          <w:highlight w:val="none"/>
        </w:rPr>
        <w:t>6.</w:t>
      </w:r>
      <w:r>
        <w:rPr>
          <w:rFonts w:hint="eastAsia" w:ascii="仿宋" w:hAnsi="仿宋" w:eastAsia="仿宋" w:cs="宋体"/>
          <w:kern w:val="0"/>
          <w:sz w:val="24"/>
          <w:highlight w:val="none"/>
          <w:lang w:val="zh-CN"/>
        </w:rPr>
        <w:t>乙方人员在甲方场地工作时，应遵守甲方相关规章、制度。</w:t>
      </w:r>
    </w:p>
    <w:p>
      <w:pPr>
        <w:autoSpaceDE w:val="0"/>
        <w:autoSpaceDN w:val="0"/>
        <w:adjustRightInd/>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7.本合同任何一方给另一方的通知，都应以书面或电传/传真/电报的形式发送，而另一方应以书面形式确认并发送到对方明确的地址。</w:t>
      </w:r>
    </w:p>
    <w:p>
      <w:pPr>
        <w:autoSpaceDE w:val="0"/>
        <w:autoSpaceDN w:val="0"/>
        <w:adjustRightInd/>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8.合同履行期内甲乙双方均不得随意变更或解除合同。合同若有未尽事宜，需经双方共同协商，订立补充协议，补充协议与本合同有同等法律效力。</w:t>
      </w:r>
    </w:p>
    <w:p>
      <w:pPr>
        <w:autoSpaceDE w:val="0"/>
        <w:autoSpaceDN w:val="0"/>
        <w:adjustRightInd/>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9.响应文件【编号：   】、响应文件及评标过程中形成的文字资料、询标纪要均作为本合同的组成部分，具有同等效力。</w:t>
      </w:r>
    </w:p>
    <w:p>
      <w:pPr>
        <w:autoSpaceDE w:val="0"/>
        <w:autoSpaceDN w:val="0"/>
        <w:adjustRightInd/>
        <w:spacing w:line="360" w:lineRule="auto"/>
        <w:ind w:firstLine="480" w:firstLineChars="200"/>
        <w:jc w:val="left"/>
        <w:rPr>
          <w:rFonts w:ascii="仿宋" w:hAnsi="仿宋" w:eastAsia="仿宋" w:cs="宋体"/>
          <w:sz w:val="24"/>
          <w:highlight w:val="none"/>
        </w:rPr>
      </w:pPr>
      <w:r>
        <w:rPr>
          <w:rFonts w:hint="eastAsia" w:ascii="仿宋" w:hAnsi="仿宋" w:eastAsia="仿宋" w:cs="宋体"/>
          <w:sz w:val="24"/>
          <w:highlight w:val="none"/>
        </w:rPr>
        <w:t>10.本合同一式</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份，甲方执</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份、乙方执</w:t>
      </w:r>
      <w:r>
        <w:rPr>
          <w:rFonts w:hint="eastAsia" w:ascii="仿宋" w:hAnsi="仿宋" w:eastAsia="仿宋" w:cs="宋体"/>
          <w:sz w:val="24"/>
          <w:highlight w:val="none"/>
          <w:u w:val="single"/>
        </w:rPr>
        <w:t xml:space="preserve">   </w:t>
      </w:r>
      <w:r>
        <w:rPr>
          <w:rFonts w:hint="eastAsia" w:ascii="仿宋" w:hAnsi="仿宋" w:eastAsia="仿宋" w:cs="宋体"/>
          <w:sz w:val="24"/>
          <w:highlight w:val="none"/>
        </w:rPr>
        <w:t>份。</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11.适用法律：本合同应按照中华人民共和国的法律进行解释。</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甲方（盖章）：                             乙方（盖章）：        </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法定代表人或受委托人（签字）：             法定代表人或受委托人（签字）：                   </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联系人：                                  联系人：</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地址：                                    地址： </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电话和传真：                              电话传真：</w:t>
      </w:r>
    </w:p>
    <w:p>
      <w:pPr>
        <w:adjustRightInd/>
        <w:snapToGrid w:val="0"/>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 xml:space="preserve">开户银行：                                开户银行： </w:t>
      </w:r>
    </w:p>
    <w:p>
      <w:pPr>
        <w:spacing w:line="360" w:lineRule="auto"/>
        <w:ind w:left="720" w:firstLine="480" w:firstLineChars="200"/>
        <w:outlineLvl w:val="0"/>
        <w:rPr>
          <w:rFonts w:ascii="仿宋" w:hAnsi="仿宋" w:eastAsia="仿宋" w:cs="仿宋_GB2312"/>
          <w:b/>
          <w:sz w:val="36"/>
          <w:szCs w:val="20"/>
          <w:highlight w:val="none"/>
        </w:rPr>
      </w:pPr>
      <w:r>
        <w:rPr>
          <w:rFonts w:hint="eastAsia" w:ascii="仿宋" w:hAnsi="仿宋" w:eastAsia="仿宋" w:cs="宋体"/>
          <w:sz w:val="24"/>
          <w:highlight w:val="none"/>
        </w:rPr>
        <w:t>帐号：                                    帐号：</w:t>
      </w:r>
    </w:p>
    <w:p>
      <w:pPr>
        <w:rPr>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p>
    <w:p>
      <w:pPr>
        <w:spacing w:line="360" w:lineRule="auto"/>
        <w:jc w:val="center"/>
        <w:outlineLvl w:val="0"/>
        <w:rPr>
          <w:rFonts w:ascii="仿宋" w:hAnsi="仿宋" w:eastAsia="仿宋" w:cs="仿宋_GB2312"/>
          <w:b/>
          <w:sz w:val="36"/>
          <w:szCs w:val="20"/>
          <w:highlight w:val="none"/>
        </w:rPr>
      </w:pPr>
      <w:r>
        <w:rPr>
          <w:rFonts w:hint="eastAsia" w:ascii="仿宋" w:hAnsi="仿宋" w:eastAsia="仿宋" w:cs="仿宋_GB2312"/>
          <w:b/>
          <w:sz w:val="36"/>
          <w:szCs w:val="20"/>
          <w:highlight w:val="none"/>
        </w:rPr>
        <w:t>第六部分</w:t>
      </w:r>
      <w:bookmarkEnd w:id="392"/>
      <w:r>
        <w:rPr>
          <w:rFonts w:ascii="仿宋" w:hAnsi="仿宋" w:eastAsia="仿宋" w:cs="仿宋_GB2312"/>
          <w:b/>
          <w:sz w:val="36"/>
          <w:szCs w:val="20"/>
          <w:highlight w:val="none"/>
        </w:rPr>
        <w:t xml:space="preserve"> </w:t>
      </w:r>
      <w:bookmarkEnd w:id="393"/>
      <w:r>
        <w:rPr>
          <w:rFonts w:hint="eastAsia" w:ascii="仿宋" w:hAnsi="仿宋" w:eastAsia="仿宋" w:cs="仿宋_GB2312"/>
          <w:b/>
          <w:sz w:val="36"/>
          <w:szCs w:val="20"/>
          <w:highlight w:val="none"/>
        </w:rPr>
        <w:t>应提交的有关格式范例</w:t>
      </w:r>
    </w:p>
    <w:p>
      <w:pPr>
        <w:spacing w:line="360" w:lineRule="auto"/>
        <w:jc w:val="center"/>
        <w:outlineLvl w:val="0"/>
        <w:rPr>
          <w:rFonts w:ascii="仿宋_GB2312" w:hAnsi="仿宋" w:eastAsia="仿宋_GB2312" w:cs="仿宋_GB2312"/>
          <w:b/>
          <w:kern w:val="0"/>
          <w:sz w:val="36"/>
          <w:szCs w:val="36"/>
          <w:highlight w:val="none"/>
        </w:r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资格文件部分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1）符合参加政府采购活动应当具备的一般条件的承诺函……</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2）落实政府采购政策需满足的资格要求</w:t>
      </w:r>
      <w:r>
        <w:rPr>
          <w:rFonts w:hint="eastAsia" w:ascii="仿宋_GB2312" w:hAnsi="仿宋" w:eastAsia="仿宋_GB2312" w:cs="仿宋_GB2312"/>
          <w:sz w:val="24"/>
          <w:highlight w:val="none"/>
        </w:rPr>
        <w:t>：……………………………（页码）</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3）本项目的特定资格要求……</w:t>
      </w:r>
      <w:r>
        <w:rPr>
          <w:rFonts w:hint="eastAsia" w:ascii="仿宋_GB2312" w:hAnsi="仿宋" w:eastAsia="仿宋_GB2312" w:cs="仿宋_GB2312"/>
          <w:sz w:val="24"/>
          <w:highlight w:val="none"/>
        </w:rPr>
        <w:t>…………………………………………（页码）</w:t>
      </w:r>
    </w:p>
    <w:p>
      <w:pPr>
        <w:snapToGrid w:val="0"/>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ascii="仿宋_GB2312" w:hAnsi="仿宋" w:eastAsia="仿宋_GB2312" w:cs="仿宋_GB2312"/>
          <w:kern w:val="0"/>
          <w:sz w:val="24"/>
          <w:highlight w:val="none"/>
        </w:rPr>
        <w:br w:type="page"/>
      </w:r>
      <w:r>
        <w:rPr>
          <w:rFonts w:ascii="仿宋_GB2312" w:hAnsi="仿宋" w:eastAsia="仿宋_GB2312" w:cs="仿宋_GB2312"/>
          <w:b/>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我方参与（项目名称）【招标编号：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】政府采购活动，郑重承诺：</w:t>
      </w:r>
    </w:p>
    <w:p>
      <w:pPr>
        <w:snapToGrid w:val="0"/>
        <w:spacing w:line="360" w:lineRule="auto"/>
        <w:ind w:firstLine="360" w:firstLineChars="150"/>
        <w:rPr>
          <w:rFonts w:ascii="仿宋_GB2312" w:hAnsi="仿宋" w:eastAsia="仿宋_GB2312" w:cs="仿宋_GB2312"/>
          <w:sz w:val="24"/>
          <w:highlight w:val="none"/>
        </w:rPr>
      </w:pPr>
      <w:r>
        <w:rPr>
          <w:rFonts w:hint="eastAsia" w:ascii="仿宋_GB2312" w:hAnsi="仿宋" w:eastAsia="仿宋_GB2312" w:cs="仿宋_GB2312"/>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具有独立承担民事责任的能力；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2、</w:t>
      </w:r>
      <w:r>
        <w:rPr>
          <w:rFonts w:ascii="仿宋_GB2312" w:hAnsi="仿宋" w:eastAsia="仿宋_GB2312"/>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3、</w:t>
      </w:r>
      <w:r>
        <w:rPr>
          <w:rFonts w:ascii="仿宋_GB2312" w:hAnsi="仿宋" w:eastAsia="仿宋_GB2312"/>
          <w:sz w:val="24"/>
          <w:highlight w:val="none"/>
        </w:rPr>
        <w:t>具有履行合同所必需的设备和专业技术能力；</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4、</w:t>
      </w:r>
      <w:r>
        <w:rPr>
          <w:rFonts w:ascii="仿宋_GB2312" w:hAnsi="仿宋" w:eastAsia="仿宋_GB2312"/>
          <w:sz w:val="24"/>
          <w:highlight w:val="none"/>
        </w:rPr>
        <w:t>有依法缴纳税收和社会保障资金的良好记录；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5、</w:t>
      </w:r>
      <w:r>
        <w:rPr>
          <w:rFonts w:ascii="仿宋_GB2312" w:hAnsi="仿宋" w:eastAsia="仿宋_GB2312"/>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6、</w:t>
      </w:r>
      <w:r>
        <w:rPr>
          <w:rFonts w:ascii="仿宋_GB2312" w:hAnsi="仿宋" w:eastAsia="仿宋_GB2312"/>
          <w:sz w:val="24"/>
          <w:highlight w:val="none"/>
        </w:rPr>
        <w:t>具有法律、行政法规规定的其他条件。</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（二）未被信用中国（</w:t>
      </w:r>
      <w:r>
        <w:rPr>
          <w:rFonts w:ascii="仿宋_GB2312" w:hAnsi="仿宋" w:eastAsia="仿宋_GB2312"/>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highlight w:val="none"/>
        </w:rPr>
      </w:pPr>
      <w:r>
        <w:rPr>
          <w:rFonts w:hint="eastAsia" w:ascii="仿宋_GB2312" w:hAnsi="仿宋" w:eastAsia="仿宋_GB2312"/>
          <w:sz w:val="24"/>
          <w:highlight w:val="none"/>
        </w:rPr>
        <w:t>（三）不存在以下情况：</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1、</w:t>
      </w:r>
      <w:r>
        <w:rPr>
          <w:rFonts w:ascii="仿宋_GB2312" w:hAnsi="仿宋" w:eastAsia="仿宋_GB2312" w:cs="仿宋_GB2312"/>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2、</w:t>
      </w:r>
      <w:r>
        <w:rPr>
          <w:rFonts w:ascii="仿宋_GB2312" w:hAnsi="仿宋" w:eastAsia="仿宋_GB2312" w:cs="仿宋_GB2312"/>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lang w:val="zh-CN"/>
        </w:rPr>
        <w:t>投标人名称</w:t>
      </w:r>
      <w:r>
        <w:rPr>
          <w:rFonts w:ascii="仿宋_GB2312" w:hAnsi="仿宋" w:eastAsia="仿宋_GB2312" w:cs="仿宋_GB2312"/>
          <w:kern w:val="0"/>
          <w:sz w:val="24"/>
          <w:highlight w:val="none"/>
          <w:lang w:val="zh-CN"/>
        </w:rPr>
        <w:t>(电子签名)：</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日期</w:t>
      </w:r>
      <w:r>
        <w:rPr>
          <w:rFonts w:hint="eastAsia" w:ascii="仿宋_GB2312" w:hAnsi="仿宋" w:eastAsia="仿宋_GB2312" w:cs="仿宋_GB2312"/>
          <w:kern w:val="0"/>
          <w:sz w:val="24"/>
          <w:highlight w:val="none"/>
        </w:rPr>
        <w:t>：</w:t>
      </w:r>
      <w:r>
        <w:rPr>
          <w:rFonts w:ascii="仿宋_GB2312" w:hAnsi="仿宋" w:eastAsia="仿宋_GB2312" w:cs="仿宋_GB2312"/>
          <w:kern w:val="0"/>
          <w:sz w:val="24"/>
          <w:highlight w:val="none"/>
        </w:rPr>
        <w:t xml:space="preserve">  年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ascii="仿宋_GB2312" w:hAnsi="仿宋" w:eastAsia="仿宋_GB2312" w:cs="仿宋_GB2312"/>
          <w:sz w:val="24"/>
          <w:highlight w:val="none"/>
        </w:rPr>
      </w:pPr>
      <w:r>
        <w:rPr>
          <w:rFonts w:ascii="仿宋_GB2312" w:hAnsi="仿宋" w:eastAsia="仿宋_GB2312" w:cs="仿宋_GB2312"/>
          <w:b/>
          <w:sz w:val="24"/>
          <w:highlight w:val="none"/>
        </w:rPr>
        <w:t>A</w:t>
      </w:r>
      <w:r>
        <w:rPr>
          <w:rFonts w:ascii="仿宋_GB2312" w:hAnsi="仿宋" w:eastAsia="仿宋_GB2312" w:cs="仿宋_GB2312"/>
          <w:sz w:val="24"/>
          <w:highlight w:val="none"/>
        </w:rPr>
        <w:t>.</w:t>
      </w:r>
      <w:r>
        <w:rPr>
          <w:rFonts w:hint="eastAsia" w:ascii="仿宋_GB2312" w:hAnsi="仿宋" w:eastAsia="仿宋_GB2312" w:cs="仿宋_GB2312"/>
          <w:sz w:val="24"/>
          <w:highlight w:val="none"/>
        </w:rPr>
        <w:t>专门面向中小企业，服务全部由符合政策要求的中小企业（或小微企业）承接的，提供相应的中小企业声明函（附件</w:t>
      </w:r>
      <w:r>
        <w:rPr>
          <w:rFonts w:ascii="仿宋_GB2312" w:hAnsi="仿宋" w:eastAsia="仿宋_GB2312" w:cs="仿宋_GB2312"/>
          <w:sz w:val="24"/>
          <w:highlight w:val="none"/>
        </w:rPr>
        <w:t>5</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 xml:space="preserve"> </w:t>
      </w:r>
    </w:p>
    <w:p>
      <w:pPr>
        <w:widowControl/>
        <w:spacing w:line="360" w:lineRule="auto"/>
        <w:ind w:firstLine="480"/>
        <w:jc w:val="left"/>
        <w:rPr>
          <w:rFonts w:ascii="仿宋_GB2312" w:hAnsi="宋体" w:eastAsia="仿宋_GB2312"/>
          <w:sz w:val="24"/>
          <w:highlight w:val="none"/>
        </w:rPr>
      </w:pPr>
    </w:p>
    <w:p>
      <w:pPr>
        <w:widowControl/>
        <w:spacing w:line="360" w:lineRule="auto"/>
        <w:ind w:left="150"/>
        <w:jc w:val="center"/>
        <w:rPr>
          <w:rFonts w:ascii="仿宋_GB2312" w:hAnsi="仿宋" w:eastAsia="仿宋_GB2312" w:cs="仿宋_GB2312"/>
          <w:b/>
          <w:kern w:val="0"/>
          <w:sz w:val="32"/>
          <w:szCs w:val="32"/>
          <w:highlight w:val="none"/>
        </w:rPr>
      </w:pPr>
    </w:p>
    <w:p>
      <w:pPr>
        <w:widowControl/>
        <w:spacing w:line="360" w:lineRule="auto"/>
        <w:ind w:left="15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三、本项目的特定资格要求</w:t>
      </w:r>
    </w:p>
    <w:p>
      <w:pPr>
        <w:spacing w:line="360" w:lineRule="auto"/>
        <w:jc w:val="center"/>
        <w:rPr>
          <w:rFonts w:ascii="仿宋_GB2312" w:hAnsi="仿宋" w:eastAsia="仿宋_GB2312"/>
          <w:sz w:val="24"/>
          <w:highlight w:val="none"/>
        </w:rPr>
      </w:pPr>
      <w:r>
        <w:rPr>
          <w:rFonts w:hint="eastAsia" w:ascii="仿宋_GB2312" w:hAnsi="仿宋" w:eastAsia="仿宋_GB2312" w:cs="仿宋_GB2312"/>
          <w:sz w:val="24"/>
          <w:highlight w:val="none"/>
        </w:rPr>
        <w:t>（根据招标公告本项目的特定资格要求</w:t>
      </w:r>
      <w:r>
        <w:rPr>
          <w:rFonts w:hint="eastAsia" w:ascii="仿宋_GB2312" w:hAnsi="仿宋" w:eastAsia="仿宋_GB2312"/>
          <w:sz w:val="24"/>
          <w:highlight w:val="none"/>
        </w:rPr>
        <w:t>提供相应的材料；未要求的，无需提供</w:t>
      </w:r>
      <w:r>
        <w:rPr>
          <w:rFonts w:hint="eastAsia" w:ascii="仿宋_GB2312" w:hAnsi="仿宋" w:eastAsia="仿宋_GB2312" w:cs="仿宋_GB2312"/>
          <w:sz w:val="24"/>
          <w:highlight w:val="none"/>
        </w:rPr>
        <w:t>）</w:t>
      </w:r>
    </w:p>
    <w:p>
      <w:pPr>
        <w:rPr>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pacing w:line="360" w:lineRule="auto"/>
        <w:jc w:val="center"/>
        <w:outlineLvl w:val="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商务技术文件部分</w:t>
      </w:r>
    </w:p>
    <w:p>
      <w:pPr>
        <w:spacing w:line="360" w:lineRule="auto"/>
        <w:jc w:val="center"/>
        <w:outlineLvl w:val="0"/>
        <w:rPr>
          <w:rFonts w:ascii="仿宋_GB2312" w:hAnsi="仿宋" w:eastAsia="仿宋_GB2312" w:cs="仿宋_GB2312"/>
          <w:b/>
          <w:kern w:val="0"/>
          <w:sz w:val="24"/>
          <w:highlight w:val="none"/>
        </w:rPr>
      </w:pPr>
    </w:p>
    <w:p>
      <w:pPr>
        <w:spacing w:line="360" w:lineRule="auto"/>
        <w:jc w:val="center"/>
        <w:outlineLvl w:val="0"/>
        <w:rPr>
          <w:rFonts w:ascii="仿宋_GB2312" w:hAnsi="仿宋" w:eastAsia="仿宋_GB2312" w:cs="仿宋_GB2312"/>
          <w:b/>
          <w:kern w:val="0"/>
          <w:sz w:val="28"/>
          <w:szCs w:val="28"/>
          <w:highlight w:val="none"/>
        </w:rPr>
      </w:pPr>
      <w:r>
        <w:rPr>
          <w:rFonts w:hint="eastAsia" w:ascii="仿宋_GB2312" w:hAnsi="仿宋" w:eastAsia="仿宋_GB2312" w:cs="仿宋_GB2312"/>
          <w:b/>
          <w:kern w:val="0"/>
          <w:sz w:val="28"/>
          <w:szCs w:val="28"/>
          <w:highlight w:val="none"/>
        </w:rPr>
        <w:t>目录</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1）投标函</w:t>
      </w:r>
      <w:r>
        <w:rPr>
          <w:rFonts w:hint="eastAsia" w:cs="仿宋_GB2312"/>
          <w:highlight w:val="none"/>
        </w:rPr>
        <w:t>…………………………………………………………………………………（页码）</w:t>
      </w:r>
      <w:r>
        <w:rPr>
          <w:rFonts w:hint="eastAsia" w:ascii="仿宋_GB2312" w:hAnsi="仿宋" w:eastAsia="仿宋_GB2312" w:cs="仿宋_GB2312"/>
          <w:sz w:val="24"/>
          <w:highlight w:val="none"/>
        </w:rPr>
        <w:t>（</w:t>
      </w:r>
      <w:r>
        <w:rPr>
          <w:rFonts w:ascii="仿宋_GB2312" w:hAnsi="仿宋" w:eastAsia="仿宋_GB2312" w:cs="仿宋_GB2312"/>
          <w:sz w:val="24"/>
          <w:highlight w:val="none"/>
        </w:rPr>
        <w:t>2）授权委托书或法定代表人（单位负责人、自然人本人）身份证明</w:t>
      </w:r>
      <w:r>
        <w:rPr>
          <w:rFonts w:hint="eastAsia" w:cs="仿宋_GB2312"/>
          <w:highlight w:val="none"/>
        </w:rPr>
        <w:t>………（页码）</w:t>
      </w:r>
    </w:p>
    <w:p>
      <w:pPr>
        <w:snapToGrid w:val="0"/>
        <w:spacing w:line="360" w:lineRule="auto"/>
        <w:ind w:firstLine="480" w:firstLineChars="200"/>
        <w:rPr>
          <w:rFonts w:cs="仿宋_GB2312"/>
          <w:highlight w:val="none"/>
        </w:rPr>
      </w:pPr>
      <w:r>
        <w:rPr>
          <w:rFonts w:hint="eastAsia" w:ascii="仿宋_GB2312" w:hAnsi="仿宋" w:eastAsia="仿宋_GB2312" w:cs="仿宋_GB2312"/>
          <w:sz w:val="24"/>
          <w:highlight w:val="none"/>
        </w:rPr>
        <w:t>（3</w:t>
      </w:r>
      <w:r>
        <w:rPr>
          <w:rFonts w:ascii="仿宋_GB2312" w:hAnsi="仿宋" w:eastAsia="仿宋_GB2312" w:cs="仿宋_GB2312"/>
          <w:sz w:val="24"/>
          <w:highlight w:val="none"/>
        </w:rPr>
        <w:t>）符合性审查资料</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（4</w:t>
      </w:r>
      <w:r>
        <w:rPr>
          <w:rFonts w:ascii="仿宋_GB2312" w:hAnsi="仿宋" w:eastAsia="仿宋_GB2312" w:cs="仿宋_GB2312"/>
          <w:sz w:val="24"/>
          <w:highlight w:val="none"/>
        </w:rPr>
        <w:t>）评标标准相应的商务技术资料</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w:t>
      </w:r>
      <w:r>
        <w:rPr>
          <w:rFonts w:hint="eastAsia" w:ascii="仿宋_GB2312" w:hAnsi="仿宋" w:eastAsia="仿宋_GB2312" w:cs="仿宋_GB2312"/>
          <w:sz w:val="24"/>
          <w:highlight w:val="none"/>
        </w:rPr>
        <w:t>…</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rPr>
        <w:t>（5</w:t>
      </w:r>
      <w:r>
        <w:rPr>
          <w:rFonts w:ascii="仿宋_GB2312" w:hAnsi="仿宋" w:eastAsia="仿宋_GB2312" w:cs="仿宋_GB2312"/>
          <w:sz w:val="24"/>
          <w:highlight w:val="none"/>
        </w:rPr>
        <w:t>）商务技术偏离表</w:t>
      </w:r>
      <w:r>
        <w:rPr>
          <w:rFonts w:hint="eastAsia" w:cs="仿宋_GB2312"/>
          <w:highlight w:val="none"/>
        </w:rPr>
        <w:t>………………………………………………………………………（页码）</w:t>
      </w:r>
    </w:p>
    <w:p>
      <w:pPr>
        <w:snapToGrid w:val="0"/>
        <w:spacing w:line="360" w:lineRule="auto"/>
        <w:ind w:left="479" w:leftChars="228"/>
        <w:rPr>
          <w:rFonts w:cs="仿宋_GB2312"/>
          <w:highlight w:val="none"/>
        </w:rPr>
      </w:pPr>
      <w:r>
        <w:rPr>
          <w:rFonts w:hint="eastAsia" w:ascii="仿宋_GB2312" w:hAnsi="仿宋" w:eastAsia="仿宋_GB2312" w:cs="仿宋_GB2312"/>
          <w:sz w:val="24"/>
          <w:highlight w:val="none"/>
          <w:lang w:val="zh-CN"/>
        </w:rPr>
        <w:t>（</w:t>
      </w:r>
      <w:r>
        <w:rPr>
          <w:rFonts w:hint="eastAsia" w:ascii="仿宋_GB2312" w:hAnsi="仿宋" w:eastAsia="仿宋_GB2312" w:cs="仿宋_GB2312"/>
          <w:sz w:val="24"/>
          <w:highlight w:val="none"/>
        </w:rPr>
        <w:t>6</w:t>
      </w:r>
      <w:r>
        <w:rPr>
          <w:rFonts w:hint="eastAsia" w:ascii="仿宋_GB2312" w:hAnsi="仿宋" w:eastAsia="仿宋_GB2312" w:cs="仿宋_GB2312"/>
          <w:sz w:val="24"/>
          <w:highlight w:val="none"/>
          <w:lang w:val="zh-CN"/>
        </w:rPr>
        <w:t>）政府采购供应商廉洁自律承诺书</w:t>
      </w:r>
      <w:r>
        <w:rPr>
          <w:rFonts w:hint="eastAsia" w:cs="仿宋_GB2312"/>
          <w:highlight w:val="none"/>
        </w:rPr>
        <w:t>…………………………………………………（页码）</w:t>
      </w: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rPr>
          <w:rFonts w:ascii="仿宋_GB2312" w:hAnsi="仿宋" w:eastAsia="仿宋_GB2312" w:cs="仿宋_GB2312"/>
          <w:b/>
          <w:kern w:val="0"/>
          <w:sz w:val="32"/>
          <w:szCs w:val="32"/>
          <w:highlight w:val="none"/>
          <w:lang w:val="zh-CN"/>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rPr>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kern w:val="0"/>
          <w:sz w:val="32"/>
          <w:szCs w:val="32"/>
          <w:highlight w:val="none"/>
        </w:rPr>
      </w:pPr>
    </w:p>
    <w:p>
      <w:pPr>
        <w:snapToGrid w:val="0"/>
        <w:spacing w:line="360" w:lineRule="auto"/>
        <w:jc w:val="center"/>
        <w:outlineLvl w:val="0"/>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（采购人）、（采购代理机构）：</w:t>
      </w:r>
    </w:p>
    <w:p>
      <w:pPr>
        <w:snapToGrid w:val="0"/>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2.1.1符合参加政府采购活动应当具备的一般条件的承诺函</w:t>
      </w:r>
      <w:r>
        <w:rPr>
          <w:rFonts w:hint="eastAsia" w:ascii="仿宋_GB2312" w:hAnsi="仿宋" w:eastAsia="仿宋_GB2312" w:cs="仿宋_GB2312"/>
          <w:sz w:val="24"/>
          <w:highlight w:val="none"/>
        </w:rPr>
        <w:t>；</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2.1.2落实政府采购政策需满足的资格要求</w:t>
      </w:r>
      <w:r>
        <w:rPr>
          <w:rFonts w:hint="eastAsia" w:ascii="仿宋_GB2312" w:hAnsi="仿宋" w:eastAsia="仿宋_GB2312" w:cs="仿宋_GB2312"/>
          <w:sz w:val="24"/>
          <w:highlight w:val="none"/>
        </w:rPr>
        <w:t>；</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2.1.3本项目的特定资格要求</w:t>
      </w:r>
      <w:r>
        <w:rPr>
          <w:rFonts w:hint="eastAsia" w:ascii="仿宋_GB2312" w:hAnsi="仿宋" w:eastAsia="仿宋_GB2312" w:cs="仿宋_GB2312"/>
          <w:sz w:val="24"/>
          <w:highlight w:val="none"/>
        </w:rPr>
        <w:t>。</w:t>
      </w:r>
    </w:p>
    <w:p>
      <w:pPr>
        <w:snapToGrid w:val="0"/>
        <w:spacing w:line="360" w:lineRule="auto"/>
        <w:ind w:left="210" w:leftChars="1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符合性审查资料；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4</w:t>
      </w:r>
      <w:r>
        <w:rPr>
          <w:rFonts w:ascii="仿宋_GB2312" w:hAnsi="仿宋" w:eastAsia="仿宋_GB2312" w:cs="仿宋_GB2312"/>
          <w:sz w:val="24"/>
          <w:highlight w:val="none"/>
        </w:rPr>
        <w:t>评标标准相应的商务技术资料；</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rPr>
        <w:t>5</w:t>
      </w:r>
      <w:r>
        <w:rPr>
          <w:rFonts w:ascii="仿宋_GB2312" w:hAnsi="仿宋" w:eastAsia="仿宋_GB2312" w:cs="仿宋_GB2312"/>
          <w:sz w:val="24"/>
          <w:highlight w:val="none"/>
        </w:rPr>
        <w:t>商务技术偏离表；</w:t>
      </w:r>
    </w:p>
    <w:p>
      <w:pPr>
        <w:snapToGrid w:val="0"/>
        <w:spacing w:line="360" w:lineRule="auto"/>
        <w:ind w:left="420" w:leftChars="200" w:firstLine="480" w:firstLineChars="200"/>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rPr>
        <w:t>6</w:t>
      </w:r>
      <w:r>
        <w:rPr>
          <w:rFonts w:hint="eastAsia" w:ascii="仿宋_GB2312" w:hAnsi="仿宋" w:eastAsia="仿宋_GB2312" w:cs="仿宋_GB2312"/>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snapToGrid w:val="0"/>
        <w:spacing w:line="360" w:lineRule="auto"/>
        <w:ind w:left="420" w:leftChars="2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r>
        <w:rPr>
          <w:rFonts w:hint="eastAsia" w:ascii="仿宋_GB2312" w:hAnsi="仿宋" w:eastAsia="仿宋_GB2312" w:cs="仿宋_GB2312"/>
          <w:sz w:val="24"/>
          <w:highlight w:val="none"/>
        </w:rPr>
        <w:t>。</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4.</w:t>
      </w:r>
      <w:r>
        <w:rPr>
          <w:rFonts w:hint="eastAsia" w:ascii="仿宋_GB2312" w:hAnsi="仿宋" w:eastAsia="仿宋_GB2312" w:cs="仿宋_GB2312"/>
          <w:sz w:val="24"/>
          <w:highlight w:val="none"/>
        </w:rPr>
        <w:t>3</w:t>
      </w:r>
      <w:r>
        <w:rPr>
          <w:rFonts w:ascii="仿宋_GB2312" w:hAnsi="仿宋" w:eastAsia="仿宋_GB2312" w:cs="仿宋_GB2312"/>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spacing w:line="360" w:lineRule="auto"/>
        <w:ind w:firstLine="3600" w:firstLineChars="1500"/>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日期：  年   月   日</w:t>
      </w:r>
    </w:p>
    <w:p>
      <w:pPr>
        <w:jc w:val="center"/>
        <w:rPr>
          <w:rFonts w:ascii="仿宋_GB2312" w:hAnsi="仿宋" w:eastAsia="仿宋_GB2312" w:cs="仿宋_GB2312"/>
          <w:b/>
          <w:kern w:val="0"/>
          <w:sz w:val="32"/>
          <w:szCs w:val="32"/>
          <w:highlight w:val="none"/>
          <w:lang w:val="zh-CN"/>
        </w:rPr>
      </w:pPr>
    </w:p>
    <w:p>
      <w:pPr>
        <w:jc w:val="center"/>
        <w:rPr>
          <w:rFonts w:ascii="仿宋_GB2312" w:hAnsi="仿宋" w:eastAsia="仿宋_GB2312" w:cs="仿宋_GB2312"/>
          <w:b/>
          <w:kern w:val="0"/>
          <w:sz w:val="30"/>
          <w:szCs w:val="30"/>
          <w:highlight w:val="none"/>
          <w:lang w:val="zh-CN"/>
        </w:rPr>
      </w:pPr>
      <w:r>
        <w:rPr>
          <w:rFonts w:hint="eastAsia" w:ascii="仿宋_GB2312" w:hAnsi="仿宋" w:eastAsia="仿宋_GB2312" w:cs="仿宋_GB2312"/>
          <w:b/>
          <w:kern w:val="0"/>
          <w:sz w:val="30"/>
          <w:szCs w:val="30"/>
          <w:highlight w:val="none"/>
          <w:lang w:val="zh-CN"/>
        </w:rPr>
        <w:t>二、授权委托书或法定代表人（单位负责人、自然人本人）身份证明</w:t>
      </w:r>
    </w:p>
    <w:p>
      <w:pPr>
        <w:snapToGrid w:val="0"/>
        <w:spacing w:line="360" w:lineRule="auto"/>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snapToGrid w:val="0"/>
        <w:spacing w:line="360" w:lineRule="auto"/>
        <w:jc w:val="center"/>
        <w:rPr>
          <w:highlight w:val="none"/>
        </w:rPr>
      </w:pPr>
      <w:r>
        <w:rPr>
          <w:rFonts w:hint="eastAsia" w:ascii="仿宋_GB2312" w:hAnsi="仿宋" w:eastAsia="仿宋_GB2312" w:cs="仿宋_GB2312"/>
          <w:b/>
          <w:kern w:val="0"/>
          <w:sz w:val="32"/>
          <w:szCs w:val="32"/>
          <w:highlight w:val="none"/>
          <w:lang w:val="zh-CN"/>
        </w:rPr>
        <w:t>授权委托书</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576"/>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日起至</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日止。</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snapToGrid w:val="0"/>
        <w:spacing w:line="360" w:lineRule="auto"/>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  年  月   日</w:t>
      </w:r>
    </w:p>
    <w:p>
      <w:pPr>
        <w:snapToGrid w:val="0"/>
        <w:spacing w:line="360" w:lineRule="auto"/>
        <w:rPr>
          <w:rFonts w:ascii="仿宋_GB2312" w:hAnsi="仿宋" w:eastAsia="仿宋_GB2312" w:cs="仿宋_GB2312"/>
          <w:kern w:val="0"/>
          <w:sz w:val="24"/>
          <w:highlight w:val="none"/>
          <w:lang w:val="zh-CN"/>
        </w:rPr>
      </w:pPr>
      <w:r>
        <w:rPr>
          <w:rFonts w:ascii="仿宋_GB2312" w:hAnsi="仿宋" w:eastAsia="仿宋_GB2312" w:cs="仿宋_GB2312"/>
          <w:b/>
          <w:kern w:val="0"/>
          <w:sz w:val="32"/>
          <w:szCs w:val="32"/>
          <w:highlight w:val="none"/>
          <w:lang w:val="zh-CN"/>
        </w:rPr>
        <w:t xml:space="preserve">     </w:t>
      </w:r>
    </w:p>
    <w:p>
      <w:pPr>
        <w:autoSpaceDE w:val="0"/>
        <w:autoSpaceDN w:val="0"/>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jc w:val="center"/>
        </w:trPr>
        <w:tc>
          <w:tcPr>
            <w:tcW w:w="9207" w:type="dxa"/>
          </w:tcPr>
          <w:p>
            <w:pPr>
              <w:pStyle w:val="147"/>
              <w:adjustRightInd w:val="0"/>
              <w:spacing w:line="360" w:lineRule="auto"/>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47"/>
              <w:adjustRightInd w:val="0"/>
              <w:spacing w:line="360" w:lineRule="auto"/>
              <w:rPr>
                <w:rFonts w:ascii="仿宋_GB2312" w:hAnsi="仿宋" w:eastAsia="仿宋_GB2312"/>
                <w:bCs/>
                <w:sz w:val="24"/>
                <w:highlight w:val="none"/>
              </w:rPr>
            </w:pPr>
          </w:p>
        </w:tc>
      </w:tr>
    </w:tbl>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snapToGrid w:val="0"/>
        <w:spacing w:line="360" w:lineRule="auto"/>
        <w:ind w:firstLine="576"/>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spacing w:line="360" w:lineRule="auto"/>
        <w:jc w:val="center"/>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  年  月  日</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三、符合性审查资料</w:t>
      </w:r>
    </w:p>
    <w:p>
      <w:pPr>
        <w:jc w:val="center"/>
        <w:rPr>
          <w:rFonts w:ascii="仿宋_GB2312" w:hAnsi="仿宋" w:eastAsia="仿宋_GB2312" w:cs="仿宋_GB2312"/>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序号</w:t>
            </w:r>
          </w:p>
        </w:tc>
        <w:tc>
          <w:tcPr>
            <w:tcW w:w="499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投标文件中的</w:t>
            </w:r>
          </w:p>
          <w:p>
            <w:pPr>
              <w:snapToGrid w:val="0"/>
              <w:spacing w:line="240" w:lineRule="atLeast"/>
              <w:jc w:val="center"/>
              <w:rPr>
                <w:rFonts w:ascii="仿宋" w:hAnsi="仿宋" w:eastAsia="仿宋"/>
                <w:b/>
                <w:sz w:val="24"/>
                <w:highlight w:val="none"/>
              </w:rPr>
            </w:pPr>
            <w:r>
              <w:rPr>
                <w:rFonts w:hint="eastAsia" w:ascii="仿宋" w:hAnsi="仿宋" w:eastAsia="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ascii="仿宋" w:hAnsi="仿宋" w:eastAsia="仿宋"/>
                <w:sz w:val="24"/>
                <w:highlight w:val="none"/>
              </w:rPr>
              <w:t>1</w:t>
            </w:r>
          </w:p>
        </w:tc>
        <w:tc>
          <w:tcPr>
            <w:tcW w:w="4991" w:type="dxa"/>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418" w:type="dxa"/>
            <w:vAlign w:val="center"/>
          </w:tcPr>
          <w:p>
            <w:pPr>
              <w:rPr>
                <w:rFonts w:ascii="仿宋" w:hAnsi="仿宋" w:eastAsia="仿宋" w:cs="仿宋_GB2312"/>
                <w:sz w:val="24"/>
                <w:highlight w:val="none"/>
              </w:rPr>
            </w:pPr>
          </w:p>
          <w:p>
            <w:pPr>
              <w:rPr>
                <w:rFonts w:ascii="仿宋" w:hAnsi="仿宋" w:eastAsia="仿宋" w:cs="仿宋_GB2312"/>
                <w:sz w:val="24"/>
                <w:highlight w:val="none"/>
              </w:rPr>
            </w:pPr>
            <w:r>
              <w:rPr>
                <w:rFonts w:hint="eastAsia" w:ascii="仿宋" w:hAnsi="仿宋" w:eastAsia="仿宋" w:cs="仿宋_GB2312"/>
                <w:sz w:val="24"/>
                <w:highlight w:val="none"/>
              </w:rPr>
              <w:t>见投标文件</w:t>
            </w:r>
          </w:p>
          <w:p>
            <w:pPr>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hint="eastAsia" w:ascii="仿宋" w:hAnsi="仿宋" w:eastAsia="仿宋"/>
                <w:sz w:val="24"/>
                <w:highlight w:val="none"/>
              </w:rPr>
              <w:t>2</w:t>
            </w:r>
          </w:p>
        </w:tc>
        <w:tc>
          <w:tcPr>
            <w:tcW w:w="4991" w:type="dxa"/>
            <w:vAlign w:val="center"/>
          </w:tcPr>
          <w:p>
            <w:pPr>
              <w:spacing w:line="360" w:lineRule="auto"/>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rPr>
                <w:rFonts w:ascii="仿宋" w:hAnsi="仿宋" w:eastAsia="仿宋"/>
                <w:sz w:val="24"/>
                <w:highlight w:val="none"/>
              </w:rPr>
            </w:pPr>
            <w:r>
              <w:rPr>
                <w:rFonts w:hint="eastAsia" w:ascii="仿宋" w:hAnsi="仿宋" w:eastAsia="仿宋"/>
                <w:sz w:val="24"/>
                <w:highlight w:val="none"/>
              </w:rPr>
              <w:t>投标函</w:t>
            </w:r>
          </w:p>
        </w:tc>
        <w:tc>
          <w:tcPr>
            <w:tcW w:w="1418" w:type="dxa"/>
            <w:vAlign w:val="center"/>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sz w:val="24"/>
                <w:highlight w:val="none"/>
              </w:rPr>
            </w:pPr>
            <w:r>
              <w:rPr>
                <w:rFonts w:hint="eastAsia" w:ascii="仿宋" w:hAnsi="仿宋" w:eastAsia="仿宋"/>
                <w:sz w:val="24"/>
                <w:highlight w:val="none"/>
              </w:rPr>
              <w:t>3</w:t>
            </w:r>
          </w:p>
        </w:tc>
        <w:tc>
          <w:tcPr>
            <w:tcW w:w="4991" w:type="dxa"/>
            <w:vAlign w:val="center"/>
          </w:tcPr>
          <w:p>
            <w:pPr>
              <w:spacing w:line="360" w:lineRule="auto"/>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418" w:type="dxa"/>
            <w:vAlign w:val="center"/>
          </w:tcPr>
          <w:p>
            <w:pPr>
              <w:rPr>
                <w:highlight w:val="none"/>
              </w:rPr>
            </w:pPr>
            <w:r>
              <w:rPr>
                <w:rFonts w:hint="eastAsia" w:ascii="仿宋" w:hAnsi="仿宋" w:eastAsia="仿宋" w:cs="仿宋_GB2312"/>
                <w:sz w:val="24"/>
                <w:highlight w:val="none"/>
              </w:rPr>
              <w:t>见投标文件第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highlight w:val="none"/>
        </w:rPr>
      </w:pPr>
      <w:r>
        <w:rPr>
          <w:rFonts w:hint="eastAsia" w:ascii="仿宋_GB2312" w:hAnsi="仿宋" w:eastAsia="仿宋_GB2312" w:cs="仿宋_GB2312"/>
          <w:b/>
          <w:kern w:val="0"/>
          <w:sz w:val="32"/>
          <w:szCs w:val="32"/>
          <w:highlight w:val="none"/>
        </w:rPr>
        <w:t>四、评标标准相应的商务技术资料</w:t>
      </w:r>
    </w:p>
    <w:p>
      <w:pPr>
        <w:snapToGrid w:val="0"/>
        <w:spacing w:line="360" w:lineRule="auto"/>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tcPr>
          <w:p>
            <w:pPr>
              <w:jc w:val="center"/>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tcPr>
          <w:p>
            <w:pPr>
              <w:jc w:val="center"/>
              <w:rPr>
                <w:rFonts w:ascii="仿宋_GB2312" w:hAnsi="仿宋" w:eastAsia="仿宋_GB2312" w:cs="仿宋_GB2312"/>
                <w:b/>
                <w:kern w:val="0"/>
                <w:sz w:val="32"/>
                <w:szCs w:val="32"/>
                <w:highlight w:val="none"/>
              </w:rPr>
            </w:pPr>
          </w:p>
        </w:tc>
        <w:tc>
          <w:tcPr>
            <w:tcW w:w="3546" w:type="dxa"/>
          </w:tcPr>
          <w:p>
            <w:pPr>
              <w:jc w:val="center"/>
              <w:rPr>
                <w:rFonts w:ascii="仿宋_GB2312" w:hAnsi="仿宋" w:eastAsia="仿宋_GB2312" w:cs="仿宋_GB2312"/>
                <w:b/>
                <w:kern w:val="0"/>
                <w:sz w:val="32"/>
                <w:szCs w:val="32"/>
                <w:highlight w:val="none"/>
              </w:rPr>
            </w:pPr>
          </w:p>
        </w:tc>
        <w:tc>
          <w:tcPr>
            <w:tcW w:w="1276" w:type="dxa"/>
          </w:tcPr>
          <w:p>
            <w:pPr>
              <w:jc w:val="center"/>
              <w:rPr>
                <w:rFonts w:ascii="仿宋_GB2312" w:hAnsi="仿宋" w:eastAsia="仿宋_GB2312" w:cs="仿宋_GB2312"/>
                <w:b/>
                <w:kern w:val="0"/>
                <w:sz w:val="32"/>
                <w:szCs w:val="32"/>
                <w:highlight w:val="none"/>
              </w:rPr>
            </w:pPr>
          </w:p>
        </w:tc>
      </w:tr>
    </w:tbl>
    <w:p>
      <w:pPr>
        <w:jc w:val="left"/>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jc w:val="center"/>
        <w:rPr>
          <w:rFonts w:ascii="仿宋_GB2312" w:hAnsi="仿宋" w:eastAsia="仿宋_GB2312" w:cs="仿宋_GB2312"/>
          <w:b/>
          <w:kern w:val="0"/>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b/>
          <w:bCs/>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2891" w:firstLineChars="900"/>
        <w:rPr>
          <w:rFonts w:ascii="仿宋_GB2312" w:hAnsi="仿宋" w:eastAsia="仿宋_GB2312" w:cs="仿宋_GB2312"/>
          <w:b/>
          <w:kern w:val="0"/>
          <w:sz w:val="32"/>
          <w:szCs w:val="32"/>
          <w:highlight w:val="none"/>
        </w:rPr>
      </w:pPr>
    </w:p>
    <w:p>
      <w:pPr>
        <w:ind w:firstLine="1911" w:firstLineChars="595"/>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六、</w:t>
      </w:r>
      <w:r>
        <w:rPr>
          <w:rFonts w:hint="eastAsia" w:ascii="仿宋_GB2312" w:hAnsi="仿宋" w:eastAsia="仿宋_GB2312" w:cs="仿宋_GB2312"/>
          <w:b/>
          <w:kern w:val="0"/>
          <w:sz w:val="32"/>
          <w:szCs w:val="32"/>
          <w:highlight w:val="none"/>
          <w:lang w:val="zh-CN"/>
        </w:rPr>
        <w:t>政府采购供应商廉洁自律承诺书</w:t>
      </w:r>
    </w:p>
    <w:p>
      <w:pPr>
        <w:snapToGrid w:val="0"/>
        <w:spacing w:line="360" w:lineRule="auto"/>
        <w:rPr>
          <w:rFonts w:ascii="仿宋_GB2312" w:hAnsi="仿宋" w:eastAsia="仿宋_GB2312" w:cs="仿宋_GB2312"/>
          <w:sz w:val="24"/>
          <w:highlight w:val="none"/>
        </w:rPr>
      </w:pP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autoSpaceDE w:val="0"/>
        <w:autoSpaceDN w:val="0"/>
        <w:spacing w:line="360" w:lineRule="auto"/>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jc w:val="left"/>
        <w:rPr>
          <w:rFonts w:ascii="仿宋_GB2312" w:hAnsi="仿宋_GB2312" w:eastAsia="仿宋_GB2312" w:cs="仿宋_GB2312"/>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spacing w:line="360" w:lineRule="auto"/>
        <w:ind w:left="4620" w:leftChars="2200"/>
        <w:rPr>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年   月   日</w:t>
      </w:r>
    </w:p>
    <w:p>
      <w:pPr>
        <w:spacing w:line="360" w:lineRule="auto"/>
        <w:jc w:val="center"/>
        <w:rPr>
          <w:rFonts w:ascii="仿宋_GB2312" w:hAnsi="仿宋" w:eastAsia="仿宋_GB2312" w:cs="仿宋_GB2312"/>
          <w:b/>
          <w:bCs/>
          <w:sz w:val="24"/>
          <w:highlight w:val="none"/>
        </w:rPr>
      </w:pPr>
    </w:p>
    <w:p>
      <w:pPr>
        <w:spacing w:line="360" w:lineRule="auto"/>
        <w:jc w:val="center"/>
        <w:rPr>
          <w:rFonts w:ascii="仿宋_GB2312" w:hAnsi="仿宋" w:eastAsia="仿宋_GB2312" w:cs="仿宋_GB2312"/>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报价文件部分</w:t>
      </w:r>
    </w:p>
    <w:p>
      <w:pPr>
        <w:spacing w:line="360" w:lineRule="auto"/>
        <w:jc w:val="center"/>
        <w:outlineLvl w:val="0"/>
        <w:rPr>
          <w:rFonts w:ascii="仿宋_GB2312" w:hAnsi="仿宋" w:eastAsia="仿宋_GB2312" w:cs="仿宋_GB2312"/>
          <w:b/>
          <w:kern w:val="0"/>
          <w:sz w:val="36"/>
          <w:szCs w:val="36"/>
          <w:highlight w:val="none"/>
        </w:rPr>
      </w:pPr>
      <w:r>
        <w:rPr>
          <w:rFonts w:hint="eastAsia" w:ascii="仿宋_GB2312" w:hAnsi="仿宋" w:eastAsia="仿宋_GB2312" w:cs="仿宋_GB2312"/>
          <w:b/>
          <w:kern w:val="0"/>
          <w:sz w:val="36"/>
          <w:szCs w:val="36"/>
          <w:highlight w:val="none"/>
        </w:rPr>
        <w:t>目录</w:t>
      </w:r>
    </w:p>
    <w:p>
      <w:pPr>
        <w:spacing w:line="360" w:lineRule="auto"/>
        <w:jc w:val="center"/>
        <w:outlineLvl w:val="0"/>
        <w:rPr>
          <w:rFonts w:ascii="仿宋_GB2312" w:hAnsi="仿宋" w:eastAsia="仿宋_GB2312" w:cs="仿宋_GB2312"/>
          <w:b/>
          <w:kern w:val="0"/>
          <w:sz w:val="36"/>
          <w:szCs w:val="36"/>
          <w:highlight w:val="none"/>
        </w:rPr>
      </w:pPr>
    </w:p>
    <w:p>
      <w:pPr>
        <w:snapToGrid w:val="0"/>
        <w:spacing w:line="360" w:lineRule="auto"/>
        <w:rPr>
          <w:rFonts w:ascii="仿宋_GB2312" w:hAnsi="仿宋" w:eastAsia="仿宋_GB2312" w:cs="仿宋_GB2312"/>
          <w:sz w:val="24"/>
          <w:highlight w:val="none"/>
        </w:rPr>
      </w:pPr>
      <w:r>
        <w:rPr>
          <w:rFonts w:hint="eastAsia" w:ascii="仿宋_GB2312" w:hAnsi="仿宋" w:eastAsia="仿宋_GB2312" w:cs="仿宋_GB2312"/>
          <w:sz w:val="24"/>
          <w:highlight w:val="none"/>
        </w:rPr>
        <w:t>（</w:t>
      </w:r>
      <w:r>
        <w:rPr>
          <w:rFonts w:ascii="仿宋_GB2312" w:hAnsi="仿宋" w:eastAsia="仿宋_GB2312" w:cs="仿宋_GB2312"/>
          <w:sz w:val="24"/>
          <w:highlight w:val="none"/>
        </w:rPr>
        <w:t>1）开标一览表（报价表）……</w:t>
      </w:r>
      <w:r>
        <w:rPr>
          <w:rFonts w:hint="eastAsia" w:ascii="仿宋_GB2312" w:hAnsi="仿宋" w:eastAsia="仿宋_GB2312" w:cs="仿宋_GB2312"/>
          <w:sz w:val="24"/>
          <w:highlight w:val="none"/>
        </w:rPr>
        <w:t>…………………………………………………（页码）</w:t>
      </w: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r>
        <w:rPr>
          <w:rFonts w:hint="eastAsia" w:ascii="仿宋_GB2312" w:hAnsi="仿宋" w:eastAsia="仿宋_GB2312" w:cs="仿宋_GB2312"/>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rPr>
        <w:t>（项目名称）</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69"/>
        <w:gridCol w:w="2014"/>
        <w:gridCol w:w="936"/>
        <w:gridCol w:w="975"/>
        <w:gridCol w:w="1246"/>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453"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序号</w:t>
            </w:r>
          </w:p>
        </w:tc>
        <w:tc>
          <w:tcPr>
            <w:tcW w:w="684"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名称</w:t>
            </w:r>
          </w:p>
        </w:tc>
        <w:tc>
          <w:tcPr>
            <w:tcW w:w="1084"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具体服务</w:t>
            </w:r>
          </w:p>
        </w:tc>
        <w:tc>
          <w:tcPr>
            <w:tcW w:w="504"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数量</w:t>
            </w:r>
          </w:p>
        </w:tc>
        <w:tc>
          <w:tcPr>
            <w:tcW w:w="525"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单价</w:t>
            </w:r>
          </w:p>
        </w:tc>
        <w:tc>
          <w:tcPr>
            <w:tcW w:w="671" w:type="pct"/>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b/>
                <w:sz w:val="24"/>
                <w:highlight w:val="none"/>
              </w:rPr>
              <w:t>总价</w:t>
            </w:r>
          </w:p>
        </w:tc>
        <w:tc>
          <w:tcPr>
            <w:tcW w:w="1076" w:type="pct"/>
            <w:vAlign w:val="center"/>
          </w:tcPr>
          <w:p>
            <w:pPr>
              <w:spacing w:line="360" w:lineRule="auto"/>
              <w:jc w:val="center"/>
              <w:rPr>
                <w:rFonts w:ascii="仿宋_GB2312" w:hAnsi="仿宋" w:eastAsia="仿宋_GB2312"/>
                <w:b/>
                <w:sz w:val="24"/>
                <w:highlight w:val="none"/>
              </w:rPr>
            </w:pPr>
            <w:r>
              <w:rPr>
                <w:rFonts w:hint="eastAsia" w:ascii="仿宋_GB2312" w:hAnsi="仿宋" w:eastAsia="仿宋_GB2312"/>
                <w:b/>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3" w:type="pct"/>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1</w:t>
            </w:r>
          </w:p>
        </w:tc>
        <w:tc>
          <w:tcPr>
            <w:tcW w:w="684" w:type="pct"/>
            <w:vAlign w:val="center"/>
          </w:tcPr>
          <w:p>
            <w:pPr>
              <w:snapToGrid w:val="0"/>
              <w:spacing w:line="360" w:lineRule="auto"/>
              <w:jc w:val="center"/>
              <w:rPr>
                <w:rFonts w:ascii="仿宋_GB2312" w:hAnsi="仿宋" w:eastAsia="仿宋_GB2312" w:cs="仿宋_GB2312"/>
                <w:sz w:val="24"/>
                <w:highlight w:val="none"/>
              </w:rPr>
            </w:pPr>
          </w:p>
        </w:tc>
        <w:tc>
          <w:tcPr>
            <w:tcW w:w="1084" w:type="pct"/>
            <w:vAlign w:val="center"/>
          </w:tcPr>
          <w:p>
            <w:pPr>
              <w:snapToGrid w:val="0"/>
              <w:spacing w:line="360" w:lineRule="auto"/>
              <w:jc w:val="center"/>
              <w:rPr>
                <w:rFonts w:ascii="仿宋_GB2312" w:hAnsi="仿宋" w:eastAsia="仿宋_GB2312" w:cs="仿宋_GB2312"/>
                <w:sz w:val="24"/>
                <w:highlight w:val="none"/>
              </w:rPr>
            </w:pPr>
          </w:p>
        </w:tc>
        <w:tc>
          <w:tcPr>
            <w:tcW w:w="504" w:type="pct"/>
            <w:vAlign w:val="center"/>
          </w:tcPr>
          <w:p>
            <w:pPr>
              <w:snapToGrid w:val="0"/>
              <w:spacing w:line="360" w:lineRule="auto"/>
              <w:jc w:val="center"/>
              <w:rPr>
                <w:rFonts w:ascii="仿宋_GB2312" w:hAnsi="仿宋" w:eastAsia="仿宋_GB2312" w:cs="仿宋_GB2312"/>
                <w:sz w:val="24"/>
                <w:highlight w:val="none"/>
              </w:rPr>
            </w:pPr>
          </w:p>
        </w:tc>
        <w:tc>
          <w:tcPr>
            <w:tcW w:w="525" w:type="pct"/>
            <w:vAlign w:val="center"/>
          </w:tcPr>
          <w:p>
            <w:pPr>
              <w:spacing w:line="360" w:lineRule="auto"/>
              <w:jc w:val="center"/>
              <w:rPr>
                <w:rFonts w:ascii="仿宋_GB2312" w:hAnsi="仿宋" w:eastAsia="仿宋_GB2312" w:cs="仿宋_GB2312"/>
                <w:sz w:val="24"/>
                <w:highlight w:val="none"/>
              </w:rPr>
            </w:pPr>
          </w:p>
        </w:tc>
        <w:tc>
          <w:tcPr>
            <w:tcW w:w="671" w:type="pct"/>
            <w:vAlign w:val="center"/>
          </w:tcPr>
          <w:p>
            <w:pPr>
              <w:spacing w:line="360" w:lineRule="auto"/>
              <w:jc w:val="center"/>
              <w:rPr>
                <w:rFonts w:ascii="仿宋_GB2312" w:hAnsi="仿宋" w:eastAsia="仿宋_GB2312" w:cs="仿宋_GB2312"/>
                <w:sz w:val="24"/>
                <w:highlight w:val="none"/>
              </w:rPr>
            </w:pPr>
          </w:p>
        </w:tc>
        <w:tc>
          <w:tcPr>
            <w:tcW w:w="1076" w:type="pct"/>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vAlign w:val="center"/>
          </w:tcPr>
          <w:p>
            <w:pPr>
              <w:spacing w:line="360" w:lineRule="auto"/>
              <w:jc w:val="center"/>
              <w:rPr>
                <w:rFonts w:ascii="仿宋_GB2312" w:hAnsi="仿宋" w:eastAsia="仿宋_GB2312" w:cs="仿宋_GB2312"/>
                <w:sz w:val="24"/>
                <w:highlight w:val="none"/>
              </w:rPr>
            </w:pPr>
            <w:r>
              <w:rPr>
                <w:rFonts w:ascii="仿宋_GB2312" w:hAnsi="仿宋" w:eastAsia="仿宋_GB2312" w:cs="仿宋_GB2312"/>
                <w:sz w:val="24"/>
                <w:highlight w:val="none"/>
              </w:rPr>
              <w:t>2</w:t>
            </w:r>
          </w:p>
        </w:tc>
        <w:tc>
          <w:tcPr>
            <w:tcW w:w="684" w:type="pct"/>
            <w:vAlign w:val="center"/>
          </w:tcPr>
          <w:p>
            <w:pPr>
              <w:snapToGrid w:val="0"/>
              <w:spacing w:line="360" w:lineRule="auto"/>
              <w:jc w:val="center"/>
              <w:rPr>
                <w:rFonts w:ascii="仿宋_GB2312" w:hAnsi="仿宋" w:eastAsia="仿宋_GB2312" w:cs="仿宋_GB2312"/>
                <w:sz w:val="24"/>
                <w:highlight w:val="none"/>
              </w:rPr>
            </w:pPr>
          </w:p>
        </w:tc>
        <w:tc>
          <w:tcPr>
            <w:tcW w:w="1084" w:type="pct"/>
            <w:vAlign w:val="center"/>
          </w:tcPr>
          <w:p>
            <w:pPr>
              <w:snapToGrid w:val="0"/>
              <w:spacing w:line="360" w:lineRule="auto"/>
              <w:jc w:val="center"/>
              <w:rPr>
                <w:rFonts w:ascii="仿宋_GB2312" w:hAnsi="仿宋" w:eastAsia="仿宋_GB2312" w:cs="仿宋_GB2312"/>
                <w:sz w:val="24"/>
                <w:highlight w:val="none"/>
              </w:rPr>
            </w:pPr>
          </w:p>
        </w:tc>
        <w:tc>
          <w:tcPr>
            <w:tcW w:w="504" w:type="pct"/>
            <w:vAlign w:val="center"/>
          </w:tcPr>
          <w:p>
            <w:pPr>
              <w:snapToGrid w:val="0"/>
              <w:spacing w:line="360" w:lineRule="auto"/>
              <w:jc w:val="center"/>
              <w:rPr>
                <w:rFonts w:ascii="仿宋_GB2312" w:hAnsi="仿宋" w:eastAsia="仿宋_GB2312" w:cs="仿宋_GB2312"/>
                <w:sz w:val="24"/>
                <w:highlight w:val="none"/>
              </w:rPr>
            </w:pPr>
          </w:p>
        </w:tc>
        <w:tc>
          <w:tcPr>
            <w:tcW w:w="525" w:type="pct"/>
            <w:vAlign w:val="center"/>
          </w:tcPr>
          <w:p>
            <w:pPr>
              <w:spacing w:line="360" w:lineRule="auto"/>
              <w:jc w:val="center"/>
              <w:rPr>
                <w:rFonts w:ascii="仿宋_GB2312" w:hAnsi="仿宋" w:eastAsia="仿宋_GB2312" w:cs="仿宋_GB2312"/>
                <w:sz w:val="24"/>
                <w:highlight w:val="none"/>
              </w:rPr>
            </w:pPr>
          </w:p>
        </w:tc>
        <w:tc>
          <w:tcPr>
            <w:tcW w:w="671" w:type="pct"/>
            <w:vAlign w:val="center"/>
          </w:tcPr>
          <w:p>
            <w:pPr>
              <w:spacing w:line="360" w:lineRule="auto"/>
              <w:jc w:val="center"/>
              <w:rPr>
                <w:rFonts w:ascii="仿宋_GB2312" w:hAnsi="仿宋" w:eastAsia="仿宋_GB2312" w:cs="仿宋_GB2312"/>
                <w:sz w:val="24"/>
                <w:highlight w:val="none"/>
              </w:rPr>
            </w:pPr>
          </w:p>
        </w:tc>
        <w:tc>
          <w:tcPr>
            <w:tcW w:w="1076" w:type="pct"/>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vAlign w:val="center"/>
          </w:tcPr>
          <w:p>
            <w:pPr>
              <w:spacing w:line="360" w:lineRule="auto"/>
              <w:jc w:val="center"/>
              <w:rPr>
                <w:rFonts w:ascii="仿宋_GB2312" w:hAnsi="仿宋" w:eastAsia="仿宋_GB2312" w:cs="仿宋_GB2312"/>
                <w:sz w:val="24"/>
                <w:highlight w:val="none"/>
              </w:rPr>
            </w:pPr>
            <w:r>
              <w:rPr>
                <w:rFonts w:hint="eastAsia" w:ascii="仿宋_GB2312" w:hAnsi="仿宋" w:eastAsia="仿宋_GB2312" w:cs="仿宋_GB2312"/>
                <w:sz w:val="24"/>
                <w:highlight w:val="none"/>
              </w:rPr>
              <w:t>…</w:t>
            </w:r>
          </w:p>
        </w:tc>
        <w:tc>
          <w:tcPr>
            <w:tcW w:w="684" w:type="pct"/>
            <w:vAlign w:val="center"/>
          </w:tcPr>
          <w:p>
            <w:pPr>
              <w:snapToGrid w:val="0"/>
              <w:spacing w:line="360" w:lineRule="auto"/>
              <w:jc w:val="center"/>
              <w:rPr>
                <w:rFonts w:ascii="仿宋_GB2312" w:hAnsi="仿宋" w:eastAsia="仿宋_GB2312" w:cs="仿宋_GB2312"/>
                <w:sz w:val="24"/>
                <w:highlight w:val="none"/>
              </w:rPr>
            </w:pPr>
          </w:p>
        </w:tc>
        <w:tc>
          <w:tcPr>
            <w:tcW w:w="1084" w:type="pct"/>
            <w:vAlign w:val="center"/>
          </w:tcPr>
          <w:p>
            <w:pPr>
              <w:snapToGrid w:val="0"/>
              <w:spacing w:line="360" w:lineRule="auto"/>
              <w:jc w:val="center"/>
              <w:rPr>
                <w:rFonts w:ascii="仿宋_GB2312" w:hAnsi="仿宋" w:eastAsia="仿宋_GB2312" w:cs="仿宋_GB2312"/>
                <w:sz w:val="24"/>
                <w:highlight w:val="none"/>
              </w:rPr>
            </w:pPr>
          </w:p>
        </w:tc>
        <w:tc>
          <w:tcPr>
            <w:tcW w:w="504" w:type="pct"/>
            <w:vAlign w:val="center"/>
          </w:tcPr>
          <w:p>
            <w:pPr>
              <w:snapToGrid w:val="0"/>
              <w:spacing w:line="360" w:lineRule="auto"/>
              <w:jc w:val="center"/>
              <w:rPr>
                <w:rFonts w:ascii="仿宋_GB2312" w:hAnsi="仿宋" w:eastAsia="仿宋_GB2312" w:cs="仿宋_GB2312"/>
                <w:sz w:val="24"/>
                <w:highlight w:val="none"/>
              </w:rPr>
            </w:pPr>
          </w:p>
        </w:tc>
        <w:tc>
          <w:tcPr>
            <w:tcW w:w="525" w:type="pct"/>
            <w:vAlign w:val="center"/>
          </w:tcPr>
          <w:p>
            <w:pPr>
              <w:spacing w:line="360" w:lineRule="auto"/>
              <w:jc w:val="center"/>
              <w:rPr>
                <w:rFonts w:ascii="仿宋_GB2312" w:hAnsi="仿宋" w:eastAsia="仿宋_GB2312" w:cs="仿宋_GB2312"/>
                <w:sz w:val="24"/>
                <w:highlight w:val="none"/>
              </w:rPr>
            </w:pPr>
          </w:p>
        </w:tc>
        <w:tc>
          <w:tcPr>
            <w:tcW w:w="671" w:type="pct"/>
            <w:vAlign w:val="center"/>
          </w:tcPr>
          <w:p>
            <w:pPr>
              <w:spacing w:line="360" w:lineRule="auto"/>
              <w:jc w:val="center"/>
              <w:rPr>
                <w:rFonts w:ascii="仿宋_GB2312" w:hAnsi="仿宋" w:eastAsia="仿宋_GB2312" w:cs="仿宋_GB2312"/>
                <w:sz w:val="24"/>
                <w:highlight w:val="none"/>
              </w:rPr>
            </w:pPr>
          </w:p>
        </w:tc>
        <w:tc>
          <w:tcPr>
            <w:tcW w:w="1076" w:type="pct"/>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vAlign w:val="center"/>
          </w:tcPr>
          <w:p>
            <w:pPr>
              <w:spacing w:line="360" w:lineRule="auto"/>
              <w:jc w:val="center"/>
              <w:rPr>
                <w:rFonts w:ascii="仿宋_GB2312" w:hAnsi="仿宋" w:eastAsia="仿宋_GB2312" w:cs="仿宋_GB2312"/>
                <w:sz w:val="24"/>
                <w:highlight w:val="none"/>
              </w:rPr>
            </w:pPr>
          </w:p>
        </w:tc>
        <w:tc>
          <w:tcPr>
            <w:tcW w:w="684" w:type="pct"/>
            <w:vAlign w:val="center"/>
          </w:tcPr>
          <w:p>
            <w:pPr>
              <w:snapToGrid w:val="0"/>
              <w:spacing w:line="360" w:lineRule="auto"/>
              <w:jc w:val="center"/>
              <w:rPr>
                <w:rFonts w:ascii="仿宋_GB2312" w:hAnsi="仿宋" w:eastAsia="仿宋_GB2312" w:cs="仿宋_GB2312"/>
                <w:sz w:val="24"/>
                <w:highlight w:val="none"/>
              </w:rPr>
            </w:pPr>
          </w:p>
        </w:tc>
        <w:tc>
          <w:tcPr>
            <w:tcW w:w="1084" w:type="pct"/>
            <w:vAlign w:val="center"/>
          </w:tcPr>
          <w:p>
            <w:pPr>
              <w:snapToGrid w:val="0"/>
              <w:spacing w:line="360" w:lineRule="auto"/>
              <w:jc w:val="center"/>
              <w:rPr>
                <w:rFonts w:ascii="仿宋_GB2312" w:hAnsi="仿宋" w:eastAsia="仿宋_GB2312" w:cs="仿宋_GB2312"/>
                <w:sz w:val="24"/>
                <w:highlight w:val="none"/>
              </w:rPr>
            </w:pPr>
          </w:p>
        </w:tc>
        <w:tc>
          <w:tcPr>
            <w:tcW w:w="504" w:type="pct"/>
            <w:vAlign w:val="center"/>
          </w:tcPr>
          <w:p>
            <w:pPr>
              <w:snapToGrid w:val="0"/>
              <w:spacing w:line="360" w:lineRule="auto"/>
              <w:jc w:val="center"/>
              <w:rPr>
                <w:rFonts w:ascii="仿宋_GB2312" w:hAnsi="仿宋" w:eastAsia="仿宋_GB2312" w:cs="仿宋_GB2312"/>
                <w:sz w:val="24"/>
                <w:highlight w:val="none"/>
              </w:rPr>
            </w:pPr>
          </w:p>
        </w:tc>
        <w:tc>
          <w:tcPr>
            <w:tcW w:w="525" w:type="pct"/>
            <w:vAlign w:val="center"/>
          </w:tcPr>
          <w:p>
            <w:pPr>
              <w:spacing w:line="360" w:lineRule="auto"/>
              <w:jc w:val="center"/>
              <w:rPr>
                <w:rFonts w:ascii="仿宋_GB2312" w:hAnsi="仿宋" w:eastAsia="仿宋_GB2312" w:cs="仿宋_GB2312"/>
                <w:sz w:val="24"/>
                <w:highlight w:val="none"/>
              </w:rPr>
            </w:pPr>
          </w:p>
        </w:tc>
        <w:tc>
          <w:tcPr>
            <w:tcW w:w="671" w:type="pct"/>
            <w:vAlign w:val="center"/>
          </w:tcPr>
          <w:p>
            <w:pPr>
              <w:spacing w:line="360" w:lineRule="auto"/>
              <w:jc w:val="center"/>
              <w:rPr>
                <w:rFonts w:ascii="仿宋_GB2312" w:hAnsi="仿宋" w:eastAsia="仿宋_GB2312" w:cs="仿宋_GB2312"/>
                <w:sz w:val="24"/>
                <w:highlight w:val="none"/>
              </w:rPr>
            </w:pPr>
          </w:p>
        </w:tc>
        <w:tc>
          <w:tcPr>
            <w:tcW w:w="1076" w:type="pct"/>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vAlign w:val="center"/>
          </w:tcPr>
          <w:p>
            <w:pPr>
              <w:spacing w:line="360" w:lineRule="auto"/>
              <w:jc w:val="center"/>
              <w:rPr>
                <w:rFonts w:ascii="仿宋_GB2312" w:hAnsi="仿宋" w:eastAsia="仿宋_GB2312" w:cs="仿宋_GB2312"/>
                <w:sz w:val="24"/>
                <w:highlight w:val="none"/>
              </w:rPr>
            </w:pPr>
          </w:p>
        </w:tc>
        <w:tc>
          <w:tcPr>
            <w:tcW w:w="684" w:type="pct"/>
            <w:vAlign w:val="center"/>
          </w:tcPr>
          <w:p>
            <w:pPr>
              <w:snapToGrid w:val="0"/>
              <w:spacing w:line="360" w:lineRule="auto"/>
              <w:jc w:val="center"/>
              <w:rPr>
                <w:rFonts w:ascii="仿宋_GB2312" w:hAnsi="仿宋" w:eastAsia="仿宋_GB2312" w:cs="仿宋_GB2312"/>
                <w:sz w:val="24"/>
                <w:highlight w:val="none"/>
              </w:rPr>
            </w:pPr>
          </w:p>
        </w:tc>
        <w:tc>
          <w:tcPr>
            <w:tcW w:w="1084" w:type="pct"/>
            <w:vAlign w:val="center"/>
          </w:tcPr>
          <w:p>
            <w:pPr>
              <w:snapToGrid w:val="0"/>
              <w:spacing w:line="360" w:lineRule="auto"/>
              <w:jc w:val="center"/>
              <w:rPr>
                <w:rFonts w:ascii="仿宋_GB2312" w:hAnsi="仿宋" w:eastAsia="仿宋_GB2312" w:cs="仿宋_GB2312"/>
                <w:sz w:val="24"/>
                <w:highlight w:val="none"/>
              </w:rPr>
            </w:pPr>
          </w:p>
        </w:tc>
        <w:tc>
          <w:tcPr>
            <w:tcW w:w="504" w:type="pct"/>
            <w:vAlign w:val="center"/>
          </w:tcPr>
          <w:p>
            <w:pPr>
              <w:snapToGrid w:val="0"/>
              <w:spacing w:line="360" w:lineRule="auto"/>
              <w:jc w:val="center"/>
              <w:rPr>
                <w:rFonts w:ascii="仿宋_GB2312" w:hAnsi="仿宋" w:eastAsia="仿宋_GB2312" w:cs="仿宋_GB2312"/>
                <w:sz w:val="24"/>
                <w:highlight w:val="none"/>
              </w:rPr>
            </w:pPr>
          </w:p>
        </w:tc>
        <w:tc>
          <w:tcPr>
            <w:tcW w:w="525" w:type="pct"/>
            <w:vAlign w:val="center"/>
          </w:tcPr>
          <w:p>
            <w:pPr>
              <w:spacing w:line="360" w:lineRule="auto"/>
              <w:jc w:val="center"/>
              <w:rPr>
                <w:rFonts w:ascii="仿宋_GB2312" w:hAnsi="仿宋" w:eastAsia="仿宋_GB2312" w:cs="仿宋_GB2312"/>
                <w:sz w:val="24"/>
                <w:highlight w:val="none"/>
              </w:rPr>
            </w:pPr>
          </w:p>
        </w:tc>
        <w:tc>
          <w:tcPr>
            <w:tcW w:w="671" w:type="pct"/>
            <w:vAlign w:val="center"/>
          </w:tcPr>
          <w:p>
            <w:pPr>
              <w:spacing w:line="360" w:lineRule="auto"/>
              <w:jc w:val="center"/>
              <w:rPr>
                <w:rFonts w:ascii="仿宋_GB2312" w:hAnsi="仿宋" w:eastAsia="仿宋_GB2312" w:cs="仿宋_GB2312"/>
                <w:sz w:val="24"/>
                <w:highlight w:val="none"/>
              </w:rPr>
            </w:pPr>
          </w:p>
        </w:tc>
        <w:tc>
          <w:tcPr>
            <w:tcW w:w="1076" w:type="pct"/>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22" w:type="pct"/>
            <w:gridSpan w:val="3"/>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投标报价（小写）</w:t>
            </w:r>
          </w:p>
        </w:tc>
        <w:tc>
          <w:tcPr>
            <w:tcW w:w="2777" w:type="pct"/>
            <w:gridSpan w:val="4"/>
            <w:vAlign w:val="center"/>
          </w:tcPr>
          <w:p>
            <w:pPr>
              <w:spacing w:line="360" w:lineRule="auto"/>
              <w:jc w:val="center"/>
              <w:rPr>
                <w:rFonts w:ascii="仿宋_GB2312" w:hAnsi="仿宋"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22" w:type="pct"/>
            <w:gridSpan w:val="3"/>
            <w:vAlign w:val="center"/>
          </w:tcPr>
          <w:p>
            <w:pPr>
              <w:spacing w:line="360" w:lineRule="auto"/>
              <w:jc w:val="center"/>
              <w:rPr>
                <w:rFonts w:ascii="仿宋_GB2312" w:hAnsi="仿宋" w:eastAsia="仿宋_GB2312" w:cs="仿宋_GB2312"/>
                <w:b/>
                <w:sz w:val="24"/>
                <w:highlight w:val="none"/>
              </w:rPr>
            </w:pPr>
            <w:r>
              <w:rPr>
                <w:rFonts w:hint="eastAsia" w:ascii="仿宋_GB2312" w:hAnsi="仿宋" w:eastAsia="仿宋_GB2312" w:cs="仿宋_GB2312"/>
                <w:b/>
                <w:sz w:val="24"/>
                <w:highlight w:val="none"/>
              </w:rPr>
              <w:t>投标报价（大写）</w:t>
            </w:r>
          </w:p>
        </w:tc>
        <w:tc>
          <w:tcPr>
            <w:tcW w:w="2777" w:type="pct"/>
            <w:gridSpan w:val="4"/>
            <w:vAlign w:val="center"/>
          </w:tcPr>
          <w:p>
            <w:pPr>
              <w:spacing w:line="360" w:lineRule="auto"/>
              <w:jc w:val="center"/>
              <w:rPr>
                <w:rFonts w:ascii="仿宋_GB2312" w:hAnsi="仿宋" w:eastAsia="仿宋_GB2312" w:cs="仿宋_GB2312"/>
                <w:sz w:val="24"/>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leftChars="-1"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3、以上表格要求细分项目及报价，在“具体服务”一栏中，服务类项目填写具体服务。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b/>
          <w:kern w:val="0"/>
          <w:sz w:val="24"/>
          <w:highlight w:val="none"/>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宋体" w:eastAsia="仿宋_GB2312"/>
          <w:sz w:val="32"/>
          <w:szCs w:val="32"/>
          <w:highlight w:val="none"/>
        </w:rPr>
      </w:pPr>
      <w:r>
        <w:rPr>
          <w:rFonts w:hint="eastAsia" w:ascii="仿宋_GB2312" w:hAnsi="仿宋" w:eastAsia="仿宋_GB2312" w:cs="仿宋_GB2312"/>
          <w:kern w:val="2"/>
          <w:sz w:val="32"/>
          <w:szCs w:val="32"/>
          <w:highlight w:val="none"/>
        </w:rPr>
        <w:t>二、</w:t>
      </w:r>
      <w:r>
        <w:rPr>
          <w:rFonts w:hint="eastAsia" w:ascii="仿宋_GB2312" w:hAnsi="宋体" w:eastAsia="仿宋_GB2312"/>
          <w:sz w:val="32"/>
          <w:szCs w:val="32"/>
          <w:highlight w:val="none"/>
        </w:rPr>
        <w:t>中小企业声明函</w:t>
      </w:r>
    </w:p>
    <w:p>
      <w:pPr>
        <w:widowControl/>
        <w:spacing w:line="360" w:lineRule="auto"/>
        <w:ind w:firstLine="120" w:firstLineChars="50"/>
        <w:jc w:val="left"/>
        <w:rPr>
          <w:rFonts w:ascii="仿宋_GB2312" w:hAnsi="仿宋" w:eastAsia="仿宋_GB2312" w:cs="仿宋_GB2312"/>
          <w:b/>
          <w:sz w:val="24"/>
          <w:highlight w:val="none"/>
        </w:rPr>
      </w:pPr>
      <w:r>
        <w:rPr>
          <w:rFonts w:hint="eastAsia" w:ascii="仿宋_GB2312" w:hAnsi="仿宋" w:eastAsia="仿宋_GB2312" w:cs="仿宋_GB2312"/>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highlight w:val="none"/>
        </w:rPr>
        <w:t>5）。</w:t>
      </w:r>
      <w:r>
        <w:rPr>
          <w:rFonts w:hint="eastAsia" w:ascii="仿宋_GB2312" w:hAnsi="仿宋" w:eastAsia="仿宋_GB2312" w:cs="仿宋_GB2312"/>
          <w:b/>
          <w:sz w:val="24"/>
          <w:highlight w:val="none"/>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spacing w:line="360" w:lineRule="auto"/>
        <w:ind w:right="420" w:firstLine="3614" w:firstLineChars="1000"/>
        <w:rPr>
          <w:rFonts w:ascii="仿宋_GB2312" w:hAnsi="仿宋" w:eastAsia="仿宋_GB2312" w:cs="仿宋_GB2312"/>
          <w:b/>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政府采购支持中小企业信用融资相关事项通知</w:t>
      </w:r>
    </w:p>
    <w:p>
      <w:pPr>
        <w:spacing w:line="360" w:lineRule="auto"/>
        <w:ind w:firstLine="480" w:firstLineChars="200"/>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highlight w:val="none"/>
          <w:lang w:val="zh-CN"/>
        </w:rPr>
      </w:pPr>
      <w:r>
        <w:rPr>
          <w:rFonts w:hint="eastAsia" w:ascii="仿宋" w:hAnsi="仿宋" w:eastAsia="仿宋" w:cs="仿宋_GB2312"/>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一、适用对象</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二、相关信息获取方式</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三、政府采购信用融资操作流程：</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（一）线上融资模式：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1.供应商根据合作银行提供的方案，自行选择金融产品，并办理开户等手续；</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2.供应商中标后，可通过杭州市政府采购网或“浙里办”测算授信额度；</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ascii="仿宋" w:hAnsi="仿宋" w:eastAsia="仿宋"/>
          <w:sz w:val="24"/>
          <w:highlight w:val="none"/>
        </w:rPr>
        <w:t>4.审批通过后，在线办理放贷手续。</w:t>
      </w:r>
    </w:p>
    <w:p>
      <w:pPr>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（二）线下融资模式：</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highlight w:val="none"/>
        </w:rPr>
      </w:pPr>
      <w:r>
        <w:rPr>
          <w:rFonts w:ascii="仿宋" w:hAnsi="仿宋" w:eastAsia="仿宋"/>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highlight w:val="none"/>
        </w:rPr>
      </w:pPr>
      <w:r>
        <w:rPr>
          <w:rFonts w:ascii="仿宋" w:hAnsi="仿宋" w:eastAsia="仿宋"/>
          <w:sz w:val="24"/>
          <w:highlight w:val="none"/>
        </w:rPr>
        <w:t>4.审批通过后，合作银行应按照合作备忘录中约定的审批放款期限和优惠利率及时予以放款。</w:t>
      </w:r>
    </w:p>
    <w:p>
      <w:pPr>
        <w:pStyle w:val="5"/>
        <w:numPr>
          <w:ilvl w:val="255"/>
          <w:numId w:val="0"/>
        </w:numPr>
        <w:ind w:firstLine="480" w:firstLineChars="2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（三）杭州e融平台申请融资</w:t>
      </w:r>
    </w:p>
    <w:p>
      <w:pPr>
        <w:pStyle w:val="5"/>
        <w:numPr>
          <w:ilvl w:val="255"/>
          <w:numId w:val="0"/>
        </w:numPr>
        <w:ind w:firstLine="480" w:firstLineChars="200"/>
        <w:rPr>
          <w:rFonts w:ascii="仿宋" w:eastAsia="仿宋"/>
          <w:b w:val="0"/>
          <w:bCs w:val="0"/>
          <w:sz w:val="24"/>
          <w:szCs w:val="24"/>
          <w:highlight w:val="none"/>
          <w:lang w:val="en-US"/>
        </w:rPr>
      </w:pPr>
      <w:r>
        <w:rPr>
          <w:rFonts w:hint="eastAsia" w:ascii="仿宋" w:eastAsia="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四、注意事项</w:t>
      </w:r>
    </w:p>
    <w:p>
      <w:pPr>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highlight w:val="none"/>
        </w:rPr>
      </w:pPr>
      <w:r>
        <w:rPr>
          <w:rFonts w:ascii="仿宋" w:hAnsi="仿宋" w:eastAsia="仿宋"/>
          <w:sz w:val="24"/>
          <w:highlight w:val="none"/>
        </w:rPr>
        <w:t>2</w:t>
      </w:r>
      <w:r>
        <w:rPr>
          <w:rFonts w:hint="eastAsia" w:ascii="仿宋" w:hAnsi="仿宋" w:eastAsia="仿宋"/>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highlight w:val="none"/>
        </w:rPr>
        <w:t>。</w:t>
      </w:r>
    </w:p>
    <w:p>
      <w:pPr>
        <w:spacing w:line="360" w:lineRule="auto"/>
        <w:ind w:left="5060" w:hanging="5060" w:hangingChars="2100"/>
        <w:rPr>
          <w:rFonts w:ascii="仿宋_GB2312" w:hAnsi="仿宋" w:eastAsia="仿宋_GB2312" w:cs="仿宋_GB2312"/>
          <w:b/>
          <w:bCs/>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highlight w:val="none"/>
        </w:rPr>
      </w:pPr>
      <w:bookmarkStart w:id="394" w:name="_Toc465665161"/>
      <w:r>
        <w:rPr>
          <w:rFonts w:hint="eastAsia" w:ascii="仿宋_GB2312" w:hAnsi="仿宋" w:eastAsia="仿宋_GB2312"/>
          <w:highlight w:val="none"/>
        </w:rPr>
        <w:t>附件</w:t>
      </w:r>
      <w:bookmarkEnd w:id="394"/>
    </w:p>
    <w:p>
      <w:pPr>
        <w:spacing w:line="360" w:lineRule="auto"/>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1：</w:t>
      </w:r>
    </w:p>
    <w:p>
      <w:pPr>
        <w:spacing w:line="360" w:lineRule="auto"/>
        <w:jc w:val="center"/>
        <w:rPr>
          <w:rFonts w:ascii="仿宋_GB2312" w:hAnsi="仿宋" w:eastAsia="仿宋_GB2312"/>
          <w:b/>
          <w:spacing w:val="6"/>
          <w:sz w:val="32"/>
          <w:szCs w:val="32"/>
          <w:highlight w:val="none"/>
        </w:rPr>
      </w:pPr>
      <w:bookmarkStart w:id="395" w:name="OLE_LINK14"/>
      <w:bookmarkStart w:id="396" w:name="OLE_LINK13"/>
      <w:r>
        <w:rPr>
          <w:rFonts w:hint="eastAsia" w:ascii="仿宋_GB2312" w:hAnsi="仿宋" w:eastAsia="仿宋_GB2312"/>
          <w:b/>
          <w:spacing w:val="6"/>
          <w:sz w:val="32"/>
          <w:szCs w:val="32"/>
          <w:highlight w:val="none"/>
        </w:rPr>
        <w:t>残疾人福利性单位声明函</w:t>
      </w:r>
    </w:p>
    <w:bookmarkEnd w:id="395"/>
    <w:bookmarkEnd w:id="396"/>
    <w:p>
      <w:pPr>
        <w:spacing w:line="360" w:lineRule="auto"/>
        <w:rPr>
          <w:rFonts w:ascii="仿宋_GB2312" w:hAnsi="仿宋" w:eastAsia="仿宋_GB2312"/>
          <w:b/>
          <w:spacing w:val="6"/>
          <w:sz w:val="30"/>
          <w:szCs w:val="30"/>
          <w:highlight w:val="none"/>
        </w:rPr>
      </w:pP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本单位郑重声明，根据《财政部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民政部</w:t>
      </w:r>
      <w:r>
        <w:rPr>
          <w:rFonts w:ascii="仿宋_GB2312" w:hAnsi="仿宋" w:eastAsia="仿宋_GB2312" w:cs="仿宋_GB2312"/>
          <w:sz w:val="24"/>
          <w:highlight w:val="none"/>
        </w:rPr>
        <w:t xml:space="preserve"> </w:t>
      </w:r>
      <w:r>
        <w:rPr>
          <w:rFonts w:hint="eastAsia" w:ascii="仿宋_GB2312" w:hAnsi="仿宋" w:eastAsia="仿宋_GB2312" w:cs="仿宋_GB2312"/>
          <w:sz w:val="24"/>
          <w:highlight w:val="none"/>
        </w:rPr>
        <w:t>中国残疾人联合会关于促进残疾人就业政府采购政策的通知》（财库〔</w:t>
      </w:r>
      <w:r>
        <w:rPr>
          <w:rFonts w:ascii="仿宋_GB2312" w:hAnsi="仿宋" w:eastAsia="仿宋_GB2312" w:cs="仿宋_GB2312"/>
          <w:sz w:val="24"/>
          <w:highlight w:val="none"/>
        </w:rPr>
        <w:t>2017〕 141号）的规定，本单位为符合条件的残疾人福利性单位，且本单位参加______单位的______项目采购活动提供服务。</w:t>
      </w:r>
    </w:p>
    <w:p>
      <w:pPr>
        <w:spacing w:line="360" w:lineRule="auto"/>
        <w:ind w:firstLine="480" w:firstLineChars="200"/>
        <w:rPr>
          <w:rFonts w:ascii="仿宋_GB2312" w:hAnsi="仿宋" w:eastAsia="仿宋_GB2312" w:cs="仿宋_GB2312"/>
          <w:sz w:val="24"/>
          <w:highlight w:val="none"/>
        </w:rPr>
      </w:pPr>
      <w:r>
        <w:rPr>
          <w:rFonts w:hint="eastAsia" w:ascii="仿宋_GB2312" w:hAnsi="仿宋" w:eastAsia="仿宋_GB2312" w:cs="仿宋_GB2312"/>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sz w:val="24"/>
          <w:highlight w:val="none"/>
        </w:rPr>
      </w:pPr>
    </w:p>
    <w:p>
      <w:pPr>
        <w:spacing w:line="360" w:lineRule="auto"/>
        <w:ind w:firstLine="480" w:firstLineChars="200"/>
        <w:rPr>
          <w:rFonts w:ascii="仿宋_GB2312" w:hAnsi="仿宋" w:eastAsia="仿宋_GB2312" w:cs="仿宋_GB2312"/>
          <w:sz w:val="24"/>
          <w:highlight w:val="none"/>
        </w:rPr>
      </w:pP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r>
        <w:rPr>
          <w:rFonts w:hint="eastAsia" w:ascii="仿宋_GB2312" w:hAnsi="仿宋" w:eastAsia="仿宋_GB2312" w:cs="仿宋_GB2312"/>
          <w:kern w:val="0"/>
          <w:sz w:val="24"/>
          <w:highlight w:val="none"/>
          <w:lang w:val="zh-CN"/>
        </w:rPr>
        <w:t>投标人名称（电子签名）</w:t>
      </w:r>
      <w:r>
        <w:rPr>
          <w:rFonts w:hint="eastAsia" w:ascii="仿宋_GB2312" w:hAnsi="仿宋" w:eastAsia="仿宋_GB2312" w:cs="仿宋_GB2312"/>
          <w:sz w:val="24"/>
          <w:highlight w:val="none"/>
        </w:rPr>
        <w:t>：</w:t>
      </w:r>
    </w:p>
    <w:p>
      <w:pPr>
        <w:tabs>
          <w:tab w:val="left" w:pos="4860"/>
        </w:tabs>
        <w:spacing w:line="360" w:lineRule="auto"/>
        <w:ind w:right="1560" w:firstLine="480" w:firstLineChars="200"/>
        <w:jc w:val="center"/>
        <w:rPr>
          <w:rFonts w:ascii="仿宋_GB2312" w:hAnsi="仿宋" w:eastAsia="仿宋_GB2312" w:cs="仿宋_GB2312"/>
          <w:sz w:val="24"/>
          <w:highlight w:val="none"/>
        </w:rPr>
      </w:pPr>
      <w:r>
        <w:rPr>
          <w:rFonts w:ascii="仿宋_GB2312" w:hAnsi="仿宋" w:eastAsia="仿宋_GB2312" w:cs="仿宋_GB2312"/>
          <w:sz w:val="24"/>
          <w:highlight w:val="none"/>
        </w:rPr>
        <w:t xml:space="preserve">       日  期：</w:t>
      </w:r>
    </w:p>
    <w:p>
      <w:pPr>
        <w:spacing w:line="360" w:lineRule="auto"/>
        <w:ind w:firstLine="480" w:firstLineChars="200"/>
        <w:rPr>
          <w:rFonts w:ascii="仿宋_GB2312" w:hAnsi="仿宋" w:eastAsia="仿宋_GB2312" w:cs="仿宋_GB2312"/>
          <w:sz w:val="24"/>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ind w:firstLine="420" w:firstLineChars="200"/>
        <w:rPr>
          <w:rFonts w:ascii="仿宋_GB2312" w:hAnsi="仿宋" w:eastAsia="仿宋_GB2312"/>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rPr>
          <w:rFonts w:ascii="仿宋_GB2312" w:hAnsi="仿宋" w:eastAsia="仿宋_GB2312" w:cs="仿宋_GB2312"/>
          <w:b/>
          <w:sz w:val="24"/>
          <w:highlight w:val="none"/>
        </w:rPr>
      </w:pPr>
    </w:p>
    <w:p>
      <w:pPr>
        <w:spacing w:line="360" w:lineRule="auto"/>
        <w:jc w:val="left"/>
        <w:rPr>
          <w:rFonts w:hint="eastAsia"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2：质疑函范本及制作说明</w:t>
      </w: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质疑函范本</w:t>
      </w:r>
    </w:p>
    <w:p>
      <w:pPr>
        <w:snapToGrid w:val="0"/>
        <w:spacing w:before="240" w:beforeLines="100"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一、质疑供应商基本信息</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质疑供应商：</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联系人：</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授权代表：</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联系电话：</w:t>
      </w:r>
      <w:r>
        <w:rPr>
          <w:rFonts w:ascii="仿宋_GB2312" w:hAnsi="仿宋" w:eastAsia="仿宋_GB2312" w:cs="仿宋"/>
          <w:sz w:val="24"/>
          <w:highlight w:val="none"/>
          <w:u w:val="dotted"/>
        </w:rPr>
        <w:t xml:space="preserve">                                           </w:t>
      </w:r>
      <w:r>
        <w:rPr>
          <w:rFonts w:ascii="仿宋_GB2312" w:hAnsi="仿宋" w:eastAsia="仿宋_GB2312" w:cs="仿宋"/>
          <w:sz w:val="24"/>
          <w:highlight w:val="none"/>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地址：</w:t>
      </w:r>
      <w:r>
        <w:rPr>
          <w:rFonts w:ascii="仿宋_GB2312" w:hAnsi="仿宋" w:eastAsia="仿宋_GB2312" w:cs="仿宋"/>
          <w:sz w:val="24"/>
          <w:highlight w:val="none"/>
        </w:rPr>
        <w:t xml:space="preserve"> </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邮编：</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二、质疑项目基本情况</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质疑项目的编号：</w:t>
      </w:r>
      <w:r>
        <w:rPr>
          <w:rFonts w:ascii="仿宋_GB2312" w:hAnsi="仿宋" w:eastAsia="仿宋_GB2312" w:cs="仿宋"/>
          <w:sz w:val="24"/>
          <w:highlight w:val="none"/>
          <w:u w:val="dotted"/>
        </w:rPr>
        <w:t xml:space="preserve">               </w:t>
      </w:r>
      <w:r>
        <w:rPr>
          <w:rFonts w:hint="eastAsia" w:ascii="仿宋_GB2312" w:hAnsi="仿宋" w:eastAsia="仿宋_GB2312" w:cs="仿宋"/>
          <w:sz w:val="24"/>
          <w:highlight w:val="none"/>
        </w:rPr>
        <w:t>包号：</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采购人名称：</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采购文件获取日期：</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三、质疑事项具体内容</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1：</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事实依据：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法律依据：</w:t>
      </w: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ascii="仿宋_GB2312" w:hAnsi="仿宋" w:eastAsia="仿宋_GB2312" w:cs="仿宋"/>
          <w:sz w:val="24"/>
          <w:highlight w:val="none"/>
          <w:u w:val="dotted"/>
        </w:rPr>
        <w:t xml:space="preserve">                                                     </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质疑事项</w:t>
      </w:r>
      <w:r>
        <w:rPr>
          <w:rFonts w:ascii="仿宋_GB2312" w:hAnsi="仿宋" w:eastAsia="仿宋_GB2312" w:cs="仿宋"/>
          <w:sz w:val="24"/>
          <w:highlight w:val="none"/>
        </w:rPr>
        <w:t>2</w:t>
      </w:r>
    </w:p>
    <w:p>
      <w:pPr>
        <w:snapToGrid w:val="0"/>
        <w:spacing w:line="360" w:lineRule="auto"/>
        <w:rPr>
          <w:rFonts w:ascii="仿宋_GB2312" w:hAnsi="仿宋" w:eastAsia="仿宋_GB2312" w:cs="仿宋"/>
          <w:sz w:val="24"/>
          <w:highlight w:val="none"/>
        </w:rPr>
      </w:pPr>
      <w:r>
        <w:rPr>
          <w:rFonts w:hint="eastAsia" w:ascii="仿宋_GB2312" w:hAnsi="仿宋" w:eastAsia="仿宋_GB2312" w:cs="仿宋"/>
          <w:sz w:val="24"/>
          <w:highlight w:val="none"/>
        </w:rPr>
        <w:t>……</w:t>
      </w:r>
    </w:p>
    <w:p>
      <w:pPr>
        <w:snapToGrid w:val="0"/>
        <w:spacing w:line="360" w:lineRule="auto"/>
        <w:rPr>
          <w:rFonts w:ascii="仿宋_GB2312" w:hAnsi="仿宋" w:eastAsia="仿宋_GB2312" w:cs="仿宋"/>
          <w:bCs/>
          <w:sz w:val="24"/>
          <w:highlight w:val="none"/>
        </w:rPr>
      </w:pPr>
      <w:r>
        <w:rPr>
          <w:rFonts w:hint="eastAsia" w:ascii="仿宋_GB2312" w:hAnsi="仿宋" w:eastAsia="仿宋_GB2312" w:cs="仿宋"/>
          <w:bCs/>
          <w:sz w:val="24"/>
          <w:highlight w:val="none"/>
        </w:rPr>
        <w:t>四、与质疑事项相关的质疑请求</w:t>
      </w:r>
    </w:p>
    <w:p>
      <w:pPr>
        <w:snapToGrid w:val="0"/>
        <w:spacing w:line="360" w:lineRule="auto"/>
        <w:rPr>
          <w:rFonts w:ascii="仿宋_GB2312" w:hAnsi="仿宋" w:eastAsia="仿宋_GB2312" w:cs="仿宋"/>
          <w:sz w:val="24"/>
          <w:highlight w:val="none"/>
          <w:u w:val="dotted"/>
        </w:rPr>
      </w:pPr>
      <w:r>
        <w:rPr>
          <w:rFonts w:hint="eastAsia" w:ascii="仿宋_GB2312" w:hAnsi="仿宋" w:eastAsia="仿宋_GB2312" w:cs="仿宋"/>
          <w:sz w:val="24"/>
          <w:highlight w:val="none"/>
        </w:rPr>
        <w:t>请求：</w:t>
      </w:r>
      <w:r>
        <w:rPr>
          <w:rFonts w:ascii="仿宋_GB2312" w:hAnsi="仿宋" w:eastAsia="仿宋_GB2312" w:cs="仿宋"/>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jc w:val="center"/>
        <w:rPr>
          <w:rFonts w:ascii="仿宋_GB2312" w:hAnsi="仿宋" w:eastAsia="仿宋_GB2312" w:cs="仿宋"/>
          <w:b/>
          <w:bCs/>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质疑函制作说明：</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2.质疑供应商若委托代理人进行质疑的，</w:t>
      </w:r>
      <w:r>
        <w:rPr>
          <w:rFonts w:hint="eastAsia" w:ascii="仿宋_GB2312" w:hAnsi="仿宋" w:eastAsia="仿宋_GB2312"/>
          <w:sz w:val="24"/>
          <w:highlight w:val="none"/>
        </w:rPr>
        <w:t>质疑函应按要求列明“授权代表”的有关内容，并在附件中提交由质疑</w:t>
      </w:r>
      <w:r>
        <w:rPr>
          <w:rFonts w:hint="eastAsia" w:ascii="仿宋_GB2312" w:hAnsi="仿宋" w:eastAsia="仿宋_GB2312"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5.质疑函的质疑请求应与质疑事项相关。</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6.质疑供应商为自然人的，</w:t>
      </w:r>
      <w:r>
        <w:rPr>
          <w:rFonts w:hint="eastAsia" w:ascii="仿宋_GB2312" w:hAnsi="仿宋" w:eastAsia="仿宋_GB2312"/>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center"/>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p>
    <w:p>
      <w:pPr>
        <w:spacing w:line="360" w:lineRule="auto"/>
        <w:jc w:val="left"/>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附件</w:t>
      </w:r>
      <w:r>
        <w:rPr>
          <w:rFonts w:ascii="仿宋_GB2312" w:hAnsi="仿宋" w:eastAsia="仿宋_GB2312"/>
          <w:b/>
          <w:spacing w:val="6"/>
          <w:sz w:val="32"/>
          <w:szCs w:val="32"/>
          <w:highlight w:val="none"/>
        </w:rPr>
        <w:t>3：投诉书范本及制作说明</w:t>
      </w:r>
    </w:p>
    <w:p>
      <w:pPr>
        <w:spacing w:line="360" w:lineRule="auto"/>
        <w:jc w:val="center"/>
        <w:rPr>
          <w:rFonts w:ascii="仿宋_GB2312" w:hAnsi="仿宋" w:eastAsia="仿宋_GB2312"/>
          <w:b/>
          <w:sz w:val="24"/>
          <w:highlight w:val="none"/>
        </w:rPr>
      </w:pPr>
    </w:p>
    <w:p>
      <w:pPr>
        <w:spacing w:line="360" w:lineRule="auto"/>
        <w:jc w:val="center"/>
        <w:rPr>
          <w:rFonts w:ascii="仿宋_GB2312" w:hAnsi="仿宋" w:eastAsia="仿宋_GB2312"/>
          <w:b/>
          <w:spacing w:val="6"/>
          <w:sz w:val="32"/>
          <w:szCs w:val="32"/>
          <w:highlight w:val="none"/>
        </w:rPr>
      </w:pPr>
      <w:r>
        <w:rPr>
          <w:rFonts w:hint="eastAsia" w:ascii="仿宋_GB2312" w:hAnsi="仿宋" w:eastAsia="仿宋_GB2312"/>
          <w:b/>
          <w:spacing w:val="6"/>
          <w:sz w:val="32"/>
          <w:szCs w:val="32"/>
          <w:highlight w:val="none"/>
        </w:rPr>
        <w:t>投诉书范本</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一、投诉相关主体基本情况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投诉人：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tabs>
          <w:tab w:val="left" w:pos="6510"/>
        </w:tabs>
        <w:spacing w:line="360" w:lineRule="auto"/>
        <w:jc w:val="left"/>
        <w:rPr>
          <w:rFonts w:ascii="仿宋_GB2312" w:hAnsi="仿宋" w:eastAsia="仿宋_GB2312"/>
          <w:sz w:val="24"/>
          <w:highlight w:val="none"/>
        </w:rPr>
      </w:pPr>
      <w:r>
        <w:rPr>
          <w:rFonts w:hint="eastAsia" w:ascii="仿宋_GB2312" w:hAnsi="仿宋" w:eastAsia="仿宋_GB2312"/>
          <w:sz w:val="24"/>
          <w:highlight w:val="none"/>
        </w:rPr>
        <w:t>法定代表人</w:t>
      </w:r>
      <w:r>
        <w:rPr>
          <w:rFonts w:ascii="仿宋_GB2312" w:hAnsi="仿宋" w:eastAsia="仿宋_GB2312"/>
          <w:sz w:val="24"/>
          <w:highlight w:val="none"/>
        </w:rPr>
        <w:t>/主要负责人：</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tabs>
          <w:tab w:val="left" w:pos="6510"/>
        </w:tabs>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授权代表：</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hint="eastAsia" w:ascii="仿宋_GB2312" w:hAnsi="仿宋" w:eastAsia="仿宋_GB2312"/>
          <w:sz w:val="24"/>
          <w:highlight w:val="none"/>
          <w:u w:val="dotted"/>
        </w:rPr>
        <w:t>：</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被投诉人</w:t>
      </w:r>
      <w:r>
        <w:rPr>
          <w:rFonts w:ascii="仿宋_GB2312" w:hAnsi="仿宋" w:eastAsia="仿宋_GB2312"/>
          <w:sz w:val="24"/>
          <w:highlight w:val="none"/>
        </w:rPr>
        <w:t>1：</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被投诉人</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相关供应商：</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地</w:t>
      </w:r>
      <w:r>
        <w:rPr>
          <w:rFonts w:ascii="仿宋_GB2312" w:hAnsi="仿宋" w:eastAsia="仿宋_GB2312"/>
          <w:sz w:val="24"/>
          <w:highlight w:val="none"/>
        </w:rPr>
        <w:t xml:space="preserve">     </w:t>
      </w:r>
      <w:r>
        <w:rPr>
          <w:rFonts w:hint="eastAsia" w:ascii="仿宋_GB2312" w:hAnsi="仿宋" w:eastAsia="仿宋_GB2312"/>
          <w:sz w:val="24"/>
          <w:highlight w:val="none"/>
        </w:rPr>
        <w:t>址：</w:t>
      </w:r>
      <w:r>
        <w:rPr>
          <w:rFonts w:ascii="仿宋_GB2312" w:hAnsi="仿宋" w:eastAsia="仿宋_GB2312"/>
          <w:sz w:val="24"/>
          <w:highlight w:val="none"/>
          <w:u w:val="dotted"/>
        </w:rPr>
        <w:t xml:space="preserve">                             </w:t>
      </w:r>
      <w:r>
        <w:rPr>
          <w:rFonts w:hint="eastAsia" w:ascii="仿宋_GB2312" w:hAnsi="仿宋" w:eastAsia="仿宋_GB2312"/>
          <w:sz w:val="24"/>
          <w:highlight w:val="none"/>
        </w:rPr>
        <w:t>邮编：</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联系人：</w:t>
      </w:r>
      <w:r>
        <w:rPr>
          <w:rFonts w:ascii="仿宋_GB2312" w:hAnsi="仿宋" w:eastAsia="仿宋_GB2312"/>
          <w:sz w:val="24"/>
          <w:highlight w:val="none"/>
          <w:u w:val="dotted"/>
        </w:rPr>
        <w:t xml:space="preserve">               </w:t>
      </w:r>
      <w:r>
        <w:rPr>
          <w:rFonts w:hint="eastAsia" w:ascii="仿宋_GB2312" w:hAnsi="仿宋" w:eastAsia="仿宋_GB2312"/>
          <w:sz w:val="24"/>
          <w:highlight w:val="none"/>
        </w:rPr>
        <w:t>联系电话：</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二、投诉项目基本情况</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采购项目名称：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采购项目编号：</w:t>
      </w:r>
      <w:r>
        <w:rPr>
          <w:rFonts w:ascii="仿宋_GB2312" w:hAnsi="仿宋" w:eastAsia="仿宋_GB2312"/>
          <w:sz w:val="24"/>
          <w:highlight w:val="none"/>
          <w:u w:val="dotted"/>
        </w:rPr>
        <w:t xml:space="preserve">                 </w:t>
      </w:r>
      <w:r>
        <w:rPr>
          <w:rFonts w:hint="eastAsia" w:ascii="仿宋_GB2312" w:hAnsi="仿宋" w:eastAsia="仿宋_GB2312"/>
          <w:sz w:val="24"/>
          <w:highlight w:val="none"/>
        </w:rPr>
        <w:t>包号：</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采购人名称：</w:t>
      </w:r>
      <w:r>
        <w:rPr>
          <w:rFonts w:ascii="仿宋_GB2312" w:hAnsi="仿宋" w:eastAsia="仿宋_GB2312"/>
          <w:sz w:val="24"/>
          <w:highlight w:val="none"/>
          <w:u w:val="dotted"/>
        </w:rPr>
        <w:t xml:space="preserve">                                           </w:t>
      </w:r>
      <w:r>
        <w:rPr>
          <w:rFonts w:ascii="仿宋_GB2312" w:hAnsi="仿宋" w:eastAsia="仿宋_GB2312"/>
          <w:sz w:val="24"/>
          <w:highlight w:val="none"/>
          <w:u w:val="single"/>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代理机构名称：</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采购文件公告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采购结果公告</w:t>
      </w:r>
      <w:r>
        <w:rPr>
          <w:rFonts w:ascii="仿宋_GB2312" w:hAnsi="仿宋" w:eastAsia="仿宋_GB2312"/>
          <w:sz w:val="24"/>
          <w:highlight w:val="none"/>
        </w:rPr>
        <w:t>:</w:t>
      </w:r>
      <w:r>
        <w:rPr>
          <w:rFonts w:hint="eastAsia" w:ascii="仿宋_GB2312" w:hAnsi="仿宋" w:eastAsia="仿宋_GB2312"/>
          <w:sz w:val="24"/>
          <w:highlight w:val="none"/>
          <w:u w:val="dotted"/>
        </w:rPr>
        <w:t>是</w:t>
      </w:r>
      <w:r>
        <w:rPr>
          <w:rFonts w:ascii="仿宋_GB2312" w:hAnsi="仿宋" w:eastAsia="仿宋_GB2312"/>
          <w:sz w:val="24"/>
          <w:highlight w:val="none"/>
          <w:u w:val="dotted"/>
        </w:rPr>
        <w:t xml:space="preserve">/否 </w:t>
      </w:r>
      <w:r>
        <w:rPr>
          <w:rFonts w:hint="eastAsia" w:ascii="仿宋_GB2312" w:hAnsi="仿宋" w:eastAsia="仿宋_GB2312"/>
          <w:sz w:val="24"/>
          <w:highlight w:val="none"/>
        </w:rPr>
        <w:t>公告期限：</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三、质疑基本情况</w:t>
      </w:r>
    </w:p>
    <w:p>
      <w:pPr>
        <w:spacing w:line="360" w:lineRule="auto"/>
        <w:ind w:firstLine="480" w:firstLineChars="200"/>
        <w:rPr>
          <w:rFonts w:ascii="仿宋_GB2312" w:hAnsi="仿宋" w:eastAsia="仿宋_GB2312"/>
          <w:sz w:val="24"/>
          <w:highlight w:val="none"/>
          <w:u w:val="dotted"/>
        </w:rPr>
      </w:pPr>
      <w:r>
        <w:rPr>
          <w:rFonts w:hint="eastAsia" w:ascii="仿宋_GB2312" w:hAnsi="仿宋" w:eastAsia="仿宋_GB2312"/>
          <w:sz w:val="24"/>
          <w:highlight w:val="none"/>
        </w:rPr>
        <w:t>投诉人于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,向</w:t>
      </w:r>
      <w:r>
        <w:rPr>
          <w:rFonts w:ascii="仿宋_GB2312" w:hAnsi="仿宋" w:eastAsia="仿宋_GB2312"/>
          <w:sz w:val="24"/>
          <w:highlight w:val="none"/>
          <w:u w:val="dotted"/>
        </w:rPr>
        <w:t xml:space="preserve">                   </w:t>
      </w:r>
      <w:r>
        <w:rPr>
          <w:rFonts w:hint="eastAsia" w:ascii="仿宋_GB2312" w:hAnsi="仿宋" w:eastAsia="仿宋_GB2312"/>
          <w:sz w:val="24"/>
          <w:highlight w:val="none"/>
        </w:rPr>
        <w:t>提出质疑，质疑事项为：</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ind w:firstLine="360" w:firstLineChars="150"/>
        <w:rPr>
          <w:rFonts w:ascii="仿宋_GB2312" w:hAnsi="仿宋" w:eastAsia="仿宋_GB2312"/>
          <w:sz w:val="24"/>
          <w:highlight w:val="none"/>
        </w:rPr>
      </w:pPr>
      <w:r>
        <w:rPr>
          <w:rFonts w:hint="eastAsia" w:ascii="仿宋_GB2312" w:hAnsi="仿宋" w:eastAsia="仿宋_GB2312"/>
          <w:sz w:val="24"/>
          <w:highlight w:val="none"/>
          <w:u w:val="dotted"/>
        </w:rPr>
        <w:t>采购人</w:t>
      </w:r>
      <w:r>
        <w:rPr>
          <w:rFonts w:ascii="仿宋_GB2312" w:hAnsi="仿宋" w:eastAsia="仿宋_GB2312"/>
          <w:sz w:val="24"/>
          <w:highlight w:val="none"/>
          <w:u w:val="dotted"/>
        </w:rPr>
        <w:t>/代理机构</w:t>
      </w:r>
      <w:r>
        <w:rPr>
          <w:rFonts w:hint="eastAsia" w:ascii="仿宋_GB2312" w:hAnsi="仿宋" w:eastAsia="仿宋_GB2312"/>
          <w:sz w:val="24"/>
          <w:highlight w:val="none"/>
        </w:rPr>
        <w:t>于</w:t>
      </w:r>
      <w:r>
        <w:rPr>
          <w:rFonts w:ascii="仿宋_GB2312" w:hAnsi="仿宋" w:eastAsia="仿宋_GB2312"/>
          <w:sz w:val="24"/>
          <w:highlight w:val="none"/>
          <w:u w:val="dotted"/>
        </w:rPr>
        <w:t xml:space="preserve">   </w:t>
      </w:r>
      <w:r>
        <w:rPr>
          <w:rFonts w:hint="eastAsia" w:ascii="仿宋_GB2312" w:hAnsi="仿宋" w:eastAsia="仿宋_GB2312"/>
          <w:sz w:val="24"/>
          <w:highlight w:val="none"/>
        </w:rPr>
        <w:t>年</w:t>
      </w:r>
      <w:r>
        <w:rPr>
          <w:rFonts w:ascii="仿宋_GB2312" w:hAnsi="仿宋" w:eastAsia="仿宋_GB2312"/>
          <w:sz w:val="24"/>
          <w:highlight w:val="none"/>
          <w:u w:val="dotted"/>
        </w:rPr>
        <w:t xml:space="preserve">   </w:t>
      </w:r>
      <w:r>
        <w:rPr>
          <w:rFonts w:hint="eastAsia" w:ascii="仿宋_GB2312" w:hAnsi="仿宋" w:eastAsia="仿宋_GB2312"/>
          <w:sz w:val="24"/>
          <w:highlight w:val="none"/>
        </w:rPr>
        <w:t>月</w:t>
      </w:r>
      <w:r>
        <w:rPr>
          <w:rFonts w:ascii="仿宋_GB2312" w:hAnsi="仿宋" w:eastAsia="仿宋_GB2312"/>
          <w:sz w:val="24"/>
          <w:highlight w:val="none"/>
          <w:u w:val="dotted"/>
        </w:rPr>
        <w:t xml:space="preserve">   </w:t>
      </w:r>
      <w:r>
        <w:rPr>
          <w:rFonts w:hint="eastAsia" w:ascii="仿宋_GB2312" w:hAnsi="仿宋" w:eastAsia="仿宋_GB2312"/>
          <w:sz w:val="24"/>
          <w:highlight w:val="none"/>
        </w:rPr>
        <w:t>日</w:t>
      </w:r>
      <w:r>
        <w:rPr>
          <w:rFonts w:ascii="仿宋_GB2312" w:hAnsi="仿宋" w:eastAsia="仿宋_GB2312"/>
          <w:sz w:val="24"/>
          <w:highlight w:val="none"/>
        </w:rPr>
        <w:t>,就质疑事项</w:t>
      </w:r>
      <w:r>
        <w:rPr>
          <w:rFonts w:hint="eastAsia" w:ascii="仿宋_GB2312" w:hAnsi="仿宋" w:eastAsia="仿宋_GB2312"/>
          <w:sz w:val="24"/>
          <w:highlight w:val="none"/>
        </w:rPr>
        <w:t>作出了答复</w:t>
      </w:r>
      <w:r>
        <w:rPr>
          <w:rFonts w:ascii="仿宋_GB2312" w:hAnsi="仿宋" w:eastAsia="仿宋_GB2312"/>
          <w:sz w:val="24"/>
          <w:highlight w:val="none"/>
        </w:rPr>
        <w:t>/没有在法定期限内</w:t>
      </w:r>
      <w:r>
        <w:rPr>
          <w:rFonts w:hint="eastAsia" w:ascii="仿宋_GB2312" w:hAnsi="仿宋" w:eastAsia="仿宋_GB2312"/>
          <w:sz w:val="24"/>
          <w:highlight w:val="none"/>
        </w:rPr>
        <w:t>作出答复。</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四、投诉事项具体内容</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投诉事项</w:t>
      </w:r>
      <w:r>
        <w:rPr>
          <w:rFonts w:ascii="仿宋_GB2312" w:hAnsi="仿宋" w:eastAsia="仿宋_GB2312"/>
          <w:sz w:val="24"/>
          <w:highlight w:val="none"/>
        </w:rPr>
        <w:t xml:space="preserve"> 1：</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事实依据：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single"/>
        </w:rPr>
      </w:pPr>
      <w:r>
        <w:rPr>
          <w:rFonts w:hint="eastAsia" w:ascii="仿宋_GB2312" w:hAnsi="仿宋" w:eastAsia="仿宋_GB2312"/>
          <w:sz w:val="24"/>
          <w:highlight w:val="none"/>
        </w:rPr>
        <w:t>法律依据：</w:t>
      </w: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u w:val="dotted"/>
        </w:rPr>
      </w:pPr>
      <w:r>
        <w:rPr>
          <w:rFonts w:ascii="仿宋_GB2312" w:hAnsi="仿宋" w:eastAsia="仿宋_GB2312"/>
          <w:sz w:val="24"/>
          <w:highlight w:val="none"/>
          <w:u w:val="dotted"/>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投诉事项</w:t>
      </w:r>
      <w:r>
        <w:rPr>
          <w:rFonts w:ascii="仿宋_GB2312" w:hAnsi="仿宋" w:eastAsia="仿宋_GB2312"/>
          <w:sz w:val="24"/>
          <w:highlight w:val="none"/>
        </w:rPr>
        <w:t>2</w:t>
      </w:r>
    </w:p>
    <w:p>
      <w:pPr>
        <w:spacing w:line="360" w:lineRule="auto"/>
        <w:rPr>
          <w:rFonts w:ascii="仿宋_GB2312" w:hAnsi="仿宋" w:eastAsia="仿宋_GB2312"/>
          <w:sz w:val="24"/>
          <w:highlight w:val="none"/>
          <w:u w:val="dotted"/>
        </w:rPr>
      </w:pPr>
      <w:r>
        <w:rPr>
          <w:rFonts w:hint="eastAsia" w:ascii="仿宋_GB2312" w:hAnsi="仿宋" w:eastAsia="仿宋_GB2312"/>
          <w:sz w:val="24"/>
          <w:highlight w:val="none"/>
        </w:rPr>
        <w:t>……</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五、与投诉事项相关的投诉请求</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请求：</w:t>
      </w:r>
      <w:r>
        <w:rPr>
          <w:rFonts w:ascii="仿宋_GB2312" w:hAnsi="仿宋" w:eastAsia="仿宋_GB2312"/>
          <w:sz w:val="24"/>
          <w:highlight w:val="none"/>
          <w:u w:val="dotted"/>
        </w:rPr>
        <w:t xml:space="preserve">                                              </w:t>
      </w: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u w:val="single"/>
        </w:rPr>
      </w:pPr>
      <w:r>
        <w:rPr>
          <w:rFonts w:ascii="仿宋_GB2312" w:hAnsi="仿宋" w:eastAsia="仿宋_GB2312"/>
          <w:sz w:val="24"/>
          <w:highlight w:val="none"/>
        </w:rPr>
        <w:t xml:space="preserve">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签字</w:t>
      </w:r>
      <w:r>
        <w:rPr>
          <w:rFonts w:ascii="仿宋_GB2312" w:hAnsi="仿宋" w:eastAsia="仿宋_GB2312"/>
          <w:sz w:val="24"/>
          <w:highlight w:val="none"/>
        </w:rPr>
        <w:t xml:space="preserve">(签章)：                   公章：                      </w:t>
      </w:r>
    </w:p>
    <w:p>
      <w:pPr>
        <w:spacing w:line="360" w:lineRule="auto"/>
        <w:rPr>
          <w:rFonts w:ascii="仿宋_GB2312" w:hAnsi="仿宋" w:eastAsia="仿宋_GB2312"/>
          <w:sz w:val="24"/>
          <w:highlight w:val="none"/>
        </w:rPr>
      </w:pPr>
      <w:r>
        <w:rPr>
          <w:rFonts w:hint="eastAsia" w:ascii="仿宋_GB2312" w:hAnsi="仿宋" w:eastAsia="仿宋_GB2312"/>
          <w:sz w:val="24"/>
          <w:highlight w:val="none"/>
        </w:rPr>
        <w:t>日期：</w:t>
      </w:r>
      <w:r>
        <w:rPr>
          <w:rFonts w:ascii="仿宋_GB2312" w:hAnsi="仿宋" w:eastAsia="仿宋_GB2312"/>
          <w:sz w:val="24"/>
          <w:highlight w:val="none"/>
        </w:rPr>
        <w:t xml:space="preserve">    </w:t>
      </w: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投诉书制作说明：</w:t>
      </w:r>
    </w:p>
    <w:p>
      <w:pPr>
        <w:widowControl/>
        <w:spacing w:line="360" w:lineRule="auto"/>
        <w:ind w:firstLine="480" w:firstLineChars="200"/>
        <w:rPr>
          <w:rFonts w:ascii="仿宋_GB2312" w:hAnsi="仿宋" w:eastAsia="仿宋_GB2312" w:cs="宋体"/>
          <w:kern w:val="0"/>
          <w:sz w:val="24"/>
          <w:highlight w:val="none"/>
        </w:rPr>
      </w:pPr>
      <w:r>
        <w:rPr>
          <w:rFonts w:ascii="仿宋_GB2312" w:hAnsi="仿宋" w:eastAsia="仿宋_GB2312"/>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2.投诉人若委托代理人进行投诉的，投诉书应按照要求列明“授权代表”的有关内容，并在附件中提交由</w:t>
      </w:r>
      <w:r>
        <w:rPr>
          <w:rFonts w:hint="eastAsia" w:ascii="仿宋_GB2312" w:hAnsi="仿宋" w:eastAsia="仿宋_GB2312"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highlight w:val="none"/>
        </w:rPr>
      </w:pPr>
      <w:r>
        <w:rPr>
          <w:rFonts w:ascii="仿宋_GB2312" w:hAnsi="仿宋" w:eastAsia="仿宋_GB2312"/>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kern w:val="0"/>
          <w:sz w:val="24"/>
          <w:highlight w:val="none"/>
        </w:rPr>
      </w:pPr>
      <w:r>
        <w:rPr>
          <w:rFonts w:ascii="仿宋_GB2312" w:hAnsi="仿宋" w:eastAsia="仿宋_GB2312"/>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4：</w:t>
      </w:r>
      <w:r>
        <w:rPr>
          <w:rFonts w:hint="eastAsia" w:ascii="仿宋" w:hAnsi="仿宋" w:eastAsia="仿宋"/>
          <w:b/>
          <w:bCs/>
          <w:sz w:val="32"/>
          <w:szCs w:val="32"/>
          <w:highlight w:val="none"/>
        </w:rPr>
        <w:t>业务专用章使用说明函</w:t>
      </w:r>
    </w:p>
    <w:p>
      <w:pPr>
        <w:spacing w:line="360" w:lineRule="auto"/>
        <w:rPr>
          <w:rFonts w:ascii="仿宋" w:hAnsi="仿宋" w:eastAsia="仿宋"/>
          <w:sz w:val="24"/>
          <w:highlight w:val="none"/>
        </w:rPr>
      </w:pPr>
      <w:r>
        <w:rPr>
          <w:rFonts w:hint="eastAsia" w:ascii="仿宋" w:hAnsi="仿宋" w:eastAsia="仿宋" w:cs="仿宋_GB2312"/>
          <w:sz w:val="24"/>
          <w:highlight w:val="none"/>
          <w:u w:val="single"/>
        </w:rPr>
        <w:t>（采购人）、（采购代理机构）</w:t>
      </w:r>
    </w:p>
    <w:p>
      <w:pPr>
        <w:spacing w:line="360" w:lineRule="auto"/>
        <w:ind w:firstLine="480" w:firstLineChars="200"/>
        <w:rPr>
          <w:rFonts w:ascii="仿宋" w:hAnsi="仿宋" w:eastAsia="仿宋" w:cs="宋体"/>
          <w:sz w:val="24"/>
          <w:highlight w:val="none"/>
        </w:rPr>
      </w:pPr>
      <w:r>
        <w:rPr>
          <w:rFonts w:hint="eastAsia" w:ascii="仿宋" w:hAnsi="仿宋" w:eastAsia="仿宋" w:cs="仿宋_GB2312"/>
          <w:kern w:val="0"/>
          <w:sz w:val="24"/>
          <w:highlight w:val="none"/>
          <w:lang w:val="zh-CN"/>
        </w:rPr>
        <w:t>我方</w:t>
      </w:r>
      <w:r>
        <w:rPr>
          <w:rFonts w:ascii="仿宋" w:hAnsi="仿宋" w:eastAsia="仿宋" w:cs="仿宋_GB2312"/>
          <w:kern w:val="0"/>
          <w:sz w:val="24"/>
          <w:highlight w:val="none"/>
          <w:u w:val="single"/>
          <w:lang w:val="zh-CN"/>
        </w:rPr>
        <w:t xml:space="preserve">                         </w:t>
      </w:r>
      <w:r>
        <w:rPr>
          <w:rFonts w:ascii="仿宋" w:hAnsi="仿宋" w:eastAsia="仿宋" w:cs="仿宋_GB2312"/>
          <w:sz w:val="24"/>
          <w:highlight w:val="none"/>
        </w:rPr>
        <w:t>(投标人全称)</w:t>
      </w:r>
      <w:r>
        <w:rPr>
          <w:rFonts w:hint="eastAsia" w:ascii="仿宋" w:hAnsi="仿宋" w:eastAsia="仿宋"/>
          <w:sz w:val="24"/>
          <w:highlight w:val="none"/>
        </w:rPr>
        <w:t>是中华人民共和国依法登记注册的合法企业，</w:t>
      </w:r>
      <w:r>
        <w:rPr>
          <w:rFonts w:hint="eastAsia" w:ascii="仿宋" w:hAnsi="仿宋" w:eastAsia="仿宋" w:cs="宋体"/>
          <w:bCs/>
          <w:sz w:val="24"/>
          <w:highlight w:val="none"/>
        </w:rPr>
        <w:t>在参加</w:t>
      </w:r>
      <w:r>
        <w:rPr>
          <w:rFonts w:hint="eastAsia" w:ascii="仿宋" w:hAnsi="仿宋" w:eastAsia="仿宋" w:cs="仿宋_GB2312"/>
          <w:sz w:val="24"/>
          <w:highlight w:val="none"/>
        </w:rPr>
        <w:t>你方组织的</w:t>
      </w:r>
      <w:r>
        <w:rPr>
          <w:rFonts w:hint="eastAsia" w:ascii="仿宋_GB2312" w:hAnsi="仿宋" w:eastAsia="仿宋_GB2312" w:cs="仿宋_GB2312"/>
          <w:sz w:val="24"/>
          <w:highlight w:val="none"/>
        </w:rPr>
        <w:t>（项目名称）项目</w:t>
      </w:r>
      <w:r>
        <w:rPr>
          <w:rFonts w:hint="eastAsia" w:ascii="仿宋" w:hAnsi="仿宋" w:eastAsia="仿宋" w:cs="仿宋_GB2312"/>
          <w:sz w:val="24"/>
          <w:highlight w:val="none"/>
        </w:rPr>
        <w:t>【招标编号：（采购编号）</w:t>
      </w:r>
      <w:r>
        <w:rPr>
          <w:rFonts w:ascii="仿宋" w:hAnsi="仿宋" w:eastAsia="仿宋" w:cs="仿宋_GB2312"/>
          <w:sz w:val="24"/>
          <w:highlight w:val="none"/>
        </w:rPr>
        <w:t>】</w:t>
      </w:r>
      <w:r>
        <w:rPr>
          <w:rFonts w:hint="eastAsia" w:ascii="仿宋" w:hAnsi="仿宋" w:eastAsia="仿宋" w:cs="宋体"/>
          <w:bCs/>
          <w:sz w:val="24"/>
          <w:highlight w:val="none"/>
        </w:rPr>
        <w:t>投标活动中作如下说明：</w:t>
      </w:r>
      <w:r>
        <w:rPr>
          <w:rFonts w:hint="eastAsia" w:ascii="仿宋" w:hAnsi="仿宋" w:eastAsia="仿宋" w:cs="宋体"/>
          <w:sz w:val="24"/>
          <w:highlight w:val="none"/>
        </w:rPr>
        <w:t>我方所使用的“</w:t>
      </w:r>
      <w:r>
        <w:rPr>
          <w:rFonts w:ascii="仿宋" w:hAnsi="仿宋" w:eastAsia="仿宋" w:cs="仿宋_GB2312"/>
          <w:sz w:val="24"/>
          <w:highlight w:val="none"/>
        </w:rPr>
        <w:t>XX</w:t>
      </w:r>
      <w:r>
        <w:rPr>
          <w:rFonts w:hint="eastAsia" w:ascii="仿宋" w:hAnsi="仿宋" w:eastAsia="仿宋" w:cs="宋体"/>
          <w:sz w:val="24"/>
          <w:highlight w:val="none"/>
        </w:rPr>
        <w:t>专用章”与法定名称章具有同等的法律效力，对使用“</w:t>
      </w:r>
      <w:r>
        <w:rPr>
          <w:rFonts w:ascii="仿宋" w:hAnsi="仿宋" w:eastAsia="仿宋" w:cs="仿宋_GB2312"/>
          <w:sz w:val="24"/>
          <w:highlight w:val="none"/>
        </w:rPr>
        <w:t>XX</w:t>
      </w:r>
      <w:r>
        <w:rPr>
          <w:rFonts w:hint="eastAsia" w:ascii="仿宋" w:hAnsi="仿宋" w:eastAsia="仿宋" w:cs="宋体"/>
          <w:sz w:val="24"/>
          <w:highlight w:val="none"/>
        </w:rPr>
        <w:t>专用章”的行为予以完全承认，并愿意承担相应责任。</w:t>
      </w:r>
      <w:r>
        <w:rPr>
          <w:rFonts w:ascii="仿宋" w:hAnsi="仿宋" w:eastAsia="仿宋" w:cs="宋体"/>
          <w:sz w:val="24"/>
          <w:highlight w:val="none"/>
        </w:rPr>
        <w:t xml:space="preserve">   </w:t>
      </w:r>
    </w:p>
    <w:p>
      <w:pPr>
        <w:spacing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特此说明。</w:t>
      </w: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firstLine="494"/>
        <w:rPr>
          <w:rFonts w:ascii="仿宋" w:hAnsi="仿宋" w:eastAsia="仿宋" w:cs="宋体"/>
          <w:sz w:val="24"/>
          <w:highlight w:val="none"/>
        </w:rPr>
      </w:pPr>
    </w:p>
    <w:p>
      <w:pPr>
        <w:spacing w:line="360" w:lineRule="auto"/>
        <w:ind w:right="480" w:firstLine="4080" w:firstLineChars="1700"/>
        <w:rPr>
          <w:rFonts w:ascii="仿宋" w:hAnsi="仿宋" w:eastAsia="仿宋" w:cs="宋体"/>
          <w:sz w:val="24"/>
          <w:highlight w:val="none"/>
        </w:rPr>
      </w:pPr>
      <w:r>
        <w:rPr>
          <w:rFonts w:hint="eastAsia" w:ascii="仿宋" w:hAnsi="仿宋" w:eastAsia="仿宋" w:cs="宋体"/>
          <w:sz w:val="24"/>
          <w:highlight w:val="none"/>
        </w:rPr>
        <w:t>投标单位（法定名称章）：</w:t>
      </w:r>
    </w:p>
    <w:p>
      <w:pPr>
        <w:ind w:right="1440" w:firstLine="494"/>
        <w:jc w:val="center"/>
        <w:rPr>
          <w:rFonts w:ascii="仿宋" w:hAnsi="仿宋" w:eastAsia="仿宋" w:cs="宋体"/>
          <w:sz w:val="24"/>
          <w:highlight w:val="none"/>
        </w:rPr>
      </w:pPr>
      <w:r>
        <w:rPr>
          <w:rFonts w:ascii="仿宋" w:hAnsi="仿宋" w:eastAsia="仿宋" w:cs="宋体"/>
          <w:sz w:val="24"/>
          <w:highlight w:val="none"/>
        </w:rPr>
        <w:t xml:space="preserve">                              日期：       年     月     日</w:t>
      </w:r>
    </w:p>
    <w:p>
      <w:pPr>
        <w:rPr>
          <w:rFonts w:ascii="仿宋" w:hAnsi="仿宋" w:eastAsia="仿宋" w:cs="宋体"/>
          <w:sz w:val="24"/>
          <w:highlight w:val="none"/>
        </w:rPr>
      </w:pPr>
      <w:r>
        <w:rPr>
          <w:rFonts w:hint="eastAsia" w:ascii="仿宋" w:hAnsi="仿宋" w:eastAsia="仿宋" w:cs="宋体"/>
          <w:b/>
          <w:bCs/>
          <w:sz w:val="24"/>
          <w:highlight w:val="none"/>
        </w:rPr>
        <w:t>附：</w:t>
      </w:r>
    </w:p>
    <w:p>
      <w:pPr>
        <w:spacing w:line="360" w:lineRule="auto"/>
        <w:rPr>
          <w:rFonts w:ascii="仿宋" w:hAnsi="仿宋" w:eastAsia="仿宋"/>
          <w:bCs/>
          <w:sz w:val="24"/>
          <w:highlight w:val="none"/>
        </w:rPr>
      </w:pPr>
      <w:r>
        <w:rPr>
          <w:rFonts w:ascii="仿宋" w:hAnsi="仿宋" w:eastAsia="仿宋"/>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path/>
            <v:fill focussize="0,0"/>
            <v:stroke miterlimit="2"/>
            <v:imagedata o:title=""/>
            <o:lock v:ext="edit"/>
          </v:rect>
        </w:pict>
      </w:r>
      <w:r>
        <w:rPr>
          <w:rFonts w:ascii="仿宋" w:hAnsi="仿宋" w:eastAsia="仿宋"/>
          <w:b/>
          <w:bCs/>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path/>
            <v:fill focussize="0,0"/>
            <v:stroke miterlimit="2"/>
            <v:imagedata o:title=""/>
            <o:lock v:ext="edit"/>
          </v:rect>
        </w:pict>
      </w:r>
      <w:r>
        <w:rPr>
          <w:rFonts w:hint="eastAsia" w:ascii="仿宋" w:hAnsi="仿宋" w:eastAsia="仿宋" w:cs="宋体"/>
          <w:sz w:val="24"/>
          <w:highlight w:val="none"/>
        </w:rPr>
        <w:t>投标单位法定名称章（印模）</w:t>
      </w:r>
      <w:r>
        <w:rPr>
          <w:rFonts w:ascii="仿宋" w:hAnsi="仿宋" w:eastAsia="仿宋" w:cs="宋体"/>
          <w:sz w:val="24"/>
          <w:highlight w:val="none"/>
        </w:rPr>
        <w:t xml:space="preserve">                </w:t>
      </w:r>
      <w:r>
        <w:rPr>
          <w:rFonts w:hint="eastAsia" w:ascii="仿宋" w:hAnsi="仿宋" w:eastAsia="仿宋" w:cs="宋体"/>
          <w:sz w:val="24"/>
          <w:highlight w:val="none"/>
        </w:rPr>
        <w:t>投标单位“</w:t>
      </w:r>
      <w:r>
        <w:rPr>
          <w:rFonts w:ascii="仿宋" w:hAnsi="仿宋" w:eastAsia="仿宋" w:cs="仿宋_GB2312"/>
          <w:sz w:val="24"/>
          <w:highlight w:val="none"/>
        </w:rPr>
        <w:t>XX</w:t>
      </w:r>
      <w:r>
        <w:rPr>
          <w:rFonts w:hint="eastAsia" w:ascii="仿宋" w:hAnsi="仿宋" w:eastAsia="仿宋" w:cs="宋体"/>
          <w:sz w:val="24"/>
          <w:highlight w:val="none"/>
        </w:rPr>
        <w:t>专用章”（印模）</w:t>
      </w: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spacing w:val="6"/>
          <w:sz w:val="32"/>
          <w:szCs w:val="32"/>
          <w:highlight w:val="none"/>
        </w:rPr>
      </w:pPr>
    </w:p>
    <w:p>
      <w:pPr>
        <w:autoSpaceDE w:val="0"/>
        <w:autoSpaceDN w:val="0"/>
        <w:jc w:val="center"/>
        <w:rPr>
          <w:rFonts w:ascii="仿宋" w:hAnsi="仿宋" w:eastAsia="仿宋"/>
          <w:b/>
          <w:bCs/>
          <w:sz w:val="32"/>
          <w:szCs w:val="32"/>
          <w:highlight w:val="none"/>
        </w:rPr>
      </w:pPr>
      <w:r>
        <w:rPr>
          <w:rFonts w:hint="eastAsia" w:ascii="仿宋" w:hAnsi="仿宋" w:eastAsia="仿宋"/>
          <w:b/>
          <w:spacing w:val="6"/>
          <w:sz w:val="32"/>
          <w:szCs w:val="32"/>
          <w:highlight w:val="none"/>
        </w:rPr>
        <w:t>附件</w:t>
      </w:r>
      <w:r>
        <w:rPr>
          <w:rFonts w:ascii="仿宋" w:hAnsi="仿宋" w:eastAsia="仿宋"/>
          <w:b/>
          <w:spacing w:val="6"/>
          <w:sz w:val="32"/>
          <w:szCs w:val="32"/>
          <w:highlight w:val="none"/>
        </w:rPr>
        <w:t>5</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_GB2312"/>
          <w:sz w:val="24"/>
          <w:highlight w:val="none"/>
          <w:u w:val="single"/>
        </w:rPr>
      </w:pPr>
    </w:p>
    <w:p>
      <w:pPr>
        <w:spacing w:line="360" w:lineRule="auto"/>
        <w:jc w:val="center"/>
        <w:rPr>
          <w:rFonts w:ascii="仿宋_GB2312" w:hAnsi="宋体" w:eastAsia="仿宋_GB2312"/>
          <w:b/>
          <w:sz w:val="32"/>
          <w:szCs w:val="32"/>
          <w:highlight w:val="none"/>
        </w:rPr>
      </w:pPr>
      <w:r>
        <w:rPr>
          <w:rFonts w:hint="eastAsia" w:ascii="仿宋_GB2312" w:hAnsi="仿宋" w:eastAsia="仿宋_GB2312" w:cs="仿宋_GB2312"/>
          <w:b/>
          <w:sz w:val="32"/>
          <w:szCs w:val="32"/>
          <w:highlight w:val="none"/>
        </w:rPr>
        <w:t>中小企业声明函</w:t>
      </w:r>
      <w:r>
        <w:rPr>
          <w:rFonts w:hint="eastAsia" w:ascii="仿宋_GB2312" w:hAnsi="宋体" w:eastAsia="仿宋_GB2312"/>
          <w:b/>
          <w:sz w:val="32"/>
          <w:szCs w:val="32"/>
          <w:highlight w:val="none"/>
        </w:rPr>
        <w:t>（服务）</w:t>
      </w:r>
    </w:p>
    <w:p>
      <w:pPr>
        <w:spacing w:line="360" w:lineRule="auto"/>
        <w:rPr>
          <w:rFonts w:ascii="仿宋_GB2312" w:hAnsi="仿宋" w:eastAsia="仿宋_GB2312"/>
          <w:highlight w:val="none"/>
        </w:rPr>
      </w:pPr>
    </w:p>
    <w:p>
      <w:pPr>
        <w:spacing w:line="360" w:lineRule="auto"/>
        <w:ind w:firstLine="360" w:firstLineChars="150"/>
        <w:jc w:val="left"/>
        <w:rPr>
          <w:rFonts w:ascii="仿宋_GB2312" w:hAnsi="宋体" w:eastAsia="仿宋_GB2312"/>
          <w:sz w:val="24"/>
          <w:highlight w:val="none"/>
        </w:rPr>
      </w:pPr>
      <w:r>
        <w:rPr>
          <w:rFonts w:hint="eastAsia" w:ascii="仿宋_GB2312" w:hAnsi="宋体" w:eastAsia="仿宋_GB2312"/>
          <w:sz w:val="24"/>
          <w:highlight w:val="none"/>
        </w:rPr>
        <w:t>本公司（郑重声明，根据《政府采购促进中小企业发展管理办法》（财库﹝</w:t>
      </w:r>
      <w:r>
        <w:rPr>
          <w:rFonts w:ascii="仿宋_GB2312" w:hAnsi="宋体" w:eastAsia="仿宋_GB2312"/>
          <w:sz w:val="24"/>
          <w:highlight w:val="none"/>
        </w:rPr>
        <w:t xml:space="preserve">2020﹞46 </w:t>
      </w:r>
      <w:r>
        <w:rPr>
          <w:rFonts w:hint="eastAsia" w:ascii="仿宋_GB2312" w:hAnsi="宋体" w:eastAsia="仿宋_GB2312"/>
          <w:sz w:val="24"/>
          <w:highlight w:val="none"/>
        </w:rPr>
        <w:t>号）的规定，本公司参加</w:t>
      </w:r>
      <w:r>
        <w:rPr>
          <w:rFonts w:hint="eastAsia" w:ascii="仿宋_GB2312" w:hAnsi="宋体" w:eastAsia="仿宋_GB2312"/>
          <w:sz w:val="24"/>
          <w:highlight w:val="none"/>
          <w:u w:val="single"/>
        </w:rPr>
        <w:t>杭州西湖博物馆总馆(西湖学研究院、杭州西湖风景名胜区网宣中心)</w:t>
      </w:r>
      <w:r>
        <w:rPr>
          <w:rFonts w:hint="eastAsia" w:ascii="仿宋_GB2312" w:hAnsi="宋体" w:eastAsia="仿宋_GB2312"/>
          <w:sz w:val="24"/>
          <w:highlight w:val="none"/>
        </w:rPr>
        <w:t>的</w:t>
      </w:r>
      <w:r>
        <w:rPr>
          <w:rFonts w:hint="eastAsia" w:ascii="仿宋_GB2312" w:hAnsi="宋体" w:eastAsia="仿宋_GB2312"/>
          <w:sz w:val="24"/>
          <w:highlight w:val="none"/>
          <w:u w:val="single"/>
        </w:rPr>
        <w:t>杭州西湖博物馆总馆安保服务项目</w:t>
      </w:r>
      <w:r>
        <w:rPr>
          <w:rFonts w:hint="eastAsia" w:ascii="仿宋_GB2312" w:hAnsi="宋体" w:eastAsia="仿宋_GB2312"/>
          <w:sz w:val="24"/>
          <w:highlight w:val="none"/>
        </w:rPr>
        <w:t>采购活动，服务全部由符合政策要求的中小企业承接。相关企业的具体情况如下：</w:t>
      </w:r>
    </w:p>
    <w:p>
      <w:pPr>
        <w:spacing w:line="360" w:lineRule="auto"/>
        <w:ind w:firstLine="420" w:firstLineChars="200"/>
        <w:jc w:val="left"/>
        <w:rPr>
          <w:rFonts w:ascii="仿宋_GB2312" w:hAnsi="宋体" w:eastAsia="仿宋_GB2312"/>
          <w:sz w:val="24"/>
          <w:highlight w:val="none"/>
        </w:rPr>
      </w:pPr>
      <w:r>
        <w:rPr>
          <w:highlight w:val="none"/>
        </w:rPr>
        <w:t xml:space="preserve"> </w:t>
      </w:r>
      <w:r>
        <w:rPr>
          <w:rFonts w:hint="eastAsia" w:ascii="仿宋_GB2312" w:hAnsi="宋体" w:eastAsia="仿宋_GB2312"/>
          <w:sz w:val="24"/>
          <w:highlight w:val="none"/>
          <w:u w:val="single"/>
        </w:rPr>
        <w:t>杭州西湖博物馆总馆安保服务项目</w:t>
      </w:r>
      <w:r>
        <w:rPr>
          <w:rFonts w:hint="eastAsia" w:ascii="仿宋_GB2312" w:hAnsi="宋体" w:eastAsia="仿宋_GB2312"/>
          <w:sz w:val="24"/>
          <w:highlight w:val="none"/>
        </w:rPr>
        <w:t>，属于</w:t>
      </w:r>
      <w:r>
        <w:rPr>
          <w:rFonts w:hint="eastAsia" w:ascii="仿宋_GB2312" w:hAnsi="宋体" w:eastAsia="仿宋_GB2312"/>
          <w:sz w:val="24"/>
          <w:highlight w:val="none"/>
          <w:u w:val="single"/>
        </w:rPr>
        <w:t>租赁和商务服务业</w:t>
      </w:r>
      <w:r>
        <w:rPr>
          <w:rFonts w:ascii="仿宋_GB2312" w:hAnsi="宋体" w:eastAsia="仿宋_GB2312"/>
          <w:sz w:val="24"/>
          <w:highlight w:val="none"/>
        </w:rPr>
        <w:t xml:space="preserve">；承接企业为 </w:t>
      </w:r>
      <w:r>
        <w:rPr>
          <w:rFonts w:hint="eastAsia" w:ascii="仿宋_GB2312" w:hAnsi="宋体" w:eastAsia="仿宋_GB2312"/>
          <w:sz w:val="24"/>
          <w:highlight w:val="none"/>
          <w:u w:val="single"/>
        </w:rPr>
        <w:t>（企业名称）</w:t>
      </w:r>
      <w:r>
        <w:rPr>
          <w:rFonts w:ascii="仿宋_GB2312" w:hAnsi="宋体" w:eastAsia="仿宋_GB2312"/>
          <w:sz w:val="24"/>
          <w:highlight w:val="none"/>
        </w:rPr>
        <w:t xml:space="preserve"> ，从业人员</w:t>
      </w:r>
      <w:r>
        <w:rPr>
          <w:rFonts w:ascii="仿宋_GB2312" w:hAnsi="宋体" w:eastAsia="仿宋_GB2312"/>
          <w:sz w:val="24"/>
          <w:highlight w:val="none"/>
          <w:u w:val="single"/>
        </w:rPr>
        <w:t xml:space="preserve">   </w:t>
      </w:r>
      <w:r>
        <w:rPr>
          <w:rFonts w:hint="eastAsia" w:ascii="仿宋_GB2312" w:hAnsi="宋体" w:eastAsia="仿宋_GB2312"/>
          <w:sz w:val="24"/>
          <w:highlight w:val="none"/>
        </w:rPr>
        <w:t>人，营业收入为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万元，资产总额为</w:t>
      </w:r>
      <w:r>
        <w:rPr>
          <w:rFonts w:ascii="仿宋_GB2312" w:hAnsi="宋体" w:eastAsia="仿宋_GB2312"/>
          <w:sz w:val="24"/>
          <w:highlight w:val="none"/>
          <w:u w:val="single"/>
        </w:rPr>
        <w:t xml:space="preserve">   </w:t>
      </w:r>
      <w:r>
        <w:rPr>
          <w:rFonts w:hint="eastAsia" w:ascii="仿宋_GB2312" w:hAnsi="宋体" w:eastAsia="仿宋_GB2312"/>
          <w:sz w:val="24"/>
          <w:highlight w:val="none"/>
        </w:rPr>
        <w:t>万元属于</w:t>
      </w:r>
      <w:r>
        <w:rPr>
          <w:rFonts w:ascii="仿宋_GB2312" w:hAnsi="宋体" w:eastAsia="仿宋_GB2312"/>
          <w:sz w:val="24"/>
          <w:highlight w:val="none"/>
          <w:u w:val="single"/>
        </w:rPr>
        <w:t xml:space="preserve"> （中型企业、小型企业、微型企业） </w:t>
      </w:r>
      <w:r>
        <w:rPr>
          <w:rFonts w:hint="eastAsia" w:ascii="仿宋_GB2312" w:hAnsi="宋体" w:eastAsia="仿宋_GB2312"/>
          <w:sz w:val="24"/>
          <w:highlight w:val="none"/>
        </w:rPr>
        <w:t>；</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highlight w:val="none"/>
        </w:rPr>
      </w:pPr>
      <w:r>
        <w:rPr>
          <w:rFonts w:hint="eastAsia" w:ascii="仿宋_GB2312" w:hAnsi="宋体" w:eastAsia="仿宋_GB2312"/>
          <w:sz w:val="24"/>
          <w:highlight w:val="none"/>
        </w:rPr>
        <w:t>本企业对上述声明内容的真实性负责。如有虚假，将依法承担相应责任。</w:t>
      </w:r>
    </w:p>
    <w:p>
      <w:pPr>
        <w:spacing w:line="360" w:lineRule="auto"/>
        <w:ind w:right="1760"/>
        <w:jc w:val="right"/>
        <w:rPr>
          <w:rFonts w:ascii="仿宋_GB2312" w:hAnsi="宋体" w:eastAsia="仿宋_GB2312"/>
          <w:sz w:val="24"/>
          <w:highlight w:val="none"/>
        </w:rPr>
      </w:pPr>
      <w:r>
        <w:rPr>
          <w:rFonts w:hint="eastAsia" w:ascii="仿宋_GB2312" w:hAnsi="仿宋" w:eastAsia="仿宋_GB2312" w:cs="仿宋_GB2312"/>
          <w:sz w:val="24"/>
          <w:highlight w:val="none"/>
        </w:rPr>
        <w:t>投标人</w:t>
      </w:r>
      <w:r>
        <w:rPr>
          <w:rFonts w:hint="eastAsia" w:ascii="仿宋_GB2312" w:hAnsi="宋体" w:eastAsia="仿宋_GB2312"/>
          <w:sz w:val="24"/>
          <w:highlight w:val="none"/>
        </w:rPr>
        <w:t>名称（</w:t>
      </w:r>
      <w:r>
        <w:rPr>
          <w:rFonts w:hint="eastAsia" w:ascii="仿宋_GB2312" w:hAnsi="仿宋" w:eastAsia="仿宋_GB2312" w:cs="仿宋_GB2312"/>
          <w:sz w:val="24"/>
          <w:highlight w:val="none"/>
        </w:rPr>
        <w:t>电子签名</w:t>
      </w:r>
      <w:r>
        <w:rPr>
          <w:rFonts w:hint="eastAsia" w:ascii="仿宋_GB2312" w:hAnsi="宋体" w:eastAsia="仿宋_GB2312"/>
          <w:sz w:val="24"/>
          <w:highlight w:val="none"/>
        </w:rPr>
        <w:t>）：</w:t>
      </w:r>
    </w:p>
    <w:p>
      <w:pPr>
        <w:spacing w:line="360" w:lineRule="auto"/>
        <w:ind w:right="1120" w:firstLine="4680" w:firstLineChars="1950"/>
        <w:rPr>
          <w:rFonts w:ascii="仿宋_GB2312" w:hAnsi="宋体" w:eastAsia="仿宋_GB2312"/>
          <w:sz w:val="24"/>
          <w:highlight w:val="none"/>
        </w:rPr>
      </w:pPr>
      <w:r>
        <w:rPr>
          <w:rFonts w:hint="eastAsia" w:ascii="仿宋_GB2312" w:hAnsi="宋体" w:eastAsia="仿宋_GB2312"/>
          <w:sz w:val="24"/>
          <w:highlight w:val="none"/>
        </w:rPr>
        <w:t>日</w:t>
      </w:r>
      <w:r>
        <w:rPr>
          <w:rFonts w:ascii="仿宋_GB2312" w:hAnsi="宋体" w:eastAsia="仿宋_GB2312"/>
          <w:sz w:val="24"/>
          <w:highlight w:val="none"/>
        </w:rPr>
        <w:t xml:space="preserve"> </w:t>
      </w:r>
      <w:r>
        <w:rPr>
          <w:rFonts w:hint="eastAsia" w:ascii="仿宋_GB2312" w:hAnsi="宋体" w:eastAsia="仿宋_GB2312"/>
          <w:sz w:val="24"/>
          <w:highlight w:val="none"/>
        </w:rPr>
        <w:t>期：</w:t>
      </w:r>
    </w:p>
    <w:p>
      <w:pPr>
        <w:spacing w:line="360" w:lineRule="auto"/>
        <w:ind w:firstLine="310" w:firstLineChars="147"/>
        <w:jc w:val="left"/>
        <w:rPr>
          <w:rFonts w:ascii="仿宋_GB2312" w:hAnsi="宋体" w:eastAsia="仿宋_GB2312"/>
          <w:b/>
          <w:szCs w:val="21"/>
          <w:highlight w:val="none"/>
        </w:rPr>
      </w:pPr>
      <w:r>
        <w:rPr>
          <w:rFonts w:hint="eastAsia" w:ascii="仿宋_GB2312" w:hAnsi="宋体" w:eastAsia="仿宋_GB2312"/>
          <w:b/>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highlight w:val="none"/>
        </w:rPr>
      </w:pPr>
    </w:p>
    <w:p>
      <w:pPr>
        <w:spacing w:line="360" w:lineRule="auto"/>
        <w:ind w:right="420"/>
        <w:rPr>
          <w:rFonts w:ascii="仿宋_GB2312" w:hAnsi="仿宋" w:eastAsia="仿宋_GB2312" w:cs="仿宋_GB2312"/>
          <w:sz w:val="24"/>
          <w:highlight w:val="none"/>
        </w:rPr>
      </w:pPr>
      <w:r>
        <w:rPr>
          <w:rFonts w:ascii="仿宋_GB2312" w:hAnsi="仿宋" w:eastAsia="仿宋_GB2312" w:cs="仿宋_GB2312"/>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p>
      <w:pPr>
        <w:spacing w:line="360" w:lineRule="auto"/>
        <w:jc w:val="center"/>
        <w:rPr>
          <w:rFonts w:ascii="仿宋_GB2312" w:hAnsi="仿宋" w:eastAsia="仿宋_GB2312" w:cs="仿宋_GB2312"/>
          <w:b/>
          <w:sz w:val="32"/>
          <w:szCs w:val="32"/>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50</w:t>
    </w:r>
    <w:r>
      <w:rPr>
        <w:rFonts w:hint="eastAsia" w:ascii="仿宋_GB2312" w:eastAsia="仿宋_GB2312"/>
        <w:kern w:val="0"/>
        <w:szCs w:val="21"/>
      </w:rPr>
      <w:fldChar w:fldCharType="end"/>
    </w:r>
    <w:bookmarkStart w:id="397" w:name="_Toc91899912"/>
    <w:bookmarkStart w:id="398" w:name="_Toc164085800"/>
    <w:bookmarkStart w:id="399" w:name="_Toc36110187"/>
    <w:bookmarkStart w:id="400" w:name="_Toc13184514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69B2C"/>
    <w:multiLevelType w:val="singleLevel"/>
    <w:tmpl w:val="B0669B2C"/>
    <w:lvl w:ilvl="0" w:tentative="0">
      <w:start w:val="5"/>
      <w:numFmt w:val="chineseCounting"/>
      <w:suff w:val="nothing"/>
      <w:lvlText w:val="%1、"/>
      <w:lvlJc w:val="left"/>
      <w:rPr>
        <w:rFonts w:hint="eastAsia"/>
      </w:rPr>
    </w:lvl>
  </w:abstractNum>
  <w:abstractNum w:abstractNumId="1">
    <w:nsid w:val="B64C23FA"/>
    <w:multiLevelType w:val="singleLevel"/>
    <w:tmpl w:val="B64C23FA"/>
    <w:lvl w:ilvl="0" w:tentative="0">
      <w:start w:val="6"/>
      <w:numFmt w:val="chineseCounting"/>
      <w:suff w:val="space"/>
      <w:lvlText w:val="第%1条"/>
      <w:lvlJc w:val="left"/>
      <w:rPr>
        <w:rFonts w:hint="eastAsia"/>
      </w:rPr>
    </w:lvl>
  </w:abstractNum>
  <w:abstractNum w:abstractNumId="2">
    <w:nsid w:val="0F76A936"/>
    <w:multiLevelType w:val="singleLevel"/>
    <w:tmpl w:val="0F76A936"/>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3MTA3NjAxNjQ2ODdiMzdjYWVlODMzNWU3NDEzNmMifQ=="/>
  </w:docVars>
  <w:rsids>
    <w:rsidRoot w:val="00172A27"/>
    <w:rsid w:val="00000451"/>
    <w:rsid w:val="0000108B"/>
    <w:rsid w:val="0000133D"/>
    <w:rsid w:val="00001509"/>
    <w:rsid w:val="000032B2"/>
    <w:rsid w:val="0000363B"/>
    <w:rsid w:val="00003818"/>
    <w:rsid w:val="000058BD"/>
    <w:rsid w:val="00005C5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7DC"/>
    <w:rsid w:val="00020B5F"/>
    <w:rsid w:val="00020F55"/>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03C"/>
    <w:rsid w:val="00044C1D"/>
    <w:rsid w:val="00044F48"/>
    <w:rsid w:val="00047354"/>
    <w:rsid w:val="00047698"/>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BAC"/>
    <w:rsid w:val="00056145"/>
    <w:rsid w:val="00056402"/>
    <w:rsid w:val="00056791"/>
    <w:rsid w:val="00056868"/>
    <w:rsid w:val="00056876"/>
    <w:rsid w:val="000568DF"/>
    <w:rsid w:val="000578A3"/>
    <w:rsid w:val="00057D4C"/>
    <w:rsid w:val="00060C48"/>
    <w:rsid w:val="00061A3C"/>
    <w:rsid w:val="00061C48"/>
    <w:rsid w:val="000641C0"/>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CF7"/>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8F1"/>
    <w:rsid w:val="00091B37"/>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EC5"/>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938"/>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570"/>
    <w:rsid w:val="000D2834"/>
    <w:rsid w:val="000D2CAC"/>
    <w:rsid w:val="000D2E8A"/>
    <w:rsid w:val="000D34C8"/>
    <w:rsid w:val="000D34FD"/>
    <w:rsid w:val="000D3BE5"/>
    <w:rsid w:val="000D3C37"/>
    <w:rsid w:val="000D453A"/>
    <w:rsid w:val="000D4AFA"/>
    <w:rsid w:val="000D5EA6"/>
    <w:rsid w:val="000D5F00"/>
    <w:rsid w:val="000D6C9F"/>
    <w:rsid w:val="000D6E3B"/>
    <w:rsid w:val="000D6F30"/>
    <w:rsid w:val="000D71A8"/>
    <w:rsid w:val="000D74E4"/>
    <w:rsid w:val="000D7C9D"/>
    <w:rsid w:val="000D7CE0"/>
    <w:rsid w:val="000E2785"/>
    <w:rsid w:val="000E27BB"/>
    <w:rsid w:val="000E3153"/>
    <w:rsid w:val="000E3484"/>
    <w:rsid w:val="000E386F"/>
    <w:rsid w:val="000E4051"/>
    <w:rsid w:val="000E4139"/>
    <w:rsid w:val="000E4765"/>
    <w:rsid w:val="000E5408"/>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D1B"/>
    <w:rsid w:val="00103EBD"/>
    <w:rsid w:val="00104699"/>
    <w:rsid w:val="00104E5B"/>
    <w:rsid w:val="00104EEC"/>
    <w:rsid w:val="001050DC"/>
    <w:rsid w:val="00105482"/>
    <w:rsid w:val="001056A5"/>
    <w:rsid w:val="00105BA9"/>
    <w:rsid w:val="00105FE1"/>
    <w:rsid w:val="00106AAA"/>
    <w:rsid w:val="00106E0E"/>
    <w:rsid w:val="0010749A"/>
    <w:rsid w:val="001078A5"/>
    <w:rsid w:val="00107BBD"/>
    <w:rsid w:val="00107BC7"/>
    <w:rsid w:val="00110033"/>
    <w:rsid w:val="001102B5"/>
    <w:rsid w:val="00110C66"/>
    <w:rsid w:val="00111C7D"/>
    <w:rsid w:val="00112038"/>
    <w:rsid w:val="001127FF"/>
    <w:rsid w:val="00112B0B"/>
    <w:rsid w:val="00112EB5"/>
    <w:rsid w:val="0011383E"/>
    <w:rsid w:val="00113EE3"/>
    <w:rsid w:val="001143EF"/>
    <w:rsid w:val="00114847"/>
    <w:rsid w:val="0011585B"/>
    <w:rsid w:val="00115B1A"/>
    <w:rsid w:val="001160FF"/>
    <w:rsid w:val="001164F4"/>
    <w:rsid w:val="001168F8"/>
    <w:rsid w:val="00117422"/>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B70"/>
    <w:rsid w:val="00136E33"/>
    <w:rsid w:val="0013773D"/>
    <w:rsid w:val="0014042F"/>
    <w:rsid w:val="00140693"/>
    <w:rsid w:val="00140D7A"/>
    <w:rsid w:val="00141D28"/>
    <w:rsid w:val="00141DFE"/>
    <w:rsid w:val="00142185"/>
    <w:rsid w:val="001421FD"/>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E5F"/>
    <w:rsid w:val="00157432"/>
    <w:rsid w:val="00161185"/>
    <w:rsid w:val="001620BA"/>
    <w:rsid w:val="001623AC"/>
    <w:rsid w:val="00162BAA"/>
    <w:rsid w:val="00162CEB"/>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6E3E"/>
    <w:rsid w:val="00177063"/>
    <w:rsid w:val="00180A47"/>
    <w:rsid w:val="001827B7"/>
    <w:rsid w:val="001827EF"/>
    <w:rsid w:val="00182982"/>
    <w:rsid w:val="001829BC"/>
    <w:rsid w:val="00182D68"/>
    <w:rsid w:val="00183031"/>
    <w:rsid w:val="00183468"/>
    <w:rsid w:val="0018397E"/>
    <w:rsid w:val="00184466"/>
    <w:rsid w:val="00184DBF"/>
    <w:rsid w:val="001852A8"/>
    <w:rsid w:val="00185E76"/>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4F3"/>
    <w:rsid w:val="001A473A"/>
    <w:rsid w:val="001A4ED9"/>
    <w:rsid w:val="001A5785"/>
    <w:rsid w:val="001A5FD7"/>
    <w:rsid w:val="001A66A6"/>
    <w:rsid w:val="001A69FF"/>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B7B"/>
    <w:rsid w:val="001D5281"/>
    <w:rsid w:val="001E17E3"/>
    <w:rsid w:val="001E2052"/>
    <w:rsid w:val="001E2492"/>
    <w:rsid w:val="001E257C"/>
    <w:rsid w:val="001E286C"/>
    <w:rsid w:val="001E2F34"/>
    <w:rsid w:val="001E35EE"/>
    <w:rsid w:val="001E4B2C"/>
    <w:rsid w:val="001E507F"/>
    <w:rsid w:val="001E56C2"/>
    <w:rsid w:val="001E59FB"/>
    <w:rsid w:val="001E7F81"/>
    <w:rsid w:val="001F0637"/>
    <w:rsid w:val="001F0FD1"/>
    <w:rsid w:val="001F1526"/>
    <w:rsid w:val="001F19D1"/>
    <w:rsid w:val="001F1CB9"/>
    <w:rsid w:val="001F1F18"/>
    <w:rsid w:val="001F2F92"/>
    <w:rsid w:val="001F35DC"/>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669"/>
    <w:rsid w:val="00217E1F"/>
    <w:rsid w:val="002204BC"/>
    <w:rsid w:val="00220F7B"/>
    <w:rsid w:val="002213CE"/>
    <w:rsid w:val="00221AF7"/>
    <w:rsid w:val="00222494"/>
    <w:rsid w:val="00222775"/>
    <w:rsid w:val="00222A31"/>
    <w:rsid w:val="00222CF6"/>
    <w:rsid w:val="00223825"/>
    <w:rsid w:val="00224037"/>
    <w:rsid w:val="002244E4"/>
    <w:rsid w:val="00224D2A"/>
    <w:rsid w:val="00224D8D"/>
    <w:rsid w:val="0022555A"/>
    <w:rsid w:val="00226238"/>
    <w:rsid w:val="00227214"/>
    <w:rsid w:val="00227DDC"/>
    <w:rsid w:val="0023079F"/>
    <w:rsid w:val="00231034"/>
    <w:rsid w:val="00231135"/>
    <w:rsid w:val="00231B0B"/>
    <w:rsid w:val="00232555"/>
    <w:rsid w:val="00233538"/>
    <w:rsid w:val="00234248"/>
    <w:rsid w:val="0023449F"/>
    <w:rsid w:val="002344F5"/>
    <w:rsid w:val="0023454D"/>
    <w:rsid w:val="00234679"/>
    <w:rsid w:val="002359FC"/>
    <w:rsid w:val="002361C8"/>
    <w:rsid w:val="00236690"/>
    <w:rsid w:val="0023669D"/>
    <w:rsid w:val="00236A42"/>
    <w:rsid w:val="00236DEE"/>
    <w:rsid w:val="0023791B"/>
    <w:rsid w:val="00237EAE"/>
    <w:rsid w:val="00237FA2"/>
    <w:rsid w:val="002401E1"/>
    <w:rsid w:val="002403D5"/>
    <w:rsid w:val="00240C1F"/>
    <w:rsid w:val="00240F55"/>
    <w:rsid w:val="00240F67"/>
    <w:rsid w:val="00241144"/>
    <w:rsid w:val="00241D14"/>
    <w:rsid w:val="00242510"/>
    <w:rsid w:val="00242F79"/>
    <w:rsid w:val="0024415B"/>
    <w:rsid w:val="002446AF"/>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68"/>
    <w:rsid w:val="002903C5"/>
    <w:rsid w:val="0029041B"/>
    <w:rsid w:val="00290A99"/>
    <w:rsid w:val="00290EAF"/>
    <w:rsid w:val="0029159A"/>
    <w:rsid w:val="00291CF1"/>
    <w:rsid w:val="00291DE5"/>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02C"/>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B49"/>
    <w:rsid w:val="002B2C66"/>
    <w:rsid w:val="002B34E3"/>
    <w:rsid w:val="002B51B6"/>
    <w:rsid w:val="002B5AEE"/>
    <w:rsid w:val="002B6177"/>
    <w:rsid w:val="002B650C"/>
    <w:rsid w:val="002B68E6"/>
    <w:rsid w:val="002B6985"/>
    <w:rsid w:val="002B6D7A"/>
    <w:rsid w:val="002B764E"/>
    <w:rsid w:val="002C02BA"/>
    <w:rsid w:val="002C0301"/>
    <w:rsid w:val="002C0326"/>
    <w:rsid w:val="002C0A9F"/>
    <w:rsid w:val="002C1AB3"/>
    <w:rsid w:val="002C1BB7"/>
    <w:rsid w:val="002C1FB3"/>
    <w:rsid w:val="002C2665"/>
    <w:rsid w:val="002C28E1"/>
    <w:rsid w:val="002C327D"/>
    <w:rsid w:val="002C3890"/>
    <w:rsid w:val="002C3A9A"/>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063"/>
    <w:rsid w:val="0030219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81C"/>
    <w:rsid w:val="00311C51"/>
    <w:rsid w:val="00311D56"/>
    <w:rsid w:val="00311D84"/>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E88"/>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9EC"/>
    <w:rsid w:val="00337E18"/>
    <w:rsid w:val="003405AF"/>
    <w:rsid w:val="0034088F"/>
    <w:rsid w:val="003409BD"/>
    <w:rsid w:val="00340B3E"/>
    <w:rsid w:val="003413D2"/>
    <w:rsid w:val="00341525"/>
    <w:rsid w:val="0034257E"/>
    <w:rsid w:val="003429A1"/>
    <w:rsid w:val="003429FC"/>
    <w:rsid w:val="00343050"/>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6DA"/>
    <w:rsid w:val="00350896"/>
    <w:rsid w:val="00350A5A"/>
    <w:rsid w:val="00350C31"/>
    <w:rsid w:val="00350C9F"/>
    <w:rsid w:val="00351391"/>
    <w:rsid w:val="003519CD"/>
    <w:rsid w:val="00351A3A"/>
    <w:rsid w:val="00353167"/>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3828"/>
    <w:rsid w:val="00373BDE"/>
    <w:rsid w:val="00374677"/>
    <w:rsid w:val="0037510C"/>
    <w:rsid w:val="00375850"/>
    <w:rsid w:val="0037632F"/>
    <w:rsid w:val="00377504"/>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B90"/>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488A"/>
    <w:rsid w:val="003A4C05"/>
    <w:rsid w:val="003A5378"/>
    <w:rsid w:val="003A553C"/>
    <w:rsid w:val="003A56DF"/>
    <w:rsid w:val="003A6008"/>
    <w:rsid w:val="003A703F"/>
    <w:rsid w:val="003A7E2B"/>
    <w:rsid w:val="003A7E40"/>
    <w:rsid w:val="003B0336"/>
    <w:rsid w:val="003B0A3A"/>
    <w:rsid w:val="003B0D79"/>
    <w:rsid w:val="003B147F"/>
    <w:rsid w:val="003B2930"/>
    <w:rsid w:val="003B31A7"/>
    <w:rsid w:val="003B4479"/>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4A"/>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B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67B"/>
    <w:rsid w:val="003E6E00"/>
    <w:rsid w:val="003E7111"/>
    <w:rsid w:val="003E7940"/>
    <w:rsid w:val="003F01BD"/>
    <w:rsid w:val="003F0465"/>
    <w:rsid w:val="003F0486"/>
    <w:rsid w:val="003F048E"/>
    <w:rsid w:val="003F09FA"/>
    <w:rsid w:val="003F0AFF"/>
    <w:rsid w:val="003F1AA2"/>
    <w:rsid w:val="003F21E7"/>
    <w:rsid w:val="003F25DE"/>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C36"/>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A46"/>
    <w:rsid w:val="00431A2A"/>
    <w:rsid w:val="004322EC"/>
    <w:rsid w:val="00432ECA"/>
    <w:rsid w:val="0043338B"/>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E9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D6"/>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FC"/>
    <w:rsid w:val="00493E6A"/>
    <w:rsid w:val="0049418F"/>
    <w:rsid w:val="00494742"/>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803"/>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BB8"/>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124"/>
    <w:rsid w:val="004C3592"/>
    <w:rsid w:val="004C45C8"/>
    <w:rsid w:val="004C4F8F"/>
    <w:rsid w:val="004C5F4B"/>
    <w:rsid w:val="004C612E"/>
    <w:rsid w:val="004C61B8"/>
    <w:rsid w:val="004C69FE"/>
    <w:rsid w:val="004C6C0A"/>
    <w:rsid w:val="004C6C6D"/>
    <w:rsid w:val="004C77FF"/>
    <w:rsid w:val="004C7DB0"/>
    <w:rsid w:val="004C7FFC"/>
    <w:rsid w:val="004D0223"/>
    <w:rsid w:val="004D0A81"/>
    <w:rsid w:val="004D0C4C"/>
    <w:rsid w:val="004D16A3"/>
    <w:rsid w:val="004D1934"/>
    <w:rsid w:val="004D1E41"/>
    <w:rsid w:val="004D2326"/>
    <w:rsid w:val="004D2E11"/>
    <w:rsid w:val="004D3108"/>
    <w:rsid w:val="004D329C"/>
    <w:rsid w:val="004D34D1"/>
    <w:rsid w:val="004D3E8C"/>
    <w:rsid w:val="004D4523"/>
    <w:rsid w:val="004D4990"/>
    <w:rsid w:val="004D51D6"/>
    <w:rsid w:val="004D5E4C"/>
    <w:rsid w:val="004D6BF2"/>
    <w:rsid w:val="004D6F29"/>
    <w:rsid w:val="004D7BF5"/>
    <w:rsid w:val="004D7C34"/>
    <w:rsid w:val="004D7F9C"/>
    <w:rsid w:val="004E03F4"/>
    <w:rsid w:val="004E068F"/>
    <w:rsid w:val="004E07A8"/>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F83"/>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D35"/>
    <w:rsid w:val="00542F22"/>
    <w:rsid w:val="00543519"/>
    <w:rsid w:val="00543640"/>
    <w:rsid w:val="0054378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74"/>
    <w:rsid w:val="00557031"/>
    <w:rsid w:val="00557F87"/>
    <w:rsid w:val="00560453"/>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5AA"/>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1A7"/>
    <w:rsid w:val="00574E7B"/>
    <w:rsid w:val="00574F36"/>
    <w:rsid w:val="00576B5C"/>
    <w:rsid w:val="005770CC"/>
    <w:rsid w:val="00577769"/>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0FD8"/>
    <w:rsid w:val="00591BA6"/>
    <w:rsid w:val="00592825"/>
    <w:rsid w:val="00594437"/>
    <w:rsid w:val="00594B70"/>
    <w:rsid w:val="00596CFA"/>
    <w:rsid w:val="00596EC6"/>
    <w:rsid w:val="00597237"/>
    <w:rsid w:val="005975CE"/>
    <w:rsid w:val="005A0088"/>
    <w:rsid w:val="005A04F6"/>
    <w:rsid w:val="005A14F0"/>
    <w:rsid w:val="005A161F"/>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DD"/>
    <w:rsid w:val="005C5F77"/>
    <w:rsid w:val="005C6AAB"/>
    <w:rsid w:val="005C6D5D"/>
    <w:rsid w:val="005C6FD0"/>
    <w:rsid w:val="005D01C3"/>
    <w:rsid w:val="005D05FF"/>
    <w:rsid w:val="005D0FB4"/>
    <w:rsid w:val="005D1176"/>
    <w:rsid w:val="005D1747"/>
    <w:rsid w:val="005D1FC4"/>
    <w:rsid w:val="005D266D"/>
    <w:rsid w:val="005D306D"/>
    <w:rsid w:val="005D3188"/>
    <w:rsid w:val="005D3327"/>
    <w:rsid w:val="005D45D0"/>
    <w:rsid w:val="005D4854"/>
    <w:rsid w:val="005D58E6"/>
    <w:rsid w:val="005D5BCF"/>
    <w:rsid w:val="005D65BF"/>
    <w:rsid w:val="005D6D84"/>
    <w:rsid w:val="005D70A1"/>
    <w:rsid w:val="005D74B2"/>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6AB"/>
    <w:rsid w:val="005F5506"/>
    <w:rsid w:val="005F5A0D"/>
    <w:rsid w:val="005F5D57"/>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372"/>
    <w:rsid w:val="0060795F"/>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CBC"/>
    <w:rsid w:val="00650D19"/>
    <w:rsid w:val="00651124"/>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91"/>
    <w:rsid w:val="00667FF0"/>
    <w:rsid w:val="00670C7C"/>
    <w:rsid w:val="00671480"/>
    <w:rsid w:val="006717E7"/>
    <w:rsid w:val="00671FD5"/>
    <w:rsid w:val="006720BC"/>
    <w:rsid w:val="00672906"/>
    <w:rsid w:val="00672C73"/>
    <w:rsid w:val="00673B64"/>
    <w:rsid w:val="0067415F"/>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BA4"/>
    <w:rsid w:val="00685033"/>
    <w:rsid w:val="0068517F"/>
    <w:rsid w:val="00685D65"/>
    <w:rsid w:val="00685FC8"/>
    <w:rsid w:val="00686E80"/>
    <w:rsid w:val="0068790B"/>
    <w:rsid w:val="00687AF2"/>
    <w:rsid w:val="006901AC"/>
    <w:rsid w:val="00690C1E"/>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92A"/>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A24"/>
    <w:rsid w:val="00700D18"/>
    <w:rsid w:val="00701076"/>
    <w:rsid w:val="0070168D"/>
    <w:rsid w:val="00701C36"/>
    <w:rsid w:val="00702F2D"/>
    <w:rsid w:val="0070353F"/>
    <w:rsid w:val="0070415E"/>
    <w:rsid w:val="00704631"/>
    <w:rsid w:val="00704B79"/>
    <w:rsid w:val="00704E7D"/>
    <w:rsid w:val="00705060"/>
    <w:rsid w:val="0070510B"/>
    <w:rsid w:val="00705351"/>
    <w:rsid w:val="00705619"/>
    <w:rsid w:val="00705E93"/>
    <w:rsid w:val="007062AF"/>
    <w:rsid w:val="0070658B"/>
    <w:rsid w:val="007069AE"/>
    <w:rsid w:val="007069D4"/>
    <w:rsid w:val="00706C89"/>
    <w:rsid w:val="007070EF"/>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D12"/>
    <w:rsid w:val="00732FE9"/>
    <w:rsid w:val="00733772"/>
    <w:rsid w:val="00733A43"/>
    <w:rsid w:val="00733AE4"/>
    <w:rsid w:val="00733D5F"/>
    <w:rsid w:val="00734932"/>
    <w:rsid w:val="00735865"/>
    <w:rsid w:val="00735932"/>
    <w:rsid w:val="00735D53"/>
    <w:rsid w:val="0073618A"/>
    <w:rsid w:val="007364A3"/>
    <w:rsid w:val="00736740"/>
    <w:rsid w:val="007378FD"/>
    <w:rsid w:val="007403FE"/>
    <w:rsid w:val="007413EB"/>
    <w:rsid w:val="007413FB"/>
    <w:rsid w:val="00742D32"/>
    <w:rsid w:val="00742E9B"/>
    <w:rsid w:val="00743B3C"/>
    <w:rsid w:val="007444E6"/>
    <w:rsid w:val="0074592C"/>
    <w:rsid w:val="00745C91"/>
    <w:rsid w:val="00746098"/>
    <w:rsid w:val="00746D58"/>
    <w:rsid w:val="00747578"/>
    <w:rsid w:val="00750129"/>
    <w:rsid w:val="007508F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A69"/>
    <w:rsid w:val="00780E86"/>
    <w:rsid w:val="0078108C"/>
    <w:rsid w:val="007811C3"/>
    <w:rsid w:val="00781727"/>
    <w:rsid w:val="007823E8"/>
    <w:rsid w:val="00782CF3"/>
    <w:rsid w:val="00783959"/>
    <w:rsid w:val="00783BA5"/>
    <w:rsid w:val="007844A9"/>
    <w:rsid w:val="00785091"/>
    <w:rsid w:val="0078638C"/>
    <w:rsid w:val="007869F9"/>
    <w:rsid w:val="00786CBB"/>
    <w:rsid w:val="00786D44"/>
    <w:rsid w:val="00786E21"/>
    <w:rsid w:val="0079038E"/>
    <w:rsid w:val="00790EBB"/>
    <w:rsid w:val="00791C6E"/>
    <w:rsid w:val="00791EEF"/>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1C8"/>
    <w:rsid w:val="007A3520"/>
    <w:rsid w:val="007A3604"/>
    <w:rsid w:val="007A3878"/>
    <w:rsid w:val="007A3D85"/>
    <w:rsid w:val="007A3E0D"/>
    <w:rsid w:val="007A436D"/>
    <w:rsid w:val="007A54F6"/>
    <w:rsid w:val="007A55FE"/>
    <w:rsid w:val="007A582C"/>
    <w:rsid w:val="007A58A0"/>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7F0"/>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BFE"/>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644"/>
    <w:rsid w:val="00807F71"/>
    <w:rsid w:val="0081000F"/>
    <w:rsid w:val="00812657"/>
    <w:rsid w:val="00812A1A"/>
    <w:rsid w:val="00812DFF"/>
    <w:rsid w:val="0081362F"/>
    <w:rsid w:val="0081383A"/>
    <w:rsid w:val="0081497F"/>
    <w:rsid w:val="00814B90"/>
    <w:rsid w:val="00814FC7"/>
    <w:rsid w:val="00815F1C"/>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314"/>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0CE"/>
    <w:rsid w:val="0084181B"/>
    <w:rsid w:val="00841F29"/>
    <w:rsid w:val="008425CC"/>
    <w:rsid w:val="00842DC2"/>
    <w:rsid w:val="0084357B"/>
    <w:rsid w:val="008437A2"/>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3C3"/>
    <w:rsid w:val="0086598A"/>
    <w:rsid w:val="00865C3D"/>
    <w:rsid w:val="00865F4C"/>
    <w:rsid w:val="00866453"/>
    <w:rsid w:val="00866E22"/>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3FE8"/>
    <w:rsid w:val="008749BF"/>
    <w:rsid w:val="00875542"/>
    <w:rsid w:val="00875E14"/>
    <w:rsid w:val="0087677E"/>
    <w:rsid w:val="0087712C"/>
    <w:rsid w:val="008776E7"/>
    <w:rsid w:val="00877746"/>
    <w:rsid w:val="00877C5D"/>
    <w:rsid w:val="00880354"/>
    <w:rsid w:val="0088093C"/>
    <w:rsid w:val="00880BC0"/>
    <w:rsid w:val="0088127A"/>
    <w:rsid w:val="00881D59"/>
    <w:rsid w:val="00881F58"/>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13D"/>
    <w:rsid w:val="008A1932"/>
    <w:rsid w:val="008A21D9"/>
    <w:rsid w:val="008A232D"/>
    <w:rsid w:val="008A3182"/>
    <w:rsid w:val="008A3C76"/>
    <w:rsid w:val="008A3D54"/>
    <w:rsid w:val="008A3E10"/>
    <w:rsid w:val="008A411C"/>
    <w:rsid w:val="008A4630"/>
    <w:rsid w:val="008A47CE"/>
    <w:rsid w:val="008A4DFA"/>
    <w:rsid w:val="008A586F"/>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A64"/>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F9F"/>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27F5"/>
    <w:rsid w:val="008E323C"/>
    <w:rsid w:val="008E32E0"/>
    <w:rsid w:val="008E35A6"/>
    <w:rsid w:val="008E36D9"/>
    <w:rsid w:val="008E3A5C"/>
    <w:rsid w:val="008E3A9A"/>
    <w:rsid w:val="008E429E"/>
    <w:rsid w:val="008E58A3"/>
    <w:rsid w:val="008E5938"/>
    <w:rsid w:val="008E6109"/>
    <w:rsid w:val="008E6956"/>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342"/>
    <w:rsid w:val="0090446A"/>
    <w:rsid w:val="00904537"/>
    <w:rsid w:val="00904DC3"/>
    <w:rsid w:val="0090534A"/>
    <w:rsid w:val="00905469"/>
    <w:rsid w:val="00906078"/>
    <w:rsid w:val="0090629C"/>
    <w:rsid w:val="00906952"/>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A2D"/>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F48"/>
    <w:rsid w:val="009307CA"/>
    <w:rsid w:val="009312A6"/>
    <w:rsid w:val="009312F9"/>
    <w:rsid w:val="00931445"/>
    <w:rsid w:val="00931AB8"/>
    <w:rsid w:val="00931C19"/>
    <w:rsid w:val="00931C63"/>
    <w:rsid w:val="00931D10"/>
    <w:rsid w:val="0093218A"/>
    <w:rsid w:val="0093386D"/>
    <w:rsid w:val="00934C8E"/>
    <w:rsid w:val="00935194"/>
    <w:rsid w:val="00936EA5"/>
    <w:rsid w:val="00937114"/>
    <w:rsid w:val="0094015D"/>
    <w:rsid w:val="00940539"/>
    <w:rsid w:val="00940916"/>
    <w:rsid w:val="009412B7"/>
    <w:rsid w:val="00941B13"/>
    <w:rsid w:val="0094215C"/>
    <w:rsid w:val="00942F8E"/>
    <w:rsid w:val="00943543"/>
    <w:rsid w:val="009441DB"/>
    <w:rsid w:val="00944834"/>
    <w:rsid w:val="00946128"/>
    <w:rsid w:val="0094633F"/>
    <w:rsid w:val="00947BA5"/>
    <w:rsid w:val="00950440"/>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70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63C"/>
    <w:rsid w:val="00971415"/>
    <w:rsid w:val="009716D8"/>
    <w:rsid w:val="00971F54"/>
    <w:rsid w:val="00972057"/>
    <w:rsid w:val="0097227B"/>
    <w:rsid w:val="0097262E"/>
    <w:rsid w:val="0097293F"/>
    <w:rsid w:val="00973103"/>
    <w:rsid w:val="009733D9"/>
    <w:rsid w:val="00974022"/>
    <w:rsid w:val="009743E8"/>
    <w:rsid w:val="009745D8"/>
    <w:rsid w:val="00974F3B"/>
    <w:rsid w:val="0097552A"/>
    <w:rsid w:val="0097564A"/>
    <w:rsid w:val="00975824"/>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136"/>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482"/>
    <w:rsid w:val="009B4D4C"/>
    <w:rsid w:val="009B6608"/>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1B5"/>
    <w:rsid w:val="009D34FB"/>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AE0"/>
    <w:rsid w:val="009F2EDB"/>
    <w:rsid w:val="009F33DC"/>
    <w:rsid w:val="009F4550"/>
    <w:rsid w:val="009F56C0"/>
    <w:rsid w:val="009F5C76"/>
    <w:rsid w:val="009F66E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021"/>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194"/>
    <w:rsid w:val="00A37309"/>
    <w:rsid w:val="00A37329"/>
    <w:rsid w:val="00A37558"/>
    <w:rsid w:val="00A3786A"/>
    <w:rsid w:val="00A4008C"/>
    <w:rsid w:val="00A402A8"/>
    <w:rsid w:val="00A40685"/>
    <w:rsid w:val="00A40E2F"/>
    <w:rsid w:val="00A412E0"/>
    <w:rsid w:val="00A41819"/>
    <w:rsid w:val="00A41C9A"/>
    <w:rsid w:val="00A41D73"/>
    <w:rsid w:val="00A42406"/>
    <w:rsid w:val="00A42643"/>
    <w:rsid w:val="00A433E8"/>
    <w:rsid w:val="00A43A1D"/>
    <w:rsid w:val="00A43AB0"/>
    <w:rsid w:val="00A44641"/>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4D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ADE"/>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49E"/>
    <w:rsid w:val="00A937D5"/>
    <w:rsid w:val="00A93C70"/>
    <w:rsid w:val="00A94A32"/>
    <w:rsid w:val="00A94AFC"/>
    <w:rsid w:val="00A94BF5"/>
    <w:rsid w:val="00A9582A"/>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40"/>
    <w:rsid w:val="00AA4F6D"/>
    <w:rsid w:val="00AA50CE"/>
    <w:rsid w:val="00AA536B"/>
    <w:rsid w:val="00AA57C9"/>
    <w:rsid w:val="00AA5A5C"/>
    <w:rsid w:val="00AA5A6F"/>
    <w:rsid w:val="00AA634D"/>
    <w:rsid w:val="00AA6F6C"/>
    <w:rsid w:val="00AA721D"/>
    <w:rsid w:val="00AA7519"/>
    <w:rsid w:val="00AA790A"/>
    <w:rsid w:val="00AB02EA"/>
    <w:rsid w:val="00AB0B9E"/>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17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F4B"/>
    <w:rsid w:val="00AE315E"/>
    <w:rsid w:val="00AE319F"/>
    <w:rsid w:val="00AE31D9"/>
    <w:rsid w:val="00AE3CF0"/>
    <w:rsid w:val="00AE4546"/>
    <w:rsid w:val="00AE6575"/>
    <w:rsid w:val="00AE71EE"/>
    <w:rsid w:val="00AE75DC"/>
    <w:rsid w:val="00AF03CF"/>
    <w:rsid w:val="00AF0A0A"/>
    <w:rsid w:val="00AF14FC"/>
    <w:rsid w:val="00AF1ED2"/>
    <w:rsid w:val="00AF1F4E"/>
    <w:rsid w:val="00AF2302"/>
    <w:rsid w:val="00AF262A"/>
    <w:rsid w:val="00AF2A25"/>
    <w:rsid w:val="00AF3557"/>
    <w:rsid w:val="00AF3F86"/>
    <w:rsid w:val="00AF4CEE"/>
    <w:rsid w:val="00AF4F4A"/>
    <w:rsid w:val="00AF5058"/>
    <w:rsid w:val="00AF584C"/>
    <w:rsid w:val="00AF5D84"/>
    <w:rsid w:val="00AF6476"/>
    <w:rsid w:val="00AF669D"/>
    <w:rsid w:val="00AF672C"/>
    <w:rsid w:val="00AF673E"/>
    <w:rsid w:val="00AF6ABE"/>
    <w:rsid w:val="00AF7389"/>
    <w:rsid w:val="00AF79DF"/>
    <w:rsid w:val="00AF7C37"/>
    <w:rsid w:val="00B00121"/>
    <w:rsid w:val="00B00378"/>
    <w:rsid w:val="00B00D91"/>
    <w:rsid w:val="00B00E84"/>
    <w:rsid w:val="00B01DD9"/>
    <w:rsid w:val="00B01F0E"/>
    <w:rsid w:val="00B038F1"/>
    <w:rsid w:val="00B03C1B"/>
    <w:rsid w:val="00B0433F"/>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19"/>
    <w:rsid w:val="00B11A61"/>
    <w:rsid w:val="00B12082"/>
    <w:rsid w:val="00B12648"/>
    <w:rsid w:val="00B1270C"/>
    <w:rsid w:val="00B12710"/>
    <w:rsid w:val="00B13389"/>
    <w:rsid w:val="00B1364C"/>
    <w:rsid w:val="00B13EDB"/>
    <w:rsid w:val="00B141A5"/>
    <w:rsid w:val="00B142B0"/>
    <w:rsid w:val="00B14F47"/>
    <w:rsid w:val="00B15282"/>
    <w:rsid w:val="00B15286"/>
    <w:rsid w:val="00B1539F"/>
    <w:rsid w:val="00B1550D"/>
    <w:rsid w:val="00B15F6C"/>
    <w:rsid w:val="00B163E8"/>
    <w:rsid w:val="00B1767E"/>
    <w:rsid w:val="00B203C1"/>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02"/>
    <w:rsid w:val="00B35B6D"/>
    <w:rsid w:val="00B35D53"/>
    <w:rsid w:val="00B367C4"/>
    <w:rsid w:val="00B36D3E"/>
    <w:rsid w:val="00B37B8E"/>
    <w:rsid w:val="00B40222"/>
    <w:rsid w:val="00B404C3"/>
    <w:rsid w:val="00B4066E"/>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8C8"/>
    <w:rsid w:val="00B55F64"/>
    <w:rsid w:val="00B561A3"/>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2AB"/>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2FE"/>
    <w:rsid w:val="00BD138A"/>
    <w:rsid w:val="00BD164A"/>
    <w:rsid w:val="00BD1BDD"/>
    <w:rsid w:val="00BD1D7D"/>
    <w:rsid w:val="00BD1E27"/>
    <w:rsid w:val="00BD1EC2"/>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AFE"/>
    <w:rsid w:val="00BF6D77"/>
    <w:rsid w:val="00BF739A"/>
    <w:rsid w:val="00BF7EF5"/>
    <w:rsid w:val="00C00A59"/>
    <w:rsid w:val="00C00BF6"/>
    <w:rsid w:val="00C0234A"/>
    <w:rsid w:val="00C0247B"/>
    <w:rsid w:val="00C0378E"/>
    <w:rsid w:val="00C04314"/>
    <w:rsid w:val="00C04BD0"/>
    <w:rsid w:val="00C05730"/>
    <w:rsid w:val="00C05AF4"/>
    <w:rsid w:val="00C05AFD"/>
    <w:rsid w:val="00C0661C"/>
    <w:rsid w:val="00C0675F"/>
    <w:rsid w:val="00C0702A"/>
    <w:rsid w:val="00C0708B"/>
    <w:rsid w:val="00C0724C"/>
    <w:rsid w:val="00C07C11"/>
    <w:rsid w:val="00C07E10"/>
    <w:rsid w:val="00C10015"/>
    <w:rsid w:val="00C1110A"/>
    <w:rsid w:val="00C11689"/>
    <w:rsid w:val="00C12414"/>
    <w:rsid w:val="00C12ECB"/>
    <w:rsid w:val="00C148B2"/>
    <w:rsid w:val="00C14ABD"/>
    <w:rsid w:val="00C151E0"/>
    <w:rsid w:val="00C155A8"/>
    <w:rsid w:val="00C159FD"/>
    <w:rsid w:val="00C15B28"/>
    <w:rsid w:val="00C15B31"/>
    <w:rsid w:val="00C15F66"/>
    <w:rsid w:val="00C1604F"/>
    <w:rsid w:val="00C166D4"/>
    <w:rsid w:val="00C168E5"/>
    <w:rsid w:val="00C1696D"/>
    <w:rsid w:val="00C16C90"/>
    <w:rsid w:val="00C17AB5"/>
    <w:rsid w:val="00C20051"/>
    <w:rsid w:val="00C20B6C"/>
    <w:rsid w:val="00C20B86"/>
    <w:rsid w:val="00C21145"/>
    <w:rsid w:val="00C215ED"/>
    <w:rsid w:val="00C21BBC"/>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2CC"/>
    <w:rsid w:val="00C415AC"/>
    <w:rsid w:val="00C4297A"/>
    <w:rsid w:val="00C4360C"/>
    <w:rsid w:val="00C439B8"/>
    <w:rsid w:val="00C43A0B"/>
    <w:rsid w:val="00C43EDA"/>
    <w:rsid w:val="00C43FEC"/>
    <w:rsid w:val="00C4414C"/>
    <w:rsid w:val="00C44615"/>
    <w:rsid w:val="00C45512"/>
    <w:rsid w:val="00C4602B"/>
    <w:rsid w:val="00C46564"/>
    <w:rsid w:val="00C46BFA"/>
    <w:rsid w:val="00C46DDF"/>
    <w:rsid w:val="00C5007D"/>
    <w:rsid w:val="00C500A1"/>
    <w:rsid w:val="00C50A02"/>
    <w:rsid w:val="00C51149"/>
    <w:rsid w:val="00C5117E"/>
    <w:rsid w:val="00C512D1"/>
    <w:rsid w:val="00C51856"/>
    <w:rsid w:val="00C51B04"/>
    <w:rsid w:val="00C51DB5"/>
    <w:rsid w:val="00C53CE9"/>
    <w:rsid w:val="00C5531B"/>
    <w:rsid w:val="00C55375"/>
    <w:rsid w:val="00C5570F"/>
    <w:rsid w:val="00C56C72"/>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5C3F"/>
    <w:rsid w:val="00C76129"/>
    <w:rsid w:val="00C76C0C"/>
    <w:rsid w:val="00C76FFC"/>
    <w:rsid w:val="00C774E0"/>
    <w:rsid w:val="00C776BA"/>
    <w:rsid w:val="00C7791E"/>
    <w:rsid w:val="00C815E7"/>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10"/>
    <w:rsid w:val="00C95F87"/>
    <w:rsid w:val="00C96035"/>
    <w:rsid w:val="00C968EF"/>
    <w:rsid w:val="00C972CE"/>
    <w:rsid w:val="00CA0492"/>
    <w:rsid w:val="00CA05B0"/>
    <w:rsid w:val="00CA0632"/>
    <w:rsid w:val="00CA0A04"/>
    <w:rsid w:val="00CA2528"/>
    <w:rsid w:val="00CA3316"/>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E8B"/>
    <w:rsid w:val="00CD44FF"/>
    <w:rsid w:val="00CD46A7"/>
    <w:rsid w:val="00CD47BC"/>
    <w:rsid w:val="00CD4E50"/>
    <w:rsid w:val="00CD57CB"/>
    <w:rsid w:val="00CD5961"/>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C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816"/>
    <w:rsid w:val="00D30C4D"/>
    <w:rsid w:val="00D30F5F"/>
    <w:rsid w:val="00D31243"/>
    <w:rsid w:val="00D316D9"/>
    <w:rsid w:val="00D31B07"/>
    <w:rsid w:val="00D31B9D"/>
    <w:rsid w:val="00D3272E"/>
    <w:rsid w:val="00D32FA0"/>
    <w:rsid w:val="00D33112"/>
    <w:rsid w:val="00D331CB"/>
    <w:rsid w:val="00D33BA3"/>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B97"/>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AA8"/>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BCA"/>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D8"/>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16B"/>
    <w:rsid w:val="00DA2125"/>
    <w:rsid w:val="00DA21EC"/>
    <w:rsid w:val="00DA24DE"/>
    <w:rsid w:val="00DA270C"/>
    <w:rsid w:val="00DA281F"/>
    <w:rsid w:val="00DA3C5B"/>
    <w:rsid w:val="00DA3D23"/>
    <w:rsid w:val="00DA4A61"/>
    <w:rsid w:val="00DA5AFE"/>
    <w:rsid w:val="00DA61AB"/>
    <w:rsid w:val="00DA61CD"/>
    <w:rsid w:val="00DA6C1F"/>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C71"/>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5EC"/>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B00"/>
    <w:rsid w:val="00DE6E4D"/>
    <w:rsid w:val="00DE7498"/>
    <w:rsid w:val="00DE75EF"/>
    <w:rsid w:val="00DE7611"/>
    <w:rsid w:val="00DE7D19"/>
    <w:rsid w:val="00DF05A0"/>
    <w:rsid w:val="00DF1162"/>
    <w:rsid w:val="00DF1BA8"/>
    <w:rsid w:val="00DF1F63"/>
    <w:rsid w:val="00DF28F2"/>
    <w:rsid w:val="00DF2BFF"/>
    <w:rsid w:val="00DF3798"/>
    <w:rsid w:val="00DF41ED"/>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2F5"/>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BEC"/>
    <w:rsid w:val="00E10DD1"/>
    <w:rsid w:val="00E1224C"/>
    <w:rsid w:val="00E1254C"/>
    <w:rsid w:val="00E128F7"/>
    <w:rsid w:val="00E12BDF"/>
    <w:rsid w:val="00E13326"/>
    <w:rsid w:val="00E13D07"/>
    <w:rsid w:val="00E14356"/>
    <w:rsid w:val="00E14961"/>
    <w:rsid w:val="00E14D76"/>
    <w:rsid w:val="00E15183"/>
    <w:rsid w:val="00E15D6C"/>
    <w:rsid w:val="00E1720B"/>
    <w:rsid w:val="00E1734D"/>
    <w:rsid w:val="00E203DE"/>
    <w:rsid w:val="00E20CE7"/>
    <w:rsid w:val="00E217B1"/>
    <w:rsid w:val="00E222FA"/>
    <w:rsid w:val="00E229CE"/>
    <w:rsid w:val="00E22B4A"/>
    <w:rsid w:val="00E2449B"/>
    <w:rsid w:val="00E24A62"/>
    <w:rsid w:val="00E24E46"/>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07D"/>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28C"/>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229"/>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361"/>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7A3"/>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6F"/>
    <w:rsid w:val="00EB3E92"/>
    <w:rsid w:val="00EB54AB"/>
    <w:rsid w:val="00EB6226"/>
    <w:rsid w:val="00EB6257"/>
    <w:rsid w:val="00EB68E6"/>
    <w:rsid w:val="00EB6AE9"/>
    <w:rsid w:val="00EB6B2D"/>
    <w:rsid w:val="00EB71C9"/>
    <w:rsid w:val="00EB763E"/>
    <w:rsid w:val="00EB7B67"/>
    <w:rsid w:val="00EC07F1"/>
    <w:rsid w:val="00EC1E8A"/>
    <w:rsid w:val="00EC2D98"/>
    <w:rsid w:val="00EC328C"/>
    <w:rsid w:val="00EC32F5"/>
    <w:rsid w:val="00EC3852"/>
    <w:rsid w:val="00EC3F4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01D"/>
    <w:rsid w:val="00ED18B1"/>
    <w:rsid w:val="00ED1ADE"/>
    <w:rsid w:val="00ED3692"/>
    <w:rsid w:val="00ED49B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0"/>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D98"/>
    <w:rsid w:val="00EF611C"/>
    <w:rsid w:val="00EF625F"/>
    <w:rsid w:val="00EF62C0"/>
    <w:rsid w:val="00EF64A6"/>
    <w:rsid w:val="00EF6D5A"/>
    <w:rsid w:val="00EF6EAF"/>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84"/>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D7B"/>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0E3"/>
    <w:rsid w:val="00F343EE"/>
    <w:rsid w:val="00F353F4"/>
    <w:rsid w:val="00F35494"/>
    <w:rsid w:val="00F35607"/>
    <w:rsid w:val="00F35621"/>
    <w:rsid w:val="00F359AB"/>
    <w:rsid w:val="00F35DBA"/>
    <w:rsid w:val="00F3619D"/>
    <w:rsid w:val="00F36DDE"/>
    <w:rsid w:val="00F3722A"/>
    <w:rsid w:val="00F37366"/>
    <w:rsid w:val="00F37C99"/>
    <w:rsid w:val="00F37FCC"/>
    <w:rsid w:val="00F419B8"/>
    <w:rsid w:val="00F41C0F"/>
    <w:rsid w:val="00F42856"/>
    <w:rsid w:val="00F42ED7"/>
    <w:rsid w:val="00F43777"/>
    <w:rsid w:val="00F439A4"/>
    <w:rsid w:val="00F4482B"/>
    <w:rsid w:val="00F44F02"/>
    <w:rsid w:val="00F45039"/>
    <w:rsid w:val="00F4526B"/>
    <w:rsid w:val="00F45298"/>
    <w:rsid w:val="00F45F64"/>
    <w:rsid w:val="00F462DF"/>
    <w:rsid w:val="00F46534"/>
    <w:rsid w:val="00F4662D"/>
    <w:rsid w:val="00F46702"/>
    <w:rsid w:val="00F467BA"/>
    <w:rsid w:val="00F4689E"/>
    <w:rsid w:val="00F468AC"/>
    <w:rsid w:val="00F4696F"/>
    <w:rsid w:val="00F46A5F"/>
    <w:rsid w:val="00F46F98"/>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B6D"/>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7BA"/>
    <w:rsid w:val="00F9702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79B"/>
    <w:rsid w:val="00FA55A2"/>
    <w:rsid w:val="00FA672F"/>
    <w:rsid w:val="00FA6D1C"/>
    <w:rsid w:val="00FA775E"/>
    <w:rsid w:val="00FA7792"/>
    <w:rsid w:val="00FA7AA8"/>
    <w:rsid w:val="00FA7F1D"/>
    <w:rsid w:val="00FB011C"/>
    <w:rsid w:val="00FB0D60"/>
    <w:rsid w:val="00FB1149"/>
    <w:rsid w:val="00FB18FD"/>
    <w:rsid w:val="00FB2BF5"/>
    <w:rsid w:val="00FB2F8E"/>
    <w:rsid w:val="00FB30C3"/>
    <w:rsid w:val="00FB39B0"/>
    <w:rsid w:val="00FB5138"/>
    <w:rsid w:val="00FB5231"/>
    <w:rsid w:val="00FB547F"/>
    <w:rsid w:val="00FB58B1"/>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2A2"/>
    <w:rsid w:val="00FF183C"/>
    <w:rsid w:val="00FF1A06"/>
    <w:rsid w:val="00FF1AD3"/>
    <w:rsid w:val="00FF1B46"/>
    <w:rsid w:val="00FF219D"/>
    <w:rsid w:val="00FF2A7B"/>
    <w:rsid w:val="00FF3D2B"/>
    <w:rsid w:val="00FF3FF8"/>
    <w:rsid w:val="00FF49B4"/>
    <w:rsid w:val="00FF49F4"/>
    <w:rsid w:val="00FF5C6A"/>
    <w:rsid w:val="00FF651D"/>
    <w:rsid w:val="00FF6843"/>
    <w:rsid w:val="00FF6958"/>
    <w:rsid w:val="00FF6C25"/>
    <w:rsid w:val="010651D9"/>
    <w:rsid w:val="011F6449"/>
    <w:rsid w:val="012322B7"/>
    <w:rsid w:val="01236AFB"/>
    <w:rsid w:val="0132098A"/>
    <w:rsid w:val="016607F8"/>
    <w:rsid w:val="019B1E67"/>
    <w:rsid w:val="019F7441"/>
    <w:rsid w:val="01B37585"/>
    <w:rsid w:val="01D55165"/>
    <w:rsid w:val="01DF6BF8"/>
    <w:rsid w:val="01EC2C57"/>
    <w:rsid w:val="02124FA4"/>
    <w:rsid w:val="026B2E25"/>
    <w:rsid w:val="02782567"/>
    <w:rsid w:val="02824D4D"/>
    <w:rsid w:val="02DC4B10"/>
    <w:rsid w:val="02DD76CE"/>
    <w:rsid w:val="02F36323"/>
    <w:rsid w:val="02F5619C"/>
    <w:rsid w:val="0326446A"/>
    <w:rsid w:val="032D5555"/>
    <w:rsid w:val="0361715B"/>
    <w:rsid w:val="036634D2"/>
    <w:rsid w:val="038C112E"/>
    <w:rsid w:val="03DD35E4"/>
    <w:rsid w:val="04076900"/>
    <w:rsid w:val="041A5A3B"/>
    <w:rsid w:val="042311BA"/>
    <w:rsid w:val="042B157A"/>
    <w:rsid w:val="04422CE1"/>
    <w:rsid w:val="048F763B"/>
    <w:rsid w:val="049F330E"/>
    <w:rsid w:val="04AA775C"/>
    <w:rsid w:val="04AF1889"/>
    <w:rsid w:val="04F66F48"/>
    <w:rsid w:val="05251E14"/>
    <w:rsid w:val="059960DD"/>
    <w:rsid w:val="05A16594"/>
    <w:rsid w:val="05A7762D"/>
    <w:rsid w:val="05BB5E21"/>
    <w:rsid w:val="05E14182"/>
    <w:rsid w:val="05F916FC"/>
    <w:rsid w:val="060E5941"/>
    <w:rsid w:val="06110FAF"/>
    <w:rsid w:val="06493CA7"/>
    <w:rsid w:val="065A6178"/>
    <w:rsid w:val="066F1CF3"/>
    <w:rsid w:val="068351A2"/>
    <w:rsid w:val="068475E2"/>
    <w:rsid w:val="06852335"/>
    <w:rsid w:val="06864599"/>
    <w:rsid w:val="06930BB8"/>
    <w:rsid w:val="07245D42"/>
    <w:rsid w:val="07264C62"/>
    <w:rsid w:val="0779354C"/>
    <w:rsid w:val="08061376"/>
    <w:rsid w:val="08452D77"/>
    <w:rsid w:val="08476A1F"/>
    <w:rsid w:val="086401F8"/>
    <w:rsid w:val="086B1CF7"/>
    <w:rsid w:val="08751CAA"/>
    <w:rsid w:val="087E4C40"/>
    <w:rsid w:val="08D66AD6"/>
    <w:rsid w:val="08DA33A3"/>
    <w:rsid w:val="08DC399B"/>
    <w:rsid w:val="08E15218"/>
    <w:rsid w:val="08E80F13"/>
    <w:rsid w:val="09335624"/>
    <w:rsid w:val="0944690F"/>
    <w:rsid w:val="09535675"/>
    <w:rsid w:val="095F057D"/>
    <w:rsid w:val="09642282"/>
    <w:rsid w:val="09733572"/>
    <w:rsid w:val="09772C16"/>
    <w:rsid w:val="098353B5"/>
    <w:rsid w:val="09A92330"/>
    <w:rsid w:val="09B06B87"/>
    <w:rsid w:val="09B27AB0"/>
    <w:rsid w:val="09C13146"/>
    <w:rsid w:val="09C55931"/>
    <w:rsid w:val="09E04166"/>
    <w:rsid w:val="0A1C0718"/>
    <w:rsid w:val="0A2C2162"/>
    <w:rsid w:val="0A3E7710"/>
    <w:rsid w:val="0A5A201C"/>
    <w:rsid w:val="0A5B7E63"/>
    <w:rsid w:val="0A5F7D4F"/>
    <w:rsid w:val="0A956E25"/>
    <w:rsid w:val="0AA374A5"/>
    <w:rsid w:val="0AAB7649"/>
    <w:rsid w:val="0ABC5606"/>
    <w:rsid w:val="0ADF4592"/>
    <w:rsid w:val="0B30404E"/>
    <w:rsid w:val="0B4C6C14"/>
    <w:rsid w:val="0B631A88"/>
    <w:rsid w:val="0B683D45"/>
    <w:rsid w:val="0B7F3F11"/>
    <w:rsid w:val="0B884417"/>
    <w:rsid w:val="0BF6188C"/>
    <w:rsid w:val="0BF73C91"/>
    <w:rsid w:val="0C170175"/>
    <w:rsid w:val="0C4211DD"/>
    <w:rsid w:val="0C571A41"/>
    <w:rsid w:val="0C5C1171"/>
    <w:rsid w:val="0C5E1CBC"/>
    <w:rsid w:val="0C615B50"/>
    <w:rsid w:val="0C8445DA"/>
    <w:rsid w:val="0C87121B"/>
    <w:rsid w:val="0C875D31"/>
    <w:rsid w:val="0C8A2C23"/>
    <w:rsid w:val="0CB239F5"/>
    <w:rsid w:val="0CC007F7"/>
    <w:rsid w:val="0CFD3C6B"/>
    <w:rsid w:val="0CFE707A"/>
    <w:rsid w:val="0D063BDA"/>
    <w:rsid w:val="0D08375F"/>
    <w:rsid w:val="0D184CFB"/>
    <w:rsid w:val="0D4A7419"/>
    <w:rsid w:val="0D827401"/>
    <w:rsid w:val="0D84094E"/>
    <w:rsid w:val="0D8A00E9"/>
    <w:rsid w:val="0D8D589E"/>
    <w:rsid w:val="0DA01C73"/>
    <w:rsid w:val="0DC108C7"/>
    <w:rsid w:val="0DD63300"/>
    <w:rsid w:val="0DED1721"/>
    <w:rsid w:val="0DF50604"/>
    <w:rsid w:val="0DF702FE"/>
    <w:rsid w:val="0E060E51"/>
    <w:rsid w:val="0E5604B2"/>
    <w:rsid w:val="0E6D5D79"/>
    <w:rsid w:val="0E9D0089"/>
    <w:rsid w:val="0EB803EE"/>
    <w:rsid w:val="0EF94D4B"/>
    <w:rsid w:val="0F0D5446"/>
    <w:rsid w:val="0F32146E"/>
    <w:rsid w:val="0F4958DC"/>
    <w:rsid w:val="0F515DF7"/>
    <w:rsid w:val="0F520314"/>
    <w:rsid w:val="0F596BA8"/>
    <w:rsid w:val="0F6248D2"/>
    <w:rsid w:val="0F693536"/>
    <w:rsid w:val="0F7A716F"/>
    <w:rsid w:val="0F7B0511"/>
    <w:rsid w:val="0F7B76D9"/>
    <w:rsid w:val="0F816ACD"/>
    <w:rsid w:val="0F9832DB"/>
    <w:rsid w:val="0FAF7438"/>
    <w:rsid w:val="0FBF3FD2"/>
    <w:rsid w:val="0FBF7FF3"/>
    <w:rsid w:val="0FC015B2"/>
    <w:rsid w:val="0FF67595"/>
    <w:rsid w:val="101E3DAE"/>
    <w:rsid w:val="102962AF"/>
    <w:rsid w:val="10593038"/>
    <w:rsid w:val="10646583"/>
    <w:rsid w:val="107D4B15"/>
    <w:rsid w:val="108A3C80"/>
    <w:rsid w:val="10C26171"/>
    <w:rsid w:val="10C4643A"/>
    <w:rsid w:val="10C47A85"/>
    <w:rsid w:val="10F33360"/>
    <w:rsid w:val="10FC16EA"/>
    <w:rsid w:val="110F1D40"/>
    <w:rsid w:val="11266F33"/>
    <w:rsid w:val="112738A6"/>
    <w:rsid w:val="114523E3"/>
    <w:rsid w:val="118963A1"/>
    <w:rsid w:val="11C6522A"/>
    <w:rsid w:val="11E104CC"/>
    <w:rsid w:val="11E20309"/>
    <w:rsid w:val="11E92E84"/>
    <w:rsid w:val="121217FD"/>
    <w:rsid w:val="12251EFC"/>
    <w:rsid w:val="12255233"/>
    <w:rsid w:val="12530213"/>
    <w:rsid w:val="127723A9"/>
    <w:rsid w:val="12862074"/>
    <w:rsid w:val="12883966"/>
    <w:rsid w:val="129E45B4"/>
    <w:rsid w:val="12D270D2"/>
    <w:rsid w:val="12D81596"/>
    <w:rsid w:val="13001549"/>
    <w:rsid w:val="13072A44"/>
    <w:rsid w:val="135950FD"/>
    <w:rsid w:val="135F4BE2"/>
    <w:rsid w:val="13972BED"/>
    <w:rsid w:val="139B1A0A"/>
    <w:rsid w:val="139C503C"/>
    <w:rsid w:val="139D25C7"/>
    <w:rsid w:val="13BF3CE4"/>
    <w:rsid w:val="13F37A4B"/>
    <w:rsid w:val="141008D8"/>
    <w:rsid w:val="14125FE6"/>
    <w:rsid w:val="14434F01"/>
    <w:rsid w:val="146D271E"/>
    <w:rsid w:val="14982588"/>
    <w:rsid w:val="149A5AD9"/>
    <w:rsid w:val="14A7619D"/>
    <w:rsid w:val="150536C3"/>
    <w:rsid w:val="150C1963"/>
    <w:rsid w:val="151447A0"/>
    <w:rsid w:val="154A6454"/>
    <w:rsid w:val="15762120"/>
    <w:rsid w:val="15AD272E"/>
    <w:rsid w:val="15CA5E3E"/>
    <w:rsid w:val="168718EF"/>
    <w:rsid w:val="16A8729C"/>
    <w:rsid w:val="16B33777"/>
    <w:rsid w:val="16BA5EB3"/>
    <w:rsid w:val="16BC70A7"/>
    <w:rsid w:val="16C6339E"/>
    <w:rsid w:val="16D81300"/>
    <w:rsid w:val="16DA4390"/>
    <w:rsid w:val="16EF3DAF"/>
    <w:rsid w:val="1706293F"/>
    <w:rsid w:val="172F2D79"/>
    <w:rsid w:val="17557BEF"/>
    <w:rsid w:val="17D349C1"/>
    <w:rsid w:val="1830729E"/>
    <w:rsid w:val="1870062C"/>
    <w:rsid w:val="18817102"/>
    <w:rsid w:val="18830A15"/>
    <w:rsid w:val="18852B28"/>
    <w:rsid w:val="188B5321"/>
    <w:rsid w:val="18F909E7"/>
    <w:rsid w:val="19932372"/>
    <w:rsid w:val="19A20DD5"/>
    <w:rsid w:val="19AE03F1"/>
    <w:rsid w:val="19CE2057"/>
    <w:rsid w:val="1A071A03"/>
    <w:rsid w:val="1A0E4951"/>
    <w:rsid w:val="1A1F16AE"/>
    <w:rsid w:val="1A3B5C77"/>
    <w:rsid w:val="1A984BAD"/>
    <w:rsid w:val="1AA4175D"/>
    <w:rsid w:val="1AB8220E"/>
    <w:rsid w:val="1AE4166C"/>
    <w:rsid w:val="1AF06CFB"/>
    <w:rsid w:val="1AF11B8D"/>
    <w:rsid w:val="1AF53044"/>
    <w:rsid w:val="1B11359C"/>
    <w:rsid w:val="1B1407BE"/>
    <w:rsid w:val="1B2A271F"/>
    <w:rsid w:val="1B530544"/>
    <w:rsid w:val="1B713184"/>
    <w:rsid w:val="1BA209CF"/>
    <w:rsid w:val="1BB4777D"/>
    <w:rsid w:val="1BD75AB8"/>
    <w:rsid w:val="1BF12377"/>
    <w:rsid w:val="1BFA05BD"/>
    <w:rsid w:val="1C0459C2"/>
    <w:rsid w:val="1C1B3B4A"/>
    <w:rsid w:val="1C4324B9"/>
    <w:rsid w:val="1C5B4D89"/>
    <w:rsid w:val="1C88086E"/>
    <w:rsid w:val="1D266CE1"/>
    <w:rsid w:val="1D3963AF"/>
    <w:rsid w:val="1D6A673C"/>
    <w:rsid w:val="1D77422E"/>
    <w:rsid w:val="1D9247AE"/>
    <w:rsid w:val="1D941AE8"/>
    <w:rsid w:val="1DA9513C"/>
    <w:rsid w:val="1DB567EC"/>
    <w:rsid w:val="1DDF4657"/>
    <w:rsid w:val="1DE43A57"/>
    <w:rsid w:val="1DF51A98"/>
    <w:rsid w:val="1E044E39"/>
    <w:rsid w:val="1E3D060F"/>
    <w:rsid w:val="1E3F7D2E"/>
    <w:rsid w:val="1E4134E4"/>
    <w:rsid w:val="1E5062B3"/>
    <w:rsid w:val="1E523514"/>
    <w:rsid w:val="1E714A66"/>
    <w:rsid w:val="1E802593"/>
    <w:rsid w:val="1EA703CC"/>
    <w:rsid w:val="1EB7330C"/>
    <w:rsid w:val="1F0A0FF3"/>
    <w:rsid w:val="1F47688F"/>
    <w:rsid w:val="1F5771FF"/>
    <w:rsid w:val="1F7E6B98"/>
    <w:rsid w:val="1FA83C86"/>
    <w:rsid w:val="1FC83662"/>
    <w:rsid w:val="1FE868A9"/>
    <w:rsid w:val="20034907"/>
    <w:rsid w:val="200A3BD8"/>
    <w:rsid w:val="20173E4B"/>
    <w:rsid w:val="20427645"/>
    <w:rsid w:val="204B24BC"/>
    <w:rsid w:val="204E48BC"/>
    <w:rsid w:val="20581B52"/>
    <w:rsid w:val="20764D3A"/>
    <w:rsid w:val="208921B3"/>
    <w:rsid w:val="20973DEB"/>
    <w:rsid w:val="209E23A2"/>
    <w:rsid w:val="20A57DD8"/>
    <w:rsid w:val="20B14911"/>
    <w:rsid w:val="20B26522"/>
    <w:rsid w:val="20B44310"/>
    <w:rsid w:val="211116EB"/>
    <w:rsid w:val="215A54C1"/>
    <w:rsid w:val="216133FC"/>
    <w:rsid w:val="21805734"/>
    <w:rsid w:val="21D56769"/>
    <w:rsid w:val="21E52EF3"/>
    <w:rsid w:val="21FB5D7B"/>
    <w:rsid w:val="220B1C3D"/>
    <w:rsid w:val="221C3EC6"/>
    <w:rsid w:val="221D1D20"/>
    <w:rsid w:val="22224175"/>
    <w:rsid w:val="222E4FEB"/>
    <w:rsid w:val="22334A87"/>
    <w:rsid w:val="22BE6801"/>
    <w:rsid w:val="233500BF"/>
    <w:rsid w:val="23377FF7"/>
    <w:rsid w:val="236B425F"/>
    <w:rsid w:val="2377605E"/>
    <w:rsid w:val="23836192"/>
    <w:rsid w:val="23901F29"/>
    <w:rsid w:val="239C0061"/>
    <w:rsid w:val="23B3388C"/>
    <w:rsid w:val="23B908A4"/>
    <w:rsid w:val="23E95BEF"/>
    <w:rsid w:val="23FD0064"/>
    <w:rsid w:val="24490A5B"/>
    <w:rsid w:val="245375B0"/>
    <w:rsid w:val="24642C0A"/>
    <w:rsid w:val="249D7540"/>
    <w:rsid w:val="24B22173"/>
    <w:rsid w:val="24B95AD9"/>
    <w:rsid w:val="24BE24DA"/>
    <w:rsid w:val="24CF5825"/>
    <w:rsid w:val="24D663E6"/>
    <w:rsid w:val="24D77F2B"/>
    <w:rsid w:val="25370036"/>
    <w:rsid w:val="258B00E2"/>
    <w:rsid w:val="25A917A6"/>
    <w:rsid w:val="25BE27CC"/>
    <w:rsid w:val="25F74A5C"/>
    <w:rsid w:val="260E6E3D"/>
    <w:rsid w:val="262241EA"/>
    <w:rsid w:val="2628662C"/>
    <w:rsid w:val="262D45DE"/>
    <w:rsid w:val="26A53EF9"/>
    <w:rsid w:val="26A710C4"/>
    <w:rsid w:val="26A94201"/>
    <w:rsid w:val="26AC274F"/>
    <w:rsid w:val="26C53BC5"/>
    <w:rsid w:val="26E72A47"/>
    <w:rsid w:val="27044A29"/>
    <w:rsid w:val="271D34C8"/>
    <w:rsid w:val="275373F2"/>
    <w:rsid w:val="276142BF"/>
    <w:rsid w:val="27783712"/>
    <w:rsid w:val="27907362"/>
    <w:rsid w:val="2800361B"/>
    <w:rsid w:val="28333E1D"/>
    <w:rsid w:val="28454BD6"/>
    <w:rsid w:val="28455253"/>
    <w:rsid w:val="28551971"/>
    <w:rsid w:val="285B1C53"/>
    <w:rsid w:val="289F7086"/>
    <w:rsid w:val="28C32028"/>
    <w:rsid w:val="28C6724B"/>
    <w:rsid w:val="28CC490F"/>
    <w:rsid w:val="28DE40AA"/>
    <w:rsid w:val="29283BF5"/>
    <w:rsid w:val="29345E77"/>
    <w:rsid w:val="294C65AD"/>
    <w:rsid w:val="29806583"/>
    <w:rsid w:val="298B3C4C"/>
    <w:rsid w:val="29A256C9"/>
    <w:rsid w:val="29F26D24"/>
    <w:rsid w:val="2A15033F"/>
    <w:rsid w:val="2A1662C1"/>
    <w:rsid w:val="2A1C7367"/>
    <w:rsid w:val="2A2815FA"/>
    <w:rsid w:val="2A6D6092"/>
    <w:rsid w:val="2A7D76B4"/>
    <w:rsid w:val="2B177920"/>
    <w:rsid w:val="2B437463"/>
    <w:rsid w:val="2B7807EE"/>
    <w:rsid w:val="2BBF00EC"/>
    <w:rsid w:val="2BC25ADE"/>
    <w:rsid w:val="2BC37CFD"/>
    <w:rsid w:val="2BD5237F"/>
    <w:rsid w:val="2BE536CE"/>
    <w:rsid w:val="2BE758D9"/>
    <w:rsid w:val="2C09049E"/>
    <w:rsid w:val="2C0A653C"/>
    <w:rsid w:val="2C191F85"/>
    <w:rsid w:val="2C531738"/>
    <w:rsid w:val="2CDE24A4"/>
    <w:rsid w:val="2CE82D6F"/>
    <w:rsid w:val="2D226B32"/>
    <w:rsid w:val="2D343236"/>
    <w:rsid w:val="2DD15014"/>
    <w:rsid w:val="2DF72DE4"/>
    <w:rsid w:val="2E0220AF"/>
    <w:rsid w:val="2E4B082A"/>
    <w:rsid w:val="2E5D4E86"/>
    <w:rsid w:val="2E5D790B"/>
    <w:rsid w:val="2E7009A8"/>
    <w:rsid w:val="2E9A3C18"/>
    <w:rsid w:val="2EBB0FEE"/>
    <w:rsid w:val="2EC63002"/>
    <w:rsid w:val="2ED26520"/>
    <w:rsid w:val="2F0A6B38"/>
    <w:rsid w:val="2F450A1B"/>
    <w:rsid w:val="2F946CCB"/>
    <w:rsid w:val="2FA41623"/>
    <w:rsid w:val="2FD25781"/>
    <w:rsid w:val="2FFD7934"/>
    <w:rsid w:val="301C2BDC"/>
    <w:rsid w:val="30733ACD"/>
    <w:rsid w:val="308C3862"/>
    <w:rsid w:val="309379D8"/>
    <w:rsid w:val="30A270F7"/>
    <w:rsid w:val="30DF1478"/>
    <w:rsid w:val="30EC586F"/>
    <w:rsid w:val="319C6071"/>
    <w:rsid w:val="31AC537E"/>
    <w:rsid w:val="31E3679B"/>
    <w:rsid w:val="31E732FD"/>
    <w:rsid w:val="32517576"/>
    <w:rsid w:val="327F64D7"/>
    <w:rsid w:val="32BB4800"/>
    <w:rsid w:val="32BE5C2C"/>
    <w:rsid w:val="32DF2AD1"/>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0D51B5"/>
    <w:rsid w:val="361839AE"/>
    <w:rsid w:val="363A3B40"/>
    <w:rsid w:val="365302AE"/>
    <w:rsid w:val="36607A0A"/>
    <w:rsid w:val="366E227C"/>
    <w:rsid w:val="366F2E0D"/>
    <w:rsid w:val="367B6A5C"/>
    <w:rsid w:val="36A74ADA"/>
    <w:rsid w:val="36AD60D5"/>
    <w:rsid w:val="36B224F9"/>
    <w:rsid w:val="36EC0CC9"/>
    <w:rsid w:val="373F410B"/>
    <w:rsid w:val="374F0715"/>
    <w:rsid w:val="378F199C"/>
    <w:rsid w:val="37DA1126"/>
    <w:rsid w:val="37EA34C5"/>
    <w:rsid w:val="37ED3EE3"/>
    <w:rsid w:val="37EE7094"/>
    <w:rsid w:val="37F04E30"/>
    <w:rsid w:val="38296C89"/>
    <w:rsid w:val="383002EB"/>
    <w:rsid w:val="38586797"/>
    <w:rsid w:val="38B32211"/>
    <w:rsid w:val="38BC0149"/>
    <w:rsid w:val="38D87D1C"/>
    <w:rsid w:val="39636459"/>
    <w:rsid w:val="396B7F6C"/>
    <w:rsid w:val="39B054BB"/>
    <w:rsid w:val="39B417A9"/>
    <w:rsid w:val="39FC5695"/>
    <w:rsid w:val="3A006D8E"/>
    <w:rsid w:val="3A3651E5"/>
    <w:rsid w:val="3A55505F"/>
    <w:rsid w:val="3A6045F2"/>
    <w:rsid w:val="3A744481"/>
    <w:rsid w:val="3A8C7BEF"/>
    <w:rsid w:val="3A906246"/>
    <w:rsid w:val="3AE846CC"/>
    <w:rsid w:val="3B0A0956"/>
    <w:rsid w:val="3B2349B7"/>
    <w:rsid w:val="3B2B62D1"/>
    <w:rsid w:val="3B307EEC"/>
    <w:rsid w:val="3B3A7E08"/>
    <w:rsid w:val="3B616CFF"/>
    <w:rsid w:val="3B6259F6"/>
    <w:rsid w:val="3B8B1A48"/>
    <w:rsid w:val="3B976654"/>
    <w:rsid w:val="3B9907D5"/>
    <w:rsid w:val="3BB0751F"/>
    <w:rsid w:val="3BC01EFC"/>
    <w:rsid w:val="3BCA786A"/>
    <w:rsid w:val="3BD31E2F"/>
    <w:rsid w:val="3BF15831"/>
    <w:rsid w:val="3C105946"/>
    <w:rsid w:val="3C126FCB"/>
    <w:rsid w:val="3C471448"/>
    <w:rsid w:val="3C5F759A"/>
    <w:rsid w:val="3C6C525A"/>
    <w:rsid w:val="3CCE23CB"/>
    <w:rsid w:val="3CD17D17"/>
    <w:rsid w:val="3D2D3366"/>
    <w:rsid w:val="3D3C7F39"/>
    <w:rsid w:val="3D440F09"/>
    <w:rsid w:val="3D4504A0"/>
    <w:rsid w:val="3D8734BB"/>
    <w:rsid w:val="3D9A11D4"/>
    <w:rsid w:val="3DA16D89"/>
    <w:rsid w:val="3DA364BE"/>
    <w:rsid w:val="3DC1184D"/>
    <w:rsid w:val="3DE041CB"/>
    <w:rsid w:val="3E0D48F6"/>
    <w:rsid w:val="3E1868B4"/>
    <w:rsid w:val="3E377251"/>
    <w:rsid w:val="3E42664B"/>
    <w:rsid w:val="3E5A7334"/>
    <w:rsid w:val="3E7B5D6B"/>
    <w:rsid w:val="3E843E66"/>
    <w:rsid w:val="3E8F51FE"/>
    <w:rsid w:val="3E926F87"/>
    <w:rsid w:val="3E9A59DE"/>
    <w:rsid w:val="3EA64DEB"/>
    <w:rsid w:val="3EAF4836"/>
    <w:rsid w:val="3EC33DFA"/>
    <w:rsid w:val="3F060E16"/>
    <w:rsid w:val="3F1D1096"/>
    <w:rsid w:val="3F2F0234"/>
    <w:rsid w:val="3F3D74FE"/>
    <w:rsid w:val="3F6363FE"/>
    <w:rsid w:val="3F756B8F"/>
    <w:rsid w:val="3F95482B"/>
    <w:rsid w:val="3FC910BC"/>
    <w:rsid w:val="4019356B"/>
    <w:rsid w:val="40592157"/>
    <w:rsid w:val="406E1CAE"/>
    <w:rsid w:val="40A0133A"/>
    <w:rsid w:val="40BE7759"/>
    <w:rsid w:val="40C05D85"/>
    <w:rsid w:val="40C31A53"/>
    <w:rsid w:val="40FF545D"/>
    <w:rsid w:val="410067C8"/>
    <w:rsid w:val="4105229D"/>
    <w:rsid w:val="413C187B"/>
    <w:rsid w:val="4166511F"/>
    <w:rsid w:val="418758A6"/>
    <w:rsid w:val="418F0D2A"/>
    <w:rsid w:val="41A84C6F"/>
    <w:rsid w:val="41D01505"/>
    <w:rsid w:val="41DD0D05"/>
    <w:rsid w:val="420C1409"/>
    <w:rsid w:val="423A0EB5"/>
    <w:rsid w:val="42474939"/>
    <w:rsid w:val="424C3C57"/>
    <w:rsid w:val="42613FF3"/>
    <w:rsid w:val="42660D96"/>
    <w:rsid w:val="428667D2"/>
    <w:rsid w:val="42CD1CE0"/>
    <w:rsid w:val="42E1381E"/>
    <w:rsid w:val="42ED6459"/>
    <w:rsid w:val="42FE58DD"/>
    <w:rsid w:val="43174B3D"/>
    <w:rsid w:val="433062D1"/>
    <w:rsid w:val="434B790E"/>
    <w:rsid w:val="4360274F"/>
    <w:rsid w:val="43856752"/>
    <w:rsid w:val="43977AB6"/>
    <w:rsid w:val="43A3342B"/>
    <w:rsid w:val="43C77C27"/>
    <w:rsid w:val="43DE09EE"/>
    <w:rsid w:val="44002FAD"/>
    <w:rsid w:val="44534592"/>
    <w:rsid w:val="4462020A"/>
    <w:rsid w:val="449101DD"/>
    <w:rsid w:val="44DE1391"/>
    <w:rsid w:val="451B225C"/>
    <w:rsid w:val="452410C9"/>
    <w:rsid w:val="45317DFB"/>
    <w:rsid w:val="4561632F"/>
    <w:rsid w:val="456D3CE4"/>
    <w:rsid w:val="4579042C"/>
    <w:rsid w:val="457F0571"/>
    <w:rsid w:val="45851176"/>
    <w:rsid w:val="459D2C2D"/>
    <w:rsid w:val="45C63B94"/>
    <w:rsid w:val="460E7DA5"/>
    <w:rsid w:val="46183377"/>
    <w:rsid w:val="46422483"/>
    <w:rsid w:val="4659254A"/>
    <w:rsid w:val="465B0637"/>
    <w:rsid w:val="465E3F0D"/>
    <w:rsid w:val="466A16E6"/>
    <w:rsid w:val="467C0166"/>
    <w:rsid w:val="46893F2B"/>
    <w:rsid w:val="46C4686E"/>
    <w:rsid w:val="46F46B6A"/>
    <w:rsid w:val="473B1F65"/>
    <w:rsid w:val="477B778F"/>
    <w:rsid w:val="478203EC"/>
    <w:rsid w:val="478F427F"/>
    <w:rsid w:val="47B025FA"/>
    <w:rsid w:val="47CC5299"/>
    <w:rsid w:val="4809698F"/>
    <w:rsid w:val="4811697D"/>
    <w:rsid w:val="483D25BC"/>
    <w:rsid w:val="484B4F70"/>
    <w:rsid w:val="48574E99"/>
    <w:rsid w:val="48757D08"/>
    <w:rsid w:val="487A3E25"/>
    <w:rsid w:val="488B5503"/>
    <w:rsid w:val="4891646D"/>
    <w:rsid w:val="48937E21"/>
    <w:rsid w:val="489A0361"/>
    <w:rsid w:val="48B94FF3"/>
    <w:rsid w:val="48E37AAB"/>
    <w:rsid w:val="48FD4B4C"/>
    <w:rsid w:val="490A68E0"/>
    <w:rsid w:val="491055FE"/>
    <w:rsid w:val="495F5B3E"/>
    <w:rsid w:val="496F77D7"/>
    <w:rsid w:val="497654FD"/>
    <w:rsid w:val="49B64211"/>
    <w:rsid w:val="49F501CC"/>
    <w:rsid w:val="49F6167F"/>
    <w:rsid w:val="4A056F75"/>
    <w:rsid w:val="4A064FA0"/>
    <w:rsid w:val="4A16615C"/>
    <w:rsid w:val="4A4424D7"/>
    <w:rsid w:val="4A461F4C"/>
    <w:rsid w:val="4A9E343E"/>
    <w:rsid w:val="4AB82D0F"/>
    <w:rsid w:val="4AEB7664"/>
    <w:rsid w:val="4AF64F50"/>
    <w:rsid w:val="4AFD7C19"/>
    <w:rsid w:val="4AFF1B0B"/>
    <w:rsid w:val="4B0567D1"/>
    <w:rsid w:val="4B236AAE"/>
    <w:rsid w:val="4B707271"/>
    <w:rsid w:val="4B9739F7"/>
    <w:rsid w:val="4BC37D8F"/>
    <w:rsid w:val="4BEE2503"/>
    <w:rsid w:val="4C030A03"/>
    <w:rsid w:val="4C245A30"/>
    <w:rsid w:val="4CB6685F"/>
    <w:rsid w:val="4CC367FE"/>
    <w:rsid w:val="4CEB09C1"/>
    <w:rsid w:val="4D077F3C"/>
    <w:rsid w:val="4D123355"/>
    <w:rsid w:val="4D2A3B31"/>
    <w:rsid w:val="4D312C52"/>
    <w:rsid w:val="4D4B6A26"/>
    <w:rsid w:val="4D905305"/>
    <w:rsid w:val="4D964A72"/>
    <w:rsid w:val="4D9C1254"/>
    <w:rsid w:val="4E1A541C"/>
    <w:rsid w:val="4E793892"/>
    <w:rsid w:val="4E800872"/>
    <w:rsid w:val="4EC569ED"/>
    <w:rsid w:val="4ED50EA1"/>
    <w:rsid w:val="4EE35FFA"/>
    <w:rsid w:val="4EEC050C"/>
    <w:rsid w:val="4EFC0A69"/>
    <w:rsid w:val="4F096314"/>
    <w:rsid w:val="4F104EC3"/>
    <w:rsid w:val="4F3015D3"/>
    <w:rsid w:val="4F47354A"/>
    <w:rsid w:val="4F911C54"/>
    <w:rsid w:val="4FB37368"/>
    <w:rsid w:val="4FE625E0"/>
    <w:rsid w:val="5021480F"/>
    <w:rsid w:val="50383310"/>
    <w:rsid w:val="50962ECB"/>
    <w:rsid w:val="50A42E38"/>
    <w:rsid w:val="50A4577F"/>
    <w:rsid w:val="50B73D1F"/>
    <w:rsid w:val="50BD5BC9"/>
    <w:rsid w:val="50C11EEE"/>
    <w:rsid w:val="50E97CFC"/>
    <w:rsid w:val="50FA4028"/>
    <w:rsid w:val="510D65B7"/>
    <w:rsid w:val="511157AB"/>
    <w:rsid w:val="5142540C"/>
    <w:rsid w:val="515D57DD"/>
    <w:rsid w:val="517E1305"/>
    <w:rsid w:val="51856662"/>
    <w:rsid w:val="518832C8"/>
    <w:rsid w:val="51A0432A"/>
    <w:rsid w:val="51A86090"/>
    <w:rsid w:val="51B7396D"/>
    <w:rsid w:val="51D3277A"/>
    <w:rsid w:val="522E4CC3"/>
    <w:rsid w:val="5244713B"/>
    <w:rsid w:val="52490019"/>
    <w:rsid w:val="52615633"/>
    <w:rsid w:val="52977FD4"/>
    <w:rsid w:val="52A25790"/>
    <w:rsid w:val="52A96B6F"/>
    <w:rsid w:val="52B45975"/>
    <w:rsid w:val="52D205CD"/>
    <w:rsid w:val="52D27CF2"/>
    <w:rsid w:val="52D94AA4"/>
    <w:rsid w:val="52EA3A62"/>
    <w:rsid w:val="52F50BB8"/>
    <w:rsid w:val="53097272"/>
    <w:rsid w:val="53344B03"/>
    <w:rsid w:val="534D71CD"/>
    <w:rsid w:val="53544462"/>
    <w:rsid w:val="53845DF5"/>
    <w:rsid w:val="5397158E"/>
    <w:rsid w:val="54013861"/>
    <w:rsid w:val="5419347B"/>
    <w:rsid w:val="54487265"/>
    <w:rsid w:val="544D6070"/>
    <w:rsid w:val="54605E1E"/>
    <w:rsid w:val="546B4E46"/>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3A3F"/>
    <w:rsid w:val="566B6D1E"/>
    <w:rsid w:val="56F173A2"/>
    <w:rsid w:val="57032A2C"/>
    <w:rsid w:val="570F5219"/>
    <w:rsid w:val="573D0A3F"/>
    <w:rsid w:val="575D12B5"/>
    <w:rsid w:val="57610A87"/>
    <w:rsid w:val="577B1140"/>
    <w:rsid w:val="577B7F21"/>
    <w:rsid w:val="577F181B"/>
    <w:rsid w:val="57921984"/>
    <w:rsid w:val="579737F0"/>
    <w:rsid w:val="57AB7B30"/>
    <w:rsid w:val="57AF5251"/>
    <w:rsid w:val="57B26373"/>
    <w:rsid w:val="57B63F04"/>
    <w:rsid w:val="57B748DF"/>
    <w:rsid w:val="57CD20C2"/>
    <w:rsid w:val="57D675AB"/>
    <w:rsid w:val="57D95FDD"/>
    <w:rsid w:val="57EA1305"/>
    <w:rsid w:val="58127FC2"/>
    <w:rsid w:val="58314C41"/>
    <w:rsid w:val="586E6FCE"/>
    <w:rsid w:val="588E2DD3"/>
    <w:rsid w:val="58917D2F"/>
    <w:rsid w:val="5894085C"/>
    <w:rsid w:val="58AE4F0C"/>
    <w:rsid w:val="58B85899"/>
    <w:rsid w:val="58E363A9"/>
    <w:rsid w:val="595E1678"/>
    <w:rsid w:val="596D5BD4"/>
    <w:rsid w:val="597E3DD8"/>
    <w:rsid w:val="59F80043"/>
    <w:rsid w:val="5A09252F"/>
    <w:rsid w:val="5A0B2778"/>
    <w:rsid w:val="5A117488"/>
    <w:rsid w:val="5A2A7C7B"/>
    <w:rsid w:val="5A3E2560"/>
    <w:rsid w:val="5A5D3B6E"/>
    <w:rsid w:val="5A637A76"/>
    <w:rsid w:val="5A6D33BA"/>
    <w:rsid w:val="5A792B1F"/>
    <w:rsid w:val="5A874767"/>
    <w:rsid w:val="5AA43538"/>
    <w:rsid w:val="5AAD6F28"/>
    <w:rsid w:val="5AD63A24"/>
    <w:rsid w:val="5B2E1A1D"/>
    <w:rsid w:val="5B745BFD"/>
    <w:rsid w:val="5B843A1C"/>
    <w:rsid w:val="5B873E3F"/>
    <w:rsid w:val="5B9A3703"/>
    <w:rsid w:val="5BB85CFC"/>
    <w:rsid w:val="5BEC730C"/>
    <w:rsid w:val="5BF50958"/>
    <w:rsid w:val="5C02690E"/>
    <w:rsid w:val="5C196DA7"/>
    <w:rsid w:val="5C2A048C"/>
    <w:rsid w:val="5C4D1B68"/>
    <w:rsid w:val="5C58425A"/>
    <w:rsid w:val="5C80234E"/>
    <w:rsid w:val="5C8A680C"/>
    <w:rsid w:val="5C8D3BBC"/>
    <w:rsid w:val="5CD8040E"/>
    <w:rsid w:val="5D0C4701"/>
    <w:rsid w:val="5D0F0395"/>
    <w:rsid w:val="5D1A6C78"/>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10AFA"/>
    <w:rsid w:val="60232584"/>
    <w:rsid w:val="606122B8"/>
    <w:rsid w:val="6062071A"/>
    <w:rsid w:val="607330CE"/>
    <w:rsid w:val="60825176"/>
    <w:rsid w:val="609F2AC4"/>
    <w:rsid w:val="60A70313"/>
    <w:rsid w:val="60FA2EE8"/>
    <w:rsid w:val="61054A27"/>
    <w:rsid w:val="610A52BC"/>
    <w:rsid w:val="611D2366"/>
    <w:rsid w:val="61421856"/>
    <w:rsid w:val="615227C4"/>
    <w:rsid w:val="61654E3F"/>
    <w:rsid w:val="6182292A"/>
    <w:rsid w:val="618268F3"/>
    <w:rsid w:val="619F7F92"/>
    <w:rsid w:val="61E7627B"/>
    <w:rsid w:val="61F94C26"/>
    <w:rsid w:val="62000E56"/>
    <w:rsid w:val="62336126"/>
    <w:rsid w:val="624F3E49"/>
    <w:rsid w:val="62632286"/>
    <w:rsid w:val="62880827"/>
    <w:rsid w:val="62885958"/>
    <w:rsid w:val="62F40B65"/>
    <w:rsid w:val="62FC2CFE"/>
    <w:rsid w:val="63024505"/>
    <w:rsid w:val="635332D0"/>
    <w:rsid w:val="635B1DB5"/>
    <w:rsid w:val="63711FED"/>
    <w:rsid w:val="63880DDC"/>
    <w:rsid w:val="638D750D"/>
    <w:rsid w:val="63A076F9"/>
    <w:rsid w:val="63A13A48"/>
    <w:rsid w:val="63AC6CC0"/>
    <w:rsid w:val="64055776"/>
    <w:rsid w:val="64240056"/>
    <w:rsid w:val="643E143A"/>
    <w:rsid w:val="644707CB"/>
    <w:rsid w:val="644A0B08"/>
    <w:rsid w:val="647838E3"/>
    <w:rsid w:val="647D42EF"/>
    <w:rsid w:val="648B6EEF"/>
    <w:rsid w:val="64C158BF"/>
    <w:rsid w:val="64C3465A"/>
    <w:rsid w:val="64CE2EAA"/>
    <w:rsid w:val="653C3090"/>
    <w:rsid w:val="65854376"/>
    <w:rsid w:val="658767BE"/>
    <w:rsid w:val="65892531"/>
    <w:rsid w:val="65F029FD"/>
    <w:rsid w:val="66195831"/>
    <w:rsid w:val="662B6F85"/>
    <w:rsid w:val="662E75B1"/>
    <w:rsid w:val="66342C2E"/>
    <w:rsid w:val="663E784C"/>
    <w:rsid w:val="668B6A45"/>
    <w:rsid w:val="66DC04CF"/>
    <w:rsid w:val="66E14DD6"/>
    <w:rsid w:val="6729598A"/>
    <w:rsid w:val="672F3F24"/>
    <w:rsid w:val="673E055F"/>
    <w:rsid w:val="67551CE3"/>
    <w:rsid w:val="67A22552"/>
    <w:rsid w:val="67A2689E"/>
    <w:rsid w:val="67B22DCC"/>
    <w:rsid w:val="67BE71AA"/>
    <w:rsid w:val="67D90273"/>
    <w:rsid w:val="67DE5875"/>
    <w:rsid w:val="67E12D18"/>
    <w:rsid w:val="67E55852"/>
    <w:rsid w:val="67EB1AB4"/>
    <w:rsid w:val="67EE6494"/>
    <w:rsid w:val="67FA1285"/>
    <w:rsid w:val="68301D1A"/>
    <w:rsid w:val="68551F4F"/>
    <w:rsid w:val="68637725"/>
    <w:rsid w:val="687A24C5"/>
    <w:rsid w:val="687C10C9"/>
    <w:rsid w:val="68840C16"/>
    <w:rsid w:val="68876EFB"/>
    <w:rsid w:val="68884654"/>
    <w:rsid w:val="689F444F"/>
    <w:rsid w:val="68B96DBB"/>
    <w:rsid w:val="68CA2805"/>
    <w:rsid w:val="68E937A3"/>
    <w:rsid w:val="69191209"/>
    <w:rsid w:val="693E15D3"/>
    <w:rsid w:val="694B431B"/>
    <w:rsid w:val="69627681"/>
    <w:rsid w:val="6977531D"/>
    <w:rsid w:val="69CC2BFF"/>
    <w:rsid w:val="69FD55B8"/>
    <w:rsid w:val="6A0B1C62"/>
    <w:rsid w:val="6A2406C8"/>
    <w:rsid w:val="6A387554"/>
    <w:rsid w:val="6A930795"/>
    <w:rsid w:val="6ADE0BD1"/>
    <w:rsid w:val="6AE7627A"/>
    <w:rsid w:val="6AE96859"/>
    <w:rsid w:val="6B147746"/>
    <w:rsid w:val="6B1A4E15"/>
    <w:rsid w:val="6B24787C"/>
    <w:rsid w:val="6B573233"/>
    <w:rsid w:val="6B5B6274"/>
    <w:rsid w:val="6B935D53"/>
    <w:rsid w:val="6B95269F"/>
    <w:rsid w:val="6C196F71"/>
    <w:rsid w:val="6C226FCB"/>
    <w:rsid w:val="6C31226F"/>
    <w:rsid w:val="6C3655F8"/>
    <w:rsid w:val="6C374069"/>
    <w:rsid w:val="6C552F0B"/>
    <w:rsid w:val="6C6C7008"/>
    <w:rsid w:val="6C7D0EA2"/>
    <w:rsid w:val="6C8C67B7"/>
    <w:rsid w:val="6C9D744C"/>
    <w:rsid w:val="6CAE2F39"/>
    <w:rsid w:val="6D0A6C8F"/>
    <w:rsid w:val="6D167928"/>
    <w:rsid w:val="6D26299B"/>
    <w:rsid w:val="6D2D3E5E"/>
    <w:rsid w:val="6D4772EC"/>
    <w:rsid w:val="6D5A15B2"/>
    <w:rsid w:val="6D6342BA"/>
    <w:rsid w:val="6D9078AF"/>
    <w:rsid w:val="6DAA3FEF"/>
    <w:rsid w:val="6DB92D3A"/>
    <w:rsid w:val="6DC0172B"/>
    <w:rsid w:val="6DCB690C"/>
    <w:rsid w:val="6DD41A5B"/>
    <w:rsid w:val="6DF43C2E"/>
    <w:rsid w:val="6DF51CA3"/>
    <w:rsid w:val="6E190414"/>
    <w:rsid w:val="6E4F57FC"/>
    <w:rsid w:val="6E8335BD"/>
    <w:rsid w:val="6E8E12EF"/>
    <w:rsid w:val="6E972936"/>
    <w:rsid w:val="6EAF712D"/>
    <w:rsid w:val="6EB61AC7"/>
    <w:rsid w:val="6ED446C5"/>
    <w:rsid w:val="6F2A7D94"/>
    <w:rsid w:val="6F8331F1"/>
    <w:rsid w:val="6FAE1A09"/>
    <w:rsid w:val="6FD75BF8"/>
    <w:rsid w:val="6FE433C9"/>
    <w:rsid w:val="6FEB60AC"/>
    <w:rsid w:val="6FF414F5"/>
    <w:rsid w:val="70326C51"/>
    <w:rsid w:val="703353EC"/>
    <w:rsid w:val="70390D6C"/>
    <w:rsid w:val="707723D0"/>
    <w:rsid w:val="708E73B5"/>
    <w:rsid w:val="709B3ED1"/>
    <w:rsid w:val="70F5661B"/>
    <w:rsid w:val="71360107"/>
    <w:rsid w:val="713B688E"/>
    <w:rsid w:val="71D43752"/>
    <w:rsid w:val="71F1796A"/>
    <w:rsid w:val="72154626"/>
    <w:rsid w:val="72262B5D"/>
    <w:rsid w:val="72283FF7"/>
    <w:rsid w:val="722E7212"/>
    <w:rsid w:val="723A0474"/>
    <w:rsid w:val="724E2F9C"/>
    <w:rsid w:val="725923E4"/>
    <w:rsid w:val="72810CDD"/>
    <w:rsid w:val="72864BF7"/>
    <w:rsid w:val="729023FC"/>
    <w:rsid w:val="72E74B57"/>
    <w:rsid w:val="7315052E"/>
    <w:rsid w:val="731C47BB"/>
    <w:rsid w:val="73337CF4"/>
    <w:rsid w:val="734B14E2"/>
    <w:rsid w:val="73614D85"/>
    <w:rsid w:val="73977FF3"/>
    <w:rsid w:val="73C0646E"/>
    <w:rsid w:val="73D8229D"/>
    <w:rsid w:val="73E423A6"/>
    <w:rsid w:val="741D1295"/>
    <w:rsid w:val="742222F5"/>
    <w:rsid w:val="74245286"/>
    <w:rsid w:val="74476126"/>
    <w:rsid w:val="74706664"/>
    <w:rsid w:val="747F3682"/>
    <w:rsid w:val="749C4185"/>
    <w:rsid w:val="749F2C0F"/>
    <w:rsid w:val="74C83132"/>
    <w:rsid w:val="74DA0D6F"/>
    <w:rsid w:val="75067759"/>
    <w:rsid w:val="752E6DCD"/>
    <w:rsid w:val="7551380D"/>
    <w:rsid w:val="75600BE5"/>
    <w:rsid w:val="7564475C"/>
    <w:rsid w:val="7583797F"/>
    <w:rsid w:val="75947170"/>
    <w:rsid w:val="759F65DA"/>
    <w:rsid w:val="75B16641"/>
    <w:rsid w:val="75D20F1D"/>
    <w:rsid w:val="75DA2C18"/>
    <w:rsid w:val="75EF084A"/>
    <w:rsid w:val="75F54412"/>
    <w:rsid w:val="761D08E0"/>
    <w:rsid w:val="765D347C"/>
    <w:rsid w:val="76826699"/>
    <w:rsid w:val="76C87133"/>
    <w:rsid w:val="76CD08D5"/>
    <w:rsid w:val="76D32734"/>
    <w:rsid w:val="76DB4B92"/>
    <w:rsid w:val="76DE441B"/>
    <w:rsid w:val="77052AA4"/>
    <w:rsid w:val="77136511"/>
    <w:rsid w:val="77167D50"/>
    <w:rsid w:val="77340A39"/>
    <w:rsid w:val="77351FD0"/>
    <w:rsid w:val="77472422"/>
    <w:rsid w:val="777F31F2"/>
    <w:rsid w:val="77A829B6"/>
    <w:rsid w:val="77A967D7"/>
    <w:rsid w:val="77D1700D"/>
    <w:rsid w:val="77EC04CC"/>
    <w:rsid w:val="780574A4"/>
    <w:rsid w:val="78775729"/>
    <w:rsid w:val="78A42DB0"/>
    <w:rsid w:val="78A656AB"/>
    <w:rsid w:val="78A82F32"/>
    <w:rsid w:val="78B2245C"/>
    <w:rsid w:val="78E172CC"/>
    <w:rsid w:val="78EA1D1F"/>
    <w:rsid w:val="7904172F"/>
    <w:rsid w:val="790F7E27"/>
    <w:rsid w:val="79260021"/>
    <w:rsid w:val="792A231A"/>
    <w:rsid w:val="79316829"/>
    <w:rsid w:val="7934301A"/>
    <w:rsid w:val="79506C54"/>
    <w:rsid w:val="79773031"/>
    <w:rsid w:val="797E66A9"/>
    <w:rsid w:val="7997722F"/>
    <w:rsid w:val="79A97383"/>
    <w:rsid w:val="79D242D9"/>
    <w:rsid w:val="79E27E8B"/>
    <w:rsid w:val="79F850CE"/>
    <w:rsid w:val="79FD443C"/>
    <w:rsid w:val="7A1D1975"/>
    <w:rsid w:val="7A1E2D3A"/>
    <w:rsid w:val="7A3E5150"/>
    <w:rsid w:val="7A4670D6"/>
    <w:rsid w:val="7A534B63"/>
    <w:rsid w:val="7A546ECE"/>
    <w:rsid w:val="7A5E57D6"/>
    <w:rsid w:val="7A615382"/>
    <w:rsid w:val="7A67303B"/>
    <w:rsid w:val="7AA15E8B"/>
    <w:rsid w:val="7AAB1D04"/>
    <w:rsid w:val="7ABA4368"/>
    <w:rsid w:val="7AD05746"/>
    <w:rsid w:val="7B257FFD"/>
    <w:rsid w:val="7B343476"/>
    <w:rsid w:val="7B513559"/>
    <w:rsid w:val="7B5A2978"/>
    <w:rsid w:val="7B5A7E4C"/>
    <w:rsid w:val="7B667AF9"/>
    <w:rsid w:val="7B7468F8"/>
    <w:rsid w:val="7B950705"/>
    <w:rsid w:val="7BC35796"/>
    <w:rsid w:val="7BEE0103"/>
    <w:rsid w:val="7C0A0FE4"/>
    <w:rsid w:val="7C254906"/>
    <w:rsid w:val="7C590818"/>
    <w:rsid w:val="7C7C10F6"/>
    <w:rsid w:val="7C853BEA"/>
    <w:rsid w:val="7C881368"/>
    <w:rsid w:val="7CE27788"/>
    <w:rsid w:val="7D0C32F1"/>
    <w:rsid w:val="7D0F408D"/>
    <w:rsid w:val="7D491C6C"/>
    <w:rsid w:val="7D5429C0"/>
    <w:rsid w:val="7D6E6D43"/>
    <w:rsid w:val="7D761FBE"/>
    <w:rsid w:val="7DB57A34"/>
    <w:rsid w:val="7DE60973"/>
    <w:rsid w:val="7DEF0916"/>
    <w:rsid w:val="7E1E5218"/>
    <w:rsid w:val="7E3E1287"/>
    <w:rsid w:val="7E7023CC"/>
    <w:rsid w:val="7E9A4E1F"/>
    <w:rsid w:val="7EA7723A"/>
    <w:rsid w:val="7EF56FBB"/>
    <w:rsid w:val="7EF61959"/>
    <w:rsid w:val="7F0768EB"/>
    <w:rsid w:val="7F124CCE"/>
    <w:rsid w:val="7F143BEC"/>
    <w:rsid w:val="7F715AF2"/>
    <w:rsid w:val="7F886E69"/>
    <w:rsid w:val="7FF81FB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3"/>
    <w:qFormat/>
    <w:uiPriority w:val="0"/>
    <w:pPr>
      <w:spacing w:line="480" w:lineRule="exact"/>
      <w:ind w:firstLine="480" w:firstLineChars="200"/>
    </w:pPr>
    <w:rPr>
      <w:rFonts w:ascii="宋体" w:hAnsi="宋体"/>
      <w:sz w:val="24"/>
    </w:rPr>
  </w:style>
  <w:style w:type="paragraph" w:styleId="3">
    <w:name w:val="envelope return"/>
    <w:basedOn w:val="1"/>
    <w:qFormat/>
    <w:uiPriority w:val="0"/>
    <w:pPr>
      <w:snapToGrid w:val="0"/>
    </w:pPr>
    <w:rPr>
      <w:rFonts w:ascii="Arial" w:hAnsi="Arial" w:cs="Arial"/>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
    <w:link w:val="119"/>
    <w:qFormat/>
    <w:uiPriority w:val="0"/>
    <w:pPr>
      <w:adjustRightInd/>
      <w:spacing w:after="120" w:line="240" w:lineRule="auto"/>
      <w:ind w:left="420" w:leftChars="200" w:firstLine="21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color w:val="FF0000"/>
      <w:kern w:val="0"/>
      <w:sz w:val="20"/>
      <w:szCs w:val="20"/>
    </w:rPr>
  </w:style>
  <w:style w:type="paragraph" w:customStyle="1" w:styleId="9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top"/>
    </w:pPr>
    <w:rPr>
      <w:rFonts w:ascii="仿宋" w:hAnsi="仿宋" w:eastAsia="仿宋" w:cs="宋体"/>
      <w:color w:val="000000"/>
      <w:kern w:val="0"/>
      <w:sz w:val="20"/>
      <w:szCs w:val="20"/>
    </w:rPr>
  </w:style>
  <w:style w:type="paragraph" w:customStyle="1" w:styleId="965">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66">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96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69">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0">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jc w:val="left"/>
    </w:pPr>
    <w:rPr>
      <w:rFonts w:ascii="仿宋" w:hAnsi="仿宋" w:eastAsia="仿宋" w:cs="宋体"/>
      <w:b/>
      <w:bCs/>
      <w:kern w:val="0"/>
      <w:sz w:val="20"/>
      <w:szCs w:val="20"/>
    </w:rPr>
  </w:style>
  <w:style w:type="paragraph" w:customStyle="1" w:styleId="972">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pacing w:before="100" w:beforeAutospacing="1" w:after="100" w:afterAutospacing="1"/>
      <w:jc w:val="left"/>
    </w:pPr>
    <w:rPr>
      <w:rFonts w:ascii="仿宋" w:hAnsi="仿宋" w:eastAsia="仿宋" w:cs="宋体"/>
      <w:b/>
      <w:bCs/>
      <w:kern w:val="0"/>
      <w:sz w:val="20"/>
      <w:szCs w:val="20"/>
    </w:rPr>
  </w:style>
  <w:style w:type="paragraph" w:customStyle="1" w:styleId="97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customXml/item2.xml" Type="http://schemas.openxmlformats.org/officeDocument/2006/relationships/customXml"/><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8E41A-7747-4BCA-B885-139E07454BC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29411</Words>
  <Characters>31206</Characters>
  <Lines>755</Lines>
  <Paragraphs>494</Paragraphs>
  <TotalTime>18</TotalTime>
  <ScaleCrop>false</ScaleCrop>
  <LinksUpToDate>false</LinksUpToDate>
  <CharactersWithSpaces>34905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2022-07-20T07:43:00Z</dcterms:created>
  <dc:creator>玥</dc:creator>
  <cp:lastModifiedBy>既然青春留不住</cp:lastModifiedBy>
  <cp:lastPrinted>2022-04-02T05:45:00Z</cp:lastPrinted>
  <dcterms:modified xsi:type="dcterms:W3CDTF">2022-08-12T06:15:11Z</dcterms:modified>
  <cp:revision>41</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2BF73E9DAFB3461CB3FF7D4337E7748A</vt:lpwstr>
  </property>
</Properties>
</file>