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color w:val="auto"/>
          <w:sz w:val="44"/>
          <w:szCs w:val="44"/>
        </w:rPr>
      </w:pPr>
    </w:p>
    <w:p>
      <w:pPr>
        <w:pStyle w:val="2"/>
      </w:pPr>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w w:val="90"/>
          <w:sz w:val="48"/>
          <w:szCs w:val="48"/>
        </w:rPr>
        <w:t>杭州市公安局上城区分局综合服务管理项目</w:t>
      </w: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192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FYC022403-007</w:t>
      </w:r>
    </w:p>
    <w:p>
      <w:pPr>
        <w:spacing w:line="360" w:lineRule="auto"/>
        <w:jc w:val="center"/>
        <w:rPr>
          <w:rFonts w:ascii="仿宋" w:hAnsi="仿宋" w:eastAsia="仿宋" w:cs="仿宋"/>
          <w:color w:val="auto"/>
          <w:sz w:val="32"/>
          <w:szCs w:val="32"/>
        </w:rPr>
      </w:pPr>
      <w:r>
        <w:rPr>
          <w:rFonts w:hint="eastAsia" w:ascii="仿宋" w:hAnsi="仿宋" w:eastAsia="仿宋" w:cs="仿宋"/>
          <w:color w:val="auto"/>
          <w:sz w:val="32"/>
          <w:szCs w:val="32"/>
        </w:rPr>
        <w:t>杭州市公安局上城区分局</w:t>
      </w:r>
    </w:p>
    <w:p>
      <w:pPr>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浙江泛亚工程咨询有限公司</w:t>
      </w:r>
    </w:p>
    <w:p>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二〇二四年</w:t>
      </w: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十五</w:t>
      </w:r>
      <w:r>
        <w:rPr>
          <w:rFonts w:hint="eastAsia" w:ascii="仿宋" w:hAnsi="仿宋" w:eastAsia="仿宋" w:cs="仿宋"/>
          <w:bCs/>
          <w:color w:val="auto"/>
          <w:sz w:val="32"/>
          <w:szCs w:val="32"/>
        </w:rPr>
        <w:t>日</w:t>
      </w:r>
      <w:bookmarkStart w:id="0" w:name="_Hlt67893495"/>
      <w:bookmarkEnd w:id="0"/>
    </w:p>
    <w:p>
      <w:pPr>
        <w:spacing w:line="360" w:lineRule="auto"/>
        <w:jc w:val="center"/>
        <w:rPr>
          <w:rFonts w:ascii="仿宋" w:hAnsi="仿宋" w:eastAsia="仿宋" w:cs="仿宋"/>
          <w:b/>
          <w:color w:val="auto"/>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spacing w:line="60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bookmarkStart w:id="1" w:name="_Hlt91233176"/>
      <w:bookmarkEnd w:id="1"/>
      <w:bookmarkStart w:id="2" w:name="_Toc91899869"/>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36"/>
        </w:rPr>
        <w:br w:type="page"/>
      </w:r>
      <w:bookmarkEnd w:id="2"/>
      <w:bookmarkStart w:id="3" w:name="_Hlt74649545"/>
      <w:bookmarkEnd w:id="3"/>
      <w:bookmarkStart w:id="4" w:name="_Hlt74728647"/>
      <w:bookmarkEnd w:id="4"/>
      <w:bookmarkStart w:id="5" w:name="_Hlt74729822"/>
      <w:bookmarkEnd w:id="5"/>
      <w:bookmarkStart w:id="6" w:name="_Hlt74707423"/>
      <w:bookmarkEnd w:id="6"/>
      <w:bookmarkStart w:id="7" w:name="_Toc91899870"/>
      <w:bookmarkStart w:id="8" w:name="_Toc91899871"/>
      <w:r>
        <w:rPr>
          <w:rFonts w:hint="eastAsia" w:ascii="仿宋" w:hAnsi="仿宋" w:eastAsia="仿宋" w:cs="仿宋"/>
          <w:b/>
          <w:color w:val="auto"/>
          <w:sz w:val="36"/>
          <w:szCs w:val="20"/>
        </w:rPr>
        <w:t xml:space="preserve">第一部分 </w:t>
      </w:r>
      <w:r>
        <w:rPr>
          <w:rFonts w:ascii="仿宋" w:hAnsi="仿宋" w:eastAsia="仿宋" w:cs="仿宋"/>
          <w:b/>
          <w:color w:val="auto"/>
          <w:sz w:val="36"/>
          <w:szCs w:val="20"/>
        </w:rPr>
        <w:t xml:space="preserve"> </w:t>
      </w:r>
      <w:r>
        <w:rPr>
          <w:rFonts w:hint="eastAsia" w:ascii="仿宋" w:hAnsi="仿宋" w:eastAsia="仿宋" w:cs="仿宋"/>
          <w:b/>
          <w:color w:val="auto"/>
          <w:sz w:val="36"/>
          <w:szCs w:val="20"/>
        </w:rPr>
        <w:t>招标公告</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杭州市公安局上城区分局综合服务管理项目</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"https://www.zcygov.cn/）获取（下载）招标文件，并于2024年%20月%20日%20点%20分00秒" </w:instrText>
      </w:r>
      <w:r>
        <w:rPr>
          <w:color w:val="auto"/>
        </w:rPr>
        <w:fldChar w:fldCharType="separate"/>
      </w:r>
      <w:r>
        <w:rPr>
          <w:rStyle w:val="78"/>
          <w:rFonts w:hint="eastAsia" w:ascii="仿宋" w:hAnsi="仿宋" w:eastAsia="仿宋" w:cs="仿宋"/>
          <w:snapToGrid/>
          <w:color w:val="auto"/>
          <w:kern w:val="2"/>
          <w:sz w:val="24"/>
          <w:szCs w:val="24"/>
        </w:rPr>
        <w:t>https://www.zcygov.cn/）获取（下载）招标文件，并于2024年</w:t>
      </w:r>
      <w:r>
        <w:rPr>
          <w:rStyle w:val="78"/>
          <w:rFonts w:hint="eastAsia" w:ascii="仿宋" w:hAnsi="仿宋" w:eastAsia="仿宋" w:cs="仿宋"/>
          <w:snapToGrid/>
          <w:color w:val="auto"/>
          <w:kern w:val="2"/>
          <w:sz w:val="24"/>
          <w:szCs w:val="24"/>
          <w:lang w:val="en-US" w:eastAsia="zh-CN"/>
        </w:rPr>
        <w:t>04</w:t>
      </w:r>
      <w:r>
        <w:rPr>
          <w:rStyle w:val="78"/>
          <w:rFonts w:hint="eastAsia" w:ascii="仿宋" w:hAnsi="仿宋" w:eastAsia="仿宋" w:cs="仿宋"/>
          <w:snapToGrid/>
          <w:color w:val="auto"/>
          <w:kern w:val="2"/>
          <w:sz w:val="24"/>
          <w:szCs w:val="24"/>
        </w:rPr>
        <w:t>月</w:t>
      </w:r>
      <w:r>
        <w:rPr>
          <w:rStyle w:val="78"/>
          <w:rFonts w:hint="eastAsia" w:ascii="仿宋" w:hAnsi="仿宋" w:eastAsia="仿宋" w:cs="仿宋"/>
          <w:snapToGrid/>
          <w:color w:val="auto"/>
          <w:kern w:val="2"/>
          <w:sz w:val="24"/>
          <w:szCs w:val="24"/>
          <w:lang w:val="en-US" w:eastAsia="zh-CN"/>
        </w:rPr>
        <w:t>08</w:t>
      </w:r>
      <w:r>
        <w:rPr>
          <w:rStyle w:val="78"/>
          <w:rFonts w:hint="eastAsia" w:ascii="仿宋" w:hAnsi="仿宋" w:eastAsia="仿宋" w:cs="仿宋"/>
          <w:snapToGrid/>
          <w:color w:val="auto"/>
          <w:kern w:val="2"/>
          <w:sz w:val="24"/>
          <w:szCs w:val="24"/>
        </w:rPr>
        <w:t>日</w:t>
      </w:r>
      <w:r>
        <w:rPr>
          <w:rStyle w:val="78"/>
          <w:rFonts w:hint="eastAsia" w:ascii="仿宋" w:hAnsi="仿宋" w:eastAsia="仿宋" w:cs="仿宋"/>
          <w:snapToGrid/>
          <w:color w:val="auto"/>
          <w:kern w:val="2"/>
          <w:sz w:val="24"/>
          <w:szCs w:val="24"/>
          <w:lang w:val="en-US" w:eastAsia="zh-CN"/>
        </w:rPr>
        <w:t>13</w:t>
      </w:r>
      <w:r>
        <w:rPr>
          <w:rStyle w:val="78"/>
          <w:rFonts w:hint="eastAsia" w:ascii="仿宋" w:hAnsi="仿宋" w:eastAsia="仿宋" w:cs="仿宋"/>
          <w:snapToGrid/>
          <w:color w:val="auto"/>
          <w:kern w:val="2"/>
          <w:sz w:val="24"/>
          <w:szCs w:val="24"/>
        </w:rPr>
        <w:t xml:space="preserve">点 </w:t>
      </w:r>
      <w:r>
        <w:rPr>
          <w:rStyle w:val="78"/>
          <w:rFonts w:hint="eastAsia" w:ascii="仿宋" w:hAnsi="仿宋" w:eastAsia="仿宋" w:cs="仿宋"/>
          <w:snapToGrid/>
          <w:color w:val="auto"/>
          <w:kern w:val="2"/>
          <w:sz w:val="24"/>
          <w:szCs w:val="24"/>
          <w:lang w:val="en-US" w:eastAsia="zh-CN"/>
        </w:rPr>
        <w:t>30</w:t>
      </w:r>
      <w:r>
        <w:rPr>
          <w:rStyle w:val="78"/>
          <w:rFonts w:hint="eastAsia" w:ascii="仿宋" w:hAnsi="仿宋" w:eastAsia="仿宋" w:cs="仿宋"/>
          <w:snapToGrid/>
          <w:color w:val="auto"/>
          <w:kern w:val="2"/>
          <w:sz w:val="24"/>
          <w:szCs w:val="24"/>
        </w:rPr>
        <w:t>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color w:val="auto"/>
          <w:sz w:val="24"/>
        </w:rPr>
      </w:pPr>
      <w:r>
        <w:rPr>
          <w:rFonts w:hint="eastAsia" w:ascii="仿宋" w:hAnsi="仿宋" w:eastAsia="仿宋" w:cs="仿宋"/>
          <w:b/>
          <w:color w:val="auto"/>
          <w:sz w:val="24"/>
        </w:rPr>
        <w:t>一、项目基本情况</w:t>
      </w:r>
    </w:p>
    <w:p>
      <w:pPr>
        <w:spacing w:line="360" w:lineRule="auto"/>
        <w:ind w:firstLine="480"/>
        <w:rPr>
          <w:rFonts w:ascii="仿宋" w:hAnsi="仿宋" w:eastAsia="仿宋" w:cs="仿宋"/>
          <w:b/>
          <w:color w:val="auto"/>
          <w:sz w:val="24"/>
        </w:rPr>
      </w:pPr>
      <w:r>
        <w:rPr>
          <w:rFonts w:hint="eastAsia" w:ascii="仿宋" w:hAnsi="仿宋" w:eastAsia="仿宋" w:cs="仿宋"/>
          <w:b/>
          <w:color w:val="auto"/>
          <w:sz w:val="24"/>
        </w:rPr>
        <w:t>项目编号：FYC022403-007</w:t>
      </w:r>
    </w:p>
    <w:p>
      <w:pPr>
        <w:spacing w:line="360" w:lineRule="auto"/>
        <w:ind w:firstLine="480"/>
        <w:rPr>
          <w:rFonts w:ascii="仿宋" w:hAnsi="仿宋" w:eastAsia="仿宋" w:cs="仿宋"/>
          <w:b/>
          <w:color w:val="auto"/>
          <w:sz w:val="24"/>
        </w:rPr>
      </w:pPr>
      <w:r>
        <w:rPr>
          <w:rFonts w:hint="eastAsia" w:ascii="仿宋" w:hAnsi="仿宋" w:eastAsia="仿宋" w:cs="仿宋"/>
          <w:b/>
          <w:color w:val="auto"/>
          <w:sz w:val="24"/>
        </w:rPr>
        <w:t>项目名称：杭州市公安局上城区分局综合服务管理项目</w:t>
      </w:r>
    </w:p>
    <w:p>
      <w:pPr>
        <w:spacing w:line="360" w:lineRule="auto"/>
        <w:ind w:firstLine="480"/>
        <w:rPr>
          <w:rFonts w:ascii="仿宋" w:hAnsi="仿宋" w:eastAsia="仿宋" w:cs="仿宋"/>
          <w:b/>
          <w:color w:val="auto"/>
          <w:sz w:val="24"/>
        </w:rPr>
      </w:pPr>
      <w:r>
        <w:rPr>
          <w:rFonts w:hint="eastAsia" w:ascii="仿宋" w:hAnsi="仿宋" w:eastAsia="仿宋" w:cs="仿宋"/>
          <w:b/>
          <w:color w:val="auto"/>
          <w:sz w:val="24"/>
        </w:rPr>
        <w:t>预算金额（元）：12000000.00</w:t>
      </w:r>
    </w:p>
    <w:p>
      <w:pPr>
        <w:spacing w:line="360" w:lineRule="auto"/>
        <w:ind w:firstLine="480"/>
        <w:rPr>
          <w:rFonts w:ascii="仿宋" w:hAnsi="仿宋" w:eastAsia="仿宋" w:cs="仿宋"/>
          <w:color w:val="auto"/>
          <w:sz w:val="24"/>
        </w:rPr>
      </w:pPr>
      <w:r>
        <w:rPr>
          <w:rFonts w:hint="eastAsia" w:ascii="仿宋" w:hAnsi="仿宋" w:eastAsia="仿宋" w:cs="仿宋"/>
          <w:b/>
          <w:color w:val="auto"/>
          <w:sz w:val="24"/>
        </w:rPr>
        <w:t>最高限价（元）：12000000.00</w:t>
      </w:r>
    </w:p>
    <w:p>
      <w:pPr>
        <w:pStyle w:val="7"/>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杭州市公安局上城区分局综合服务管理项目主要内容：杭州市公安局上城区分局景芳路63号、候潮东路175号、艮山东路138-5号、中河中路88号综合服务管理。</w:t>
      </w:r>
      <w:r>
        <w:rPr>
          <w:rFonts w:hint="eastAsia" w:ascii="仿宋" w:hAnsi="仿宋" w:eastAsia="仿宋" w:cs="仿宋"/>
          <w:snapToGrid/>
          <w:color w:val="auto"/>
          <w:kern w:val="2"/>
          <w:sz w:val="24"/>
          <w:szCs w:val="24"/>
        </w:rPr>
        <w:t>具体以招标文件第三部分采购需求为准。</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合同履约期限：</w:t>
      </w:r>
      <w:r>
        <w:rPr>
          <w:rFonts w:hint="eastAsia" w:ascii="仿宋" w:hAnsi="仿宋" w:eastAsia="仿宋" w:cs="宋体"/>
          <w:b/>
          <w:color w:val="auto"/>
          <w:sz w:val="24"/>
        </w:rPr>
        <w:t>三年（具体要求以招标文件第三部分采购需求为准）</w:t>
      </w:r>
    </w:p>
    <w:p>
      <w:pPr>
        <w:pStyle w:val="7"/>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w:t>
      </w:r>
    </w:p>
    <w:p>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4.本项目的特定资格要求：无；</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rPr>
      </w:pPr>
      <w:r>
        <w:rPr>
          <w:rFonts w:hint="eastAsia" w:ascii="仿宋" w:hAnsi="仿宋" w:eastAsia="仿宋" w:cs="仿宋"/>
          <w:b/>
          <w:color w:val="auto"/>
          <w:sz w:val="24"/>
        </w:rPr>
        <w:t>三、获取招标文件</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08</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0</w:t>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08</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08</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numPr>
          <w:ilvl w:val="0"/>
          <w:numId w:val="1"/>
        </w:numPr>
        <w:spacing w:line="360" w:lineRule="auto"/>
        <w:rPr>
          <w:rFonts w:ascii="仿宋" w:hAnsi="仿宋" w:eastAsia="仿宋" w:cs="仿宋"/>
          <w:b/>
          <w:color w:val="auto"/>
          <w:sz w:val="24"/>
        </w:rPr>
      </w:pPr>
      <w:r>
        <w:rPr>
          <w:rFonts w:hint="eastAsia" w:ascii="仿宋" w:hAnsi="仿宋" w:eastAsia="仿宋" w:cs="仿宋"/>
          <w:b/>
          <w:color w:val="auto"/>
          <w:sz w:val="24"/>
        </w:rPr>
        <w:t>采购意向公开链接</w:t>
      </w:r>
    </w:p>
    <w:p>
      <w:pPr>
        <w:spacing w:line="360" w:lineRule="auto"/>
        <w:ind w:firstLine="420"/>
        <w:rPr>
          <w:rFonts w:ascii="仿宋" w:hAnsi="仿宋" w:eastAsia="仿宋" w:cs="仿宋"/>
          <w:bCs/>
          <w:color w:val="auto"/>
          <w:sz w:val="24"/>
        </w:rPr>
      </w:pPr>
      <w:r>
        <w:rPr>
          <w:rFonts w:hint="eastAsia" w:ascii="仿宋" w:hAnsi="仿宋" w:eastAsia="仿宋" w:cs="仿宋"/>
          <w:bCs/>
          <w:color w:val="auto"/>
          <w:sz w:val="24"/>
        </w:rPr>
        <w:t>https://zfcg.czt.zj.gov.cn/site/detail?parentId=600007&amp;articleId=dcQkkLvHXr4RqN69w0KPxw%3D%3D&amp;utm=site.site-PC-37000.979-pc-websitegroup-zhejiang-secondPage-front.2.6cd69fe0d4b811ee9a7a393e33913ce3</w:t>
      </w:r>
    </w:p>
    <w:p>
      <w:pPr>
        <w:spacing w:line="360" w:lineRule="auto"/>
        <w:rPr>
          <w:rFonts w:ascii="仿宋" w:hAnsi="仿宋" w:eastAsia="仿宋" w:cs="仿宋"/>
          <w:color w:val="auto"/>
          <w:sz w:val="24"/>
        </w:rPr>
      </w:pPr>
      <w:r>
        <w:rPr>
          <w:rFonts w:hint="eastAsia" w:ascii="仿宋" w:hAnsi="仿宋" w:eastAsia="仿宋" w:cs="仿宋"/>
          <w:b/>
          <w:color w:val="auto"/>
          <w:sz w:val="24"/>
        </w:rPr>
        <w:t>六、公告期限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ascii="仿宋" w:hAnsi="仿宋" w:eastAsia="仿宋" w:cs="仿宋"/>
          <w:b/>
          <w:color w:val="auto"/>
          <w:sz w:val="24"/>
        </w:rPr>
      </w:pPr>
      <w:r>
        <w:rPr>
          <w:rFonts w:hint="eastAsia" w:ascii="仿宋" w:hAnsi="仿宋" w:eastAsia="仿宋" w:cs="仿宋"/>
          <w:b/>
          <w:color w:val="auto"/>
          <w:sz w:val="24"/>
        </w:rPr>
        <w:t>七、其他补充事宜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1.采购人信息</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88"/>
        </w:rPr>
        <w:t>名</w:t>
      </w:r>
      <w:r>
        <w:rPr>
          <w:rFonts w:hint="eastAsia" w:ascii="仿宋" w:hAnsi="仿宋" w:eastAsia="仿宋" w:cs="仿宋"/>
          <w:color w:val="auto"/>
          <w:spacing w:val="0"/>
          <w:kern w:val="0"/>
          <w:sz w:val="24"/>
          <w:fitText w:val="960" w:id="-1028432888"/>
        </w:rPr>
        <w:t>称</w:t>
      </w:r>
      <w:r>
        <w:rPr>
          <w:rFonts w:hint="eastAsia" w:ascii="仿宋" w:hAnsi="仿宋" w:eastAsia="仿宋" w:cs="仿宋"/>
          <w:color w:val="auto"/>
          <w:sz w:val="24"/>
        </w:rPr>
        <w:t>：杭州市公安局上城区分局</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89"/>
        </w:rPr>
        <w:t>地</w:t>
      </w:r>
      <w:r>
        <w:rPr>
          <w:rFonts w:hint="eastAsia" w:ascii="仿宋" w:hAnsi="仿宋" w:eastAsia="仿宋" w:cs="仿宋"/>
          <w:color w:val="auto"/>
          <w:spacing w:val="0"/>
          <w:kern w:val="0"/>
          <w:sz w:val="24"/>
          <w:fitText w:val="960" w:id="-1028432889"/>
        </w:rPr>
        <w:t>址</w:t>
      </w:r>
      <w:r>
        <w:rPr>
          <w:rFonts w:hint="eastAsia" w:ascii="仿宋" w:hAnsi="仿宋" w:eastAsia="仿宋" w:cs="仿宋"/>
          <w:color w:val="auto"/>
          <w:sz w:val="24"/>
        </w:rPr>
        <w:t>：杭州市上城区候潮东路175号</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90"/>
        </w:rPr>
        <w:t>传</w:t>
      </w:r>
      <w:r>
        <w:rPr>
          <w:rFonts w:hint="eastAsia" w:ascii="仿宋" w:hAnsi="仿宋" w:eastAsia="仿宋" w:cs="仿宋"/>
          <w:color w:val="auto"/>
          <w:spacing w:val="0"/>
          <w:kern w:val="0"/>
          <w:sz w:val="24"/>
          <w:fitText w:val="960" w:id="-1028432890"/>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项目联系人（询问）：钟警官</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w:t>
      </w:r>
      <w:r>
        <w:rPr>
          <w:rFonts w:ascii="仿宋" w:hAnsi="仿宋" w:eastAsia="仿宋" w:cs="仿宋"/>
          <w:color w:val="auto"/>
          <w:sz w:val="24"/>
        </w:rPr>
        <w:t>13588815240</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质疑联系人：裘主任</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w:t>
      </w:r>
      <w:r>
        <w:rPr>
          <w:rFonts w:ascii="仿宋" w:hAnsi="仿宋" w:eastAsia="仿宋" w:cs="仿宋"/>
          <w:color w:val="auto"/>
          <w:sz w:val="24"/>
        </w:rPr>
        <w:t>13606709884</w:t>
      </w:r>
      <w:r>
        <w:rPr>
          <w:rFonts w:hint="eastAsia" w:ascii="仿宋" w:hAnsi="仿宋" w:eastAsia="仿宋" w:cs="仿宋"/>
          <w:color w:val="auto"/>
          <w:sz w:val="24"/>
        </w:rPr>
        <w:t>（请通过以下路径在线提起质疑：政采云-项目采购-询问质疑投诉-质疑列表）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2.采购代理机构信息</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91"/>
        </w:rPr>
        <w:t>名</w:t>
      </w:r>
      <w:r>
        <w:rPr>
          <w:rFonts w:hint="eastAsia" w:ascii="仿宋" w:hAnsi="仿宋" w:eastAsia="仿宋" w:cs="仿宋"/>
          <w:color w:val="auto"/>
          <w:spacing w:val="0"/>
          <w:kern w:val="0"/>
          <w:sz w:val="24"/>
          <w:fitText w:val="960" w:id="-1028432891"/>
        </w:rPr>
        <w:t>称</w:t>
      </w:r>
      <w:r>
        <w:rPr>
          <w:rFonts w:hint="eastAsia" w:ascii="仿宋" w:hAnsi="仿宋" w:eastAsia="仿宋" w:cs="仿宋"/>
          <w:color w:val="auto"/>
          <w:sz w:val="24"/>
        </w:rPr>
        <w:t>：浙江泛亚工程咨询有限公司</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92"/>
        </w:rPr>
        <w:t>地</w:t>
      </w:r>
      <w:r>
        <w:rPr>
          <w:rFonts w:hint="eastAsia" w:ascii="仿宋" w:hAnsi="仿宋" w:eastAsia="仿宋" w:cs="仿宋"/>
          <w:color w:val="auto"/>
          <w:spacing w:val="0"/>
          <w:kern w:val="0"/>
          <w:sz w:val="24"/>
          <w:fitText w:val="960" w:id="-1028432892"/>
        </w:rPr>
        <w:t>址</w:t>
      </w:r>
      <w:r>
        <w:rPr>
          <w:rFonts w:hint="eastAsia" w:ascii="仿宋" w:hAnsi="仿宋" w:eastAsia="仿宋" w:cs="仿宋"/>
          <w:color w:val="auto"/>
          <w:sz w:val="24"/>
        </w:rPr>
        <w:t>：杭州市西湖区天目山路181号天际大厦803、804室</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93"/>
        </w:rPr>
        <w:t>传</w:t>
      </w:r>
      <w:r>
        <w:rPr>
          <w:rFonts w:hint="eastAsia" w:ascii="仿宋" w:hAnsi="仿宋" w:eastAsia="仿宋" w:cs="仿宋"/>
          <w:color w:val="auto"/>
          <w:spacing w:val="0"/>
          <w:kern w:val="0"/>
          <w:sz w:val="24"/>
          <w:fitText w:val="960" w:id="-1028432893"/>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项目联系人（询问）：黄林承</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项目联系方式（询问）：19858153552</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质疑联系人：童晓玲</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w:t>
      </w:r>
      <w:r>
        <w:rPr>
          <w:rFonts w:ascii="仿宋" w:hAnsi="仿宋" w:eastAsia="仿宋" w:cs="仿宋"/>
          <w:color w:val="auto"/>
          <w:sz w:val="24"/>
        </w:rPr>
        <w:t>15356660011</w:t>
      </w:r>
      <w:r>
        <w:rPr>
          <w:rFonts w:hint="eastAsia" w:ascii="仿宋" w:hAnsi="仿宋" w:eastAsia="仿宋" w:cs="仿宋"/>
          <w:color w:val="auto"/>
          <w:sz w:val="24"/>
        </w:rPr>
        <w:t>（请通过以下路径在线提起质疑：政采云-项目采购-询问质疑投诉-质疑列表）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3.同级政府采购监督管理部门</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432894"/>
        </w:rPr>
        <w:t>名</w:t>
      </w:r>
      <w:r>
        <w:rPr>
          <w:rFonts w:hint="eastAsia" w:ascii="仿宋" w:hAnsi="仿宋" w:eastAsia="仿宋" w:cs="仿宋"/>
          <w:color w:val="auto"/>
          <w:spacing w:val="0"/>
          <w:kern w:val="0"/>
          <w:sz w:val="24"/>
          <w:fitText w:val="960" w:id="-1028432894"/>
        </w:rPr>
        <w:t>称</w:t>
      </w:r>
      <w:r>
        <w:rPr>
          <w:rFonts w:hint="eastAsia" w:ascii="仿宋" w:hAnsi="仿宋" w:eastAsia="仿宋" w:cs="仿宋"/>
          <w:color w:val="auto"/>
          <w:sz w:val="24"/>
        </w:rPr>
        <w:t>：杭州市上城区财政局/浙江省政府采购行政裁决服务中心（杭州）</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432895"/>
        </w:rPr>
        <w:t>地</w:t>
      </w:r>
      <w:r>
        <w:rPr>
          <w:rFonts w:hint="eastAsia" w:ascii="仿宋" w:hAnsi="仿宋" w:eastAsia="仿宋" w:cs="仿宋"/>
          <w:color w:val="auto"/>
          <w:spacing w:val="0"/>
          <w:kern w:val="0"/>
          <w:sz w:val="24"/>
          <w:fitText w:val="960" w:id="-1028432895"/>
        </w:rPr>
        <w:t>址</w:t>
      </w:r>
      <w:r>
        <w:rPr>
          <w:rFonts w:hint="eastAsia" w:ascii="仿宋" w:hAnsi="仿宋" w:eastAsia="仿宋" w:cs="仿宋"/>
          <w:color w:val="auto"/>
          <w:sz w:val="24"/>
        </w:rPr>
        <w:t>：杭州市上城区四季青街道新业路市民之家G03办公室（快递仅限ems或顺丰）</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432896"/>
        </w:rPr>
        <w:t>传</w:t>
      </w:r>
      <w:r>
        <w:rPr>
          <w:rFonts w:hint="eastAsia" w:ascii="仿宋" w:hAnsi="仿宋" w:eastAsia="仿宋" w:cs="仿宋"/>
          <w:color w:val="auto"/>
          <w:spacing w:val="0"/>
          <w:kern w:val="0"/>
          <w:sz w:val="24"/>
          <w:fitText w:val="960" w:id="-1028432896"/>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联系人：朱女士/王女士</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监督投诉电话：0571-85252453（仅限投诉事项）</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adjustRightInd/>
        <w:spacing w:line="360" w:lineRule="auto"/>
        <w:jc w:val="center"/>
        <w:outlineLvl w:val="0"/>
        <w:rPr>
          <w:rFonts w:ascii="仿宋" w:hAnsi="仿宋" w:eastAsia="仿宋" w:cs="仿宋"/>
          <w:b/>
          <w:color w:val="auto"/>
          <w:sz w:val="36"/>
          <w:szCs w:val="20"/>
        </w:rPr>
        <w:sectPr>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 xml:space="preserve">第二部分 </w:t>
      </w:r>
      <w:r>
        <w:rPr>
          <w:rFonts w:ascii="仿宋" w:hAnsi="仿宋" w:eastAsia="仿宋" w:cs="仿宋"/>
          <w:b/>
          <w:color w:val="auto"/>
          <w:sz w:val="36"/>
          <w:szCs w:val="20"/>
        </w:rPr>
        <w:t xml:space="preserve"> </w:t>
      </w:r>
      <w:r>
        <w:rPr>
          <w:rFonts w:hint="eastAsia" w:ascii="仿宋" w:hAnsi="仿宋" w:eastAsia="仿宋" w:cs="仿宋"/>
          <w:b/>
          <w:color w:val="auto"/>
          <w:sz w:val="36"/>
          <w:szCs w:val="20"/>
        </w:rPr>
        <w:t>投标人须知</w:t>
      </w:r>
      <w:bookmarkEnd w:id="7"/>
    </w:p>
    <w:p>
      <w:pPr>
        <w:adjustRightInd/>
        <w:spacing w:line="360"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60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序号</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事项</w:t>
            </w:r>
          </w:p>
        </w:tc>
        <w:tc>
          <w:tcPr>
            <w:tcW w:w="6095"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2"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项目属性</w:t>
            </w:r>
          </w:p>
        </w:tc>
        <w:tc>
          <w:tcPr>
            <w:tcW w:w="6095" w:type="dxa"/>
            <w:vAlign w:val="center"/>
          </w:tcPr>
          <w:p>
            <w:pPr>
              <w:rPr>
                <w:rFonts w:ascii="仿宋" w:hAnsi="仿宋" w:eastAsia="仿宋" w:cs="仿宋"/>
                <w:color w:val="auto"/>
                <w:sz w:val="24"/>
              </w:rPr>
            </w:pPr>
            <w:r>
              <w:rPr>
                <w:rFonts w:hint="eastAsia" w:ascii="仿宋" w:hAnsi="仿宋" w:eastAsia="仿宋" w:cs="仿宋"/>
                <w:color w:val="auto"/>
                <w:sz w:val="24"/>
              </w:rPr>
              <w:t>服务类。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1"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2</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vAlign w:val="center"/>
          </w:tcPr>
          <w:p>
            <w:pPr>
              <w:numPr>
                <w:ilvl w:val="0"/>
                <w:numId w:val="2"/>
              </w:numPr>
              <w:snapToGrid w:val="0"/>
              <w:rPr>
                <w:rFonts w:ascii="仿宋" w:hAnsi="仿宋" w:eastAsia="仿宋" w:cs="宋体"/>
                <w:color w:val="auto"/>
                <w:kern w:val="0"/>
                <w:sz w:val="24"/>
              </w:rPr>
            </w:pPr>
            <w:r>
              <w:rPr>
                <w:rFonts w:hint="eastAsia" w:ascii="仿宋" w:hAnsi="仿宋" w:eastAsia="仿宋" w:cs="宋体"/>
                <w:color w:val="auto"/>
                <w:kern w:val="0"/>
                <w:sz w:val="24"/>
              </w:rPr>
              <w:t>标的：</w:t>
            </w:r>
            <w:r>
              <w:rPr>
                <w:rFonts w:hint="eastAsia" w:ascii="仿宋" w:hAnsi="仿宋" w:eastAsia="仿宋" w:cs="宋体"/>
                <w:color w:val="auto"/>
                <w:kern w:val="0"/>
                <w:sz w:val="24"/>
                <w:u w:val="single"/>
              </w:rPr>
              <w:t>杭州市公安局上城区分局综合服务管理项目</w:t>
            </w:r>
            <w:r>
              <w:rPr>
                <w:rFonts w:hint="eastAsia" w:ascii="仿宋" w:hAnsi="仿宋" w:eastAsia="仿宋" w:cs="宋体"/>
                <w:color w:val="auto"/>
                <w:kern w:val="0"/>
                <w:sz w:val="24"/>
              </w:rPr>
              <w:t>，属于</w:t>
            </w:r>
            <w:r>
              <w:rPr>
                <w:rFonts w:hint="eastAsia" w:ascii="仿宋" w:hAnsi="仿宋" w:eastAsia="仿宋" w:cs="宋体"/>
                <w:color w:val="auto"/>
                <w:kern w:val="0"/>
                <w:sz w:val="24"/>
                <w:u w:val="single"/>
              </w:rPr>
              <w:t>其他未列明</w:t>
            </w:r>
            <w:r>
              <w:rPr>
                <w:rFonts w:hint="eastAsia" w:ascii="仿宋" w:hAnsi="仿宋" w:eastAsia="仿宋" w:cs="宋体"/>
                <w:color w:val="auto"/>
                <w:kern w:val="0"/>
                <w:sz w:val="24"/>
              </w:rPr>
              <w:t>行业；</w:t>
            </w:r>
          </w:p>
          <w:p>
            <w:pPr>
              <w:snapToGrid w:val="0"/>
              <w:rPr>
                <w:rFonts w:ascii="仿宋" w:hAnsi="仿宋" w:eastAsia="仿宋" w:cs="宋体"/>
                <w:color w:val="auto"/>
                <w:kern w:val="0"/>
                <w:sz w:val="24"/>
              </w:rPr>
            </w:pPr>
            <w:r>
              <w:rPr>
                <w:rFonts w:hint="eastAsia" w:ascii="仿宋" w:hAnsi="仿宋" w:eastAsia="仿宋" w:cs="宋体"/>
                <w:color w:val="auto"/>
                <w:kern w:val="0"/>
                <w:sz w:val="24"/>
              </w:rPr>
              <w:t>（2）备注：《关于印发中小企业划型标准规定的通知》（工信部联企业〔2011〕300）：</w:t>
            </w:r>
            <w:r>
              <w:rPr>
                <w:rFonts w:hint="eastAsia" w:ascii="仿宋" w:hAnsi="仿宋" w:eastAsia="仿宋" w:cs="宋体"/>
                <w:color w:val="auto"/>
                <w:kern w:val="0"/>
                <w:sz w:val="24"/>
                <w:u w:val="single"/>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4"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3</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vAlign w:val="center"/>
          </w:tcPr>
          <w:p>
            <w:pPr>
              <w:rPr>
                <w:rFonts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rPr>
                <w:rFonts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 </w:t>
            </w:r>
            <w:r>
              <w:rPr>
                <w:rFonts w:hint="eastAsia" w:ascii="仿宋" w:hAnsi="仿宋" w:eastAsia="仿宋" w:cs="仿宋"/>
                <w:color w:val="auto"/>
                <w:kern w:val="0"/>
                <w:sz w:val="24"/>
              </w:rPr>
              <w:t>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58"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4</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分包</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同意将非主体、非关键性的工作分包。</w:t>
            </w:r>
          </w:p>
          <w:p>
            <w:pPr>
              <w:rPr>
                <w:rFonts w:ascii="仿宋" w:hAnsi="仿宋" w:eastAsia="仿宋" w:cs="仿宋"/>
                <w:color w:val="auto"/>
                <w:sz w:val="24"/>
              </w:rPr>
            </w:pPr>
            <w:sdt>
              <w:sdtPr>
                <w:rPr>
                  <w:rFonts w:hint="eastAsia" w:ascii="仿宋" w:hAnsi="仿宋" w:eastAsia="仿宋" w:cs="仿宋"/>
                  <w:color w:val="auto"/>
                  <w:kern w:val="0"/>
                  <w:sz w:val="24"/>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不同意分包。</w:t>
            </w:r>
          </w:p>
          <w:p>
            <w:pPr>
              <w:rPr>
                <w:rFonts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20"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5</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rPr>
                <w:rFonts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7"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6</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rPr>
                <w:rFonts w:ascii="仿宋" w:hAnsi="仿宋" w:eastAsia="仿宋" w:cs="仿宋"/>
                <w:color w:val="auto"/>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Segoe UI Symbol" w:hAnsi="Segoe UI Symbol" w:eastAsia="仿宋" w:cs="Segoe UI Symbol"/>
                    <w:color w:val="auto"/>
                    <w:kern w:val="0"/>
                    <w:sz w:val="24"/>
                  </w:rPr>
                  <w:t>☐</w:t>
                </w:r>
              </w:sdtContent>
            </w:sdt>
            <w:r>
              <w:rPr>
                <w:rFonts w:hint="eastAsia" w:ascii="仿宋" w:hAnsi="仿宋" w:eastAsia="仿宋" w:cs="仿宋"/>
                <w:color w:val="auto"/>
                <w:kern w:val="0"/>
                <w:sz w:val="24"/>
              </w:rPr>
              <w:t>B要求提供</w:t>
            </w: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67"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7</w:t>
            </w:r>
          </w:p>
        </w:tc>
        <w:tc>
          <w:tcPr>
            <w:tcW w:w="1843" w:type="dxa"/>
            <w:vAlign w:val="center"/>
          </w:tcPr>
          <w:p>
            <w:pPr>
              <w:snapToGrid w:val="0"/>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rPr>
                <w:rFonts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MS Gothic" w:cs="仿宋"/>
                    <w:color w:val="auto"/>
                    <w:kern w:val="0"/>
                    <w:sz w:val="24"/>
                  </w:rPr>
                  <w:t>☐</w:t>
                </w:r>
              </w:sdtContent>
            </w:sdt>
            <w:r>
              <w:rPr>
                <w:rFonts w:hint="eastAsia" w:ascii="仿宋" w:hAnsi="仿宋" w:eastAsia="仿宋" w:cs="仿宋"/>
                <w:color w:val="auto"/>
                <w:kern w:val="0"/>
                <w:sz w:val="24"/>
              </w:rPr>
              <w:t>B组织。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atLeast"/>
          <w:tblHeader/>
          <w:jc w:val="center"/>
        </w:trPr>
        <w:tc>
          <w:tcPr>
            <w:tcW w:w="629" w:type="dxa"/>
            <w:vMerge w:val="restart"/>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8</w:t>
            </w:r>
          </w:p>
        </w:tc>
        <w:tc>
          <w:tcPr>
            <w:tcW w:w="1843" w:type="dxa"/>
            <w:vMerge w:val="restart"/>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vAlign w:val="center"/>
          </w:tcPr>
          <w:p>
            <w:pPr>
              <w:rPr>
                <w:rFonts w:ascii="仿宋" w:hAnsi="仿宋" w:eastAsia="仿宋" w:cs="仿宋"/>
                <w:snapToGrid w:val="0"/>
                <w:color w:val="auto"/>
                <w:kern w:val="0"/>
                <w:szCs w:val="21"/>
              </w:rPr>
            </w:pPr>
            <w:r>
              <w:rPr>
                <w:rFonts w:hint="eastAsia" w:ascii="仿宋" w:hAnsi="仿宋" w:eastAsia="仿宋" w:cs="仿宋"/>
                <w:color w:val="auto"/>
                <w:sz w:val="24"/>
              </w:rPr>
              <w:t>（1）资格证明文件：</w:t>
            </w: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8"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3"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9</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vAlign w:val="center"/>
          </w:tcPr>
          <w:p>
            <w:pPr>
              <w:snapToGrid w:val="0"/>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6"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10</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6095" w:type="dxa"/>
            <w:vAlign w:val="center"/>
          </w:tcPr>
          <w:p>
            <w:pPr>
              <w:snapToGrid w:val="0"/>
              <w:jc w:val="left"/>
              <w:rPr>
                <w:rFonts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ind w:firstLine="241" w:firstLineChars="10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ind w:firstLine="241" w:firstLineChars="100"/>
              <w:jc w:val="left"/>
              <w:rPr>
                <w:rFonts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ind w:firstLine="241" w:firstLineChars="100"/>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ind w:firstLine="241" w:firstLineChars="100"/>
              <w:rPr>
                <w:rFonts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39" w:hRule="atLeast"/>
          <w:tblHeader/>
          <w:jc w:val="center"/>
        </w:trPr>
        <w:tc>
          <w:tcPr>
            <w:tcW w:w="629" w:type="dxa"/>
            <w:tcBorders>
              <w:bottom w:val="single" w:color="auto" w:sz="6" w:space="0"/>
            </w:tcBorders>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11</w:t>
            </w:r>
          </w:p>
        </w:tc>
        <w:tc>
          <w:tcPr>
            <w:tcW w:w="1843" w:type="dxa"/>
            <w:tcBorders>
              <w:bottom w:val="single" w:color="auto" w:sz="6" w:space="0"/>
            </w:tcBorders>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bottom w:val="single" w:color="auto" w:sz="6" w:space="0"/>
            </w:tcBorders>
            <w:vAlign w:val="center"/>
          </w:tcPr>
          <w:p>
            <w:pPr>
              <w:ind w:firstLine="480" w:firstLineChars="200"/>
              <w:rPr>
                <w:rFonts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34" w:hRule="atLeast"/>
          <w:tblHeader/>
          <w:jc w:val="center"/>
        </w:trPr>
        <w:tc>
          <w:tcPr>
            <w:tcW w:w="629" w:type="dxa"/>
            <w:tcBorders>
              <w:bottom w:val="single" w:color="auto" w:sz="6" w:space="0"/>
            </w:tcBorders>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12</w:t>
            </w:r>
          </w:p>
        </w:tc>
        <w:tc>
          <w:tcPr>
            <w:tcW w:w="1843" w:type="dxa"/>
            <w:tcBorders>
              <w:bottom w:val="single" w:color="auto" w:sz="6" w:space="0"/>
            </w:tcBorders>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tcBorders>
              <w:bottom w:val="single" w:color="auto" w:sz="6" w:space="0"/>
            </w:tcBorders>
            <w:vAlign w:val="center"/>
          </w:tcPr>
          <w:p>
            <w:pPr>
              <w:pStyle w:val="34"/>
              <w:rPr>
                <w:rFonts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u w:val="single"/>
              </w:rPr>
              <w:t>杭州市西湖区天目山路181号天际大厦803室；备份响应文件签收人员联系电话：黄林承，19858153552</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blHeader/>
          <w:jc w:val="center"/>
        </w:trPr>
        <w:tc>
          <w:tcPr>
            <w:tcW w:w="629" w:type="dxa"/>
            <w:vMerge w:val="restart"/>
            <w:tcBorders>
              <w:top w:val="single" w:color="auto" w:sz="6" w:space="0"/>
            </w:tcBorders>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13</w:t>
            </w:r>
          </w:p>
        </w:tc>
        <w:tc>
          <w:tcPr>
            <w:tcW w:w="1843" w:type="dxa"/>
            <w:vMerge w:val="restart"/>
            <w:tcBorders>
              <w:top w:val="single" w:color="auto" w:sz="6" w:space="0"/>
            </w:tcBorders>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auto" w:sz="6" w:space="0"/>
            </w:tcBorders>
            <w:vAlign w:val="center"/>
          </w:tcPr>
          <w:p>
            <w:pPr>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8"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仿宋"/>
                <w:snapToGrid w:val="0"/>
                <w:color w:val="auto"/>
                <w:kern w:val="28"/>
                <w:sz w:val="24"/>
              </w:rPr>
            </w:pPr>
            <w:sdt>
              <w:sdtPr>
                <w:rPr>
                  <w:rFonts w:hint="eastAsia" w:ascii="仿宋" w:hAnsi="仿宋" w:eastAsia="仿宋" w:cs="仿宋"/>
                  <w:color w:val="auto"/>
                  <w:kern w:val="0"/>
                  <w:sz w:val="24"/>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rPr>
                <w:rFonts w:ascii="仿宋" w:hAnsi="仿宋" w:eastAsia="仿宋" w:cs="仿宋"/>
                <w:snapToGrid w:val="0"/>
                <w:color w:val="auto"/>
                <w:kern w:val="28"/>
                <w:sz w:val="24"/>
              </w:rPr>
            </w:pPr>
            <w:sdt>
              <w:sdtPr>
                <w:rPr>
                  <w:rFonts w:hint="eastAsia" w:ascii="仿宋" w:hAnsi="仿宋" w:eastAsia="仿宋" w:cs="仿宋"/>
                  <w:color w:val="auto"/>
                  <w:kern w:val="0"/>
                  <w:sz w:val="24"/>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57" w:hRule="atLeast"/>
          <w:tblHeader/>
          <w:jc w:val="center"/>
        </w:trPr>
        <w:tc>
          <w:tcPr>
            <w:tcW w:w="629" w:type="dxa"/>
            <w:vMerge w:val="continue"/>
            <w:vAlign w:val="center"/>
          </w:tcPr>
          <w:p>
            <w:pPr>
              <w:snapToGrid w:val="0"/>
              <w:jc w:val="center"/>
              <w:rPr>
                <w:rFonts w:ascii="仿宋" w:hAnsi="仿宋" w:eastAsia="仿宋" w:cs="仿宋"/>
                <w:color w:val="auto"/>
                <w:sz w:val="24"/>
              </w:rPr>
            </w:pPr>
            <w:bookmarkStart w:id="9" w:name="_Toc164416483"/>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pStyle w:val="34"/>
              <w:jc w:val="left"/>
              <w:rPr>
                <w:rFonts w:hint="eastAsia" w:ascii="仿宋" w:hAnsi="仿宋" w:eastAsia="仿宋"/>
                <w:color w:val="auto"/>
                <w:kern w:val="28"/>
                <w:sz w:val="24"/>
                <w:szCs w:val="24"/>
              </w:rPr>
            </w:pPr>
            <w:r>
              <w:rPr>
                <w:rFonts w:hint="eastAsia" w:ascii="仿宋" w:hAnsi="仿宋" w:eastAsia="仿宋"/>
                <w:color w:val="auto"/>
                <w:kern w:val="28"/>
                <w:sz w:val="24"/>
                <w:szCs w:val="24"/>
              </w:rPr>
              <w:t>代理服务费及采购需求调研服务费：</w:t>
            </w:r>
          </w:p>
          <w:p>
            <w:pPr>
              <w:pStyle w:val="34"/>
              <w:jc w:val="left"/>
              <w:rPr>
                <w:rFonts w:hint="eastAsia" w:ascii="仿宋" w:hAnsi="仿宋" w:eastAsia="仿宋"/>
                <w:color w:val="auto"/>
                <w:kern w:val="28"/>
                <w:sz w:val="24"/>
                <w:szCs w:val="24"/>
              </w:rPr>
            </w:pPr>
            <w:r>
              <w:rPr>
                <w:rFonts w:hint="eastAsia" w:ascii="仿宋" w:hAnsi="仿宋" w:eastAsia="仿宋"/>
                <w:color w:val="auto"/>
                <w:kern w:val="28"/>
                <w:sz w:val="24"/>
                <w:szCs w:val="24"/>
              </w:rPr>
              <w:t>（1）支付方：中标供应商</w:t>
            </w:r>
          </w:p>
          <w:p>
            <w:pPr>
              <w:pStyle w:val="34"/>
              <w:jc w:val="left"/>
              <w:rPr>
                <w:rFonts w:hint="eastAsia" w:ascii="仿宋" w:hAnsi="仿宋" w:eastAsia="仿宋"/>
                <w:color w:val="auto"/>
                <w:kern w:val="28"/>
                <w:sz w:val="24"/>
                <w:szCs w:val="24"/>
              </w:rPr>
            </w:pPr>
            <w:r>
              <w:rPr>
                <w:rFonts w:hint="eastAsia" w:ascii="仿宋" w:hAnsi="仿宋" w:eastAsia="仿宋"/>
                <w:color w:val="auto"/>
                <w:kern w:val="28"/>
                <w:sz w:val="24"/>
                <w:szCs w:val="24"/>
              </w:rPr>
              <w:t>（2）代理服务费收取标准：以中标金额为基数，参照国家计委关于印发《招标代理服务收费管理暂行办法》的通知【计价格[2002]1980号】的收费标准收取。采购需求调研服务费</w:t>
            </w:r>
            <w:r>
              <w:rPr>
                <w:rFonts w:hint="eastAsia" w:ascii="仿宋" w:hAnsi="仿宋" w:eastAsia="仿宋"/>
                <w:color w:val="auto"/>
                <w:kern w:val="28"/>
                <w:sz w:val="24"/>
                <w:szCs w:val="24"/>
                <w:lang w:val="en-US" w:eastAsia="zh-CN"/>
              </w:rPr>
              <w:t>2</w:t>
            </w:r>
            <w:r>
              <w:rPr>
                <w:rFonts w:hint="eastAsia" w:ascii="仿宋" w:hAnsi="仿宋" w:eastAsia="仿宋"/>
                <w:color w:val="auto"/>
                <w:kern w:val="28"/>
                <w:sz w:val="24"/>
                <w:szCs w:val="24"/>
              </w:rPr>
              <w:t>万元。</w:t>
            </w:r>
          </w:p>
          <w:p>
            <w:pPr>
              <w:pStyle w:val="34"/>
              <w:jc w:val="left"/>
              <w:rPr>
                <w:rFonts w:hint="eastAsia" w:ascii="仿宋" w:hAnsi="仿宋" w:eastAsia="仿宋"/>
                <w:color w:val="auto"/>
                <w:kern w:val="28"/>
                <w:sz w:val="24"/>
                <w:szCs w:val="24"/>
              </w:rPr>
            </w:pPr>
            <w:r>
              <w:rPr>
                <w:rFonts w:hint="eastAsia" w:ascii="仿宋" w:hAnsi="仿宋" w:eastAsia="仿宋"/>
                <w:color w:val="auto"/>
                <w:kern w:val="28"/>
                <w:sz w:val="24"/>
                <w:szCs w:val="24"/>
              </w:rPr>
              <w:t>（3）缴纳时间：采购结果发布后5日内一次性缴纳</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（4）收取账户：</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①代理服务费缴纳形式：汇票/支票/电汇/现金</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②代理服务费汇入以下账户：</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收款单位（户名）：浙江泛亚工程咨询有限公司</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开户行：中国建设银行杭州西湖支行</w:t>
            </w:r>
          </w:p>
          <w:p>
            <w:pPr>
              <w:rPr>
                <w:rFonts w:ascii="仿宋" w:hAnsi="仿宋" w:eastAsia="仿宋"/>
                <w:color w:val="auto"/>
                <w:kern w:val="28"/>
                <w:sz w:val="24"/>
              </w:rPr>
            </w:pPr>
            <w:r>
              <w:rPr>
                <w:rFonts w:hint="eastAsia" w:ascii="仿宋" w:hAnsi="仿宋" w:eastAsia="仿宋"/>
                <w:color w:val="auto"/>
                <w:spacing w:val="120"/>
                <w:kern w:val="0"/>
                <w:sz w:val="24"/>
                <w:fitText w:val="720" w:id="-1028431616"/>
              </w:rPr>
              <w:t>账</w:t>
            </w:r>
            <w:r>
              <w:rPr>
                <w:rFonts w:hint="eastAsia" w:ascii="仿宋" w:hAnsi="仿宋" w:eastAsia="仿宋"/>
                <w:color w:val="auto"/>
                <w:spacing w:val="0"/>
                <w:kern w:val="0"/>
                <w:sz w:val="24"/>
                <w:fitText w:val="720" w:id="-1028431616"/>
              </w:rPr>
              <w:t>号</w:t>
            </w:r>
            <w:r>
              <w:rPr>
                <w:rFonts w:hint="eastAsia" w:ascii="仿宋" w:hAnsi="仿宋" w:eastAsia="仿宋"/>
                <w:color w:val="auto"/>
                <w:kern w:val="28"/>
                <w:sz w:val="24"/>
              </w:rPr>
              <w:t>：3300 1619 6350 5000 0853</w:t>
            </w:r>
          </w:p>
          <w:p>
            <w:pPr>
              <w:rPr>
                <w:rFonts w:hint="eastAsia" w:ascii="仿宋" w:hAnsi="仿宋" w:eastAsia="仿宋"/>
                <w:color w:val="auto"/>
                <w:kern w:val="28"/>
                <w:sz w:val="24"/>
              </w:rPr>
            </w:pPr>
            <w:r>
              <w:rPr>
                <w:rFonts w:hint="eastAsia" w:ascii="仿宋" w:hAnsi="仿宋" w:eastAsia="仿宋"/>
                <w:color w:val="auto"/>
                <w:kern w:val="28"/>
                <w:sz w:val="24"/>
              </w:rPr>
              <w:t>（5）缴纳形式：电汇、转账、支票、汇票</w:t>
            </w:r>
            <w:r>
              <w:rPr>
                <w:rFonts w:hint="eastAsia" w:ascii="仿宋" w:hAnsi="仿宋" w:eastAsia="仿宋"/>
                <w:color w:val="auto"/>
                <w:kern w:val="28"/>
                <w:sz w:val="24"/>
                <w:lang w:eastAsia="zh-CN"/>
              </w:rPr>
              <w:t>、</w:t>
            </w:r>
            <w:r>
              <w:rPr>
                <w:rFonts w:hint="eastAsia" w:ascii="仿宋" w:hAnsi="仿宋" w:eastAsia="仿宋"/>
                <w:color w:val="auto"/>
                <w:kern w:val="28"/>
                <w:sz w:val="24"/>
              </w:rPr>
              <w:t>现金</w:t>
            </w:r>
          </w:p>
          <w:p>
            <w:pPr>
              <w:rPr>
                <w:rFonts w:ascii="仿宋" w:hAnsi="仿宋" w:eastAsia="仿宋" w:cs="仿宋"/>
                <w:color w:val="auto"/>
                <w:kern w:val="0"/>
                <w:sz w:val="24"/>
              </w:rPr>
            </w:pPr>
            <w:r>
              <w:rPr>
                <w:rFonts w:hint="eastAsia" w:ascii="仿宋" w:hAnsi="仿宋" w:eastAsia="仿宋"/>
                <w:color w:val="auto"/>
                <w:kern w:val="28"/>
                <w:sz w:val="24"/>
              </w:rPr>
              <w:t>（6）特别说明：采购代理服务费缴纳凭证将作为采购人合同付款和验收的前提条件，中标供应商未按招标文件规定和投标承诺缴纳采购代理服务费的，合同款不予支付、验收不予通过。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宋体"/>
                <w:snapToGrid w:val="0"/>
                <w:color w:val="auto"/>
                <w:kern w:val="28"/>
                <w:sz w:val="24"/>
              </w:rPr>
            </w:pPr>
            <w:r>
              <w:rPr>
                <w:rFonts w:hint="eastAsia" w:ascii="仿宋" w:hAnsi="仿宋" w:eastAsia="仿宋" w:cs="宋体"/>
                <w:snapToGrid w:val="0"/>
                <w:color w:val="auto"/>
                <w:kern w:val="28"/>
                <w:sz w:val="24"/>
              </w:rPr>
              <w:t>通过“政府采购云平台”公布开标一览表有关内容后，供应商应通过“政府采购云平台”进行确认，在收到采购人或采购代理机构的通知后仍不予确认的应说明理由，否则视为无异议。</w:t>
            </w:r>
          </w:p>
        </w:tc>
      </w:tr>
      <w:bookmarkEnd w:id="8"/>
    </w:tbl>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1.适用范围</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2.定义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2.1“采购人”系指招标公告中载明的本项目的采购人。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2.2“采购代理机构”系指招标公告中载明的本项目的采购代理机构。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2.3“投标人”系指是指响应招标、参加投标竞争的法人、其他组织或者自然人。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”系指不适用本项目的要求。</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3.采购项目需要落实的政府采购政策</w:t>
      </w:r>
    </w:p>
    <w:p>
      <w:pPr>
        <w:snapToGrid w:val="0"/>
        <w:spacing w:line="360" w:lineRule="auto"/>
        <w:ind w:firstLine="480" w:firstLineChars="200"/>
        <w:jc w:val="left"/>
        <w:outlineLvl w:val="1"/>
        <w:rPr>
          <w:rFonts w:ascii="仿宋" w:hAnsi="仿宋" w:eastAsia="仿宋" w:cs="仿宋"/>
          <w:b/>
          <w:color w:val="auto"/>
          <w:sz w:val="24"/>
        </w:rPr>
      </w:pPr>
      <w:r>
        <w:rPr>
          <w:rFonts w:hint="eastAsia" w:ascii="仿宋" w:hAnsi="仿宋" w:eastAsia="仿宋" w:cs="仿宋"/>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napToGrid w:val="0"/>
        <w:spacing w:line="360" w:lineRule="auto"/>
        <w:ind w:firstLine="480" w:firstLineChars="200"/>
        <w:jc w:val="left"/>
        <w:outlineLvl w:val="1"/>
        <w:rPr>
          <w:rFonts w:ascii="仿宋" w:hAnsi="仿宋" w:eastAsia="仿宋" w:cs="仿宋"/>
          <w:b/>
          <w:color w:val="auto"/>
          <w:sz w:val="24"/>
        </w:rPr>
      </w:pPr>
      <w:r>
        <w:rPr>
          <w:rFonts w:hint="eastAsia" w:ascii="仿宋" w:hAnsi="仿宋" w:eastAsia="仿宋" w:cs="仿宋"/>
          <w:color w:val="auto"/>
          <w:sz w:val="24"/>
        </w:rPr>
        <w:t>3.2支持绿色发展</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rPr>
        <w:t>10%-20%（招标文件第四部分评标办分法明确具体的扣除比例，未明确的，给予10%的扣除）</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rPr>
        <w:t>4%-6%（招标文件第四部分评标办分法明确具体的扣除比例，未明确的，给予4%的扣除）</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3.4.1采购人优先采购被认定为首台套产品和“制造精品”的自主创新产品。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color w:val="auto"/>
          <w:sz w:val="24"/>
        </w:rPr>
      </w:pPr>
      <w:r>
        <w:rPr>
          <w:rFonts w:hint="eastAsia" w:ascii="仿宋" w:eastAsia="仿宋" w:cs="仿宋"/>
          <w:color w:val="auto"/>
          <w:sz w:val="24"/>
        </w:rPr>
        <w:t>3.4.3采购人应当贯彻落实知识产权保护相关法律法规，应当采购使用正版软件。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360" w:lineRule="auto"/>
        <w:ind w:firstLine="240" w:firstLineChars="100"/>
        <w:rPr>
          <w:rFonts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4.询问、质疑、投诉</w:t>
      </w:r>
      <w:r>
        <w:rPr>
          <w:rFonts w:hint="eastAsia" w:ascii="仿宋" w:hAnsi="仿宋" w:eastAsia="仿宋" w:cs="仿宋"/>
          <w:b/>
          <w:bCs/>
          <w:color w:val="auto"/>
          <w:sz w:val="24"/>
        </w:rPr>
        <w:t>、补偿救济</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4"/>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4.3.3.1供应商的姓名或者名称、地址、邮编、联系人及联系电话；</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4.3.3.2质疑项目的名称、编号；</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4.3.3.3具体、明确的质疑事项和与质疑事项相关的请求；</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4.3.3.4事实依据；</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4.3.3.5必要的法律依据；</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4.3.3.6提出质疑的日期。</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质疑函范本及制作说明详见附件2。</w:t>
      </w:r>
    </w:p>
    <w:p>
      <w:pPr>
        <w:pStyle w:val="34"/>
        <w:spacing w:line="360" w:lineRule="auto"/>
        <w:ind w:firstLine="480" w:firstLineChars="200"/>
        <w:rPr>
          <w:rFonts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4.3.4对同一采购程序环节的质疑，供应商须在法定质疑期内一次性提出。</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4.3</w:t>
      </w:r>
      <w:r>
        <w:rPr>
          <w:rFonts w:hint="eastAsia" w:ascii="仿宋" w:hAnsi="仿宋" w:eastAsia="仿宋" w:cs="仿宋"/>
          <w:color w:val="auto"/>
          <w:sz w:val="24"/>
          <w:szCs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4.3</w:t>
      </w:r>
      <w:r>
        <w:rPr>
          <w:rFonts w:hint="eastAsia" w:ascii="仿宋" w:hAnsi="仿宋" w:eastAsia="仿宋" w:cs="仿宋"/>
          <w:color w:val="auto"/>
          <w:sz w:val="24"/>
          <w:szCs w:val="24"/>
        </w:rPr>
        <w:t>.6询问或者质疑事项可能影响采购结果的，采购人应当暂停签订合同，已经签订合同的，应当中止履行合同。</w:t>
      </w:r>
    </w:p>
    <w:p>
      <w:pPr>
        <w:pStyle w:val="34"/>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4.4供应商投诉</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4.4.2</w:t>
      </w:r>
      <w:r>
        <w:rPr>
          <w:rFonts w:hint="eastAsia" w:ascii="仿宋" w:hAnsi="仿宋" w:eastAsia="仿宋" w:cs="仿宋"/>
          <w:color w:val="auto"/>
          <w:sz w:val="24"/>
          <w:szCs w:val="24"/>
        </w:rPr>
        <w:t>供应商投诉的事项不得超出已质疑事项的范围，基于质疑答复内容提出的投诉事项除外。</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4.4.3供应商投诉应当有明确的请求和必要的证明材料。</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4.4.4以联合体形式参加政府采购活动的，其投诉应当由组成联合体的所有供应商共同提出。</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4.5补偿救济</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采购人（行政机关）因政策变化、规划调整而不履行政府采购合同的，供应商可依据《杭州市涉企补偿救济实施办法（试行）》向采购人（行政机关）提起补偿申请。</w:t>
      </w:r>
    </w:p>
    <w:p>
      <w:pPr>
        <w:pStyle w:val="34"/>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投诉书范本及制作说明详见附件3。</w:t>
      </w:r>
    </w:p>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5.1招标文件包括下列文件及附件：</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5.1.1招标公告；</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5.1.3采购需求；</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5.1.4评标办法；</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6.招标文件的澄清、修改</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jc w:val="center"/>
        <w:rPr>
          <w:rFonts w:ascii="仿宋" w:hAnsi="仿宋" w:eastAsia="仿宋" w:cs="仿宋"/>
          <w:b/>
          <w:color w:val="auto"/>
          <w:sz w:val="30"/>
          <w:szCs w:val="20"/>
        </w:rPr>
      </w:pPr>
      <w:r>
        <w:rPr>
          <w:rFonts w:hint="eastAsia" w:ascii="仿宋" w:hAnsi="仿宋" w:eastAsia="仿宋" w:cs="仿宋"/>
          <w:b/>
          <w:color w:val="auto"/>
          <w:sz w:val="30"/>
          <w:szCs w:val="20"/>
        </w:rPr>
        <w:t>三、投标</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7.招标文件的获取</w:t>
      </w:r>
    </w:p>
    <w:p>
      <w:pPr>
        <w:spacing w:line="360" w:lineRule="auto"/>
        <w:ind w:firstLine="480" w:firstLineChars="20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10.投标文件的语言</w:t>
      </w:r>
    </w:p>
    <w:p>
      <w:pPr>
        <w:autoSpaceDE w:val="0"/>
        <w:autoSpaceDN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11.投标文件的组成</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宋体"/>
          <w:snapToGrid w:val="0"/>
          <w:color w:val="auto"/>
          <w:kern w:val="28"/>
          <w:sz w:val="24"/>
          <w:szCs w:val="20"/>
        </w:rPr>
        <w:t>，专门面向中小企业采购的项目须提供《中小企业声明函》</w:t>
      </w:r>
      <w:r>
        <w:rPr>
          <w:rFonts w:hint="eastAsia" w:ascii="仿宋" w:hAnsi="仿宋" w:eastAsia="仿宋" w:cs="仿宋"/>
          <w:snapToGrid w:val="0"/>
          <w:color w:val="auto"/>
          <w:kern w:val="28"/>
          <w:sz w:val="24"/>
          <w:szCs w:val="20"/>
        </w:rPr>
        <w:t>)</w:t>
      </w:r>
      <w:r>
        <w:rPr>
          <w:rFonts w:hint="eastAsia" w:ascii="仿宋" w:hAnsi="仿宋" w:eastAsia="仿宋" w:cs="仿宋"/>
          <w:color w:val="auto"/>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11.2.1投标函；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11.2.3分包意向协议（如果有)；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11.2.4符合性审查资料；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11.2.5评标标准相应的商务技术资料；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11.2.6投标标的清单；</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11.2.8政府采购供应商廉洁自律承诺书；</w:t>
      </w:r>
    </w:p>
    <w:p>
      <w:pPr>
        <w:snapToGrid w:val="0"/>
        <w:spacing w:line="360" w:lineRule="auto"/>
        <w:ind w:firstLine="480" w:firstLineChars="200"/>
        <w:rPr>
          <w:rFonts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11.3.2报价情况说明（如供应商报价低于项目预算50%的，应当提交本文档，详细阐述不影响产品质量或者诚信履约的具体原因）；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11.3.3中小企业声明函。</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投标人提供虚假材料投标的，投标无效。</w:t>
      </w:r>
    </w:p>
    <w:p>
      <w:pPr>
        <w:spacing w:line="360" w:lineRule="auto"/>
        <w:ind w:firstLine="720" w:firstLineChars="300"/>
        <w:rPr>
          <w:rFonts w:ascii="仿宋" w:hAnsi="仿宋" w:eastAsia="仿宋" w:cs="仿宋"/>
          <w:color w:val="auto"/>
        </w:rPr>
      </w:pPr>
      <w:r>
        <w:rPr>
          <w:rFonts w:hint="eastAsia" w:ascii="仿宋" w:hAnsi="仿宋" w:eastAsia="仿宋" w:cs="仿宋"/>
          <w:color w:val="auto"/>
          <w:sz w:val="24"/>
          <w:shd w:val="clear" w:color="auto" w:fill="FFFFFF"/>
        </w:rPr>
        <w:t>投标人应对投标文件中材料的真实性、合法性负责。</w:t>
      </w:r>
    </w:p>
    <w:p>
      <w:pPr>
        <w:pStyle w:val="130"/>
        <w:snapToGrid w:val="0"/>
        <w:spacing w:before="0"/>
        <w:ind w:firstLine="0" w:firstLineChars="0"/>
        <w:outlineLvl w:val="0"/>
        <w:rPr>
          <w:rFonts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14.投标文件的提交、补充、修改、撤回</w:t>
      </w:r>
    </w:p>
    <w:p>
      <w:pPr>
        <w:pStyle w:val="130"/>
        <w:spacing w:before="0"/>
        <w:ind w:firstLine="480"/>
        <w:rPr>
          <w:rFonts w:ascii="仿宋" w:hAnsi="仿宋" w:eastAsia="仿宋" w:cs="仿宋"/>
          <w:color w:val="auto"/>
        </w:rPr>
      </w:pPr>
      <w:r>
        <w:rPr>
          <w:rFonts w:hint="eastAsia" w:ascii="仿宋" w:hAnsi="仿宋" w:eastAsia="仿宋" w:cs="仿宋"/>
          <w:color w:val="auto"/>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4"/>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pPr>
        <w:pStyle w:val="34"/>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16.投标文件的无效处理</w:t>
      </w:r>
    </w:p>
    <w:p>
      <w:pPr>
        <w:pStyle w:val="26"/>
        <w:spacing w:line="360" w:lineRule="auto"/>
        <w:ind w:firstLine="360" w:firstLineChars="150"/>
        <w:rPr>
          <w:rFonts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rPr>
          <w:rFonts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6"/>
        <w:spacing w:before="0" w:line="360" w:lineRule="auto"/>
        <w:ind w:left="0" w:firstLine="241" w:firstLineChars="100"/>
        <w:contextualSpacing/>
        <w:rPr>
          <w:rFonts w:ascii="仿宋" w:hAnsi="仿宋" w:eastAsia="仿宋" w:cs="仿宋"/>
          <w:color w:val="auto"/>
          <w:sz w:val="24"/>
        </w:rPr>
      </w:pPr>
      <w:r>
        <w:rPr>
          <w:rFonts w:hint="eastAsia" w:ascii="仿宋" w:hAnsi="仿宋" w:eastAsia="仿宋" w:cs="仿宋"/>
          <w:b/>
          <w:color w:val="auto"/>
          <w:sz w:val="24"/>
          <w:szCs w:val="24"/>
        </w:rPr>
        <w:t>18.开标</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482" w:firstLineChars="200"/>
        <w:contextualSpacing/>
        <w:rPr>
          <w:rFonts w:ascii="仿宋" w:hAnsi="仿宋" w:eastAsia="仿宋" w:cs="仿宋"/>
          <w:b/>
          <w:bCs/>
          <w:color w:val="auto"/>
          <w:sz w:val="24"/>
        </w:rPr>
      </w:pPr>
      <w:r>
        <w:rPr>
          <w:rFonts w:hint="eastAsia" w:ascii="仿宋" w:hAnsi="仿宋" w:eastAsia="仿宋" w:cs="仿宋"/>
          <w:b/>
          <w:bCs/>
          <w:color w:val="auto"/>
          <w:sz w:val="24"/>
        </w:rPr>
        <w:t>18.3投标文件未按时解密，投标人提供了备份投标文件的，以备份投标文件作为依据，否则视为投标文件撤回。投标文件已按时解密的，备份投标文件自动失效。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482" w:firstLineChars="200"/>
        <w:contextualSpacing/>
        <w:rPr>
          <w:rFonts w:ascii="仿宋" w:hAnsi="仿宋" w:eastAsia="仿宋" w:cs="仿宋"/>
          <w:b/>
          <w:color w:val="auto"/>
          <w:sz w:val="24"/>
        </w:rPr>
      </w:pPr>
      <w:r>
        <w:rPr>
          <w:rFonts w:hint="eastAsia" w:ascii="仿宋" w:hAnsi="仿宋" w:eastAsia="仿宋" w:cs="仿宋"/>
          <w:b/>
          <w:color w:val="auto"/>
          <w:sz w:val="24"/>
        </w:rPr>
        <w:t>18.4结束解密后30分钟内，供应商应通过邮件形式将经授权代表签署的《政府采购活动现场确认声明书》（格式见采购文件最后一页内容）扫描件发至代理机构经办人邮箱（邮箱地址：1697976919@qq.com，联系人：黄林承，电话：19858153552），未发送视为对开标过程及结果无异议。</w:t>
      </w:r>
    </w:p>
    <w:p>
      <w:pPr>
        <w:pStyle w:val="556"/>
        <w:spacing w:before="0" w:line="360" w:lineRule="auto"/>
        <w:ind w:left="0" w:firstLine="482" w:firstLineChars="200"/>
        <w:contextualSpacing/>
        <w:rPr>
          <w:rFonts w:ascii="仿宋" w:hAnsi="仿宋" w:eastAsia="仿宋" w:cs="仿宋"/>
          <w:b/>
          <w:color w:val="auto"/>
          <w:sz w:val="24"/>
        </w:rPr>
      </w:pPr>
      <w:r>
        <w:rPr>
          <w:rFonts w:hint="eastAsia" w:ascii="仿宋" w:hAnsi="仿宋" w:eastAsia="仿宋" w:cs="仿宋"/>
          <w:b/>
          <w:color w:val="auto"/>
          <w:sz w:val="24"/>
        </w:rPr>
        <w:t>18.5采购机构点击【开启报价文件】，开启报价成功后进入报价评审流程。各供应商代表应当在接到系统通知后30分钟内自行完成在线签字确认，逾期未在线签字确认的视为对开标过程及结果无异议。</w:t>
      </w:r>
    </w:p>
    <w:p>
      <w:pPr>
        <w:pStyle w:val="556"/>
        <w:spacing w:before="0" w:line="360" w:lineRule="auto"/>
        <w:ind w:left="0" w:firstLine="241" w:firstLineChars="100"/>
        <w:contextualSpacing/>
        <w:rPr>
          <w:rFonts w:ascii="仿宋" w:hAnsi="仿宋" w:eastAsia="仿宋" w:cs="仿宋"/>
          <w:b/>
          <w:color w:val="auto"/>
          <w:sz w:val="24"/>
        </w:rPr>
      </w:pPr>
      <w:r>
        <w:rPr>
          <w:rFonts w:hint="eastAsia" w:ascii="仿宋" w:hAnsi="仿宋" w:eastAsia="仿宋" w:cs="仿宋"/>
          <w:b/>
          <w:color w:val="auto"/>
          <w:sz w:val="24"/>
        </w:rPr>
        <w:t>19.资格审查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pPr>
        <w:pStyle w:val="130"/>
        <w:snapToGrid w:val="0"/>
        <w:spacing w:before="0"/>
        <w:ind w:firstLine="480"/>
        <w:rPr>
          <w:rFonts w:ascii="仿宋" w:hAnsi="仿宋" w:eastAsia="仿宋" w:cs="仿宋"/>
          <w:color w:val="auto"/>
        </w:rPr>
      </w:pPr>
      <w:r>
        <w:rPr>
          <w:rFonts w:hint="eastAsia" w:ascii="仿宋" w:hAnsi="仿宋" w:eastAsia="仿宋" w:cs="仿宋"/>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20</w:t>
      </w:r>
      <w:r>
        <w:rPr>
          <w:rFonts w:hint="eastAsia" w:ascii="仿宋" w:hAnsi="仿宋" w:eastAsia="仿宋" w:cs="仿宋"/>
          <w:b/>
          <w:color w:val="auto"/>
        </w:rPr>
        <w:t>.</w:t>
      </w:r>
      <w:r>
        <w:rPr>
          <w:rFonts w:hint="eastAsia" w:ascii="仿宋" w:hAnsi="仿宋" w:eastAsia="仿宋" w:cs="仿宋"/>
          <w:b/>
          <w:color w:val="auto"/>
          <w:szCs w:val="24"/>
        </w:rPr>
        <w:t>信用信息查询</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ascii="仿宋" w:hAnsi="仿宋" w:eastAsia="仿宋" w:cs="仿宋"/>
          <w:b/>
          <w:color w:val="auto"/>
          <w:sz w:val="24"/>
        </w:rPr>
      </w:pPr>
      <w:bookmarkStart w:id="10"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六、定标</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22.确定中标供应商</w:t>
      </w:r>
    </w:p>
    <w:p>
      <w:pPr>
        <w:pStyle w:val="130"/>
        <w:snapToGrid w:val="0"/>
        <w:spacing w:before="0"/>
        <w:ind w:firstLine="480"/>
        <w:rPr>
          <w:rFonts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snapToGrid w:val="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23.中标通知与中标结果公告</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rPr>
        <w:t>资格审查情况、评审专家抽取规则、符合性审查情况、</w:t>
      </w:r>
      <w:bookmarkEnd w:id="11"/>
      <w:r>
        <w:rPr>
          <w:rFonts w:hint="eastAsia" w:ascii="仿宋" w:hAnsi="仿宋" w:eastAsia="仿宋" w:cs="仿宋"/>
          <w:color w:val="auto"/>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23.3公告期限为1个工作日。</w:t>
      </w:r>
    </w:p>
    <w:p>
      <w:pPr>
        <w:pStyle w:val="130"/>
        <w:snapToGrid w:val="0"/>
        <w:spacing w:before="0"/>
        <w:ind w:firstLine="482"/>
        <w:rPr>
          <w:rFonts w:ascii="仿宋" w:hAnsi="仿宋" w:eastAsia="仿宋" w:cs="仿宋"/>
          <w:color w:val="auto"/>
          <w:sz w:val="21"/>
          <w:szCs w:val="21"/>
        </w:rPr>
      </w:pPr>
      <w:r>
        <w:rPr>
          <w:rFonts w:hint="eastAsia" w:ascii="仿宋" w:hAnsi="仿宋" w:eastAsia="仿宋" w:cs="仿宋"/>
          <w:b/>
          <w:color w:val="auto"/>
          <w:szCs w:val="24"/>
        </w:rPr>
        <w:t>23.4</w:t>
      </w:r>
      <w:r>
        <w:rPr>
          <w:rFonts w:hint="eastAsia" w:ascii="仿宋" w:hAnsi="仿宋" w:eastAsia="仿宋" w:cs="仿宋"/>
          <w:bCs/>
          <w:color w:val="auto"/>
          <w:szCs w:val="24"/>
        </w:rPr>
        <w:t>由于中标、成交供应商原因导致重新采购的，应当承担支付代理费和专家评审费等费用在内的赔偿责任。</w:t>
      </w:r>
    </w:p>
    <w:p>
      <w:pPr>
        <w:snapToGrid w:val="0"/>
        <w:spacing w:line="360" w:lineRule="auto"/>
        <w:jc w:val="center"/>
        <w:rPr>
          <w:rFonts w:ascii="仿宋" w:hAnsi="仿宋" w:eastAsia="仿宋" w:cs="仿宋"/>
          <w:b/>
          <w:color w:val="auto"/>
          <w:sz w:val="32"/>
        </w:rPr>
      </w:pPr>
      <w:r>
        <w:rPr>
          <w:rFonts w:hint="eastAsia" w:ascii="仿宋" w:hAnsi="仿宋" w:eastAsia="仿宋" w:cs="仿宋"/>
          <w:b/>
          <w:color w:val="auto"/>
          <w:sz w:val="32"/>
        </w:rPr>
        <w:t>七、合同授予</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color w:val="auto"/>
        </w:rPr>
        <w:t>合同主要条款详见第五部分拟签订的合同文本。</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25.合同的签订</w:t>
      </w:r>
    </w:p>
    <w:p>
      <w:pPr>
        <w:widowControl/>
        <w:shd w:val="clear" w:color="auto" w:fill="FFFFFF"/>
        <w:spacing w:line="360" w:lineRule="auto"/>
        <w:ind w:firstLine="480"/>
        <w:jc w:val="left"/>
        <w:rPr>
          <w:rFonts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26.履约保证金</w:t>
      </w:r>
    </w:p>
    <w:p>
      <w:pPr>
        <w:tabs>
          <w:tab w:val="left" w:pos="0"/>
        </w:tabs>
        <w:spacing w:line="360" w:lineRule="auto"/>
        <w:ind w:firstLine="482"/>
        <w:rPr>
          <w:rFonts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27.预付款</w:t>
      </w:r>
    </w:p>
    <w:p>
      <w:pPr>
        <w:adjustRightInd/>
        <w:spacing w:line="360" w:lineRule="auto"/>
        <w:ind w:firstLine="480" w:firstLineChars="200"/>
        <w:rPr>
          <w:rFonts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28.1电子交易平台发生故障而无法登录访问的；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28.2电子交易平台应用或数据库出现错误，不能进行正常操作的；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28.3电子交易平台发现严重安全漏洞，有潜在泄密危险的；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28.4病毒发作导致不能进行正常操作的；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28.5其他无法保证电子交易的公平、公正和安全的情况。</w:t>
      </w:r>
    </w:p>
    <w:p>
      <w:pPr>
        <w:pStyle w:val="130"/>
        <w:snapToGrid w:val="0"/>
        <w:spacing w:before="0"/>
        <w:ind w:firstLine="0" w:firstLineChars="0"/>
        <w:rPr>
          <w:rFonts w:ascii="仿宋" w:hAnsi="仿宋" w:eastAsia="仿宋" w:cs="仿宋"/>
          <w:color w:val="auto"/>
        </w:rPr>
      </w:pPr>
      <w:r>
        <w:rPr>
          <w:rFonts w:hint="eastAsia" w:ascii="仿宋" w:hAnsi="仿宋" w:eastAsia="仿宋" w:cs="仿宋"/>
          <w:color w:val="auto"/>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 w:hAnsi="仿宋" w:eastAsia="仿宋" w:cs="仿宋"/>
          <w:b/>
          <w:color w:val="auto"/>
          <w:sz w:val="32"/>
        </w:rPr>
      </w:pPr>
      <w:r>
        <w:rPr>
          <w:rFonts w:hint="eastAsia" w:ascii="仿宋" w:hAnsi="仿宋" w:eastAsia="仿宋" w:cs="仿宋"/>
          <w:b/>
          <w:color w:val="auto"/>
          <w:sz w:val="32"/>
        </w:rPr>
        <w:t>九、验收</w:t>
      </w:r>
    </w:p>
    <w:p>
      <w:pPr>
        <w:pStyle w:val="26"/>
        <w:spacing w:line="360" w:lineRule="auto"/>
        <w:ind w:firstLine="0" w:firstLineChars="0"/>
        <w:rPr>
          <w:rFonts w:ascii="仿宋" w:hAnsi="仿宋" w:eastAsia="仿宋" w:cs="仿宋"/>
          <w:b/>
          <w:color w:val="auto"/>
        </w:rPr>
      </w:pPr>
      <w:r>
        <w:rPr>
          <w:rFonts w:hint="eastAsia" w:ascii="仿宋" w:hAnsi="仿宋" w:eastAsia="仿宋" w:cs="仿宋"/>
          <w:b/>
          <w:color w:val="auto"/>
        </w:rPr>
        <w:t>30.验收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仿宋" w:hAnsi="仿宋" w:eastAsia="仿宋" w:cs="仿宋"/>
          <w:color w:val="auto"/>
          <w:kern w:val="0"/>
          <w:sz w:val="24"/>
        </w:rPr>
      </w:pPr>
      <w:r>
        <w:rPr>
          <w:rFonts w:hint="eastAsia" w:ascii="仿宋" w:eastAsia="仿宋" w:cs="仿宋"/>
          <w:color w:val="auto"/>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p>
      <w:pPr>
        <w:tabs>
          <w:tab w:val="left" w:pos="0"/>
        </w:tabs>
        <w:spacing w:line="360" w:lineRule="auto"/>
        <w:ind w:firstLine="480"/>
        <w:rPr>
          <w:rFonts w:ascii="仿宋" w:hAnsi="仿宋" w:eastAsia="仿宋" w:cs="仿宋"/>
          <w:color w:val="auto"/>
          <w:kern w:val="0"/>
          <w:sz w:val="24"/>
        </w:rPr>
        <w:sectPr>
          <w:pgSz w:w="11906" w:h="16838"/>
          <w:pgMar w:top="680" w:right="1418" w:bottom="468" w:left="1418" w:header="851" w:footer="992" w:gutter="0"/>
          <w:cols w:space="720" w:num="1"/>
          <w:titlePg/>
          <w:docGrid w:linePitch="312" w:charSpace="0"/>
        </w:sectPr>
      </w:pPr>
      <w:bookmarkStart w:id="12" w:name="_Hlt74707468"/>
      <w:bookmarkEnd w:id="12"/>
      <w:bookmarkStart w:id="13" w:name="_Hlt75236011"/>
      <w:bookmarkEnd w:id="13"/>
      <w:bookmarkStart w:id="14" w:name="_Hlt68072990"/>
      <w:bookmarkEnd w:id="14"/>
      <w:bookmarkStart w:id="15" w:name="_Hlt74729768"/>
      <w:bookmarkEnd w:id="15"/>
      <w:bookmarkStart w:id="16" w:name="_Hlt75236101"/>
      <w:bookmarkEnd w:id="16"/>
      <w:bookmarkStart w:id="17" w:name="_Hlt74714665"/>
      <w:bookmarkEnd w:id="17"/>
      <w:bookmarkStart w:id="18" w:name="_Hlt74730295"/>
      <w:bookmarkEnd w:id="18"/>
      <w:bookmarkStart w:id="19" w:name="_Hlt75236290"/>
      <w:bookmarkEnd w:id="19"/>
      <w:bookmarkStart w:id="20" w:name="_Hlt68403820"/>
      <w:bookmarkEnd w:id="20"/>
      <w:bookmarkStart w:id="21" w:name="_Hlt68057669"/>
      <w:bookmarkEnd w:id="21"/>
      <w:bookmarkStart w:id="22" w:name="_Hlt68072998"/>
      <w:bookmarkEnd w:id="22"/>
      <w:bookmarkStart w:id="23" w:name="_Hlt68073093"/>
      <w:bookmarkEnd w:id="23"/>
    </w:p>
    <w:bookmarkEnd w:id="9"/>
    <w:p>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第三部分  采购需求</w:t>
      </w:r>
    </w:p>
    <w:p>
      <w:pPr>
        <w:pStyle w:val="26"/>
        <w:spacing w:line="360" w:lineRule="auto"/>
        <w:ind w:firstLine="0" w:firstLineChars="0"/>
        <w:rPr>
          <w:rFonts w:ascii="仿宋" w:hAnsi="仿宋" w:eastAsia="仿宋" w:cs="仿宋"/>
          <w:b/>
          <w:color w:val="auto"/>
        </w:rPr>
      </w:pPr>
      <w:r>
        <w:rPr>
          <w:rFonts w:hint="eastAsia" w:ascii="仿宋" w:hAnsi="仿宋" w:eastAsia="仿宋" w:cs="仿宋"/>
          <w:b/>
          <w:color w:val="auto"/>
        </w:rPr>
        <w:t>一、项目服务对象</w:t>
      </w:r>
    </w:p>
    <w:p>
      <w:pPr>
        <w:pStyle w:val="26"/>
        <w:spacing w:line="360" w:lineRule="auto"/>
        <w:ind w:firstLine="0" w:firstLineChars="0"/>
        <w:rPr>
          <w:rFonts w:ascii="仿宋" w:hAnsi="仿宋" w:eastAsia="仿宋" w:cs="仿宋"/>
          <w:bCs/>
          <w:color w:val="auto"/>
        </w:rPr>
      </w:pPr>
      <w:r>
        <w:rPr>
          <w:rFonts w:hint="eastAsia" w:ascii="仿宋" w:hAnsi="仿宋" w:eastAsia="仿宋" w:cs="仿宋"/>
          <w:bCs/>
          <w:color w:val="auto"/>
        </w:rPr>
        <w:t>1、项目名称：杭州市公安局上城区分局综合服务管理项目</w:t>
      </w:r>
    </w:p>
    <w:p>
      <w:pPr>
        <w:pStyle w:val="26"/>
        <w:spacing w:line="360" w:lineRule="auto"/>
        <w:ind w:firstLine="0" w:firstLineChars="0"/>
        <w:rPr>
          <w:rFonts w:ascii="仿宋" w:hAnsi="仿宋" w:eastAsia="仿宋" w:cs="仿宋"/>
          <w:bCs/>
          <w:color w:val="auto"/>
        </w:rPr>
      </w:pPr>
      <w:r>
        <w:rPr>
          <w:rFonts w:hint="eastAsia" w:ascii="仿宋" w:hAnsi="仿宋" w:eastAsia="仿宋" w:cs="仿宋"/>
          <w:bCs/>
          <w:color w:val="auto"/>
        </w:rPr>
        <w:t>2、服务地址：景芳路63号、候潮东路175号、艮山东路138-5号、中河中路88号。</w:t>
      </w:r>
    </w:p>
    <w:p>
      <w:pPr>
        <w:pStyle w:val="26"/>
        <w:spacing w:line="360" w:lineRule="auto"/>
        <w:ind w:firstLine="0" w:firstLineChars="0"/>
        <w:rPr>
          <w:rFonts w:ascii="仿宋" w:hAnsi="仿宋" w:eastAsia="仿宋" w:cs="仿宋"/>
          <w:b/>
          <w:color w:val="auto"/>
        </w:rPr>
      </w:pPr>
      <w:r>
        <w:rPr>
          <w:rFonts w:hint="eastAsia" w:ascii="仿宋" w:hAnsi="仿宋" w:eastAsia="仿宋" w:cs="仿宋"/>
          <w:b/>
          <w:color w:val="auto"/>
        </w:rPr>
        <w:t>二、具体服务要求</w:t>
      </w:r>
    </w:p>
    <w:p>
      <w:pPr>
        <w:pStyle w:val="26"/>
        <w:spacing w:line="360" w:lineRule="auto"/>
        <w:ind w:firstLine="420" w:firstLineChars="0"/>
        <w:rPr>
          <w:rFonts w:ascii="仿宋" w:hAnsi="仿宋" w:eastAsia="仿宋" w:cs="仿宋"/>
          <w:color w:val="auto"/>
          <w:kern w:val="0"/>
        </w:rPr>
      </w:pPr>
      <w:r>
        <w:rPr>
          <w:rFonts w:hint="eastAsia" w:ascii="仿宋" w:hAnsi="仿宋" w:eastAsia="仿宋" w:cs="仿宋"/>
          <w:color w:val="auto"/>
          <w:kern w:val="0"/>
        </w:rPr>
        <w:t>综合服务主要内容为：保洁服务、室外绿化养护服务、会议会务服务、工程设备维护服务、消监控管理服务等内容，具体如下：</w:t>
      </w:r>
    </w:p>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1、保洁服务</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（1）保洁范围：</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①服务范围内外的公共环境卫生保洁。包括路面、标识标牌、灯具、地下停车库、自行车库（棚）、公共走廊、走廊护栏、楼梯、电梯桥箱、电梯厅、大厅、吊顶、卫生间、设备间、茶水间、房顶、平台、雨棚、明沟、天沟等；</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②多功能厅及会议室、接待室、审讯室保洁。多功能厅、会议室、接待室、审讯室各功能用房在使用前保洁；会议、活动后及时保洁；审讯室每天保洁。</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③走廊内护栏、扶手保洁、保养。每周清洁1次；扶手每季保养一次。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④地下车库、自行车库（棚）、建筑物平台。每日巡回保洁。</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⑤建筑物内墙面。每周除尘清洁一次。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⑥消火栓。外玻璃每日擦拭，内部半月除尘一次。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⑦指示牌。每周擦拭一次。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⑧自行车库、玻璃雨棚保洁。半月清洗一次；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⑨保洁工具以及保洁过程中的易耗品及费用由中标人负责。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（2）根据服务范围的实际情况和场地面积，制定相应的《保洁计划》以供考核、监督。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（3）培训要求：除中标人对服务人员的培训外，如有必要服务人员还需接受采购人的集中进行的相关培训。</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（4）要求对服务范围提供全年（含双休日、节假日）的清洁服务并针对特殊情况，落实卫生工作人员，制定防止交叉感染、消毒隔离制度和工作标准及流程。</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（5）预防与灭治白蚁、消杀老鼠、蟑螂、蚊子、苍蝇等“四害”。</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（6）公共室内墙面完好，外观整洁，如出现墙面的一般污浊，中标人应及时修复。</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7）公共环境：中标人每日安排若干名保洁人员进行清理，除每日进行全面清理外，保洁人员在工作时间随时清理垃圾，尘土，卫生间、保持办公环境的整洁，中标人保证保洁人员服装统一、工作规范，作风优良。</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（8）项目内保洁服务工作中产生的人员和材料等相关费用均包含在本次投标报价中。垃圾要按照国家相关规定进行分类处置。</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（9）垃圾的收集：垃圾箱（房）要求在上午8时前清运一遍。垃圾箱（房）的垃圾不溢满、日产日清。</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（10）项目内进行分类收集，存放于环卫部门交接的指定地点。清卫、保洁及生活服务的工作质量按国家卫生城市管理的有关标准严格验收。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（11）垃圾箱（房）必须加盖上锁，垃圾清运应做到车走地净，垃圾箱周围无遗留垃圾。垃圾收集车应按要求密闭，不得沿路散落垃圾。</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（12）垃圾箱（桶）保持整洁，每周至少清洗两次。</w:t>
      </w:r>
    </w:p>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2、室外绿化养护服务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室内外绿化养护。负责大楼周边绿化带的树木、花草、色块等的日常养护和管理，配合做好室内环境绿化的摆放和地面卫生清理工作；建立定期除草、修剪制度，确保绿化无杂草、造型规整；及时喷洒农药、浇水施肥，确保绿化养护期内100%存活。</w:t>
      </w:r>
    </w:p>
    <w:p>
      <w:pPr>
        <w:numPr>
          <w:ilvl w:val="0"/>
          <w:numId w:val="3"/>
        </w:num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会议会务服务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（1）服务区域：主要为杭州市上城区候潮东路175号大楼，具体按采购人要求提供服务。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（2）礼仪和接待服务：包括接待室、阅览室、休息区，一楼大厅、各会议室、楼内外重大活动等。</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（3）接待室、阅览室、休息室和一楼大厅的礼仪服务；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（4）各会议室、接待室、阅览室保障服务；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（5）重大活动的礼仪服务。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（6）遇特殊情况根据招标人要求由总部临时调派相应的礼仪服务人员。</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（7）重大接待任务必须事先制订周密的接待工作计划，并严格按照计划实施。</w:t>
      </w:r>
    </w:p>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4、工程设备维护服务</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（1）服务范围：负责上城分局景芳路63号、杭州市上城区候潮东路175号、艮山东路138-5号设施设备日常维护与修理，其中杭州市上城区候潮东路175号大楼提供24小时配电值班服务。</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（2）工程规范系统设备的日常运行管理，落实变配电中心的值班制度，确保大楼电力运行安全可靠，制定年度保养计划；每日定时抄表统计日能耗量，提出合理化节能减排建议；</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3）落实系统设备的日常运行操作维护，给排水系统每月检查、测试、保养；强电系统保持各区域电井房清洁、安全，定期紧固保养；电梯系统按规定周期保养检查；各类空调系统主机维护保养，冷热模式转换，滤网清洗（每年2次），每日检查监控安防系统；消防系统按规范配合做好每月检测维保、年度检测、自动报警系统联动测试等、综合布线、楼宇设备自控系统、安全防范系统、多功能会议系统、多媒体显示及触摸屏查询系统、其他机电设备等，提高系统整体运行管理水平。</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（4）同时做好大楼的照明、景观灯光的维护保养；</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（5）落实大楼办公室办公家具的日常维护、维修及转移和布置；做好每周2次的大楼巡查工作并及时安排维修保养，以及大楼出入道路的日常维护和保养工作，维修响应时间不长于10分钟。</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（6）做好各类工程材料的计划、领用和消耗的记录；配合做好二次供水水箱的定期清洗工作；</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7）配合做好特种设施设备的年检验审等工作；人防设备每年维护保养一次；加强外联，积极主动配合相关维保单位做好设施设备正常运行的保障工作，对委托单位维修的工程和实施方案负责监督、检查与审核，并及时做好资料归档工作；</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（8）工程材料仓库管理的台账建立、物品进出库记录、统计及造册登记、月报表制作报送；</w:t>
      </w:r>
    </w:p>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5、消监控管理服务</w:t>
      </w:r>
    </w:p>
    <w:p>
      <w:pPr>
        <w:spacing w:before="114"/>
        <w:rPr>
          <w:rFonts w:ascii="仿宋" w:hAnsi="仿宋" w:eastAsia="仿宋" w:cs="仿宋"/>
          <w:color w:val="auto"/>
          <w:kern w:val="0"/>
          <w:sz w:val="24"/>
        </w:rPr>
      </w:pPr>
      <w:r>
        <w:rPr>
          <w:rFonts w:hint="eastAsia" w:ascii="仿宋" w:hAnsi="仿宋" w:eastAsia="仿宋" w:cs="仿宋"/>
          <w:color w:val="auto"/>
          <w:kern w:val="0"/>
          <w:sz w:val="24"/>
        </w:rPr>
        <w:t>（1）服务区域：杭州市上城区候潮东路175号大楼</w:t>
      </w:r>
    </w:p>
    <w:p>
      <w:pPr>
        <w:spacing w:before="114"/>
        <w:rPr>
          <w:rFonts w:ascii="仿宋" w:hAnsi="仿宋" w:eastAsia="仿宋" w:cs="仿宋"/>
          <w:color w:val="auto"/>
          <w:kern w:val="0"/>
          <w:sz w:val="24"/>
        </w:rPr>
      </w:pPr>
      <w:r>
        <w:rPr>
          <w:rFonts w:hint="eastAsia" w:ascii="仿宋" w:hAnsi="仿宋" w:eastAsia="仿宋" w:cs="仿宋"/>
          <w:color w:val="auto"/>
          <w:kern w:val="0"/>
          <w:sz w:val="24"/>
        </w:rPr>
        <w:t>（2）消控室24小时驻守值班，消控设备设施应保持24小时正常工作，并保持完整的值班记录。</w:t>
      </w:r>
    </w:p>
    <w:p>
      <w:pPr>
        <w:spacing w:before="114"/>
        <w:rPr>
          <w:rFonts w:ascii="仿宋" w:hAnsi="仿宋" w:eastAsia="仿宋" w:cs="仿宋"/>
          <w:color w:val="auto"/>
          <w:kern w:val="0"/>
          <w:sz w:val="24"/>
        </w:rPr>
      </w:pPr>
      <w:r>
        <w:rPr>
          <w:rFonts w:hint="eastAsia" w:ascii="仿宋" w:hAnsi="仿宋" w:eastAsia="仿宋" w:cs="仿宋"/>
          <w:color w:val="auto"/>
          <w:kern w:val="0"/>
          <w:sz w:val="24"/>
        </w:rPr>
        <w:t>（3）消控室收到火情、险情及其他异常情况报警信号后，应及时报警，并派专人赶到现场进行前期处理。</w:t>
      </w:r>
    </w:p>
    <w:p>
      <w:pPr>
        <w:spacing w:before="114"/>
        <w:rPr>
          <w:rFonts w:ascii="仿宋" w:hAnsi="仿宋" w:eastAsia="仿宋" w:cs="仿宋"/>
          <w:color w:val="auto"/>
          <w:kern w:val="0"/>
          <w:sz w:val="24"/>
        </w:rPr>
      </w:pPr>
      <w:r>
        <w:rPr>
          <w:rFonts w:hint="eastAsia" w:ascii="仿宋" w:hAnsi="仿宋" w:eastAsia="仿宋" w:cs="仿宋"/>
          <w:color w:val="auto"/>
          <w:kern w:val="0"/>
          <w:sz w:val="24"/>
        </w:rPr>
        <w:t>（4）消控资料应至少保持30天，有特殊要求的参照相关规定或行业标准执行。同时，确保消控电话畅通，接听及时(在铃响三声内应接听)。</w:t>
      </w:r>
    </w:p>
    <w:p>
      <w:pPr>
        <w:spacing w:before="114"/>
        <w:rPr>
          <w:rFonts w:ascii="仿宋" w:hAnsi="仿宋" w:eastAsia="仿宋" w:cs="仿宋"/>
          <w:color w:val="auto"/>
          <w:kern w:val="0"/>
          <w:sz w:val="24"/>
        </w:rPr>
      </w:pPr>
      <w:r>
        <w:rPr>
          <w:rFonts w:hint="eastAsia" w:ascii="仿宋" w:hAnsi="仿宋" w:eastAsia="仿宋" w:cs="仿宋"/>
          <w:color w:val="auto"/>
          <w:kern w:val="0"/>
          <w:sz w:val="24"/>
        </w:rPr>
        <w:t>（5）人员应定期接受消防培训并掌握现有消防设施设备的使用方法，并能及时处理各种火灾事故。</w:t>
      </w:r>
    </w:p>
    <w:p>
      <w:pPr>
        <w:spacing w:before="114"/>
        <w:rPr>
          <w:rFonts w:ascii="仿宋" w:hAnsi="仿宋" w:eastAsia="仿宋" w:cs="仿宋"/>
          <w:color w:val="auto"/>
          <w:kern w:val="0"/>
          <w:sz w:val="24"/>
        </w:rPr>
      </w:pPr>
      <w:r>
        <w:rPr>
          <w:rFonts w:hint="eastAsia" w:ascii="仿宋" w:hAnsi="仿宋" w:eastAsia="仿宋" w:cs="仿宋"/>
          <w:color w:val="auto"/>
          <w:kern w:val="0"/>
          <w:sz w:val="24"/>
        </w:rPr>
        <w:t>（6）明确防火责任人，按照突发火灾的应急方案，设立消防疏散示意图，照明设施及引路标志完好，紧急疏散通道畅通。</w:t>
      </w:r>
    </w:p>
    <w:p>
      <w:pPr>
        <w:spacing w:before="114"/>
        <w:rPr>
          <w:rFonts w:ascii="仿宋" w:hAnsi="仿宋" w:eastAsia="仿宋" w:cs="仿宋"/>
          <w:color w:val="auto"/>
          <w:kern w:val="0"/>
          <w:sz w:val="24"/>
        </w:rPr>
      </w:pPr>
      <w:r>
        <w:rPr>
          <w:rFonts w:hint="eastAsia" w:ascii="仿宋" w:hAnsi="仿宋" w:eastAsia="仿宋" w:cs="仿宋"/>
          <w:color w:val="auto"/>
          <w:kern w:val="0"/>
          <w:sz w:val="24"/>
        </w:rPr>
        <w:t>（7）成立义务消防队，对区域内的消防喷淋灭火系统、气体灭火系统、火灾报警系统、电器火灾报警系统、消防排烟机组等消控设备按安保条例进行监管和操作使用。</w:t>
      </w:r>
    </w:p>
    <w:p>
      <w:pPr>
        <w:spacing w:before="114"/>
        <w:rPr>
          <w:rFonts w:ascii="仿宋" w:hAnsi="仿宋" w:eastAsia="仿宋"/>
          <w:b/>
          <w:bCs/>
          <w:color w:val="auto"/>
          <w:sz w:val="24"/>
        </w:rPr>
      </w:pPr>
      <w:r>
        <w:rPr>
          <w:rFonts w:hint="eastAsia" w:ascii="仿宋" w:hAnsi="仿宋" w:eastAsia="仿宋"/>
          <w:b/>
          <w:bCs/>
          <w:color w:val="auto"/>
          <w:spacing w:val="-1"/>
          <w:sz w:val="24"/>
        </w:rPr>
        <w:t>6、服务标准</w:t>
      </w:r>
    </w:p>
    <w:p>
      <w:pPr>
        <w:spacing w:before="271" w:line="360" w:lineRule="auto"/>
        <w:jc w:val="center"/>
        <w:rPr>
          <w:rFonts w:ascii="仿宋" w:hAnsi="仿宋" w:eastAsia="仿宋"/>
          <w:b/>
          <w:bCs/>
          <w:color w:val="auto"/>
          <w:sz w:val="24"/>
        </w:rPr>
      </w:pPr>
      <w:r>
        <w:rPr>
          <w:rFonts w:hint="eastAsia" w:ascii="仿宋" w:hAnsi="仿宋" w:eastAsia="仿宋"/>
          <w:b/>
          <w:bCs/>
          <w:color w:val="auto"/>
          <w:spacing w:val="-1"/>
          <w:sz w:val="24"/>
        </w:rPr>
        <w:t>保洁服务标准</w:t>
      </w:r>
    </w:p>
    <w:p>
      <w:pPr>
        <w:spacing w:before="114" w:line="307" w:lineRule="auto"/>
        <w:ind w:left="40" w:right="82" w:firstLine="478"/>
        <w:rPr>
          <w:rFonts w:ascii="仿宋" w:hAnsi="仿宋" w:eastAsia="仿宋"/>
          <w:color w:val="auto"/>
          <w:sz w:val="24"/>
        </w:rPr>
      </w:pPr>
      <w:r>
        <w:rPr>
          <w:rFonts w:hint="eastAsia" w:ascii="仿宋" w:hAnsi="仿宋" w:eastAsia="仿宋"/>
          <w:color w:val="auto"/>
          <w:spacing w:val="-1"/>
          <w:sz w:val="24"/>
        </w:rPr>
        <w:t>环境卫生要求实行“零打扰”、“无滞留”、“不损伤”</w:t>
      </w:r>
      <w:r>
        <w:rPr>
          <w:rFonts w:hint="eastAsia" w:ascii="仿宋" w:hAnsi="仿宋" w:eastAsia="仿宋"/>
          <w:color w:val="auto"/>
          <w:spacing w:val="-2"/>
          <w:sz w:val="24"/>
        </w:rPr>
        <w:t>服务。即第一次保洁须在使</w:t>
      </w:r>
      <w:r>
        <w:rPr>
          <w:rFonts w:hint="eastAsia" w:ascii="仿宋" w:hAnsi="仿宋" w:eastAsia="仿宋"/>
          <w:color w:val="auto"/>
          <w:spacing w:val="-1"/>
          <w:sz w:val="24"/>
        </w:rPr>
        <w:t>用前清洁完毕，并且做到随脏随清不影响使用；出入口和主要</w:t>
      </w:r>
      <w:r>
        <w:rPr>
          <w:rFonts w:hint="eastAsia" w:ascii="仿宋" w:hAnsi="仿宋" w:eastAsia="仿宋"/>
          <w:color w:val="auto"/>
          <w:spacing w:val="-2"/>
          <w:sz w:val="24"/>
        </w:rPr>
        <w:t>通道及场所丢弃废物滞留时</w:t>
      </w:r>
      <w:r>
        <w:rPr>
          <w:rFonts w:hint="eastAsia" w:ascii="仿宋" w:hAnsi="仿宋" w:eastAsia="仿宋"/>
          <w:color w:val="auto"/>
          <w:spacing w:val="2"/>
          <w:sz w:val="24"/>
        </w:rPr>
        <w:t>间不超过30分钟；保洁用清洗剂及工具不损伤清洁物表面和牢固</w:t>
      </w:r>
      <w:r>
        <w:rPr>
          <w:rFonts w:hint="eastAsia" w:ascii="仿宋" w:hAnsi="仿宋" w:eastAsia="仿宋"/>
          <w:color w:val="auto"/>
          <w:spacing w:val="1"/>
          <w:sz w:val="24"/>
        </w:rPr>
        <w:t>度;院外墙无乱贴、涂、</w:t>
      </w:r>
      <w:r>
        <w:rPr>
          <w:rFonts w:hint="eastAsia" w:ascii="仿宋" w:hAnsi="仿宋" w:eastAsia="仿宋"/>
          <w:color w:val="auto"/>
          <w:sz w:val="24"/>
        </w:rPr>
        <w:t>划之物；做好符合辖区要求的门前“三包”。具体服务</w:t>
      </w:r>
      <w:r>
        <w:rPr>
          <w:rFonts w:hint="eastAsia" w:ascii="仿宋" w:hAnsi="仿宋" w:eastAsia="仿宋"/>
          <w:color w:val="auto"/>
          <w:spacing w:val="-1"/>
          <w:sz w:val="24"/>
        </w:rPr>
        <w:t>标准按区域划分如下：</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（1）大厅及服务区</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【大厅、服务区】</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地面干净无垃圾、杂物、污渍、灰尘、痰迹、烟蒂；石材地面定期打蜡；墙面、天顶干净无污迹、浮尘、蜘蛛网；照明外壳无积灰、污迹、蜘蛛网；金属件干净、光亮无污迹，不变色；监控镜头干净无积灰、浮尘；玻璃、镜面干净光亮，无污迹、灰尘、无水迹、手印迹；设施表面干净、光亮无污迹；休息桌椅等干净、光亮无污迹。</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（2）办公区域</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【接待室、会议室、审讯室等】要求用后即清理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地面干净无污渍、灰尘、痰迹；墙面、天顶干净无污迹、浮尘；照明外壳无积灰、污迹；金属件干净、光亮无污迹，不变色；桌椅、橱柜干净无污迹，光亮整洁；沙发、茶几、茶具干净无污迹，光亮整洁每次使用前后清洁；地毯定期吸尘及清洗。</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【走廊、通道、开水间、卫生间】</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地面干燥、无垃圾、杂物；卫生间无异味，镜面和台面干净光亮、无污迹。</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（3）公共区域</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【广场庭院】</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地面干净无落叶、枯枝。</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【公共通道、楼梯、电梯前室】</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地面干净无垃圾杂物、无污渍、灰尘、积水、泥沙、痰迹、烟蒂；墙面、天顶干净无脏污、无积灰、蜘蛛网；照明外壳无积灰、污迹；金属件干净、光亮无污迹，不变色；沙发、茶几无灰尘、污迹，光亮整洁；门、窗干净无污渍、浮尘。</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【垃圾桶及垃圾桶周边】</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地面和墙面无污迹、粘附物，干净、干燥无异味；垃圾桶表面无积灰、污迹，冲洗空桶内壁无异味。</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【天台、平台】</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地面无垃圾杂物，排水口畅通。</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【排水沟】</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干净无杂草、杂物；排水畅通无堵塞，积水、异味。</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【幕墙玻璃】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幕墙玻璃立面二米以下无污垢。</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（4）卫生要求、保洁内容和操作频率简表</w:t>
      </w:r>
    </w:p>
    <w:tbl>
      <w:tblPr>
        <w:tblStyle w:val="64"/>
        <w:tblW w:w="95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17"/>
        <w:gridCol w:w="1353"/>
        <w:gridCol w:w="1560"/>
        <w:gridCol w:w="651"/>
        <w:gridCol w:w="1418"/>
        <w:gridCol w:w="1843"/>
        <w:gridCol w:w="1701"/>
        <w:gridCol w:w="6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417" w:type="dxa"/>
            <w:vMerge w:val="restart"/>
            <w:tcMar>
              <w:top w:w="0" w:type="dxa"/>
              <w:left w:w="57" w:type="dxa"/>
              <w:bottom w:w="0" w:type="dxa"/>
              <w:right w:w="57" w:type="dxa"/>
            </w:tcMar>
            <w:vAlign w:val="center"/>
          </w:tcPr>
          <w:p>
            <w:pPr>
              <w:jc w:val="center"/>
              <w:rPr>
                <w:rFonts w:ascii="仿宋" w:hAnsi="仿宋" w:eastAsia="仿宋"/>
                <w:b/>
                <w:color w:val="auto"/>
                <w:szCs w:val="21"/>
              </w:rPr>
            </w:pPr>
            <w:r>
              <w:rPr>
                <w:rFonts w:hint="eastAsia" w:ascii="仿宋" w:hAnsi="仿宋" w:eastAsia="仿宋"/>
                <w:b/>
                <w:color w:val="auto"/>
              </w:rPr>
              <w:t>区域</w:t>
            </w:r>
          </w:p>
        </w:tc>
        <w:tc>
          <w:tcPr>
            <w:tcW w:w="1353" w:type="dxa"/>
            <w:vMerge w:val="restart"/>
            <w:tcMar>
              <w:top w:w="0" w:type="dxa"/>
              <w:left w:w="57" w:type="dxa"/>
              <w:bottom w:w="0" w:type="dxa"/>
              <w:right w:w="57" w:type="dxa"/>
            </w:tcMar>
            <w:vAlign w:val="center"/>
          </w:tcPr>
          <w:p>
            <w:pPr>
              <w:jc w:val="center"/>
              <w:rPr>
                <w:rFonts w:ascii="仿宋" w:hAnsi="仿宋" w:eastAsia="仿宋"/>
                <w:b/>
                <w:color w:val="auto"/>
              </w:rPr>
            </w:pPr>
            <w:r>
              <w:rPr>
                <w:rFonts w:hint="eastAsia" w:ascii="仿宋" w:hAnsi="仿宋" w:eastAsia="仿宋"/>
                <w:b/>
                <w:color w:val="auto"/>
              </w:rPr>
              <w:t>项目</w:t>
            </w:r>
          </w:p>
        </w:tc>
        <w:tc>
          <w:tcPr>
            <w:tcW w:w="1560" w:type="dxa"/>
            <w:vMerge w:val="restart"/>
            <w:tcMar>
              <w:top w:w="0" w:type="dxa"/>
              <w:left w:w="57" w:type="dxa"/>
              <w:bottom w:w="0" w:type="dxa"/>
              <w:right w:w="57" w:type="dxa"/>
            </w:tcMar>
            <w:vAlign w:val="center"/>
          </w:tcPr>
          <w:p>
            <w:pPr>
              <w:jc w:val="center"/>
              <w:rPr>
                <w:rFonts w:ascii="仿宋" w:hAnsi="仿宋" w:eastAsia="仿宋"/>
                <w:b/>
                <w:color w:val="auto"/>
              </w:rPr>
            </w:pPr>
            <w:r>
              <w:rPr>
                <w:rFonts w:hint="eastAsia" w:ascii="仿宋" w:hAnsi="仿宋" w:eastAsia="仿宋"/>
                <w:b/>
                <w:color w:val="auto"/>
              </w:rPr>
              <w:t>标准</w:t>
            </w:r>
          </w:p>
        </w:tc>
        <w:tc>
          <w:tcPr>
            <w:tcW w:w="6241" w:type="dxa"/>
            <w:gridSpan w:val="5"/>
            <w:tcMar>
              <w:top w:w="0" w:type="dxa"/>
              <w:left w:w="57" w:type="dxa"/>
              <w:bottom w:w="0" w:type="dxa"/>
              <w:right w:w="57" w:type="dxa"/>
            </w:tcMar>
            <w:vAlign w:val="center"/>
          </w:tcPr>
          <w:p>
            <w:pPr>
              <w:jc w:val="center"/>
              <w:rPr>
                <w:rFonts w:ascii="仿宋" w:hAnsi="仿宋" w:eastAsia="仿宋"/>
                <w:b/>
                <w:color w:val="auto"/>
              </w:rPr>
            </w:pPr>
            <w:r>
              <w:rPr>
                <w:rFonts w:hint="eastAsia" w:ascii="仿宋" w:hAnsi="仿宋" w:eastAsia="仿宋"/>
                <w:b/>
                <w:color w:val="auto"/>
              </w:rPr>
              <w:t>频率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417" w:type="dxa"/>
            <w:vMerge w:val="continue"/>
            <w:vAlign w:val="center"/>
          </w:tcPr>
          <w:p>
            <w:pPr>
              <w:widowControl/>
              <w:adjustRightInd/>
              <w:jc w:val="left"/>
              <w:rPr>
                <w:rFonts w:ascii="仿宋" w:hAnsi="仿宋" w:eastAsia="仿宋"/>
                <w:b/>
                <w:color w:val="auto"/>
                <w:szCs w:val="21"/>
              </w:rPr>
            </w:pPr>
          </w:p>
        </w:tc>
        <w:tc>
          <w:tcPr>
            <w:tcW w:w="1353" w:type="dxa"/>
            <w:vMerge w:val="continue"/>
            <w:vAlign w:val="center"/>
          </w:tcPr>
          <w:p>
            <w:pPr>
              <w:widowControl/>
              <w:adjustRightInd/>
              <w:jc w:val="center"/>
              <w:rPr>
                <w:rFonts w:ascii="仿宋" w:hAnsi="仿宋" w:eastAsia="仿宋"/>
                <w:b/>
                <w:color w:val="auto"/>
                <w:szCs w:val="21"/>
              </w:rPr>
            </w:pPr>
          </w:p>
        </w:tc>
        <w:tc>
          <w:tcPr>
            <w:tcW w:w="1560" w:type="dxa"/>
            <w:vMerge w:val="continue"/>
            <w:vAlign w:val="center"/>
          </w:tcPr>
          <w:p>
            <w:pPr>
              <w:widowControl/>
              <w:adjustRightInd/>
              <w:jc w:val="center"/>
              <w:rPr>
                <w:rFonts w:ascii="仿宋" w:hAnsi="仿宋" w:eastAsia="仿宋"/>
                <w:b/>
                <w:color w:val="auto"/>
                <w:szCs w:val="21"/>
              </w:rPr>
            </w:pPr>
          </w:p>
        </w:tc>
        <w:tc>
          <w:tcPr>
            <w:tcW w:w="651" w:type="dxa"/>
            <w:tcMar>
              <w:top w:w="0" w:type="dxa"/>
              <w:left w:w="57" w:type="dxa"/>
              <w:bottom w:w="0" w:type="dxa"/>
              <w:right w:w="57" w:type="dxa"/>
            </w:tcMar>
            <w:vAlign w:val="center"/>
          </w:tcPr>
          <w:p>
            <w:pPr>
              <w:jc w:val="center"/>
              <w:rPr>
                <w:rFonts w:ascii="仿宋" w:hAnsi="仿宋" w:eastAsia="仿宋"/>
                <w:b/>
                <w:color w:val="auto"/>
              </w:rPr>
            </w:pPr>
            <w:r>
              <w:rPr>
                <w:rFonts w:hint="eastAsia" w:ascii="仿宋" w:hAnsi="仿宋" w:eastAsia="仿宋"/>
                <w:b/>
                <w:color w:val="auto"/>
              </w:rPr>
              <w:t>循环</w:t>
            </w:r>
          </w:p>
        </w:tc>
        <w:tc>
          <w:tcPr>
            <w:tcW w:w="1418" w:type="dxa"/>
            <w:tcMar>
              <w:top w:w="0" w:type="dxa"/>
              <w:left w:w="57" w:type="dxa"/>
              <w:bottom w:w="0" w:type="dxa"/>
              <w:right w:w="57" w:type="dxa"/>
            </w:tcMar>
            <w:vAlign w:val="center"/>
          </w:tcPr>
          <w:p>
            <w:pPr>
              <w:jc w:val="center"/>
              <w:rPr>
                <w:rFonts w:ascii="仿宋" w:hAnsi="仿宋" w:eastAsia="仿宋"/>
                <w:b/>
                <w:color w:val="auto"/>
              </w:rPr>
            </w:pPr>
            <w:r>
              <w:rPr>
                <w:rFonts w:hint="eastAsia" w:ascii="仿宋" w:hAnsi="仿宋" w:eastAsia="仿宋"/>
                <w:b/>
                <w:color w:val="auto"/>
              </w:rPr>
              <w:t>日</w:t>
            </w:r>
          </w:p>
        </w:tc>
        <w:tc>
          <w:tcPr>
            <w:tcW w:w="1843" w:type="dxa"/>
            <w:tcMar>
              <w:top w:w="0" w:type="dxa"/>
              <w:left w:w="57" w:type="dxa"/>
              <w:bottom w:w="0" w:type="dxa"/>
              <w:right w:w="57" w:type="dxa"/>
            </w:tcMar>
            <w:vAlign w:val="center"/>
          </w:tcPr>
          <w:p>
            <w:pPr>
              <w:jc w:val="center"/>
              <w:rPr>
                <w:rFonts w:ascii="仿宋" w:hAnsi="仿宋" w:eastAsia="仿宋"/>
                <w:b/>
                <w:color w:val="auto"/>
              </w:rPr>
            </w:pPr>
            <w:r>
              <w:rPr>
                <w:rFonts w:hint="eastAsia" w:ascii="仿宋" w:hAnsi="仿宋" w:eastAsia="仿宋"/>
                <w:b/>
                <w:color w:val="auto"/>
              </w:rPr>
              <w:t>周</w:t>
            </w:r>
          </w:p>
        </w:tc>
        <w:tc>
          <w:tcPr>
            <w:tcW w:w="1701" w:type="dxa"/>
            <w:tcMar>
              <w:top w:w="0" w:type="dxa"/>
              <w:left w:w="57" w:type="dxa"/>
              <w:bottom w:w="0" w:type="dxa"/>
              <w:right w:w="57" w:type="dxa"/>
            </w:tcMar>
            <w:vAlign w:val="center"/>
          </w:tcPr>
          <w:p>
            <w:pPr>
              <w:jc w:val="center"/>
              <w:rPr>
                <w:rFonts w:ascii="仿宋" w:hAnsi="仿宋" w:eastAsia="仿宋"/>
                <w:b/>
                <w:color w:val="auto"/>
              </w:rPr>
            </w:pPr>
            <w:r>
              <w:rPr>
                <w:rFonts w:hint="eastAsia" w:ascii="仿宋" w:hAnsi="仿宋" w:eastAsia="仿宋"/>
                <w:b/>
                <w:color w:val="auto"/>
              </w:rPr>
              <w:t>月</w:t>
            </w:r>
          </w:p>
        </w:tc>
        <w:tc>
          <w:tcPr>
            <w:tcW w:w="628" w:type="dxa"/>
            <w:tcMar>
              <w:top w:w="0" w:type="dxa"/>
              <w:left w:w="57" w:type="dxa"/>
              <w:bottom w:w="0" w:type="dxa"/>
              <w:right w:w="57" w:type="dxa"/>
            </w:tcMar>
            <w:vAlign w:val="center"/>
          </w:tcPr>
          <w:p>
            <w:pPr>
              <w:jc w:val="center"/>
              <w:rPr>
                <w:rFonts w:ascii="仿宋" w:hAnsi="仿宋" w:eastAsia="仿宋"/>
                <w:b/>
                <w:color w:val="auto"/>
              </w:rPr>
            </w:pPr>
            <w:r>
              <w:rPr>
                <w:rFonts w:hint="eastAsia" w:ascii="仿宋" w:hAnsi="仿宋" w:eastAsia="仿宋"/>
                <w:b/>
                <w:color w:val="auto"/>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7" w:hRule="atLeast"/>
          <w:jc w:val="center"/>
        </w:trPr>
        <w:tc>
          <w:tcPr>
            <w:tcW w:w="417" w:type="dxa"/>
            <w:vMerge w:val="restart"/>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一楼大厅</w:t>
            </w: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地面</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无灰尘、污渍、地面光洁</w:t>
            </w:r>
          </w:p>
        </w:tc>
        <w:tc>
          <w:tcPr>
            <w:tcW w:w="65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推尘</w:t>
            </w: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墙面、柱子</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无灰尘、污渍、表面光洁</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1.5米以下每天保洁1次。</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每月用全能水全面抹尘1次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6"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玻璃大门、玻璃幕墙(2米以下）</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无灰尘、污渍、无手印</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电控门每日清洁，随时保洁。</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用玻璃清洁剂全面刮洗1次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6"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楼梯间、吸烟室</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无灰尘、污渍、墙面无明显污渍、地面光洁</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扶手每日抹尘1次，台阶每隔1日湿拖1次。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开关、消防设施等的抹尘</w:t>
            </w: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消防门、高位设施、墙面</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9"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标牌、设施</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清末每天不少于1次，随时保洁</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植物叶面</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无积尘</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每周抹尘1次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8"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茶几、烟灰缸、沙发</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茶几、烟灰缸、沙发无灰尘、脏污，沙发定期保养</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茶几、烟灰缸、沙发每天保洁数次，烟缸无明显污迹、烟蒂不超过3只以上</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沙发每周保养1次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墙面低设施</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每日抹尘1次</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墙面高位、天花板、设施</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每月抹尘、擦拭、扫1次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417" w:type="dxa"/>
            <w:vMerge w:val="restart"/>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室内公共部位</w:t>
            </w: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地面</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无灰尘、污渍、地面光洁</w:t>
            </w:r>
          </w:p>
        </w:tc>
        <w:tc>
          <w:tcPr>
            <w:tcW w:w="65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推尘</w:t>
            </w: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每周用全能水湿拖1次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1"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墙面</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局部灰尘、污渍随时处理</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除尘、去污1次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7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消防楼梯</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无灰尘、污渍、地面光洁、墙面无污渍、蜘蛛网</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扶手、台阶保洁1次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开关、安全出口牌、百叶风口、消防设施抹尘1次</w:t>
            </w: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高位设施、墙面保洁1次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2"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门、门框</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无灰尘、污渍、手印</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玻璃门每日保洁</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玻璃门每周用玻璃清洁剂刮洗1次</w:t>
            </w: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消防门每月保洁1次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窗、窗台、栏杆</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灰尘、污渍、手印</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窗台、栏杆每日抹尘1次</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每月用玻璃清洁剂对玻璃刮洗1次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墙面低处设施</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开关、火警报警器、安全出口牌每日抹尘1次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踢脚线抹尘、保养1次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墙面高位</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天花板、灯、灯带清洁1次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垃圾桶</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无异味、污渍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每日清理2次，每日清洁1次</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屋面、平台、地漏</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无灰尘、杂物、地漏畅通</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每日清扫1次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每周彻底保洁1次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417" w:type="dxa"/>
            <w:vMerge w:val="restart"/>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电梯保洁</w:t>
            </w: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地面（地毯）</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每日随时清洁</w:t>
            </w: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清洗1次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电梯地坎缝</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无杂物</w:t>
            </w:r>
          </w:p>
        </w:tc>
        <w:tc>
          <w:tcPr>
            <w:tcW w:w="65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随时保洁</w:t>
            </w: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彻底清洁1次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电梯轿厢</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无灰尘、污渍、手印</w:t>
            </w:r>
          </w:p>
        </w:tc>
        <w:tc>
          <w:tcPr>
            <w:tcW w:w="65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随时保洁</w:t>
            </w: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上油保养1次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天花、灯饰</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随时保洁</w:t>
            </w: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彻底清洁1次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楼层门、召唤面板</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无灰尘、污渍、手印</w:t>
            </w:r>
          </w:p>
        </w:tc>
        <w:tc>
          <w:tcPr>
            <w:tcW w:w="65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随时保洁</w:t>
            </w: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上油保养3-5次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417" w:type="dxa"/>
            <w:vMerge w:val="restart"/>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卫生间</w:t>
            </w: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地面</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无污渍、杂物、异味</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用全能水拖1次，数次保洁，地漏畅通</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用消毒水拖洗1次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垃圾篓</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无异味、无污渍、无溢出垃圾</w:t>
            </w:r>
          </w:p>
        </w:tc>
        <w:tc>
          <w:tcPr>
            <w:tcW w:w="65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随时保洁</w:t>
            </w: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清倒2次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用消毒水擦拭1次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1"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小便池、蹲坑、座厕</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无污渍、污垢、异味</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用洁厕剂洗刷1次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用强力去污剂去除尿垢、黄斑等，用消毒水消毒消毒1次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墙面、槅板</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隔板下段每日保洁</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隔板每周全面清洁1次</w:t>
            </w: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墙面每月彻底清洁1次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镜面</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无污渍、手印</w:t>
            </w:r>
          </w:p>
        </w:tc>
        <w:tc>
          <w:tcPr>
            <w:tcW w:w="65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随时保洁</w:t>
            </w: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刮洗1次</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洗手盆、台面</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无污渍、积水、锈迹</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洗手盆用全能水清洁2次，台面随时保洁</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天花、灯饰</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无灰尘、污渍、黄垢</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保洁</w:t>
            </w: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彻底清洁1次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门、窗</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窗台每日清洁</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窗框、门每周清洁1次</w:t>
            </w: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窗玻璃每月彻底清洁1次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易耗品</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各类易耗品无缺少</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随时添加</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jc w:val="center"/>
        </w:trPr>
        <w:tc>
          <w:tcPr>
            <w:tcW w:w="417" w:type="dxa"/>
            <w:vMerge w:val="restart"/>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地下室</w:t>
            </w: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地面、电梯前室</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无灰尘、污渍、杂物</w:t>
            </w:r>
          </w:p>
        </w:tc>
        <w:tc>
          <w:tcPr>
            <w:tcW w:w="65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随时保洁</w:t>
            </w: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清扫1次</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清洗、拖洗1次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楼梯间</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无灰尘、蜘蛛网、污渍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扶手抹尘1次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台阶湿拖1次、公共设施抹尘1次</w:t>
            </w: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高位设施、墙面保洁1次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防烟门</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拉手抹尘1次</w:t>
            </w: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门、门框抹尘1次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排水沟</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无积水、杂物、畅通</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清扫垃圾1次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彻底清理1次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墙面低位设施</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公共设施保洁1次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墙面高位设施</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公共设施清扫浮尘1次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桥架、管网</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无明显灰尘、污渍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清扫浮尘、蜘蛛网</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 w:hRule="atLeast"/>
          <w:jc w:val="center"/>
        </w:trPr>
        <w:tc>
          <w:tcPr>
            <w:tcW w:w="417" w:type="dxa"/>
            <w:vMerge w:val="restart"/>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室外保洁</w:t>
            </w: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广场、沥青路</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无垃圾、污渍</w:t>
            </w:r>
          </w:p>
        </w:tc>
        <w:tc>
          <w:tcPr>
            <w:tcW w:w="65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清扫垃圾、杂物</w:t>
            </w: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粒子石材冲洗污渍1次</w:t>
            </w: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沥青路面冲洗污渍、灰尘1次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路灯、公共设施</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每天抹尘1次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清理污垢及保养1次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明沟、排水沟</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无明显淤泥、杂物</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清理树叶、杂物1次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清理淤泥、垃圾、杂物</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绿化带、花坛</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无垃圾、烟头污渍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清理垃圾2次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清洗花坛外表污渍</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玻璃幕墙（2米以下）</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无明显灰尘、污渍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用玻璃清洁剂刮洗1次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3"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bCs/>
                <w:color w:val="auto"/>
              </w:rPr>
              <w:t>垃圾房、垃圾中转处</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bCs/>
                <w:color w:val="auto"/>
              </w:rPr>
              <w:t>墙面无明显污迹，地面无垃污迹。无明显异味。</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垃圾房每天冲洗</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bCs/>
                <w:color w:val="auto"/>
              </w:rPr>
              <w:t>垃圾桶、果壳箱（桶）</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bCs/>
                <w:color w:val="auto"/>
              </w:rPr>
              <w:t>桶内外无明显污迹，无垃圾溢出、污水横流。</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垃圾桶每天清洗1次，果壳箱表面每天抹尘1次</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jc w:val="center"/>
        </w:trPr>
        <w:tc>
          <w:tcPr>
            <w:tcW w:w="417" w:type="dxa"/>
            <w:vMerge w:val="restart"/>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办公室</w:t>
            </w: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地面</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无灰尘、污渍、地面光洁</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用全能水湿拖1次</w:t>
            </w:r>
          </w:p>
        </w:tc>
        <w:tc>
          <w:tcPr>
            <w:tcW w:w="1843" w:type="dxa"/>
            <w:tcMar>
              <w:top w:w="0" w:type="dxa"/>
              <w:left w:w="57" w:type="dxa"/>
              <w:bottom w:w="0" w:type="dxa"/>
              <w:right w:w="57" w:type="dxa"/>
            </w:tcMar>
            <w:vAlign w:val="center"/>
          </w:tcPr>
          <w:p>
            <w:pPr>
              <w:jc w:val="center"/>
              <w:rPr>
                <w:rFonts w:ascii="仿宋" w:hAnsi="仿宋" w:eastAsia="仿宋"/>
                <w:color w:val="auto"/>
              </w:rPr>
            </w:pP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垃圾篓</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无异味、污渍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更换2次垃圾</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清洗垃圾桶1次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桌椅台面</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无灰尘、污渍、表面光洁</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清末1次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用洁而亮清抹1次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沙发、茶几</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无灰尘、污渍、表面光洁</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清抹1次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用碧丽珠保养1次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门、门框</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清抹1次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窗、窗玻璃</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无灰尘、污渍、手印</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窗台、垃圾抹尘1次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窗框抹尘1次</w:t>
            </w:r>
          </w:p>
        </w:tc>
        <w:tc>
          <w:tcPr>
            <w:tcW w:w="1701"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用玻璃清洁剂刮洗1次</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天花、灯饰</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无污渍、蜘蛛网</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spacing w:val="-14"/>
              </w:rPr>
            </w:pPr>
          </w:p>
        </w:tc>
        <w:tc>
          <w:tcPr>
            <w:tcW w:w="1701" w:type="dxa"/>
            <w:tcMar>
              <w:top w:w="0" w:type="dxa"/>
              <w:left w:w="57" w:type="dxa"/>
              <w:bottom w:w="0" w:type="dxa"/>
              <w:right w:w="57" w:type="dxa"/>
            </w:tcMar>
            <w:vAlign w:val="center"/>
          </w:tcPr>
          <w:p>
            <w:pPr>
              <w:jc w:val="center"/>
              <w:rPr>
                <w:rFonts w:ascii="仿宋" w:hAnsi="仿宋" w:eastAsia="仿宋"/>
                <w:color w:val="auto"/>
                <w:spacing w:val="-14"/>
              </w:rPr>
            </w:pPr>
            <w:r>
              <w:rPr>
                <w:rFonts w:hint="eastAsia" w:ascii="仿宋" w:hAnsi="仿宋" w:eastAsia="仿宋"/>
                <w:color w:val="auto"/>
              </w:rPr>
              <w:t>除尘</w:t>
            </w: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restart"/>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会议室</w:t>
            </w: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桌椅</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无灰尘、污渍、光洁</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抹尘</w:t>
            </w:r>
            <w:r>
              <w:rPr>
                <w:rFonts w:ascii="仿宋" w:hAnsi="仿宋" w:eastAsia="仿宋"/>
                <w:color w:val="auto"/>
              </w:rPr>
              <w:t>1</w:t>
            </w:r>
            <w:r>
              <w:rPr>
                <w:rFonts w:hint="eastAsia" w:ascii="仿宋" w:hAnsi="仿宋" w:eastAsia="仿宋"/>
                <w:color w:val="auto"/>
              </w:rPr>
              <w:t>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碧丽珠保养</w:t>
            </w:r>
            <w:r>
              <w:rPr>
                <w:rFonts w:ascii="仿宋" w:hAnsi="仿宋" w:eastAsia="仿宋"/>
                <w:color w:val="auto"/>
              </w:rPr>
              <w:t>1</w:t>
            </w:r>
            <w:r>
              <w:rPr>
                <w:rFonts w:hint="eastAsia" w:ascii="仿宋" w:hAnsi="仿宋" w:eastAsia="仿宋"/>
                <w:color w:val="auto"/>
              </w:rPr>
              <w:t>次</w:t>
            </w:r>
          </w:p>
        </w:tc>
        <w:tc>
          <w:tcPr>
            <w:tcW w:w="1701" w:type="dxa"/>
            <w:tcMar>
              <w:top w:w="0" w:type="dxa"/>
              <w:left w:w="57" w:type="dxa"/>
              <w:bottom w:w="0" w:type="dxa"/>
              <w:right w:w="57" w:type="dxa"/>
            </w:tcMar>
            <w:vAlign w:val="center"/>
          </w:tcPr>
          <w:p>
            <w:pPr>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地面</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无灰尘、污渍、杂物、地面光洁</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湿拖</w:t>
            </w:r>
            <w:r>
              <w:rPr>
                <w:rFonts w:ascii="仿宋" w:hAnsi="仿宋" w:eastAsia="仿宋"/>
                <w:color w:val="auto"/>
              </w:rPr>
              <w:t>/</w:t>
            </w:r>
            <w:r>
              <w:rPr>
                <w:rFonts w:hint="eastAsia" w:ascii="仿宋" w:hAnsi="仿宋" w:eastAsia="仿宋"/>
                <w:color w:val="auto"/>
              </w:rPr>
              <w:t>推尘</w:t>
            </w:r>
            <w:r>
              <w:rPr>
                <w:rFonts w:ascii="仿宋" w:hAnsi="仿宋" w:eastAsia="仿宋"/>
                <w:color w:val="auto"/>
              </w:rPr>
              <w:t>1</w:t>
            </w:r>
            <w:r>
              <w:rPr>
                <w:rFonts w:hint="eastAsia" w:ascii="仿宋" w:hAnsi="仿宋" w:eastAsia="仿宋"/>
                <w:color w:val="auto"/>
              </w:rPr>
              <w:t>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全能水湿拖</w:t>
            </w:r>
            <w:r>
              <w:rPr>
                <w:rFonts w:ascii="仿宋" w:hAnsi="仿宋" w:eastAsia="仿宋"/>
                <w:color w:val="auto"/>
              </w:rPr>
              <w:t>1</w:t>
            </w:r>
            <w:r>
              <w:rPr>
                <w:rFonts w:hint="eastAsia" w:ascii="仿宋" w:hAnsi="仿宋" w:eastAsia="仿宋"/>
                <w:color w:val="auto"/>
              </w:rPr>
              <w:t>次</w:t>
            </w:r>
          </w:p>
        </w:tc>
        <w:tc>
          <w:tcPr>
            <w:tcW w:w="1701" w:type="dxa"/>
            <w:tcMar>
              <w:top w:w="0" w:type="dxa"/>
              <w:left w:w="57" w:type="dxa"/>
              <w:bottom w:w="0" w:type="dxa"/>
              <w:right w:w="57" w:type="dxa"/>
            </w:tcMar>
            <w:vAlign w:val="center"/>
          </w:tcPr>
          <w:p>
            <w:pPr>
              <w:ind w:left="420"/>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公共设施</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低位每日抹尘</w:t>
            </w:r>
            <w:r>
              <w:rPr>
                <w:rFonts w:ascii="仿宋" w:hAnsi="仿宋" w:eastAsia="仿宋"/>
                <w:color w:val="auto"/>
              </w:rPr>
              <w:t>1</w:t>
            </w:r>
            <w:r>
              <w:rPr>
                <w:rFonts w:hint="eastAsia" w:ascii="仿宋" w:hAnsi="仿宋" w:eastAsia="仿宋"/>
                <w:color w:val="auto"/>
              </w:rPr>
              <w:t>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高位每月抹尘</w:t>
            </w:r>
            <w:r>
              <w:rPr>
                <w:rFonts w:ascii="仿宋" w:hAnsi="仿宋" w:eastAsia="仿宋"/>
                <w:color w:val="auto"/>
              </w:rPr>
              <w:t>1</w:t>
            </w:r>
            <w:r>
              <w:rPr>
                <w:rFonts w:hint="eastAsia" w:ascii="仿宋" w:hAnsi="仿宋" w:eastAsia="仿宋"/>
                <w:color w:val="auto"/>
              </w:rPr>
              <w:t>次</w:t>
            </w:r>
          </w:p>
        </w:tc>
        <w:tc>
          <w:tcPr>
            <w:tcW w:w="1701" w:type="dxa"/>
            <w:tcMar>
              <w:top w:w="0" w:type="dxa"/>
              <w:left w:w="57" w:type="dxa"/>
              <w:bottom w:w="0" w:type="dxa"/>
              <w:right w:w="57" w:type="dxa"/>
            </w:tcMar>
            <w:vAlign w:val="center"/>
          </w:tcPr>
          <w:p>
            <w:pPr>
              <w:ind w:left="420"/>
              <w:jc w:val="center"/>
              <w:rPr>
                <w:rFonts w:ascii="仿宋" w:hAnsi="仿宋" w:eastAsia="仿宋"/>
                <w:color w:val="auto"/>
              </w:rPr>
            </w:pPr>
          </w:p>
        </w:tc>
        <w:tc>
          <w:tcPr>
            <w:tcW w:w="628" w:type="dxa"/>
            <w:tcMar>
              <w:top w:w="0" w:type="dxa"/>
              <w:left w:w="57" w:type="dxa"/>
              <w:bottom w:w="0" w:type="dxa"/>
              <w:right w:w="57" w:type="dxa"/>
            </w:tcMar>
            <w:vAlign w:val="center"/>
          </w:tcPr>
          <w:p>
            <w:pPr>
              <w:jc w:val="center"/>
              <w:rPr>
                <w:rFonts w:ascii="仿宋" w:hAnsi="仿宋" w:eastAsia="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窗、窗框、玻璃</w:t>
            </w:r>
          </w:p>
        </w:tc>
        <w:tc>
          <w:tcPr>
            <w:tcW w:w="1560"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无灰尘、污渍、手印</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窗台、拉手抹尘</w:t>
            </w:r>
            <w:r>
              <w:rPr>
                <w:rFonts w:ascii="仿宋" w:hAnsi="仿宋" w:eastAsia="仿宋"/>
                <w:color w:val="auto"/>
              </w:rPr>
              <w:t>1</w:t>
            </w:r>
            <w:r>
              <w:rPr>
                <w:rFonts w:hint="eastAsia" w:ascii="仿宋" w:hAnsi="仿宋" w:eastAsia="仿宋"/>
                <w:color w:val="auto"/>
              </w:rPr>
              <w:t>次</w:t>
            </w: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窗框抹尘</w:t>
            </w:r>
            <w:r>
              <w:rPr>
                <w:rFonts w:ascii="仿宋" w:hAnsi="仿宋" w:eastAsia="仿宋"/>
                <w:color w:val="auto"/>
              </w:rPr>
              <w:t>1</w:t>
            </w:r>
            <w:r>
              <w:rPr>
                <w:rFonts w:hint="eastAsia" w:ascii="仿宋" w:hAnsi="仿宋" w:eastAsia="仿宋"/>
                <w:color w:val="auto"/>
              </w:rPr>
              <w:t>次</w:t>
            </w:r>
          </w:p>
        </w:tc>
        <w:tc>
          <w:tcPr>
            <w:tcW w:w="1701" w:type="dxa"/>
            <w:tcMar>
              <w:top w:w="0" w:type="dxa"/>
              <w:left w:w="57" w:type="dxa"/>
              <w:bottom w:w="0" w:type="dxa"/>
              <w:right w:w="57" w:type="dxa"/>
            </w:tcMar>
            <w:vAlign w:val="center"/>
          </w:tcPr>
          <w:p>
            <w:pPr>
              <w:jc w:val="center"/>
              <w:rPr>
                <w:rFonts w:ascii="仿宋" w:hAnsi="仿宋" w:eastAsia="仿宋" w:cs="宋体"/>
                <w:color w:val="auto"/>
              </w:rPr>
            </w:pPr>
            <w:r>
              <w:rPr>
                <w:rFonts w:hint="eastAsia" w:ascii="仿宋" w:hAnsi="仿宋" w:eastAsia="仿宋"/>
                <w:color w:val="auto"/>
              </w:rPr>
              <w:t>玻璃用玻璃清洁剂刮洗</w:t>
            </w:r>
            <w:r>
              <w:rPr>
                <w:rFonts w:ascii="仿宋" w:hAnsi="仿宋" w:eastAsia="仿宋" w:cs="宋体"/>
                <w:color w:val="auto"/>
              </w:rPr>
              <w:t>1</w:t>
            </w:r>
            <w:r>
              <w:rPr>
                <w:rFonts w:hint="eastAsia" w:ascii="仿宋" w:hAnsi="仿宋" w:eastAsia="仿宋"/>
                <w:color w:val="auto"/>
              </w:rPr>
              <w:t>次</w:t>
            </w:r>
          </w:p>
        </w:tc>
        <w:tc>
          <w:tcPr>
            <w:tcW w:w="628" w:type="dxa"/>
            <w:tcMar>
              <w:top w:w="0" w:type="dxa"/>
              <w:left w:w="57" w:type="dxa"/>
              <w:bottom w:w="0" w:type="dxa"/>
              <w:right w:w="57" w:type="dxa"/>
            </w:tcMar>
            <w:vAlign w:val="center"/>
          </w:tcPr>
          <w:p>
            <w:pPr>
              <w:jc w:val="center"/>
              <w:rPr>
                <w:rFonts w:ascii="仿宋" w:hAnsi="仿宋" w:eastAsia="仿宋" w:cs="宋体"/>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0" w:hRule="atLeast"/>
          <w:jc w:val="center"/>
        </w:trPr>
        <w:tc>
          <w:tcPr>
            <w:tcW w:w="417" w:type="dxa"/>
            <w:vMerge w:val="continue"/>
            <w:vAlign w:val="center"/>
          </w:tcPr>
          <w:p>
            <w:pPr>
              <w:widowControl/>
              <w:adjustRightInd/>
              <w:jc w:val="left"/>
              <w:rPr>
                <w:rFonts w:ascii="仿宋" w:hAnsi="仿宋" w:eastAsia="仿宋"/>
                <w:color w:val="auto"/>
                <w:szCs w:val="21"/>
              </w:rPr>
            </w:pPr>
          </w:p>
        </w:tc>
        <w:tc>
          <w:tcPr>
            <w:tcW w:w="1353" w:type="dxa"/>
            <w:tcMar>
              <w:top w:w="0" w:type="dxa"/>
              <w:left w:w="57" w:type="dxa"/>
              <w:bottom w:w="0" w:type="dxa"/>
              <w:right w:w="57" w:type="dxa"/>
            </w:tcMar>
            <w:vAlign w:val="center"/>
          </w:tcPr>
          <w:p>
            <w:pPr>
              <w:jc w:val="center"/>
              <w:rPr>
                <w:rFonts w:ascii="仿宋" w:hAnsi="仿宋" w:eastAsia="仿宋" w:cs="宋体"/>
                <w:color w:val="auto"/>
              </w:rPr>
            </w:pPr>
            <w:r>
              <w:rPr>
                <w:rFonts w:hint="eastAsia" w:ascii="仿宋" w:hAnsi="仿宋" w:eastAsia="仿宋"/>
                <w:color w:val="auto"/>
              </w:rPr>
              <w:t>门、门框</w:t>
            </w:r>
          </w:p>
        </w:tc>
        <w:tc>
          <w:tcPr>
            <w:tcW w:w="1560" w:type="dxa"/>
            <w:tcMar>
              <w:top w:w="0" w:type="dxa"/>
              <w:left w:w="57" w:type="dxa"/>
              <w:bottom w:w="0" w:type="dxa"/>
              <w:right w:w="57" w:type="dxa"/>
            </w:tcMar>
            <w:vAlign w:val="center"/>
          </w:tcPr>
          <w:p>
            <w:pPr>
              <w:jc w:val="center"/>
              <w:rPr>
                <w:rFonts w:ascii="仿宋" w:hAnsi="仿宋" w:eastAsia="仿宋" w:cs="宋体"/>
                <w:color w:val="auto"/>
              </w:rPr>
            </w:pPr>
            <w:r>
              <w:rPr>
                <w:rFonts w:hint="eastAsia" w:ascii="仿宋" w:hAnsi="仿宋" w:eastAsia="仿宋"/>
                <w:color w:val="auto"/>
              </w:rPr>
              <w:t>无灰尘、污渍</w:t>
            </w:r>
          </w:p>
        </w:tc>
        <w:tc>
          <w:tcPr>
            <w:tcW w:w="651" w:type="dxa"/>
            <w:tcMar>
              <w:top w:w="0" w:type="dxa"/>
              <w:left w:w="57" w:type="dxa"/>
              <w:bottom w:w="0" w:type="dxa"/>
              <w:right w:w="57" w:type="dxa"/>
            </w:tcMar>
            <w:vAlign w:val="center"/>
          </w:tcPr>
          <w:p>
            <w:pPr>
              <w:jc w:val="center"/>
              <w:rPr>
                <w:rFonts w:ascii="仿宋" w:hAnsi="仿宋" w:eastAsia="仿宋"/>
                <w:color w:val="auto"/>
              </w:rPr>
            </w:pPr>
          </w:p>
        </w:tc>
        <w:tc>
          <w:tcPr>
            <w:tcW w:w="1418" w:type="dxa"/>
            <w:tcMar>
              <w:top w:w="0" w:type="dxa"/>
              <w:left w:w="57" w:type="dxa"/>
              <w:bottom w:w="0" w:type="dxa"/>
              <w:right w:w="57" w:type="dxa"/>
            </w:tcMar>
            <w:vAlign w:val="center"/>
          </w:tcPr>
          <w:p>
            <w:pPr>
              <w:jc w:val="center"/>
              <w:rPr>
                <w:rFonts w:ascii="仿宋" w:hAnsi="仿宋" w:eastAsia="仿宋"/>
                <w:color w:val="auto"/>
              </w:rPr>
            </w:pPr>
          </w:p>
        </w:tc>
        <w:tc>
          <w:tcPr>
            <w:tcW w:w="1843" w:type="dxa"/>
            <w:tcMar>
              <w:top w:w="0" w:type="dxa"/>
              <w:left w:w="57" w:type="dxa"/>
              <w:bottom w:w="0" w:type="dxa"/>
              <w:right w:w="57" w:type="dxa"/>
            </w:tcMar>
            <w:vAlign w:val="center"/>
          </w:tcPr>
          <w:p>
            <w:pPr>
              <w:jc w:val="center"/>
              <w:rPr>
                <w:rFonts w:ascii="仿宋" w:hAnsi="仿宋" w:eastAsia="仿宋"/>
                <w:color w:val="auto"/>
              </w:rPr>
            </w:pPr>
            <w:r>
              <w:rPr>
                <w:rFonts w:hint="eastAsia" w:ascii="仿宋" w:hAnsi="仿宋" w:eastAsia="仿宋"/>
                <w:color w:val="auto"/>
              </w:rPr>
              <w:t>抹尘</w:t>
            </w:r>
            <w:r>
              <w:rPr>
                <w:rFonts w:ascii="仿宋" w:hAnsi="仿宋" w:eastAsia="仿宋"/>
                <w:color w:val="auto"/>
              </w:rPr>
              <w:t>1</w:t>
            </w:r>
            <w:r>
              <w:rPr>
                <w:rFonts w:hint="eastAsia" w:ascii="仿宋" w:hAnsi="仿宋" w:eastAsia="仿宋"/>
                <w:color w:val="auto"/>
              </w:rPr>
              <w:t>次</w:t>
            </w:r>
          </w:p>
        </w:tc>
        <w:tc>
          <w:tcPr>
            <w:tcW w:w="1701" w:type="dxa"/>
            <w:tcMar>
              <w:top w:w="0" w:type="dxa"/>
              <w:left w:w="57" w:type="dxa"/>
              <w:bottom w:w="0" w:type="dxa"/>
              <w:right w:w="57" w:type="dxa"/>
            </w:tcMar>
            <w:vAlign w:val="center"/>
          </w:tcPr>
          <w:p>
            <w:pPr>
              <w:jc w:val="center"/>
              <w:rPr>
                <w:rFonts w:ascii="仿宋" w:hAnsi="仿宋" w:eastAsia="仿宋" w:cs="宋体"/>
                <w:color w:val="auto"/>
              </w:rPr>
            </w:pPr>
          </w:p>
        </w:tc>
        <w:tc>
          <w:tcPr>
            <w:tcW w:w="628" w:type="dxa"/>
            <w:tcMar>
              <w:top w:w="0" w:type="dxa"/>
              <w:left w:w="57" w:type="dxa"/>
              <w:bottom w:w="0" w:type="dxa"/>
              <w:right w:w="57" w:type="dxa"/>
            </w:tcMar>
            <w:vAlign w:val="center"/>
          </w:tcPr>
          <w:p>
            <w:pPr>
              <w:jc w:val="center"/>
              <w:rPr>
                <w:rFonts w:ascii="仿宋" w:hAnsi="仿宋" w:eastAsia="仿宋" w:cs="宋体"/>
                <w:color w:val="auto"/>
              </w:rPr>
            </w:pPr>
          </w:p>
        </w:tc>
      </w:tr>
    </w:tbl>
    <w:p>
      <w:pPr>
        <w:spacing w:before="78" w:line="360" w:lineRule="auto"/>
        <w:jc w:val="center"/>
        <w:rPr>
          <w:rFonts w:ascii="仿宋" w:hAnsi="仿宋" w:eastAsia="仿宋"/>
          <w:b/>
          <w:bCs/>
          <w:color w:val="auto"/>
          <w:spacing w:val="-1"/>
          <w:sz w:val="24"/>
        </w:rPr>
      </w:pPr>
      <w:r>
        <w:rPr>
          <w:rFonts w:hint="eastAsia" w:ascii="仿宋" w:hAnsi="仿宋" w:eastAsia="仿宋"/>
          <w:b/>
          <w:bCs/>
          <w:color w:val="auto"/>
          <w:spacing w:val="-1"/>
          <w:sz w:val="24"/>
        </w:rPr>
        <w:t>室外绿化养护服务标准</w:t>
      </w:r>
    </w:p>
    <w:p>
      <w:pPr>
        <w:spacing w:before="78" w:line="360" w:lineRule="auto"/>
        <w:ind w:firstLine="420"/>
        <w:jc w:val="left"/>
        <w:rPr>
          <w:rFonts w:ascii="仿宋" w:hAnsi="仿宋" w:eastAsia="仿宋" w:cs="仿宋"/>
          <w:color w:val="auto"/>
          <w:kern w:val="0"/>
          <w:sz w:val="24"/>
        </w:rPr>
      </w:pPr>
      <w:r>
        <w:rPr>
          <w:rFonts w:hint="eastAsia" w:ascii="仿宋" w:hAnsi="仿宋" w:eastAsia="仿宋" w:cs="仿宋"/>
          <w:color w:val="auto"/>
          <w:kern w:val="0"/>
          <w:sz w:val="24"/>
        </w:rPr>
        <w:t>（1）绿化比较充分，植物配置基本合理，基本达到黄土不露天。</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ab/>
      </w:r>
      <w:r>
        <w:rPr>
          <w:rFonts w:hint="eastAsia" w:ascii="仿宋" w:hAnsi="仿宋" w:eastAsia="仿宋" w:cs="仿宋"/>
          <w:color w:val="auto"/>
          <w:kern w:val="0"/>
          <w:sz w:val="24"/>
        </w:rPr>
        <w:t>（2）植物达到：</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①生长势：正常。生长达到该树种该规格的平均生长量。</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②叶子正常：①叶色、大小、薄厚正常；②较严重黄叶、焦叶、卷叶带虫尿虫网灰尘的株数在2%以下，③被啃咬的叶片最严重的每株在10%以下。</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③枝、干正常：①无明显枯枝、死权；②有蛀干害虫的株数在2%以下（包括2%，以下同）；③介壳虫最严重处主枝主干100平方厘米2头活虫以下，较细枝条每尺长一段上在10头活虫以下，株数都在4%以下；④树冠基本完整：主侧枝分布均称，树冠通风透光。</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④行道树缺株在1%以下。</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⑤草坪覆盖率达95%以上；草坪内杂草控制在20%以内；生长和颜色正常，不枯黄；每年修剪地型二次以上，冷地型10次以上；基本无病虫害。</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（3）花坛和花景：及时清除枯萎的花蒂、黄叶、杂草、垃圾，做好病虫害防治。花坛和花景做到造型新颖、色彩鲜艳、植物长势好。</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（4）行道树和绿地内无死树，树木修剪基本合理，树形美观，能较好地解决树木与电线、建筑物、交通等之间的矛盾。</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（5）绿化生产垃圾要做到日产日清，绿地内无明显的废弃物，能坚持在重大节日前进行突击清理。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（6）栏杆、园路、桌椅、井盖和牌饰等园林设施基本完整，基本做到及时维护和油饰。</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7）无较重的人为损坏。对轻微或偶尔发生难以控制的人为损坏，能及时发现和处理、绿地、草坪内无堆物堆料、搭棚或侵占等；行道树树干无明显地钉刻画现象，树下距树2米以内无影响树木养护管理的堆物堆料、搭棚、圈栏等。</w:t>
      </w:r>
    </w:p>
    <w:p>
      <w:pPr>
        <w:spacing w:before="78" w:line="360" w:lineRule="auto"/>
        <w:jc w:val="center"/>
        <w:rPr>
          <w:rFonts w:ascii="仿宋" w:hAnsi="仿宋" w:eastAsia="仿宋"/>
          <w:b/>
          <w:bCs/>
          <w:color w:val="auto"/>
          <w:spacing w:val="-1"/>
          <w:sz w:val="24"/>
        </w:rPr>
      </w:pPr>
      <w:r>
        <w:rPr>
          <w:rFonts w:hint="eastAsia" w:ascii="仿宋" w:hAnsi="仿宋" w:eastAsia="仿宋"/>
          <w:b/>
          <w:bCs/>
          <w:color w:val="auto"/>
          <w:spacing w:val="-1"/>
          <w:sz w:val="24"/>
        </w:rPr>
        <w:t>会议会务服务标准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（1）上岗位前要规范着装，岗位上保持良好的仪容仪表。</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（2）坚持站立式服务，接待访客要主动、热情，保持微笑迎宾。</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（3）严格执行来客登记制度，并认真做好核对工作，耐心解答客人的提问，尽量满足客人需求。</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（4）熟悉大楼各单位分布位置和联系电话，学会处理接待工作中遇到的各种情况，不断提高接待能力。</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（5）树立安全意识，做好保密工作，确保安全。</w:t>
      </w:r>
    </w:p>
    <w:p>
      <w:pPr>
        <w:spacing w:before="78" w:line="360" w:lineRule="auto"/>
        <w:jc w:val="center"/>
        <w:rPr>
          <w:rFonts w:ascii="仿宋" w:hAnsi="仿宋" w:eastAsia="仿宋"/>
          <w:b/>
          <w:bCs/>
          <w:color w:val="auto"/>
          <w:spacing w:val="-1"/>
          <w:sz w:val="24"/>
        </w:rPr>
      </w:pPr>
      <w:r>
        <w:rPr>
          <w:rFonts w:hint="eastAsia" w:ascii="仿宋" w:hAnsi="仿宋" w:eastAsia="仿宋"/>
          <w:b/>
          <w:bCs/>
          <w:color w:val="auto"/>
          <w:spacing w:val="-1"/>
          <w:sz w:val="24"/>
        </w:rPr>
        <w:t>消监控管理服务标准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消控值班。消控值班人员必须持证上岗。</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值班时坚守岗位，值班记录准确清晰，掌握现有消防设施设备的使用方法，按照突发火灾的应急方案，并能及时处理各种火灾事故。</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及时反馈反映消防设施设备的故障缺陷和火灾隐患，配合消防设施设备维保单位的工作。</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巡查。定期对消防、监控主机及各消防、监控点的设备进行巡查，确保运行无故障。明确巡查工作职责，规范巡视工作流程，制定固定的巡查制度，对重要区域、部位、设备机房进行重点巡视并记录巡视情况，及时发现和处理备种安全和事故隐患。在接到监控室发出的指令后，巡视人员应及时到达事发现场，采取相应措施妥善处理；如巡视中发现异常情况，应立即通知有关部门并在现场采取必要措施，随时准备启动并执行相应的应急预案。</w:t>
      </w:r>
    </w:p>
    <w:p>
      <w:pPr>
        <w:spacing w:before="114" w:line="360" w:lineRule="auto"/>
        <w:rPr>
          <w:rFonts w:ascii="仿宋" w:hAnsi="仿宋" w:eastAsia="仿宋"/>
          <w:color w:val="auto"/>
          <w:spacing w:val="-1"/>
          <w:sz w:val="24"/>
        </w:rPr>
      </w:pPr>
      <w:r>
        <w:rPr>
          <w:rFonts w:hint="eastAsia" w:ascii="仿宋" w:hAnsi="仿宋" w:eastAsia="仿宋"/>
          <w:color w:val="auto"/>
          <w:spacing w:val="-1"/>
          <w:sz w:val="24"/>
        </w:rPr>
        <w:t>7、需配置的设备、工具及物耗清单</w:t>
      </w:r>
    </w:p>
    <w:tbl>
      <w:tblPr>
        <w:tblStyle w:val="6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43"/>
        <w:gridCol w:w="1935"/>
        <w:gridCol w:w="1782"/>
        <w:gridCol w:w="1616"/>
        <w:gridCol w:w="15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1、拖把</w:t>
            </w:r>
          </w:p>
        </w:tc>
        <w:tc>
          <w:tcPr>
            <w:tcW w:w="1139" w:type="pct"/>
            <w:vAlign w:val="center"/>
          </w:tcPr>
          <w:p>
            <w:pPr>
              <w:rPr>
                <w:rFonts w:ascii="仿宋" w:hAnsi="仿宋" w:eastAsia="仿宋"/>
                <w:color w:val="auto"/>
                <w:sz w:val="24"/>
              </w:rPr>
            </w:pPr>
            <w:r>
              <w:rPr>
                <w:rFonts w:hint="eastAsia" w:ascii="仿宋" w:hAnsi="仿宋" w:eastAsia="仿宋"/>
                <w:color w:val="auto"/>
                <w:sz w:val="24"/>
              </w:rPr>
              <w:t>2、尘推</w:t>
            </w:r>
          </w:p>
        </w:tc>
        <w:tc>
          <w:tcPr>
            <w:tcW w:w="1049" w:type="pct"/>
            <w:vAlign w:val="center"/>
          </w:tcPr>
          <w:p>
            <w:pPr>
              <w:rPr>
                <w:rFonts w:ascii="仿宋" w:hAnsi="仿宋" w:eastAsia="仿宋"/>
                <w:color w:val="auto"/>
                <w:sz w:val="24"/>
              </w:rPr>
            </w:pPr>
            <w:r>
              <w:rPr>
                <w:rFonts w:hint="eastAsia" w:ascii="仿宋" w:hAnsi="仿宋" w:eastAsia="仿宋"/>
                <w:color w:val="auto"/>
                <w:sz w:val="24"/>
              </w:rPr>
              <w:t>3、尘推罩</w:t>
            </w:r>
          </w:p>
        </w:tc>
        <w:tc>
          <w:tcPr>
            <w:tcW w:w="951" w:type="pct"/>
            <w:vAlign w:val="center"/>
          </w:tcPr>
          <w:p>
            <w:pPr>
              <w:rPr>
                <w:rFonts w:ascii="仿宋" w:hAnsi="仿宋" w:eastAsia="仿宋"/>
                <w:color w:val="auto"/>
                <w:sz w:val="24"/>
              </w:rPr>
            </w:pPr>
            <w:r>
              <w:rPr>
                <w:rFonts w:hint="eastAsia" w:ascii="仿宋" w:hAnsi="仿宋" w:eastAsia="仿宋"/>
                <w:color w:val="auto"/>
                <w:sz w:val="24"/>
              </w:rPr>
              <w:t>4、水推</w:t>
            </w:r>
          </w:p>
        </w:tc>
        <w:tc>
          <w:tcPr>
            <w:tcW w:w="894" w:type="pct"/>
            <w:vAlign w:val="center"/>
          </w:tcPr>
          <w:p>
            <w:pPr>
              <w:rPr>
                <w:rFonts w:ascii="仿宋" w:hAnsi="仿宋" w:eastAsia="仿宋"/>
                <w:color w:val="auto"/>
                <w:sz w:val="24"/>
              </w:rPr>
            </w:pPr>
            <w:r>
              <w:rPr>
                <w:rFonts w:hint="eastAsia" w:ascii="仿宋" w:hAnsi="仿宋" w:eastAsia="仿宋"/>
                <w:color w:val="auto"/>
                <w:sz w:val="24"/>
              </w:rPr>
              <w:t>5、扫把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6、畚箕</w:t>
            </w:r>
          </w:p>
        </w:tc>
        <w:tc>
          <w:tcPr>
            <w:tcW w:w="1139" w:type="pct"/>
            <w:vAlign w:val="center"/>
          </w:tcPr>
          <w:p>
            <w:pPr>
              <w:rPr>
                <w:rFonts w:ascii="仿宋" w:hAnsi="仿宋" w:eastAsia="仿宋"/>
                <w:color w:val="auto"/>
                <w:sz w:val="24"/>
              </w:rPr>
            </w:pPr>
            <w:r>
              <w:rPr>
                <w:rFonts w:hint="eastAsia" w:ascii="仿宋" w:hAnsi="仿宋" w:eastAsia="仿宋"/>
                <w:color w:val="auto"/>
                <w:sz w:val="24"/>
              </w:rPr>
              <w:t>7、喷壶</w:t>
            </w:r>
          </w:p>
        </w:tc>
        <w:tc>
          <w:tcPr>
            <w:tcW w:w="1049" w:type="pct"/>
            <w:vAlign w:val="center"/>
          </w:tcPr>
          <w:p>
            <w:pPr>
              <w:rPr>
                <w:rFonts w:ascii="仿宋" w:hAnsi="仿宋" w:eastAsia="仿宋"/>
                <w:color w:val="auto"/>
                <w:sz w:val="24"/>
              </w:rPr>
            </w:pPr>
            <w:r>
              <w:rPr>
                <w:rFonts w:hint="eastAsia" w:ascii="仿宋" w:hAnsi="仿宋" w:eastAsia="仿宋"/>
                <w:color w:val="auto"/>
                <w:sz w:val="24"/>
              </w:rPr>
              <w:t>8、水桶</w:t>
            </w:r>
          </w:p>
        </w:tc>
        <w:tc>
          <w:tcPr>
            <w:tcW w:w="951" w:type="pct"/>
            <w:vAlign w:val="center"/>
          </w:tcPr>
          <w:p>
            <w:pPr>
              <w:rPr>
                <w:rFonts w:ascii="仿宋" w:hAnsi="仿宋" w:eastAsia="仿宋"/>
                <w:color w:val="auto"/>
                <w:sz w:val="24"/>
              </w:rPr>
            </w:pPr>
            <w:r>
              <w:rPr>
                <w:rFonts w:hint="eastAsia" w:ascii="仿宋" w:hAnsi="仿宋" w:eastAsia="仿宋"/>
                <w:color w:val="auto"/>
                <w:sz w:val="24"/>
              </w:rPr>
              <w:t>9、弯头刷</w:t>
            </w:r>
          </w:p>
        </w:tc>
        <w:tc>
          <w:tcPr>
            <w:tcW w:w="894" w:type="pct"/>
            <w:vAlign w:val="center"/>
          </w:tcPr>
          <w:p>
            <w:pPr>
              <w:rPr>
                <w:rFonts w:ascii="仿宋" w:hAnsi="仿宋" w:eastAsia="仿宋"/>
                <w:color w:val="auto"/>
                <w:sz w:val="24"/>
              </w:rPr>
            </w:pPr>
            <w:r>
              <w:rPr>
                <w:rFonts w:hint="eastAsia" w:ascii="仿宋" w:hAnsi="仿宋" w:eastAsia="仿宋"/>
                <w:color w:val="auto"/>
                <w:sz w:val="24"/>
              </w:rPr>
              <w:t>10、长柄刷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11、伸缩竿</w:t>
            </w:r>
          </w:p>
        </w:tc>
        <w:tc>
          <w:tcPr>
            <w:tcW w:w="1139" w:type="pct"/>
            <w:vAlign w:val="center"/>
          </w:tcPr>
          <w:p>
            <w:pPr>
              <w:rPr>
                <w:rFonts w:ascii="仿宋" w:hAnsi="仿宋" w:eastAsia="仿宋"/>
                <w:color w:val="auto"/>
                <w:sz w:val="24"/>
              </w:rPr>
            </w:pPr>
            <w:r>
              <w:rPr>
                <w:rFonts w:hint="eastAsia" w:ascii="仿宋" w:hAnsi="仿宋" w:eastAsia="仿宋"/>
                <w:color w:val="auto"/>
                <w:sz w:val="24"/>
              </w:rPr>
              <w:t>12、铝合金梯子</w:t>
            </w:r>
          </w:p>
        </w:tc>
        <w:tc>
          <w:tcPr>
            <w:tcW w:w="1049" w:type="pct"/>
            <w:vAlign w:val="center"/>
          </w:tcPr>
          <w:p>
            <w:pPr>
              <w:rPr>
                <w:rFonts w:ascii="仿宋" w:hAnsi="仿宋" w:eastAsia="仿宋"/>
                <w:color w:val="auto"/>
                <w:sz w:val="24"/>
              </w:rPr>
            </w:pPr>
            <w:r>
              <w:rPr>
                <w:rFonts w:hint="eastAsia" w:ascii="仿宋" w:hAnsi="仿宋" w:eastAsia="仿宋"/>
                <w:color w:val="auto"/>
                <w:sz w:val="24"/>
              </w:rPr>
              <w:t>13、农药喷雾器</w:t>
            </w:r>
          </w:p>
        </w:tc>
        <w:tc>
          <w:tcPr>
            <w:tcW w:w="951" w:type="pct"/>
            <w:vAlign w:val="center"/>
          </w:tcPr>
          <w:p>
            <w:pPr>
              <w:rPr>
                <w:rFonts w:ascii="仿宋" w:hAnsi="仿宋" w:eastAsia="仿宋"/>
                <w:color w:val="auto"/>
                <w:sz w:val="24"/>
              </w:rPr>
            </w:pPr>
            <w:r>
              <w:rPr>
                <w:rFonts w:hint="eastAsia" w:ascii="仿宋" w:hAnsi="仿宋" w:eastAsia="仿宋"/>
                <w:color w:val="auto"/>
                <w:sz w:val="24"/>
              </w:rPr>
              <w:t>14、疏通器</w:t>
            </w:r>
          </w:p>
        </w:tc>
        <w:tc>
          <w:tcPr>
            <w:tcW w:w="894" w:type="pct"/>
            <w:vAlign w:val="center"/>
          </w:tcPr>
          <w:p>
            <w:pPr>
              <w:rPr>
                <w:rFonts w:ascii="仿宋" w:hAnsi="仿宋" w:eastAsia="仿宋"/>
                <w:color w:val="auto"/>
                <w:sz w:val="24"/>
              </w:rPr>
            </w:pPr>
            <w:r>
              <w:rPr>
                <w:rFonts w:hint="eastAsia" w:ascii="仿宋" w:hAnsi="仿宋" w:eastAsia="仿宋"/>
                <w:color w:val="auto"/>
                <w:sz w:val="24"/>
              </w:rPr>
              <w:t>15、插座板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16、毛头</w:t>
            </w:r>
          </w:p>
        </w:tc>
        <w:tc>
          <w:tcPr>
            <w:tcW w:w="1139" w:type="pct"/>
            <w:vAlign w:val="center"/>
          </w:tcPr>
          <w:p>
            <w:pPr>
              <w:rPr>
                <w:rFonts w:ascii="仿宋" w:hAnsi="仿宋" w:eastAsia="仿宋"/>
                <w:color w:val="auto"/>
                <w:sz w:val="24"/>
              </w:rPr>
            </w:pPr>
            <w:r>
              <w:rPr>
                <w:rFonts w:hint="eastAsia" w:ascii="仿宋" w:hAnsi="仿宋" w:eastAsia="仿宋"/>
                <w:color w:val="auto"/>
                <w:sz w:val="24"/>
              </w:rPr>
              <w:t>17、毛巾</w:t>
            </w:r>
          </w:p>
        </w:tc>
        <w:tc>
          <w:tcPr>
            <w:tcW w:w="1049" w:type="pct"/>
            <w:vAlign w:val="center"/>
          </w:tcPr>
          <w:p>
            <w:pPr>
              <w:rPr>
                <w:rFonts w:ascii="仿宋" w:hAnsi="仿宋" w:eastAsia="仿宋"/>
                <w:color w:val="auto"/>
                <w:sz w:val="24"/>
              </w:rPr>
            </w:pPr>
            <w:r>
              <w:rPr>
                <w:rFonts w:hint="eastAsia" w:ascii="仿宋" w:hAnsi="仿宋" w:eastAsia="仿宋"/>
                <w:color w:val="auto"/>
                <w:sz w:val="24"/>
              </w:rPr>
              <w:t>18、刮刀</w:t>
            </w:r>
          </w:p>
        </w:tc>
        <w:tc>
          <w:tcPr>
            <w:tcW w:w="951" w:type="pct"/>
            <w:vAlign w:val="center"/>
          </w:tcPr>
          <w:p>
            <w:pPr>
              <w:rPr>
                <w:rFonts w:ascii="仿宋" w:hAnsi="仿宋" w:eastAsia="仿宋"/>
                <w:color w:val="auto"/>
                <w:sz w:val="24"/>
              </w:rPr>
            </w:pPr>
            <w:r>
              <w:rPr>
                <w:rFonts w:hint="eastAsia" w:ascii="仿宋" w:hAnsi="仿宋" w:eastAsia="仿宋"/>
                <w:color w:val="auto"/>
                <w:sz w:val="24"/>
              </w:rPr>
              <w:t>19、刀片</w:t>
            </w:r>
          </w:p>
        </w:tc>
        <w:tc>
          <w:tcPr>
            <w:tcW w:w="894" w:type="pct"/>
            <w:vAlign w:val="center"/>
          </w:tcPr>
          <w:p>
            <w:pPr>
              <w:rPr>
                <w:rFonts w:ascii="仿宋" w:hAnsi="仿宋" w:eastAsia="仿宋"/>
                <w:color w:val="auto"/>
                <w:sz w:val="24"/>
              </w:rPr>
            </w:pPr>
            <w:r>
              <w:rPr>
                <w:rFonts w:hint="eastAsia" w:ascii="仿宋" w:hAnsi="仿宋" w:eastAsia="仿宋"/>
                <w:color w:val="auto"/>
                <w:sz w:val="24"/>
              </w:rPr>
              <w:t>20、鸡毛刷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21、外围扫把</w:t>
            </w:r>
          </w:p>
        </w:tc>
        <w:tc>
          <w:tcPr>
            <w:tcW w:w="1139" w:type="pct"/>
            <w:vAlign w:val="center"/>
          </w:tcPr>
          <w:p>
            <w:pPr>
              <w:rPr>
                <w:rFonts w:ascii="仿宋" w:hAnsi="仿宋" w:eastAsia="仿宋"/>
                <w:color w:val="auto"/>
                <w:sz w:val="24"/>
              </w:rPr>
            </w:pPr>
            <w:r>
              <w:rPr>
                <w:rFonts w:hint="eastAsia" w:ascii="仿宋" w:hAnsi="仿宋" w:eastAsia="仿宋"/>
                <w:color w:val="auto"/>
                <w:sz w:val="24"/>
              </w:rPr>
              <w:t>22、外用畚箕</w:t>
            </w:r>
          </w:p>
        </w:tc>
        <w:tc>
          <w:tcPr>
            <w:tcW w:w="1049" w:type="pct"/>
            <w:vAlign w:val="center"/>
          </w:tcPr>
          <w:p>
            <w:pPr>
              <w:rPr>
                <w:rFonts w:ascii="仿宋" w:hAnsi="仿宋" w:eastAsia="仿宋"/>
                <w:color w:val="auto"/>
                <w:sz w:val="24"/>
              </w:rPr>
            </w:pPr>
            <w:r>
              <w:rPr>
                <w:rFonts w:hint="eastAsia" w:ascii="仿宋" w:hAnsi="仿宋" w:eastAsia="仿宋"/>
                <w:color w:val="auto"/>
                <w:sz w:val="24"/>
              </w:rPr>
              <w:t>23、手电筒</w:t>
            </w:r>
          </w:p>
        </w:tc>
        <w:tc>
          <w:tcPr>
            <w:tcW w:w="951" w:type="pct"/>
            <w:vAlign w:val="center"/>
          </w:tcPr>
          <w:p>
            <w:pPr>
              <w:rPr>
                <w:rFonts w:ascii="仿宋" w:hAnsi="仿宋" w:eastAsia="仿宋"/>
                <w:color w:val="auto"/>
                <w:sz w:val="24"/>
              </w:rPr>
            </w:pPr>
            <w:r>
              <w:rPr>
                <w:rFonts w:hint="eastAsia" w:ascii="仿宋" w:hAnsi="仿宋" w:eastAsia="仿宋"/>
                <w:color w:val="auto"/>
                <w:sz w:val="24"/>
              </w:rPr>
              <w:t>24、三角警示牌</w:t>
            </w:r>
          </w:p>
        </w:tc>
        <w:tc>
          <w:tcPr>
            <w:tcW w:w="894" w:type="pct"/>
            <w:vAlign w:val="center"/>
          </w:tcPr>
          <w:p>
            <w:pPr>
              <w:rPr>
                <w:rFonts w:ascii="仿宋" w:hAnsi="仿宋" w:eastAsia="仿宋"/>
                <w:color w:val="auto"/>
                <w:sz w:val="24"/>
              </w:rPr>
            </w:pPr>
            <w:r>
              <w:rPr>
                <w:rFonts w:hint="eastAsia" w:ascii="仿宋" w:hAnsi="仿宋" w:eastAsia="仿宋"/>
                <w:color w:val="auto"/>
                <w:sz w:val="24"/>
              </w:rPr>
              <w:t>25、警示带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26、皮吸</w:t>
            </w:r>
          </w:p>
        </w:tc>
        <w:tc>
          <w:tcPr>
            <w:tcW w:w="1139" w:type="pct"/>
            <w:vAlign w:val="center"/>
          </w:tcPr>
          <w:p>
            <w:pPr>
              <w:rPr>
                <w:rFonts w:ascii="仿宋" w:hAnsi="仿宋" w:eastAsia="仿宋"/>
                <w:color w:val="auto"/>
                <w:sz w:val="24"/>
              </w:rPr>
            </w:pPr>
            <w:r>
              <w:rPr>
                <w:rFonts w:hint="eastAsia" w:ascii="仿宋" w:hAnsi="仿宋" w:eastAsia="仿宋"/>
                <w:color w:val="auto"/>
                <w:sz w:val="24"/>
              </w:rPr>
              <w:t>27、清洁吊牌</w:t>
            </w:r>
          </w:p>
        </w:tc>
        <w:tc>
          <w:tcPr>
            <w:tcW w:w="1049" w:type="pct"/>
            <w:vAlign w:val="center"/>
          </w:tcPr>
          <w:p>
            <w:pPr>
              <w:rPr>
                <w:rFonts w:ascii="仿宋" w:hAnsi="仿宋" w:eastAsia="仿宋"/>
                <w:color w:val="auto"/>
                <w:sz w:val="24"/>
              </w:rPr>
            </w:pPr>
            <w:r>
              <w:rPr>
                <w:rFonts w:hint="eastAsia" w:ascii="仿宋" w:hAnsi="仿宋" w:eastAsia="仿宋"/>
                <w:color w:val="auto"/>
                <w:sz w:val="24"/>
              </w:rPr>
              <w:t>28、废纸篓</w:t>
            </w:r>
          </w:p>
        </w:tc>
        <w:tc>
          <w:tcPr>
            <w:tcW w:w="951" w:type="pct"/>
            <w:vAlign w:val="center"/>
          </w:tcPr>
          <w:p>
            <w:pPr>
              <w:rPr>
                <w:rFonts w:ascii="仿宋" w:hAnsi="仿宋" w:eastAsia="仿宋"/>
                <w:color w:val="auto"/>
                <w:sz w:val="24"/>
              </w:rPr>
            </w:pPr>
            <w:r>
              <w:rPr>
                <w:rFonts w:hint="eastAsia" w:ascii="仿宋" w:hAnsi="仿宋" w:eastAsia="仿宋"/>
                <w:color w:val="auto"/>
                <w:sz w:val="24"/>
              </w:rPr>
              <w:t>29、抛光擦片</w:t>
            </w:r>
          </w:p>
        </w:tc>
        <w:tc>
          <w:tcPr>
            <w:tcW w:w="894" w:type="pct"/>
            <w:vAlign w:val="center"/>
          </w:tcPr>
          <w:p>
            <w:pPr>
              <w:rPr>
                <w:rFonts w:ascii="仿宋" w:hAnsi="仿宋" w:eastAsia="仿宋"/>
                <w:color w:val="auto"/>
                <w:sz w:val="24"/>
              </w:rPr>
            </w:pPr>
            <w:r>
              <w:rPr>
                <w:rFonts w:hint="eastAsia" w:ascii="仿宋" w:hAnsi="仿宋" w:eastAsia="仿宋"/>
                <w:color w:val="auto"/>
                <w:sz w:val="24"/>
              </w:rPr>
              <w:t>30、洗地擦片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31、百洁布</w:t>
            </w:r>
          </w:p>
        </w:tc>
        <w:tc>
          <w:tcPr>
            <w:tcW w:w="1139" w:type="pct"/>
            <w:vAlign w:val="center"/>
          </w:tcPr>
          <w:p>
            <w:pPr>
              <w:rPr>
                <w:rFonts w:ascii="仿宋" w:hAnsi="仿宋" w:eastAsia="仿宋"/>
                <w:color w:val="auto"/>
                <w:sz w:val="24"/>
              </w:rPr>
            </w:pPr>
            <w:r>
              <w:rPr>
                <w:rFonts w:hint="eastAsia" w:ascii="仿宋" w:hAnsi="仿宋" w:eastAsia="仿宋"/>
                <w:color w:val="auto"/>
                <w:sz w:val="24"/>
              </w:rPr>
              <w:t>32、钢丝绵</w:t>
            </w:r>
          </w:p>
        </w:tc>
        <w:tc>
          <w:tcPr>
            <w:tcW w:w="1049" w:type="pct"/>
            <w:vAlign w:val="center"/>
          </w:tcPr>
          <w:p>
            <w:pPr>
              <w:rPr>
                <w:rFonts w:ascii="仿宋" w:hAnsi="仿宋" w:eastAsia="仿宋"/>
                <w:color w:val="auto"/>
                <w:sz w:val="24"/>
              </w:rPr>
            </w:pPr>
            <w:r>
              <w:rPr>
                <w:rFonts w:hint="eastAsia" w:ascii="仿宋" w:hAnsi="仿宋" w:eastAsia="仿宋"/>
                <w:color w:val="auto"/>
                <w:sz w:val="24"/>
              </w:rPr>
              <w:t>33、白沙</w:t>
            </w:r>
          </w:p>
        </w:tc>
        <w:tc>
          <w:tcPr>
            <w:tcW w:w="951" w:type="pct"/>
            <w:vAlign w:val="center"/>
          </w:tcPr>
          <w:p>
            <w:pPr>
              <w:rPr>
                <w:rFonts w:ascii="仿宋" w:hAnsi="仿宋" w:eastAsia="仿宋"/>
                <w:color w:val="auto"/>
                <w:sz w:val="24"/>
              </w:rPr>
            </w:pPr>
            <w:r>
              <w:rPr>
                <w:rFonts w:hint="eastAsia" w:ascii="仿宋" w:hAnsi="仿宋" w:eastAsia="仿宋"/>
                <w:color w:val="auto"/>
                <w:sz w:val="24"/>
              </w:rPr>
              <w:t>34、可降解垃圾袋</w:t>
            </w:r>
          </w:p>
        </w:tc>
        <w:tc>
          <w:tcPr>
            <w:tcW w:w="894" w:type="pct"/>
            <w:vAlign w:val="center"/>
          </w:tcPr>
          <w:p>
            <w:pPr>
              <w:rPr>
                <w:rFonts w:ascii="仿宋" w:hAnsi="仿宋" w:eastAsia="仿宋"/>
                <w:color w:val="auto"/>
                <w:sz w:val="24"/>
              </w:rPr>
            </w:pPr>
            <w:r>
              <w:rPr>
                <w:rFonts w:hint="eastAsia" w:ascii="仿宋" w:hAnsi="仿宋" w:eastAsia="仿宋"/>
                <w:color w:val="auto"/>
                <w:sz w:val="24"/>
              </w:rPr>
              <w:t>35、洗衣粉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36、牵尘剂</w:t>
            </w:r>
          </w:p>
        </w:tc>
        <w:tc>
          <w:tcPr>
            <w:tcW w:w="1139" w:type="pct"/>
            <w:vAlign w:val="center"/>
          </w:tcPr>
          <w:p>
            <w:pPr>
              <w:rPr>
                <w:rFonts w:ascii="仿宋" w:hAnsi="仿宋" w:eastAsia="仿宋"/>
                <w:color w:val="auto"/>
                <w:sz w:val="24"/>
              </w:rPr>
            </w:pPr>
            <w:r>
              <w:rPr>
                <w:rFonts w:hint="eastAsia" w:ascii="仿宋" w:hAnsi="仿宋" w:eastAsia="仿宋"/>
                <w:color w:val="auto"/>
                <w:sz w:val="24"/>
              </w:rPr>
              <w:t>37、钢油</w:t>
            </w:r>
          </w:p>
        </w:tc>
        <w:tc>
          <w:tcPr>
            <w:tcW w:w="1049" w:type="pct"/>
            <w:vAlign w:val="center"/>
          </w:tcPr>
          <w:p>
            <w:pPr>
              <w:rPr>
                <w:rFonts w:ascii="仿宋" w:hAnsi="仿宋" w:eastAsia="仿宋"/>
                <w:color w:val="auto"/>
                <w:sz w:val="24"/>
              </w:rPr>
            </w:pPr>
            <w:r>
              <w:rPr>
                <w:rFonts w:hint="eastAsia" w:ascii="仿宋" w:hAnsi="仿宋" w:eastAsia="仿宋"/>
                <w:color w:val="auto"/>
                <w:sz w:val="24"/>
              </w:rPr>
              <w:t>38、除锈剂</w:t>
            </w:r>
          </w:p>
        </w:tc>
        <w:tc>
          <w:tcPr>
            <w:tcW w:w="951" w:type="pct"/>
            <w:vAlign w:val="center"/>
          </w:tcPr>
          <w:p>
            <w:pPr>
              <w:rPr>
                <w:rFonts w:ascii="仿宋" w:hAnsi="仿宋" w:eastAsia="仿宋"/>
                <w:color w:val="auto"/>
                <w:sz w:val="24"/>
              </w:rPr>
            </w:pPr>
            <w:r>
              <w:rPr>
                <w:rFonts w:hint="eastAsia" w:ascii="仿宋" w:hAnsi="仿宋" w:eastAsia="仿宋"/>
                <w:color w:val="auto"/>
                <w:sz w:val="24"/>
              </w:rPr>
              <w:t>39、全能水</w:t>
            </w:r>
          </w:p>
        </w:tc>
        <w:tc>
          <w:tcPr>
            <w:tcW w:w="894" w:type="pct"/>
            <w:vAlign w:val="center"/>
          </w:tcPr>
          <w:p>
            <w:pPr>
              <w:rPr>
                <w:rFonts w:ascii="仿宋" w:hAnsi="仿宋" w:eastAsia="仿宋"/>
                <w:color w:val="auto"/>
                <w:sz w:val="24"/>
              </w:rPr>
            </w:pPr>
            <w:r>
              <w:rPr>
                <w:rFonts w:hint="eastAsia" w:ascii="仿宋" w:hAnsi="仿宋" w:eastAsia="仿宋"/>
                <w:color w:val="auto"/>
                <w:sz w:val="24"/>
              </w:rPr>
              <w:t>40、香球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41、空气清新剂</w:t>
            </w:r>
          </w:p>
        </w:tc>
        <w:tc>
          <w:tcPr>
            <w:tcW w:w="1139" w:type="pct"/>
            <w:vAlign w:val="center"/>
          </w:tcPr>
          <w:p>
            <w:pPr>
              <w:rPr>
                <w:rFonts w:ascii="仿宋" w:hAnsi="仿宋" w:eastAsia="仿宋"/>
                <w:color w:val="auto"/>
                <w:sz w:val="24"/>
              </w:rPr>
            </w:pPr>
            <w:r>
              <w:rPr>
                <w:rFonts w:hint="eastAsia" w:ascii="仿宋" w:hAnsi="仿宋" w:eastAsia="仿宋"/>
                <w:color w:val="auto"/>
                <w:sz w:val="24"/>
              </w:rPr>
              <w:t>42、除胶剂</w:t>
            </w:r>
          </w:p>
        </w:tc>
        <w:tc>
          <w:tcPr>
            <w:tcW w:w="1049" w:type="pct"/>
            <w:vAlign w:val="center"/>
          </w:tcPr>
          <w:p>
            <w:pPr>
              <w:rPr>
                <w:rFonts w:ascii="仿宋" w:hAnsi="仿宋" w:eastAsia="仿宋"/>
                <w:color w:val="auto"/>
                <w:sz w:val="24"/>
              </w:rPr>
            </w:pPr>
            <w:r>
              <w:rPr>
                <w:rFonts w:hint="eastAsia" w:ascii="仿宋" w:hAnsi="仿宋" w:eastAsia="仿宋"/>
                <w:color w:val="auto"/>
                <w:sz w:val="24"/>
              </w:rPr>
              <w:t>43、洗洁精</w:t>
            </w:r>
          </w:p>
        </w:tc>
        <w:tc>
          <w:tcPr>
            <w:tcW w:w="951" w:type="pct"/>
            <w:vAlign w:val="center"/>
          </w:tcPr>
          <w:p>
            <w:pPr>
              <w:rPr>
                <w:rFonts w:ascii="仿宋" w:hAnsi="仿宋" w:eastAsia="仿宋"/>
                <w:color w:val="auto"/>
                <w:sz w:val="24"/>
              </w:rPr>
            </w:pPr>
            <w:r>
              <w:rPr>
                <w:rFonts w:hint="eastAsia" w:ascii="仿宋" w:hAnsi="仿宋" w:eastAsia="仿宋"/>
                <w:color w:val="auto"/>
                <w:sz w:val="24"/>
              </w:rPr>
              <w:t>44、光亮剂</w:t>
            </w:r>
          </w:p>
        </w:tc>
        <w:tc>
          <w:tcPr>
            <w:tcW w:w="894" w:type="pct"/>
            <w:vAlign w:val="center"/>
          </w:tcPr>
          <w:p>
            <w:pPr>
              <w:rPr>
                <w:rFonts w:ascii="仿宋" w:hAnsi="仿宋" w:eastAsia="仿宋"/>
                <w:color w:val="auto"/>
                <w:sz w:val="24"/>
              </w:rPr>
            </w:pPr>
            <w:r>
              <w:rPr>
                <w:rFonts w:hint="eastAsia" w:ascii="仿宋" w:hAnsi="仿宋" w:eastAsia="仿宋"/>
                <w:color w:val="auto"/>
                <w:sz w:val="24"/>
              </w:rPr>
              <w:t>45、保洁蜡水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46、香蕉水</w:t>
            </w:r>
          </w:p>
        </w:tc>
        <w:tc>
          <w:tcPr>
            <w:tcW w:w="1139" w:type="pct"/>
            <w:vAlign w:val="center"/>
          </w:tcPr>
          <w:p>
            <w:pPr>
              <w:rPr>
                <w:rFonts w:ascii="仿宋" w:hAnsi="仿宋" w:eastAsia="仿宋"/>
                <w:color w:val="auto"/>
                <w:sz w:val="24"/>
              </w:rPr>
            </w:pPr>
            <w:r>
              <w:rPr>
                <w:rFonts w:hint="eastAsia" w:ascii="仿宋" w:hAnsi="仿宋" w:eastAsia="仿宋"/>
                <w:color w:val="auto"/>
                <w:sz w:val="24"/>
              </w:rPr>
              <w:t>47、消泡剂</w:t>
            </w:r>
          </w:p>
        </w:tc>
        <w:tc>
          <w:tcPr>
            <w:tcW w:w="1049" w:type="pct"/>
            <w:vAlign w:val="center"/>
          </w:tcPr>
          <w:p>
            <w:pPr>
              <w:rPr>
                <w:rFonts w:ascii="仿宋" w:hAnsi="仿宋" w:eastAsia="仿宋"/>
                <w:color w:val="auto"/>
                <w:sz w:val="24"/>
              </w:rPr>
            </w:pPr>
            <w:r>
              <w:rPr>
                <w:rFonts w:hint="eastAsia" w:ascii="仿宋" w:hAnsi="仿宋" w:eastAsia="仿宋"/>
                <w:color w:val="auto"/>
                <w:sz w:val="24"/>
              </w:rPr>
              <w:t>48、洁厕精</w:t>
            </w:r>
          </w:p>
        </w:tc>
        <w:tc>
          <w:tcPr>
            <w:tcW w:w="951" w:type="pct"/>
            <w:vAlign w:val="center"/>
          </w:tcPr>
          <w:p>
            <w:pPr>
              <w:rPr>
                <w:rFonts w:ascii="仿宋" w:hAnsi="仿宋" w:eastAsia="仿宋"/>
                <w:color w:val="auto"/>
                <w:sz w:val="24"/>
              </w:rPr>
            </w:pPr>
            <w:r>
              <w:rPr>
                <w:rFonts w:hint="eastAsia" w:ascii="仿宋" w:hAnsi="仿宋" w:eastAsia="仿宋"/>
                <w:color w:val="auto"/>
                <w:sz w:val="24"/>
              </w:rPr>
              <w:t>49、去污粉</w:t>
            </w:r>
          </w:p>
        </w:tc>
        <w:tc>
          <w:tcPr>
            <w:tcW w:w="894" w:type="pct"/>
            <w:vAlign w:val="center"/>
          </w:tcPr>
          <w:p>
            <w:pPr>
              <w:rPr>
                <w:rFonts w:ascii="仿宋" w:hAnsi="仿宋" w:eastAsia="仿宋"/>
                <w:color w:val="auto"/>
                <w:sz w:val="24"/>
              </w:rPr>
            </w:pPr>
            <w:r>
              <w:rPr>
                <w:rFonts w:hint="eastAsia" w:ascii="仿宋" w:hAnsi="仿宋" w:eastAsia="仿宋"/>
                <w:color w:val="auto"/>
                <w:sz w:val="24"/>
              </w:rPr>
              <w:t>50、碱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51、吸水布</w:t>
            </w:r>
          </w:p>
        </w:tc>
        <w:tc>
          <w:tcPr>
            <w:tcW w:w="1139" w:type="pct"/>
            <w:vAlign w:val="center"/>
          </w:tcPr>
          <w:p>
            <w:pPr>
              <w:rPr>
                <w:rFonts w:ascii="仿宋" w:hAnsi="仿宋" w:eastAsia="仿宋"/>
                <w:color w:val="auto"/>
                <w:sz w:val="24"/>
              </w:rPr>
            </w:pPr>
            <w:r>
              <w:rPr>
                <w:rFonts w:hint="eastAsia" w:ascii="仿宋" w:hAnsi="仿宋" w:eastAsia="仿宋"/>
                <w:color w:val="auto"/>
                <w:sz w:val="24"/>
              </w:rPr>
              <w:t>52、置物篮</w:t>
            </w:r>
          </w:p>
        </w:tc>
        <w:tc>
          <w:tcPr>
            <w:tcW w:w="1049" w:type="pct"/>
            <w:vAlign w:val="center"/>
          </w:tcPr>
          <w:p>
            <w:pPr>
              <w:rPr>
                <w:rFonts w:ascii="仿宋" w:hAnsi="仿宋" w:eastAsia="仿宋"/>
                <w:color w:val="auto"/>
                <w:sz w:val="24"/>
              </w:rPr>
            </w:pPr>
            <w:r>
              <w:rPr>
                <w:rFonts w:hint="eastAsia" w:ascii="仿宋" w:hAnsi="仿宋" w:eastAsia="仿宋"/>
                <w:color w:val="auto"/>
                <w:sz w:val="24"/>
              </w:rPr>
              <w:t>53、水管</w:t>
            </w:r>
          </w:p>
        </w:tc>
        <w:tc>
          <w:tcPr>
            <w:tcW w:w="951" w:type="pct"/>
            <w:vAlign w:val="center"/>
          </w:tcPr>
          <w:p>
            <w:pPr>
              <w:rPr>
                <w:rFonts w:ascii="仿宋" w:hAnsi="仿宋" w:eastAsia="仿宋"/>
                <w:color w:val="auto"/>
                <w:sz w:val="24"/>
              </w:rPr>
            </w:pPr>
            <w:r>
              <w:rPr>
                <w:rFonts w:hint="eastAsia" w:ascii="仿宋" w:hAnsi="仿宋" w:eastAsia="仿宋"/>
                <w:color w:val="auto"/>
                <w:sz w:val="24"/>
              </w:rPr>
              <w:t>54、垃圾清运车</w:t>
            </w:r>
          </w:p>
        </w:tc>
        <w:tc>
          <w:tcPr>
            <w:tcW w:w="894" w:type="pct"/>
            <w:vAlign w:val="center"/>
          </w:tcPr>
          <w:p>
            <w:pPr>
              <w:rPr>
                <w:rFonts w:ascii="仿宋" w:hAnsi="仿宋" w:eastAsia="仿宋"/>
                <w:color w:val="auto"/>
                <w:sz w:val="24"/>
              </w:rPr>
            </w:pPr>
            <w:r>
              <w:rPr>
                <w:rFonts w:hint="eastAsia" w:ascii="仿宋" w:hAnsi="仿宋" w:eastAsia="仿宋"/>
                <w:color w:val="auto"/>
                <w:sz w:val="24"/>
              </w:rPr>
              <w:t>55、高压洗地机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7" w:type="pct"/>
            <w:vAlign w:val="center"/>
          </w:tcPr>
          <w:p>
            <w:pPr>
              <w:rPr>
                <w:rFonts w:ascii="仿宋" w:hAnsi="仿宋" w:eastAsia="仿宋"/>
                <w:color w:val="auto"/>
                <w:sz w:val="24"/>
              </w:rPr>
            </w:pPr>
            <w:r>
              <w:rPr>
                <w:rFonts w:hint="eastAsia" w:ascii="仿宋" w:hAnsi="仿宋" w:eastAsia="仿宋"/>
                <w:color w:val="auto"/>
                <w:sz w:val="24"/>
              </w:rPr>
              <w:t>56、吸尘器</w:t>
            </w:r>
          </w:p>
        </w:tc>
        <w:tc>
          <w:tcPr>
            <w:tcW w:w="1139" w:type="pct"/>
            <w:vAlign w:val="center"/>
          </w:tcPr>
          <w:p>
            <w:pPr>
              <w:rPr>
                <w:rFonts w:ascii="仿宋" w:hAnsi="仿宋" w:eastAsia="仿宋"/>
                <w:color w:val="auto"/>
                <w:sz w:val="24"/>
              </w:rPr>
            </w:pPr>
            <w:r>
              <w:rPr>
                <w:rFonts w:hint="eastAsia" w:ascii="仿宋" w:hAnsi="仿宋" w:eastAsia="仿宋"/>
                <w:color w:val="auto"/>
                <w:sz w:val="24"/>
              </w:rPr>
              <w:t>57、两用吸尘器</w:t>
            </w:r>
          </w:p>
        </w:tc>
        <w:tc>
          <w:tcPr>
            <w:tcW w:w="1049" w:type="pct"/>
            <w:vAlign w:val="center"/>
          </w:tcPr>
          <w:p>
            <w:pPr>
              <w:rPr>
                <w:rFonts w:ascii="仿宋" w:hAnsi="仿宋" w:eastAsia="仿宋"/>
                <w:color w:val="auto"/>
                <w:sz w:val="24"/>
              </w:rPr>
            </w:pPr>
            <w:r>
              <w:rPr>
                <w:rFonts w:hint="eastAsia" w:ascii="仿宋" w:hAnsi="仿宋" w:eastAsia="仿宋"/>
                <w:color w:val="auto"/>
                <w:sz w:val="24"/>
              </w:rPr>
              <w:t>58、鼓风机</w:t>
            </w:r>
          </w:p>
        </w:tc>
        <w:tc>
          <w:tcPr>
            <w:tcW w:w="951" w:type="pct"/>
            <w:vAlign w:val="center"/>
          </w:tcPr>
          <w:p>
            <w:pPr>
              <w:rPr>
                <w:rFonts w:ascii="仿宋" w:hAnsi="仿宋" w:eastAsia="仿宋"/>
                <w:color w:val="auto"/>
                <w:sz w:val="24"/>
              </w:rPr>
            </w:pPr>
            <w:r>
              <w:rPr>
                <w:rFonts w:hint="eastAsia" w:ascii="仿宋" w:hAnsi="仿宋" w:eastAsia="仿宋"/>
                <w:color w:val="auto"/>
                <w:sz w:val="24"/>
              </w:rPr>
              <w:t>59、垃圾清运车</w:t>
            </w:r>
          </w:p>
        </w:tc>
        <w:tc>
          <w:tcPr>
            <w:tcW w:w="894" w:type="pct"/>
            <w:vAlign w:val="center"/>
          </w:tcPr>
          <w:p>
            <w:pPr>
              <w:rPr>
                <w:rFonts w:ascii="仿宋" w:hAnsi="仿宋" w:eastAsia="仿宋"/>
                <w:color w:val="auto"/>
                <w:sz w:val="24"/>
              </w:rPr>
            </w:pPr>
          </w:p>
        </w:tc>
      </w:tr>
    </w:tbl>
    <w:p>
      <w:pPr>
        <w:spacing w:before="114" w:line="360" w:lineRule="auto"/>
        <w:rPr>
          <w:rFonts w:ascii="仿宋" w:hAnsi="仿宋" w:eastAsia="仿宋"/>
          <w:b/>
          <w:bCs/>
          <w:color w:val="auto"/>
          <w:spacing w:val="-1"/>
          <w:sz w:val="24"/>
        </w:rPr>
      </w:pPr>
      <w:r>
        <w:rPr>
          <w:rFonts w:hint="eastAsia" w:ascii="仿宋" w:hAnsi="仿宋" w:eastAsia="仿宋"/>
          <w:b/>
          <w:bCs/>
          <w:color w:val="auto"/>
          <w:spacing w:val="-1"/>
          <w:sz w:val="24"/>
        </w:rPr>
        <w:t>8、人员配置</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（1）项目总服务人数不少于49人（含项目负责人），具体分配如下表（室外绿化养护服务人员含在保洁服务人员内）：</w:t>
      </w:r>
    </w:p>
    <w:tbl>
      <w:tblPr>
        <w:tblStyle w:val="6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1270"/>
        <w:gridCol w:w="1386"/>
        <w:gridCol w:w="1234"/>
        <w:gridCol w:w="123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服务地点</w:t>
            </w:r>
          </w:p>
        </w:tc>
        <w:tc>
          <w:tcPr>
            <w:tcW w:w="748"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保洁服务（人）</w:t>
            </w:r>
          </w:p>
        </w:tc>
        <w:tc>
          <w:tcPr>
            <w:tcW w:w="816"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会议会务服务（人）</w:t>
            </w:r>
          </w:p>
        </w:tc>
        <w:tc>
          <w:tcPr>
            <w:tcW w:w="727"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工程设备维护服务（人）</w:t>
            </w:r>
          </w:p>
        </w:tc>
        <w:tc>
          <w:tcPr>
            <w:tcW w:w="723"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消监控管理服务（人）</w:t>
            </w:r>
          </w:p>
        </w:tc>
        <w:tc>
          <w:tcPr>
            <w:tcW w:w="541"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合计（人）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景芳路63号</w:t>
            </w:r>
          </w:p>
        </w:tc>
        <w:tc>
          <w:tcPr>
            <w:tcW w:w="748"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816"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727"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723"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541"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候潮东路175号</w:t>
            </w:r>
          </w:p>
        </w:tc>
        <w:tc>
          <w:tcPr>
            <w:tcW w:w="748"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17</w:t>
            </w:r>
          </w:p>
        </w:tc>
        <w:tc>
          <w:tcPr>
            <w:tcW w:w="816"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727"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723"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541"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艮山东路138-5号</w:t>
            </w:r>
          </w:p>
        </w:tc>
        <w:tc>
          <w:tcPr>
            <w:tcW w:w="748"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816"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727"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723"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541"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中河中路88号</w:t>
            </w:r>
          </w:p>
        </w:tc>
        <w:tc>
          <w:tcPr>
            <w:tcW w:w="748"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816"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727"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723"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541"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8" w:type="pct"/>
            <w:gridSpan w:val="5"/>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项目负责人</w:t>
            </w:r>
          </w:p>
        </w:tc>
        <w:tc>
          <w:tcPr>
            <w:tcW w:w="541"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8" w:type="pct"/>
            <w:gridSpan w:val="5"/>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总计</w:t>
            </w:r>
          </w:p>
        </w:tc>
        <w:tc>
          <w:tcPr>
            <w:tcW w:w="541" w:type="pct"/>
            <w:vAlign w:val="center"/>
          </w:tcPr>
          <w:p>
            <w:pPr>
              <w:tabs>
                <w:tab w:val="left" w:pos="0"/>
              </w:tabs>
              <w:jc w:val="center"/>
              <w:rPr>
                <w:rFonts w:ascii="仿宋" w:hAnsi="仿宋" w:eastAsia="仿宋" w:cs="仿宋"/>
                <w:color w:val="auto"/>
                <w:kern w:val="0"/>
                <w:sz w:val="24"/>
              </w:rPr>
            </w:pPr>
            <w:r>
              <w:rPr>
                <w:rFonts w:hint="eastAsia" w:ascii="仿宋" w:hAnsi="仿宋" w:eastAsia="仿宋" w:cs="仿宋"/>
                <w:color w:val="auto"/>
                <w:kern w:val="0"/>
                <w:sz w:val="24"/>
              </w:rPr>
              <w:t>49</w:t>
            </w:r>
          </w:p>
        </w:tc>
      </w:tr>
    </w:tbl>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注：此表的服务人员数量为本项目基础配备要求，投标人应按不低于此要求进行人员配备。</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（2）管理人员应取得从业资格证书或岗位证书，专业技术、操作人员应取得相应专业技术证书、专业上岗证或职业技能资格证书。项目负责人目前不担任其它项目负责人或管理人员。</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（3）管理服务人员应按规定统一着装、着装整齐清洁，仪表仪容整洁端庄，行为规范，服务主动，认真负责。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（4）管理服务人员应及时、认真做好工作日志、交接班记录、账册等记录工作，做到字迹清晰、数据准确。</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（5）管理服务人员应接受过相关专业技能的培训，能较快熟悉服务范围情况迅速开展工作。</w:t>
      </w:r>
    </w:p>
    <w:p>
      <w:pPr>
        <w:pStyle w:val="26"/>
        <w:spacing w:line="360" w:lineRule="auto"/>
        <w:ind w:firstLine="0" w:firstLineChars="0"/>
        <w:rPr>
          <w:rFonts w:ascii="仿宋" w:hAnsi="仿宋" w:eastAsia="仿宋" w:cs="仿宋"/>
          <w:b/>
          <w:color w:val="auto"/>
        </w:rPr>
      </w:pPr>
      <w:r>
        <w:rPr>
          <w:rFonts w:hint="eastAsia" w:ascii="仿宋" w:hAnsi="仿宋" w:eastAsia="仿宋" w:cs="仿宋"/>
          <w:b/>
          <w:color w:val="auto"/>
        </w:rPr>
        <w:t>三、商务要求表</w:t>
      </w:r>
    </w:p>
    <w:tbl>
      <w:tblPr>
        <w:tblStyle w:val="64"/>
        <w:tblW w:w="94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12"/>
        <w:gridCol w:w="77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12" w:type="dxa"/>
            <w:vAlign w:val="center"/>
          </w:tcPr>
          <w:p>
            <w:pPr>
              <w:spacing w:before="240" w:beforeLines="100" w:after="240" w:afterLines="100"/>
              <w:jc w:val="center"/>
              <w:rPr>
                <w:rFonts w:ascii="仿宋" w:hAnsi="仿宋" w:eastAsia="仿宋" w:cs="Arial"/>
                <w:b/>
                <w:bCs/>
                <w:color w:val="auto"/>
                <w:sz w:val="24"/>
              </w:rPr>
            </w:pPr>
            <w:r>
              <w:rPr>
                <w:rFonts w:hint="eastAsia" w:ascii="仿宋" w:hAnsi="仿宋" w:eastAsia="仿宋" w:cs="Arial"/>
                <w:b/>
                <w:bCs/>
                <w:color w:val="auto"/>
                <w:sz w:val="24"/>
              </w:rPr>
              <w:t>▲投标报价</w:t>
            </w:r>
          </w:p>
        </w:tc>
        <w:tc>
          <w:tcPr>
            <w:tcW w:w="7756" w:type="dxa"/>
            <w:vAlign w:val="center"/>
          </w:tcPr>
          <w:p>
            <w:pPr>
              <w:spacing w:before="120" w:beforeLines="50" w:after="120" w:afterLines="50"/>
              <w:jc w:val="left"/>
              <w:rPr>
                <w:rFonts w:ascii="仿宋" w:hAnsi="仿宋" w:eastAsia="仿宋"/>
                <w:b/>
                <w:color w:val="auto"/>
                <w:sz w:val="24"/>
              </w:rPr>
            </w:pPr>
            <w:r>
              <w:rPr>
                <w:rFonts w:hint="eastAsia" w:ascii="仿宋" w:hAnsi="仿宋" w:eastAsia="仿宋" w:cs="Arial"/>
                <w:b/>
                <w:color w:val="auto"/>
                <w:sz w:val="24"/>
              </w:rPr>
              <w:t>本项目的响应限价为1200万元，超出限价的响应无效。本项目采用总价合同，中标（成交）供应商的报价是履行合同的最终价格，报价应包括完成合同所涉及的全部费用。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12" w:type="dxa"/>
            <w:vAlign w:val="center"/>
          </w:tcPr>
          <w:p>
            <w:pPr>
              <w:spacing w:before="240" w:beforeLines="100" w:after="240" w:afterLines="100"/>
              <w:jc w:val="center"/>
              <w:rPr>
                <w:rFonts w:ascii="仿宋" w:hAnsi="仿宋" w:eastAsia="仿宋" w:cs="Arial"/>
                <w:b/>
                <w:bCs/>
                <w:color w:val="auto"/>
                <w:sz w:val="24"/>
              </w:rPr>
            </w:pPr>
            <w:r>
              <w:rPr>
                <w:rFonts w:hint="eastAsia" w:ascii="仿宋" w:hAnsi="仿宋" w:eastAsia="仿宋" w:cs="Arial"/>
                <w:b/>
                <w:bCs/>
                <w:color w:val="auto"/>
                <w:sz w:val="24"/>
              </w:rPr>
              <w:t>服务期</w:t>
            </w:r>
          </w:p>
        </w:tc>
        <w:tc>
          <w:tcPr>
            <w:tcW w:w="7756" w:type="dxa"/>
            <w:vAlign w:val="center"/>
          </w:tcPr>
          <w:p>
            <w:pPr>
              <w:spacing w:before="120" w:beforeLines="50" w:after="120" w:afterLines="50"/>
              <w:jc w:val="left"/>
              <w:rPr>
                <w:rFonts w:ascii="仿宋" w:hAnsi="仿宋" w:eastAsia="仿宋"/>
                <w:b/>
                <w:bCs/>
                <w:color w:val="auto"/>
                <w:sz w:val="24"/>
              </w:rPr>
            </w:pPr>
            <w:r>
              <w:rPr>
                <w:rFonts w:hint="eastAsia" w:ascii="仿宋" w:hAnsi="仿宋" w:eastAsia="仿宋" w:cs="Arial"/>
                <w:b/>
                <w:color w:val="auto"/>
                <w:sz w:val="24"/>
              </w:rPr>
              <w:t>三年，具体以签订合同之日起为准（合同一年一签）。如遇项目场地搬迁造成项目服务期有所变动的另行协商确定；如遇政策调整等问题，或服务期内年末采购人组织对中标单位服务情况未通过综合考评，采购人有权提前终止合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8" w:hRule="atLeast"/>
          <w:jc w:val="center"/>
        </w:trPr>
        <w:tc>
          <w:tcPr>
            <w:tcW w:w="1712" w:type="dxa"/>
            <w:vAlign w:val="center"/>
          </w:tcPr>
          <w:p>
            <w:pPr>
              <w:spacing w:before="240" w:beforeLines="100" w:after="240" w:afterLines="100"/>
              <w:jc w:val="center"/>
              <w:rPr>
                <w:rFonts w:ascii="仿宋" w:hAnsi="仿宋" w:eastAsia="仿宋" w:cs="Arial"/>
                <w:b/>
                <w:bCs/>
                <w:color w:val="auto"/>
                <w:sz w:val="24"/>
              </w:rPr>
            </w:pPr>
            <w:r>
              <w:rPr>
                <w:rFonts w:hint="eastAsia" w:ascii="仿宋" w:hAnsi="仿宋" w:eastAsia="仿宋" w:cs="Arial"/>
                <w:b/>
                <w:bCs/>
                <w:color w:val="auto"/>
                <w:sz w:val="24"/>
              </w:rPr>
              <w:t>实施地点</w:t>
            </w:r>
          </w:p>
        </w:tc>
        <w:tc>
          <w:tcPr>
            <w:tcW w:w="7756" w:type="dxa"/>
            <w:vAlign w:val="center"/>
          </w:tcPr>
          <w:p>
            <w:pPr>
              <w:spacing w:before="120" w:beforeLines="50" w:after="120" w:afterLines="50"/>
              <w:jc w:val="left"/>
              <w:rPr>
                <w:rFonts w:ascii="仿宋" w:hAnsi="仿宋" w:eastAsia="仿宋"/>
                <w:b/>
                <w:bCs/>
                <w:color w:val="auto"/>
                <w:sz w:val="24"/>
              </w:rPr>
            </w:pPr>
            <w:r>
              <w:rPr>
                <w:rFonts w:hint="eastAsia" w:ascii="仿宋" w:hAnsi="仿宋" w:eastAsia="仿宋"/>
                <w:bCs/>
                <w:color w:val="auto"/>
                <w:sz w:val="24"/>
              </w:rPr>
              <w:t>采购人指定地点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12" w:type="dxa"/>
            <w:vAlign w:val="center"/>
          </w:tcPr>
          <w:p>
            <w:pPr>
              <w:spacing w:before="240" w:beforeLines="100" w:after="240" w:afterLines="100"/>
              <w:jc w:val="center"/>
              <w:rPr>
                <w:rFonts w:ascii="仿宋" w:hAnsi="仿宋" w:eastAsia="仿宋" w:cs="Arial"/>
                <w:b/>
                <w:bCs/>
                <w:color w:val="auto"/>
                <w:sz w:val="24"/>
              </w:rPr>
            </w:pPr>
            <w:r>
              <w:rPr>
                <w:rFonts w:hint="eastAsia" w:ascii="仿宋" w:hAnsi="仿宋" w:eastAsia="仿宋" w:cs="Arial"/>
                <w:b/>
                <w:bCs/>
                <w:color w:val="auto"/>
                <w:sz w:val="24"/>
              </w:rPr>
              <w:t>付款方式和支付条件</w:t>
            </w:r>
          </w:p>
        </w:tc>
        <w:tc>
          <w:tcPr>
            <w:tcW w:w="7756" w:type="dxa"/>
            <w:vAlign w:val="center"/>
          </w:tcPr>
          <w:p>
            <w:pPr>
              <w:snapToGrid w:val="0"/>
              <w:spacing w:before="120" w:beforeLines="50" w:after="120" w:afterLines="50"/>
              <w:rPr>
                <w:rFonts w:ascii="仿宋" w:hAnsi="仿宋" w:eastAsia="仿宋"/>
                <w:color w:val="auto"/>
                <w:sz w:val="24"/>
              </w:rPr>
            </w:pPr>
            <w:r>
              <w:rPr>
                <w:rFonts w:hint="eastAsia" w:ascii="仿宋" w:hAnsi="仿宋" w:eastAsia="仿宋"/>
                <w:color w:val="auto"/>
                <w:sz w:val="24"/>
              </w:rPr>
              <w:t>（1）预付款：本项目实施以人工投入为主，且采购人以按月结算方式向供应商支付服务费，根据“对供应商为大型企业的项目或者以人工投入为主且实行按月定期结算支付款项的项目，预付款可低于上述比例或者不约定预付款”之规定，采购方不约定预付款。</w:t>
            </w:r>
          </w:p>
          <w:p>
            <w:pPr>
              <w:snapToGrid w:val="0"/>
              <w:spacing w:before="120" w:beforeLines="50" w:after="120" w:afterLines="50"/>
              <w:rPr>
                <w:rFonts w:ascii="仿宋" w:hAnsi="仿宋" w:eastAsia="仿宋"/>
                <w:color w:val="auto"/>
                <w:sz w:val="24"/>
              </w:rPr>
            </w:pPr>
            <w:r>
              <w:rPr>
                <w:rFonts w:hint="eastAsia" w:ascii="仿宋" w:hAnsi="仿宋" w:eastAsia="仿宋"/>
                <w:color w:val="auto"/>
                <w:sz w:val="24"/>
              </w:rPr>
              <w:t>（2）履约保证金：本项目不收取履约保证金。</w:t>
            </w:r>
          </w:p>
          <w:p>
            <w:pPr>
              <w:snapToGrid w:val="0"/>
              <w:spacing w:before="120" w:beforeLines="50" w:after="120" w:afterLines="50"/>
              <w:rPr>
                <w:rFonts w:ascii="仿宋" w:hAnsi="仿宋" w:eastAsia="仿宋"/>
                <w:color w:val="auto"/>
                <w:sz w:val="24"/>
              </w:rPr>
            </w:pPr>
            <w:r>
              <w:rPr>
                <w:rFonts w:hint="eastAsia" w:ascii="仿宋" w:hAnsi="仿宋" w:eastAsia="仿宋"/>
                <w:color w:val="auto"/>
                <w:sz w:val="24"/>
              </w:rPr>
              <w:t>（3）服务费用结算：按月结算，服务期次月10日前乙方根据双方确认的费用金额开具上月度服务费用的发票及结算清单（含人员签到签退台账），甲方在收到相关票据后5个工作日内向财务部门发起申报，以对公转账方式结算，具体到账时间以国库支付为准。</w:t>
            </w:r>
          </w:p>
          <w:p>
            <w:pPr>
              <w:snapToGrid w:val="0"/>
              <w:spacing w:before="120" w:beforeLines="50" w:after="120" w:afterLines="50"/>
              <w:rPr>
                <w:rFonts w:ascii="仿宋" w:hAnsi="仿宋" w:eastAsia="仿宋"/>
                <w:color w:val="auto"/>
                <w:sz w:val="24"/>
              </w:rPr>
            </w:pPr>
            <w:r>
              <w:rPr>
                <w:rFonts w:hint="eastAsia" w:ascii="仿宋" w:hAnsi="仿宋" w:eastAsia="仿宋"/>
                <w:color w:val="auto"/>
                <w:sz w:val="24"/>
              </w:rPr>
              <w:t>最终结算费用不突破合同总价金额。</w:t>
            </w:r>
          </w:p>
          <w:p>
            <w:pPr>
              <w:snapToGrid w:val="0"/>
              <w:spacing w:before="120" w:beforeLines="50" w:after="120" w:afterLines="50"/>
              <w:jc w:val="left"/>
              <w:rPr>
                <w:rFonts w:ascii="仿宋" w:hAnsi="仿宋" w:eastAsia="仿宋"/>
                <w:bCs/>
                <w:color w:val="auto"/>
                <w:sz w:val="24"/>
              </w:rPr>
            </w:pPr>
            <w:r>
              <w:rPr>
                <w:rFonts w:hint="eastAsia" w:ascii="仿宋" w:hAnsi="仿宋" w:eastAsia="仿宋"/>
                <w:color w:val="auto"/>
                <w:sz w:val="24"/>
              </w:rPr>
              <w:t>注：付款前，中标供应商须提供符合要求的财务发票，否则采购人有权不予支付，且不承担违约责任，但中标供应商仍须履行本合同。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12" w:type="dxa"/>
            <w:vAlign w:val="center"/>
          </w:tcPr>
          <w:p>
            <w:pPr>
              <w:spacing w:before="240" w:beforeLines="100" w:after="240" w:afterLines="100"/>
              <w:jc w:val="center"/>
              <w:rPr>
                <w:rFonts w:ascii="仿宋" w:hAnsi="仿宋" w:eastAsia="仿宋" w:cs="Arial"/>
                <w:b/>
                <w:bCs/>
                <w:color w:val="auto"/>
                <w:sz w:val="24"/>
              </w:rPr>
            </w:pPr>
            <w:r>
              <w:rPr>
                <w:rFonts w:hint="eastAsia" w:ascii="仿宋" w:hAnsi="仿宋" w:eastAsia="仿宋" w:cs="仿宋"/>
                <w:b/>
                <w:bCs/>
                <w:color w:val="auto"/>
                <w:kern w:val="44"/>
                <w:sz w:val="24"/>
              </w:rPr>
              <w:t>投标报价包括</w:t>
            </w:r>
          </w:p>
        </w:tc>
        <w:tc>
          <w:tcPr>
            <w:tcW w:w="7756" w:type="dxa"/>
            <w:vAlign w:val="center"/>
          </w:tcPr>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本项目投标报价为三年服务费报价，即固定总价承包。投标报价包括完成项目下全部工作所需的一切费用，包括但不限于：人工成本（人员工资、奖金、法定节假日各种加班费、夜餐费、法定五险等），服装费、材料费，办公设备和设施、员工住宿等费用，安全措施，其他相关费用（食宿与交通费，仓储、运输费等），各种管理费用、税费、利润、风险费用及完成合同所需的一切费用。</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本项目报价为包干报价，在合同约定的整个年度内，合同价不予调整。</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主要包括：</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（1）人工成本（含国家和地方相关政府主管部门规定的各项工资组成的费用和各种保险费用）。</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 xml:space="preserve">（2）装备费用：完成本招标项目下服务工作需要的各种装备、设备、工具、器具等，包括通讯工具、巡检器材、交通工具等。 </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（3）材料费：保洁工作需要的各种耗材。</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（4）安全措施：各种专业、专项劳保用品、安全防护用具、安全措施等。</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（5）办公设备和设施、员工住宿等。</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（6）合理的利润，按照国家规定应当交纳的各种税、费、基金、公益事业支出、中标服务费等，以及政策性文件规定及合同包含的所有风险、责任等各项全部费用并承担一切风险责任。</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（7）其他相关费用：食宿与交通费，仓储、运输费等。</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（8）服装费。</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（9）采购人不接受供应商任何因遗漏报价而发生的费用追加，因中标人违反《劳动法》等法律法规而造成采购人的连带责任和损失全部由中标人承担。</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（10）中标人须认真履行职责，严格按服务协议中的质量保证体系做好服务区域内的承包服务工作。确保在岗在位，各尽其职，保证符合各项服务基本频次要求和各项质量标准。</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（11）中标人应保证在服务期内其员工最低月工资不低于杭州市最低工资标准，并按时支付其加班工资。</w:t>
            </w:r>
          </w:p>
          <w:p>
            <w:pPr>
              <w:snapToGrid w:val="0"/>
              <w:spacing w:before="120" w:beforeLines="50" w:after="120" w:afterLines="50"/>
              <w:jc w:val="left"/>
              <w:rPr>
                <w:rFonts w:ascii="仿宋" w:hAnsi="仿宋" w:eastAsia="仿宋"/>
                <w:color w:val="auto"/>
                <w:sz w:val="24"/>
              </w:rPr>
            </w:pPr>
            <w:r>
              <w:rPr>
                <w:rFonts w:hint="eastAsia" w:ascii="仿宋" w:hAnsi="仿宋" w:eastAsia="仿宋"/>
                <w:color w:val="auto"/>
                <w:sz w:val="24"/>
              </w:rPr>
              <w:t>（12）设施设备维保费、垃圾清运费、室内绿化租赁费、外墙清洗费、工程维修材料费、除四害费用及卫生用品（洗手液、卷纸、擦手纸）由采购方承担，不含在本次招标范围内。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712" w:type="dxa"/>
            <w:vAlign w:val="center"/>
          </w:tcPr>
          <w:p>
            <w:pPr>
              <w:spacing w:before="240" w:beforeLines="100" w:after="240" w:afterLines="100"/>
              <w:jc w:val="center"/>
              <w:rPr>
                <w:rFonts w:ascii="仿宋" w:hAnsi="仿宋" w:eastAsia="仿宋" w:cs="Arial"/>
                <w:b/>
                <w:bCs/>
                <w:color w:val="auto"/>
                <w:sz w:val="24"/>
              </w:rPr>
            </w:pPr>
            <w:r>
              <w:rPr>
                <w:rFonts w:hint="eastAsia" w:ascii="仿宋" w:hAnsi="仿宋" w:eastAsia="仿宋" w:cs="Arial"/>
                <w:b/>
                <w:bCs/>
                <w:color w:val="auto"/>
                <w:sz w:val="24"/>
              </w:rPr>
              <w:t>其他约定</w:t>
            </w:r>
          </w:p>
        </w:tc>
        <w:tc>
          <w:tcPr>
            <w:tcW w:w="7756" w:type="dxa"/>
            <w:vAlign w:val="center"/>
          </w:tcPr>
          <w:p>
            <w:pPr>
              <w:spacing w:before="120" w:beforeLines="50" w:after="120" w:afterLines="50"/>
              <w:jc w:val="left"/>
              <w:rPr>
                <w:rFonts w:ascii="仿宋" w:hAnsi="仿宋" w:eastAsia="仿宋"/>
                <w:bCs/>
                <w:color w:val="auto"/>
                <w:sz w:val="24"/>
              </w:rPr>
            </w:pPr>
            <w:r>
              <w:rPr>
                <w:rFonts w:hint="eastAsia" w:ascii="仿宋" w:hAnsi="仿宋" w:eastAsia="仿宋"/>
                <w:bCs/>
                <w:color w:val="auto"/>
                <w:sz w:val="24"/>
              </w:rPr>
              <w:t>项目实施过程中发生的死亡、人身伤害、财产损失、损害以及任何其它损失、损害和引起的费用和开支，由供应商承担全部责任。</w:t>
            </w:r>
          </w:p>
        </w:tc>
      </w:tr>
    </w:tbl>
    <w:p>
      <w:pPr>
        <w:pStyle w:val="26"/>
        <w:spacing w:line="360" w:lineRule="auto"/>
        <w:ind w:firstLine="0" w:firstLineChars="0"/>
        <w:rPr>
          <w:rFonts w:ascii="仿宋" w:hAnsi="仿宋" w:eastAsia="仿宋" w:cs="仿宋"/>
          <w:b/>
          <w:color w:val="auto"/>
        </w:rPr>
      </w:pPr>
      <w:r>
        <w:rPr>
          <w:rFonts w:hint="eastAsia" w:ascii="仿宋" w:hAnsi="仿宋" w:eastAsia="仿宋" w:cs="仿宋"/>
          <w:b/>
          <w:color w:val="auto"/>
        </w:rPr>
        <w:t>四、考核要求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考核指标分值一览表：</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300"/>
        <w:gridCol w:w="1054"/>
        <w:gridCol w:w="2223"/>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jc w:val="center"/>
              <w:rPr>
                <w:rFonts w:ascii="仿宋" w:hAnsi="仿宋" w:eastAsia="仿宋" w:cs="仿宋"/>
                <w:color w:val="auto"/>
                <w:sz w:val="24"/>
              </w:rPr>
            </w:pPr>
            <w:r>
              <w:rPr>
                <w:rFonts w:hint="eastAsia" w:ascii="仿宋" w:hAnsi="仿宋" w:eastAsia="仿宋" w:cs="仿宋"/>
                <w:color w:val="auto"/>
                <w:sz w:val="24"/>
              </w:rPr>
              <w:t>序号</w:t>
            </w:r>
          </w:p>
        </w:tc>
        <w:tc>
          <w:tcPr>
            <w:tcW w:w="1942" w:type="pct"/>
            <w:vAlign w:val="center"/>
          </w:tcPr>
          <w:p>
            <w:pPr>
              <w:jc w:val="center"/>
              <w:rPr>
                <w:rFonts w:ascii="仿宋" w:hAnsi="仿宋" w:eastAsia="仿宋" w:cs="仿宋"/>
                <w:color w:val="auto"/>
                <w:sz w:val="24"/>
              </w:rPr>
            </w:pPr>
            <w:r>
              <w:rPr>
                <w:rFonts w:hint="eastAsia" w:ascii="仿宋" w:hAnsi="仿宋" w:eastAsia="仿宋" w:cs="仿宋"/>
                <w:color w:val="auto"/>
                <w:sz w:val="24"/>
              </w:rPr>
              <w:t>考核项目</w:t>
            </w:r>
          </w:p>
        </w:tc>
        <w:tc>
          <w:tcPr>
            <w:tcW w:w="620" w:type="pct"/>
            <w:vAlign w:val="center"/>
          </w:tcPr>
          <w:p>
            <w:pPr>
              <w:ind w:firstLine="120" w:firstLineChars="50"/>
              <w:jc w:val="center"/>
              <w:rPr>
                <w:rFonts w:ascii="仿宋" w:hAnsi="仿宋" w:eastAsia="仿宋" w:cs="仿宋"/>
                <w:color w:val="auto"/>
                <w:sz w:val="24"/>
              </w:rPr>
            </w:pPr>
            <w:r>
              <w:rPr>
                <w:rFonts w:hint="eastAsia" w:ascii="仿宋" w:hAnsi="仿宋" w:eastAsia="仿宋" w:cs="仿宋"/>
                <w:color w:val="auto"/>
                <w:sz w:val="24"/>
              </w:rPr>
              <w:t>基本分</w:t>
            </w:r>
          </w:p>
        </w:tc>
        <w:tc>
          <w:tcPr>
            <w:tcW w:w="1308" w:type="pct"/>
            <w:vAlign w:val="center"/>
          </w:tcPr>
          <w:p>
            <w:pPr>
              <w:ind w:firstLine="240" w:firstLineChars="100"/>
              <w:jc w:val="center"/>
              <w:rPr>
                <w:rFonts w:ascii="仿宋" w:hAnsi="仿宋" w:eastAsia="仿宋" w:cs="仿宋"/>
                <w:color w:val="auto"/>
                <w:sz w:val="24"/>
              </w:rPr>
            </w:pPr>
            <w:r>
              <w:rPr>
                <w:rFonts w:hint="eastAsia" w:ascii="仿宋" w:hAnsi="仿宋" w:eastAsia="仿宋" w:cs="仿宋"/>
                <w:color w:val="auto"/>
                <w:sz w:val="24"/>
              </w:rPr>
              <w:t>考核扣分办法</w:t>
            </w:r>
          </w:p>
        </w:tc>
        <w:tc>
          <w:tcPr>
            <w:tcW w:w="713" w:type="pct"/>
            <w:vAlign w:val="center"/>
          </w:tcPr>
          <w:p>
            <w:pPr>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942" w:type="pct"/>
            <w:vAlign w:val="center"/>
          </w:tcPr>
          <w:p>
            <w:pPr>
              <w:jc w:val="center"/>
              <w:rPr>
                <w:rFonts w:ascii="仿宋" w:hAnsi="仿宋" w:eastAsia="仿宋" w:cs="仿宋"/>
                <w:color w:val="auto"/>
                <w:sz w:val="24"/>
              </w:rPr>
            </w:pPr>
            <w:r>
              <w:rPr>
                <w:rFonts w:hint="eastAsia" w:ascii="仿宋" w:hAnsi="仿宋" w:eastAsia="仿宋" w:cs="仿宋"/>
                <w:color w:val="auto"/>
                <w:sz w:val="24"/>
              </w:rPr>
              <w:t>员工上岗</w:t>
            </w:r>
          </w:p>
        </w:tc>
        <w:tc>
          <w:tcPr>
            <w:tcW w:w="620" w:type="pct"/>
            <w:vAlign w:val="center"/>
          </w:tcPr>
          <w:p>
            <w:pPr>
              <w:jc w:val="center"/>
              <w:rPr>
                <w:rFonts w:ascii="仿宋" w:hAnsi="仿宋" w:eastAsia="仿宋" w:cs="仿宋"/>
                <w:color w:val="auto"/>
                <w:sz w:val="24"/>
              </w:rPr>
            </w:pPr>
            <w:r>
              <w:rPr>
                <w:rFonts w:hint="eastAsia" w:ascii="仿宋" w:hAnsi="仿宋" w:eastAsia="仿宋" w:cs="仿宋"/>
                <w:color w:val="auto"/>
                <w:sz w:val="24"/>
              </w:rPr>
              <w:t>30</w:t>
            </w:r>
          </w:p>
        </w:tc>
        <w:tc>
          <w:tcPr>
            <w:tcW w:w="1308" w:type="pct"/>
            <w:vAlign w:val="center"/>
          </w:tcPr>
          <w:p>
            <w:pPr>
              <w:jc w:val="center"/>
              <w:rPr>
                <w:rFonts w:ascii="仿宋" w:hAnsi="仿宋" w:eastAsia="仿宋" w:cs="仿宋"/>
                <w:color w:val="auto"/>
                <w:sz w:val="24"/>
              </w:rPr>
            </w:pPr>
            <w:r>
              <w:rPr>
                <w:rFonts w:hint="eastAsia" w:ascii="仿宋" w:hAnsi="仿宋" w:eastAsia="仿宋" w:cs="仿宋"/>
                <w:color w:val="auto"/>
                <w:sz w:val="24"/>
              </w:rPr>
              <w:t>具体见考核细则</w:t>
            </w:r>
          </w:p>
        </w:tc>
        <w:tc>
          <w:tcPr>
            <w:tcW w:w="713" w:type="pct"/>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对各项指标的考核，以基本分为限，扣完为止。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1942" w:type="pct"/>
            <w:vAlign w:val="center"/>
          </w:tcPr>
          <w:p>
            <w:pPr>
              <w:jc w:val="center"/>
              <w:rPr>
                <w:rFonts w:ascii="仿宋" w:hAnsi="仿宋" w:eastAsia="仿宋" w:cs="仿宋"/>
                <w:color w:val="auto"/>
                <w:sz w:val="24"/>
              </w:rPr>
            </w:pPr>
            <w:r>
              <w:rPr>
                <w:rFonts w:hint="eastAsia" w:ascii="仿宋" w:hAnsi="仿宋" w:eastAsia="仿宋" w:cs="仿宋"/>
                <w:color w:val="auto"/>
                <w:sz w:val="24"/>
              </w:rPr>
              <w:t>保洁服务工作</w:t>
            </w:r>
          </w:p>
        </w:tc>
        <w:tc>
          <w:tcPr>
            <w:tcW w:w="620" w:type="pct"/>
            <w:vAlign w:val="center"/>
          </w:tcPr>
          <w:p>
            <w:pPr>
              <w:jc w:val="center"/>
              <w:rPr>
                <w:rFonts w:ascii="仿宋" w:hAnsi="仿宋" w:eastAsia="仿宋" w:cs="仿宋"/>
                <w:color w:val="auto"/>
                <w:sz w:val="24"/>
              </w:rPr>
            </w:pPr>
            <w:r>
              <w:rPr>
                <w:rFonts w:hint="eastAsia" w:ascii="仿宋" w:hAnsi="仿宋" w:eastAsia="仿宋" w:cs="仿宋"/>
                <w:color w:val="auto"/>
                <w:sz w:val="24"/>
              </w:rPr>
              <w:t>20</w:t>
            </w:r>
          </w:p>
        </w:tc>
        <w:tc>
          <w:tcPr>
            <w:tcW w:w="1308" w:type="pct"/>
            <w:vAlign w:val="center"/>
          </w:tcPr>
          <w:p>
            <w:pPr>
              <w:jc w:val="center"/>
              <w:rPr>
                <w:rFonts w:ascii="仿宋" w:hAnsi="仿宋" w:eastAsia="仿宋" w:cs="仿宋"/>
                <w:color w:val="auto"/>
                <w:sz w:val="24"/>
              </w:rPr>
            </w:pPr>
            <w:r>
              <w:rPr>
                <w:rFonts w:hint="eastAsia" w:ascii="仿宋" w:hAnsi="仿宋" w:eastAsia="仿宋" w:cs="仿宋"/>
                <w:color w:val="auto"/>
                <w:sz w:val="24"/>
              </w:rPr>
              <w:t>具体见考核细则</w:t>
            </w:r>
          </w:p>
        </w:tc>
        <w:tc>
          <w:tcPr>
            <w:tcW w:w="713" w:type="pct"/>
            <w:vMerge w:val="continue"/>
            <w:vAlign w:val="center"/>
          </w:tcPr>
          <w:p>
            <w:pPr>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1942" w:type="pct"/>
            <w:vAlign w:val="center"/>
          </w:tcPr>
          <w:p>
            <w:pPr>
              <w:jc w:val="center"/>
              <w:rPr>
                <w:rFonts w:ascii="仿宋" w:hAnsi="仿宋" w:eastAsia="仿宋" w:cs="仿宋"/>
                <w:color w:val="auto"/>
                <w:sz w:val="24"/>
              </w:rPr>
            </w:pPr>
            <w:r>
              <w:rPr>
                <w:rFonts w:hint="eastAsia" w:ascii="仿宋" w:hAnsi="仿宋" w:eastAsia="仿宋" w:cs="仿宋"/>
                <w:color w:val="auto"/>
                <w:sz w:val="24"/>
              </w:rPr>
              <w:t>室外绿化养护工作</w:t>
            </w:r>
          </w:p>
        </w:tc>
        <w:tc>
          <w:tcPr>
            <w:tcW w:w="620" w:type="pct"/>
            <w:vAlign w:val="center"/>
          </w:tcPr>
          <w:p>
            <w:pPr>
              <w:jc w:val="center"/>
              <w:rPr>
                <w:rFonts w:ascii="仿宋" w:hAnsi="仿宋" w:eastAsia="仿宋" w:cs="仿宋"/>
                <w:color w:val="auto"/>
                <w:sz w:val="24"/>
              </w:rPr>
            </w:pPr>
            <w:r>
              <w:rPr>
                <w:rFonts w:hint="eastAsia" w:ascii="仿宋" w:hAnsi="仿宋" w:eastAsia="仿宋" w:cs="仿宋"/>
                <w:color w:val="auto"/>
                <w:sz w:val="24"/>
              </w:rPr>
              <w:t>20</w:t>
            </w:r>
          </w:p>
        </w:tc>
        <w:tc>
          <w:tcPr>
            <w:tcW w:w="1308" w:type="pct"/>
            <w:vAlign w:val="center"/>
          </w:tcPr>
          <w:p>
            <w:pPr>
              <w:jc w:val="center"/>
              <w:rPr>
                <w:rFonts w:ascii="仿宋" w:hAnsi="仿宋" w:eastAsia="仿宋" w:cs="仿宋"/>
                <w:color w:val="auto"/>
                <w:sz w:val="24"/>
              </w:rPr>
            </w:pPr>
            <w:r>
              <w:rPr>
                <w:rFonts w:hint="eastAsia" w:ascii="仿宋" w:hAnsi="仿宋" w:eastAsia="仿宋" w:cs="仿宋"/>
                <w:color w:val="auto"/>
                <w:sz w:val="24"/>
              </w:rPr>
              <w:t>具体见考核细则</w:t>
            </w:r>
          </w:p>
        </w:tc>
        <w:tc>
          <w:tcPr>
            <w:tcW w:w="713" w:type="pct"/>
            <w:vMerge w:val="continue"/>
            <w:vAlign w:val="center"/>
          </w:tcPr>
          <w:p>
            <w:pPr>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6" w:type="pct"/>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1942" w:type="pct"/>
            <w:vAlign w:val="center"/>
          </w:tcPr>
          <w:p>
            <w:pPr>
              <w:jc w:val="center"/>
              <w:rPr>
                <w:rFonts w:ascii="仿宋" w:hAnsi="仿宋" w:eastAsia="仿宋" w:cs="仿宋"/>
                <w:color w:val="auto"/>
                <w:sz w:val="24"/>
              </w:rPr>
            </w:pPr>
            <w:r>
              <w:rPr>
                <w:rFonts w:hint="eastAsia" w:ascii="仿宋" w:hAnsi="仿宋" w:eastAsia="仿宋" w:cs="仿宋"/>
                <w:color w:val="auto"/>
                <w:sz w:val="24"/>
              </w:rPr>
              <w:t>会议会务服务工作</w:t>
            </w:r>
          </w:p>
        </w:tc>
        <w:tc>
          <w:tcPr>
            <w:tcW w:w="620" w:type="pct"/>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1308" w:type="pct"/>
            <w:vAlign w:val="center"/>
          </w:tcPr>
          <w:p>
            <w:pPr>
              <w:jc w:val="center"/>
              <w:rPr>
                <w:rFonts w:ascii="仿宋" w:hAnsi="仿宋" w:eastAsia="仿宋" w:cs="仿宋"/>
                <w:color w:val="auto"/>
                <w:sz w:val="24"/>
              </w:rPr>
            </w:pPr>
            <w:r>
              <w:rPr>
                <w:rFonts w:hint="eastAsia" w:ascii="仿宋" w:hAnsi="仿宋" w:eastAsia="仿宋" w:cs="仿宋"/>
                <w:color w:val="auto"/>
                <w:sz w:val="24"/>
              </w:rPr>
              <w:t>具体见考核细则</w:t>
            </w:r>
          </w:p>
        </w:tc>
        <w:tc>
          <w:tcPr>
            <w:tcW w:w="713" w:type="pct"/>
            <w:vMerge w:val="continue"/>
            <w:vAlign w:val="center"/>
          </w:tcPr>
          <w:p>
            <w:pPr>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16" w:type="pct"/>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1942" w:type="pct"/>
            <w:vAlign w:val="center"/>
          </w:tcPr>
          <w:p>
            <w:pPr>
              <w:jc w:val="center"/>
              <w:rPr>
                <w:rFonts w:ascii="仿宋" w:hAnsi="仿宋" w:eastAsia="仿宋" w:cs="仿宋"/>
                <w:color w:val="auto"/>
                <w:sz w:val="24"/>
              </w:rPr>
            </w:pPr>
            <w:r>
              <w:rPr>
                <w:rFonts w:hint="eastAsia" w:ascii="仿宋" w:hAnsi="仿宋" w:eastAsia="仿宋" w:cs="仿宋"/>
                <w:color w:val="auto"/>
                <w:sz w:val="24"/>
              </w:rPr>
              <w:t>工程设备维护服务工作</w:t>
            </w:r>
          </w:p>
        </w:tc>
        <w:tc>
          <w:tcPr>
            <w:tcW w:w="620" w:type="pct"/>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1308" w:type="pct"/>
            <w:vAlign w:val="center"/>
          </w:tcPr>
          <w:p>
            <w:pPr>
              <w:jc w:val="center"/>
              <w:rPr>
                <w:rFonts w:ascii="仿宋" w:hAnsi="仿宋" w:eastAsia="仿宋" w:cs="仿宋"/>
                <w:color w:val="auto"/>
                <w:sz w:val="24"/>
              </w:rPr>
            </w:pPr>
            <w:r>
              <w:rPr>
                <w:rFonts w:hint="eastAsia" w:ascii="仿宋" w:hAnsi="仿宋" w:eastAsia="仿宋" w:cs="仿宋"/>
                <w:color w:val="auto"/>
                <w:sz w:val="24"/>
              </w:rPr>
              <w:t>具体见考核细则</w:t>
            </w:r>
          </w:p>
        </w:tc>
        <w:tc>
          <w:tcPr>
            <w:tcW w:w="713" w:type="pct"/>
            <w:vMerge w:val="continue"/>
            <w:vAlign w:val="center"/>
          </w:tcPr>
          <w:p>
            <w:pPr>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16" w:type="pct"/>
            <w:vAlign w:val="center"/>
          </w:tcPr>
          <w:p>
            <w:pPr>
              <w:jc w:val="center"/>
              <w:rPr>
                <w:rFonts w:ascii="仿宋" w:hAnsi="仿宋" w:eastAsia="仿宋" w:cs="仿宋"/>
                <w:color w:val="auto"/>
                <w:sz w:val="24"/>
              </w:rPr>
            </w:pPr>
            <w:r>
              <w:rPr>
                <w:rFonts w:hint="eastAsia" w:ascii="仿宋" w:hAnsi="仿宋" w:eastAsia="仿宋" w:cs="仿宋"/>
                <w:color w:val="auto"/>
                <w:sz w:val="24"/>
              </w:rPr>
              <w:t>6</w:t>
            </w:r>
          </w:p>
        </w:tc>
        <w:tc>
          <w:tcPr>
            <w:tcW w:w="1942" w:type="pct"/>
            <w:vAlign w:val="center"/>
          </w:tcPr>
          <w:p>
            <w:pPr>
              <w:jc w:val="center"/>
              <w:rPr>
                <w:rFonts w:ascii="仿宋" w:hAnsi="仿宋" w:eastAsia="仿宋" w:cs="仿宋"/>
                <w:color w:val="auto"/>
                <w:sz w:val="24"/>
              </w:rPr>
            </w:pPr>
            <w:r>
              <w:rPr>
                <w:rFonts w:hint="eastAsia" w:ascii="仿宋" w:hAnsi="仿宋" w:eastAsia="仿宋" w:cs="仿宋"/>
                <w:color w:val="auto"/>
                <w:sz w:val="24"/>
              </w:rPr>
              <w:t>消监控管理服务工作</w:t>
            </w:r>
          </w:p>
        </w:tc>
        <w:tc>
          <w:tcPr>
            <w:tcW w:w="620" w:type="pct"/>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1308" w:type="pct"/>
            <w:vAlign w:val="center"/>
          </w:tcPr>
          <w:p>
            <w:pPr>
              <w:jc w:val="center"/>
              <w:rPr>
                <w:rFonts w:ascii="仿宋" w:hAnsi="仿宋" w:eastAsia="仿宋" w:cs="仿宋"/>
                <w:color w:val="auto"/>
                <w:sz w:val="24"/>
              </w:rPr>
            </w:pPr>
            <w:r>
              <w:rPr>
                <w:rFonts w:hint="eastAsia" w:ascii="仿宋" w:hAnsi="仿宋" w:eastAsia="仿宋" w:cs="仿宋"/>
                <w:color w:val="auto"/>
                <w:sz w:val="24"/>
              </w:rPr>
              <w:t>具体见考核细则</w:t>
            </w:r>
          </w:p>
        </w:tc>
        <w:tc>
          <w:tcPr>
            <w:tcW w:w="713" w:type="pct"/>
            <w:vMerge w:val="continue"/>
            <w:vAlign w:val="center"/>
          </w:tcPr>
          <w:p>
            <w:pPr>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6" w:type="pct"/>
            <w:vAlign w:val="center"/>
          </w:tcPr>
          <w:p>
            <w:pPr>
              <w:jc w:val="center"/>
              <w:rPr>
                <w:rFonts w:ascii="仿宋" w:hAnsi="仿宋" w:eastAsia="仿宋" w:cs="仿宋"/>
                <w:color w:val="auto"/>
                <w:sz w:val="24"/>
              </w:rPr>
            </w:pPr>
            <w:r>
              <w:rPr>
                <w:rFonts w:hint="eastAsia" w:ascii="仿宋" w:hAnsi="仿宋" w:eastAsia="仿宋" w:cs="仿宋"/>
                <w:color w:val="auto"/>
                <w:sz w:val="24"/>
              </w:rPr>
              <w:t>7</w:t>
            </w:r>
          </w:p>
        </w:tc>
        <w:tc>
          <w:tcPr>
            <w:tcW w:w="1942" w:type="pct"/>
            <w:vAlign w:val="center"/>
          </w:tcPr>
          <w:p>
            <w:pPr>
              <w:ind w:firstLine="1320" w:firstLineChars="550"/>
              <w:rPr>
                <w:rFonts w:ascii="仿宋" w:hAnsi="仿宋" w:eastAsia="仿宋" w:cs="仿宋"/>
                <w:color w:val="auto"/>
                <w:sz w:val="24"/>
              </w:rPr>
            </w:pPr>
            <w:r>
              <w:rPr>
                <w:rFonts w:hint="eastAsia" w:ascii="仿宋" w:hAnsi="仿宋" w:eastAsia="仿宋" w:cs="仿宋"/>
                <w:color w:val="auto"/>
                <w:sz w:val="24"/>
              </w:rPr>
              <w:t>总分</w:t>
            </w:r>
          </w:p>
        </w:tc>
        <w:tc>
          <w:tcPr>
            <w:tcW w:w="620" w:type="pct"/>
            <w:vAlign w:val="center"/>
          </w:tcPr>
          <w:p>
            <w:pPr>
              <w:jc w:val="center"/>
              <w:rPr>
                <w:rFonts w:ascii="仿宋" w:hAnsi="仿宋" w:eastAsia="仿宋" w:cs="仿宋"/>
                <w:color w:val="auto"/>
                <w:sz w:val="24"/>
              </w:rPr>
            </w:pPr>
            <w:r>
              <w:rPr>
                <w:rFonts w:hint="eastAsia" w:ascii="仿宋" w:hAnsi="仿宋" w:eastAsia="仿宋" w:cs="仿宋"/>
                <w:color w:val="auto"/>
                <w:sz w:val="24"/>
              </w:rPr>
              <w:t>100</w:t>
            </w:r>
          </w:p>
        </w:tc>
        <w:tc>
          <w:tcPr>
            <w:tcW w:w="1308" w:type="pct"/>
            <w:vAlign w:val="center"/>
          </w:tcPr>
          <w:p>
            <w:pPr>
              <w:jc w:val="center"/>
              <w:rPr>
                <w:rFonts w:ascii="仿宋" w:hAnsi="仿宋" w:eastAsia="仿宋" w:cs="仿宋"/>
                <w:color w:val="auto"/>
                <w:sz w:val="24"/>
              </w:rPr>
            </w:pPr>
            <w:r>
              <w:rPr>
                <w:rFonts w:hint="eastAsia" w:ascii="仿宋" w:hAnsi="仿宋" w:eastAsia="仿宋" w:cs="仿宋"/>
                <w:color w:val="auto"/>
                <w:sz w:val="24"/>
              </w:rPr>
              <w:t>/</w:t>
            </w:r>
          </w:p>
        </w:tc>
        <w:tc>
          <w:tcPr>
            <w:tcW w:w="713" w:type="pct"/>
            <w:vMerge w:val="continue"/>
            <w:vAlign w:val="center"/>
          </w:tcPr>
          <w:p>
            <w:pPr>
              <w:ind w:firstLine="480" w:firstLineChars="200"/>
              <w:jc w:val="center"/>
              <w:rPr>
                <w:rFonts w:ascii="仿宋" w:hAnsi="仿宋" w:eastAsia="仿宋" w:cs="仿宋"/>
                <w:color w:val="auto"/>
                <w:sz w:val="24"/>
              </w:rPr>
            </w:pPr>
          </w:p>
        </w:tc>
      </w:tr>
    </w:tbl>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考核实施办法：中标人须根据考核情况及时整改，如整改不及时或整改不到位的，根据考核情况对应相关处罚措施，视情适当扣除服务费。</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379"/>
        <w:gridCol w:w="2299"/>
        <w:gridCol w:w="437"/>
        <w:gridCol w:w="114"/>
        <w:gridCol w:w="1441"/>
        <w:gridCol w:w="1266"/>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000" w:type="pct"/>
            <w:gridSpan w:val="8"/>
            <w:vAlign w:val="center"/>
          </w:tcPr>
          <w:p>
            <w:pPr>
              <w:jc w:val="center"/>
              <w:rPr>
                <w:rFonts w:ascii="仿宋" w:hAnsi="仿宋" w:eastAsia="仿宋" w:cs="仿宋"/>
                <w:color w:val="auto"/>
                <w:sz w:val="24"/>
              </w:rPr>
            </w:pPr>
            <w:r>
              <w:rPr>
                <w:rFonts w:hint="eastAsia" w:ascii="仿宋" w:hAnsi="仿宋" w:eastAsia="仿宋" w:cs="仿宋"/>
                <w:color w:val="auto"/>
                <w:sz w:val="24"/>
              </w:rPr>
              <w:t>杭州市公安局上城区分局综合服务管理项目（考核细则表）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185" w:type="pct"/>
            <w:gridSpan w:val="4"/>
            <w:vAlign w:val="center"/>
          </w:tcPr>
          <w:p>
            <w:pPr>
              <w:rPr>
                <w:rFonts w:ascii="仿宋" w:hAnsi="仿宋" w:eastAsia="仿宋" w:cs="仿宋"/>
                <w:color w:val="auto"/>
                <w:sz w:val="24"/>
              </w:rPr>
            </w:pPr>
            <w:r>
              <w:rPr>
                <w:rFonts w:hint="eastAsia" w:ascii="仿宋" w:hAnsi="仿宋" w:eastAsia="仿宋" w:cs="仿宋"/>
                <w:color w:val="auto"/>
                <w:sz w:val="24"/>
              </w:rPr>
              <w:t>考核区域：</w:t>
            </w:r>
          </w:p>
        </w:tc>
        <w:tc>
          <w:tcPr>
            <w:tcW w:w="2814" w:type="pct"/>
            <w:gridSpan w:val="4"/>
            <w:vAlign w:val="center"/>
          </w:tcPr>
          <w:p>
            <w:pPr>
              <w:ind w:firstLine="480" w:firstLineChars="200"/>
              <w:rPr>
                <w:rFonts w:ascii="仿宋" w:hAnsi="仿宋" w:eastAsia="仿宋" w:cs="仿宋"/>
                <w:color w:val="auto"/>
                <w:sz w:val="24"/>
              </w:rPr>
            </w:pPr>
            <w:r>
              <w:rPr>
                <w:rFonts w:hint="eastAsia" w:ascii="仿宋" w:hAnsi="仿宋" w:eastAsia="仿宋" w:cs="仿宋"/>
                <w:color w:val="auto"/>
                <w:sz w:val="24"/>
              </w:rPr>
              <w:t>考核日期：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考核项目</w:t>
            </w: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序号</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扣分项内容</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分值</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扣分标准</w:t>
            </w:r>
          </w:p>
        </w:tc>
        <w:tc>
          <w:tcPr>
            <w:tcW w:w="745"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扣分</w:t>
            </w:r>
          </w:p>
        </w:tc>
        <w:tc>
          <w:tcPr>
            <w:tcW w:w="115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员工上岗</w:t>
            </w: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按要求足额配置到位，不得出现迟到、早退、未按要求到岗的情况。</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15</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每发现一次不到位扣1，扣完为止</w:t>
            </w:r>
          </w:p>
        </w:tc>
        <w:tc>
          <w:tcPr>
            <w:tcW w:w="745" w:type="pct"/>
            <w:vAlign w:val="center"/>
          </w:tcPr>
          <w:p>
            <w:pPr>
              <w:jc w:val="center"/>
              <w:rPr>
                <w:rFonts w:ascii="仿宋" w:hAnsi="仿宋" w:eastAsia="仿宋" w:cs="仿宋"/>
                <w:color w:val="auto"/>
                <w:szCs w:val="21"/>
              </w:rPr>
            </w:pPr>
          </w:p>
        </w:tc>
        <w:tc>
          <w:tcPr>
            <w:tcW w:w="1154" w:type="pct"/>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Merge w:val="continue"/>
            <w:vAlign w:val="center"/>
          </w:tcPr>
          <w:p>
            <w:pPr>
              <w:jc w:val="center"/>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工作时间饮酒上岗或工作时间赌博或进行任何有关赌博的游戏</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每发现一次不到位扣1，扣完为止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Merge w:val="continue"/>
            <w:vAlign w:val="center"/>
          </w:tcPr>
          <w:p>
            <w:pPr>
              <w:jc w:val="center"/>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未按照规范操作说明致使采购人场地、设备损毁的</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每发现一次不到位扣1，扣完为止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52" w:type="pct"/>
            <w:vMerge w:val="continue"/>
            <w:vAlign w:val="center"/>
          </w:tcPr>
          <w:p>
            <w:pPr>
              <w:jc w:val="center"/>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被各级效能建设办、行风检查单位通报、抄告的</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52"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保洁服务</w:t>
            </w: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人员定人、定点、定时、定责，不得窜岗、缺岗和擅自离岗，交接班衔接到位。</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每发现一次不到位扣0.5，扣完为止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地面保持清洁无白色垃圾等。</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停车场路面保持清洁无白色垃圾等。</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垃圾桶、果壳箱外观保持清洁、无异味。</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路灯灯罩蜘蛛网等及时清洗。</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绿化带枯枝、枯叶清理。</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公厕卫生墙面无积灰。</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蹲坑、马桶、小便拖把水池等无污渍。</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公厕地面无水渍、积水、无异味。</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室外绿</w:t>
            </w:r>
          </w:p>
          <w:p>
            <w:pPr>
              <w:jc w:val="center"/>
              <w:rPr>
                <w:rFonts w:ascii="仿宋" w:hAnsi="仿宋" w:eastAsia="仿宋" w:cs="仿宋"/>
                <w:color w:val="auto"/>
                <w:szCs w:val="21"/>
              </w:rPr>
            </w:pPr>
            <w:r>
              <w:rPr>
                <w:rFonts w:hint="eastAsia" w:ascii="仿宋" w:hAnsi="仿宋" w:eastAsia="仿宋" w:cs="仿宋"/>
                <w:color w:val="auto"/>
                <w:szCs w:val="21"/>
              </w:rPr>
              <w:t>化</w:t>
            </w:r>
          </w:p>
          <w:p>
            <w:pPr>
              <w:jc w:val="center"/>
              <w:rPr>
                <w:rFonts w:ascii="仿宋" w:hAnsi="仿宋" w:eastAsia="仿宋" w:cs="仿宋"/>
                <w:color w:val="auto"/>
                <w:szCs w:val="21"/>
              </w:rPr>
            </w:pPr>
            <w:r>
              <w:rPr>
                <w:rFonts w:hint="eastAsia" w:ascii="仿宋" w:hAnsi="仿宋" w:eastAsia="仿宋" w:cs="仿宋"/>
                <w:color w:val="auto"/>
                <w:szCs w:val="21"/>
              </w:rPr>
              <w:t>养</w:t>
            </w:r>
          </w:p>
          <w:p>
            <w:pPr>
              <w:jc w:val="center"/>
              <w:rPr>
                <w:rFonts w:ascii="仿宋" w:hAnsi="仿宋" w:eastAsia="仿宋" w:cs="仿宋"/>
                <w:color w:val="auto"/>
                <w:szCs w:val="21"/>
              </w:rPr>
            </w:pPr>
            <w:r>
              <w:rPr>
                <w:rFonts w:hint="eastAsia" w:ascii="仿宋" w:hAnsi="仿宋" w:eastAsia="仿宋" w:cs="仿宋"/>
                <w:color w:val="auto"/>
                <w:szCs w:val="21"/>
              </w:rPr>
              <w:t>护</w:t>
            </w: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按要求修剪，达到整齐美观。</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病虫害防治：发现病虫及时治理，无明显枯枝、死杈。</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浇水施肥：根据季节天气情况适时浇水施肥。</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花坛花景造型新颖长势好。</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草地无石块、落叶、枯枝等杂物，无黄土裸露。</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对损坏、枯枝或生长不良的花草树木及时更换补种。</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绿化生产垃圾要做到日产日清。</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2"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会议会务服务工作</w:t>
            </w: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着装规范、仪容仪表良好</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每发现一次不到位扣0.5，扣完为止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2" w:type="pct"/>
            <w:vMerge w:val="continue"/>
            <w:vAlign w:val="center"/>
          </w:tcPr>
          <w:p>
            <w:pPr>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主动、热情接待访客</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2" w:type="pct"/>
            <w:vMerge w:val="continue"/>
            <w:vAlign w:val="center"/>
          </w:tcPr>
          <w:p>
            <w:pPr>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严格执行来客登记制度，做好核对工作</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2" w:type="pct"/>
            <w:vMerge w:val="continue"/>
            <w:vAlign w:val="center"/>
          </w:tcPr>
          <w:p>
            <w:pPr>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熟悉大楼各单位分布位置</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每发现一次不到位扣0.2，扣完为止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工程设备维护服务工作</w:t>
            </w: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日常空调房屋家具门窗的检查维护。</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rPr>
                <w:rFonts w:ascii="仿宋" w:hAnsi="仿宋" w:eastAsia="仿宋" w:cs="仿宋"/>
                <w:color w:val="auto"/>
                <w:szCs w:val="21"/>
              </w:rPr>
            </w:pPr>
            <w:r>
              <w:rPr>
                <w:rFonts w:hint="eastAsia" w:ascii="仿宋" w:hAnsi="仿宋" w:eastAsia="仿宋" w:cs="仿宋"/>
                <w:color w:val="auto"/>
                <w:szCs w:val="21"/>
              </w:rPr>
              <w:t>每发现一次不到位扣0.1，扣完为止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配电箱、水泵维护、维修。</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rPr>
                <w:rFonts w:ascii="仿宋" w:hAnsi="仿宋" w:eastAsia="仿宋" w:cs="仿宋"/>
                <w:color w:val="auto"/>
                <w:szCs w:val="21"/>
              </w:rPr>
            </w:pPr>
            <w:r>
              <w:rPr>
                <w:rFonts w:hint="eastAsia" w:ascii="仿宋" w:hAnsi="仿宋" w:eastAsia="仿宋" w:cs="仿宋"/>
                <w:color w:val="auto"/>
                <w:szCs w:val="21"/>
              </w:rPr>
              <w:t>每发现一次不到位扣0.1，扣完为止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及时维修各种雨污水、电信等井盖等；及时联系敦促电力部门及时修复各种电力井盖，杜绝安全隐患。</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rPr>
                <w:rFonts w:ascii="仿宋" w:hAnsi="仿宋" w:eastAsia="仿宋" w:cs="仿宋"/>
                <w:color w:val="auto"/>
                <w:szCs w:val="21"/>
              </w:rPr>
            </w:pPr>
            <w:r>
              <w:rPr>
                <w:rFonts w:hint="eastAsia" w:ascii="仿宋" w:hAnsi="仿宋" w:eastAsia="仿宋" w:cs="仿宋"/>
                <w:color w:val="auto"/>
                <w:szCs w:val="21"/>
              </w:rPr>
              <w:t>每发现一次不到位扣0.1，扣完为止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负责排水沟疏通，确保排水畅通。</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rPr>
                <w:rFonts w:ascii="仿宋" w:hAnsi="仿宋" w:eastAsia="仿宋" w:cs="仿宋"/>
                <w:color w:val="auto"/>
                <w:szCs w:val="21"/>
              </w:rPr>
            </w:pPr>
            <w:r>
              <w:rPr>
                <w:rFonts w:hint="eastAsia" w:ascii="仿宋" w:hAnsi="仿宋" w:eastAsia="仿宋" w:cs="仿宋"/>
                <w:color w:val="auto"/>
                <w:szCs w:val="21"/>
              </w:rPr>
              <w:t>每发现一次不到位扣0.1，扣完为止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及时处置各种突发应急事件、协助有关单位做好维修工作。</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rPr>
                <w:rFonts w:ascii="仿宋" w:hAnsi="仿宋" w:eastAsia="仿宋" w:cs="仿宋"/>
                <w:color w:val="auto"/>
                <w:szCs w:val="21"/>
              </w:rPr>
            </w:pPr>
            <w:r>
              <w:rPr>
                <w:rFonts w:hint="eastAsia" w:ascii="仿宋" w:hAnsi="仿宋" w:eastAsia="仿宋" w:cs="仿宋"/>
                <w:color w:val="auto"/>
                <w:szCs w:val="21"/>
              </w:rPr>
              <w:t>每发现一次不到位扣0.1，扣完为止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restart"/>
            <w:vAlign w:val="center"/>
          </w:tcPr>
          <w:p>
            <w:pPr>
              <w:jc w:val="center"/>
              <w:rPr>
                <w:rFonts w:ascii="仿宋" w:hAnsi="仿宋" w:eastAsia="仿宋" w:cs="仿宋"/>
                <w:color w:val="auto"/>
                <w:szCs w:val="21"/>
              </w:rPr>
            </w:pPr>
            <w:r>
              <w:rPr>
                <w:rFonts w:hint="eastAsia" w:ascii="仿宋" w:hAnsi="仿宋" w:eastAsia="仿宋" w:cs="仿宋"/>
                <w:bCs/>
                <w:color w:val="auto"/>
                <w:szCs w:val="21"/>
              </w:rPr>
              <w:t>消监控管理服务工作</w:t>
            </w: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消控设备设施应保持24小时正常工作，并保持完整的值班记录</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每发现一次不到位扣0.5，扣完为止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消控资料应至少保持30天，有特殊要求的参照相关规定或行业标准执行。同时，确保消控电话畅通，接听及时(在铃响三声内应接听)。</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每发现一次不到位扣0.5，扣完为止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设立消防疏散示意图，照明设施及引路标志完好，紧急疏散通道畅通。</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每发现一次不到位扣0.5，扣完为止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人员应定期接受消防培训并掌握现有消防设施设备的使用方法，并能及时处理各种火灾事故。</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每发现一次不到位扣0.5，扣完为止</w:t>
            </w:r>
          </w:p>
        </w:tc>
        <w:tc>
          <w:tcPr>
            <w:tcW w:w="745" w:type="pct"/>
            <w:vAlign w:val="center"/>
          </w:tcPr>
          <w:p>
            <w:pPr>
              <w:rPr>
                <w:rFonts w:ascii="仿宋" w:hAnsi="仿宋" w:eastAsia="仿宋" w:cs="仿宋"/>
                <w:color w:val="auto"/>
                <w:szCs w:val="21"/>
              </w:rPr>
            </w:pPr>
          </w:p>
        </w:tc>
        <w:tc>
          <w:tcPr>
            <w:tcW w:w="1154" w:type="pct"/>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2" w:type="pct"/>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奖</w:t>
            </w:r>
          </w:p>
          <w:p>
            <w:pPr>
              <w:jc w:val="center"/>
              <w:rPr>
                <w:rFonts w:ascii="仿宋" w:hAnsi="仿宋" w:eastAsia="仿宋" w:cs="仿宋"/>
                <w:color w:val="auto"/>
                <w:szCs w:val="21"/>
              </w:rPr>
            </w:pPr>
            <w:r>
              <w:rPr>
                <w:rFonts w:hint="eastAsia" w:ascii="仿宋" w:hAnsi="仿宋" w:eastAsia="仿宋" w:cs="仿宋"/>
                <w:color w:val="auto"/>
                <w:szCs w:val="21"/>
              </w:rPr>
              <w:t>励</w:t>
            </w:r>
          </w:p>
          <w:p>
            <w:pPr>
              <w:jc w:val="center"/>
              <w:rPr>
                <w:rFonts w:ascii="仿宋" w:hAnsi="仿宋" w:eastAsia="仿宋" w:cs="仿宋"/>
                <w:color w:val="auto"/>
                <w:szCs w:val="21"/>
              </w:rPr>
            </w:pPr>
            <w:r>
              <w:rPr>
                <w:rFonts w:hint="eastAsia" w:ascii="仿宋" w:hAnsi="仿宋" w:eastAsia="仿宋" w:cs="仿宋"/>
                <w:color w:val="auto"/>
                <w:szCs w:val="21"/>
              </w:rPr>
              <w:t>加</w:t>
            </w:r>
          </w:p>
          <w:p>
            <w:pPr>
              <w:jc w:val="center"/>
              <w:rPr>
                <w:rFonts w:ascii="仿宋" w:hAnsi="仿宋" w:eastAsia="仿宋" w:cs="仿宋"/>
                <w:color w:val="auto"/>
                <w:szCs w:val="21"/>
              </w:rPr>
            </w:pPr>
            <w:r>
              <w:rPr>
                <w:rFonts w:hint="eastAsia" w:ascii="仿宋" w:hAnsi="仿宋" w:eastAsia="仿宋" w:cs="仿宋"/>
                <w:color w:val="auto"/>
                <w:szCs w:val="21"/>
              </w:rPr>
              <w:t>分</w:t>
            </w: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未出现违章建筑。</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加1分</w:t>
            </w:r>
          </w:p>
        </w:tc>
        <w:tc>
          <w:tcPr>
            <w:tcW w:w="745" w:type="pct"/>
            <w:vAlign w:val="center"/>
          </w:tcPr>
          <w:p>
            <w:pPr>
              <w:ind w:firstLine="420" w:firstLineChars="200"/>
              <w:rPr>
                <w:rFonts w:ascii="仿宋" w:hAnsi="仿宋" w:eastAsia="仿宋" w:cs="仿宋"/>
                <w:color w:val="auto"/>
                <w:szCs w:val="21"/>
              </w:rPr>
            </w:pPr>
          </w:p>
        </w:tc>
        <w:tc>
          <w:tcPr>
            <w:tcW w:w="1154" w:type="pct"/>
            <w:vAlign w:val="center"/>
          </w:tcPr>
          <w:p>
            <w:pPr>
              <w:ind w:firstLine="420" w:firstLineChars="200"/>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未出现堆积物。</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加1分</w:t>
            </w:r>
          </w:p>
        </w:tc>
        <w:tc>
          <w:tcPr>
            <w:tcW w:w="745" w:type="pct"/>
            <w:vAlign w:val="center"/>
          </w:tcPr>
          <w:p>
            <w:pPr>
              <w:ind w:firstLine="420" w:firstLineChars="200"/>
              <w:rPr>
                <w:rFonts w:ascii="仿宋" w:hAnsi="仿宋" w:eastAsia="仿宋" w:cs="仿宋"/>
                <w:color w:val="auto"/>
                <w:szCs w:val="21"/>
              </w:rPr>
            </w:pPr>
          </w:p>
        </w:tc>
        <w:tc>
          <w:tcPr>
            <w:tcW w:w="1154" w:type="pct"/>
            <w:vAlign w:val="center"/>
          </w:tcPr>
          <w:p>
            <w:pPr>
              <w:ind w:firstLine="420" w:firstLineChars="200"/>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未出现毁绿种菜。</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加1分</w:t>
            </w:r>
          </w:p>
        </w:tc>
        <w:tc>
          <w:tcPr>
            <w:tcW w:w="745" w:type="pct"/>
            <w:vAlign w:val="center"/>
          </w:tcPr>
          <w:p>
            <w:pPr>
              <w:ind w:firstLine="420" w:firstLineChars="200"/>
              <w:rPr>
                <w:rFonts w:ascii="仿宋" w:hAnsi="仿宋" w:eastAsia="仿宋" w:cs="仿宋"/>
                <w:color w:val="auto"/>
                <w:szCs w:val="21"/>
              </w:rPr>
            </w:pPr>
          </w:p>
        </w:tc>
        <w:tc>
          <w:tcPr>
            <w:tcW w:w="1154" w:type="pct"/>
            <w:vAlign w:val="center"/>
          </w:tcPr>
          <w:p>
            <w:pPr>
              <w:ind w:firstLine="420" w:firstLineChars="200"/>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ind w:firstLine="420" w:firstLineChars="200"/>
              <w:rPr>
                <w:rFonts w:ascii="仿宋" w:hAnsi="仿宋" w:eastAsia="仿宋" w:cs="仿宋"/>
                <w:color w:val="auto"/>
                <w:szCs w:val="21"/>
              </w:rPr>
            </w:pPr>
          </w:p>
        </w:tc>
        <w:tc>
          <w:tcPr>
            <w:tcW w:w="22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35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未出现乱贴乱写广告纸、牛皮癣。</w:t>
            </w:r>
          </w:p>
        </w:tc>
        <w:tc>
          <w:tcPr>
            <w:tcW w:w="25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91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加1分</w:t>
            </w:r>
          </w:p>
        </w:tc>
        <w:tc>
          <w:tcPr>
            <w:tcW w:w="745" w:type="pct"/>
            <w:vAlign w:val="center"/>
          </w:tcPr>
          <w:p>
            <w:pPr>
              <w:ind w:firstLine="420" w:firstLineChars="200"/>
              <w:rPr>
                <w:rFonts w:ascii="仿宋" w:hAnsi="仿宋" w:eastAsia="仿宋" w:cs="仿宋"/>
                <w:color w:val="auto"/>
                <w:szCs w:val="21"/>
              </w:rPr>
            </w:pPr>
          </w:p>
        </w:tc>
        <w:tc>
          <w:tcPr>
            <w:tcW w:w="1154" w:type="pct"/>
            <w:vAlign w:val="center"/>
          </w:tcPr>
          <w:p>
            <w:pPr>
              <w:ind w:firstLine="420" w:firstLineChars="200"/>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总分</w:t>
            </w:r>
          </w:p>
        </w:tc>
        <w:tc>
          <w:tcPr>
            <w:tcW w:w="2525" w:type="pct"/>
            <w:gridSpan w:val="4"/>
            <w:vAlign w:val="center"/>
          </w:tcPr>
          <w:p>
            <w:pPr>
              <w:ind w:firstLine="420" w:firstLineChars="200"/>
              <w:rPr>
                <w:rFonts w:ascii="仿宋" w:hAnsi="仿宋" w:eastAsia="仿宋" w:cs="仿宋"/>
                <w:color w:val="auto"/>
                <w:szCs w:val="21"/>
              </w:rPr>
            </w:pPr>
            <w:r>
              <w:rPr>
                <w:rFonts w:hint="eastAsia" w:ascii="仿宋" w:hAnsi="仿宋" w:eastAsia="仿宋" w:cs="仿宋"/>
                <w:color w:val="auto"/>
                <w:szCs w:val="21"/>
              </w:rPr>
              <w:t>考核总分100分，不含奖励加分</w:t>
            </w:r>
          </w:p>
        </w:tc>
        <w:tc>
          <w:tcPr>
            <w:tcW w:w="745" w:type="pct"/>
            <w:vAlign w:val="center"/>
          </w:tcPr>
          <w:p>
            <w:pPr>
              <w:ind w:firstLine="420" w:firstLineChars="200"/>
              <w:rPr>
                <w:rFonts w:ascii="仿宋" w:hAnsi="仿宋" w:eastAsia="仿宋" w:cs="仿宋"/>
                <w:color w:val="auto"/>
                <w:szCs w:val="21"/>
              </w:rPr>
            </w:pPr>
          </w:p>
        </w:tc>
        <w:tc>
          <w:tcPr>
            <w:tcW w:w="1154" w:type="pct"/>
            <w:vAlign w:val="center"/>
          </w:tcPr>
          <w:p>
            <w:pPr>
              <w:ind w:firstLine="420" w:firstLineChars="200"/>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52" w:type="pct"/>
            <w:gridSpan w:val="5"/>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ind w:firstLine="178" w:firstLineChars="85"/>
              <w:jc w:val="center"/>
              <w:textAlignment w:val="baseline"/>
              <w:rPr>
                <w:rFonts w:ascii="仿宋" w:hAnsi="仿宋" w:eastAsia="仿宋" w:cs="仿宋"/>
                <w:color w:val="auto"/>
                <w:kern w:val="0"/>
                <w:szCs w:val="21"/>
              </w:rPr>
            </w:pPr>
            <w:r>
              <w:rPr>
                <w:rFonts w:hint="eastAsia" w:ascii="仿宋" w:hAnsi="仿宋" w:eastAsia="仿宋" w:cs="仿宋"/>
                <w:color w:val="auto"/>
                <w:kern w:val="0"/>
                <w:szCs w:val="21"/>
              </w:rPr>
              <w:t>考核得分</w:t>
            </w:r>
          </w:p>
        </w:tc>
        <w:tc>
          <w:tcPr>
            <w:tcW w:w="2747" w:type="pct"/>
            <w:gridSpan w:val="3"/>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ind w:firstLine="178" w:firstLineChars="85"/>
              <w:jc w:val="center"/>
              <w:textAlignment w:val="baseline"/>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252" w:type="pct"/>
            <w:gridSpan w:val="5"/>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ind w:firstLine="178" w:firstLineChars="85"/>
              <w:jc w:val="center"/>
              <w:textAlignment w:val="baseline"/>
              <w:rPr>
                <w:rFonts w:ascii="仿宋" w:hAnsi="仿宋" w:eastAsia="仿宋" w:cs="仿宋"/>
                <w:color w:val="auto"/>
                <w:kern w:val="0"/>
                <w:szCs w:val="21"/>
              </w:rPr>
            </w:pPr>
            <w:r>
              <w:rPr>
                <w:rFonts w:hint="eastAsia" w:ascii="仿宋" w:hAnsi="仿宋" w:eastAsia="仿宋" w:cs="仿宋"/>
                <w:color w:val="auto"/>
                <w:kern w:val="0"/>
                <w:szCs w:val="21"/>
              </w:rPr>
              <w:t>考核人员签字</w:t>
            </w:r>
          </w:p>
        </w:tc>
        <w:tc>
          <w:tcPr>
            <w:tcW w:w="2747" w:type="pct"/>
            <w:gridSpan w:val="3"/>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ind w:firstLine="178" w:firstLineChars="85"/>
              <w:jc w:val="center"/>
              <w:textAlignment w:val="baseline"/>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ind w:firstLine="420" w:firstLineChars="200"/>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考核得分90分及以上的为优秀，可获得考核期管理费的100%；考核得分在80-89分为良好，扣除考核期管理费2000元；考核得分在70分-79分的为一般，扣除考核期管理费6000元；考核得分在60-70分为合格，扣除考核期管理费10000元;考核得分低于60分为不合格，扣除考核期管理费20000元，且甲方有权单方面书面通知乙方解除本合同。（合同另行规定的除外）</w:t>
            </w:r>
          </w:p>
          <w:p>
            <w:pPr>
              <w:widowControl/>
              <w:overflowPunct w:val="0"/>
              <w:autoSpaceDE w:val="0"/>
              <w:autoSpaceDN w:val="0"/>
              <w:ind w:firstLine="420" w:firstLineChars="200"/>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备注：考核周期及内容按采购人需求进行安排调整，采用百分制计分方式，初始计分为100分，采购人根据逐条考核事项及对应扣分对中标人进行计分。考核结果做为采购合同是否续签依据，采购人有权单方面终止合同。最终解释权归采购人所有。</w:t>
            </w:r>
          </w:p>
        </w:tc>
      </w:tr>
    </w:tbl>
    <w:p>
      <w:pPr>
        <w:pStyle w:val="26"/>
        <w:spacing w:line="360" w:lineRule="auto"/>
        <w:ind w:firstLine="0" w:firstLineChars="0"/>
        <w:rPr>
          <w:rFonts w:hint="eastAsia" w:ascii="仿宋" w:hAnsi="仿宋" w:eastAsia="仿宋" w:cs="仿宋"/>
          <w:b/>
          <w:color w:val="auto"/>
          <w:lang w:eastAsia="zh-CN"/>
        </w:rPr>
      </w:pPr>
      <w:r>
        <w:rPr>
          <w:rFonts w:hint="eastAsia" w:ascii="仿宋" w:hAnsi="仿宋" w:eastAsia="仿宋" w:cs="仿宋"/>
          <w:b/>
          <w:color w:val="auto"/>
          <w:lang w:val="en-US" w:eastAsia="zh-CN"/>
        </w:rPr>
        <w:t>五</w:t>
      </w:r>
      <w:r>
        <w:rPr>
          <w:rFonts w:hint="eastAsia" w:ascii="仿宋" w:hAnsi="仿宋" w:eastAsia="仿宋" w:cs="仿宋"/>
          <w:b/>
          <w:color w:val="auto"/>
        </w:rPr>
        <w:t>、</w:t>
      </w:r>
      <w:r>
        <w:rPr>
          <w:rFonts w:hint="eastAsia" w:ascii="仿宋" w:hAnsi="仿宋" w:eastAsia="仿宋" w:cs="仿宋"/>
          <w:b/>
          <w:color w:val="auto"/>
          <w:lang w:val="en-US" w:eastAsia="zh-CN"/>
        </w:rPr>
        <w:t>其他要求：招标文件第四部分评分办法中评审因素相应的其它要求及第五部分拟签订的合同文本中相应的其他要求。</w:t>
      </w:r>
    </w:p>
    <w:p>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4" w:name="_Toc184313267"/>
      <w:bookmarkEnd w:id="24"/>
      <w:bookmarkStart w:id="25" w:name="_Toc184312127"/>
      <w:bookmarkEnd w:id="25"/>
      <w:bookmarkStart w:id="26" w:name="_Toc184308067"/>
      <w:bookmarkEnd w:id="26"/>
      <w:bookmarkStart w:id="27" w:name="_Toc184312120"/>
      <w:bookmarkEnd w:id="27"/>
      <w:bookmarkStart w:id="28" w:name="_Toc184310325"/>
      <w:bookmarkEnd w:id="28"/>
      <w:bookmarkStart w:id="29" w:name="_Toc184308062"/>
      <w:bookmarkEnd w:id="29"/>
      <w:bookmarkStart w:id="30" w:name="_Toc184314459"/>
      <w:bookmarkEnd w:id="30"/>
      <w:bookmarkStart w:id="31" w:name="_Toc184313276"/>
      <w:bookmarkEnd w:id="31"/>
      <w:bookmarkStart w:id="32" w:name="_Toc184314430"/>
      <w:bookmarkEnd w:id="32"/>
      <w:bookmarkStart w:id="33" w:name="_Toc184308097"/>
      <w:bookmarkEnd w:id="33"/>
      <w:bookmarkStart w:id="34" w:name="_Toc184310331"/>
      <w:bookmarkEnd w:id="34"/>
      <w:bookmarkStart w:id="35" w:name="_Toc184308040"/>
      <w:bookmarkEnd w:id="35"/>
      <w:bookmarkStart w:id="36" w:name="_Toc184310343"/>
      <w:bookmarkEnd w:id="36"/>
      <w:bookmarkStart w:id="37" w:name="_Toc184312072"/>
      <w:bookmarkEnd w:id="37"/>
      <w:bookmarkStart w:id="38" w:name="_Toc184313293"/>
      <w:bookmarkEnd w:id="38"/>
      <w:bookmarkStart w:id="39" w:name="_Toc184313281"/>
      <w:bookmarkEnd w:id="39"/>
      <w:bookmarkStart w:id="40" w:name="_Toc184313256"/>
      <w:bookmarkEnd w:id="40"/>
      <w:bookmarkStart w:id="41" w:name="_Toc184312113"/>
      <w:bookmarkEnd w:id="41"/>
      <w:bookmarkStart w:id="42" w:name="_Toc184310342"/>
      <w:bookmarkEnd w:id="42"/>
      <w:bookmarkStart w:id="43" w:name="_Toc184310337"/>
      <w:bookmarkEnd w:id="43"/>
      <w:bookmarkStart w:id="44" w:name="_Toc184308087"/>
      <w:bookmarkEnd w:id="44"/>
      <w:bookmarkStart w:id="45" w:name="_Toc184308075"/>
      <w:bookmarkEnd w:id="45"/>
      <w:bookmarkStart w:id="46" w:name="_Toc184310289"/>
      <w:bookmarkEnd w:id="46"/>
      <w:bookmarkStart w:id="47" w:name="_Toc184312110"/>
      <w:bookmarkEnd w:id="47"/>
      <w:bookmarkStart w:id="48" w:name="_Toc184308041"/>
      <w:bookmarkEnd w:id="48"/>
      <w:bookmarkStart w:id="49" w:name="_Toc184310295"/>
      <w:bookmarkEnd w:id="49"/>
      <w:bookmarkStart w:id="50" w:name="_Toc184310278"/>
      <w:bookmarkEnd w:id="50"/>
      <w:bookmarkStart w:id="51" w:name="_Toc184314450"/>
      <w:bookmarkEnd w:id="51"/>
      <w:bookmarkStart w:id="52" w:name="_Toc184312097"/>
      <w:bookmarkEnd w:id="52"/>
      <w:bookmarkStart w:id="53" w:name="_Toc184312124"/>
      <w:bookmarkEnd w:id="53"/>
      <w:bookmarkStart w:id="54" w:name="_Toc184313273"/>
      <w:bookmarkEnd w:id="54"/>
      <w:bookmarkStart w:id="55" w:name="_Toc184313266"/>
      <w:bookmarkEnd w:id="55"/>
      <w:bookmarkStart w:id="56" w:name="_Toc184308104"/>
      <w:bookmarkEnd w:id="56"/>
      <w:bookmarkStart w:id="57" w:name="_Toc184313301"/>
      <w:bookmarkEnd w:id="57"/>
      <w:bookmarkStart w:id="58" w:name="_Toc184312085"/>
      <w:bookmarkEnd w:id="58"/>
      <w:bookmarkStart w:id="59" w:name="_Toc184313288"/>
      <w:bookmarkEnd w:id="59"/>
      <w:bookmarkStart w:id="60" w:name="_Toc184313308"/>
      <w:bookmarkEnd w:id="60"/>
      <w:bookmarkStart w:id="61" w:name="_Toc184310341"/>
      <w:bookmarkEnd w:id="61"/>
      <w:bookmarkStart w:id="62" w:name="_Toc184314470"/>
      <w:bookmarkEnd w:id="62"/>
      <w:bookmarkStart w:id="63" w:name="_Toc184312083"/>
      <w:bookmarkEnd w:id="63"/>
      <w:bookmarkStart w:id="64" w:name="_Toc184308054"/>
      <w:bookmarkEnd w:id="64"/>
      <w:bookmarkStart w:id="65" w:name="_Toc184313250"/>
      <w:bookmarkEnd w:id="65"/>
      <w:bookmarkStart w:id="66" w:name="_Toc184313269"/>
      <w:bookmarkEnd w:id="66"/>
      <w:bookmarkStart w:id="67" w:name="_Toc184308047"/>
      <w:bookmarkEnd w:id="67"/>
      <w:bookmarkStart w:id="68" w:name="_Toc184310286"/>
      <w:bookmarkEnd w:id="68"/>
      <w:bookmarkStart w:id="69" w:name="_Toc184310277"/>
      <w:bookmarkEnd w:id="69"/>
      <w:bookmarkStart w:id="70" w:name="_Toc184308039"/>
      <w:bookmarkEnd w:id="70"/>
      <w:bookmarkStart w:id="71" w:name="_Toc184310285"/>
      <w:bookmarkEnd w:id="71"/>
      <w:bookmarkStart w:id="72" w:name="_Toc184314419"/>
      <w:bookmarkEnd w:id="72"/>
      <w:bookmarkStart w:id="73" w:name="_Toc184310340"/>
      <w:bookmarkEnd w:id="73"/>
      <w:bookmarkStart w:id="74" w:name="_Toc184313248"/>
      <w:bookmarkEnd w:id="74"/>
      <w:bookmarkStart w:id="75" w:name="_Toc184313279"/>
      <w:bookmarkEnd w:id="75"/>
      <w:bookmarkStart w:id="76" w:name="_Toc184313274"/>
      <w:bookmarkEnd w:id="76"/>
      <w:bookmarkStart w:id="77" w:name="_Toc184312071"/>
      <w:bookmarkEnd w:id="77"/>
      <w:bookmarkStart w:id="78" w:name="_Toc184314414"/>
      <w:bookmarkEnd w:id="78"/>
      <w:bookmarkStart w:id="79" w:name="_Toc184310334"/>
      <w:bookmarkEnd w:id="79"/>
      <w:bookmarkStart w:id="80" w:name="_Toc184308076"/>
      <w:bookmarkEnd w:id="80"/>
      <w:bookmarkStart w:id="81" w:name="_Toc184314431"/>
      <w:bookmarkEnd w:id="81"/>
      <w:bookmarkStart w:id="82" w:name="_Toc184314464"/>
      <w:bookmarkEnd w:id="82"/>
      <w:bookmarkStart w:id="83" w:name="_Toc184314477"/>
      <w:bookmarkEnd w:id="83"/>
      <w:bookmarkStart w:id="84" w:name="_Toc184313303"/>
      <w:bookmarkEnd w:id="84"/>
      <w:bookmarkStart w:id="85" w:name="_Toc184312075"/>
      <w:bookmarkEnd w:id="85"/>
      <w:bookmarkStart w:id="86" w:name="_Toc184308059"/>
      <w:bookmarkEnd w:id="86"/>
      <w:bookmarkStart w:id="87" w:name="_Toc184313253"/>
      <w:bookmarkEnd w:id="87"/>
      <w:bookmarkStart w:id="88" w:name="_Toc184312091"/>
      <w:bookmarkEnd w:id="88"/>
      <w:bookmarkStart w:id="89" w:name="_Toc184310280"/>
      <w:bookmarkEnd w:id="89"/>
      <w:bookmarkStart w:id="90" w:name="_Toc184308089"/>
      <w:bookmarkEnd w:id="90"/>
      <w:bookmarkStart w:id="91" w:name="_Toc184313298"/>
      <w:bookmarkEnd w:id="91"/>
      <w:bookmarkStart w:id="92" w:name="_Toc184314439"/>
      <w:bookmarkEnd w:id="92"/>
      <w:bookmarkStart w:id="93" w:name="_Toc184314475"/>
      <w:bookmarkEnd w:id="93"/>
      <w:bookmarkStart w:id="94" w:name="_Toc184310328"/>
      <w:bookmarkEnd w:id="94"/>
      <w:bookmarkStart w:id="95" w:name="_Toc184312090"/>
      <w:bookmarkEnd w:id="95"/>
      <w:bookmarkStart w:id="96" w:name="_Toc184314458"/>
      <w:bookmarkEnd w:id="96"/>
      <w:bookmarkStart w:id="97" w:name="_Toc184308049"/>
      <w:bookmarkEnd w:id="97"/>
      <w:bookmarkStart w:id="98" w:name="_Toc184308095"/>
      <w:bookmarkEnd w:id="98"/>
      <w:bookmarkStart w:id="99" w:name="_Toc184308042"/>
      <w:bookmarkEnd w:id="99"/>
      <w:bookmarkStart w:id="100" w:name="_Toc184312117"/>
      <w:bookmarkEnd w:id="100"/>
      <w:bookmarkStart w:id="101" w:name="_Toc184308101"/>
      <w:bookmarkEnd w:id="101"/>
      <w:bookmarkStart w:id="102" w:name="_Toc184312076"/>
      <w:bookmarkEnd w:id="102"/>
      <w:bookmarkStart w:id="103" w:name="_Toc184313258"/>
      <w:bookmarkEnd w:id="103"/>
      <w:bookmarkStart w:id="104" w:name="_Toc184308045"/>
      <w:bookmarkEnd w:id="104"/>
      <w:bookmarkStart w:id="105" w:name="_Toc184314480"/>
      <w:bookmarkEnd w:id="105"/>
      <w:bookmarkStart w:id="106" w:name="_Toc184308105"/>
      <w:bookmarkEnd w:id="106"/>
      <w:bookmarkStart w:id="107" w:name="_Toc184310333"/>
      <w:bookmarkEnd w:id="107"/>
      <w:bookmarkStart w:id="108" w:name="_Toc184312081"/>
      <w:bookmarkEnd w:id="108"/>
      <w:bookmarkStart w:id="109" w:name="_Toc184312099"/>
      <w:bookmarkEnd w:id="109"/>
      <w:bookmarkStart w:id="110" w:name="_Toc184313246"/>
      <w:bookmarkEnd w:id="110"/>
      <w:bookmarkStart w:id="111" w:name="_Toc184313265"/>
      <w:bookmarkEnd w:id="111"/>
      <w:bookmarkStart w:id="112" w:name="_Toc184314415"/>
      <w:bookmarkEnd w:id="112"/>
      <w:bookmarkStart w:id="113" w:name="_Toc184310324"/>
      <w:bookmarkEnd w:id="113"/>
      <w:bookmarkStart w:id="114" w:name="_Toc184314426"/>
      <w:bookmarkEnd w:id="114"/>
      <w:bookmarkStart w:id="115" w:name="_Toc184308098"/>
      <w:bookmarkEnd w:id="115"/>
      <w:bookmarkStart w:id="116" w:name="_Toc184310305"/>
      <w:bookmarkEnd w:id="116"/>
      <w:bookmarkStart w:id="117" w:name="_Toc184308106"/>
      <w:bookmarkEnd w:id="117"/>
      <w:bookmarkStart w:id="118" w:name="_Toc184313305"/>
      <w:bookmarkEnd w:id="118"/>
      <w:bookmarkStart w:id="119" w:name="_Toc184313284"/>
      <w:bookmarkEnd w:id="119"/>
      <w:bookmarkStart w:id="120" w:name="_Toc184314482"/>
      <w:bookmarkEnd w:id="120"/>
      <w:bookmarkStart w:id="121" w:name="_Toc184312132"/>
      <w:bookmarkEnd w:id="121"/>
      <w:bookmarkStart w:id="122" w:name="_Toc184313270"/>
      <w:bookmarkEnd w:id="122"/>
      <w:bookmarkStart w:id="123" w:name="_Toc184310332"/>
      <w:bookmarkEnd w:id="123"/>
      <w:bookmarkStart w:id="124" w:name="_Toc184310327"/>
      <w:bookmarkEnd w:id="124"/>
      <w:bookmarkStart w:id="125" w:name="_Toc184312128"/>
      <w:bookmarkEnd w:id="125"/>
      <w:bookmarkStart w:id="126" w:name="_Toc184314451"/>
      <w:bookmarkEnd w:id="126"/>
      <w:bookmarkStart w:id="127" w:name="_Toc184313307"/>
      <w:bookmarkEnd w:id="127"/>
      <w:bookmarkStart w:id="128" w:name="_Toc184314421"/>
      <w:bookmarkEnd w:id="128"/>
      <w:bookmarkStart w:id="129" w:name="_Toc184312139"/>
      <w:bookmarkEnd w:id="129"/>
      <w:bookmarkStart w:id="130" w:name="_Toc184308053"/>
      <w:bookmarkEnd w:id="130"/>
      <w:bookmarkStart w:id="131" w:name="_Toc184308036"/>
      <w:bookmarkEnd w:id="131"/>
      <w:bookmarkStart w:id="132" w:name="_Toc184312089"/>
      <w:bookmarkEnd w:id="132"/>
      <w:bookmarkStart w:id="133" w:name="_Toc184314418"/>
      <w:bookmarkEnd w:id="133"/>
      <w:bookmarkStart w:id="134" w:name="_Toc184312119"/>
      <w:bookmarkEnd w:id="134"/>
      <w:bookmarkStart w:id="135" w:name="_Toc184313278"/>
      <w:bookmarkEnd w:id="135"/>
      <w:bookmarkStart w:id="136" w:name="_Toc184310335"/>
      <w:bookmarkEnd w:id="136"/>
      <w:bookmarkStart w:id="137" w:name="_Toc184308070"/>
      <w:bookmarkEnd w:id="137"/>
      <w:bookmarkStart w:id="138" w:name="_Toc184308079"/>
      <w:bookmarkEnd w:id="138"/>
      <w:bookmarkStart w:id="139" w:name="_Toc184312079"/>
      <w:bookmarkEnd w:id="139"/>
      <w:bookmarkStart w:id="140" w:name="_Toc184314452"/>
      <w:bookmarkEnd w:id="140"/>
      <w:bookmarkStart w:id="141" w:name="_Toc184314413"/>
      <w:bookmarkEnd w:id="141"/>
      <w:bookmarkStart w:id="142" w:name="_Toc184313277"/>
      <w:bookmarkEnd w:id="142"/>
      <w:bookmarkStart w:id="143" w:name="_Toc184310314"/>
      <w:bookmarkEnd w:id="143"/>
      <w:bookmarkStart w:id="144" w:name="_Toc184308080"/>
      <w:bookmarkEnd w:id="144"/>
      <w:bookmarkStart w:id="145" w:name="_Toc184314472"/>
      <w:bookmarkEnd w:id="145"/>
      <w:bookmarkStart w:id="146" w:name="_Toc184314471"/>
      <w:bookmarkEnd w:id="146"/>
      <w:bookmarkStart w:id="147" w:name="_Toc184310298"/>
      <w:bookmarkEnd w:id="147"/>
      <w:bookmarkStart w:id="148" w:name="_Toc184314424"/>
      <w:bookmarkEnd w:id="148"/>
      <w:bookmarkStart w:id="149" w:name="_Toc184314411"/>
      <w:bookmarkEnd w:id="149"/>
      <w:bookmarkStart w:id="150" w:name="_Toc184308046"/>
      <w:bookmarkEnd w:id="150"/>
      <w:bookmarkStart w:id="151" w:name="_Toc184313271"/>
      <w:bookmarkEnd w:id="151"/>
      <w:bookmarkStart w:id="152" w:name="_Toc184310291"/>
      <w:bookmarkEnd w:id="152"/>
      <w:bookmarkStart w:id="153" w:name="_Toc184312103"/>
      <w:bookmarkEnd w:id="153"/>
      <w:bookmarkStart w:id="154" w:name="_Toc184310310"/>
      <w:bookmarkEnd w:id="154"/>
      <w:bookmarkStart w:id="155" w:name="_Toc184313280"/>
      <w:bookmarkEnd w:id="155"/>
      <w:bookmarkStart w:id="156" w:name="_Toc184314461"/>
      <w:bookmarkEnd w:id="156"/>
      <w:bookmarkStart w:id="157" w:name="_Toc184308107"/>
      <w:bookmarkEnd w:id="157"/>
      <w:bookmarkStart w:id="158" w:name="_Toc184313262"/>
      <w:bookmarkEnd w:id="158"/>
      <w:bookmarkStart w:id="159" w:name="_Toc184310275"/>
      <w:bookmarkEnd w:id="159"/>
      <w:bookmarkStart w:id="160" w:name="_Toc184310312"/>
      <w:bookmarkEnd w:id="160"/>
      <w:bookmarkStart w:id="161" w:name="_Toc184314429"/>
      <w:bookmarkEnd w:id="161"/>
      <w:bookmarkStart w:id="162" w:name="_Toc184312134"/>
      <w:bookmarkEnd w:id="162"/>
      <w:bookmarkStart w:id="163" w:name="_Toc184310281"/>
      <w:bookmarkEnd w:id="163"/>
      <w:bookmarkStart w:id="164" w:name="_Toc184312130"/>
      <w:bookmarkEnd w:id="164"/>
      <w:bookmarkStart w:id="165" w:name="_Toc184308090"/>
      <w:bookmarkEnd w:id="165"/>
      <w:bookmarkStart w:id="166" w:name="_Toc184313309"/>
      <w:bookmarkEnd w:id="166"/>
      <w:bookmarkStart w:id="167" w:name="_Toc184313306"/>
      <w:bookmarkEnd w:id="167"/>
      <w:bookmarkStart w:id="168" w:name="_Toc184313292"/>
      <w:bookmarkEnd w:id="168"/>
      <w:bookmarkStart w:id="169" w:name="_Toc184308073"/>
      <w:bookmarkEnd w:id="169"/>
      <w:bookmarkStart w:id="170" w:name="_Toc184313291"/>
      <w:bookmarkEnd w:id="170"/>
      <w:bookmarkStart w:id="171" w:name="_Toc184314441"/>
      <w:bookmarkEnd w:id="171"/>
      <w:bookmarkStart w:id="172" w:name="_Toc184312125"/>
      <w:bookmarkEnd w:id="172"/>
      <w:bookmarkStart w:id="173" w:name="_Toc184310320"/>
      <w:bookmarkEnd w:id="173"/>
      <w:bookmarkStart w:id="174" w:name="_Toc184312126"/>
      <w:bookmarkEnd w:id="174"/>
      <w:bookmarkStart w:id="175" w:name="_Toc184313240"/>
      <w:bookmarkEnd w:id="175"/>
      <w:bookmarkStart w:id="176" w:name="_Toc184313296"/>
      <w:bookmarkEnd w:id="176"/>
      <w:bookmarkStart w:id="177" w:name="_Toc184314443"/>
      <w:bookmarkEnd w:id="177"/>
      <w:bookmarkStart w:id="178" w:name="_Toc184313252"/>
      <w:bookmarkEnd w:id="178"/>
      <w:bookmarkStart w:id="179" w:name="_Toc184313255"/>
      <w:bookmarkEnd w:id="179"/>
      <w:bookmarkStart w:id="180" w:name="_Toc184313310"/>
      <w:bookmarkEnd w:id="180"/>
      <w:bookmarkStart w:id="181" w:name="_Toc184308063"/>
      <w:bookmarkEnd w:id="181"/>
      <w:bookmarkStart w:id="182" w:name="_Toc184308037"/>
      <w:bookmarkEnd w:id="182"/>
      <w:bookmarkStart w:id="183" w:name="_Toc184308068"/>
      <w:bookmarkEnd w:id="183"/>
      <w:bookmarkStart w:id="184" w:name="_Toc184314435"/>
      <w:bookmarkEnd w:id="184"/>
      <w:bookmarkStart w:id="185" w:name="_Toc184310282"/>
      <w:bookmarkEnd w:id="185"/>
      <w:bookmarkStart w:id="186" w:name="_Toc184313275"/>
      <w:bookmarkEnd w:id="186"/>
      <w:bookmarkStart w:id="187" w:name="_Toc184312082"/>
      <w:bookmarkEnd w:id="187"/>
      <w:bookmarkStart w:id="188" w:name="_Toc184313295"/>
      <w:bookmarkEnd w:id="188"/>
      <w:bookmarkStart w:id="189" w:name="_Toc184308060"/>
      <w:bookmarkEnd w:id="189"/>
      <w:bookmarkStart w:id="190" w:name="_Toc184312138"/>
      <w:bookmarkEnd w:id="190"/>
      <w:bookmarkStart w:id="191" w:name="_Toc184308100"/>
      <w:bookmarkEnd w:id="191"/>
      <w:bookmarkStart w:id="192" w:name="_Toc184314474"/>
      <w:bookmarkEnd w:id="192"/>
      <w:bookmarkStart w:id="193" w:name="_Toc184308058"/>
      <w:bookmarkEnd w:id="193"/>
      <w:bookmarkStart w:id="194" w:name="_Toc184310302"/>
      <w:bookmarkEnd w:id="194"/>
      <w:bookmarkStart w:id="195" w:name="_Toc184308043"/>
      <w:bookmarkEnd w:id="195"/>
      <w:bookmarkStart w:id="196" w:name="_Toc184313283"/>
      <w:bookmarkEnd w:id="196"/>
      <w:bookmarkStart w:id="197" w:name="_Toc184312131"/>
      <w:bookmarkEnd w:id="197"/>
      <w:bookmarkStart w:id="198" w:name="_Toc184308052"/>
      <w:bookmarkEnd w:id="198"/>
      <w:bookmarkStart w:id="199" w:name="_Toc184308044"/>
      <w:bookmarkEnd w:id="199"/>
      <w:bookmarkStart w:id="200" w:name="_Toc184312129"/>
      <w:bookmarkEnd w:id="200"/>
      <w:bookmarkStart w:id="201" w:name="_Toc184313286"/>
      <w:bookmarkEnd w:id="201"/>
      <w:bookmarkStart w:id="202" w:name="_Toc184313259"/>
      <w:bookmarkEnd w:id="202"/>
      <w:bookmarkStart w:id="203" w:name="_Toc184308057"/>
      <w:bookmarkEnd w:id="203"/>
      <w:bookmarkStart w:id="204" w:name="_Toc184314469"/>
      <w:bookmarkEnd w:id="204"/>
      <w:bookmarkStart w:id="205" w:name="_Toc184310322"/>
      <w:bookmarkEnd w:id="205"/>
      <w:bookmarkStart w:id="206" w:name="_Toc184310344"/>
      <w:bookmarkEnd w:id="206"/>
      <w:bookmarkStart w:id="207" w:name="_Toc184313299"/>
      <w:bookmarkEnd w:id="207"/>
      <w:bookmarkStart w:id="208" w:name="_Toc184308103"/>
      <w:bookmarkEnd w:id="208"/>
      <w:bookmarkStart w:id="209" w:name="_Toc184310311"/>
      <w:bookmarkEnd w:id="209"/>
      <w:bookmarkStart w:id="210" w:name="_Toc184310339"/>
      <w:bookmarkEnd w:id="210"/>
      <w:bookmarkStart w:id="211" w:name="_Toc184314442"/>
      <w:bookmarkEnd w:id="211"/>
      <w:bookmarkStart w:id="212" w:name="_Toc184314436"/>
      <w:bookmarkEnd w:id="212"/>
      <w:bookmarkStart w:id="213" w:name="_Toc184314447"/>
      <w:bookmarkEnd w:id="213"/>
      <w:bookmarkStart w:id="214" w:name="_Toc184314412"/>
      <w:bookmarkEnd w:id="214"/>
      <w:bookmarkStart w:id="215" w:name="_Toc184313257"/>
      <w:bookmarkEnd w:id="215"/>
      <w:bookmarkStart w:id="216" w:name="_Toc184314481"/>
      <w:bookmarkEnd w:id="216"/>
      <w:bookmarkStart w:id="217" w:name="_Toc184308072"/>
      <w:bookmarkEnd w:id="217"/>
      <w:bookmarkStart w:id="218" w:name="_Toc184310303"/>
      <w:bookmarkEnd w:id="218"/>
      <w:bookmarkStart w:id="219" w:name="_Toc184312073"/>
      <w:bookmarkEnd w:id="219"/>
      <w:bookmarkStart w:id="220" w:name="_Toc184313282"/>
      <w:bookmarkEnd w:id="220"/>
      <w:bookmarkStart w:id="221" w:name="_Toc184310319"/>
      <w:bookmarkEnd w:id="221"/>
      <w:bookmarkStart w:id="222" w:name="_Toc184312118"/>
      <w:bookmarkEnd w:id="222"/>
      <w:bookmarkStart w:id="223" w:name="_Toc184313304"/>
      <w:bookmarkEnd w:id="223"/>
      <w:bookmarkStart w:id="224" w:name="_Toc184312077"/>
      <w:bookmarkEnd w:id="224"/>
      <w:bookmarkStart w:id="225" w:name="_Toc184310279"/>
      <w:bookmarkEnd w:id="225"/>
      <w:bookmarkStart w:id="226" w:name="_Toc184314437"/>
      <w:bookmarkEnd w:id="226"/>
      <w:bookmarkStart w:id="227" w:name="_Toc184313241"/>
      <w:bookmarkEnd w:id="227"/>
      <w:bookmarkStart w:id="228" w:name="_Toc184314455"/>
      <w:bookmarkEnd w:id="228"/>
      <w:bookmarkStart w:id="229" w:name="_Toc184310306"/>
      <w:bookmarkEnd w:id="229"/>
      <w:bookmarkStart w:id="230" w:name="_Toc184312093"/>
      <w:bookmarkEnd w:id="230"/>
      <w:bookmarkStart w:id="231" w:name="_Toc184314466"/>
      <w:bookmarkEnd w:id="231"/>
      <w:bookmarkStart w:id="232" w:name="_Toc184308083"/>
      <w:bookmarkEnd w:id="232"/>
      <w:bookmarkStart w:id="233" w:name="_Toc184308055"/>
      <w:bookmarkEnd w:id="233"/>
      <w:bookmarkStart w:id="234" w:name="_Toc184308038"/>
      <w:bookmarkEnd w:id="234"/>
      <w:bookmarkStart w:id="235" w:name="_Toc184310276"/>
      <w:bookmarkEnd w:id="235"/>
      <w:bookmarkStart w:id="236" w:name="_Toc184314428"/>
      <w:bookmarkEnd w:id="236"/>
      <w:bookmarkStart w:id="237" w:name="_Toc184313272"/>
      <w:bookmarkEnd w:id="237"/>
      <w:bookmarkStart w:id="238" w:name="_Toc184313268"/>
      <w:bookmarkEnd w:id="238"/>
      <w:bookmarkStart w:id="239" w:name="_Toc184313263"/>
      <w:bookmarkEnd w:id="239"/>
      <w:bookmarkStart w:id="240" w:name="_Toc184310299"/>
      <w:bookmarkEnd w:id="240"/>
      <w:bookmarkStart w:id="241" w:name="_Toc184314410"/>
      <w:bookmarkEnd w:id="241"/>
      <w:bookmarkStart w:id="242" w:name="_Toc184310307"/>
      <w:bookmarkEnd w:id="242"/>
      <w:bookmarkStart w:id="243" w:name="_Toc184312102"/>
      <w:bookmarkEnd w:id="243"/>
      <w:bookmarkStart w:id="244" w:name="_Toc184314473"/>
      <w:bookmarkEnd w:id="244"/>
      <w:bookmarkStart w:id="245" w:name="_Toc184312069"/>
      <w:bookmarkEnd w:id="245"/>
      <w:bookmarkStart w:id="246" w:name="_Toc184314449"/>
      <w:bookmarkEnd w:id="246"/>
      <w:bookmarkStart w:id="247" w:name="_Toc184312111"/>
      <w:bookmarkEnd w:id="247"/>
      <w:bookmarkStart w:id="248" w:name="_Toc184310313"/>
      <w:bookmarkEnd w:id="248"/>
      <w:bookmarkStart w:id="249" w:name="_Toc184314446"/>
      <w:bookmarkEnd w:id="249"/>
      <w:bookmarkStart w:id="250" w:name="_Toc184313245"/>
      <w:bookmarkEnd w:id="250"/>
      <w:bookmarkStart w:id="251" w:name="_Toc184313261"/>
      <w:bookmarkEnd w:id="251"/>
      <w:bookmarkStart w:id="252" w:name="_Toc184312098"/>
      <w:bookmarkEnd w:id="252"/>
      <w:bookmarkStart w:id="253" w:name="_Toc184314423"/>
      <w:bookmarkEnd w:id="253"/>
      <w:bookmarkStart w:id="254" w:name="_Toc184310330"/>
      <w:bookmarkEnd w:id="254"/>
      <w:bookmarkStart w:id="255" w:name="_Toc184310315"/>
      <w:bookmarkEnd w:id="255"/>
      <w:bookmarkStart w:id="256" w:name="_Toc184314416"/>
      <w:bookmarkEnd w:id="256"/>
      <w:bookmarkStart w:id="257" w:name="_Toc184310308"/>
      <w:bookmarkEnd w:id="257"/>
      <w:bookmarkStart w:id="258" w:name="_Toc184314468"/>
      <w:bookmarkEnd w:id="258"/>
      <w:bookmarkStart w:id="259" w:name="_Toc184312068"/>
      <w:bookmarkEnd w:id="259"/>
      <w:bookmarkStart w:id="260" w:name="_Toc184310293"/>
      <w:bookmarkEnd w:id="260"/>
      <w:bookmarkStart w:id="261" w:name="_Toc184308061"/>
      <w:bookmarkEnd w:id="261"/>
      <w:bookmarkStart w:id="262" w:name="_Toc184313247"/>
      <w:bookmarkEnd w:id="262"/>
      <w:bookmarkStart w:id="263" w:name="_Toc184312080"/>
      <w:bookmarkEnd w:id="263"/>
      <w:bookmarkStart w:id="264" w:name="_Toc184310321"/>
      <w:bookmarkEnd w:id="264"/>
      <w:bookmarkStart w:id="265" w:name="_Toc184310338"/>
      <w:bookmarkEnd w:id="265"/>
      <w:bookmarkStart w:id="266" w:name="_Toc184312112"/>
      <w:bookmarkEnd w:id="266"/>
      <w:bookmarkStart w:id="267" w:name="_Toc184312122"/>
      <w:bookmarkEnd w:id="267"/>
      <w:bookmarkStart w:id="268" w:name="_Toc184314438"/>
      <w:bookmarkEnd w:id="268"/>
      <w:bookmarkStart w:id="269" w:name="_Toc184308064"/>
      <w:bookmarkEnd w:id="269"/>
      <w:bookmarkStart w:id="270" w:name="_Toc184312095"/>
      <w:bookmarkEnd w:id="270"/>
      <w:bookmarkStart w:id="271" w:name="_Toc184310316"/>
      <w:bookmarkEnd w:id="271"/>
      <w:bookmarkStart w:id="272" w:name="_Toc184312074"/>
      <w:bookmarkEnd w:id="272"/>
      <w:bookmarkStart w:id="273" w:name="_Toc184308085"/>
      <w:bookmarkEnd w:id="273"/>
      <w:bookmarkStart w:id="274" w:name="_Toc184310290"/>
      <w:bookmarkEnd w:id="274"/>
      <w:bookmarkStart w:id="275" w:name="_Toc184310317"/>
      <w:bookmarkEnd w:id="275"/>
      <w:bookmarkStart w:id="276" w:name="_Toc184314425"/>
      <w:bookmarkEnd w:id="276"/>
      <w:bookmarkStart w:id="277" w:name="_Toc184308081"/>
      <w:bookmarkEnd w:id="277"/>
      <w:bookmarkStart w:id="278" w:name="_Toc184313254"/>
      <w:bookmarkEnd w:id="278"/>
      <w:bookmarkStart w:id="279" w:name="_Toc184308051"/>
      <w:bookmarkEnd w:id="279"/>
      <w:bookmarkStart w:id="280" w:name="_Toc184308088"/>
      <w:bookmarkEnd w:id="280"/>
      <w:bookmarkStart w:id="281" w:name="_Toc184314434"/>
      <w:bookmarkEnd w:id="281"/>
      <w:bookmarkStart w:id="282" w:name="_Toc184310329"/>
      <w:bookmarkEnd w:id="282"/>
      <w:bookmarkStart w:id="283" w:name="_Toc184314427"/>
      <w:bookmarkEnd w:id="283"/>
      <w:bookmarkStart w:id="284" w:name="_Toc184312067"/>
      <w:bookmarkEnd w:id="284"/>
      <w:bookmarkStart w:id="285" w:name="_Toc184312123"/>
      <w:bookmarkEnd w:id="285"/>
      <w:bookmarkStart w:id="286" w:name="_Toc184310336"/>
      <w:bookmarkEnd w:id="286"/>
      <w:bookmarkStart w:id="287" w:name="_Toc184313243"/>
      <w:bookmarkEnd w:id="287"/>
      <w:bookmarkStart w:id="288" w:name="_Toc184310273"/>
      <w:bookmarkEnd w:id="288"/>
      <w:bookmarkStart w:id="289" w:name="_Toc184312092"/>
      <w:bookmarkEnd w:id="289"/>
      <w:bookmarkStart w:id="290" w:name="_Toc184312107"/>
      <w:bookmarkEnd w:id="290"/>
      <w:bookmarkStart w:id="291" w:name="_Toc184312096"/>
      <w:bookmarkEnd w:id="291"/>
      <w:bookmarkStart w:id="292" w:name="_Toc184314448"/>
      <w:bookmarkEnd w:id="292"/>
      <w:bookmarkStart w:id="293" w:name="_Toc184308066"/>
      <w:bookmarkEnd w:id="293"/>
      <w:bookmarkStart w:id="294" w:name="_Toc184308056"/>
      <w:bookmarkEnd w:id="294"/>
      <w:bookmarkStart w:id="295" w:name="_Toc184312133"/>
      <w:bookmarkEnd w:id="295"/>
      <w:bookmarkStart w:id="296" w:name="_Toc184312121"/>
      <w:bookmarkEnd w:id="296"/>
      <w:bookmarkStart w:id="297" w:name="_Toc184314456"/>
      <w:bookmarkEnd w:id="297"/>
      <w:bookmarkStart w:id="298" w:name="_Toc184308084"/>
      <w:bookmarkEnd w:id="298"/>
      <w:bookmarkStart w:id="299" w:name="_Toc184314467"/>
      <w:bookmarkEnd w:id="299"/>
      <w:bookmarkStart w:id="300" w:name="_Toc184312108"/>
      <w:bookmarkEnd w:id="300"/>
      <w:bookmarkStart w:id="301" w:name="_Toc184312137"/>
      <w:bookmarkEnd w:id="301"/>
      <w:bookmarkStart w:id="302" w:name="_Toc184310318"/>
      <w:bookmarkEnd w:id="302"/>
      <w:bookmarkStart w:id="303" w:name="_Toc184308082"/>
      <w:bookmarkEnd w:id="303"/>
      <w:bookmarkStart w:id="304" w:name="_Toc184312115"/>
      <w:bookmarkEnd w:id="304"/>
      <w:bookmarkStart w:id="305" w:name="_Toc184310288"/>
      <w:bookmarkEnd w:id="305"/>
      <w:bookmarkStart w:id="306" w:name="_Toc184312078"/>
      <w:bookmarkEnd w:id="306"/>
      <w:bookmarkStart w:id="307" w:name="_Toc184310309"/>
      <w:bookmarkEnd w:id="307"/>
      <w:bookmarkStart w:id="308" w:name="_Toc184310294"/>
      <w:bookmarkEnd w:id="308"/>
      <w:bookmarkStart w:id="309" w:name="_Toc184308050"/>
      <w:bookmarkEnd w:id="309"/>
      <w:bookmarkStart w:id="310" w:name="_Toc184308086"/>
      <w:bookmarkEnd w:id="310"/>
      <w:bookmarkStart w:id="311" w:name="_Toc184308108"/>
      <w:bookmarkEnd w:id="311"/>
      <w:bookmarkStart w:id="312" w:name="_Toc184313264"/>
      <w:bookmarkEnd w:id="312"/>
      <w:bookmarkStart w:id="313" w:name="_Toc184312087"/>
      <w:bookmarkEnd w:id="313"/>
      <w:bookmarkStart w:id="314" w:name="_Toc184310326"/>
      <w:bookmarkEnd w:id="314"/>
      <w:bookmarkStart w:id="315" w:name="_Toc184312106"/>
      <w:bookmarkEnd w:id="315"/>
      <w:bookmarkStart w:id="316" w:name="_Toc184314433"/>
      <w:bookmarkEnd w:id="316"/>
      <w:bookmarkStart w:id="317" w:name="_Toc184313294"/>
      <w:bookmarkEnd w:id="317"/>
      <w:bookmarkStart w:id="318" w:name="_Toc184308071"/>
      <w:bookmarkEnd w:id="318"/>
      <w:bookmarkStart w:id="319" w:name="_Toc184310292"/>
      <w:bookmarkEnd w:id="319"/>
      <w:bookmarkStart w:id="320" w:name="_Toc184314479"/>
      <w:bookmarkEnd w:id="320"/>
      <w:bookmarkStart w:id="321" w:name="_Toc184314440"/>
      <w:bookmarkEnd w:id="321"/>
      <w:bookmarkStart w:id="322" w:name="_Toc184312084"/>
      <w:bookmarkEnd w:id="322"/>
      <w:bookmarkStart w:id="323" w:name="_Toc184310297"/>
      <w:bookmarkEnd w:id="323"/>
      <w:bookmarkStart w:id="324" w:name="_Toc184308099"/>
      <w:bookmarkEnd w:id="324"/>
      <w:bookmarkStart w:id="325" w:name="_Toc184314454"/>
      <w:bookmarkEnd w:id="325"/>
      <w:bookmarkStart w:id="326" w:name="_Toc184308077"/>
      <w:bookmarkEnd w:id="326"/>
      <w:bookmarkStart w:id="327" w:name="_Toc184313300"/>
      <w:bookmarkEnd w:id="327"/>
      <w:bookmarkStart w:id="328" w:name="_Toc184313290"/>
      <w:bookmarkEnd w:id="328"/>
      <w:bookmarkStart w:id="329" w:name="_Toc184310283"/>
      <w:bookmarkEnd w:id="329"/>
      <w:bookmarkStart w:id="330" w:name="_Toc184308096"/>
      <w:bookmarkEnd w:id="330"/>
      <w:bookmarkStart w:id="331" w:name="_Toc184308091"/>
      <w:bookmarkEnd w:id="331"/>
      <w:bookmarkStart w:id="332" w:name="_Toc184310300"/>
      <w:bookmarkEnd w:id="332"/>
      <w:bookmarkStart w:id="333" w:name="_Toc184308094"/>
      <w:bookmarkEnd w:id="333"/>
      <w:bookmarkStart w:id="334" w:name="_Toc184314453"/>
      <w:bookmarkEnd w:id="334"/>
      <w:bookmarkStart w:id="335" w:name="_Toc184312135"/>
      <w:bookmarkEnd w:id="335"/>
      <w:bookmarkStart w:id="336" w:name="_Toc184312136"/>
      <w:bookmarkEnd w:id="336"/>
      <w:bookmarkStart w:id="337" w:name="_Toc184308065"/>
      <w:bookmarkEnd w:id="337"/>
      <w:bookmarkStart w:id="338" w:name="_Toc184312114"/>
      <w:bookmarkEnd w:id="338"/>
      <w:bookmarkStart w:id="339" w:name="_Toc184312101"/>
      <w:bookmarkEnd w:id="339"/>
      <w:bookmarkStart w:id="340" w:name="_Toc184314463"/>
      <w:bookmarkEnd w:id="340"/>
      <w:bookmarkStart w:id="341" w:name="_Toc184310287"/>
      <w:bookmarkEnd w:id="341"/>
      <w:bookmarkStart w:id="342" w:name="_Toc184310301"/>
      <w:bookmarkEnd w:id="342"/>
      <w:bookmarkStart w:id="343" w:name="_Toc184313297"/>
      <w:bookmarkEnd w:id="343"/>
      <w:bookmarkStart w:id="344" w:name="_Toc184314422"/>
      <w:bookmarkEnd w:id="344"/>
      <w:bookmarkStart w:id="345" w:name="_Toc184310296"/>
      <w:bookmarkEnd w:id="345"/>
      <w:bookmarkStart w:id="346" w:name="_Toc184313242"/>
      <w:bookmarkEnd w:id="346"/>
      <w:bookmarkStart w:id="347" w:name="_Toc184312116"/>
      <w:bookmarkEnd w:id="347"/>
      <w:bookmarkStart w:id="348" w:name="_Toc184314478"/>
      <w:bookmarkEnd w:id="348"/>
      <w:bookmarkStart w:id="349" w:name="_Toc184312109"/>
      <w:bookmarkEnd w:id="349"/>
      <w:bookmarkStart w:id="350" w:name="_Toc184314457"/>
      <w:bookmarkEnd w:id="350"/>
      <w:bookmarkStart w:id="351" w:name="_Toc184312105"/>
      <w:bookmarkEnd w:id="351"/>
      <w:bookmarkStart w:id="352" w:name="_Toc184308069"/>
      <w:bookmarkEnd w:id="352"/>
      <w:bookmarkStart w:id="353" w:name="_Toc184314420"/>
      <w:bookmarkEnd w:id="353"/>
      <w:bookmarkStart w:id="354" w:name="_Toc184308078"/>
      <w:bookmarkEnd w:id="354"/>
      <w:bookmarkStart w:id="355" w:name="_Toc184314445"/>
      <w:bookmarkEnd w:id="355"/>
      <w:bookmarkStart w:id="356" w:name="_Toc184313251"/>
      <w:bookmarkEnd w:id="356"/>
      <w:bookmarkStart w:id="357" w:name="_Toc184313238"/>
      <w:bookmarkEnd w:id="357"/>
      <w:bookmarkStart w:id="358" w:name="_Toc184314460"/>
      <w:bookmarkEnd w:id="358"/>
      <w:bookmarkStart w:id="359" w:name="_Toc184314444"/>
      <w:bookmarkEnd w:id="359"/>
      <w:bookmarkStart w:id="360" w:name="_Toc184308074"/>
      <w:bookmarkEnd w:id="360"/>
      <w:bookmarkStart w:id="361" w:name="_Toc184314465"/>
      <w:bookmarkEnd w:id="361"/>
      <w:bookmarkStart w:id="362" w:name="_Toc184313239"/>
      <w:bookmarkEnd w:id="362"/>
      <w:bookmarkStart w:id="363" w:name="_Toc184310272"/>
      <w:bookmarkEnd w:id="363"/>
      <w:bookmarkStart w:id="364" w:name="_Toc184310274"/>
      <w:bookmarkEnd w:id="364"/>
      <w:bookmarkStart w:id="365" w:name="_Toc184308092"/>
      <w:bookmarkEnd w:id="365"/>
      <w:bookmarkStart w:id="366" w:name="_Toc184308102"/>
      <w:bookmarkEnd w:id="366"/>
      <w:bookmarkStart w:id="367" w:name="_Toc184314432"/>
      <w:bookmarkEnd w:id="367"/>
      <w:bookmarkStart w:id="368" w:name="_Toc184313244"/>
      <w:bookmarkEnd w:id="368"/>
      <w:bookmarkStart w:id="369" w:name="_Toc184308093"/>
      <w:bookmarkEnd w:id="369"/>
      <w:bookmarkStart w:id="370" w:name="_Toc184312094"/>
      <w:bookmarkEnd w:id="370"/>
      <w:bookmarkStart w:id="371" w:name="_Toc184310284"/>
      <w:bookmarkEnd w:id="371"/>
      <w:bookmarkStart w:id="372" w:name="_Toc184313260"/>
      <w:bookmarkEnd w:id="372"/>
      <w:bookmarkStart w:id="373" w:name="_Toc184313285"/>
      <w:bookmarkEnd w:id="373"/>
      <w:bookmarkStart w:id="374" w:name="_Toc184308048"/>
      <w:bookmarkEnd w:id="374"/>
      <w:bookmarkStart w:id="375" w:name="_Toc184312088"/>
      <w:bookmarkEnd w:id="375"/>
      <w:bookmarkStart w:id="376" w:name="_Toc184310323"/>
      <w:bookmarkEnd w:id="376"/>
      <w:bookmarkStart w:id="377" w:name="_Toc184312104"/>
      <w:bookmarkEnd w:id="377"/>
      <w:bookmarkStart w:id="378" w:name="_Toc184314417"/>
      <w:bookmarkEnd w:id="378"/>
      <w:bookmarkStart w:id="379" w:name="_Toc184312070"/>
      <w:bookmarkEnd w:id="379"/>
      <w:bookmarkStart w:id="380" w:name="_Toc184312100"/>
      <w:bookmarkEnd w:id="380"/>
      <w:bookmarkStart w:id="381" w:name="_Toc184313287"/>
      <w:bookmarkEnd w:id="381"/>
      <w:bookmarkStart w:id="382" w:name="_Toc184314476"/>
      <w:bookmarkEnd w:id="382"/>
      <w:bookmarkStart w:id="383" w:name="_Toc184310304"/>
      <w:bookmarkEnd w:id="383"/>
      <w:bookmarkStart w:id="384" w:name="_Toc184314462"/>
      <w:bookmarkEnd w:id="384"/>
      <w:bookmarkStart w:id="385" w:name="_Toc184313249"/>
      <w:bookmarkEnd w:id="385"/>
      <w:bookmarkStart w:id="386" w:name="_Toc184313289"/>
      <w:bookmarkEnd w:id="386"/>
      <w:bookmarkStart w:id="387" w:name="_Toc184312086"/>
      <w:bookmarkEnd w:id="387"/>
      <w:bookmarkStart w:id="388" w:name="_Toc184313302"/>
      <w:bookmarkEnd w:id="388"/>
      <w:r>
        <w:rPr>
          <w:rFonts w:hint="eastAsia" w:ascii="仿宋" w:hAnsi="仿宋" w:eastAsia="仿宋" w:cs="仿宋"/>
          <w:b/>
          <w:color w:val="auto"/>
          <w:sz w:val="36"/>
          <w:szCs w:val="36"/>
        </w:rPr>
        <w:t>评标办法</w:t>
      </w:r>
    </w:p>
    <w:p>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744"/>
        <w:gridCol w:w="567"/>
        <w:gridCol w:w="105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44"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50" w:type="dxa"/>
            <w:vAlign w:val="center"/>
          </w:tcPr>
          <w:p>
            <w:pPr>
              <w:snapToGrid w:val="0"/>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投标人2020年1月1日（以合同签订时间为准）至今具有同类项目成功案例合同电子扫描件，经评标委员会认定为有效业绩合同的，每份按0.5分计算，最高得1分。</w:t>
            </w:r>
          </w:p>
          <w:p>
            <w:pPr>
              <w:snapToGrid w:val="0"/>
              <w:spacing w:line="276"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证明材料：提供合同复印件并加盖公章，以合同签订时间为准，无日期视为无效资料，同一业主视作一份材料。</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客观分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投标人具有同类项目业主满意评价的（或同级别的“优秀”“95分及以上”等），每个按1分计算，最高得2分。</w:t>
            </w:r>
          </w:p>
          <w:p>
            <w:pPr>
              <w:snapToGrid w:val="0"/>
              <w:spacing w:line="276"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证明材料：提供合同复印件及满意评价并加盖公章，同一业主视作一份材料。</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050" w:type="dxa"/>
            <w:vAlign w:val="center"/>
          </w:tcPr>
          <w:p>
            <w:pPr>
              <w:snapToGrid w:val="0"/>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客观分</w:t>
            </w:r>
          </w:p>
        </w:tc>
        <w:tc>
          <w:tcPr>
            <w:tcW w:w="1396" w:type="dxa"/>
            <w:vAlign w:val="center"/>
          </w:tcPr>
          <w:p>
            <w:pPr>
              <w:snapToGrid w:val="0"/>
              <w:spacing w:line="276" w:lineRule="auto"/>
              <w:jc w:val="center"/>
              <w:rPr>
                <w:rFonts w:ascii="仿宋" w:hAnsi="仿宋" w:eastAsia="仿宋" w:cs="仿宋"/>
                <w:color w:val="auto"/>
                <w:sz w:val="24"/>
                <w:highlight w:val="none"/>
              </w:rPr>
            </w:pPr>
            <w:bookmarkStart w:id="511" w:name="_GoBack"/>
            <w:r>
              <w:rPr>
                <w:rFonts w:hint="eastAsia" w:ascii="仿宋" w:hAnsi="仿宋" w:eastAsia="仿宋" w:cs="仿宋"/>
                <w:color w:val="auto"/>
                <w:sz w:val="24"/>
                <w:highlight w:val="none"/>
              </w:rPr>
              <w:t>服务质量评价</w:t>
            </w:r>
            <w:bookmarkEnd w:id="5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投标人具有有效期内的环境管理体系认证、职业健康安全管理体认证、质量管理体系认证、能源管理体系认证证书、信息安全管理体系认证证书，每提供一个得1分，最高得5分。</w:t>
            </w:r>
          </w:p>
          <w:p>
            <w:pPr>
              <w:snapToGrid w:val="0"/>
              <w:spacing w:line="276"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证明材料：提供证书复印件及国家认证认可业务信息统一查询平台（http：//www.cnca.gov.cn）的证书查询截图（含网址）并加盖公章，不提供不得分。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客观分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4</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总体服务方案：</w:t>
            </w:r>
            <w:r>
              <w:rPr>
                <w:rFonts w:hint="eastAsia" w:ascii="仿宋" w:hAnsi="仿宋" w:eastAsia="仿宋" w:cs="仿宋"/>
                <w:color w:val="auto"/>
                <w:sz w:val="24"/>
                <w:highlight w:val="none"/>
              </w:rPr>
              <w:t>根据项目特点及服务质量标准制定项目总体服务方案：1、管理服务理念；2、服务定位；3、目标责任；4、安全作业管理模式；5、确保服务和成品质量的各项措施；且科学合理，符合采购人需求又切实可行，依据以上5项方案是否符合、完善、全面、针对及可行分别进行评分，每项方案至多得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①方案符合采购方需求、详实、内容新颖、操作性强的得2分；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②方案合理、内容完整、可操作的给1分；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③方案粗糙、内容缺漏、操作性差的给0.5分。</w:t>
            </w:r>
          </w:p>
          <w:p>
            <w:pPr>
              <w:snapToGrid w:val="0"/>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④不提供不得分。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050" w:type="dxa"/>
            <w:vAlign w:val="center"/>
          </w:tcPr>
          <w:p>
            <w:pPr>
              <w:snapToGrid w:val="0"/>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总体服务方案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5</w:t>
            </w:r>
          </w:p>
        </w:tc>
        <w:tc>
          <w:tcPr>
            <w:tcW w:w="5744" w:type="dxa"/>
          </w:tcPr>
          <w:p>
            <w:pPr>
              <w:snapToGrid w:val="0"/>
              <w:spacing w:line="276"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管理方案：</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针对本项目有比较完善的管理机制及管理制度，清晰简练的管理流程，包括1、运作流程图、2、激励监督机制、3、自我约束机制、4、信息反馈渠道及处理机制、5、人员保障及流失人员补充方案，根据以上5项内容分别进行评分，每项方案至多得2分：</w:t>
            </w:r>
          </w:p>
          <w:p>
            <w:pPr>
              <w:snapToGrid w:val="0"/>
              <w:spacing w:line="276" w:lineRule="auto"/>
              <w:jc w:val="left"/>
              <w:rPr>
                <w:rFonts w:ascii="仿宋" w:hAnsi="仿宋" w:eastAsia="仿宋" w:cs="仿宋"/>
                <w:color w:val="auto"/>
                <w:sz w:val="24"/>
                <w:szCs w:val="40"/>
                <w:highlight w:val="none"/>
              </w:rPr>
            </w:pPr>
            <w:r>
              <w:rPr>
                <w:rFonts w:hint="eastAsia" w:ascii="仿宋" w:hAnsi="仿宋" w:eastAsia="仿宋" w:cs="仿宋"/>
                <w:color w:val="auto"/>
                <w:sz w:val="24"/>
                <w:szCs w:val="40"/>
                <w:highlight w:val="none"/>
              </w:rPr>
              <w:t>①方案符合采购方需求、详实、可操作性明确得2分；</w:t>
            </w:r>
          </w:p>
          <w:p>
            <w:pPr>
              <w:snapToGrid w:val="0"/>
              <w:spacing w:line="276" w:lineRule="auto"/>
              <w:jc w:val="left"/>
              <w:rPr>
                <w:rFonts w:ascii="仿宋" w:hAnsi="仿宋" w:eastAsia="仿宋" w:cs="仿宋"/>
                <w:color w:val="auto"/>
                <w:sz w:val="24"/>
                <w:szCs w:val="40"/>
                <w:highlight w:val="none"/>
              </w:rPr>
            </w:pPr>
            <w:r>
              <w:rPr>
                <w:rFonts w:hint="eastAsia" w:ascii="仿宋" w:hAnsi="仿宋" w:eastAsia="仿宋" w:cs="仿宋"/>
                <w:color w:val="auto"/>
                <w:sz w:val="24"/>
                <w:szCs w:val="40"/>
                <w:highlight w:val="none"/>
              </w:rPr>
              <w:t>②方案基本符合采购方需求、合理、内容完整给1分；</w:t>
            </w:r>
          </w:p>
          <w:p>
            <w:pPr>
              <w:snapToGrid w:val="0"/>
              <w:spacing w:line="276" w:lineRule="auto"/>
              <w:jc w:val="left"/>
              <w:rPr>
                <w:rFonts w:ascii="仿宋" w:hAnsi="仿宋" w:eastAsia="仿宋" w:cs="仿宋"/>
                <w:color w:val="auto"/>
                <w:sz w:val="24"/>
                <w:szCs w:val="40"/>
                <w:highlight w:val="none"/>
              </w:rPr>
            </w:pPr>
            <w:r>
              <w:rPr>
                <w:rFonts w:hint="eastAsia" w:ascii="仿宋" w:hAnsi="仿宋" w:eastAsia="仿宋" w:cs="仿宋"/>
                <w:color w:val="auto"/>
                <w:sz w:val="24"/>
                <w:szCs w:val="40"/>
                <w:highlight w:val="none"/>
              </w:rPr>
              <w:t>③方案粗糙、内容缺漏给0.5分；</w:t>
            </w:r>
          </w:p>
          <w:p>
            <w:pPr>
              <w:snapToGrid w:val="0"/>
              <w:spacing w:line="276" w:lineRule="auto"/>
              <w:jc w:val="left"/>
              <w:rPr>
                <w:rFonts w:ascii="仿宋" w:hAnsi="仿宋" w:eastAsia="仿宋" w:cs="仿宋"/>
                <w:color w:val="auto"/>
                <w:highlight w:val="none"/>
              </w:rPr>
            </w:pPr>
            <w:r>
              <w:rPr>
                <w:rFonts w:hint="eastAsia" w:ascii="仿宋" w:hAnsi="仿宋" w:eastAsia="仿宋" w:cs="仿宋"/>
                <w:color w:val="auto"/>
                <w:sz w:val="24"/>
                <w:szCs w:val="32"/>
                <w:highlight w:val="none"/>
              </w:rPr>
              <w:t>④不提供不得分。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b/>
                <w:bCs/>
                <w:color w:val="auto"/>
                <w:sz w:val="24"/>
                <w:highlight w:val="none"/>
              </w:rPr>
            </w:pPr>
            <w:r>
              <w:rPr>
                <w:rFonts w:ascii="仿宋" w:hAnsi="仿宋" w:eastAsia="仿宋" w:cs="仿宋"/>
                <w:b/>
                <w:bCs/>
                <w:color w:val="auto"/>
                <w:sz w:val="24"/>
                <w:highlight w:val="none"/>
              </w:rPr>
              <w:t>6</w:t>
            </w:r>
          </w:p>
        </w:tc>
        <w:tc>
          <w:tcPr>
            <w:tcW w:w="8757" w:type="dxa"/>
            <w:gridSpan w:val="4"/>
          </w:tcPr>
          <w:p>
            <w:pPr>
              <w:snapToGrid w:val="0"/>
              <w:spacing w:line="276"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具体服务方案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.1</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包括服务区域内的①日常清洁服务【电梯厅、通道、楼梯、卫生间、开水间、会议室、部分办公室及其他用房等】及大楼室外清洁等；②预防与灭治白蚁、消杀老鼠、蟑螂、蚊子、苍蝇等“四害”；③垃圾分类、清运；④做好建筑外观，大楼外墙清洗；⑤入室打扫，领导层室内清洁服务；⑥大楼专项清洁服务，⑦绿化养护方案等。</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①每项内容均符合采购人实际，且全面合理的得5分；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②不存在缺项的情况下有个别项内容存在欠缺但基本全面合理的得4分；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③大部分符合项目情况的得3分；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④小部分符合项目情况的得2分；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⑤不全面或不合理的得1分；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环境卫生保洁方案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.2</w:t>
            </w:r>
          </w:p>
        </w:tc>
        <w:tc>
          <w:tcPr>
            <w:tcW w:w="5744" w:type="dxa"/>
          </w:tcPr>
          <w:p>
            <w:pPr>
              <w:snapToGrid w:val="0"/>
              <w:spacing w:line="276"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工程设备维护服务方案：</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包括大楼电梯、供配电系统、空调系统、楼宇自动控制系统、安防系统、消防监控系统、生活供水系统的运行管理以及大楼的水电、门窗、零星油漆、办公桌椅、办公室橱柜的日常维护与修理等。</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②方案详细且与采购需求相适应的得4分；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③方案详细且与采购需求较适应，但存在不足的得3分；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工程设备维护服务方案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.3</w:t>
            </w:r>
          </w:p>
        </w:tc>
        <w:tc>
          <w:tcPr>
            <w:tcW w:w="5744" w:type="dxa"/>
          </w:tcPr>
          <w:p>
            <w:pPr>
              <w:snapToGrid w:val="0"/>
              <w:spacing w:line="276"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会议会务服务方案（包括会务服务工作细则及服务工作计划等）：</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②方案详细且与采购需求相适应的得4分；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③方案详细且与采购需求较适应，但存在不足的得3分；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会议会务服务方案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7</w:t>
            </w:r>
          </w:p>
        </w:tc>
        <w:tc>
          <w:tcPr>
            <w:tcW w:w="5744" w:type="dxa"/>
          </w:tcPr>
          <w:p>
            <w:pPr>
              <w:snapToGrid w:val="0"/>
              <w:spacing w:line="276"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保密服务措施方案：</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投标人应针对招标人及本项目特征制定相应的保密服务措施方案。</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w:t>
            </w:r>
            <w:r>
              <w:rPr>
                <w:rFonts w:ascii="仿宋" w:hAnsi="仿宋" w:eastAsia="仿宋" w:cs="仿宋"/>
                <w:color w:val="auto"/>
                <w:sz w:val="24"/>
                <w:highlight w:val="none"/>
              </w:rPr>
              <w:t>6</w:t>
            </w:r>
            <w:r>
              <w:rPr>
                <w:rFonts w:hint="eastAsia" w:ascii="仿宋" w:hAnsi="仿宋" w:eastAsia="仿宋" w:cs="仿宋"/>
                <w:color w:val="auto"/>
                <w:sz w:val="24"/>
                <w:highlight w:val="none"/>
              </w:rPr>
              <w:t>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②方案全面合理且具有可操作性，与采购需求基本相适应的得</w:t>
            </w:r>
            <w:r>
              <w:rPr>
                <w:rFonts w:ascii="仿宋" w:hAnsi="仿宋" w:eastAsia="仿宋" w:cs="仿宋"/>
                <w:color w:val="auto"/>
                <w:sz w:val="24"/>
                <w:highlight w:val="none"/>
              </w:rPr>
              <w:t>6</w:t>
            </w:r>
            <w:r>
              <w:rPr>
                <w:rFonts w:hint="eastAsia" w:ascii="仿宋" w:hAnsi="仿宋" w:eastAsia="仿宋" w:cs="仿宋"/>
                <w:color w:val="auto"/>
                <w:sz w:val="24"/>
                <w:highlight w:val="none"/>
              </w:rPr>
              <w:t>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③方案详细且与采购需求相适应的得4分；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④方案详细且与采购需求较适应，但存在不足的得3分；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⑤方案存在缺项的得2分；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⑥方案与采购需求不适应的得1分；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⑦未提供的得0分。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6</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保密服务措施方案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8</w:t>
            </w:r>
          </w:p>
        </w:tc>
        <w:tc>
          <w:tcPr>
            <w:tcW w:w="5744" w:type="dxa"/>
          </w:tcPr>
          <w:p>
            <w:pPr>
              <w:snapToGrid w:val="0"/>
              <w:spacing w:line="276"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档案管理方案：</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投标人应有较完善的管理档案制度，制度内容至少包括：人员档案、配套设施及设备清册、会务接待管理、日常管理档案等。</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①方案全面合理且可操作性强，与采购需求完全相适应，并能提供档案室、档案架、档案目录照片的得5分；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②方案详细且与采购需求相适应的得4分；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③方案详细且与采购需求较适应，但存在不足的得3分；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档案管理方案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9</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投标人投入的与本次采购服务需求相关的设备情况，是否合理、切合实际且能满足本项目服务要求。</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②方案详细且与采购需求相适应的得4分；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③方案详细且与采购需求较适应，但存在不足的得3分；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10</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根据本项目人员配置的各部门、各岗位人员制定培训计划，包括岗前培训和在岗培训，管理人员培训计划等，</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②方案详细且与采购需求相适应的得4分；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③方案详细且与采购需求较适应，但存在不足的得3分；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11</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对突发事件（包括发生台风、暴雨等灾害性天气及其突发事件）时的应急预案及相应的措施，依据应急预案进行分档评分：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①方案详实、内容新颖、操作性强的给5分；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②方案详实、内容完整、操作性较强的给4分；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③方案合理、内容完整、可操作的给3分；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④方案较合理、内容较完整、可操作的给2分；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⑤方案粗糙、内容缺漏、操作性差的给1分；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⑥不提供不得分。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12</w:t>
            </w:r>
          </w:p>
        </w:tc>
        <w:tc>
          <w:tcPr>
            <w:tcW w:w="8757" w:type="dxa"/>
            <w:gridSpan w:val="4"/>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人员配置方案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2</w:t>
            </w:r>
            <w:r>
              <w:rPr>
                <w:rFonts w:hint="eastAsia" w:ascii="仿宋" w:hAnsi="仿宋" w:eastAsia="仿宋" w:cs="仿宋"/>
                <w:color w:val="auto"/>
                <w:sz w:val="24"/>
                <w:highlight w:val="none"/>
              </w:rPr>
              <w:t>.1</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项目经理（管理人员）：</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（1）55周岁及以下且具有大专及以上学历得1分；</w:t>
            </w:r>
          </w:p>
          <w:p>
            <w:pPr>
              <w:numPr>
                <w:ilvl w:val="0"/>
                <w:numId w:val="2"/>
              </w:num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项目经理具有5年及以上类似服务项目管理经验得1分；</w:t>
            </w:r>
          </w:p>
          <w:p>
            <w:pPr>
              <w:numPr>
                <w:ilvl w:val="0"/>
                <w:numId w:val="2"/>
              </w:num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具有物业管理师证书或物业行业项目经理职业资格证书得1分。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（4）具有建（构）筑消防员证书得1分。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证明材料：提供有效的学历、资格证书复制件、在投标单位的在职证明（社保缴纳凭证等）以及管理经验证明材料（能体现项目经理信息的项目合同复制件）。</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2</w:t>
            </w:r>
            <w:r>
              <w:rPr>
                <w:rFonts w:hint="eastAsia" w:ascii="仿宋" w:hAnsi="仿宋" w:eastAsia="仿宋" w:cs="仿宋"/>
                <w:color w:val="auto"/>
                <w:sz w:val="24"/>
                <w:highlight w:val="none"/>
              </w:rPr>
              <w:t>.2</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保洁及绿化养护主管：</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（1）50周岁及以下且具有大专及以上学历得1分；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（2）具有有害生物防治</w:t>
            </w:r>
            <w:r>
              <w:rPr>
                <w:rFonts w:hint="eastAsia" w:ascii="仿宋" w:hAnsi="仿宋" w:eastAsia="仿宋" w:cs="仿宋"/>
                <w:color w:val="auto"/>
                <w:sz w:val="24"/>
                <w:highlight w:val="none"/>
                <w:lang w:val="en-US" w:eastAsia="zh-CN"/>
              </w:rPr>
              <w:t>证</w:t>
            </w:r>
            <w:r>
              <w:rPr>
                <w:rFonts w:hint="eastAsia" w:ascii="仿宋" w:hAnsi="仿宋" w:eastAsia="仿宋" w:cs="仿宋"/>
                <w:color w:val="auto"/>
                <w:sz w:val="24"/>
                <w:highlight w:val="none"/>
              </w:rPr>
              <w:t>的得1分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（2）具有5年及以上类似服务项目管理经验得1分；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（3）具有建（构）筑消防员证书得1分。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证明材料：提供有效的学历、资格证书复制件、在投标单位的在职证明（社保缴纳凭证等）以及管理经验证明材料（能体现人员管理经验信息的项目合同复制件）。</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2</w:t>
            </w:r>
            <w:r>
              <w:rPr>
                <w:rFonts w:hint="eastAsia" w:ascii="仿宋" w:hAnsi="仿宋" w:eastAsia="仿宋" w:cs="仿宋"/>
                <w:color w:val="auto"/>
                <w:sz w:val="24"/>
                <w:highlight w:val="none"/>
              </w:rPr>
              <w:t>.3</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工程设备维护主管：</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（1）50周岁及以下且具有大专及以上学历得1分；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（2）持有高压电工作业证及低压电工作业证得1分；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（3）持有特种设备安全管理与作业人员证书得1分；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（4）持有建（构）筑消防员五级及以上证书得1分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证明材料：提供有效的学历、资格证书复制件、在投标单位的在职证明（社保缴纳凭证等）</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2</w:t>
            </w:r>
            <w:r>
              <w:rPr>
                <w:rFonts w:hint="eastAsia" w:ascii="仿宋" w:hAnsi="仿宋" w:eastAsia="仿宋" w:cs="仿宋"/>
                <w:color w:val="auto"/>
                <w:sz w:val="24"/>
                <w:highlight w:val="none"/>
              </w:rPr>
              <w:t>.4</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会务团队（2人）：</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（1）会务人员35周岁及以下得0.5分。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（2）会务人员具有大专及以上学历得0.5分。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）会务人员具有3年以上从事会务接待相关经验和具有大型会务接待相关经验的得1分。（需提供工作证明材料）</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）根据项目属性，本次拟派的服务团队成员具有政务会议接待保障的经验的，提供案例会议接待通知、流程及会议现场照片等资料。每个得1分，最高得2分。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证明材料：提供有效的证书复制件、在投标单位的在职证明（社保缴纳凭证等）以及服务经验证明材料（提供案例会议接待通知等资料，并附投标人关于该次会议服务人员的说明）。</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ascii="仿宋" w:hAnsi="仿宋" w:eastAsia="仿宋" w:cs="仿宋"/>
                <w:color w:val="auto"/>
                <w:sz w:val="24"/>
                <w:highlight w:val="none"/>
              </w:rPr>
              <w:t>4</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5744" w:type="dxa"/>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项目交接方案：</w:t>
            </w:r>
            <w:r>
              <w:rPr>
                <w:rFonts w:hint="eastAsia" w:ascii="仿宋" w:hAnsi="仿宋" w:eastAsia="仿宋" w:cs="仿宋"/>
                <w:color w:val="auto"/>
                <w:sz w:val="24"/>
                <w:highlight w:val="none"/>
              </w:rPr>
              <w:t>投标人根据本项目的实际情况，提出合理的可操作性的项目进场接管方案确保项目平稳过度。针对投标人提供的方案是否符合采购人的需求进行评审。</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②方案详细且与采购需求相适应的得4分；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③方案详细且与采购需求较适应，但存在不足的得3分；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67"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50"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96" w:type="dxa"/>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项目交接方案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napToGrid w:val="0"/>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5744" w:type="dxa"/>
          </w:tcPr>
          <w:p>
            <w:pPr>
              <w:spacing w:line="276" w:lineRule="auto"/>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有效投标报价的最低价作为评标基准价，其最低报价为满分；按［投标报价得分=（评标基准价/投标报价）*10］的计算公式计算。</w:t>
            </w:r>
          </w:p>
          <w:p>
            <w:pPr>
              <w:widowControl/>
              <w:shd w:val="clear" w:color="auto" w:fill="FFFFFF"/>
              <w:adjustRightInd/>
              <w:spacing w:after="225" w:line="276"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widowControl/>
              <w:shd w:val="clear" w:color="auto" w:fill="FFFFFF"/>
              <w:adjustRightInd/>
              <w:spacing w:after="225" w:line="276"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67" w:type="dxa"/>
            <w:vAlign w:val="center"/>
          </w:tcPr>
          <w:p>
            <w:pPr>
              <w:spacing w:line="276"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050" w:type="dxa"/>
            <w:vAlign w:val="center"/>
          </w:tcPr>
          <w:p>
            <w:pPr>
              <w:spacing w:line="276"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96" w:type="dxa"/>
            <w:vAlign w:val="center"/>
          </w:tcPr>
          <w:p>
            <w:pPr>
              <w:spacing w:line="276"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pPr>
        <w:snapToGrid w:val="0"/>
        <w:spacing w:line="360" w:lineRule="auto"/>
        <w:rPr>
          <w:rFonts w:ascii="仿宋" w:hAnsi="仿宋" w:eastAsia="仿宋" w:cs="仿宋"/>
          <w:b/>
          <w:color w:val="auto"/>
          <w:sz w:val="24"/>
        </w:rPr>
      </w:pPr>
      <w:r>
        <w:rPr>
          <w:rFonts w:hint="eastAsia" w:ascii="仿宋" w:hAnsi="仿宋" w:eastAsia="仿宋" w:cs="仿宋"/>
          <w:color w:val="auto"/>
          <w:sz w:val="20"/>
          <w:szCs w:val="20"/>
          <w:shd w:val="clear" w:color="auto" w:fill="FFFFFF"/>
        </w:rPr>
        <w:t>*</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w:t>
      </w:r>
    </w:p>
    <w:p>
      <w:pPr>
        <w:snapToGrid w:val="0"/>
        <w:spacing w:line="360" w:lineRule="auto"/>
        <w:rPr>
          <w:rFonts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rPr>
      </w:pPr>
      <w:r>
        <w:rPr>
          <w:rFonts w:hint="eastAsia" w:ascii="仿宋" w:eastAsia="仿宋" w:cs="仿宋"/>
          <w:color w:val="auto"/>
          <w:kern w:val="0"/>
          <w:sz w:val="24"/>
        </w:rPr>
        <w:t>4.2.13投标文件不满足招标文件的其它实质性要求的；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6"/>
        <w:snapToGrid w:val="0"/>
        <w:spacing w:line="360" w:lineRule="auto"/>
        <w:rPr>
          <w:rFonts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5.2出现影响采购公正的违法、违规行为的；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5.4因重大变故，采购任务取消的。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废标后，采购代理机构应当将废标理由通知所有投标人。</w:t>
      </w:r>
    </w:p>
    <w:p>
      <w:pPr>
        <w:pStyle w:val="26"/>
        <w:snapToGrid w:val="0"/>
        <w:spacing w:line="360" w:lineRule="auto"/>
        <w:ind w:firstLine="590" w:firstLineChars="245"/>
        <w:rPr>
          <w:rFonts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6"/>
        <w:snapToGrid w:val="0"/>
        <w:spacing w:line="360" w:lineRule="auto"/>
        <w:rPr>
          <w:rFonts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6"/>
        <w:snapToGrid w:val="0"/>
        <w:spacing w:line="360" w:lineRule="auto"/>
        <w:rPr>
          <w:rFonts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bookmarkStart w:id="389" w:name="_Toc86217003"/>
    </w:p>
    <w:p>
      <w:pPr>
        <w:spacing w:line="360" w:lineRule="auto"/>
        <w:ind w:left="720" w:leftChars="343" w:firstLine="1084" w:firstLineChars="300"/>
        <w:outlineLvl w:val="0"/>
        <w:rPr>
          <w:rFonts w:ascii="仿宋" w:hAnsi="仿宋" w:eastAsia="仿宋" w:cs="仿宋"/>
          <w:b/>
          <w:color w:val="auto"/>
          <w:sz w:val="36"/>
          <w:szCs w:val="36"/>
        </w:rPr>
        <w:sectPr>
          <w:pgSz w:w="11907" w:h="16840"/>
          <w:pgMar w:top="1474" w:right="1814" w:bottom="1474" w:left="1814" w:header="851" w:footer="851" w:gutter="0"/>
          <w:cols w:space="720" w:num="1"/>
        </w:sectPr>
      </w:pPr>
    </w:p>
    <w:p>
      <w:pPr>
        <w:spacing w:line="360" w:lineRule="auto"/>
        <w:ind w:left="720" w:leftChars="343" w:firstLine="1084" w:firstLineChars="300"/>
        <w:outlineLvl w:val="0"/>
        <w:rPr>
          <w:rFonts w:ascii="仿宋" w:hAnsi="仿宋" w:eastAsia="仿宋" w:cs="仿宋"/>
          <w:b/>
          <w:color w:val="auto"/>
          <w:sz w:val="36"/>
          <w:szCs w:val="36"/>
        </w:rPr>
      </w:pPr>
      <w:r>
        <w:rPr>
          <w:rFonts w:hint="eastAsia" w:ascii="仿宋" w:hAnsi="仿宋" w:eastAsia="仿宋" w:cs="仿宋"/>
          <w:b/>
          <w:color w:val="auto"/>
          <w:sz w:val="36"/>
          <w:szCs w:val="36"/>
        </w:rPr>
        <w:t xml:space="preserve">第五部分 </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拟签订的合同文本</w:t>
      </w:r>
    </w:p>
    <w:p>
      <w:pPr>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pPr>
        <w:pStyle w:val="701"/>
        <w:ind w:firstLine="2843" w:firstLineChars="1180"/>
        <w:rPr>
          <w:rFonts w:ascii="仿宋" w:hAnsi="仿宋" w:eastAsia="仿宋" w:cs="仿宋"/>
          <w:b/>
          <w:color w:val="auto"/>
          <w:szCs w:val="24"/>
        </w:rPr>
      </w:pPr>
      <w:r>
        <w:rPr>
          <w:rFonts w:hint="eastAsia" w:ascii="仿宋" w:hAnsi="仿宋" w:eastAsia="仿宋" w:cs="仿宋"/>
          <w:b/>
          <w:color w:val="auto"/>
          <w:szCs w:val="24"/>
        </w:rPr>
        <w:t>第一部分 合同书</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杭州市公安局上城区分局综合服务管理项目 </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杭州市公安局上城区分局         </w:t>
      </w: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杭州市上城区候潮东路175号      </w:t>
      </w:r>
    </w:p>
    <w:p>
      <w:pPr>
        <w:spacing w:line="480" w:lineRule="auto"/>
        <w:jc w:val="center"/>
        <w:rPr>
          <w:rFonts w:ascii="仿宋" w:hAnsi="仿宋" w:eastAsia="仿宋" w:cs="仿宋"/>
          <w:b/>
          <w:color w:val="auto"/>
          <w:sz w:val="24"/>
        </w:rPr>
      </w:pPr>
    </w:p>
    <w:p>
      <w:pPr>
        <w:spacing w:before="120" w:line="22" w:lineRule="atLeast"/>
        <w:ind w:firstLine="960" w:firstLineChars="400"/>
        <w:rPr>
          <w:rFonts w:ascii="仿宋" w:hAnsi="仿宋" w:eastAsia="仿宋" w:cs="仿宋"/>
          <w:color w:val="auto"/>
          <w:sz w:val="24"/>
          <w:u w:val="single"/>
        </w:rPr>
        <w:sectPr>
          <w:pgSz w:w="11907" w:h="16840"/>
          <w:pgMar w:top="1474" w:right="1814" w:bottom="1474" w:left="1814" w:header="851" w:footer="851" w:gutter="0"/>
          <w:cols w:space="720" w:num="1"/>
        </w:sect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2024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u w:val="single"/>
        </w:rPr>
        <w:t>2024</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杭州市公安局上城区分局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杭州市公安局上城区分局综合服务管理项目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杭州市公安局上城区分局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ascii="仿宋" w:hAnsi="仿宋" w:eastAsia="仿宋" w:cs="仿宋"/>
          <w:color w:val="auto"/>
          <w:sz w:val="24"/>
        </w:rPr>
      </w:pPr>
      <w:bookmarkStart w:id="390" w:name="_Toc20421"/>
      <w:bookmarkStart w:id="391" w:name="_Toc28855"/>
      <w:bookmarkStart w:id="392" w:name="_Toc22967"/>
      <w:bookmarkStart w:id="393" w:name="_Toc15367"/>
      <w:bookmarkStart w:id="394" w:name="_Toc19273"/>
      <w:r>
        <w:rPr>
          <w:rFonts w:hint="eastAsia" w:ascii="仿宋" w:hAnsi="仿宋" w:eastAsia="仿宋" w:cs="仿宋"/>
          <w:b/>
          <w:color w:val="auto"/>
          <w:sz w:val="24"/>
        </w:rPr>
        <w:t>1.1合同组成部分</w:t>
      </w:r>
      <w:bookmarkEnd w:id="390"/>
      <w:bookmarkEnd w:id="391"/>
      <w:bookmarkEnd w:id="392"/>
      <w:bookmarkEnd w:id="393"/>
      <w:bookmarkEnd w:id="39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1.1.1本合同及其补充合同、变更协议；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1.1.2中标或者成交通知书；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1.1.3投标或者响应文件（含澄清或者说明文件）；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1.1.4采购文件（含澄清或者修改文件）；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1.1.5其他相关采购文件。</w:t>
      </w:r>
    </w:p>
    <w:p>
      <w:pPr>
        <w:spacing w:line="560" w:lineRule="exact"/>
        <w:ind w:firstLine="482" w:firstLineChars="200"/>
        <w:outlineLvl w:val="0"/>
        <w:rPr>
          <w:rFonts w:ascii="仿宋" w:hAnsi="仿宋" w:eastAsia="仿宋" w:cs="仿宋"/>
          <w:b/>
          <w:color w:val="auto"/>
          <w:sz w:val="24"/>
        </w:rPr>
      </w:pPr>
      <w:bookmarkStart w:id="395" w:name="_Toc2918"/>
      <w:bookmarkStart w:id="396" w:name="_Toc18585"/>
      <w:bookmarkStart w:id="397" w:name="_Toc6773"/>
      <w:bookmarkStart w:id="398" w:name="_Toc22185"/>
      <w:bookmarkStart w:id="399" w:name="_Toc6311"/>
      <w:r>
        <w:rPr>
          <w:rFonts w:hint="eastAsia" w:ascii="仿宋" w:hAnsi="仿宋" w:eastAsia="仿宋" w:cs="仿宋"/>
          <w:b/>
          <w:color w:val="auto"/>
          <w:sz w:val="24"/>
        </w:rPr>
        <w:t>1.2标的</w:t>
      </w:r>
      <w:bookmarkEnd w:id="395"/>
      <w:bookmarkEnd w:id="396"/>
      <w:bookmarkEnd w:id="397"/>
      <w:bookmarkEnd w:id="398"/>
      <w:bookmarkEnd w:id="399"/>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1.2.1服务内容：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1.2.2服务标准：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1.2.3技术保障：</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1.2.4服务人员组成：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1.2.5合同</w:t>
      </w:r>
      <w:r>
        <w:rPr>
          <w:rFonts w:hint="eastAsia" w:ascii="仿宋" w:hAnsi="仿宋" w:eastAsia="仿宋" w:cs="仿宋"/>
          <w:color w:val="auto"/>
          <w:sz w:val="24"/>
          <w:u w:val="single"/>
        </w:rPr>
        <w:t xml:space="preserve"> 否 </w:t>
      </w:r>
      <w:r>
        <w:rPr>
          <w:rFonts w:hint="eastAsia" w:ascii="仿宋" w:hAnsi="仿宋" w:eastAsia="仿宋" w:cs="仿宋"/>
          <w:color w:val="auto"/>
          <w:sz w:val="24"/>
        </w:rPr>
        <w:t>（是/否）涉及货物。</w:t>
      </w:r>
      <w:bookmarkStart w:id="400" w:name="_Toc4929"/>
      <w:bookmarkStart w:id="401" w:name="_Toc5635"/>
      <w:bookmarkStart w:id="402" w:name="_Toc21124"/>
      <w:bookmarkStart w:id="403" w:name="_Toc1386"/>
      <w:bookmarkStart w:id="404" w:name="_Toc13918"/>
    </w:p>
    <w:p>
      <w:pPr>
        <w:spacing w:line="560" w:lineRule="exact"/>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1.3价款</w:t>
      </w:r>
      <w:bookmarkEnd w:id="400"/>
      <w:bookmarkEnd w:id="401"/>
      <w:bookmarkEnd w:id="402"/>
      <w:bookmarkEnd w:id="403"/>
      <w:bookmarkEnd w:id="40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1.3.1 </w:t>
      </w:r>
      <w:r>
        <w:rPr>
          <w:rFonts w:hint="eastAsia" w:ascii="仿宋" w:hAnsi="仿宋" w:eastAsia="仿宋" w:cs="仿宋"/>
          <w:color w:val="auto"/>
          <w:sz w:val="24"/>
        </w:rPr>
        <w:t>条款规定的计价方式计价。</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pPr>
              <w:pStyle w:val="319"/>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bl>
    <w:p>
      <w:pPr>
        <w:spacing w:line="560" w:lineRule="exact"/>
        <w:ind w:firstLine="480" w:firstLineChars="200"/>
        <w:rPr>
          <w:rFonts w:ascii="仿宋" w:hAnsi="仿宋" w:eastAsia="仿宋" w:cs="仿宋"/>
          <w:color w:val="auto"/>
          <w:sz w:val="24"/>
        </w:rPr>
      </w:pPr>
      <w:bookmarkStart w:id="405" w:name="_Toc14993"/>
      <w:bookmarkStart w:id="406" w:name="_Toc26916"/>
      <w:bookmarkStart w:id="407" w:name="_Toc30506"/>
      <w:bookmarkStart w:id="408" w:name="_Toc30158"/>
      <w:bookmarkStart w:id="409" w:name="_Toc3654"/>
      <w:r>
        <w:rPr>
          <w:rFonts w:hint="eastAsia" w:ascii="仿宋" w:hAnsi="仿宋" w:eastAsia="仿宋" w:cs="仿宋"/>
          <w:bCs/>
          <w:color w:val="auto"/>
          <w:sz w:val="24"/>
        </w:rPr>
        <w:t>1.3.2单价合同</w:t>
      </w:r>
      <w:r>
        <w:rPr>
          <w:rFonts w:hint="eastAsia" w:ascii="仿宋" w:eastAsia="仿宋" w:cs="仿宋"/>
          <w:color w:val="auto"/>
          <w:sz w:val="24"/>
        </w:rPr>
        <w:t>：</w:t>
      </w:r>
      <w:r>
        <w:rPr>
          <w:rFonts w:hint="eastAsia" w:ascii="仿宋" w:eastAsia="仿宋" w:cs="仿宋"/>
          <w:color w:val="auto"/>
          <w:sz w:val="24"/>
          <w:u w:val="single"/>
        </w:rPr>
        <w:t xml:space="preserve"> / </w:t>
      </w:r>
      <w:r>
        <w:rPr>
          <w:rFonts w:hint="eastAsia" w:asci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eastAsia="仿宋" w:cs="仿宋"/>
          <w:color w:val="auto"/>
          <w:sz w:val="24"/>
        </w:rPr>
        <w:t>1.3.3其他计价方式：</w:t>
      </w:r>
      <w:r>
        <w:rPr>
          <w:rFonts w:hint="eastAsia" w:ascii="仿宋" w:eastAsia="仿宋" w:cs="仿宋"/>
          <w:color w:val="auto"/>
          <w:sz w:val="24"/>
          <w:u w:val="single"/>
        </w:rPr>
        <w:t xml:space="preserve"> / </w:t>
      </w:r>
      <w:r>
        <w:rPr>
          <w:rFonts w:hint="eastAsia" w:ascii="仿宋" w:eastAsia="仿宋" w:cs="仿宋"/>
          <w:color w:val="auto"/>
          <w:sz w:val="24"/>
        </w:rPr>
        <w:t>。</w:t>
      </w:r>
    </w:p>
    <w:bookmarkEnd w:id="405"/>
    <w:bookmarkEnd w:id="406"/>
    <w:bookmarkEnd w:id="407"/>
    <w:bookmarkEnd w:id="408"/>
    <w:bookmarkEnd w:id="409"/>
    <w:p>
      <w:pPr>
        <w:pStyle w:val="959"/>
        <w:spacing w:before="0" w:beforeAutospacing="0" w:after="0" w:afterAutospacing="0" w:line="360" w:lineRule="auto"/>
        <w:ind w:firstLine="480"/>
        <w:rPr>
          <w:rFonts w:ascii="仿宋" w:hAnsi="仿宋" w:eastAsia="仿宋" w:cs="仿宋"/>
          <w:b/>
          <w:color w:val="auto"/>
        </w:rPr>
      </w:pPr>
      <w:bookmarkStart w:id="410" w:name="_Toc10340"/>
      <w:bookmarkStart w:id="411" w:name="_Toc1814"/>
      <w:bookmarkStart w:id="412" w:name="_Toc22618"/>
      <w:bookmarkStart w:id="413" w:name="_Toc3625"/>
      <w:bookmarkStart w:id="414" w:name="_Toc8772"/>
      <w:bookmarkStart w:id="415" w:name="_Toc31421"/>
      <w:bookmarkStart w:id="416" w:name="_Toc11108"/>
      <w:bookmarkStart w:id="417" w:name="_Toc4760"/>
      <w:r>
        <w:rPr>
          <w:rFonts w:hint="eastAsia" w:ascii="仿宋" w:hAnsi="仿宋" w:eastAsia="仿宋" w:cs="仿宋"/>
          <w:b/>
          <w:color w:val="auto"/>
        </w:rPr>
        <w:t>1.4履约保证金</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否 </w:t>
      </w:r>
      <w:r>
        <w:rPr>
          <w:rFonts w:hint="eastAsia" w:ascii="仿宋" w:hAnsi="仿宋" w:eastAsia="仿宋" w:cs="仿宋"/>
          <w:color w:val="auto"/>
        </w:rPr>
        <w:t>（是/否）需要支付履约保证金。若需要支付履约保证金的，则：</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1.4.1履约保证金的比例为合同金额的</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1.4.2履约保证金支付方式详见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eastAsia="仿宋" w:cs="仿宋"/>
          <w:color w:val="auto"/>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仿宋" w:hAnsi="仿宋" w:eastAsia="仿宋" w:cs="仿宋"/>
          <w:color w:val="auto"/>
        </w:rPr>
        <w:t>1.4.4甲方在项目验收结束后及时退还履约保证金。甲方在项目通过验收之日起</w:t>
      </w:r>
      <w:r>
        <w:rPr>
          <w:rFonts w:hint="eastAsia" w:ascii="仿宋" w:hAnsi="仿宋" w:eastAsia="仿宋" w:cs="仿宋"/>
          <w:color w:val="auto"/>
          <w:u w:val="single"/>
        </w:rPr>
        <w:t xml:space="preserve">      </w:t>
      </w:r>
      <w:r>
        <w:rPr>
          <w:rFonts w:hint="eastAsia" w:ascii="仿宋" w:hAnsi="仿宋" w:eastAsia="仿宋" w:cs="仿宋"/>
          <w:color w:val="auto"/>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u w:val="single"/>
        </w:rPr>
        <w:t xml:space="preserve">  0.05（可根据情况修改）  </w:t>
      </w:r>
      <w:r>
        <w:rPr>
          <w:rFonts w:hint="eastAsia" w:ascii="仿宋" w:hAnsi="仿宋" w:eastAsia="仿宋" w:cs="仿宋"/>
          <w:color w:val="auto"/>
        </w:rPr>
        <w:t>%计算，最高限额为本合同履约保证金的</w:t>
      </w:r>
      <w:r>
        <w:rPr>
          <w:rFonts w:hint="eastAsia" w:ascii="仿宋" w:hAnsi="仿宋" w:eastAsia="仿宋" w:cs="仿宋"/>
          <w:color w:val="auto"/>
          <w:u w:val="single"/>
        </w:rPr>
        <w:t xml:space="preserve">  20  </w:t>
      </w:r>
      <w:r>
        <w:rPr>
          <w:rFonts w:hint="eastAsia" w:ascii="仿宋" w:hAnsi="仿宋" w:eastAsia="仿宋" w:cs="仿宋"/>
          <w:color w:val="auto"/>
        </w:rPr>
        <w:t>%。</w:t>
      </w:r>
    </w:p>
    <w:p>
      <w:pPr>
        <w:spacing w:line="560" w:lineRule="exact"/>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1.5</w:t>
      </w:r>
      <w:bookmarkEnd w:id="410"/>
      <w:bookmarkEnd w:id="411"/>
      <w:bookmarkEnd w:id="412"/>
      <w:r>
        <w:rPr>
          <w:rFonts w:hint="eastAsia" w:ascii="仿宋" w:hAnsi="仿宋" w:eastAsia="仿宋" w:cs="仿宋"/>
          <w:b/>
          <w:color w:val="auto"/>
          <w:sz w:val="24"/>
        </w:rPr>
        <w:t>预付款</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否 </w:t>
      </w:r>
      <w:r>
        <w:rPr>
          <w:rFonts w:hint="eastAsia" w:ascii="仿宋" w:hAnsi="仿宋" w:eastAsia="仿宋" w:cs="仿宋"/>
          <w:color w:val="auto"/>
        </w:rPr>
        <w:t>（是/否）需要支付预付款。若需要支付预付款的，则：</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1.5.1预付款比例、支付方式、时间详见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bCs/>
          <w:color w:val="auto"/>
        </w:rPr>
      </w:pPr>
      <w:r>
        <w:rPr>
          <w:rFonts w:hint="eastAsia" w:ascii="仿宋" w:hAnsi="仿宋" w:eastAsia="仿宋" w:cs="仿宋"/>
          <w:b/>
          <w:bCs/>
          <w:color w:val="auto"/>
        </w:rPr>
        <w:t>1.6资金支付</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1.6.2资金支付的方式、时间和条件详见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1.7履行期限、地点和方式</w:t>
      </w:r>
      <w:bookmarkEnd w:id="413"/>
      <w:bookmarkEnd w:id="414"/>
      <w:bookmarkEnd w:id="415"/>
      <w:bookmarkEnd w:id="416"/>
      <w:bookmarkEnd w:id="417"/>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1.7.1服务交付（实施）的时间（期限）：</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1.7.2服务交付（实施）的地点（地域范围）：</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1.7.3服务交付（实施）的方式：</w:t>
      </w:r>
      <w:r>
        <w:rPr>
          <w:rFonts w:hint="eastAsia" w:ascii="仿宋" w:hAnsi="仿宋" w:eastAsia="仿宋" w:cs="仿宋"/>
          <w:b/>
          <w:i/>
          <w:color w:val="auto"/>
          <w:u w:val="single"/>
        </w:rPr>
        <w:t>合同专用条款</w:t>
      </w:r>
      <w:r>
        <w:rPr>
          <w:rFonts w:hint="eastAsia" w:ascii="仿宋" w:hAnsi="仿宋" w:eastAsia="仿宋" w:cs="仿宋"/>
          <w:color w:val="auto"/>
        </w:rPr>
        <w:t>。</w:t>
      </w:r>
      <w:bookmarkStart w:id="418" w:name="_Toc5698"/>
      <w:bookmarkStart w:id="419" w:name="_Toc2375"/>
      <w:bookmarkStart w:id="420" w:name="_Toc24662"/>
      <w:bookmarkStart w:id="421" w:name="_Toc3079"/>
      <w:bookmarkStart w:id="422" w:name="_Toc8586"/>
    </w:p>
    <w:p>
      <w:pPr>
        <w:pStyle w:val="959"/>
        <w:spacing w:before="0" w:beforeAutospacing="0" w:after="0" w:afterAutospacing="0" w:line="360" w:lineRule="auto"/>
        <w:ind w:firstLine="480"/>
        <w:rPr>
          <w:rFonts w:ascii="仿宋" w:hAnsi="仿宋" w:eastAsia="仿宋" w:cs="仿宋"/>
          <w:bCs/>
          <w:color w:val="auto"/>
        </w:rPr>
      </w:pPr>
      <w:r>
        <w:rPr>
          <w:rFonts w:hint="eastAsia" w:ascii="仿宋" w:hAnsi="仿宋" w:eastAsia="仿宋" w:cs="仿宋"/>
          <w:bCs/>
          <w:color w:val="auto"/>
        </w:rPr>
        <w:t>1.7.4若服务涉及货物的，则货物的：</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1.7.4.1交付期限：详见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1.7.4.2交付地点：</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1.7.4.3交付方式：</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1.8违约责任</w:t>
      </w:r>
      <w:bookmarkEnd w:id="418"/>
      <w:bookmarkEnd w:id="419"/>
      <w:bookmarkEnd w:id="420"/>
      <w:bookmarkEnd w:id="421"/>
      <w:bookmarkEnd w:id="422"/>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u w:val="single"/>
        </w:rPr>
        <w:t xml:space="preserve">0.05 </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 20 </w:t>
      </w:r>
      <w:r>
        <w:rPr>
          <w:rFonts w:hint="eastAsia" w:ascii="仿宋" w:hAnsi="仿宋" w:eastAsia="仿宋" w:cs="仿宋"/>
          <w:color w:val="auto"/>
        </w:rPr>
        <w:t>%；迟延履行的违约金计算数额达到前述最高限额之日起，甲方有权在要求乙方支付违约金的同时，书面通知乙方解除本合同；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eastAsia="仿宋" w:cs="仿宋"/>
          <w:color w:val="auto"/>
        </w:rPr>
      </w:pPr>
      <w:r>
        <w:rPr>
          <w:rFonts w:hint="eastAsia" w:ascii="仿宋" w:eastAsia="仿宋" w:cs="仿宋"/>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color w:val="auto"/>
          <w:u w:val="single"/>
        </w:rPr>
        <w:t xml:space="preserve">  0.05（可根据情况修改）  </w:t>
      </w:r>
      <w:r>
        <w:rPr>
          <w:rFonts w:hint="eastAsia" w:ascii="仿宋" w:eastAsia="仿宋" w:cs="仿宋"/>
          <w:color w:val="auto"/>
        </w:rPr>
        <w:t>%计算，最高限额为本合同总价的</w:t>
      </w:r>
      <w:r>
        <w:rPr>
          <w:rFonts w:hint="eastAsia" w:ascii="仿宋" w:eastAsia="仿宋" w:cs="仿宋"/>
          <w:color w:val="auto"/>
          <w:u w:val="single"/>
        </w:rPr>
        <w:t xml:space="preserve">  20  </w:t>
      </w:r>
      <w:r>
        <w:rPr>
          <w:rFonts w:hint="eastAsia" w:ascii="仿宋" w:eastAsia="仿宋" w:cs="仿宋"/>
          <w:color w:val="auto"/>
        </w:rPr>
        <w:t>%；迟延交付货物的违约金计算数额达到前述最高限额之日起，甲方有权在要求乙方支付违约金的同时，书面通知乙方解除本合同；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u w:val="single"/>
        </w:rPr>
        <w:t xml:space="preserve"> 0.05 </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 20</w:t>
      </w:r>
      <w:r>
        <w:rPr>
          <w:rFonts w:hint="eastAsia" w:ascii="仿宋" w:eastAsia="仿宋" w:cs="仿宋"/>
          <w:color w:val="auto"/>
          <w:u w:val="single"/>
        </w:rPr>
        <w:t>（可根据情况修改）</w:t>
      </w:r>
      <w:r>
        <w:rPr>
          <w:rFonts w:hint="eastAsia" w:ascii="仿宋" w:hAnsi="仿宋" w:eastAsia="仿宋" w:cs="仿宋"/>
          <w:color w:val="auto"/>
          <w:u w:val="single"/>
        </w:rPr>
        <w:t xml:space="preserve"> </w:t>
      </w:r>
      <w:r>
        <w:rPr>
          <w:rFonts w:hint="eastAsia" w:ascii="仿宋" w:hAnsi="仿宋" w:eastAsia="仿宋" w:cs="仿宋"/>
          <w:color w:val="auto"/>
        </w:rPr>
        <w:t>%；迟延付款的违约金计算数额达到前述最高限额之日起，乙方有权在要求甲方支付违约金的同时，书面通知甲方解除本合同；</w:t>
      </w:r>
      <w:bookmarkStart w:id="423" w:name="_Toc30329"/>
      <w:bookmarkStart w:id="424" w:name="_Toc9497"/>
      <w:bookmarkStart w:id="425" w:name="_Toc26807"/>
      <w:bookmarkStart w:id="426" w:name="_Toc18683"/>
      <w:bookmarkStart w:id="427" w:name="_Toc32454"/>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1.8.6如果出现政府采购监督管理部门在处理投诉事项期间，书面通知甲方暂停采购活动的情形，或者询问或质疑事项可能影响中标或者成交结果的，导致甲方中止履行合同的情形，均不视为甲方违约。</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1.8.7违约责任</w:t>
      </w:r>
      <w:r>
        <w:rPr>
          <w:rFonts w:hint="eastAsia" w:ascii="仿宋" w:hAnsi="仿宋" w:eastAsia="仿宋" w:cs="仿宋"/>
          <w:b/>
          <w:i/>
          <w:color w:val="auto"/>
          <w:u w:val="single"/>
        </w:rPr>
        <w:t>合同专用条款</w:t>
      </w:r>
      <w:r>
        <w:rPr>
          <w:rFonts w:hint="eastAsia" w:ascii="仿宋" w:hAnsi="仿宋" w:eastAsia="仿宋" w:cs="仿宋"/>
          <w:color w:val="auto"/>
        </w:rPr>
        <w:t>另有约定的，从其约定。</w:t>
      </w:r>
      <w:bookmarkEnd w:id="423"/>
      <w:bookmarkEnd w:id="424"/>
      <w:bookmarkEnd w:id="425"/>
      <w:bookmarkEnd w:id="426"/>
      <w:bookmarkEnd w:id="427"/>
      <w:bookmarkStart w:id="428" w:name="_Toc15583"/>
      <w:bookmarkStart w:id="429" w:name="_Toc28375"/>
      <w:bookmarkStart w:id="430" w:name="_Toc16021"/>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1.9合同争议的解决</w:t>
      </w:r>
      <w:bookmarkEnd w:id="428"/>
      <w:bookmarkEnd w:id="429"/>
      <w:bookmarkEnd w:id="430"/>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u w:val="single"/>
        </w:rPr>
        <w:t xml:space="preserve"> 1.9.2 </w:t>
      </w:r>
      <w:r>
        <w:rPr>
          <w:rFonts w:hint="eastAsia" w:ascii="仿宋" w:hAnsi="仿宋" w:eastAsia="仿宋" w:cs="仿宋"/>
          <w:color w:val="auto"/>
        </w:rPr>
        <w:t>条款规定的方式解决：</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1.9.1将争议提交</w:t>
      </w:r>
      <w:r>
        <w:rPr>
          <w:rFonts w:hint="eastAsia" w:ascii="仿宋" w:hAnsi="仿宋" w:eastAsia="仿宋" w:cs="仿宋"/>
          <w:b/>
          <w:i/>
          <w:color w:val="auto"/>
          <w:u w:val="single"/>
        </w:rPr>
        <w:t>合同专用条款</w:t>
      </w:r>
      <w:r>
        <w:rPr>
          <w:rFonts w:hint="eastAsia" w:ascii="仿宋" w:hAnsi="仿宋" w:eastAsia="仿宋" w:cs="仿宋"/>
          <w:color w:val="auto"/>
        </w:rPr>
        <w:t>仲裁委员会依申请仲裁时其现行有效的仲裁规则裁决；</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color w:val="auto"/>
        </w:rPr>
        <w:t>1.9.2向</w:t>
      </w:r>
      <w:r>
        <w:rPr>
          <w:rFonts w:hint="eastAsia" w:ascii="仿宋" w:hAnsi="仿宋" w:eastAsia="仿宋" w:cs="仿宋"/>
          <w:b/>
          <w:i/>
          <w:color w:val="auto"/>
          <w:u w:val="single"/>
        </w:rPr>
        <w:t>合同专用条款</w:t>
      </w:r>
      <w:r>
        <w:rPr>
          <w:rFonts w:hint="eastAsia" w:ascii="仿宋" w:hAnsi="仿宋" w:eastAsia="仿宋" w:cs="仿宋"/>
          <w:color w:val="auto"/>
        </w:rPr>
        <w:t>人民法院起诉。</w:t>
      </w:r>
    </w:p>
    <w:p>
      <w:pPr>
        <w:spacing w:line="560" w:lineRule="exact"/>
        <w:ind w:firstLine="482" w:firstLineChars="200"/>
        <w:outlineLvl w:val="0"/>
        <w:rPr>
          <w:rFonts w:ascii="仿宋" w:hAnsi="仿宋" w:eastAsia="仿宋" w:cs="仿宋"/>
          <w:b/>
          <w:color w:val="auto"/>
          <w:sz w:val="24"/>
        </w:rPr>
      </w:pPr>
      <w:bookmarkStart w:id="431" w:name="_Toc15322"/>
      <w:bookmarkStart w:id="432" w:name="_Toc11173"/>
      <w:bookmarkStart w:id="433" w:name="_Toc7245"/>
      <w:r>
        <w:rPr>
          <w:rFonts w:hint="eastAsia" w:ascii="仿宋" w:hAnsi="仿宋" w:eastAsia="仿宋" w:cs="仿宋"/>
          <w:b/>
          <w:color w:val="auto"/>
          <w:sz w:val="24"/>
        </w:rPr>
        <w:t>2.0合同生效</w:t>
      </w:r>
      <w:bookmarkEnd w:id="431"/>
      <w:bookmarkEnd w:id="432"/>
      <w:bookmarkEnd w:id="433"/>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本合同自双方当事人盖章签字时生效。</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ascii="仿宋" w:hAnsi="仿宋" w:eastAsia="仿宋" w:cs="仿宋"/>
          <w:color w:val="auto"/>
          <w:sz w:val="24"/>
          <w:lang w:val="zh-CN"/>
        </w:rPr>
      </w:pP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adjustRightInd/>
        <w:jc w:val="left"/>
        <w:rPr>
          <w:rFonts w:ascii="仿宋" w:hAnsi="仿宋" w:eastAsia="仿宋" w:cs="仿宋"/>
          <w:b/>
          <w:color w:val="auto"/>
          <w:sz w:val="24"/>
        </w:rPr>
      </w:pPr>
      <w:r>
        <w:rPr>
          <w:rFonts w:ascii="仿宋" w:hAnsi="仿宋" w:eastAsia="仿宋" w:cs="仿宋"/>
          <w:b/>
          <w:color w:val="auto"/>
        </w:rPr>
        <w:br w:type="page"/>
      </w:r>
    </w:p>
    <w:p>
      <w:pPr>
        <w:pStyle w:val="701"/>
        <w:spacing w:line="560" w:lineRule="exact"/>
        <w:ind w:left="0" w:leftChars="0" w:firstLine="0" w:firstLineChars="0"/>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p>
    <w:p>
      <w:pPr>
        <w:spacing w:line="560" w:lineRule="exact"/>
        <w:ind w:firstLine="482" w:firstLineChars="200"/>
        <w:outlineLvl w:val="0"/>
        <w:rPr>
          <w:rFonts w:ascii="仿宋" w:hAnsi="仿宋" w:eastAsia="仿宋" w:cs="仿宋"/>
          <w:b/>
          <w:color w:val="auto"/>
          <w:sz w:val="24"/>
        </w:rPr>
      </w:pPr>
      <w:bookmarkStart w:id="434" w:name="_Toc5228"/>
      <w:bookmarkStart w:id="435" w:name="_Toc25079"/>
      <w:bookmarkStart w:id="436" w:name="_Toc31297"/>
      <w:bookmarkStart w:id="437" w:name="_Toc14021"/>
      <w:bookmarkStart w:id="438" w:name="_Toc19680"/>
      <w:r>
        <w:rPr>
          <w:rFonts w:hint="eastAsia" w:ascii="仿宋" w:hAnsi="仿宋" w:eastAsia="仿宋" w:cs="仿宋"/>
          <w:b/>
          <w:color w:val="auto"/>
          <w:sz w:val="24"/>
        </w:rPr>
        <w:t>2.1定义</w:t>
      </w:r>
      <w:bookmarkEnd w:id="434"/>
      <w:bookmarkEnd w:id="435"/>
      <w:bookmarkEnd w:id="436"/>
      <w:bookmarkEnd w:id="437"/>
      <w:bookmarkEnd w:id="43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2.1.6“现场”系指合同约定提供服务的地点。</w:t>
      </w:r>
    </w:p>
    <w:p>
      <w:pPr>
        <w:spacing w:line="560" w:lineRule="exact"/>
        <w:ind w:firstLine="482" w:firstLineChars="200"/>
        <w:outlineLvl w:val="0"/>
        <w:rPr>
          <w:rFonts w:ascii="仿宋" w:hAnsi="仿宋" w:eastAsia="仿宋" w:cs="仿宋"/>
          <w:b/>
          <w:color w:val="auto"/>
          <w:sz w:val="24"/>
        </w:rPr>
      </w:pPr>
      <w:bookmarkStart w:id="439" w:name="_Toc19539"/>
      <w:bookmarkStart w:id="440" w:name="_Toc16752"/>
      <w:bookmarkStart w:id="441" w:name="_Toc23289"/>
      <w:bookmarkStart w:id="442" w:name="_Toc3769"/>
      <w:bookmarkStart w:id="443" w:name="_Toc31402"/>
      <w:r>
        <w:rPr>
          <w:rFonts w:hint="eastAsia" w:ascii="仿宋" w:hAnsi="仿宋" w:eastAsia="仿宋" w:cs="仿宋"/>
          <w:b/>
          <w:color w:val="auto"/>
          <w:sz w:val="24"/>
        </w:rPr>
        <w:t>2.2技术规范</w:t>
      </w:r>
      <w:bookmarkEnd w:id="439"/>
      <w:bookmarkEnd w:id="440"/>
      <w:bookmarkEnd w:id="441"/>
      <w:bookmarkEnd w:id="442"/>
      <w:bookmarkEnd w:id="44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rPr>
      </w:pPr>
      <w:bookmarkStart w:id="444" w:name="_Toc12412"/>
      <w:bookmarkStart w:id="445" w:name="_Toc13673"/>
      <w:bookmarkStart w:id="446" w:name="_Toc27945"/>
      <w:bookmarkStart w:id="447" w:name="_Toc9161"/>
      <w:bookmarkStart w:id="448" w:name="_Toc4133"/>
      <w:r>
        <w:rPr>
          <w:rFonts w:hint="eastAsia" w:ascii="仿宋" w:hAnsi="仿宋" w:eastAsia="仿宋" w:cs="仿宋"/>
          <w:b/>
          <w:color w:val="auto"/>
          <w:sz w:val="24"/>
        </w:rPr>
        <w:t>2.3知识产权</w:t>
      </w:r>
      <w:bookmarkEnd w:id="444"/>
      <w:bookmarkEnd w:id="445"/>
      <w:bookmarkEnd w:id="446"/>
      <w:bookmarkEnd w:id="447"/>
      <w:bookmarkEnd w:id="44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2.4履约检查和问题反馈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2.4.2合同履行期间，甲方有权将履行过程中出现的问题反馈给乙方，双方当事人应以书面形式约定需要完善和改进的内容。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rPr>
      </w:pPr>
      <w:bookmarkStart w:id="449" w:name="_Toc26555"/>
      <w:bookmarkStart w:id="450" w:name="_Toc22011"/>
      <w:bookmarkStart w:id="451" w:name="_Toc31233"/>
      <w:bookmarkStart w:id="452" w:name="_Toc32670"/>
      <w:bookmarkStart w:id="453" w:name="_Toc15447"/>
      <w:r>
        <w:rPr>
          <w:rFonts w:hint="eastAsia" w:ascii="仿宋" w:hAnsi="仿宋" w:eastAsia="仿宋" w:cs="仿宋"/>
          <w:b/>
          <w:color w:val="auto"/>
          <w:sz w:val="24"/>
        </w:rPr>
        <w:t>2.5结算方式和付款条件</w:t>
      </w:r>
      <w:bookmarkEnd w:id="449"/>
      <w:bookmarkEnd w:id="450"/>
      <w:bookmarkEnd w:id="451"/>
      <w:bookmarkEnd w:id="452"/>
      <w:bookmarkEnd w:id="45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54" w:name="_Toc13467"/>
      <w:bookmarkStart w:id="455" w:name="_Toc18990"/>
      <w:bookmarkStart w:id="456" w:name="_Toc13154"/>
      <w:bookmarkStart w:id="457" w:name="_Toc30507"/>
      <w:bookmarkStart w:id="458" w:name="_Toc16163"/>
      <w:r>
        <w:rPr>
          <w:rFonts w:hint="eastAsia" w:ascii="仿宋" w:hAnsi="仿宋" w:eastAsia="仿宋" w:cs="仿宋"/>
          <w:b/>
          <w:color w:val="auto"/>
          <w:sz w:val="24"/>
        </w:rPr>
        <w:t>2.6技术资料和保密义务</w:t>
      </w:r>
      <w:bookmarkEnd w:id="454"/>
      <w:bookmarkEnd w:id="455"/>
      <w:bookmarkEnd w:id="456"/>
      <w:bookmarkEnd w:id="457"/>
      <w:bookmarkEnd w:id="45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2.6.1乙方有权依据合同约定和项目需要，向甲方了解有关情况，调阅有关资料等，甲方应予积极配合；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2.6.2乙方有义务妥善保管和保护由甲方提供的前款信息和资料等；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rPr>
      </w:pPr>
      <w:bookmarkStart w:id="459" w:name="_Toc19069"/>
      <w:r>
        <w:rPr>
          <w:rFonts w:hint="eastAsia" w:ascii="仿宋" w:hAnsi="仿宋" w:eastAsia="仿宋" w:cs="仿宋"/>
          <w:b/>
          <w:color w:val="auto"/>
          <w:sz w:val="24"/>
        </w:rPr>
        <w:t>2.7质量保证</w:t>
      </w:r>
      <w:bookmarkEnd w:id="45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rPr>
      </w:pPr>
      <w:bookmarkStart w:id="460" w:name="_Toc22267"/>
      <w:r>
        <w:rPr>
          <w:rFonts w:hint="eastAsia" w:ascii="仿宋" w:hAnsi="仿宋" w:eastAsia="仿宋" w:cs="仿宋"/>
          <w:b/>
          <w:color w:val="auto"/>
          <w:sz w:val="24"/>
        </w:rPr>
        <w:t>2.8延迟履行</w:t>
      </w:r>
      <w:bookmarkEnd w:id="46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rPr>
      </w:pPr>
      <w:bookmarkStart w:id="461" w:name="_Toc10611"/>
      <w:r>
        <w:rPr>
          <w:rFonts w:hint="eastAsia" w:ascii="仿宋" w:hAnsi="仿宋" w:eastAsia="仿宋" w:cs="仿宋"/>
          <w:b/>
          <w:color w:val="auto"/>
          <w:sz w:val="24"/>
        </w:rPr>
        <w:t>2.9合同变更</w:t>
      </w:r>
      <w:bookmarkEnd w:id="46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462" w:name="_Toc26689"/>
      <w:bookmarkStart w:id="463" w:name="_Toc23368"/>
      <w:bookmarkStart w:id="464" w:name="_Toc42"/>
      <w:bookmarkStart w:id="465" w:name="_Toc21830"/>
      <w:bookmarkStart w:id="466" w:name="_Toc10663"/>
      <w:r>
        <w:rPr>
          <w:rFonts w:hint="eastAsia" w:ascii="仿宋" w:hAnsi="仿宋" w:eastAsia="仿宋" w:cs="仿宋"/>
          <w:b/>
          <w:color w:val="auto"/>
          <w:sz w:val="24"/>
        </w:rPr>
        <w:t>2.10合同转让和分包</w:t>
      </w:r>
      <w:bookmarkEnd w:id="462"/>
      <w:bookmarkEnd w:id="463"/>
      <w:bookmarkEnd w:id="464"/>
      <w:bookmarkEnd w:id="465"/>
      <w:bookmarkEnd w:id="46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rPr>
      </w:pPr>
      <w:bookmarkStart w:id="467" w:name="_Toc26633"/>
      <w:bookmarkStart w:id="468" w:name="_Toc4720"/>
      <w:bookmarkStart w:id="469" w:name="_Toc25571"/>
      <w:bookmarkStart w:id="470" w:name="_Toc14371"/>
      <w:bookmarkStart w:id="471" w:name="_Toc32494"/>
      <w:r>
        <w:rPr>
          <w:rFonts w:hint="eastAsia" w:ascii="仿宋" w:hAnsi="仿宋" w:eastAsia="仿宋" w:cs="仿宋"/>
          <w:b/>
          <w:color w:val="auto"/>
          <w:sz w:val="24"/>
        </w:rPr>
        <w:t>2.11不可抗力</w:t>
      </w:r>
      <w:bookmarkEnd w:id="467"/>
      <w:bookmarkEnd w:id="468"/>
      <w:bookmarkEnd w:id="469"/>
      <w:bookmarkEnd w:id="470"/>
      <w:bookmarkEnd w:id="47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2.11.2因不可抗力致使不能实现合同目的的，当事人可以解除合同；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2.11.3因不可抗力致使合同有变更必要的，双方当事人应在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rPr>
      </w:pPr>
      <w:bookmarkStart w:id="472" w:name="_Toc3638"/>
      <w:bookmarkStart w:id="473" w:name="_Toc23854"/>
      <w:bookmarkStart w:id="474" w:name="_Toc14115"/>
      <w:bookmarkStart w:id="475" w:name="_Toc24465"/>
      <w:bookmarkStart w:id="476" w:name="_Toc25783"/>
      <w:r>
        <w:rPr>
          <w:rFonts w:hint="eastAsia" w:ascii="仿宋" w:hAnsi="仿宋" w:eastAsia="仿宋" w:cs="仿宋"/>
          <w:b/>
          <w:color w:val="auto"/>
          <w:sz w:val="24"/>
        </w:rPr>
        <w:t>2.12税费</w:t>
      </w:r>
      <w:bookmarkEnd w:id="472"/>
      <w:bookmarkEnd w:id="473"/>
      <w:bookmarkEnd w:id="474"/>
      <w:bookmarkEnd w:id="475"/>
      <w:bookmarkEnd w:id="47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rPr>
      </w:pPr>
      <w:bookmarkStart w:id="477" w:name="_Toc7315"/>
      <w:bookmarkStart w:id="478" w:name="_Toc30105"/>
      <w:bookmarkStart w:id="479" w:name="_Toc26883"/>
      <w:bookmarkStart w:id="480" w:name="_Toc25525"/>
      <w:bookmarkStart w:id="481" w:name="_Toc14814"/>
      <w:r>
        <w:rPr>
          <w:rFonts w:hint="eastAsia" w:ascii="仿宋" w:hAnsi="仿宋" w:eastAsia="仿宋" w:cs="仿宋"/>
          <w:b/>
          <w:color w:val="auto"/>
          <w:sz w:val="24"/>
        </w:rPr>
        <w:t>2.13乙方破产</w:t>
      </w:r>
      <w:bookmarkEnd w:id="477"/>
      <w:bookmarkEnd w:id="478"/>
      <w:bookmarkEnd w:id="479"/>
      <w:bookmarkEnd w:id="480"/>
      <w:bookmarkEnd w:id="48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rPr>
      </w:pPr>
      <w:bookmarkStart w:id="482" w:name="_Toc1123"/>
      <w:bookmarkStart w:id="483" w:name="_Toc2016"/>
      <w:bookmarkStart w:id="484" w:name="_Toc23323"/>
      <w:r>
        <w:rPr>
          <w:rFonts w:hint="eastAsia" w:ascii="仿宋" w:hAnsi="仿宋" w:eastAsia="仿宋" w:cs="仿宋"/>
          <w:b/>
          <w:color w:val="auto"/>
          <w:sz w:val="24"/>
        </w:rPr>
        <w:t>2.14合同中止、终止</w:t>
      </w:r>
      <w:bookmarkEnd w:id="482"/>
      <w:bookmarkEnd w:id="483"/>
      <w:bookmarkEnd w:id="48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2.14.1双方当事人不得擅自中止或者终止合同；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485" w:name="_Toc17363"/>
      <w:bookmarkStart w:id="486" w:name="_Toc14525"/>
      <w:bookmarkStart w:id="487" w:name="_Toc1969"/>
      <w:r>
        <w:rPr>
          <w:rFonts w:hint="eastAsia" w:ascii="仿宋" w:hAnsi="仿宋" w:eastAsia="仿宋" w:cs="仿宋"/>
          <w:b/>
          <w:color w:val="auto"/>
          <w:sz w:val="24"/>
        </w:rPr>
        <w:t>2.15检验和验收</w:t>
      </w:r>
      <w:bookmarkEnd w:id="485"/>
      <w:bookmarkEnd w:id="486"/>
      <w:bookmarkEnd w:id="487"/>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2.15.1乙方按照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pPr>
        <w:spacing w:line="560" w:lineRule="exact"/>
        <w:ind w:firstLine="482" w:firstLineChars="200"/>
        <w:outlineLvl w:val="0"/>
        <w:rPr>
          <w:rFonts w:ascii="仿宋" w:hAnsi="仿宋" w:eastAsia="仿宋" w:cs="仿宋"/>
          <w:b/>
          <w:color w:val="auto"/>
          <w:sz w:val="24"/>
        </w:rPr>
      </w:pPr>
      <w:bookmarkStart w:id="488" w:name="_Toc31892"/>
      <w:bookmarkStart w:id="489" w:name="_Toc2308"/>
      <w:bookmarkStart w:id="490" w:name="_Toc12666"/>
      <w:bookmarkStart w:id="491" w:name="_Toc9808"/>
      <w:bookmarkStart w:id="492" w:name="_Toc25198"/>
      <w:r>
        <w:rPr>
          <w:rFonts w:hint="eastAsia" w:ascii="仿宋" w:hAnsi="仿宋" w:eastAsia="仿宋" w:cs="仿宋"/>
          <w:b/>
          <w:color w:val="auto"/>
          <w:sz w:val="24"/>
        </w:rPr>
        <w:t>2.16通知和送达</w:t>
      </w:r>
      <w:bookmarkEnd w:id="488"/>
      <w:bookmarkEnd w:id="489"/>
      <w:bookmarkEnd w:id="490"/>
      <w:bookmarkEnd w:id="491"/>
      <w:bookmarkEnd w:id="492"/>
    </w:p>
    <w:p>
      <w:pPr>
        <w:spacing w:line="560" w:lineRule="exact"/>
        <w:ind w:firstLine="480" w:firstLineChars="200"/>
        <w:rPr>
          <w:rFonts w:ascii="仿宋" w:hAnsi="仿宋" w:eastAsia="仿宋" w:cs="仿宋"/>
          <w:color w:val="auto"/>
          <w:sz w:val="24"/>
        </w:rPr>
      </w:pPr>
      <w:bookmarkStart w:id="493" w:name="_Toc27674"/>
      <w:bookmarkStart w:id="494" w:name="_Toc18401"/>
      <w:r>
        <w:rPr>
          <w:rFonts w:hint="eastAsia" w:ascii="仿宋" w:hAnsi="仿宋" w:eastAsia="仿宋" w:cs="仿宋"/>
          <w:color w:val="auto"/>
          <w:sz w:val="24"/>
        </w:rPr>
        <w:t xml:space="preserve">2.16.1任何一方因履行合同而以合同第一部分尾部所列明的传真或电子邮件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3"/>
      <w:bookmarkEnd w:id="494"/>
    </w:p>
    <w:p>
      <w:pPr>
        <w:spacing w:line="560" w:lineRule="exact"/>
        <w:ind w:firstLine="482" w:firstLineChars="200"/>
        <w:outlineLvl w:val="0"/>
        <w:rPr>
          <w:rFonts w:ascii="仿宋" w:hAnsi="仿宋" w:eastAsia="仿宋" w:cs="仿宋"/>
          <w:b/>
          <w:color w:val="auto"/>
          <w:sz w:val="24"/>
        </w:rPr>
      </w:pPr>
      <w:bookmarkStart w:id="495" w:name="_Toc12254"/>
      <w:bookmarkStart w:id="496" w:name="_Toc27644"/>
      <w:bookmarkStart w:id="497" w:name="_Toc20808"/>
      <w:bookmarkStart w:id="498" w:name="_Toc5063"/>
      <w:bookmarkStart w:id="499" w:name="_Toc28906"/>
      <w:r>
        <w:rPr>
          <w:rFonts w:hint="eastAsia" w:ascii="仿宋" w:hAnsi="仿宋" w:eastAsia="仿宋" w:cs="仿宋"/>
          <w:b/>
          <w:color w:val="auto"/>
          <w:sz w:val="24"/>
        </w:rPr>
        <w:t>2.17合同使用的文字和适用的法律</w:t>
      </w:r>
      <w:bookmarkEnd w:id="495"/>
      <w:bookmarkEnd w:id="496"/>
      <w:bookmarkEnd w:id="497"/>
      <w:bookmarkEnd w:id="498"/>
      <w:bookmarkEnd w:id="49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2.17.1合同使用汉语书就、变更和解释；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2.17.2合同适用中华人民共和国法律。</w:t>
      </w:r>
    </w:p>
    <w:p>
      <w:pPr>
        <w:spacing w:line="560" w:lineRule="exact"/>
        <w:ind w:firstLine="482" w:firstLineChars="200"/>
        <w:outlineLvl w:val="0"/>
        <w:rPr>
          <w:rFonts w:ascii="仿宋" w:hAnsi="仿宋" w:eastAsia="仿宋" w:cs="仿宋"/>
          <w:b/>
          <w:color w:val="auto"/>
          <w:sz w:val="24"/>
        </w:rPr>
      </w:pPr>
      <w:bookmarkStart w:id="500" w:name="_Toc30599"/>
      <w:bookmarkStart w:id="501" w:name="_Toc18540"/>
      <w:bookmarkStart w:id="502" w:name="_Toc4355"/>
      <w:r>
        <w:rPr>
          <w:rFonts w:hint="eastAsia" w:ascii="仿宋" w:hAnsi="仿宋" w:eastAsia="仿宋" w:cs="仿宋"/>
          <w:b/>
          <w:color w:val="auto"/>
          <w:sz w:val="24"/>
        </w:rPr>
        <w:t>2.18计量单位</w:t>
      </w:r>
      <w:bookmarkEnd w:id="500"/>
      <w:bookmarkEnd w:id="501"/>
      <w:bookmarkEnd w:id="50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2.19合同份数</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spacing w:line="360" w:lineRule="auto"/>
        <w:jc w:val="center"/>
        <w:outlineLvl w:val="0"/>
        <w:rPr>
          <w:rFonts w:ascii="仿宋" w:hAnsi="仿宋" w:eastAsia="仿宋" w:cs="仿宋"/>
          <w:b/>
          <w:color w:val="auto"/>
          <w:sz w:val="24"/>
        </w:rPr>
      </w:pPr>
      <w:r>
        <w:rPr>
          <w:rFonts w:hint="eastAsia" w:ascii="仿宋" w:hAnsi="仿宋" w:eastAsia="仿宋" w:cs="仿宋"/>
          <w:color w:val="auto"/>
          <w:kern w:val="0"/>
        </w:rPr>
        <w:br w:type="page"/>
      </w:r>
      <w:r>
        <w:rPr>
          <w:rFonts w:hint="eastAsia" w:ascii="仿宋" w:hAnsi="仿宋" w:eastAsia="仿宋" w:cs="仿宋"/>
          <w:b/>
          <w:color w:val="auto"/>
          <w:sz w:val="24"/>
        </w:rPr>
        <w:t>第三部分  合同专用条款</w:t>
      </w:r>
    </w:p>
    <w:p>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464" w:type="pct"/>
            <w:vAlign w:val="center"/>
          </w:tcPr>
          <w:p>
            <w:pPr>
              <w:jc w:val="center"/>
              <w:rPr>
                <w:rFonts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1.3.2</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/（本合同为总价合同）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1.4.2</w:t>
            </w:r>
          </w:p>
        </w:tc>
        <w:tc>
          <w:tcPr>
            <w:tcW w:w="4464" w:type="pct"/>
            <w:vAlign w:val="center"/>
          </w:tcPr>
          <w:p>
            <w:pPr>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1.5.1</w:t>
            </w:r>
          </w:p>
        </w:tc>
        <w:tc>
          <w:tcPr>
            <w:tcW w:w="4464" w:type="pct"/>
            <w:vAlign w:val="center"/>
          </w:tcPr>
          <w:p>
            <w:pPr>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1.5.2</w:t>
            </w:r>
          </w:p>
        </w:tc>
        <w:tc>
          <w:tcPr>
            <w:tcW w:w="4464" w:type="pct"/>
            <w:vAlign w:val="center"/>
          </w:tcPr>
          <w:p>
            <w:pPr>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1.5.3</w:t>
            </w:r>
          </w:p>
        </w:tc>
        <w:tc>
          <w:tcPr>
            <w:tcW w:w="4464" w:type="pct"/>
            <w:vAlign w:val="center"/>
          </w:tcPr>
          <w:p>
            <w:pPr>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1.6.2</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1）预付款：本项目实施以人工投入为主，且采购人以按月结算方式向供应商支付服务费，根据“对供应商为大型企业的项目或者以人工投入为主且实行按月定期结算支付款项的项目，预付款可低于上述比例或者不约定预付款”之规定，采购方不约定预付款。</w:t>
            </w:r>
          </w:p>
          <w:p>
            <w:pPr>
              <w:rPr>
                <w:rFonts w:ascii="仿宋" w:hAnsi="仿宋" w:eastAsia="仿宋" w:cs="仿宋"/>
                <w:color w:val="auto"/>
                <w:sz w:val="24"/>
              </w:rPr>
            </w:pPr>
            <w:r>
              <w:rPr>
                <w:rFonts w:hint="eastAsia" w:ascii="仿宋" w:hAnsi="仿宋" w:eastAsia="仿宋" w:cs="仿宋"/>
                <w:color w:val="auto"/>
                <w:sz w:val="24"/>
              </w:rPr>
              <w:t>（2）履约保证金：本项目不收取履约保证金。</w:t>
            </w:r>
          </w:p>
          <w:p>
            <w:pPr>
              <w:rPr>
                <w:rFonts w:ascii="仿宋" w:hAnsi="仿宋" w:eastAsia="仿宋" w:cs="仿宋"/>
                <w:color w:val="auto"/>
                <w:sz w:val="24"/>
              </w:rPr>
            </w:pPr>
            <w:r>
              <w:rPr>
                <w:rFonts w:hint="eastAsia" w:ascii="仿宋" w:hAnsi="仿宋" w:eastAsia="仿宋" w:cs="仿宋"/>
                <w:color w:val="auto"/>
                <w:sz w:val="24"/>
              </w:rPr>
              <w:t>（3）服务费用结算：按月结算，服务期次月10日前乙方根据双方确认的费用金额开具上月度服务费用的发票及结算清单（含人员签到签退台账），甲方在收到相关票据后5个工作日内向财务部门发起申报，以对公转账方式结算，具体到账时间以国库支付为准。</w:t>
            </w:r>
          </w:p>
          <w:p>
            <w:pPr>
              <w:rPr>
                <w:rFonts w:ascii="仿宋" w:hAnsi="仿宋" w:eastAsia="仿宋" w:cs="仿宋"/>
                <w:color w:val="auto"/>
                <w:sz w:val="24"/>
              </w:rPr>
            </w:pPr>
            <w:r>
              <w:rPr>
                <w:rFonts w:hint="eastAsia" w:ascii="仿宋" w:hAnsi="仿宋" w:eastAsia="仿宋" w:cs="仿宋"/>
                <w:color w:val="auto"/>
                <w:sz w:val="24"/>
              </w:rPr>
              <w:t>最终结算费用不突破合同总价金额。</w:t>
            </w:r>
          </w:p>
          <w:p>
            <w:pPr>
              <w:rPr>
                <w:rFonts w:ascii="仿宋" w:hAnsi="仿宋" w:eastAsia="仿宋" w:cs="仿宋"/>
                <w:color w:val="auto"/>
                <w:sz w:val="24"/>
              </w:rPr>
            </w:pPr>
            <w:r>
              <w:rPr>
                <w:rFonts w:hint="eastAsia" w:ascii="仿宋" w:hAnsi="仿宋" w:eastAsia="仿宋" w:cs="仿宋"/>
                <w:color w:val="auto"/>
                <w:sz w:val="24"/>
              </w:rPr>
              <w:t>注：付款前，中标供应商须提供符合要求的财务发票，否则采购人有权不予支付，且不承担违约责任，但中标供应商仍须履行本合同。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1.7.1</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三年，具体以签订合同之日起为准（合同一年一签）。如遇项目场地搬迁造成项目服务期有所变动的另行协商确定；如遇政策调整等问题，或服务期内年末采购人组织对中标单位服务情况未通过综合考评，采购人有权提前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1.7.2</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1.7.3</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结合招标文件“第三部分 采购需求”及乙方投标文件，按甲方要求实施。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1.7.4.1</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1.7.4.2</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1.7.4.3</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1.8.7</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1.9.1</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1.9.2</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杭州市上城区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2.3.2</w:t>
            </w:r>
          </w:p>
        </w:tc>
        <w:tc>
          <w:tcPr>
            <w:tcW w:w="4464" w:type="pct"/>
            <w:vAlign w:val="center"/>
          </w:tcPr>
          <w:p>
            <w:pPr>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2.5</w:t>
            </w:r>
          </w:p>
        </w:tc>
        <w:tc>
          <w:tcPr>
            <w:tcW w:w="4464" w:type="pct"/>
            <w:vAlign w:val="center"/>
          </w:tcPr>
          <w:p>
            <w:pPr>
              <w:jc w:val="left"/>
              <w:rPr>
                <w:rFonts w:ascii="仿宋" w:hAnsi="仿宋" w:eastAsia="仿宋" w:cs="仿宋"/>
                <w:color w:val="auto"/>
                <w:sz w:val="24"/>
              </w:rPr>
            </w:pPr>
            <w:r>
              <w:rPr>
                <w:rFonts w:hint="eastAsia" w:ascii="仿宋" w:hAnsi="仿宋" w:eastAsia="仿宋" w:cs="仿宋"/>
                <w:color w:val="auto"/>
                <w:sz w:val="24"/>
              </w:rPr>
              <w:t>（1）预付款：本项目实施以人工投入为主，且采购人以按月结算方式向供应商支付服务费，根据“对供应商为大型企业的项目或者以人工投入为主且实行按月定期结算支付款项的项目，预付款可低于上述比例或者不约定预付款”之规定，采购方不约定预付款。</w:t>
            </w:r>
          </w:p>
          <w:p>
            <w:pPr>
              <w:jc w:val="left"/>
              <w:rPr>
                <w:rFonts w:ascii="仿宋" w:hAnsi="仿宋" w:eastAsia="仿宋" w:cs="仿宋"/>
                <w:color w:val="auto"/>
                <w:sz w:val="24"/>
              </w:rPr>
            </w:pPr>
            <w:r>
              <w:rPr>
                <w:rFonts w:hint="eastAsia" w:ascii="仿宋" w:hAnsi="仿宋" w:eastAsia="仿宋" w:cs="仿宋"/>
                <w:color w:val="auto"/>
                <w:sz w:val="24"/>
              </w:rPr>
              <w:t>（2）履约保证金：本项目不收取履约保证金。</w:t>
            </w:r>
          </w:p>
          <w:p>
            <w:pPr>
              <w:jc w:val="left"/>
              <w:rPr>
                <w:rFonts w:ascii="仿宋" w:hAnsi="仿宋" w:eastAsia="仿宋" w:cs="仿宋"/>
                <w:color w:val="auto"/>
                <w:sz w:val="24"/>
              </w:rPr>
            </w:pPr>
            <w:r>
              <w:rPr>
                <w:rFonts w:hint="eastAsia" w:ascii="仿宋" w:hAnsi="仿宋" w:eastAsia="仿宋" w:cs="仿宋"/>
                <w:color w:val="auto"/>
                <w:sz w:val="24"/>
              </w:rPr>
              <w:t>（3）服务费用结算：按月结算，服务期次月10日前乙方根据双方确认的费用金额开具上月度服务费用的发票及结算清单（含人员签到签退台账），甲方在收到相关票据后5个工作日内向财务部门发起申报，以对公转账方式结算，具体到账时间以国库支付为准。</w:t>
            </w:r>
          </w:p>
          <w:p>
            <w:pPr>
              <w:jc w:val="left"/>
              <w:rPr>
                <w:rFonts w:ascii="仿宋" w:hAnsi="仿宋" w:eastAsia="仿宋" w:cs="仿宋"/>
                <w:color w:val="auto"/>
                <w:sz w:val="24"/>
              </w:rPr>
            </w:pPr>
            <w:r>
              <w:rPr>
                <w:rFonts w:hint="eastAsia" w:ascii="仿宋" w:hAnsi="仿宋" w:eastAsia="仿宋" w:cs="仿宋"/>
                <w:color w:val="auto"/>
                <w:sz w:val="24"/>
              </w:rPr>
              <w:t>最终结算费用不突破合同总价金额。</w:t>
            </w:r>
          </w:p>
          <w:p>
            <w:pPr>
              <w:jc w:val="left"/>
              <w:rPr>
                <w:rFonts w:ascii="仿宋" w:hAnsi="仿宋" w:eastAsia="仿宋" w:cs="仿宋"/>
                <w:color w:val="auto"/>
                <w:sz w:val="24"/>
              </w:rPr>
            </w:pPr>
            <w:r>
              <w:rPr>
                <w:rFonts w:hint="eastAsia" w:ascii="仿宋" w:hAnsi="仿宋" w:eastAsia="仿宋" w:cs="仿宋"/>
                <w:color w:val="auto"/>
                <w:sz w:val="24"/>
              </w:rPr>
              <w:t>注：付款前，中标供应商须提供符合要求的财务发票，否则采购人有权不予支付，且不承担违约责任，但中标供应商仍须履行本合同。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2.11.3</w:t>
            </w:r>
          </w:p>
        </w:tc>
        <w:tc>
          <w:tcPr>
            <w:tcW w:w="4464" w:type="pct"/>
            <w:vAlign w:val="center"/>
          </w:tcPr>
          <w:p>
            <w:pPr>
              <w:rPr>
                <w:rFonts w:ascii="仿宋" w:hAnsi="仿宋" w:eastAsia="仿宋" w:cs="宋体"/>
                <w:color w:val="auto"/>
                <w:sz w:val="24"/>
              </w:rPr>
            </w:pPr>
            <w:r>
              <w:rPr>
                <w:rFonts w:hint="eastAsia" w:ascii="仿宋" w:hAnsi="仿宋" w:eastAsia="仿宋" w:cs="宋体"/>
                <w:color w:val="auto"/>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jc w:val="center"/>
              <w:rPr>
                <w:rFonts w:ascii="仿宋" w:hAnsi="仿宋" w:eastAsia="仿宋" w:cs="仿宋"/>
                <w:color w:val="auto"/>
                <w:sz w:val="24"/>
              </w:rPr>
            </w:pPr>
            <w:r>
              <w:rPr>
                <w:rFonts w:hint="eastAsia" w:ascii="仿宋" w:hAnsi="仿宋" w:eastAsia="仿宋" w:cs="仿宋"/>
                <w:color w:val="auto"/>
                <w:sz w:val="24"/>
              </w:rPr>
              <w:t>2.11.4</w:t>
            </w:r>
          </w:p>
        </w:tc>
        <w:tc>
          <w:tcPr>
            <w:tcW w:w="4464" w:type="pct"/>
          </w:tcPr>
          <w:p>
            <w:pPr>
              <w:rPr>
                <w:rFonts w:ascii="仿宋" w:hAnsi="仿宋" w:eastAsia="仿宋" w:cs="仿宋"/>
                <w:color w:val="auto"/>
                <w:sz w:val="24"/>
              </w:rPr>
            </w:pPr>
            <w:r>
              <w:rPr>
                <w:rFonts w:hint="eastAsia" w:ascii="仿宋" w:hAnsi="仿宋" w:eastAsia="仿宋" w:cs="宋体"/>
                <w:color w:val="auto"/>
                <w:sz w:val="24"/>
              </w:rPr>
              <w:t>同2.11.3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2.15.1</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乙方按照双方确定的考核办法的约定，定期提交服务报告，甲方按照服务考核办法的约定进行定期验收。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2.15.3</w:t>
            </w:r>
          </w:p>
        </w:tc>
        <w:tc>
          <w:tcPr>
            <w:tcW w:w="4464" w:type="pct"/>
            <w:vAlign w:val="center"/>
          </w:tcPr>
          <w:p>
            <w:pPr>
              <w:rPr>
                <w:rFonts w:ascii="仿宋" w:hAnsi="仿宋" w:eastAsia="仿宋" w:cs="宋体"/>
                <w:color w:val="auto"/>
                <w:sz w:val="24"/>
              </w:rPr>
            </w:pPr>
            <w:r>
              <w:rPr>
                <w:rFonts w:hint="eastAsia" w:ascii="仿宋" w:hAnsi="仿宋" w:eastAsia="仿宋" w:cs="宋体"/>
                <w:color w:val="auto"/>
                <w:sz w:val="24"/>
              </w:rPr>
              <w:t xml:space="preserve">1.验收主体：甲方。 </w:t>
            </w:r>
          </w:p>
          <w:p>
            <w:pPr>
              <w:rPr>
                <w:rFonts w:ascii="仿宋" w:hAnsi="仿宋" w:eastAsia="仿宋" w:cs="宋体"/>
                <w:color w:val="auto"/>
                <w:sz w:val="24"/>
              </w:rPr>
            </w:pPr>
            <w:r>
              <w:rPr>
                <w:rFonts w:hint="eastAsia" w:ascii="仿宋" w:hAnsi="仿宋" w:eastAsia="仿宋" w:cs="宋体"/>
                <w:color w:val="auto"/>
                <w:sz w:val="24"/>
              </w:rPr>
              <w:t xml:space="preserve">2.甲方在乙方提供服务的过程中，有权不定期对服务内容和质量进行考核。乙 方应当配合进行。 </w:t>
            </w:r>
          </w:p>
          <w:p>
            <w:pPr>
              <w:rPr>
                <w:rFonts w:ascii="仿宋" w:hAnsi="仿宋" w:eastAsia="仿宋" w:cs="宋体"/>
                <w:color w:val="auto"/>
                <w:sz w:val="24"/>
              </w:rPr>
            </w:pPr>
            <w:r>
              <w:rPr>
                <w:rFonts w:hint="eastAsia" w:ascii="仿宋" w:hAnsi="仿宋" w:eastAsia="仿宋" w:cs="宋体"/>
                <w:color w:val="auto"/>
                <w:sz w:val="24"/>
              </w:rPr>
              <w:t>3.最终验收时间：服务内容执行完毕、服务期截止后。</w:t>
            </w:r>
          </w:p>
          <w:p>
            <w:pPr>
              <w:rPr>
                <w:rFonts w:ascii="仿宋" w:hAnsi="仿宋" w:eastAsia="仿宋" w:cs="宋体"/>
                <w:color w:val="auto"/>
                <w:sz w:val="24"/>
              </w:rPr>
            </w:pPr>
            <w:r>
              <w:rPr>
                <w:rFonts w:hint="eastAsia" w:ascii="仿宋" w:hAnsi="仿宋" w:eastAsia="仿宋" w:cs="宋体"/>
                <w:color w:val="auto"/>
                <w:sz w:val="24"/>
              </w:rPr>
              <w:t xml:space="preserve">4.验收程序：乙方向甲方提出申请验收，甲方按验收方案组织履约验收。乙方 应将项目执行过程及时记录、收集、整理，向甲方递交验收申请资料。 </w:t>
            </w:r>
          </w:p>
          <w:p>
            <w:pPr>
              <w:rPr>
                <w:rFonts w:ascii="仿宋" w:hAnsi="仿宋" w:eastAsia="仿宋" w:cs="宋体"/>
                <w:color w:val="auto"/>
                <w:sz w:val="24"/>
              </w:rPr>
            </w:pPr>
            <w:r>
              <w:rPr>
                <w:rFonts w:hint="eastAsia" w:ascii="仿宋" w:hAnsi="仿宋" w:eastAsia="仿宋" w:cs="宋体"/>
                <w:color w:val="auto"/>
                <w:sz w:val="24"/>
              </w:rPr>
              <w:t>5.验收内容：乙方实际完成的情况是否符合采购文件要求和乙方在投标响应文 件中的商务、技术承诺。</w:t>
            </w:r>
          </w:p>
          <w:p>
            <w:pPr>
              <w:rPr>
                <w:rFonts w:ascii="仿宋" w:hAnsi="仿宋" w:eastAsia="仿宋" w:cs="宋体"/>
                <w:color w:val="auto"/>
                <w:sz w:val="24"/>
              </w:rPr>
            </w:pPr>
            <w:r>
              <w:rPr>
                <w:rFonts w:hint="eastAsia" w:ascii="仿宋" w:hAnsi="仿宋" w:eastAsia="仿宋" w:cs="宋体"/>
                <w:color w:val="auto"/>
                <w:sz w:val="24"/>
              </w:rPr>
              <w:t>6.验收标准：乙方已经按采购文件要求和乙方在投标响应文件中的商务、技术 承诺完成项目执行。</w:t>
            </w:r>
          </w:p>
          <w:p>
            <w:pPr>
              <w:rPr>
                <w:rFonts w:ascii="仿宋" w:hAnsi="仿宋" w:eastAsia="仿宋" w:cs="宋体"/>
                <w:color w:val="auto"/>
                <w:sz w:val="24"/>
              </w:rPr>
            </w:pPr>
            <w:r>
              <w:rPr>
                <w:rFonts w:hint="eastAsia" w:ascii="仿宋" w:hAnsi="仿宋" w:eastAsia="仿宋" w:cs="宋体"/>
                <w:color w:val="auto"/>
                <w:sz w:val="24"/>
              </w:rPr>
              <w:t>7.验收时乙方应在现场，验收完毕后作出验收结果报告；验收产生的费用，由 甲方承担。</w:t>
            </w:r>
          </w:p>
          <w:p>
            <w:pPr>
              <w:rPr>
                <w:rFonts w:ascii="仿宋" w:hAnsi="仿宋" w:eastAsia="仿宋" w:cs="仿宋"/>
                <w:color w:val="auto"/>
                <w:sz w:val="24"/>
              </w:rPr>
            </w:pPr>
            <w:r>
              <w:rPr>
                <w:rFonts w:hint="eastAsia" w:ascii="仿宋" w:hAnsi="仿宋" w:eastAsia="仿宋" w:cs="宋体"/>
                <w:color w:val="auto"/>
                <w:sz w:val="24"/>
              </w:rPr>
              <w:t>8.经验收后，乙方服务成果不合格的（或未通过评审的），甲方有权要求乙方 进行整改，相关费用由乙方承担；如整改后仍不合格的，甲方有权解除合同， 并可以拒绝支付未支付的款项，乙方已经收取的履约验收款项应退还给甲方。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jc w:val="center"/>
              <w:rPr>
                <w:rFonts w:ascii="仿宋" w:hAnsi="仿宋" w:eastAsia="仿宋" w:cs="仿宋"/>
                <w:color w:val="auto"/>
                <w:sz w:val="24"/>
              </w:rPr>
            </w:pPr>
            <w:r>
              <w:rPr>
                <w:rFonts w:hint="eastAsia" w:ascii="仿宋" w:hAnsi="仿宋" w:eastAsia="仿宋" w:cs="仿宋"/>
                <w:color w:val="auto"/>
                <w:sz w:val="24"/>
              </w:rPr>
              <w:t>2.19</w:t>
            </w:r>
          </w:p>
        </w:tc>
        <w:tc>
          <w:tcPr>
            <w:tcW w:w="4464" w:type="pct"/>
          </w:tcPr>
          <w:p>
            <w:pPr>
              <w:rPr>
                <w:rFonts w:ascii="仿宋" w:hAnsi="仿宋" w:eastAsia="仿宋" w:cs="仿宋"/>
                <w:color w:val="auto"/>
                <w:sz w:val="24"/>
              </w:rPr>
            </w:pPr>
            <w:r>
              <w:rPr>
                <w:rFonts w:hint="eastAsia" w:ascii="仿宋" w:hAnsi="仿宋" w:eastAsia="仿宋" w:cs="宋体"/>
                <w:color w:val="auto"/>
                <w:sz w:val="24"/>
              </w:rPr>
              <w:t>本合同一式【陆】份，甲方执【肆】份，乙方执【贰】份</w:t>
            </w:r>
          </w:p>
        </w:tc>
      </w:tr>
    </w:tbl>
    <w:p>
      <w:pPr>
        <w:spacing w:line="560" w:lineRule="exact"/>
        <w:ind w:left="-420" w:leftChars="-200" w:right="-420" w:rightChars="-200" w:firstLine="420" w:firstLineChars="200"/>
        <w:rPr>
          <w:rFonts w:ascii="仿宋" w:hAnsi="仿宋" w:eastAsia="仿宋" w:cs="仿宋"/>
          <w:color w:val="auto"/>
        </w:rPr>
      </w:pPr>
    </w:p>
    <w:p>
      <w:pPr>
        <w:widowControl/>
        <w:adjustRightInd/>
        <w:jc w:val="center"/>
        <w:rPr>
          <w:rFonts w:ascii="仿宋" w:hAnsi="仿宋" w:eastAsia="仿宋" w:cs="仿宋"/>
          <w:b/>
          <w:color w:val="auto"/>
          <w:sz w:val="36"/>
          <w:szCs w:val="20"/>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widowControl/>
        <w:adjustRightInd/>
        <w:jc w:val="center"/>
        <w:rPr>
          <w:rFonts w:ascii="仿宋" w:hAnsi="仿宋" w:eastAsia="仿宋" w:cs="仿宋"/>
          <w:b/>
          <w:color w:val="auto"/>
          <w:sz w:val="36"/>
          <w:szCs w:val="20"/>
        </w:rPr>
      </w:pPr>
      <w:r>
        <w:rPr>
          <w:rFonts w:hint="eastAsia" w:ascii="仿宋" w:hAnsi="仿宋" w:eastAsia="仿宋" w:cs="仿宋"/>
          <w:b/>
          <w:color w:val="auto"/>
          <w:sz w:val="36"/>
          <w:szCs w:val="20"/>
        </w:rPr>
        <w:t xml:space="preserve">第六部分 </w:t>
      </w:r>
      <w:bookmarkEnd w:id="389"/>
      <w:r>
        <w:rPr>
          <w:rFonts w:hint="eastAsia" w:ascii="仿宋" w:hAnsi="仿宋" w:eastAsia="仿宋" w:cs="仿宋"/>
          <w:b/>
          <w:color w:val="auto"/>
          <w:sz w:val="36"/>
          <w:szCs w:val="20"/>
        </w:rPr>
        <w:t>应提交的有关格式范例</w:t>
      </w:r>
    </w:p>
    <w:p>
      <w:pPr>
        <w:spacing w:line="360" w:lineRule="auto"/>
        <w:jc w:val="center"/>
        <w:outlineLvl w:val="0"/>
        <w:rPr>
          <w:rFonts w:ascii="仿宋" w:hAnsi="仿宋" w:eastAsia="仿宋" w:cs="仿宋"/>
          <w:b/>
          <w:color w:val="auto"/>
          <w:kern w:val="0"/>
          <w:sz w:val="36"/>
          <w:szCs w:val="36"/>
        </w:r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一、符合参加政府采购活动应当具备的一般条件的承诺函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ind w:firstLine="5520" w:firstLineChars="2300"/>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widowControl/>
        <w:spacing w:line="360" w:lineRule="auto"/>
        <w:ind w:firstLine="643" w:firstLineChars="200"/>
        <w:jc w:val="center"/>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widowControl/>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.专门面向中小企业，服务全部由符合政策要求的中小企业（或小微企业）承接的，提供相应的中小企业声明函（附件7）。</w:t>
      </w:r>
    </w:p>
    <w:p>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rPr>
      </w:pPr>
    </w:p>
    <w:p>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ascii="仿宋" w:hAnsi="仿宋" w:eastAsia="仿宋" w:cs="仿宋"/>
          <w:color w:val="auto"/>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（根据招标公告本项目的特定资格要求提供相应的材料；未要求的，无需提供）</w:t>
      </w:r>
    </w:p>
    <w:p>
      <w:pPr>
        <w:spacing w:line="360" w:lineRule="auto"/>
        <w:ind w:right="42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outlineLvl w:val="0"/>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2.1资格文件：</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2.1.1承诺函；</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03" w:name="_Hlk101257010"/>
      <w:r>
        <w:rPr>
          <w:rFonts w:hint="eastAsia" w:ascii="仿宋" w:hAnsi="仿宋" w:eastAsia="仿宋" w:cs="仿宋"/>
          <w:color w:val="auto"/>
          <w:sz w:val="24"/>
        </w:rPr>
        <w:t>（如果有)</w:t>
      </w:r>
      <w:bookmarkEnd w:id="503"/>
      <w:r>
        <w:rPr>
          <w:rFonts w:hint="eastAsia" w:ascii="仿宋" w:hAnsi="仿宋" w:eastAsia="仿宋" w:cs="仿宋"/>
          <w:snapToGrid w:val="0"/>
          <w:color w:val="auto"/>
          <w:kern w:val="28"/>
          <w:sz w:val="24"/>
          <w:szCs w:val="20"/>
        </w:rPr>
        <w:t>；</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80" w:lineRule="exact"/>
        <w:ind w:left="210" w:leftChars="1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2.2.6投标标的清单；</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80" w:lineRule="exact"/>
        <w:ind w:left="420" w:leftChars="2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2.3.1开标一览表（报价表）；</w:t>
      </w:r>
    </w:p>
    <w:p>
      <w:pPr>
        <w:spacing w:line="380" w:lineRule="exact"/>
        <w:ind w:left="420" w:leftChars="200" w:firstLine="480" w:firstLineChars="200"/>
        <w:rPr>
          <w:rFonts w:ascii="仿宋" w:hAnsi="仿宋" w:eastAsia="仿宋" w:cs="仿宋"/>
          <w:color w:val="auto"/>
        </w:rPr>
      </w:pPr>
      <w:r>
        <w:rPr>
          <w:rFonts w:hint="eastAsia" w:ascii="仿宋" w:hAnsi="仿宋" w:eastAsia="仿宋" w:cs="仿宋"/>
          <w:color w:val="auto"/>
          <w:sz w:val="24"/>
        </w:rPr>
        <w:t>2.3.2 报价情况说明（如果有）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2.3.2中小企业声明函（如果有）。</w:t>
      </w:r>
    </w:p>
    <w:p>
      <w:pPr>
        <w:pStyle w:val="2"/>
        <w:spacing w:line="380" w:lineRule="exact"/>
        <w:ind w:firstLine="960" w:firstLineChars="400"/>
        <w:rPr>
          <w:rFonts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3、我方承诺除商务技术偏离表列出的偏离外，我方响应招标文件的全部要求。对投标文件中材料的真实性、合法性负责。</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4.3按照招标文件要求提交履约保证金；</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4.4在合同约定的期限内完成合同规定的全部义务。</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80" w:lineRule="exact"/>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80" w:lineRule="exact"/>
        <w:ind w:firstLine="3600" w:firstLineChars="1500"/>
        <w:rPr>
          <w:rFonts w:ascii="仿宋" w:hAnsi="仿宋" w:eastAsia="仿宋" w:cs="仿宋"/>
          <w:color w:val="auto"/>
          <w:sz w:val="24"/>
        </w:rPr>
      </w:pPr>
      <w:r>
        <w:rPr>
          <w:rFonts w:hint="eastAsia" w:ascii="仿宋" w:hAnsi="仿宋" w:eastAsia="仿宋" w:cs="仿宋"/>
          <w:color w:val="auto"/>
          <w:sz w:val="24"/>
        </w:rPr>
        <w:t>日期：  年   月   日</w:t>
      </w:r>
    </w:p>
    <w:p>
      <w:pPr>
        <w:spacing w:line="380" w:lineRule="exact"/>
        <w:ind w:right="420"/>
        <w:rPr>
          <w:rFonts w:ascii="仿宋" w:hAnsi="仿宋" w:eastAsia="仿宋" w:cs="仿宋"/>
          <w:color w:val="auto"/>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jc w:val="center"/>
        <w:rPr>
          <w:rFonts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委托期限：自   年 月  日起至  年  月  日止。</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特此告知。</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kern w:val="0"/>
          <w:sz w:val="24"/>
          <w:lang w:val="zh-CN"/>
        </w:rPr>
        <w:t>签发</w:t>
      </w:r>
      <w:r>
        <w:rPr>
          <w:rFonts w:hint="eastAsia" w:ascii="仿宋" w:hAnsi="仿宋" w:eastAsia="仿宋" w:cs="仿宋"/>
          <w:color w:val="auto"/>
          <w:sz w:val="24"/>
        </w:rPr>
        <w:t>日期：  年   月   日</w:t>
      </w:r>
    </w:p>
    <w:p>
      <w:pPr>
        <w:pStyle w:val="2"/>
        <w:ind w:firstLine="0" w:firstLineChars="0"/>
        <w:jc w:val="center"/>
        <w:rPr>
          <w:color w:val="auto"/>
          <w:lang w:val="en-US"/>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委托期限：自   年 月  日起至  年  月  日止。</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特此告知。</w:t>
      </w:r>
    </w:p>
    <w:p>
      <w:pPr>
        <w:pStyle w:val="2"/>
        <w:ind w:firstLine="0" w:firstLineChars="0"/>
        <w:jc w:val="center"/>
        <w:rPr>
          <w:color w:val="auto"/>
          <w:lang w:val="en-US"/>
        </w:rPr>
      </w:pP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ind w:firstLine="5040" w:firstLineChars="2100"/>
        <w:rPr>
          <w:rFonts w:ascii="仿宋" w:hAnsi="仿宋" w:eastAsia="仿宋" w:cs="仿宋"/>
          <w:color w:val="auto"/>
          <w:kern w:val="0"/>
          <w:sz w:val="24"/>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0"/>
          <w:sz w:val="24"/>
          <w:lang w:val="zh-CN"/>
        </w:rPr>
        <w:t>日期：  年  月   日</w:t>
      </w:r>
    </w:p>
    <w:p>
      <w:pPr>
        <w:autoSpaceDE w:val="0"/>
        <w:autoSpaceDN w:val="0"/>
        <w:spacing w:line="360" w:lineRule="auto"/>
        <w:jc w:val="center"/>
        <w:rPr>
          <w:rFonts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ascii="仿宋" w:hAnsi="仿宋" w:eastAsia="仿宋" w:cs="仿宋"/>
          <w:bCs/>
          <w:color w:val="auto"/>
          <w:sz w:val="24"/>
        </w:rPr>
      </w:pPr>
      <w:r>
        <w:rPr>
          <w:rFonts w:hint="eastAsia" w:ascii="仿宋" w:hAnsi="仿宋" w:eastAsia="仿宋" w:cs="仿宋"/>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                                 反面：</w:t>
            </w:r>
          </w:p>
        </w:tc>
      </w:tr>
    </w:tbl>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日期：  年   月   日</w:t>
      </w:r>
    </w:p>
    <w:p>
      <w:pPr>
        <w:snapToGrid w:val="0"/>
        <w:spacing w:line="360" w:lineRule="auto"/>
        <w:jc w:val="center"/>
        <w:rPr>
          <w:rFonts w:ascii="仿宋" w:hAnsi="仿宋" w:eastAsia="仿宋" w:cs="仿宋"/>
          <w:b/>
          <w:color w:val="auto"/>
          <w:kern w:val="0"/>
          <w:sz w:val="32"/>
          <w:szCs w:val="32"/>
        </w:rPr>
      </w:pPr>
    </w:p>
    <w:p>
      <w:pPr>
        <w:snapToGrid w:val="0"/>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pPr>
        <w:jc w:val="center"/>
        <w:rPr>
          <w:rFonts w:ascii="仿宋" w:hAnsi="仿宋" w:eastAsia="仿宋" w:cs="仿宋"/>
          <w:b/>
          <w:color w:val="auto"/>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4991" w:type="dxa"/>
          </w:tcPr>
          <w:p>
            <w:pPr>
              <w:rPr>
                <w:rFonts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ascii="仿宋" w:hAnsi="仿宋" w:eastAsia="仿宋" w:cs="仿宋"/>
                <w:color w:val="auto"/>
                <w:sz w:val="24"/>
              </w:rPr>
            </w:pPr>
            <w:r>
              <w:rPr>
                <w:rFonts w:hint="eastAsia" w:ascii="仿宋" w:hAnsi="仿宋" w:eastAsia="仿宋" w:cs="仿宋"/>
                <w:color w:val="auto"/>
                <w:sz w:val="24"/>
              </w:rPr>
              <w:t>见投标文件</w:t>
            </w:r>
          </w:p>
          <w:p>
            <w:pPr>
              <w:rPr>
                <w:rFonts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4991" w:type="dxa"/>
          </w:tcPr>
          <w:p>
            <w:pPr>
              <w:rPr>
                <w:rFonts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4991" w:type="dxa"/>
          </w:tcPr>
          <w:p>
            <w:pPr>
              <w:rPr>
                <w:rFonts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ascii="仿宋" w:hAnsi="仿宋" w:eastAsia="仿宋" w:cs="仿宋"/>
                <w:color w:val="auto"/>
                <w:sz w:val="24"/>
              </w:rPr>
            </w:pPr>
            <w:r>
              <w:rPr>
                <w:rFonts w:hint="eastAsia" w:ascii="仿宋" w:hAnsi="仿宋" w:eastAsia="仿宋" w:cs="仿宋"/>
                <w:color w:val="auto"/>
                <w:kern w:val="0"/>
                <w:sz w:val="24"/>
              </w:rPr>
              <w:t>招标文件其它实质性要求相应的材料（“▲”系指实质性要求条款，招标文件无其它实质性要求的，无需提供）</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rPr>
      </w:pPr>
    </w:p>
    <w:p>
      <w:pPr>
        <w:jc w:val="center"/>
        <w:rPr>
          <w:rFonts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bl>
    <w:p>
      <w:pPr>
        <w:jc w:val="left"/>
        <w:rPr>
          <w:rFonts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ind w:firstLine="1911" w:firstLineChars="595"/>
        <w:rPr>
          <w:rFonts w:ascii="仿宋" w:hAnsi="仿宋" w:eastAsia="仿宋" w:cs="仿宋"/>
          <w:b/>
          <w:bCs/>
          <w:color w:val="auto"/>
          <w:sz w:val="32"/>
          <w:szCs w:val="32"/>
        </w:rPr>
        <w:sectPr>
          <w:pgSz w:w="11906" w:h="16838"/>
          <w:pgMar w:top="1276" w:right="1418" w:bottom="1247" w:left="1418" w:header="851" w:footer="992" w:gutter="0"/>
          <w:cols w:space="720" w:num="1"/>
          <w:titlePg/>
          <w:docGrid w:linePitch="312" w:charSpace="0"/>
        </w:sectPr>
      </w:pPr>
    </w:p>
    <w:p>
      <w:pPr>
        <w:ind w:firstLine="1911" w:firstLineChars="595"/>
        <w:rPr>
          <w:rFonts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pPr>
        <w:spacing w:line="360" w:lineRule="auto"/>
        <w:ind w:left="4620" w:leftChars="22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ascii="仿宋" w:hAnsi="仿宋" w:eastAsia="仿宋" w:cs="仿宋"/>
          <w:b/>
          <w:bCs/>
          <w:color w:val="auto"/>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（1）开标一览表（报价表）………………………………………………………（页码）</w:t>
      </w:r>
    </w:p>
    <w:p>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Cs/>
          <w:snapToGrid w:val="0"/>
          <w:color w:val="auto"/>
          <w:sz w:val="24"/>
        </w:rPr>
        <w:t>报价情况说明</w:t>
      </w:r>
      <w:r>
        <w:rPr>
          <w:rFonts w:hint="eastAsia" w:ascii="仿宋" w:hAnsi="仿宋" w:eastAsia="仿宋" w:cs="仿宋"/>
          <w:color w:val="auto"/>
          <w:sz w:val="24"/>
        </w:rPr>
        <w:t>…………………………………………………………………（页码）</w:t>
      </w:r>
    </w:p>
    <w:p>
      <w:pPr>
        <w:spacing w:line="360" w:lineRule="auto"/>
        <w:rPr>
          <w:rFonts w:ascii="仿宋" w:hAnsi="仿宋" w:eastAsia="仿宋" w:cs="仿宋"/>
          <w:color w:val="auto"/>
        </w:rPr>
      </w:pPr>
      <w:r>
        <w:rPr>
          <w:rFonts w:hint="eastAsia" w:ascii="仿宋" w:hAnsi="仿宋" w:eastAsia="仿宋" w:cs="仿宋"/>
          <w:color w:val="auto"/>
          <w:sz w:val="24"/>
        </w:rPr>
        <w:t>（3）中小企业声明函………………………………………………………………（页码）</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spacing w:line="360" w:lineRule="auto"/>
        <w:jc w:val="center"/>
        <w:rPr>
          <w:rFonts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名称</w:t>
            </w:r>
          </w:p>
        </w:tc>
        <w:tc>
          <w:tcPr>
            <w:tcW w:w="2268"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2127"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92"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92"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w:t>
            </w:r>
          </w:p>
        </w:tc>
        <w:tc>
          <w:tcPr>
            <w:tcW w:w="992"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87" w:type="dxa"/>
            <w:gridSpan w:val="4"/>
            <w:vAlign w:val="center"/>
          </w:tcPr>
          <w:p>
            <w:pPr>
              <w:jc w:val="center"/>
              <w:rPr>
                <w:rFonts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jc w:val="center"/>
              <w:rPr>
                <w:rFonts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tcPr>
          <w:p>
            <w:pPr>
              <w:jc w:val="center"/>
              <w:rPr>
                <w:rFonts w:ascii="仿宋" w:hAnsi="仿宋" w:eastAsia="仿宋" w:cs="仿宋"/>
                <w:color w:val="auto"/>
                <w:sz w:val="24"/>
              </w:rPr>
            </w:pPr>
          </w:p>
        </w:tc>
      </w:tr>
    </w:tbl>
    <w:p>
      <w:pPr>
        <w:snapToGrid w:val="0"/>
        <w:spacing w:line="240" w:lineRule="exact"/>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240" w:lineRule="exact"/>
        <w:ind w:left="-2" w:leftChars="-1"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pPr>
        <w:spacing w:line="2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24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24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numPr>
          <w:ilvl w:val="0"/>
          <w:numId w:val="4"/>
        </w:numPr>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报价情况说明（如果有）</w:t>
      </w:r>
    </w:p>
    <w:p>
      <w:pPr>
        <w:pStyle w:val="5"/>
        <w:keepNext w:val="0"/>
        <w:numPr>
          <w:ilvl w:val="255"/>
          <w:numId w:val="0"/>
        </w:numPr>
        <w:snapToGrid w:val="0"/>
        <w:spacing w:before="120" w:after="120"/>
        <w:rPr>
          <w:rFonts w:ascii="仿宋" w:eastAsia="仿宋" w:cs="仿宋"/>
          <w:color w:val="auto"/>
          <w:lang w:val="en-US"/>
        </w:rPr>
      </w:pPr>
      <w:r>
        <w:rPr>
          <w:rFonts w:hint="eastAsia" w:ascii="仿宋" w:eastAsia="仿宋" w:cs="仿宋"/>
          <w:b w:val="0"/>
          <w:bCs w:val="0"/>
          <w:color w:val="auto"/>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rPr>
      </w:pPr>
      <w:r>
        <w:rPr>
          <w:rFonts w:hint="eastAsia" w:ascii="仿宋" w:hAnsi="仿宋" w:eastAsia="仿宋" w:cs="仿宋"/>
          <w:color w:val="auto"/>
          <w:kern w:val="2"/>
          <w:sz w:val="32"/>
          <w:szCs w:val="32"/>
        </w:rPr>
        <w:t>三、</w:t>
      </w:r>
      <w:r>
        <w:rPr>
          <w:rFonts w:hint="eastAsia" w:ascii="仿宋" w:hAnsi="仿宋" w:eastAsia="仿宋" w:cs="仿宋"/>
          <w:color w:val="auto"/>
          <w:sz w:val="32"/>
          <w:szCs w:val="32"/>
        </w:rPr>
        <w:t>中小企业声明函（如果有）</w:t>
      </w:r>
    </w:p>
    <w:p>
      <w:pPr>
        <w:widowControl/>
        <w:spacing w:line="360" w:lineRule="auto"/>
        <w:ind w:firstLine="120" w:firstLineChars="50"/>
        <w:jc w:val="left"/>
        <w:rPr>
          <w:rFonts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r>
        <w:rPr>
          <w:rFonts w:hint="eastAsia" w:ascii="仿宋" w:hAnsi="仿宋" w:eastAsia="仿宋" w:cs="仿宋"/>
          <w:color w:val="auto"/>
        </w:rPr>
        <w:t>附件</w:t>
      </w:r>
    </w:p>
    <w:p>
      <w:pPr>
        <w:spacing w:line="360" w:lineRule="auto"/>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jc w:val="left"/>
        <w:rPr>
          <w:rFonts w:ascii="仿宋" w:hAnsi="仿宋" w:eastAsia="仿宋" w:cs="仿宋"/>
          <w:b/>
          <w:color w:val="auto"/>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27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276"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276"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276" w:lineRule="auto"/>
        <w:rPr>
          <w:rFonts w:ascii="仿宋" w:hAnsi="仿宋" w:eastAsia="仿宋" w:cs="仿宋"/>
          <w:b/>
          <w:color w:val="auto"/>
          <w:sz w:val="24"/>
        </w:rPr>
      </w:pPr>
      <w:r>
        <w:rPr>
          <w:rFonts w:hint="eastAsia" w:ascii="仿宋" w:hAnsi="仿宋" w:eastAsia="仿宋" w:cs="仿宋"/>
          <w:b/>
          <w:color w:val="auto"/>
          <w:sz w:val="24"/>
        </w:rPr>
        <w:t>质疑函制作说明：</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ascii="仿宋" w:hAnsi="仿宋" w:eastAsia="仿宋" w:cs="仿宋"/>
          <w:color w:val="auto"/>
          <w:sz w:val="24"/>
          <w:u w:val="dotted"/>
        </w:rPr>
        <w:t xml:space="preserve"> </w:t>
      </w:r>
      <w:r>
        <w:rPr>
          <w:rFonts w:hint="eastAsia" w:ascii="仿宋" w:hAnsi="仿宋" w:eastAsia="仿宋" w:cs="仿宋"/>
          <w:color w:val="auto"/>
          <w:sz w:val="24"/>
          <w:u w:val="dotted"/>
        </w:rPr>
        <w:t xml:space="preserve">  </w:t>
      </w:r>
    </w:p>
    <w:p>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p>
    <w:p>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jc w:val="center"/>
        <w:rPr>
          <w:rFonts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ascii="仿宋" w:hAnsi="仿宋" w:eastAsia="仿宋" w:cs="仿宋"/>
          <w:color w:val="auto"/>
          <w:sz w:val="24"/>
        </w:rPr>
      </w:pPr>
      <w:r>
        <w:rPr>
          <w:rFonts w:hint="eastAsia" w:ascii="仿宋" w:hAnsi="仿宋" w:eastAsia="仿宋" w:cs="仿宋"/>
          <w:color w:val="auto"/>
          <w:sz w:val="24"/>
          <w:u w:val="single"/>
        </w:rPr>
        <w:t>（采购人）、（采购代理机构）：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pPr>
        <w:spacing w:line="360" w:lineRule="auto"/>
        <w:ind w:right="480" w:firstLine="4080" w:firstLineChars="1700"/>
        <w:rPr>
          <w:rFonts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rPr>
          <w:rFonts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jc w:val="center"/>
        <w:rPr>
          <w:rFonts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exact"/>
        <w:ind w:firstLine="576"/>
        <w:rPr>
          <w:rFonts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04" w:name="_Hlk101131882"/>
      <w:r>
        <w:rPr>
          <w:rFonts w:hint="eastAsia" w:ascii="仿宋" w:hAnsi="仿宋" w:eastAsia="仿宋" w:cs="仿宋"/>
          <w:color w:val="auto"/>
          <w:kern w:val="0"/>
          <w:sz w:val="24"/>
          <w:u w:val="single"/>
        </w:rPr>
        <w:t>联合体成员X,……</w:t>
      </w:r>
      <w:bookmarkEnd w:id="504"/>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05"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05"/>
      <w:r>
        <w:rPr>
          <w:rFonts w:hint="eastAsia" w:ascii="仿宋" w:hAnsi="仿宋" w:eastAsia="仿宋" w:cs="仿宋"/>
          <w:b/>
          <w:color w:val="auto"/>
          <w:kern w:val="0"/>
          <w:sz w:val="24"/>
          <w:lang w:val="zh-CN"/>
        </w:rPr>
        <w:t>）</w:t>
      </w:r>
    </w:p>
    <w:p>
      <w:pPr>
        <w:spacing w:line="360" w:lineRule="exact"/>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w:t>
      </w:r>
      <w:bookmarkStart w:id="506"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06"/>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exact"/>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exact"/>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exact"/>
        <w:ind w:right="960"/>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exact"/>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widowControl/>
        <w:adjustRightInd/>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widowControl/>
        <w:adjustRightInd/>
        <w:jc w:val="center"/>
        <w:rPr>
          <w:rFonts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spacing w:line="360" w:lineRule="exact"/>
        <w:ind w:left="664" w:leftChars="316" w:firstLine="229" w:firstLineChars="95"/>
        <w:rPr>
          <w:rFonts w:ascii="仿宋" w:eastAsia="仿宋" w:cs="仿宋"/>
          <w:color w:val="auto"/>
          <w:kern w:val="0"/>
          <w:sz w:val="24"/>
          <w:szCs w:val="24"/>
        </w:rPr>
      </w:pPr>
      <w:r>
        <w:rPr>
          <w:rFonts w:hint="eastAsia" w:ascii="仿宋" w:eastAsia="仿宋" w:cs="仿宋"/>
          <w:color w:val="auto"/>
          <w:kern w:val="0"/>
          <w:sz w:val="24"/>
          <w:szCs w:val="24"/>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exact"/>
        <w:ind w:firstLine="576"/>
        <w:rPr>
          <w:rFonts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exact"/>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exact"/>
        <w:ind w:firstLine="576"/>
        <w:rPr>
          <w:rFonts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exact"/>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60" w:lineRule="exact"/>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exact"/>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exact"/>
        <w:ind w:right="420"/>
        <w:rPr>
          <w:rFonts w:ascii="仿宋" w:hAnsi="仿宋" w:eastAsia="仿宋" w:cs="仿宋"/>
          <w:b/>
          <w:color w:val="auto"/>
          <w:spacing w:val="6"/>
          <w:sz w:val="32"/>
          <w:szCs w:val="32"/>
        </w:rPr>
      </w:pPr>
      <w:r>
        <w:rPr>
          <w:rFonts w:hint="eastAsia" w:ascii="仿宋" w:hAnsi="仿宋" w:eastAsia="仿宋" w:cs="仿宋"/>
          <w:color w:val="auto"/>
          <w:sz w:val="24"/>
        </w:rPr>
        <w:t>注：按本格式和要求提供。</w:t>
      </w:r>
    </w:p>
    <w:p>
      <w:pPr>
        <w:spacing w:line="360" w:lineRule="auto"/>
        <w:jc w:val="left"/>
        <w:outlineLvl w:val="0"/>
        <w:rPr>
          <w:rFonts w:ascii="仿宋" w:hAnsi="仿宋" w:eastAsia="仿宋" w:cs="仿宋"/>
          <w:b/>
          <w:color w:val="auto"/>
          <w:sz w:val="36"/>
          <w:szCs w:val="20"/>
        </w:rPr>
        <w:sectPr>
          <w:pgSz w:w="11906" w:h="16838"/>
          <w:pgMar w:top="1276" w:right="1418" w:bottom="1247" w:left="1418" w:header="851" w:footer="992" w:gutter="0"/>
          <w:cols w:space="720" w:num="1"/>
          <w:titlePg/>
          <w:docGrid w:linePitch="312" w:charSpace="0"/>
        </w:sectPr>
      </w:pPr>
    </w:p>
    <w:p>
      <w:pPr>
        <w:spacing w:line="360" w:lineRule="auto"/>
        <w:jc w:val="left"/>
        <w:outlineLvl w:val="0"/>
        <w:rPr>
          <w:rFonts w:ascii="仿宋" w:hAnsi="仿宋" w:eastAsia="仿宋" w:cs="仿宋"/>
          <w:color w:val="auto"/>
          <w:sz w:val="24"/>
          <w:u w:val="single"/>
        </w:rPr>
      </w:pPr>
      <w:r>
        <w:rPr>
          <w:rFonts w:hint="eastAsia" w:ascii="仿宋" w:hAnsi="仿宋" w:eastAsia="仿宋" w:cs="仿宋"/>
          <w:b/>
          <w:color w:val="auto"/>
          <w:sz w:val="36"/>
          <w:szCs w:val="20"/>
        </w:rPr>
        <w:t>附件7：中小企业声明函</w:t>
      </w: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日期：</w:t>
      </w:r>
    </w:p>
    <w:p>
      <w:pPr>
        <w:spacing w:line="360" w:lineRule="auto"/>
        <w:ind w:firstLine="310" w:firstLineChars="147"/>
        <w:jc w:val="left"/>
        <w:rPr>
          <w:rFonts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ind w:right="420"/>
        <w:rPr>
          <w:rFonts w:ascii="仿宋" w:hAnsi="仿宋" w:eastAsia="仿宋" w:cs="仿宋"/>
          <w:color w:val="auto"/>
          <w:sz w:val="22"/>
          <w:szCs w:val="22"/>
        </w:rPr>
      </w:pPr>
      <w:r>
        <w:rPr>
          <w:rFonts w:hint="eastAsia" w:ascii="仿宋" w:hAnsi="仿宋" w:eastAsia="仿宋" w:cs="仿宋"/>
          <w:color w:val="auto"/>
          <w:sz w:val="22"/>
          <w:szCs w:val="22"/>
        </w:rPr>
        <w:t>注：</w:t>
      </w:r>
    </w:p>
    <w:p>
      <w:pPr>
        <w:numPr>
          <w:ilvl w:val="0"/>
          <w:numId w:val="5"/>
        </w:numPr>
        <w:ind w:right="420" w:firstLine="440" w:firstLineChars="200"/>
        <w:rPr>
          <w:rFonts w:ascii="仿宋" w:hAnsi="仿宋" w:eastAsia="仿宋" w:cs="仿宋"/>
          <w:color w:val="auto"/>
          <w:sz w:val="22"/>
          <w:szCs w:val="22"/>
        </w:rPr>
      </w:pPr>
      <w:r>
        <w:rPr>
          <w:rFonts w:hint="eastAsia" w:ascii="仿宋" w:hAnsi="仿宋" w:eastAsia="仿宋" w:cs="仿宋"/>
          <w:color w:val="auto"/>
          <w:sz w:val="22"/>
          <w:szCs w:val="22"/>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numPr>
          <w:ilvl w:val="0"/>
          <w:numId w:val="5"/>
        </w:numPr>
        <w:ind w:right="420" w:firstLine="440" w:firstLineChars="200"/>
        <w:rPr>
          <w:rFonts w:ascii="仿宋" w:hAnsi="仿宋" w:eastAsia="仿宋" w:cs="仿宋"/>
          <w:color w:val="auto"/>
          <w:sz w:val="22"/>
          <w:szCs w:val="22"/>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19"/>
        <w:snapToGrid w:val="0"/>
        <w:spacing w:after="120" w:line="500" w:lineRule="exact"/>
        <w:jc w:val="center"/>
        <w:rPr>
          <w:rFonts w:ascii="仿宋" w:hAnsi="仿宋" w:eastAsia="仿宋"/>
          <w:color w:val="auto"/>
          <w:szCs w:val="21"/>
          <w:u w:val="single"/>
        </w:rPr>
      </w:pPr>
      <w:r>
        <w:rPr>
          <w:rFonts w:ascii="仿宋" w:hAnsi="仿宋" w:eastAsia="仿宋" w:cs="方正小标宋简体"/>
          <w:b/>
          <w:color w:val="auto"/>
          <w:sz w:val="28"/>
          <w:szCs w:val="28"/>
        </w:rPr>
        <w:t>政府采购活动现场确认声明书</w:t>
      </w:r>
    </w:p>
    <w:p>
      <w:pPr>
        <w:pStyle w:val="319"/>
        <w:adjustRightInd w:val="0"/>
        <w:snapToGrid w:val="0"/>
        <w:spacing w:after="120" w:line="360" w:lineRule="auto"/>
        <w:rPr>
          <w:rFonts w:ascii="仿宋" w:hAnsi="仿宋" w:eastAsia="仿宋"/>
          <w:b/>
          <w:color w:val="auto"/>
          <w:szCs w:val="21"/>
        </w:rPr>
      </w:pPr>
      <w:r>
        <w:rPr>
          <w:rFonts w:ascii="仿宋" w:hAnsi="仿宋" w:eastAsia="仿宋"/>
          <w:color w:val="auto"/>
          <w:spacing w:val="6"/>
          <w:szCs w:val="21"/>
          <w:u w:val="single"/>
        </w:rPr>
        <w:t xml:space="preserve">                 </w:t>
      </w:r>
      <w:r>
        <w:rPr>
          <w:rFonts w:ascii="仿宋" w:hAnsi="仿宋" w:eastAsia="仿宋"/>
          <w:color w:val="auto"/>
          <w:szCs w:val="21"/>
        </w:rPr>
        <w:t>：</w:t>
      </w:r>
    </w:p>
    <w:p>
      <w:pPr>
        <w:pStyle w:val="319"/>
        <w:adjustRightInd w:val="0"/>
        <w:snapToGrid w:val="0"/>
        <w:spacing w:before="120" w:beforeLines="50" w:after="120" w:line="320" w:lineRule="exact"/>
        <w:ind w:firstLine="424" w:firstLineChars="200"/>
        <w:rPr>
          <w:rFonts w:ascii="仿宋" w:hAnsi="仿宋" w:eastAsia="仿宋"/>
          <w:color w:val="auto"/>
          <w:spacing w:val="6"/>
          <w:szCs w:val="21"/>
        </w:rPr>
      </w:pPr>
      <w:r>
        <w:rPr>
          <w:rFonts w:ascii="仿宋" w:hAnsi="仿宋" w:eastAsia="仿宋"/>
          <w:color w:val="auto"/>
          <w:spacing w:val="6"/>
          <w:szCs w:val="21"/>
        </w:rPr>
        <w:t>本人经由</w:t>
      </w:r>
      <w:r>
        <w:rPr>
          <w:rFonts w:ascii="仿宋" w:hAnsi="仿宋" w:eastAsia="仿宋"/>
          <w:color w:val="auto"/>
          <w:spacing w:val="6"/>
          <w:szCs w:val="21"/>
          <w:u w:val="single"/>
        </w:rPr>
        <w:t xml:space="preserve">                    （单位全称）</w:t>
      </w:r>
      <w:r>
        <w:rPr>
          <w:rFonts w:ascii="仿宋" w:hAnsi="仿宋" w:eastAsia="仿宋"/>
          <w:color w:val="auto"/>
          <w:spacing w:val="6"/>
          <w:szCs w:val="21"/>
        </w:rPr>
        <w:t>负责人</w:t>
      </w:r>
      <w:r>
        <w:rPr>
          <w:rFonts w:ascii="仿宋" w:hAnsi="仿宋" w:eastAsia="仿宋"/>
          <w:color w:val="auto"/>
          <w:spacing w:val="6"/>
          <w:szCs w:val="21"/>
          <w:u w:val="single"/>
        </w:rPr>
        <w:t xml:space="preserve">        （法人姓名）</w:t>
      </w:r>
      <w:r>
        <w:rPr>
          <w:rFonts w:ascii="仿宋" w:hAnsi="仿宋" w:eastAsia="仿宋"/>
          <w:color w:val="auto"/>
          <w:spacing w:val="6"/>
          <w:szCs w:val="21"/>
        </w:rPr>
        <w:t>合法授权参加</w:t>
      </w:r>
      <w:r>
        <w:rPr>
          <w:rFonts w:ascii="仿宋" w:hAnsi="仿宋" w:eastAsia="仿宋"/>
          <w:color w:val="auto"/>
          <w:spacing w:val="6"/>
          <w:szCs w:val="21"/>
          <w:u w:val="single"/>
        </w:rPr>
        <w:t xml:space="preserve">     </w:t>
      </w:r>
      <w:r>
        <w:rPr>
          <w:rFonts w:ascii="仿宋" w:hAnsi="仿宋" w:eastAsia="仿宋"/>
          <w:color w:val="auto"/>
          <w:spacing w:val="6"/>
          <w:szCs w:val="21"/>
        </w:rPr>
        <w:t>项目</w:t>
      </w:r>
      <w:r>
        <w:rPr>
          <w:rFonts w:ascii="仿宋" w:hAnsi="仿宋" w:eastAsia="仿宋"/>
          <w:color w:val="auto"/>
          <w:spacing w:val="6"/>
          <w:szCs w:val="21"/>
          <w:u w:val="single"/>
        </w:rPr>
        <w:t>（编号：        ）</w:t>
      </w:r>
      <w:r>
        <w:rPr>
          <w:rFonts w:ascii="仿宋" w:hAnsi="仿宋" w:eastAsia="仿宋"/>
          <w:color w:val="auto"/>
          <w:spacing w:val="6"/>
          <w:szCs w:val="21"/>
        </w:rPr>
        <w:t xml:space="preserve">政府采购活动，经与本单位法人代表（负责人）联系确认，现就有关公平竞争事项郑重声明如下： </w:t>
      </w:r>
    </w:p>
    <w:p>
      <w:pPr>
        <w:pStyle w:val="839"/>
        <w:widowControl/>
        <w:numPr>
          <w:ilvl w:val="0"/>
          <w:numId w:val="6"/>
        </w:numPr>
        <w:tabs>
          <w:tab w:val="clear" w:pos="8268"/>
        </w:tabs>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 xml:space="preserve">本单位与采购人之间 </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不存在利害关系 </w:t>
      </w:r>
      <w:r>
        <w:rPr>
          <w:rFonts w:ascii="仿宋" w:hAnsi="仿宋" w:eastAsia="仿宋" w:cs="宋体"/>
          <w:color w:val="auto"/>
          <w:kern w:val="0"/>
          <w:sz w:val="21"/>
          <w:szCs w:val="21"/>
        </w:rPr>
        <w:t>□</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839"/>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A.投资关系    B.行政隶属关系    C.业务指导关系</w:t>
      </w:r>
    </w:p>
    <w:p>
      <w:pPr>
        <w:pStyle w:val="839"/>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D.其他可能</w:t>
      </w:r>
      <w:r>
        <w:rPr>
          <w:rFonts w:ascii="仿宋" w:hAnsi="仿宋" w:eastAsia="仿宋"/>
          <w:color w:val="auto"/>
          <w:sz w:val="21"/>
          <w:szCs w:val="21"/>
        </w:rPr>
        <w:t>影响采购公正的</w:t>
      </w:r>
      <w:r>
        <w:rPr>
          <w:rFonts w:ascii="仿宋" w:hAnsi="仿宋" w:eastAsia="仿宋"/>
          <w:color w:val="auto"/>
          <w:kern w:val="0"/>
          <w:sz w:val="21"/>
          <w:szCs w:val="21"/>
        </w:rPr>
        <w:t>利害关系</w:t>
      </w:r>
      <w:r>
        <w:rPr>
          <w:rFonts w:ascii="仿宋" w:hAnsi="仿宋" w:eastAsia="仿宋"/>
          <w:color w:val="auto"/>
          <w:kern w:val="0"/>
          <w:sz w:val="21"/>
          <w:szCs w:val="21"/>
          <w:u w:val="single"/>
        </w:rPr>
        <w:t xml:space="preserve">（如有，请如实说明）                 </w:t>
      </w:r>
      <w:r>
        <w:rPr>
          <w:rFonts w:ascii="仿宋" w:hAnsi="仿宋" w:eastAsia="仿宋"/>
          <w:color w:val="auto"/>
          <w:kern w:val="0"/>
          <w:sz w:val="21"/>
          <w:szCs w:val="21"/>
        </w:rPr>
        <w:t>。</w:t>
      </w:r>
    </w:p>
    <w:p>
      <w:pPr>
        <w:pStyle w:val="839"/>
        <w:widowControl/>
        <w:snapToGrid w:val="0"/>
        <w:spacing w:before="120" w:beforeLines="50" w:line="320" w:lineRule="exact"/>
        <w:ind w:firstLine="448" w:firstLineChars="202"/>
        <w:rPr>
          <w:rFonts w:ascii="仿宋" w:hAnsi="仿宋" w:eastAsia="仿宋"/>
          <w:color w:val="auto"/>
          <w:kern w:val="0"/>
          <w:sz w:val="21"/>
          <w:szCs w:val="21"/>
        </w:rPr>
      </w:pPr>
      <w:r>
        <w:rPr>
          <w:rFonts w:ascii="仿宋" w:hAnsi="仿宋" w:eastAsia="仿宋"/>
          <w:color w:val="auto"/>
          <w:spacing w:val="6"/>
          <w:sz w:val="21"/>
          <w:szCs w:val="21"/>
        </w:rPr>
        <w:t>二、</w:t>
      </w:r>
      <w:r>
        <w:rPr>
          <w:rFonts w:ascii="仿宋" w:hAnsi="仿宋" w:eastAsia="仿宋"/>
          <w:color w:val="auto"/>
          <w:kern w:val="0"/>
          <w:sz w:val="21"/>
          <w:szCs w:val="21"/>
        </w:rPr>
        <w:t xml:space="preserve">现已清楚知道参加本项目采购活动的其他所有供应商名称，本单位 </w:t>
      </w:r>
      <w:r>
        <w:rPr>
          <w:rFonts w:ascii="仿宋" w:hAnsi="仿宋" w:eastAsia="仿宋" w:cs="宋体"/>
          <w:color w:val="auto"/>
          <w:kern w:val="0"/>
          <w:sz w:val="21"/>
          <w:szCs w:val="21"/>
        </w:rPr>
        <w:t>□与其他所有供应商之间均</w:t>
      </w:r>
      <w:r>
        <w:rPr>
          <w:rFonts w:ascii="仿宋" w:hAnsi="仿宋" w:eastAsia="仿宋"/>
          <w:color w:val="auto"/>
          <w:kern w:val="0"/>
          <w:sz w:val="21"/>
          <w:szCs w:val="21"/>
        </w:rPr>
        <w:t>不存在利害关系</w:t>
      </w:r>
      <w:r>
        <w:rPr>
          <w:rFonts w:ascii="仿宋" w:hAnsi="仿宋" w:eastAsia="仿宋" w:cs="宋体"/>
          <w:color w:val="auto"/>
          <w:kern w:val="0"/>
          <w:sz w:val="21"/>
          <w:szCs w:val="21"/>
        </w:rPr>
        <w:t>□与</w:t>
      </w:r>
      <w:r>
        <w:rPr>
          <w:rFonts w:ascii="仿宋" w:hAnsi="仿宋" w:eastAsia="仿宋" w:cs="宋体"/>
          <w:color w:val="auto"/>
          <w:kern w:val="0"/>
          <w:sz w:val="21"/>
          <w:szCs w:val="21"/>
          <w:u w:val="single"/>
        </w:rPr>
        <w:t xml:space="preserve">           （供应商名称）</w:t>
      </w:r>
      <w:r>
        <w:rPr>
          <w:rFonts w:ascii="仿宋" w:hAnsi="仿宋" w:eastAsia="仿宋" w:cs="宋体"/>
          <w:color w:val="auto"/>
          <w:kern w:val="0"/>
          <w:sz w:val="21"/>
          <w:szCs w:val="21"/>
        </w:rPr>
        <w:t>之间</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A.法定代表人或负责人或实际控制人是同一人</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B.法定代表人或负责人或实际控制人是夫妻关系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C.法定代表人或负责人或实际控制人是直系血亲关系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D.法定代表人或负责人或实际控制人存在三代以内旁系血亲关系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E.法定代表人或负责人或实际控制人存在近姻亲关系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F.法定代表人或负责人或实际控制人存在股份控制或实际控制关系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G.存在共同直接或间接投资设立子公司、联营企业和合营企业情况</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H.存在分级代理或代销关系、同一生产制造商关系、管理关系、重要业务（占主营业务收入50%以上）或重要财务往来关系（如融资）等其他实质性控制关系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I.其他利害关系情况</w:t>
      </w:r>
      <w:r>
        <w:rPr>
          <w:rFonts w:ascii="仿宋" w:hAnsi="仿宋" w:eastAsia="仿宋"/>
          <w:color w:val="auto"/>
          <w:szCs w:val="21"/>
          <w:u w:val="single"/>
        </w:rPr>
        <w:t xml:space="preserve">                              </w:t>
      </w:r>
      <w:r>
        <w:rPr>
          <w:rFonts w:ascii="仿宋" w:hAnsi="仿宋" w:eastAsia="仿宋"/>
          <w:color w:val="auto"/>
          <w:szCs w:val="21"/>
        </w:rPr>
        <w:t>。</w:t>
      </w:r>
    </w:p>
    <w:p>
      <w:pPr>
        <w:pStyle w:val="839"/>
        <w:widowControl/>
        <w:numPr>
          <w:ilvl w:val="0"/>
          <w:numId w:val="7"/>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sz w:val="21"/>
          <w:szCs w:val="21"/>
        </w:rPr>
        <w:t>现已清楚知道并</w:t>
      </w:r>
      <w:r>
        <w:rPr>
          <w:rFonts w:ascii="仿宋" w:hAnsi="仿宋" w:eastAsia="仿宋"/>
          <w:color w:val="auto"/>
          <w:kern w:val="0"/>
          <w:sz w:val="21"/>
          <w:szCs w:val="21"/>
        </w:rPr>
        <w:t>严格遵守政府采购法律法规和现场纪律。</w:t>
      </w:r>
    </w:p>
    <w:p>
      <w:pPr>
        <w:pStyle w:val="839"/>
        <w:widowControl/>
        <w:numPr>
          <w:ilvl w:val="0"/>
          <w:numId w:val="7"/>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kern w:val="0"/>
          <w:sz w:val="21"/>
          <w:szCs w:val="21"/>
        </w:rPr>
        <w:t>我发现</w:t>
      </w:r>
      <w:r>
        <w:rPr>
          <w:rFonts w:ascii="仿宋" w:hAnsi="仿宋" w:eastAsia="仿宋"/>
          <w:color w:val="auto"/>
          <w:kern w:val="0"/>
          <w:sz w:val="21"/>
          <w:szCs w:val="21"/>
          <w:u w:val="single"/>
        </w:rPr>
        <w:t xml:space="preserve">                    </w:t>
      </w:r>
      <w:r>
        <w:rPr>
          <w:rFonts w:ascii="仿宋" w:hAnsi="仿宋" w:eastAsia="仿宋"/>
          <w:color w:val="auto"/>
          <w:kern w:val="0"/>
          <w:sz w:val="21"/>
          <w:szCs w:val="21"/>
        </w:rPr>
        <w:t>供应商之间存在或可能存在上述第二条第</w:t>
      </w:r>
      <w:r>
        <w:rPr>
          <w:rFonts w:ascii="仿宋" w:hAnsi="仿宋" w:eastAsia="仿宋"/>
          <w:color w:val="auto"/>
          <w:kern w:val="0"/>
          <w:sz w:val="21"/>
          <w:szCs w:val="21"/>
          <w:u w:val="single"/>
        </w:rPr>
        <w:t xml:space="preserve">        </w:t>
      </w:r>
      <w:r>
        <w:rPr>
          <w:rFonts w:ascii="仿宋" w:hAnsi="仿宋" w:eastAsia="仿宋"/>
          <w:color w:val="auto"/>
          <w:kern w:val="0"/>
          <w:sz w:val="21"/>
          <w:szCs w:val="21"/>
        </w:rPr>
        <w:t>项利害关系。</w:t>
      </w:r>
    </w:p>
    <w:p>
      <w:pPr>
        <w:pStyle w:val="839"/>
        <w:widowControl/>
        <w:numPr>
          <w:ilvl w:val="0"/>
          <w:numId w:val="7"/>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kern w:val="0"/>
          <w:sz w:val="21"/>
          <w:szCs w:val="21"/>
        </w:rPr>
        <w:t>经检查确认所有供应商投标文件</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不存在密封包装问题  </w:t>
      </w:r>
      <w:r>
        <w:rPr>
          <w:rFonts w:ascii="仿宋" w:hAnsi="仿宋" w:eastAsia="仿宋" w:cs="宋体"/>
          <w:color w:val="auto"/>
          <w:kern w:val="0"/>
          <w:sz w:val="21"/>
          <w:szCs w:val="21"/>
        </w:rPr>
        <w:t>□</w:t>
      </w:r>
      <w:r>
        <w:rPr>
          <w:rFonts w:ascii="仿宋" w:hAnsi="仿宋" w:eastAsia="仿宋"/>
          <w:color w:val="auto"/>
          <w:kern w:val="0"/>
          <w:sz w:val="21"/>
          <w:szCs w:val="21"/>
        </w:rPr>
        <w:t>存在密封包装问题（具体指出）</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319"/>
        <w:adjustRightInd w:val="0"/>
        <w:snapToGrid w:val="0"/>
        <w:spacing w:after="120" w:line="360" w:lineRule="auto"/>
        <w:ind w:firstLine="4200" w:firstLineChars="2100"/>
        <w:rPr>
          <w:rFonts w:ascii="仿宋" w:hAnsi="仿宋" w:eastAsia="仿宋"/>
          <w:color w:val="auto"/>
          <w:szCs w:val="21"/>
        </w:rPr>
      </w:pPr>
      <w:r>
        <w:rPr>
          <w:rFonts w:ascii="仿宋" w:hAnsi="仿宋" w:eastAsia="仿宋"/>
          <w:color w:val="auto"/>
          <w:szCs w:val="21"/>
        </w:rPr>
        <w:t>（供应商代表签名）</w:t>
      </w:r>
    </w:p>
    <w:p>
      <w:pPr>
        <w:ind w:right="840" w:firstLine="480"/>
        <w:jc w:val="right"/>
        <w:rPr>
          <w:rFonts w:ascii="仿宋" w:hAnsi="仿宋" w:eastAsia="仿宋"/>
          <w:color w:val="auto"/>
          <w:szCs w:val="21"/>
        </w:rPr>
      </w:pPr>
      <w:r>
        <w:rPr>
          <w:rFonts w:ascii="仿宋" w:hAnsi="仿宋" w:eastAsia="仿宋"/>
          <w:color w:val="auto"/>
          <w:szCs w:val="21"/>
        </w:rPr>
        <w:t>年</w:t>
      </w:r>
      <w:r>
        <w:rPr>
          <w:rFonts w:hint="eastAsia" w:ascii="仿宋" w:hAnsi="仿宋" w:eastAsia="仿宋"/>
          <w:color w:val="auto"/>
          <w:szCs w:val="21"/>
        </w:rPr>
        <w:t xml:space="preserve">  </w:t>
      </w:r>
      <w:r>
        <w:rPr>
          <w:rFonts w:ascii="仿宋" w:hAnsi="仿宋" w:eastAsia="仿宋"/>
          <w:color w:val="auto"/>
          <w:szCs w:val="21"/>
        </w:rPr>
        <w:t>月</w:t>
      </w:r>
      <w:r>
        <w:rPr>
          <w:rFonts w:hint="eastAsia" w:ascii="仿宋" w:hAnsi="仿宋" w:eastAsia="仿宋"/>
          <w:color w:val="auto"/>
          <w:szCs w:val="21"/>
        </w:rPr>
        <w:t xml:space="preserve">  </w:t>
      </w:r>
      <w:r>
        <w:rPr>
          <w:rFonts w:ascii="仿宋" w:hAnsi="仿宋" w:eastAsia="仿宋"/>
          <w:color w:val="auto"/>
          <w:szCs w:val="21"/>
        </w:rPr>
        <w:t>日</w:t>
      </w:r>
    </w:p>
    <w:p>
      <w:pPr>
        <w:snapToGrid w:val="0"/>
        <w:spacing w:line="360" w:lineRule="auto"/>
        <w:rPr>
          <w:rFonts w:ascii="仿宋" w:hAnsi="仿宋" w:eastAsia="仿宋"/>
          <w:b/>
          <w:color w:val="auto"/>
          <w:szCs w:val="21"/>
        </w:rPr>
      </w:pPr>
      <w:r>
        <w:rPr>
          <w:rFonts w:hint="eastAsia" w:ascii="仿宋" w:hAnsi="仿宋" w:eastAsia="仿宋"/>
          <w:b/>
          <w:color w:val="auto"/>
          <w:szCs w:val="21"/>
        </w:rPr>
        <w:t>注：结束解密后，供应商通过邮件形式将经授权代表签署的《政府采购活动现场确认声明书》扫描件发至代理机构经办人邮箱（邮箱地址：1697976919@qq.com，联系人：黄林承，电话：19858153552）</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7" w:name="_Toc91899912"/>
    <w:bookmarkStart w:id="508" w:name="_Toc131845147"/>
    <w:bookmarkStart w:id="509" w:name="_Toc164085800"/>
    <w:bookmarkStart w:id="510" w:name="_Toc36110187"/>
    <w:r>
      <w:rPr>
        <w:rFonts w:hint="eastAsia" w:ascii="仿宋_GB2312" w:eastAsia="仿宋_GB2312"/>
        <w:kern w:val="0"/>
        <w:szCs w:val="21"/>
      </w:rPr>
      <w:t xml:space="preserve"> 页</w:t>
    </w:r>
    <w:bookmarkEnd w:id="507"/>
    <w:bookmarkEnd w:id="508"/>
    <w:bookmarkEnd w:id="509"/>
    <w:bookmarkEnd w:id="5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B0F5C"/>
    <w:multiLevelType w:val="singleLevel"/>
    <w:tmpl w:val="ACBB0F5C"/>
    <w:lvl w:ilvl="0" w:tentative="0">
      <w:start w:val="3"/>
      <w:numFmt w:val="decimal"/>
      <w:suff w:val="nothing"/>
      <w:lvlText w:val="%1、"/>
      <w:lvlJc w:val="left"/>
    </w:lvl>
  </w:abstractNum>
  <w:abstractNum w:abstractNumId="1">
    <w:nsid w:val="B707400C"/>
    <w:multiLevelType w:val="singleLevel"/>
    <w:tmpl w:val="B707400C"/>
    <w:lvl w:ilvl="0" w:tentative="0">
      <w:start w:val="5"/>
      <w:numFmt w:val="chineseCounting"/>
      <w:suff w:val="nothing"/>
      <w:lvlText w:val="%1、"/>
      <w:lvlJc w:val="left"/>
      <w:rPr>
        <w:rFonts w:hint="eastAsia"/>
      </w:rPr>
    </w:lvl>
  </w:abstractNum>
  <w:abstractNum w:abstractNumId="2">
    <w:nsid w:val="C9CCC725"/>
    <w:multiLevelType w:val="singleLevel"/>
    <w:tmpl w:val="C9CCC725"/>
    <w:lvl w:ilvl="0" w:tentative="0">
      <w:start w:val="1"/>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77ACD4CE"/>
    <w:multiLevelType w:val="singleLevel"/>
    <w:tmpl w:val="77ACD4C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0451"/>
    <w:rsid w:val="00000E76"/>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CBD"/>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4FE3"/>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5B3"/>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758"/>
    <w:rsid w:val="000B5FE8"/>
    <w:rsid w:val="000B666E"/>
    <w:rsid w:val="000C0A43"/>
    <w:rsid w:val="000C0CB1"/>
    <w:rsid w:val="000C1411"/>
    <w:rsid w:val="000C1ADE"/>
    <w:rsid w:val="000C1C38"/>
    <w:rsid w:val="000C1CEC"/>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3E6"/>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6C"/>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98F"/>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44"/>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73D"/>
    <w:rsid w:val="00200746"/>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736"/>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331"/>
    <w:rsid w:val="0029159A"/>
    <w:rsid w:val="00291CF1"/>
    <w:rsid w:val="00292AA1"/>
    <w:rsid w:val="00294012"/>
    <w:rsid w:val="002945B0"/>
    <w:rsid w:val="0029499D"/>
    <w:rsid w:val="00294A13"/>
    <w:rsid w:val="00294B10"/>
    <w:rsid w:val="00294DF9"/>
    <w:rsid w:val="00295073"/>
    <w:rsid w:val="00295468"/>
    <w:rsid w:val="002963CD"/>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EF1"/>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0E2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FD"/>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14B"/>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0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71E"/>
    <w:rsid w:val="00356A73"/>
    <w:rsid w:val="00356FF0"/>
    <w:rsid w:val="003577EF"/>
    <w:rsid w:val="00357A60"/>
    <w:rsid w:val="00360304"/>
    <w:rsid w:val="00360A78"/>
    <w:rsid w:val="00361750"/>
    <w:rsid w:val="00363894"/>
    <w:rsid w:val="00363B2A"/>
    <w:rsid w:val="00363BF1"/>
    <w:rsid w:val="00366779"/>
    <w:rsid w:val="003668A1"/>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46D"/>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3CF"/>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40F"/>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190"/>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467"/>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11"/>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14"/>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7DA"/>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5A7"/>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F1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B1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FF2"/>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6EA"/>
    <w:rsid w:val="00636888"/>
    <w:rsid w:val="00636CC7"/>
    <w:rsid w:val="00637CDD"/>
    <w:rsid w:val="00637F27"/>
    <w:rsid w:val="006405EC"/>
    <w:rsid w:val="006409BE"/>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01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A7F5E"/>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9AA"/>
    <w:rsid w:val="006D0A80"/>
    <w:rsid w:val="006D0AE8"/>
    <w:rsid w:val="006D0B8C"/>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7C"/>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848"/>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47"/>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10D"/>
    <w:rsid w:val="0079021F"/>
    <w:rsid w:val="0079038E"/>
    <w:rsid w:val="00790EBB"/>
    <w:rsid w:val="00791C6E"/>
    <w:rsid w:val="007921F7"/>
    <w:rsid w:val="00792248"/>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82"/>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A88"/>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2798"/>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0A2F"/>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0AF"/>
    <w:rsid w:val="0092077A"/>
    <w:rsid w:val="00920DC0"/>
    <w:rsid w:val="009219F3"/>
    <w:rsid w:val="009221CB"/>
    <w:rsid w:val="00922320"/>
    <w:rsid w:val="009231F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1FAB"/>
    <w:rsid w:val="0094215C"/>
    <w:rsid w:val="009425D9"/>
    <w:rsid w:val="00942A27"/>
    <w:rsid w:val="00942F8E"/>
    <w:rsid w:val="00943543"/>
    <w:rsid w:val="00943554"/>
    <w:rsid w:val="009441DB"/>
    <w:rsid w:val="00944834"/>
    <w:rsid w:val="00946128"/>
    <w:rsid w:val="0094633F"/>
    <w:rsid w:val="00947BA5"/>
    <w:rsid w:val="00950805"/>
    <w:rsid w:val="009510B2"/>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406"/>
    <w:rsid w:val="009B05D2"/>
    <w:rsid w:val="009B152B"/>
    <w:rsid w:val="009B2731"/>
    <w:rsid w:val="009B2DCF"/>
    <w:rsid w:val="009B39D8"/>
    <w:rsid w:val="009B3D38"/>
    <w:rsid w:val="009B4368"/>
    <w:rsid w:val="009B4D4C"/>
    <w:rsid w:val="009B66F5"/>
    <w:rsid w:val="009B742E"/>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B0"/>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DDB"/>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15"/>
    <w:rsid w:val="00A526CE"/>
    <w:rsid w:val="00A53D28"/>
    <w:rsid w:val="00A5468F"/>
    <w:rsid w:val="00A54909"/>
    <w:rsid w:val="00A54DC0"/>
    <w:rsid w:val="00A550C9"/>
    <w:rsid w:val="00A55228"/>
    <w:rsid w:val="00A55410"/>
    <w:rsid w:val="00A55A04"/>
    <w:rsid w:val="00A564DE"/>
    <w:rsid w:val="00A56807"/>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68B"/>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7DD"/>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62"/>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A3F"/>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8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BC1"/>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C1"/>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9BF"/>
    <w:rsid w:val="00C14ABD"/>
    <w:rsid w:val="00C151E0"/>
    <w:rsid w:val="00C155A8"/>
    <w:rsid w:val="00C159FD"/>
    <w:rsid w:val="00C15B31"/>
    <w:rsid w:val="00C15C86"/>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379"/>
    <w:rsid w:val="00C34C45"/>
    <w:rsid w:val="00C34C47"/>
    <w:rsid w:val="00C34FCE"/>
    <w:rsid w:val="00C35411"/>
    <w:rsid w:val="00C35EED"/>
    <w:rsid w:val="00C36B2C"/>
    <w:rsid w:val="00C3701A"/>
    <w:rsid w:val="00C379EF"/>
    <w:rsid w:val="00C405C8"/>
    <w:rsid w:val="00C40C2F"/>
    <w:rsid w:val="00C415AC"/>
    <w:rsid w:val="00C420BD"/>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B64"/>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160"/>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9CD"/>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B0A"/>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A95"/>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80E"/>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134"/>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DF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904"/>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1A"/>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70B"/>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B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060FD"/>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72933"/>
    <w:rsid w:val="09A92330"/>
    <w:rsid w:val="09B06B87"/>
    <w:rsid w:val="09C13146"/>
    <w:rsid w:val="09E04166"/>
    <w:rsid w:val="0A1C0718"/>
    <w:rsid w:val="0A3E7710"/>
    <w:rsid w:val="0A3F7617"/>
    <w:rsid w:val="0A4E70E3"/>
    <w:rsid w:val="0A5B7E63"/>
    <w:rsid w:val="0A9E16CA"/>
    <w:rsid w:val="0AA374A5"/>
    <w:rsid w:val="0AAB7649"/>
    <w:rsid w:val="0ABC5606"/>
    <w:rsid w:val="0B30404E"/>
    <w:rsid w:val="0B4C6C14"/>
    <w:rsid w:val="0B547599"/>
    <w:rsid w:val="0B631A88"/>
    <w:rsid w:val="0B683D45"/>
    <w:rsid w:val="0B7F3F11"/>
    <w:rsid w:val="0B884417"/>
    <w:rsid w:val="0BB84DE3"/>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87494"/>
    <w:rsid w:val="0E060E51"/>
    <w:rsid w:val="0E5604B2"/>
    <w:rsid w:val="0E593D28"/>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81F8B"/>
    <w:rsid w:val="10F33360"/>
    <w:rsid w:val="10FC16EA"/>
    <w:rsid w:val="110F1D40"/>
    <w:rsid w:val="11266F33"/>
    <w:rsid w:val="118963A1"/>
    <w:rsid w:val="11C6522A"/>
    <w:rsid w:val="11DC739C"/>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C3F92"/>
    <w:rsid w:val="150536C3"/>
    <w:rsid w:val="150C1963"/>
    <w:rsid w:val="151447A0"/>
    <w:rsid w:val="154A6454"/>
    <w:rsid w:val="15762120"/>
    <w:rsid w:val="15C9656A"/>
    <w:rsid w:val="16A8729C"/>
    <w:rsid w:val="16B33777"/>
    <w:rsid w:val="16BC70A7"/>
    <w:rsid w:val="16C6339E"/>
    <w:rsid w:val="17253C74"/>
    <w:rsid w:val="172F2D79"/>
    <w:rsid w:val="17557BEF"/>
    <w:rsid w:val="179A1233"/>
    <w:rsid w:val="17D349C1"/>
    <w:rsid w:val="1830729E"/>
    <w:rsid w:val="1870062C"/>
    <w:rsid w:val="18817102"/>
    <w:rsid w:val="18830A15"/>
    <w:rsid w:val="18852B28"/>
    <w:rsid w:val="188B5321"/>
    <w:rsid w:val="19932372"/>
    <w:rsid w:val="19A20DD5"/>
    <w:rsid w:val="19AE03F1"/>
    <w:rsid w:val="1A071A03"/>
    <w:rsid w:val="1A1F16AE"/>
    <w:rsid w:val="1A30233E"/>
    <w:rsid w:val="1A3B5C77"/>
    <w:rsid w:val="1A8962C8"/>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34F24"/>
    <w:rsid w:val="1FD52DD5"/>
    <w:rsid w:val="1FE868A9"/>
    <w:rsid w:val="20034907"/>
    <w:rsid w:val="20173E4B"/>
    <w:rsid w:val="20174376"/>
    <w:rsid w:val="204E48BC"/>
    <w:rsid w:val="208921B3"/>
    <w:rsid w:val="20973DEB"/>
    <w:rsid w:val="20B26522"/>
    <w:rsid w:val="20B44310"/>
    <w:rsid w:val="211116EB"/>
    <w:rsid w:val="216133FC"/>
    <w:rsid w:val="218B1F59"/>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ED49E4"/>
    <w:rsid w:val="25F74A5C"/>
    <w:rsid w:val="2628662C"/>
    <w:rsid w:val="262D45DE"/>
    <w:rsid w:val="26630315"/>
    <w:rsid w:val="26871DC8"/>
    <w:rsid w:val="26A53EF9"/>
    <w:rsid w:val="26A94201"/>
    <w:rsid w:val="26AC274F"/>
    <w:rsid w:val="27044A29"/>
    <w:rsid w:val="271D34C8"/>
    <w:rsid w:val="272950BB"/>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B1D89"/>
    <w:rsid w:val="29F26D24"/>
    <w:rsid w:val="2A15033F"/>
    <w:rsid w:val="2A1662C1"/>
    <w:rsid w:val="2A1C7367"/>
    <w:rsid w:val="2A2815FA"/>
    <w:rsid w:val="2A6D6092"/>
    <w:rsid w:val="2A7D76B4"/>
    <w:rsid w:val="2B437463"/>
    <w:rsid w:val="2B4F4A93"/>
    <w:rsid w:val="2B7807EE"/>
    <w:rsid w:val="2B864D71"/>
    <w:rsid w:val="2BA50BF7"/>
    <w:rsid w:val="2BBF00EC"/>
    <w:rsid w:val="2BC37CFD"/>
    <w:rsid w:val="2BD5237F"/>
    <w:rsid w:val="2BE536CE"/>
    <w:rsid w:val="2BE758D9"/>
    <w:rsid w:val="2C09049E"/>
    <w:rsid w:val="2C0A653C"/>
    <w:rsid w:val="2C191F85"/>
    <w:rsid w:val="2CE82D6F"/>
    <w:rsid w:val="2D343236"/>
    <w:rsid w:val="2DD06DD8"/>
    <w:rsid w:val="2DD15014"/>
    <w:rsid w:val="2DF72DE4"/>
    <w:rsid w:val="2E0220AF"/>
    <w:rsid w:val="2E4B082A"/>
    <w:rsid w:val="2E5D4E86"/>
    <w:rsid w:val="2E5D790B"/>
    <w:rsid w:val="2E9A3C18"/>
    <w:rsid w:val="2EBB0FEE"/>
    <w:rsid w:val="2EC63002"/>
    <w:rsid w:val="2F0A6B38"/>
    <w:rsid w:val="2F2D2389"/>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60395B"/>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690D78"/>
    <w:rsid w:val="358D5588"/>
    <w:rsid w:val="363A3B40"/>
    <w:rsid w:val="365302AE"/>
    <w:rsid w:val="36607A0A"/>
    <w:rsid w:val="366E227C"/>
    <w:rsid w:val="366F2E0D"/>
    <w:rsid w:val="367B6A5C"/>
    <w:rsid w:val="36A74ADA"/>
    <w:rsid w:val="36AD60D5"/>
    <w:rsid w:val="36B224F9"/>
    <w:rsid w:val="36EC0CC9"/>
    <w:rsid w:val="371C74C7"/>
    <w:rsid w:val="373F410B"/>
    <w:rsid w:val="37E14A65"/>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5F5146"/>
    <w:rsid w:val="3E7B5D6B"/>
    <w:rsid w:val="3E843E66"/>
    <w:rsid w:val="3E8F51FE"/>
    <w:rsid w:val="3E926F87"/>
    <w:rsid w:val="3E9A59DE"/>
    <w:rsid w:val="3EAF4836"/>
    <w:rsid w:val="3EC33DFA"/>
    <w:rsid w:val="3F060E16"/>
    <w:rsid w:val="3F1D1096"/>
    <w:rsid w:val="3F2F0234"/>
    <w:rsid w:val="3F6363FE"/>
    <w:rsid w:val="3F756B8F"/>
    <w:rsid w:val="3F9146CC"/>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56827"/>
    <w:rsid w:val="451B225C"/>
    <w:rsid w:val="452410C9"/>
    <w:rsid w:val="45317DFB"/>
    <w:rsid w:val="456D3CE4"/>
    <w:rsid w:val="4579042C"/>
    <w:rsid w:val="457F0571"/>
    <w:rsid w:val="45851176"/>
    <w:rsid w:val="45BB442D"/>
    <w:rsid w:val="45C63B94"/>
    <w:rsid w:val="460E7DA5"/>
    <w:rsid w:val="46422483"/>
    <w:rsid w:val="4659254A"/>
    <w:rsid w:val="465B0637"/>
    <w:rsid w:val="465E3F0D"/>
    <w:rsid w:val="466A16E6"/>
    <w:rsid w:val="46893F2B"/>
    <w:rsid w:val="46C4686E"/>
    <w:rsid w:val="4708664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9646F1"/>
    <w:rsid w:val="4C9F3C5B"/>
    <w:rsid w:val="4CB6685F"/>
    <w:rsid w:val="4CC367FE"/>
    <w:rsid w:val="4D077F3C"/>
    <w:rsid w:val="4D123355"/>
    <w:rsid w:val="4D2A3B31"/>
    <w:rsid w:val="4D312C52"/>
    <w:rsid w:val="4D783DF7"/>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6582D"/>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650BE"/>
    <w:rsid w:val="555D4828"/>
    <w:rsid w:val="557A4C8B"/>
    <w:rsid w:val="558931E1"/>
    <w:rsid w:val="55923347"/>
    <w:rsid w:val="55925180"/>
    <w:rsid w:val="55983B1B"/>
    <w:rsid w:val="55A8376B"/>
    <w:rsid w:val="55DC29B6"/>
    <w:rsid w:val="55DD4241"/>
    <w:rsid w:val="56162CC9"/>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AF2837"/>
    <w:rsid w:val="58B85899"/>
    <w:rsid w:val="58E363A9"/>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F3C61"/>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C1466C"/>
    <w:rsid w:val="61F94C26"/>
    <w:rsid w:val="61FA4982"/>
    <w:rsid w:val="62000E56"/>
    <w:rsid w:val="624F3E49"/>
    <w:rsid w:val="62632286"/>
    <w:rsid w:val="62885958"/>
    <w:rsid w:val="62F40B65"/>
    <w:rsid w:val="62FC2CFE"/>
    <w:rsid w:val="63024505"/>
    <w:rsid w:val="635600A5"/>
    <w:rsid w:val="635B1DB5"/>
    <w:rsid w:val="63711FED"/>
    <w:rsid w:val="63715524"/>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91A60"/>
    <w:rsid w:val="66195831"/>
    <w:rsid w:val="662E75B1"/>
    <w:rsid w:val="66342C2E"/>
    <w:rsid w:val="663E784C"/>
    <w:rsid w:val="66862A2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06464"/>
    <w:rsid w:val="6E8335BD"/>
    <w:rsid w:val="6E8E12EF"/>
    <w:rsid w:val="6E972936"/>
    <w:rsid w:val="6ED446C5"/>
    <w:rsid w:val="6F2A7D94"/>
    <w:rsid w:val="6F8331F1"/>
    <w:rsid w:val="6FAE1A09"/>
    <w:rsid w:val="6FD75BF8"/>
    <w:rsid w:val="704B4683"/>
    <w:rsid w:val="707723D0"/>
    <w:rsid w:val="70F5661B"/>
    <w:rsid w:val="71097042"/>
    <w:rsid w:val="71360107"/>
    <w:rsid w:val="713B688E"/>
    <w:rsid w:val="714F32E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184066"/>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E402C"/>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A7190"/>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713DD"/>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9"/>
    <w:autoRedefine/>
    <w:qFormat/>
    <w:uiPriority w:val="99"/>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99"/>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autoRedefine/>
    <w:qFormat/>
    <w:uiPriority w:val="0"/>
    <w:rPr>
      <w:b/>
      <w:bCs/>
    </w:rPr>
  </w:style>
  <w:style w:type="paragraph" w:styleId="62">
    <w:name w:val="Body Text First Indent"/>
    <w:basedOn w:val="25"/>
    <w:link w:val="320"/>
    <w:autoRedefine/>
    <w:qFormat/>
    <w:uiPriority w:val="0"/>
    <w:pPr>
      <w:ind w:firstLine="420"/>
    </w:pPr>
    <w:rPr>
      <w:rFonts w:hAnsi="Calibri" w:cs="Times New Roman"/>
      <w:snapToGrid/>
      <w:szCs w:val="20"/>
    </w:rPr>
  </w:style>
  <w:style w:type="paragraph" w:styleId="63">
    <w:name w:val="Body Text First Indent 2"/>
    <w:basedOn w:val="26"/>
    <w:link w:val="120"/>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1"/>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7"/>
    <w:autoRedefine/>
    <w:qFormat/>
    <w:uiPriority w:val="0"/>
    <w:rPr>
      <w:rFonts w:ascii="宋体"/>
      <w:kern w:val="2"/>
      <w:sz w:val="24"/>
      <w:szCs w:val="21"/>
      <w:lang w:val="zh-CN"/>
    </w:rPr>
  </w:style>
  <w:style w:type="character" w:customStyle="1" w:styleId="181">
    <w:name w:val="标题 9 字符"/>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1"/>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8"/>
    <w:autoRedefine/>
    <w:qFormat/>
    <w:uiPriority w:val="0"/>
    <w:rPr>
      <w:rFonts w:ascii="黑体" w:hAnsi="Courier New" w:eastAsia="黑体"/>
    </w:rPr>
  </w:style>
  <w:style w:type="character" w:customStyle="1" w:styleId="301">
    <w:name w:val="正文文本 2 字符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1"/>
    <w:autoRedefine/>
    <w:qFormat/>
    <w:uiPriority w:val="0"/>
    <w:rPr>
      <w:b/>
      <w:bCs/>
      <w:kern w:val="2"/>
      <w:sz w:val="24"/>
      <w:szCs w:val="24"/>
    </w:rPr>
  </w:style>
  <w:style w:type="character" w:customStyle="1" w:styleId="307">
    <w:name w:val="正文文本缩进 2 字符"/>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99"/>
    <w:rPr>
      <w:kern w:val="2"/>
      <w:sz w:val="21"/>
      <w:szCs w:val="24"/>
    </w:rPr>
  </w:style>
  <w:style w:type="character" w:customStyle="1" w:styleId="344">
    <w:name w:val="签名 字符"/>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1"/>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autoRedefine/>
    <w:qFormat/>
    <w:uiPriority w:val="99"/>
    <w:rPr>
      <w:rFonts w:ascii="宋体" w:hAnsi="Arial" w:eastAsia="宋体" w:cs="Arial"/>
      <w:snapToGrid w:val="0"/>
      <w:kern w:val="2"/>
      <w:sz w:val="24"/>
      <w:szCs w:val="21"/>
      <w:lang w:val="zh-CN" w:eastAsia="zh-CN" w:bidi="ar-SA"/>
    </w:rPr>
  </w:style>
  <w:style w:type="character" w:customStyle="1" w:styleId="430">
    <w:name w:val="gray6"/>
    <w:basedOn w:val="71"/>
    <w:autoRedefine/>
    <w:qFormat/>
    <w:uiPriority w:val="0"/>
    <w:rPr>
      <w:rFonts w:ascii="Arial" w:hAnsi="Arial" w:eastAsia="黑体" w:cs="Arial"/>
      <w:snapToGrid w:val="0"/>
      <w:kern w:val="0"/>
      <w:szCs w:val="21"/>
    </w:rPr>
  </w:style>
  <w:style w:type="character" w:customStyle="1" w:styleId="431">
    <w:name w:val="hui"/>
    <w:basedOn w:val="71"/>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9"/>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71"/>
    <w:autoRedefine/>
    <w:semiHidden/>
    <w:unhideWhenUsed/>
    <w:qFormat/>
    <w:uiPriority w:val="99"/>
    <w:rPr>
      <w:color w:val="605E5C"/>
      <w:shd w:val="clear" w:color="auto" w:fill="E1DFDD"/>
    </w:rPr>
  </w:style>
  <w:style w:type="paragraph" w:customStyle="1" w:styleId="965">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66">
    <w:name w:val="正文8"/>
    <w:autoRedefine/>
    <w:qFormat/>
    <w:uiPriority w:val="0"/>
    <w:pPr>
      <w:jc w:val="both"/>
    </w:pPr>
    <w:rPr>
      <w:rFonts w:ascii="Times New Roman" w:hAnsi="Times New Roman" w:eastAsia="宋体" w:cs="Times New Roman"/>
      <w:kern w:val="2"/>
      <w:sz w:val="21"/>
      <w:szCs w:val="21"/>
      <w:lang w:val="en-US" w:eastAsia="zh-CN" w:bidi="ar-SA"/>
    </w:rPr>
  </w:style>
  <w:style w:type="table" w:customStyle="1" w:styleId="967">
    <w:name w:val="Table Normal"/>
    <w:basedOn w:val="64"/>
    <w:autoRedefine/>
    <w:qFormat/>
    <w:uiPriority w:val="0"/>
    <w:rPr>
      <w:rFonts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FD75D-74F8-4891-9F14-4B57F70DB84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8449</Words>
  <Characters>48164</Characters>
  <Lines>401</Lines>
  <Paragraphs>112</Paragraphs>
  <TotalTime>28</TotalTime>
  <ScaleCrop>false</ScaleCrop>
  <LinksUpToDate>false</LinksUpToDate>
  <CharactersWithSpaces>56501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fr</cp:lastModifiedBy>
  <cp:lastPrinted>2021-12-27T11:06:00Z</cp:lastPrinted>
  <dcterms:modified xsi:type="dcterms:W3CDTF">2024-03-15T09:28:06Z</dcterms:modified>
  <dc:title>杭州市市民卡扩大发卡工程</dc:title>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54B42602A4FD427993DD72D205C04469_13</vt:lpwstr>
  </property>
</Properties>
</file>