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pStyle w:val="2"/>
        <w:rPr>
          <w:color w:val="auto"/>
          <w:highlight w:val="none"/>
        </w:rPr>
      </w:pPr>
    </w:p>
    <w:p>
      <w:pPr>
        <w:adjustRightInd/>
        <w:spacing w:line="360" w:lineRule="auto"/>
        <w:jc w:val="center"/>
        <w:rPr>
          <w:rFonts w:hint="eastAsia" w:ascii="宋体" w:hAnsi="宋体" w:cs="宋体"/>
          <w:b/>
          <w:bCs/>
          <w:color w:val="auto"/>
          <w:sz w:val="52"/>
          <w:szCs w:val="52"/>
          <w:highlight w:val="none"/>
          <w:lang w:val="en-US" w:eastAsia="zh-CN"/>
        </w:rPr>
      </w:pPr>
      <w:r>
        <w:rPr>
          <w:rFonts w:hint="eastAsia" w:ascii="宋体" w:hAnsi="宋体" w:cs="宋体"/>
          <w:b/>
          <w:bCs/>
          <w:color w:val="auto"/>
          <w:sz w:val="52"/>
          <w:szCs w:val="52"/>
          <w:highlight w:val="none"/>
          <w:lang w:val="en-US" w:eastAsia="zh-CN"/>
        </w:rPr>
        <w:t>残疾人之家运营托管服务项目</w:t>
      </w:r>
    </w:p>
    <w:p>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GZCG2024GKDL-21</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rPr>
          <w:rFonts w:ascii="宋体" w:hAnsi="宋体" w:cs="宋体"/>
          <w:color w:val="auto"/>
          <w:sz w:val="32"/>
          <w:szCs w:val="32"/>
          <w:highlight w:val="none"/>
        </w:rPr>
      </w:pPr>
    </w:p>
    <w:p>
      <w:pPr>
        <w:pStyle w:val="6"/>
        <w:rPr>
          <w:color w:val="auto"/>
          <w:highlight w:val="none"/>
        </w:rPr>
      </w:pPr>
    </w:p>
    <w:p>
      <w:pPr>
        <w:rPr>
          <w:color w:val="auto"/>
          <w:highlight w:val="none"/>
        </w:rPr>
      </w:pPr>
    </w:p>
    <w:p>
      <w:pPr>
        <w:pStyle w:val="6"/>
        <w:rPr>
          <w:color w:val="auto"/>
          <w:highlight w:val="none"/>
        </w:rPr>
      </w:pPr>
    </w:p>
    <w:tbl>
      <w:tblPr>
        <w:tblStyle w:val="62"/>
        <w:tblpPr w:leftFromText="180" w:rightFromText="180" w:vertAnchor="text" w:horzAnchor="page" w:tblpX="2475" w:tblpY="-1"/>
        <w:tblOverlap w:val="never"/>
        <w:tblW w:w="4394" w:type="pct"/>
        <w:jc w:val="center"/>
        <w:tblLayout w:type="fixed"/>
        <w:tblCellMar>
          <w:top w:w="0" w:type="dxa"/>
          <w:left w:w="108" w:type="dxa"/>
          <w:bottom w:w="0" w:type="dxa"/>
          <w:right w:w="108" w:type="dxa"/>
        </w:tblCellMar>
      </w:tblPr>
      <w:tblGrid>
        <w:gridCol w:w="2236"/>
        <w:gridCol w:w="5925"/>
      </w:tblGrid>
      <w:tr>
        <w:tblPrEx>
          <w:tblCellMar>
            <w:top w:w="0" w:type="dxa"/>
            <w:left w:w="108" w:type="dxa"/>
            <w:bottom w:w="0" w:type="dxa"/>
            <w:right w:w="108" w:type="dxa"/>
          </w:tblCellMar>
        </w:tblPrEx>
        <w:trPr>
          <w:trHeight w:val="405" w:hRule="atLeast"/>
          <w:jc w:val="center"/>
        </w:trPr>
        <w:tc>
          <w:tcPr>
            <w:tcW w:w="1369" w:type="pct"/>
            <w:tcBorders>
              <w:top w:val="nil"/>
              <w:left w:val="nil"/>
              <w:bottom w:val="nil"/>
              <w:right w:val="nil"/>
            </w:tcBorders>
            <w:shd w:val="clear" w:color="auto" w:fill="auto"/>
            <w:noWrap/>
            <w:vAlign w:val="center"/>
          </w:tcPr>
          <w:p>
            <w:pPr>
              <w:widowControl/>
              <w:jc w:val="left"/>
              <w:textAlignment w:val="center"/>
              <w:rPr>
                <w:rFonts w:ascii="宋体" w:hAnsi="宋体" w:cs="宋体"/>
                <w:b/>
                <w:bCs/>
                <w:color w:val="auto"/>
                <w:sz w:val="30"/>
                <w:szCs w:val="30"/>
                <w:highlight w:val="none"/>
              </w:rPr>
            </w:pPr>
            <w:r>
              <w:rPr>
                <w:rFonts w:hint="eastAsia" w:ascii="宋体" w:hAnsi="宋体" w:cs="宋体"/>
                <w:b/>
                <w:bCs/>
                <w:color w:val="auto"/>
                <w:kern w:val="0"/>
                <w:sz w:val="30"/>
                <w:szCs w:val="30"/>
                <w:highlight w:val="none"/>
                <w:lang w:bidi="ar"/>
              </w:rPr>
              <w:t>采   购  人：</w:t>
            </w:r>
          </w:p>
        </w:tc>
        <w:tc>
          <w:tcPr>
            <w:tcW w:w="3630" w:type="pct"/>
            <w:tcBorders>
              <w:top w:val="nil"/>
              <w:left w:val="nil"/>
              <w:bottom w:val="nil"/>
              <w:right w:val="nil"/>
            </w:tcBorders>
            <w:shd w:val="clear" w:color="auto" w:fill="auto"/>
            <w:noWrap/>
            <w:vAlign w:val="center"/>
          </w:tcPr>
          <w:p>
            <w:pPr>
              <w:widowControl/>
              <w:jc w:val="left"/>
              <w:textAlignment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eastAsia="zh-CN"/>
              </w:rPr>
              <w:t>杭州市萧山区瓜沥镇人民政府</w:t>
            </w:r>
          </w:p>
        </w:tc>
      </w:tr>
      <w:tr>
        <w:tblPrEx>
          <w:tblCellMar>
            <w:top w:w="0" w:type="dxa"/>
            <w:left w:w="108" w:type="dxa"/>
            <w:bottom w:w="0" w:type="dxa"/>
            <w:right w:w="108" w:type="dxa"/>
          </w:tblCellMar>
        </w:tblPrEx>
        <w:trPr>
          <w:trHeight w:val="629" w:hRule="atLeast"/>
          <w:jc w:val="center"/>
        </w:trPr>
        <w:tc>
          <w:tcPr>
            <w:tcW w:w="1369" w:type="pct"/>
            <w:tcBorders>
              <w:top w:val="nil"/>
              <w:left w:val="nil"/>
              <w:bottom w:val="nil"/>
              <w:right w:val="nil"/>
            </w:tcBorders>
            <w:shd w:val="clear" w:color="auto" w:fill="auto"/>
            <w:noWrap/>
            <w:vAlign w:val="center"/>
          </w:tcPr>
          <w:p>
            <w:pPr>
              <w:widowControl/>
              <w:jc w:val="left"/>
              <w:textAlignment w:val="center"/>
              <w:rPr>
                <w:rFonts w:ascii="宋体" w:hAnsi="宋体" w:cs="宋体"/>
                <w:b/>
                <w:bCs/>
                <w:color w:val="auto"/>
                <w:sz w:val="30"/>
                <w:szCs w:val="30"/>
                <w:highlight w:val="none"/>
              </w:rPr>
            </w:pPr>
            <w:r>
              <w:rPr>
                <w:rFonts w:hint="eastAsia" w:ascii="宋体" w:hAnsi="宋体" w:cs="宋体"/>
                <w:b/>
                <w:bCs/>
                <w:color w:val="auto"/>
                <w:kern w:val="0"/>
                <w:sz w:val="30"/>
                <w:szCs w:val="30"/>
                <w:highlight w:val="none"/>
                <w:lang w:bidi="ar"/>
              </w:rPr>
              <w:t>采购代理机构：</w:t>
            </w:r>
          </w:p>
        </w:tc>
        <w:tc>
          <w:tcPr>
            <w:tcW w:w="3630" w:type="pct"/>
            <w:tcBorders>
              <w:top w:val="nil"/>
              <w:left w:val="nil"/>
              <w:bottom w:val="nil"/>
              <w:right w:val="nil"/>
            </w:tcBorders>
            <w:shd w:val="clear" w:color="auto" w:fill="auto"/>
            <w:noWrap/>
            <w:vAlign w:val="center"/>
          </w:tcPr>
          <w:p>
            <w:pPr>
              <w:widowControl/>
              <w:jc w:val="left"/>
              <w:textAlignment w:val="center"/>
              <w:rPr>
                <w:rFonts w:ascii="宋体" w:hAnsi="宋体" w:cs="宋体"/>
                <w:b/>
                <w:bCs/>
                <w:color w:val="auto"/>
                <w:sz w:val="30"/>
                <w:szCs w:val="30"/>
                <w:highlight w:val="none"/>
              </w:rPr>
            </w:pPr>
            <w:r>
              <w:rPr>
                <w:rFonts w:hint="eastAsia" w:ascii="宋体" w:hAnsi="宋体" w:cs="宋体"/>
                <w:b/>
                <w:bCs/>
                <w:color w:val="auto"/>
                <w:kern w:val="0"/>
                <w:sz w:val="30"/>
                <w:szCs w:val="30"/>
                <w:highlight w:val="none"/>
                <w:lang w:bidi="ar"/>
              </w:rPr>
              <w:t>浙江泛亚工程咨询有限公司</w:t>
            </w:r>
          </w:p>
        </w:tc>
      </w:tr>
      <w:tr>
        <w:tblPrEx>
          <w:tblCellMar>
            <w:top w:w="0" w:type="dxa"/>
            <w:left w:w="108" w:type="dxa"/>
            <w:bottom w:w="0" w:type="dxa"/>
            <w:right w:w="108" w:type="dxa"/>
          </w:tblCellMar>
        </w:tblPrEx>
        <w:trPr>
          <w:trHeight w:val="679" w:hRule="atLeast"/>
          <w:jc w:val="center"/>
        </w:trPr>
        <w:tc>
          <w:tcPr>
            <w:tcW w:w="1369" w:type="pct"/>
            <w:tcBorders>
              <w:top w:val="nil"/>
              <w:left w:val="nil"/>
              <w:bottom w:val="nil"/>
              <w:right w:val="nil"/>
            </w:tcBorders>
            <w:shd w:val="clear" w:color="auto" w:fill="auto"/>
            <w:noWrap/>
            <w:vAlign w:val="center"/>
          </w:tcPr>
          <w:p>
            <w:pPr>
              <w:widowControl/>
              <w:jc w:val="left"/>
              <w:textAlignment w:val="center"/>
              <w:rPr>
                <w:rFonts w:ascii="宋体" w:hAnsi="宋体" w:cs="宋体"/>
                <w:b/>
                <w:bCs/>
                <w:color w:val="auto"/>
                <w:sz w:val="30"/>
                <w:szCs w:val="30"/>
                <w:highlight w:val="none"/>
              </w:rPr>
            </w:pPr>
            <w:r>
              <w:rPr>
                <w:rFonts w:hint="eastAsia" w:ascii="宋体" w:hAnsi="宋体" w:cs="宋体"/>
                <w:b/>
                <w:bCs/>
                <w:color w:val="auto"/>
                <w:kern w:val="0"/>
                <w:sz w:val="30"/>
                <w:szCs w:val="30"/>
                <w:highlight w:val="none"/>
                <w:lang w:bidi="ar"/>
              </w:rPr>
              <w:t>编 制 日 期：</w:t>
            </w:r>
          </w:p>
        </w:tc>
        <w:tc>
          <w:tcPr>
            <w:tcW w:w="3630" w:type="pct"/>
            <w:tcBorders>
              <w:top w:val="nil"/>
              <w:left w:val="nil"/>
              <w:bottom w:val="nil"/>
              <w:right w:val="nil"/>
            </w:tcBorders>
            <w:shd w:val="clear" w:color="auto" w:fill="auto"/>
            <w:noWrap/>
            <w:vAlign w:val="center"/>
          </w:tcPr>
          <w:p>
            <w:pPr>
              <w:widowControl/>
              <w:jc w:val="left"/>
              <w:textAlignment w:val="center"/>
              <w:rPr>
                <w:rFonts w:ascii="宋体" w:hAnsi="宋体" w:cs="宋体"/>
                <w:b/>
                <w:bCs/>
                <w:color w:val="auto"/>
                <w:sz w:val="30"/>
                <w:szCs w:val="30"/>
                <w:highlight w:val="none"/>
              </w:rPr>
            </w:pPr>
            <w:r>
              <w:rPr>
                <w:rFonts w:hint="eastAsia" w:ascii="宋体" w:hAnsi="宋体" w:cs="宋体"/>
                <w:b/>
                <w:bCs/>
                <w:color w:val="auto"/>
                <w:kern w:val="0"/>
                <w:sz w:val="30"/>
                <w:szCs w:val="30"/>
                <w:highlight w:val="none"/>
                <w:lang w:bidi="ar"/>
              </w:rPr>
              <w:t>二〇二</w:t>
            </w:r>
            <w:r>
              <w:rPr>
                <w:rFonts w:hint="eastAsia" w:ascii="宋体" w:hAnsi="宋体" w:cs="宋体"/>
                <w:b/>
                <w:bCs/>
                <w:color w:val="auto"/>
                <w:kern w:val="0"/>
                <w:sz w:val="30"/>
                <w:szCs w:val="30"/>
                <w:highlight w:val="none"/>
                <w:lang w:eastAsia="zh-CN" w:bidi="ar"/>
              </w:rPr>
              <w:t>四</w:t>
            </w:r>
            <w:r>
              <w:rPr>
                <w:rFonts w:hint="eastAsia" w:ascii="宋体" w:hAnsi="宋体" w:cs="宋体"/>
                <w:b/>
                <w:bCs/>
                <w:color w:val="auto"/>
                <w:kern w:val="0"/>
                <w:sz w:val="30"/>
                <w:szCs w:val="30"/>
                <w:highlight w:val="none"/>
                <w:lang w:bidi="ar"/>
              </w:rPr>
              <w:t>年</w:t>
            </w:r>
            <w:r>
              <w:rPr>
                <w:rFonts w:hint="eastAsia" w:ascii="宋体" w:hAnsi="宋体" w:cs="宋体"/>
                <w:b/>
                <w:bCs/>
                <w:color w:val="auto"/>
                <w:kern w:val="0"/>
                <w:sz w:val="30"/>
                <w:szCs w:val="30"/>
                <w:highlight w:val="none"/>
                <w:lang w:val="en-US" w:eastAsia="zh-CN" w:bidi="ar"/>
              </w:rPr>
              <w:t>五</w:t>
            </w:r>
            <w:r>
              <w:rPr>
                <w:rFonts w:hint="eastAsia" w:ascii="宋体" w:hAnsi="宋体" w:cs="宋体"/>
                <w:b/>
                <w:bCs/>
                <w:color w:val="auto"/>
                <w:kern w:val="0"/>
                <w:sz w:val="30"/>
                <w:szCs w:val="30"/>
                <w:highlight w:val="none"/>
                <w:lang w:bidi="ar"/>
              </w:rPr>
              <w:t>月</w:t>
            </w:r>
          </w:p>
        </w:tc>
      </w:tr>
    </w:tbl>
    <w:p>
      <w:pPr>
        <w:pStyle w:val="6"/>
        <w:rPr>
          <w:color w:val="auto"/>
          <w:highlight w:val="none"/>
        </w:rPr>
      </w:pPr>
    </w:p>
    <w:p>
      <w:pPr>
        <w:jc w:val="both"/>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color w:val="auto"/>
          <w:highlight w:val="none"/>
        </w:rPr>
      </w:pPr>
      <w:r>
        <w:rPr>
          <w:rFonts w:hint="eastAsia"/>
          <w:color w:val="auto"/>
          <w:highlight w:val="none"/>
        </w:rPr>
        <w:t>本招标文件为202</w:t>
      </w:r>
      <w:r>
        <w:rPr>
          <w:rFonts w:hint="eastAsia"/>
          <w:color w:val="auto"/>
          <w:highlight w:val="none"/>
          <w:lang w:val="en-US" w:eastAsia="zh-CN"/>
        </w:rPr>
        <w:t>3年5月1日稿</w:t>
      </w:r>
      <w:r>
        <w:rPr>
          <w:rFonts w:hint="eastAsia"/>
          <w:color w:val="auto"/>
          <w:highlight w:val="none"/>
        </w:rPr>
        <w:t>，请各位投标人详细阅读各项条款</w:t>
      </w:r>
    </w:p>
    <w:p>
      <w:pPr>
        <w:spacing w:line="360" w:lineRule="auto"/>
        <w:jc w:val="center"/>
        <w:rPr>
          <w:rFonts w:hint="eastAsia" w:ascii="宋体" w:hAnsi="宋体" w:cs="宋体"/>
          <w:b/>
          <w:color w:val="auto"/>
          <w:sz w:val="48"/>
          <w:szCs w:val="48"/>
          <w:highlight w:val="none"/>
        </w:rPr>
      </w:pPr>
    </w:p>
    <w:p>
      <w:pPr>
        <w:rPr>
          <w:rFonts w:hint="eastAsia" w:ascii="宋体" w:hAnsi="宋体" w:cs="宋体"/>
          <w:b/>
          <w:color w:val="auto"/>
          <w:sz w:val="48"/>
          <w:szCs w:val="48"/>
          <w:highlight w:val="none"/>
        </w:rPr>
      </w:pPr>
      <w:r>
        <w:rPr>
          <w:rFonts w:hint="eastAsia" w:ascii="宋体" w:hAnsi="宋体" w:cs="宋体"/>
          <w:b/>
          <w:color w:val="auto"/>
          <w:sz w:val="48"/>
          <w:szCs w:val="48"/>
          <w:highlight w:val="none"/>
        </w:rPr>
        <w:br w:type="page"/>
      </w:r>
    </w:p>
    <w:p>
      <w:pPr>
        <w:spacing w:line="360" w:lineRule="auto"/>
        <w:jc w:val="center"/>
        <w:rPr>
          <w:rFonts w:ascii="宋体" w:hAnsi="宋体" w:cs="宋体"/>
          <w:color w:val="auto"/>
          <w:sz w:val="32"/>
          <w:szCs w:val="32"/>
          <w:highlight w:val="none"/>
        </w:rPr>
      </w:pPr>
      <w:r>
        <w:rPr>
          <w:rFonts w:hint="eastAsia" w:ascii="宋体" w:hAnsi="宋体" w:cs="宋体"/>
          <w:b/>
          <w:color w:val="auto"/>
          <w:sz w:val="48"/>
          <w:szCs w:val="48"/>
          <w:highlight w:val="none"/>
        </w:rPr>
        <w:t>目  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Style w:val="76"/>
          <w:rFonts w:hint="eastAsia" w:ascii="宋体" w:hAnsi="宋体" w:eastAsia="宋体" w:cs="宋体"/>
          <w:snapToGrid/>
          <w:color w:val="auto"/>
          <w:kern w:val="2"/>
          <w:sz w:val="24"/>
          <w:szCs w:val="24"/>
          <w:highlight w:val="none"/>
        </w:rPr>
      </w:pPr>
      <w:r>
        <w:rPr>
          <w:rFonts w:hint="eastAsia" w:ascii="宋体" w:hAnsi="宋体" w:cs="宋体"/>
          <w:color w:val="auto"/>
          <w:sz w:val="24"/>
          <w:highlight w:val="none"/>
          <w:u w:val="single"/>
        </w:rPr>
        <w:t>残疾人之家运营托管服务项目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t>
      </w:r>
    </w:p>
    <w:p>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u w:val="single"/>
        </w:rPr>
      </w:pPr>
      <w:r>
        <w:rPr>
          <w:rStyle w:val="76"/>
          <w:rFonts w:hint="eastAsia" w:ascii="宋体" w:hAnsi="宋体" w:eastAsia="宋体" w:cs="宋体"/>
          <w:snapToGrid/>
          <w:color w:val="auto"/>
          <w:kern w:val="2"/>
          <w:sz w:val="24"/>
          <w:szCs w:val="24"/>
          <w:highlight w:val="none"/>
        </w:rPr>
        <w:t>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06</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12</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 xml:space="preserve">点 </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GZCG2024GKDL-21</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eastAsia="宋体" w:cs="宋体"/>
          <w:bCs/>
          <w:color w:val="auto"/>
          <w:sz w:val="24"/>
          <w:szCs w:val="24"/>
          <w:highlight w:val="none"/>
          <w:lang w:val="en-US" w:eastAsia="zh-CN"/>
        </w:rPr>
        <w:t>残疾人之家运营托管服务项目</w:t>
      </w:r>
    </w:p>
    <w:p>
      <w:pPr>
        <w:spacing w:line="360" w:lineRule="auto"/>
        <w:rPr>
          <w:rFonts w:hint="default" w:ascii="宋体" w:hAnsi="宋体" w:eastAsia="宋体" w:cs="宋体"/>
          <w:b/>
          <w:bCs w:val="0"/>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r>
        <w:rPr>
          <w:rFonts w:hint="eastAsia" w:ascii="宋体" w:hAnsi="宋体" w:cs="宋体"/>
          <w:b/>
          <w:bCs w:val="0"/>
          <w:color w:val="auto"/>
          <w:sz w:val="24"/>
          <w:highlight w:val="none"/>
        </w:rPr>
        <w:t>预算金额（元）：</w:t>
      </w:r>
      <w:r>
        <w:rPr>
          <w:rFonts w:ascii="宋体" w:hAnsi="宋体" w:cs="宋体"/>
          <w:b/>
          <w:bCs w:val="0"/>
          <w:color w:val="auto"/>
          <w:sz w:val="24"/>
          <w:highlight w:val="none"/>
        </w:rPr>
        <w:t xml:space="preserve"> </w:t>
      </w:r>
      <w:r>
        <w:rPr>
          <w:rFonts w:hint="eastAsia" w:ascii="宋体" w:hAnsi="宋体" w:cs="宋体"/>
          <w:b/>
          <w:bCs w:val="0"/>
          <w:color w:val="auto"/>
          <w:sz w:val="24"/>
          <w:highlight w:val="none"/>
          <w:lang w:val="en-US" w:eastAsia="zh-CN"/>
        </w:rPr>
        <w:t>3850000.00</w:t>
      </w:r>
    </w:p>
    <w:p>
      <w:pPr>
        <w:spacing w:line="360" w:lineRule="auto"/>
        <w:ind w:firstLine="480"/>
        <w:rPr>
          <w:rFonts w:ascii="宋体" w:hAnsi="宋体" w:cs="宋体"/>
          <w:b/>
          <w:bCs w:val="0"/>
          <w:color w:val="auto"/>
          <w:sz w:val="24"/>
          <w:highlight w:val="none"/>
        </w:rPr>
      </w:pPr>
      <w:r>
        <w:rPr>
          <w:rFonts w:hint="eastAsia" w:ascii="宋体" w:hAnsi="宋体" w:cs="宋体"/>
          <w:b/>
          <w:bCs w:val="0"/>
          <w:color w:val="auto"/>
          <w:sz w:val="24"/>
          <w:highlight w:val="none"/>
        </w:rPr>
        <w:t>最高限价（元）：</w:t>
      </w:r>
      <w:r>
        <w:rPr>
          <w:rFonts w:ascii="宋体" w:hAnsi="宋体" w:cs="宋体"/>
          <w:b/>
          <w:bCs w:val="0"/>
          <w:color w:val="auto"/>
          <w:sz w:val="24"/>
          <w:highlight w:val="none"/>
        </w:rPr>
        <w:t xml:space="preserve"> </w:t>
      </w:r>
      <w:r>
        <w:rPr>
          <w:rFonts w:hint="eastAsia" w:ascii="宋体" w:hAnsi="宋体" w:cs="宋体"/>
          <w:b/>
          <w:bCs w:val="0"/>
          <w:color w:val="auto"/>
          <w:sz w:val="24"/>
          <w:highlight w:val="none"/>
          <w:lang w:val="en-US" w:eastAsia="zh-CN"/>
        </w:rPr>
        <w:t>3841200.00</w:t>
      </w:r>
    </w:p>
    <w:p>
      <w:pPr>
        <w:pStyle w:val="4"/>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eastAsia="宋体" w:cs="宋体"/>
          <w:bCs/>
          <w:color w:val="auto"/>
          <w:sz w:val="24"/>
          <w:szCs w:val="24"/>
          <w:highlight w:val="none"/>
          <w:lang w:val="en-US" w:eastAsia="zh-CN"/>
        </w:rPr>
        <w:t>残疾人之家运营托管服务项目</w:t>
      </w:r>
      <w:r>
        <w:rPr>
          <w:rFonts w:hint="eastAsia" w:hAnsi="宋体" w:cs="宋体"/>
          <w:bCs/>
          <w:snapToGrid/>
          <w:color w:val="auto"/>
          <w:kern w:val="2"/>
          <w:sz w:val="24"/>
          <w:szCs w:val="24"/>
          <w:highlight w:val="none"/>
        </w:rPr>
        <w:t>主要内容：</w:t>
      </w:r>
      <w:r>
        <w:rPr>
          <w:rFonts w:hint="eastAsia" w:ascii="宋体" w:hAnsi="宋体" w:eastAsia="宋体" w:cs="宋体"/>
          <w:color w:val="auto"/>
          <w:sz w:val="24"/>
          <w:szCs w:val="24"/>
          <w:highlight w:val="none"/>
          <w:lang w:val="en-US" w:eastAsia="zh-CN"/>
        </w:rPr>
        <w:t>残疾人之家的运营管理</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28"/>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3</w:t>
      </w:r>
      <w:r>
        <w:rPr>
          <w:rFonts w:hint="eastAsia" w:ascii="宋体" w:hAnsi="宋体" w:cs="宋体"/>
          <w:b w:val="0"/>
          <w:bCs/>
          <w:color w:val="auto"/>
          <w:highlight w:val="none"/>
        </w:rPr>
        <w:t>年，具体以签订合同之日起为准。</w:t>
      </w:r>
      <w:r>
        <w:rPr>
          <w:rFonts w:ascii="宋体" w:hAnsi="宋体" w:cs="宋体"/>
          <w:color w:val="auto"/>
          <w:highlight w:val="none"/>
        </w:rPr>
        <w:t xml:space="preserve"> </w:t>
      </w:r>
    </w:p>
    <w:p>
      <w:pPr>
        <w:pStyle w:val="4"/>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color w:val="auto"/>
          <w:sz w:val="24"/>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sdt>
        <w:sdtPr>
          <w:rPr>
            <w:rFonts w:hint="eastAsia" w:ascii="宋体" w:hAnsi="宋体" w:cs="宋体"/>
            <w:color w:val="auto"/>
            <w:kern w:val="0"/>
            <w:sz w:val="24"/>
            <w:highlight w:val="none"/>
          </w:rPr>
          <w:id w:val="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称：杭州市萧山区瓜沥镇人民政府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址：杭州市萧山区建设四路10777号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 </w:t>
      </w:r>
      <w:r>
        <w:rPr>
          <w:rFonts w:hint="eastAsia" w:ascii="宋体" w:hAnsi="宋体" w:cs="宋体"/>
          <w:color w:val="auto"/>
          <w:sz w:val="24"/>
          <w:highlight w:val="none"/>
          <w:lang w:val="en-US" w:eastAsia="zh-CN"/>
        </w:rPr>
        <w:t>施军</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 13758267267</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质疑联系人：许天钢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质疑联系方式：0571-57152632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浙江泛亚工程咨询有限公司</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杭州市西湖区天目山路181号天际大厦804室</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杨佩瑾</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15068827539</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李芳芳</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13605802875</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w:t>
      </w:r>
      <w:r>
        <w:rPr>
          <w:rFonts w:hint="eastAsia" w:ascii="宋体" w:hAnsi="宋体" w:eastAsia="宋体" w:cs="宋体"/>
          <w:color w:val="auto"/>
          <w:sz w:val="24"/>
          <w:highlight w:val="none"/>
        </w:rPr>
        <w:t>   </w:t>
      </w:r>
      <w:r>
        <w:rPr>
          <w:rFonts w:hint="eastAsia" w:ascii="宋体" w:hAnsi="宋体" w:cs="宋体"/>
          <w:color w:val="auto"/>
          <w:sz w:val="24"/>
          <w:highlight w:val="none"/>
        </w:rPr>
        <w:t xml:space="preserve">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eastAsia="宋体" w:cs="宋体"/>
          <w:color w:val="auto"/>
          <w:sz w:val="24"/>
          <w:highlight w:val="none"/>
        </w:rPr>
        <w:t>   </w:t>
      </w:r>
      <w:r>
        <w:rPr>
          <w:rFonts w:hint="eastAsia" w:ascii="宋体" w:hAnsi="宋体" w:cs="宋体"/>
          <w:color w:val="auto"/>
          <w:sz w:val="24"/>
          <w:highlight w:val="none"/>
        </w:rPr>
        <w:t xml:space="preserve"> 址：</w:t>
      </w:r>
      <w:r>
        <w:rPr>
          <w:rFonts w:hint="eastAsia" w:ascii="宋体" w:hAnsi="宋体" w:cs="宋体"/>
          <w:color w:val="auto"/>
          <w:sz w:val="24"/>
          <w:highlight w:val="none"/>
          <w:lang w:val="en-US" w:eastAsia="zh-CN"/>
        </w:rPr>
        <w:t>杭州市上城区四季青街道新业路市民之家G03办公室（快递仅限ems或顺丰）</w:t>
      </w:r>
    </w:p>
    <w:p>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w:t>
      </w:r>
      <w:r>
        <w:rPr>
          <w:rFonts w:hint="eastAsia" w:ascii="宋体" w:hAnsi="宋体" w:eastAsia="宋体" w:cs="宋体"/>
          <w:color w:val="auto"/>
          <w:sz w:val="24"/>
          <w:highlight w:val="none"/>
        </w:rPr>
        <w:t> </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 </w:t>
      </w:r>
      <w:r>
        <w:rPr>
          <w:rFonts w:hint="eastAsia" w:ascii="宋体" w:hAnsi="宋体" w:cs="宋体"/>
          <w:color w:val="auto"/>
          <w:sz w:val="24"/>
          <w:highlight w:val="none"/>
        </w:rPr>
        <w:t>真：</w:t>
      </w:r>
      <w:r>
        <w:rPr>
          <w:rFonts w:hint="eastAsia" w:ascii="宋体" w:hAnsi="宋体" w:cs="宋体"/>
          <w:color w:val="auto"/>
          <w:sz w:val="24"/>
          <w:highlight w:val="none"/>
          <w:lang w:val="en-US" w:eastAsia="zh-CN"/>
        </w:rPr>
        <w:t>/</w:t>
      </w:r>
    </w:p>
    <w:p>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朱女士/王女士</w:t>
      </w:r>
    </w:p>
    <w:p>
      <w:pPr>
        <w:spacing w:line="360" w:lineRule="auto"/>
        <w:ind w:left="237" w:leftChars="113" w:firstLine="180" w:firstLineChars="75"/>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0571-85252453</w:t>
      </w:r>
      <w:r>
        <w:rPr>
          <w:rFonts w:hint="eastAsia" w:ascii="宋体" w:hAnsi="宋体" w:cs="宋体"/>
          <w:color w:val="auto"/>
          <w:sz w:val="24"/>
          <w:highlight w:val="none"/>
        </w:rPr>
        <w:t xml:space="preserve"> </w:t>
      </w:r>
    </w:p>
    <w:p>
      <w:pPr>
        <w:spacing w:line="360" w:lineRule="auto"/>
        <w:ind w:firstLine="42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rPr>
        <w:t>  </w:t>
      </w:r>
      <w:r>
        <w:rPr>
          <w:rFonts w:hint="eastAsia" w:ascii="宋体" w:hAnsi="宋体" w:eastAsia="宋体" w:cs="宋体"/>
          <w:color w:val="auto"/>
          <w:sz w:val="24"/>
          <w:highlight w:val="none"/>
          <w:lang w:eastAsia="zh-CN"/>
        </w:rPr>
        <w:t>（汤先生）</w:t>
      </w:r>
    </w:p>
    <w:p>
      <w:pPr>
        <w:spacing w:line="360" w:lineRule="auto"/>
        <w:rPr>
          <w:rFonts w:hint="eastAsia" w:ascii="宋体" w:hAnsi="宋体" w:cs="宋体"/>
          <w:color w:val="auto"/>
          <w:sz w:val="24"/>
          <w:highlight w:val="none"/>
          <w:lang w:val="en-US" w:eastAsia="zh-CN"/>
        </w:rPr>
      </w:pP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84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49"/>
        <w:gridCol w:w="64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74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46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74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46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74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46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eastAsia="宋体" w:cs="宋体"/>
                <w:color w:val="auto"/>
                <w:sz w:val="24"/>
                <w:szCs w:val="24"/>
                <w:highlight w:val="none"/>
                <w:lang w:val="en-US" w:eastAsia="zh-CN"/>
              </w:rPr>
              <w:t>残疾人之家运营托管服务项目</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其他未列明行业</w:t>
            </w:r>
            <w:r>
              <w:rPr>
                <w:rFonts w:hint="eastAsia" w:ascii="宋体" w:hAnsi="宋体" w:eastAsia="宋体" w:cs="宋体"/>
                <w:color w:val="auto"/>
                <w:sz w:val="24"/>
                <w:szCs w:val="24"/>
                <w:highlight w:val="none"/>
              </w:rPr>
              <w:t>；</w:t>
            </w:r>
          </w:p>
          <w:p>
            <w:pPr>
              <w:spacing w:line="360" w:lineRule="auto"/>
              <w:rPr>
                <w:rFonts w:hint="eastAsia"/>
                <w:color w:val="auto"/>
                <w:sz w:val="22"/>
                <w:szCs w:val="22"/>
                <w:highlight w:val="none"/>
                <w:lang w:val="en-US"/>
              </w:rPr>
            </w:pPr>
            <w:r>
              <w:rPr>
                <w:rFonts w:hint="eastAsia"/>
                <w:color w:val="auto"/>
                <w:sz w:val="22"/>
                <w:szCs w:val="22"/>
                <w:highlight w:val="none"/>
                <w:lang w:val="en-US"/>
              </w:rPr>
              <w:t>备注：中小企业划型标准详见：工信部联企业〔2011〕300号。</w:t>
            </w:r>
          </w:p>
          <w:p>
            <w:pPr>
              <w:spacing w:line="360" w:lineRule="auto"/>
              <w:rPr>
                <w:rFonts w:hint="eastAsia"/>
                <w:color w:val="auto"/>
                <w:sz w:val="22"/>
                <w:szCs w:val="22"/>
                <w:highlight w:val="none"/>
                <w:lang w:val="en-US"/>
              </w:rPr>
            </w:pPr>
            <w:r>
              <w:rPr>
                <w:rFonts w:hint="eastAsia"/>
                <w:color w:val="auto"/>
                <w:sz w:val="22"/>
                <w:szCs w:val="22"/>
                <w:highlight w:val="none"/>
                <w:lang w:val="en-US"/>
              </w:rPr>
              <w:t>（2）本项目为专门面向中小企业预留采购份额的采购项目。</w:t>
            </w:r>
          </w:p>
          <w:p>
            <w:pPr>
              <w:spacing w:line="360" w:lineRule="auto"/>
              <w:rPr>
                <w:rFonts w:hint="eastAsia"/>
                <w:color w:val="auto"/>
                <w:sz w:val="22"/>
                <w:szCs w:val="22"/>
                <w:highlight w:val="none"/>
                <w:lang w:val="en-US"/>
              </w:rPr>
            </w:pPr>
            <w:r>
              <w:rPr>
                <w:rFonts w:hint="eastAsia"/>
                <w:color w:val="auto"/>
                <w:sz w:val="22"/>
                <w:szCs w:val="22"/>
                <w:highlight w:val="none"/>
                <w:lang w:val="en-US"/>
              </w:rPr>
              <w:t>（3）本招标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rPr>
                <w:rFonts w:hint="eastAsia"/>
                <w:color w:val="auto"/>
                <w:sz w:val="22"/>
                <w:szCs w:val="22"/>
                <w:highlight w:val="none"/>
                <w:lang w:val="en-US"/>
              </w:rPr>
            </w:pPr>
            <w:r>
              <w:rPr>
                <w:rFonts w:hint="eastAsia"/>
                <w:color w:val="auto"/>
                <w:sz w:val="22"/>
                <w:szCs w:val="22"/>
                <w:highlight w:val="none"/>
                <w:lang w:val="en-US"/>
              </w:rPr>
              <w:t>（4）以联合体形式参加政府采购活动，联合体各方均为中小企业的，联合体视同中小企业。</w:t>
            </w:r>
          </w:p>
          <w:p>
            <w:pPr>
              <w:spacing w:line="360" w:lineRule="auto"/>
              <w:rPr>
                <w:rFonts w:hint="eastAsia"/>
                <w:color w:val="auto"/>
                <w:sz w:val="22"/>
                <w:szCs w:val="22"/>
                <w:highlight w:val="none"/>
                <w:lang w:val="en-US"/>
              </w:rPr>
            </w:pPr>
            <w:r>
              <w:rPr>
                <w:rFonts w:hint="eastAsia"/>
                <w:color w:val="auto"/>
                <w:sz w:val="22"/>
                <w:szCs w:val="22"/>
                <w:highlight w:val="none"/>
                <w:lang w:val="en-US"/>
              </w:rPr>
              <w:t>（5）符合中小企业划分标准的个体工商户，视同中小企业。</w:t>
            </w:r>
          </w:p>
          <w:p>
            <w:pPr>
              <w:spacing w:line="360" w:lineRule="auto"/>
              <w:rPr>
                <w:rFonts w:hint="eastAsia"/>
                <w:color w:val="auto"/>
                <w:sz w:val="22"/>
                <w:szCs w:val="22"/>
                <w:highlight w:val="none"/>
                <w:lang w:val="en-US"/>
              </w:rPr>
            </w:pPr>
            <w:r>
              <w:rPr>
                <w:rFonts w:hint="eastAsia"/>
                <w:color w:val="auto"/>
                <w:sz w:val="22"/>
                <w:szCs w:val="22"/>
                <w:highlight w:val="none"/>
                <w:lang w:val="en-US"/>
              </w:rPr>
              <w:t>（6）本标项的服务要求全部由中小企业承接。</w:t>
            </w:r>
          </w:p>
          <w:p>
            <w:pPr>
              <w:spacing w:line="360" w:lineRule="auto"/>
              <w:rPr>
                <w:rFonts w:hint="eastAsia"/>
                <w:color w:val="auto"/>
                <w:sz w:val="22"/>
                <w:szCs w:val="22"/>
                <w:highlight w:val="none"/>
                <w:lang w:val="en-US"/>
              </w:rPr>
            </w:pPr>
            <w:r>
              <w:rPr>
                <w:rFonts w:hint="eastAsia"/>
                <w:color w:val="auto"/>
                <w:sz w:val="22"/>
                <w:szCs w:val="22"/>
                <w:highlight w:val="none"/>
                <w:lang w:val="en-US"/>
              </w:rPr>
              <w:t>（7）提供的服务由中小企业承接的，供应商应当出具《中小企业声明函》。</w:t>
            </w:r>
          </w:p>
          <w:p>
            <w:pPr>
              <w:spacing w:line="360" w:lineRule="auto"/>
              <w:rPr>
                <w:rFonts w:hint="eastAsia"/>
                <w:color w:val="auto"/>
                <w:sz w:val="22"/>
                <w:szCs w:val="22"/>
                <w:highlight w:val="none"/>
                <w:lang w:val="en-US"/>
              </w:rPr>
            </w:pPr>
            <w:r>
              <w:rPr>
                <w:rFonts w:hint="eastAsia"/>
                <w:color w:val="auto"/>
                <w:sz w:val="22"/>
                <w:szCs w:val="22"/>
                <w:highlight w:val="none"/>
                <w:lang w:val="en-US"/>
              </w:rPr>
              <w:t>（8）残疾人福利性单位视同中小企业。残疾人福利性单位参加政府采购活动时，应当提供《残疾人福利性单位声明函》。</w:t>
            </w:r>
          </w:p>
          <w:p>
            <w:pPr>
              <w:spacing w:line="360" w:lineRule="auto"/>
              <w:rPr>
                <w:color w:val="auto"/>
                <w:highlight w:val="none"/>
                <w:lang w:val="en-US"/>
              </w:rPr>
            </w:pPr>
            <w:r>
              <w:rPr>
                <w:rFonts w:hint="eastAsia"/>
                <w:color w:val="auto"/>
                <w:sz w:val="22"/>
                <w:szCs w:val="22"/>
                <w:highlight w:val="none"/>
                <w:lang w:val="en-US"/>
              </w:rPr>
              <w:t>（9）监狱企业视同中小企业。监狱企业参加政府采购活动时，应当出具省级以上监狱管理局、戒毒管理局（含新疆生产建设兵团）提供的属于监狱企业的证明文件。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74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46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74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46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74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46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74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465" w:type="dxa"/>
            <w:tcBorders>
              <w:top w:val="single" w:color="000000" w:sz="8" w:space="0"/>
              <w:left w:val="single" w:color="000000" w:sz="2" w:space="0"/>
              <w:bottom w:val="single" w:color="000000" w:sz="8" w:space="0"/>
              <w:right w:val="single" w:color="000000" w:sz="8" w:space="0"/>
            </w:tcBorders>
            <w:vAlign w:val="center"/>
          </w:tcPr>
          <w:p>
            <w:pPr>
              <w:pStyle w:val="6"/>
              <w:rPr>
                <w:rFonts w:hint="default"/>
                <w:color w:val="auto"/>
                <w:highlight w:val="none"/>
              </w:rPr>
            </w:pPr>
            <w:sdt>
              <w:sdtPr>
                <w:rPr>
                  <w:rFonts w:hint="eastAsia" w:ascii="宋体" w:hAnsi="宋体" w:cs="宋体"/>
                  <w:color w:val="auto"/>
                  <w:kern w:val="0"/>
                  <w:sz w:val="24"/>
                  <w:highlight w:val="none"/>
                </w:rPr>
                <w:id w:val="17"/>
                <w14:checkbox>
                  <w14:checked w14:val="1"/>
                  <w14:checkedState w14:val="00FE" w14:font="Wingdings"/>
                  <w14:uncheckedState w14:val="2610" w14:font="MS Gothic"/>
                </w14:checkbox>
              </w:sdtPr>
              <w:sdtEndPr>
                <w:rPr>
                  <w:rFonts w:hint="eastAsia" w:ascii="宋体" w:hAnsi="宋体" w:eastAsia="宋体" w:cs="宋体"/>
                  <w:b w:val="0"/>
                  <w:bCs w:val="0"/>
                  <w:color w:val="auto"/>
                  <w:kern w:val="2"/>
                  <w:sz w:val="24"/>
                  <w:szCs w:val="24"/>
                  <w:highlight w:val="none"/>
                  <w:lang w:val="en-US" w:eastAsia="zh-CN" w:bidi="ar-SA"/>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eastAsia="宋体" w:cs="宋体"/>
                <w:b w:val="0"/>
                <w:bCs w:val="0"/>
                <w:color w:val="auto"/>
                <w:kern w:val="2"/>
                <w:sz w:val="24"/>
                <w:szCs w:val="24"/>
                <w:highlight w:val="none"/>
                <w:lang w:val="en-US" w:eastAsia="zh-CN" w:bidi="ar-SA"/>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74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46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7"/>
                <w14:checkbox>
                  <w14:checked w14:val="1"/>
                  <w14:checkedState w14:val="00FE" w14:font="Wingdings"/>
                  <w14:uncheckedState w14:val="2610" w14:font="MS Gothic"/>
                </w14:checkbox>
              </w:sdtPr>
              <w:sdtEndPr>
                <w:rPr>
                  <w:rFonts w:hint="eastAsia" w:ascii="宋体" w:hAnsi="宋体" w:eastAsia="宋体" w:cs="宋体"/>
                  <w:b w:val="0"/>
                  <w:bCs w:val="0"/>
                  <w:color w:val="auto"/>
                  <w:kern w:val="2"/>
                  <w:sz w:val="24"/>
                  <w:szCs w:val="24"/>
                  <w:highlight w:val="none"/>
                  <w:lang w:val="en-US" w:eastAsia="zh-CN" w:bidi="ar-SA"/>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10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hAnsi="宋体" w:cs="宋体"/>
                <w:snapToGrid/>
                <w:color w:val="auto"/>
                <w:sz w:val="24"/>
                <w:szCs w:val="24"/>
                <w:highlight w:val="none"/>
              </w:rPr>
              <w:t>萧山区瓜沥镇政通路100号公共资源交易中心3楼</w:t>
            </w:r>
            <w:r>
              <w:rPr>
                <w:rFonts w:hint="eastAsia" w:hAnsi="宋体" w:cs="宋体"/>
                <w:snapToGrid/>
                <w:color w:val="auto"/>
                <w:sz w:val="24"/>
                <w:szCs w:val="24"/>
                <w:highlight w:val="none"/>
                <w:lang w:eastAsia="zh-CN"/>
              </w:rPr>
              <w:t>会议</w:t>
            </w:r>
            <w:r>
              <w:rPr>
                <w:rFonts w:hint="eastAsia" w:hAnsi="宋体" w:cs="宋体"/>
                <w:snapToGrid/>
                <w:color w:val="auto"/>
                <w:sz w:val="24"/>
                <w:szCs w:val="24"/>
                <w:highlight w:val="none"/>
              </w:rPr>
              <w:t>室</w:t>
            </w:r>
            <w:r>
              <w:rPr>
                <w:rFonts w:hint="eastAsia" w:ascii="宋体" w:hAnsi="宋体" w:cs="宋体"/>
                <w:color w:val="auto"/>
                <w:kern w:val="0"/>
                <w:sz w:val="24"/>
                <w:highlight w:val="none"/>
              </w:rPr>
              <w:t>，讲解演示所用电脑等设备由投标人自备。现场讲解演示人员进场时提供讲解人员名单（加盖公章）及身份证明</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法人代表请携带身份证复件及营业执照复印件），否则不得讲解演示。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w:t>
            </w:r>
            <w:r>
              <w:rPr>
                <w:rFonts w:hint="eastAsia" w:ascii="宋体" w:hAnsi="宋体" w:eastAsia="宋体" w:cs="宋体"/>
                <w:color w:val="auto"/>
                <w:kern w:val="0"/>
                <w:sz w:val="24"/>
                <w:highlight w:val="none"/>
              </w:rPr>
              <w:t>浙江省政府采购项目电子交易管理暂行办法》相关规定执行。</w:t>
            </w:r>
            <w:r>
              <w:rPr>
                <w:rFonts w:hint="eastAsia" w:ascii="宋体" w:hAnsi="宋体" w:eastAsia="宋体" w:cs="宋体"/>
                <w:bCs w:val="0"/>
                <w:color w:val="auto"/>
                <w:kern w:val="0"/>
                <w:sz w:val="24"/>
                <w:highlight w:val="none"/>
                <w:lang w:val="en-US" w:eastAsia="zh-CN"/>
              </w:rPr>
              <w:t>演示人员</w:t>
            </w:r>
            <w:r>
              <w:rPr>
                <w:rFonts w:hint="eastAsia" w:ascii="宋体" w:hAnsi="宋体" w:eastAsia="宋体" w:cs="宋体"/>
                <w:bCs w:val="0"/>
                <w:color w:val="auto"/>
                <w:kern w:val="0"/>
                <w:sz w:val="24"/>
                <w:highlight w:val="none"/>
              </w:rPr>
              <w:t>须提供投标人的授权书（见附件格式，法人代表请携带身份证复件及营业执照复印件）、身份证</w:t>
            </w:r>
            <w:r>
              <w:rPr>
                <w:rFonts w:hint="eastAsia" w:ascii="宋体" w:hAnsi="宋体" w:eastAsia="宋体" w:cs="宋体"/>
                <w:bCs w:val="0"/>
                <w:color w:val="auto"/>
                <w:kern w:val="0"/>
                <w:sz w:val="24"/>
                <w:highlight w:val="none"/>
                <w:lang w:eastAsia="zh-CN"/>
              </w:rPr>
              <w:t>（</w:t>
            </w:r>
            <w:r>
              <w:rPr>
                <w:rFonts w:hint="eastAsia" w:ascii="宋体" w:hAnsi="宋体" w:eastAsia="宋体" w:cs="宋体"/>
                <w:bCs w:val="0"/>
                <w:color w:val="auto"/>
                <w:kern w:val="0"/>
                <w:sz w:val="24"/>
                <w:highlight w:val="none"/>
                <w:lang w:val="en-US" w:eastAsia="zh-CN"/>
              </w:rPr>
              <w:t>复印件</w:t>
            </w:r>
            <w:r>
              <w:rPr>
                <w:rFonts w:hint="eastAsia" w:ascii="宋体" w:hAnsi="宋体" w:eastAsia="宋体" w:cs="宋体"/>
                <w:bCs w:val="0"/>
                <w:color w:val="auto"/>
                <w:kern w:val="0"/>
                <w:sz w:val="24"/>
                <w:highlight w:val="none"/>
                <w:lang w:eastAsia="zh-CN"/>
              </w:rPr>
              <w:t>）</w:t>
            </w:r>
            <w:r>
              <w:rPr>
                <w:rFonts w:hint="eastAsia" w:ascii="宋体" w:hAnsi="宋体" w:eastAsia="宋体" w:cs="宋体"/>
                <w:bCs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749"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46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6"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749"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46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74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46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74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46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749"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465" w:type="dxa"/>
            <w:tcBorders>
              <w:top w:val="single" w:color="000000" w:sz="8" w:space="0"/>
              <w:left w:val="single" w:color="000000" w:sz="2" w:space="0"/>
              <w:right w:val="single" w:color="000000" w:sz="8" w:space="0"/>
            </w:tcBorders>
            <w:vAlign w:val="center"/>
          </w:tcPr>
          <w:p>
            <w:pPr>
              <w:spacing w:line="24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24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本项目支持《杭州市萧山区政府采购支持中小企业信用融资暂行办法》。</w:t>
            </w:r>
          </w:p>
          <w:p>
            <w:pPr>
              <w:spacing w:line="240" w:lineRule="auto"/>
              <w:ind w:firstLine="480" w:firstLineChars="200"/>
              <w:jc w:val="lef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有融资需求的中标供应商可参照相关规定及银行方案凭政府采购合同向相关合作银行提出信用融资（贷款）申请。详见http://www.xiaoshan.gov.cn/art/2018/12/20/ar</w:t>
            </w:r>
          </w:p>
          <w:p>
            <w:pPr>
              <w:spacing w:line="240" w:lineRule="auto"/>
              <w:jc w:val="left"/>
              <w:rPr>
                <w:rFonts w:ascii="宋体" w:hAnsi="宋体" w:cs="宋体"/>
                <w:color w:val="auto"/>
                <w:sz w:val="24"/>
                <w:highlight w:val="none"/>
              </w:rPr>
            </w:pPr>
            <w:r>
              <w:rPr>
                <w:rFonts w:hint="eastAsia" w:ascii="宋体" w:hAnsi="宋体" w:cs="宋体"/>
                <w:snapToGrid w:val="0"/>
                <w:color w:val="auto"/>
                <w:kern w:val="28"/>
                <w:sz w:val="24"/>
                <w:highlight w:val="none"/>
              </w:rPr>
              <w:t>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74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46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hAnsi="宋体" w:eastAsia="宋体" w:cs="宋体"/>
                <w:color w:val="auto"/>
                <w:kern w:val="28"/>
                <w:sz w:val="24"/>
                <w:szCs w:val="24"/>
                <w:highlight w:val="none"/>
                <w:lang w:eastAsia="zh-CN"/>
              </w:rPr>
            </w:pPr>
            <w:r>
              <w:rPr>
                <w:rFonts w:hint="eastAsia" w:hAnsi="宋体" w:cs="宋体"/>
                <w:color w:val="auto"/>
                <w:kern w:val="28"/>
                <w:sz w:val="24"/>
                <w:szCs w:val="24"/>
                <w:highlight w:val="none"/>
                <w:lang w:val="en-US" w:eastAsia="zh-CN"/>
              </w:rPr>
              <w:t>本项目</w:t>
            </w:r>
            <w:r>
              <w:rPr>
                <w:rFonts w:hint="eastAsia" w:hAnsi="宋体" w:cs="宋体"/>
                <w:color w:val="auto"/>
                <w:kern w:val="28"/>
                <w:sz w:val="24"/>
                <w:szCs w:val="24"/>
                <w:highlight w:val="none"/>
              </w:rPr>
              <w:t>备份文件是否收取：可提交备份</w:t>
            </w:r>
            <w:r>
              <w:rPr>
                <w:rFonts w:hint="eastAsia" w:hAnsi="宋体" w:cs="宋体"/>
                <w:color w:val="auto"/>
                <w:kern w:val="28"/>
                <w:sz w:val="24"/>
                <w:szCs w:val="24"/>
                <w:highlight w:val="none"/>
                <w:lang w:eastAsia="zh-CN"/>
              </w:rPr>
              <w:t>。</w:t>
            </w:r>
          </w:p>
          <w:p>
            <w:pPr>
              <w:pStyle w:val="35"/>
              <w:adjustRightInd/>
              <w:spacing w:line="312" w:lineRule="auto"/>
              <w:rPr>
                <w:rFonts w:hAnsi="宋体" w:cs="宋体"/>
                <w:color w:val="auto"/>
                <w:sz w:val="24"/>
                <w:szCs w:val="24"/>
                <w:highlight w:val="none"/>
              </w:rPr>
            </w:pPr>
            <w:r>
              <w:rPr>
                <w:rFonts w:hint="eastAsia" w:hAnsi="宋体" w:cs="宋体"/>
                <w:color w:val="auto"/>
                <w:kern w:val="28"/>
                <w:sz w:val="24"/>
                <w:szCs w:val="24"/>
                <w:highlight w:val="none"/>
              </w:rPr>
              <w:t>备份投标文件送达地点：杭州市西湖区天目山路181号天际大厦804；备份投标文件签收人员联系电话：</w:t>
            </w:r>
            <w:r>
              <w:rPr>
                <w:rFonts w:hint="eastAsia" w:hAnsi="宋体" w:cs="宋体"/>
                <w:color w:val="auto"/>
                <w:kern w:val="28"/>
                <w:sz w:val="24"/>
                <w:szCs w:val="24"/>
                <w:highlight w:val="none"/>
                <w:lang w:eastAsia="zh-CN"/>
              </w:rPr>
              <w:t>杨</w:t>
            </w:r>
            <w:r>
              <w:rPr>
                <w:rFonts w:hint="eastAsia" w:hAnsi="宋体" w:cs="宋体"/>
                <w:color w:val="auto"/>
                <w:kern w:val="28"/>
                <w:sz w:val="24"/>
                <w:szCs w:val="24"/>
                <w:highlight w:val="none"/>
              </w:rPr>
              <w:t>工，1</w:t>
            </w:r>
            <w:r>
              <w:rPr>
                <w:rFonts w:hint="eastAsia" w:hAnsi="宋体" w:cs="宋体"/>
                <w:color w:val="auto"/>
                <w:kern w:val="28"/>
                <w:sz w:val="24"/>
                <w:szCs w:val="24"/>
                <w:highlight w:val="none"/>
                <w:lang w:val="en-US" w:eastAsia="zh-CN"/>
              </w:rPr>
              <w:t>5068827539</w:t>
            </w:r>
            <w:r>
              <w:rPr>
                <w:rFonts w:hint="eastAsia" w:hAnsi="宋体" w:cs="宋体"/>
                <w:color w:val="auto"/>
                <w:sz w:val="24"/>
                <w:szCs w:val="24"/>
                <w:highlight w:val="none"/>
              </w:rPr>
              <w:t>。</w:t>
            </w:r>
          </w:p>
          <w:p>
            <w:pPr>
              <w:pStyle w:val="35"/>
              <w:spacing w:line="360" w:lineRule="auto"/>
              <w:rPr>
                <w:rFonts w:hAnsi="宋体" w:cs="宋体"/>
                <w:color w:val="auto"/>
                <w:kern w:val="28"/>
                <w:sz w:val="24"/>
                <w:highlight w:val="none"/>
              </w:rPr>
            </w:pPr>
            <w:r>
              <w:rPr>
                <w:rFonts w:hint="eastAsia" w:hAnsi="宋体" w:cs="宋体"/>
                <w:snapToGrid/>
                <w:color w:val="auto"/>
                <w:sz w:val="24"/>
                <w:szCs w:val="24"/>
                <w:highlight w:val="none"/>
              </w:rPr>
              <w:t>本项目开标评标在采购人安排的场地进行，供应商需要提供备份文件的请在投标截止时间前一天送达代理公司，开标当天并在投标截止时间前2小时内送达的，请送至萧山区瓜沥镇政通路100号公共资源交易中心3楼开标室</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3"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default" w:ascii="宋体" w:hAnsi="宋体" w:cs="宋体"/>
                <w:color w:val="auto"/>
                <w:sz w:val="24"/>
                <w:highlight w:val="none"/>
              </w:rPr>
            </w:pPr>
            <w:r>
              <w:rPr>
                <w:rFonts w:hint="default" w:ascii="宋体" w:hAnsi="宋体" w:cs="宋体"/>
                <w:color w:val="auto"/>
                <w:sz w:val="24"/>
                <w:highlight w:val="none"/>
              </w:rPr>
              <w:t>13</w:t>
            </w:r>
          </w:p>
        </w:tc>
        <w:tc>
          <w:tcPr>
            <w:tcW w:w="174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default" w:ascii="宋体" w:hAnsi="宋体" w:cs="宋体"/>
                <w:b/>
                <w:color w:val="auto"/>
                <w:sz w:val="24"/>
                <w:highlight w:val="none"/>
              </w:rPr>
            </w:pPr>
            <w:r>
              <w:rPr>
                <w:rFonts w:hint="default" w:ascii="宋体" w:hAnsi="宋体" w:cs="宋体"/>
                <w:b/>
                <w:color w:val="auto"/>
                <w:sz w:val="24"/>
                <w:highlight w:val="none"/>
              </w:rPr>
              <w:t>采购机构代理费用</w:t>
            </w:r>
          </w:p>
        </w:tc>
        <w:tc>
          <w:tcPr>
            <w:tcW w:w="646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default" w:hAnsi="宋体" w:cs="宋体"/>
                <w:color w:val="auto"/>
                <w:kern w:val="28"/>
                <w:sz w:val="24"/>
                <w:szCs w:val="24"/>
                <w:highlight w:val="none"/>
              </w:rPr>
            </w:pPr>
            <w:r>
              <w:rPr>
                <w:rFonts w:hint="default" w:hAnsi="宋体" w:cs="宋体"/>
                <w:color w:val="auto"/>
                <w:kern w:val="28"/>
                <w:sz w:val="24"/>
                <w:szCs w:val="24"/>
                <w:highlight w:val="none"/>
              </w:rPr>
              <w:t>本项目由采购代理机构负责采购代理工作，采购活动结束后中标单位在领取中标通知书需向采购代理机构支付代理服务费，费用按发改价格（2011）534号中规定的招标代理服务费标准计取，采购代理收费按照差额定率累计法计取。</w:t>
            </w:r>
          </w:p>
          <w:p>
            <w:pPr>
              <w:pStyle w:val="35"/>
              <w:spacing w:line="360" w:lineRule="auto"/>
              <w:rPr>
                <w:rFonts w:hint="default" w:hAnsi="宋体" w:cs="宋体"/>
                <w:color w:val="auto"/>
                <w:kern w:val="28"/>
                <w:sz w:val="24"/>
                <w:szCs w:val="24"/>
                <w:highlight w:val="none"/>
              </w:rPr>
            </w:pPr>
            <w:r>
              <w:rPr>
                <w:rFonts w:hint="default" w:hAnsi="宋体" w:cs="宋体"/>
                <w:color w:val="auto"/>
                <w:kern w:val="28"/>
                <w:sz w:val="24"/>
                <w:szCs w:val="24"/>
                <w:highlight w:val="none"/>
              </w:rPr>
              <w:t>结算方式及时间为：在领取中标通知书时由中标供应商一次性向采购代理机构付清。该费用考虑在投标总报价中，不必单列。</w:t>
            </w:r>
          </w:p>
          <w:p>
            <w:pPr>
              <w:pStyle w:val="35"/>
              <w:spacing w:line="360" w:lineRule="auto"/>
              <w:rPr>
                <w:rFonts w:hint="default" w:hAnsi="宋体" w:cs="宋体"/>
                <w:color w:val="auto"/>
                <w:kern w:val="28"/>
                <w:sz w:val="24"/>
                <w:szCs w:val="24"/>
                <w:highlight w:val="none"/>
              </w:rPr>
            </w:pPr>
            <w:r>
              <w:rPr>
                <w:rFonts w:hint="default" w:hAnsi="宋体" w:cs="宋体"/>
                <w:color w:val="auto"/>
                <w:kern w:val="28"/>
                <w:sz w:val="24"/>
                <w:szCs w:val="24"/>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1749"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eastAsia" w:ascii="Times New Roman" w:hAnsi="Times New Roman" w:eastAsia="宋体" w:cs="Times New Roman"/>
                <w:color w:val="auto"/>
                <w:kern w:val="2"/>
                <w:sz w:val="21"/>
                <w:szCs w:val="24"/>
                <w:highlight w:val="none"/>
                <w:lang w:val="en-US" w:eastAsia="zh-CN" w:bidi="ar-SA"/>
              </w:rPr>
            </w:pPr>
            <w:r>
              <w:rPr>
                <w:rFonts w:hint="eastAsia" w:cs="仿宋"/>
                <w:b/>
                <w:color w:val="auto"/>
                <w:sz w:val="24"/>
                <w:szCs w:val="24"/>
                <w:highlight w:val="none"/>
              </w:rPr>
              <w:t>资格审查和信用信息审查</w:t>
            </w:r>
          </w:p>
        </w:tc>
        <w:tc>
          <w:tcPr>
            <w:tcW w:w="6465" w:type="dxa"/>
            <w:tcBorders>
              <w:top w:val="single" w:color="000000" w:sz="8" w:space="0"/>
              <w:left w:val="single" w:color="000000" w:sz="2" w:space="0"/>
              <w:bottom w:val="single" w:color="000000" w:sz="8" w:space="0"/>
              <w:right w:val="single" w:color="000000" w:sz="8" w:space="0"/>
            </w:tcBorders>
            <w:vAlign w:val="center"/>
          </w:tcPr>
          <w:p>
            <w:pPr>
              <w:spacing w:after="0"/>
              <w:jc w:val="left"/>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本项目</w:t>
            </w:r>
            <w:r>
              <w:rPr>
                <w:rFonts w:hint="default" w:ascii="宋体" w:hAnsi="宋体" w:eastAsia="宋体" w:cs="宋体"/>
                <w:snapToGrid w:val="0"/>
                <w:color w:val="auto"/>
                <w:kern w:val="28"/>
                <w:sz w:val="24"/>
                <w:szCs w:val="24"/>
                <w:highlight w:val="none"/>
                <w:lang w:val="en-US" w:eastAsia="zh-CN" w:bidi="ar-SA"/>
              </w:rPr>
              <w:t>由采购人</w:t>
            </w:r>
            <w:r>
              <w:rPr>
                <w:rFonts w:hint="eastAsia" w:ascii="宋体" w:hAnsi="宋体" w:eastAsia="宋体" w:cs="宋体"/>
                <w:snapToGrid w:val="0"/>
                <w:color w:val="auto"/>
                <w:kern w:val="28"/>
                <w:sz w:val="24"/>
                <w:szCs w:val="24"/>
                <w:highlight w:val="none"/>
                <w:lang w:val="en-US" w:eastAsia="zh-CN" w:bidi="ar-SA"/>
              </w:rPr>
              <w:t>进行</w:t>
            </w:r>
            <w:r>
              <w:rPr>
                <w:rFonts w:hint="default" w:ascii="宋体" w:hAnsi="宋体" w:eastAsia="宋体" w:cs="宋体"/>
                <w:snapToGrid w:val="0"/>
                <w:color w:val="auto"/>
                <w:kern w:val="28"/>
                <w:sz w:val="24"/>
                <w:szCs w:val="24"/>
                <w:highlight w:val="none"/>
                <w:lang w:val="en-US" w:eastAsia="zh-CN" w:bidi="ar-SA"/>
              </w:rPr>
              <w:t>资格文件</w:t>
            </w:r>
            <w:r>
              <w:rPr>
                <w:rFonts w:hint="eastAsia" w:ascii="宋体" w:hAnsi="宋体" w:eastAsia="宋体" w:cs="宋体"/>
                <w:snapToGrid w:val="0"/>
                <w:color w:val="auto"/>
                <w:kern w:val="28"/>
                <w:sz w:val="24"/>
                <w:szCs w:val="24"/>
                <w:highlight w:val="none"/>
                <w:lang w:val="en-US" w:eastAsia="zh-CN" w:bidi="ar-SA"/>
              </w:rPr>
              <w:t>及</w:t>
            </w:r>
            <w:r>
              <w:rPr>
                <w:rFonts w:hint="default" w:ascii="宋体" w:hAnsi="宋体" w:eastAsia="宋体" w:cs="宋体"/>
                <w:snapToGrid w:val="0"/>
                <w:color w:val="auto"/>
                <w:kern w:val="28"/>
                <w:sz w:val="24"/>
                <w:szCs w:val="24"/>
                <w:highlight w:val="none"/>
                <w:lang w:val="en-US" w:eastAsia="zh-CN" w:bidi="ar-SA"/>
              </w:rPr>
              <w:t>信用信息</w:t>
            </w:r>
            <w:r>
              <w:rPr>
                <w:rFonts w:hint="eastAsia" w:ascii="宋体" w:hAnsi="宋体" w:eastAsia="宋体" w:cs="宋体"/>
                <w:snapToGrid w:val="0"/>
                <w:color w:val="auto"/>
                <w:kern w:val="28"/>
                <w:sz w:val="24"/>
                <w:szCs w:val="24"/>
                <w:highlight w:val="none"/>
                <w:lang w:val="en-US" w:eastAsia="zh-CN" w:bidi="ar-SA"/>
              </w:rPr>
              <w:t>查询</w:t>
            </w:r>
            <w:r>
              <w:rPr>
                <w:rFonts w:hint="default" w:ascii="宋体" w:hAnsi="宋体" w:eastAsia="宋体" w:cs="宋体"/>
                <w:snapToGrid w:val="0"/>
                <w:color w:val="auto"/>
                <w:kern w:val="28"/>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1749"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eastAsia" w:cs="仿宋"/>
                <w:b/>
                <w:color w:val="auto"/>
                <w:sz w:val="24"/>
                <w:szCs w:val="24"/>
                <w:highlight w:val="none"/>
              </w:rPr>
            </w:pPr>
            <w:r>
              <w:rPr>
                <w:rFonts w:hint="eastAsia" w:cs="仿宋"/>
                <w:b/>
                <w:color w:val="auto"/>
                <w:sz w:val="24"/>
                <w:szCs w:val="24"/>
                <w:highlight w:val="none"/>
              </w:rPr>
              <w:t>质疑接收人及答复</w:t>
            </w:r>
          </w:p>
        </w:tc>
        <w:tc>
          <w:tcPr>
            <w:tcW w:w="6465" w:type="dxa"/>
            <w:tcBorders>
              <w:top w:val="single" w:color="000000" w:sz="8" w:space="0"/>
              <w:left w:val="single" w:color="000000" w:sz="2" w:space="0"/>
              <w:bottom w:val="single" w:color="000000" w:sz="8" w:space="0"/>
              <w:right w:val="single" w:color="000000" w:sz="8" w:space="0"/>
            </w:tcBorders>
            <w:vAlign w:val="center"/>
          </w:tcPr>
          <w:p>
            <w:pPr>
              <w:snapToGrid w:val="0"/>
              <w:spacing w:after="0"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采购人、采购机构质疑接收人、联系方式：详见公告</w:t>
            </w:r>
          </w:p>
          <w:p>
            <w:pPr>
              <w:snapToGrid w:val="0"/>
              <w:spacing w:after="0"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线上提交质疑方式：政采云线上质疑路径：项目采购-询问质疑投诉-质疑列表。请使用ca签章在每一页质疑文件中加盖电子公章，上传完整附件。</w:t>
            </w:r>
          </w:p>
          <w:p>
            <w:pPr>
              <w:snapToGrid w:val="0"/>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本项目涉及资格条件、采购需求、评分办法及采购过程中有关现场考察或开标前答疑会等事项由采购人进行答复。</w:t>
            </w:r>
          </w:p>
          <w:p>
            <w:pPr>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default" w:eastAsia="宋体"/>
                <w:color w:val="auto"/>
                <w:highlight w:val="none"/>
                <w:lang w:val="en-US" w:eastAsia="zh-CN"/>
              </w:rPr>
            </w:pPr>
            <w:r>
              <w:rPr>
                <w:rFonts w:hint="eastAsia"/>
                <w:color w:val="auto"/>
                <w:highlight w:val="none"/>
                <w:lang w:val="en-US" w:eastAsia="zh-CN"/>
              </w:rPr>
              <w:t>16</w:t>
            </w:r>
          </w:p>
        </w:tc>
        <w:tc>
          <w:tcPr>
            <w:tcW w:w="1749"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default" w:eastAsia="宋体" w:cs="仿宋"/>
                <w:b/>
                <w:color w:val="auto"/>
                <w:sz w:val="24"/>
                <w:szCs w:val="24"/>
                <w:highlight w:val="none"/>
                <w:lang w:val="en-US" w:eastAsia="zh-CN"/>
              </w:rPr>
            </w:pPr>
            <w:r>
              <w:rPr>
                <w:rFonts w:hint="eastAsia" w:cs="仿宋"/>
                <w:b/>
                <w:color w:val="auto"/>
                <w:sz w:val="24"/>
                <w:szCs w:val="24"/>
                <w:highlight w:val="none"/>
                <w:lang w:val="en-US" w:eastAsia="zh-CN"/>
              </w:rPr>
              <w:t>履约验收</w:t>
            </w:r>
          </w:p>
        </w:tc>
        <w:tc>
          <w:tcPr>
            <w:tcW w:w="646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已有新文件</w:t>
            </w:r>
            <w:r>
              <w:rPr>
                <w:rFonts w:hint="eastAsia" w:ascii="宋体" w:hAnsi="宋体" w:eastAsia="宋体" w:cs="宋体"/>
                <w:color w:val="auto"/>
                <w:sz w:val="24"/>
                <w:szCs w:val="24"/>
                <w:highlight w:val="none"/>
                <w:lang w:val="en-US" w:eastAsia="zh-CN"/>
              </w:rPr>
              <w:t>规定</w:t>
            </w:r>
            <w:r>
              <w:rPr>
                <w:rFonts w:hint="eastAsia" w:ascii="宋体" w:hAnsi="宋体" w:eastAsia="宋体" w:cs="宋体"/>
                <w:color w:val="auto"/>
                <w:sz w:val="24"/>
                <w:szCs w:val="24"/>
                <w:highlight w:val="none"/>
              </w:rPr>
              <w:t>，按照最新文件执行）。存在隐蔽工程的项目，采购单位及供应商应在货物到货并将实施安装前，申请进行初验收。</w:t>
            </w:r>
          </w:p>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 0571-83587785/0571-82816012  联系地址: 萧山区通惠北路2-1号302室</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Style w:val="6"/>
              <w:jc w:val="center"/>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17</w:t>
            </w:r>
          </w:p>
        </w:tc>
        <w:tc>
          <w:tcPr>
            <w:tcW w:w="1749" w:type="dxa"/>
            <w:tcBorders>
              <w:top w:val="single" w:color="000000" w:sz="8" w:space="0"/>
              <w:left w:val="single" w:color="000000" w:sz="2" w:space="0"/>
              <w:bottom w:val="single" w:color="000000" w:sz="8" w:space="0"/>
              <w:right w:val="single" w:color="000000" w:sz="8" w:space="0"/>
            </w:tcBorders>
            <w:vAlign w:val="center"/>
          </w:tcPr>
          <w:p>
            <w:pPr>
              <w:pStyle w:val="3"/>
              <w:tabs>
                <w:tab w:val="left" w:pos="-5"/>
              </w:tabs>
              <w:spacing w:line="312" w:lineRule="auto"/>
              <w:ind w:firstLine="0" w:firstLineChars="0"/>
              <w:jc w:val="center"/>
              <w:rPr>
                <w:rFonts w:hint="eastAsia" w:ascii="宋体" w:hAnsi="宋体" w:eastAsia="宋体" w:cs="宋体"/>
                <w:b/>
                <w:color w:val="auto"/>
                <w:kern w:val="2"/>
                <w:sz w:val="24"/>
                <w:szCs w:val="24"/>
                <w:highlight w:val="none"/>
                <w:lang w:val="en-US" w:eastAsia="zh-CN" w:bidi="ar-SA"/>
              </w:rPr>
            </w:pPr>
            <w:r>
              <w:rPr>
                <w:rFonts w:hint="eastAsia" w:cs="宋体"/>
                <w:b/>
                <w:color w:val="auto"/>
                <w:highlight w:val="none"/>
              </w:rPr>
              <w:t>最高限价</w:t>
            </w:r>
          </w:p>
        </w:tc>
        <w:tc>
          <w:tcPr>
            <w:tcW w:w="6465" w:type="dxa"/>
            <w:tcBorders>
              <w:top w:val="single" w:color="000000" w:sz="8" w:space="0"/>
              <w:left w:val="single" w:color="000000" w:sz="2" w:space="0"/>
              <w:bottom w:val="single" w:color="000000" w:sz="8" w:space="0"/>
              <w:right w:val="single" w:color="000000" w:sz="8" w:space="0"/>
            </w:tcBorders>
            <w:vAlign w:val="center"/>
          </w:tcPr>
          <w:p>
            <w:pPr>
              <w:pStyle w:val="3"/>
              <w:tabs>
                <w:tab w:val="left" w:pos="-5"/>
              </w:tabs>
              <w:spacing w:line="312" w:lineRule="auto"/>
              <w:ind w:firstLine="0" w:firstLineChars="0"/>
              <w:rPr>
                <w:rFonts w:hint="eastAsia" w:ascii="宋体" w:hAnsi="宋体" w:eastAsia="宋体" w:cs="宋体"/>
                <w:snapToGrid w:val="0"/>
                <w:color w:val="auto"/>
                <w:kern w:val="28"/>
                <w:sz w:val="24"/>
                <w:szCs w:val="24"/>
                <w:highlight w:val="none"/>
                <w:lang w:val="en-US" w:eastAsia="zh-CN" w:bidi="ar-SA"/>
              </w:rPr>
            </w:pPr>
            <w:r>
              <w:rPr>
                <w:rFonts w:hint="eastAsia" w:cs="宋体"/>
                <w:b/>
                <w:bCs/>
                <w:color w:val="auto"/>
                <w:kern w:val="2"/>
                <w:sz w:val="24"/>
                <w:szCs w:val="24"/>
                <w:highlight w:val="none"/>
                <w:u w:val="single"/>
                <w:lang w:val="en-US" w:eastAsia="zh-CN" w:bidi="ar-SA"/>
              </w:rPr>
              <w:t>3841200.00</w:t>
            </w:r>
            <w:r>
              <w:rPr>
                <w:rFonts w:hint="eastAsia" w:ascii="宋体" w:hAnsi="宋体" w:eastAsia="宋体" w:cs="宋体"/>
                <w:b/>
                <w:bCs/>
                <w:color w:val="auto"/>
                <w:kern w:val="2"/>
                <w:sz w:val="24"/>
                <w:szCs w:val="24"/>
                <w:highlight w:val="none"/>
                <w:lang w:val="en-US" w:eastAsia="zh-CN" w:bidi="ar-SA"/>
              </w:rPr>
              <w:t>元</w:t>
            </w:r>
            <w:r>
              <w:rPr>
                <w:rFonts w:hint="eastAsia" w:cs="宋体"/>
                <w:color w:val="auto"/>
                <w:highlight w:val="none"/>
              </w:rPr>
              <w:t>，超过最高限价的投标无效</w:t>
            </w:r>
            <w:r>
              <w:rPr>
                <w:rFonts w:hint="eastAsia" w:cs="宋体"/>
                <w:color w:val="auto"/>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18</w:t>
            </w:r>
          </w:p>
        </w:tc>
        <w:tc>
          <w:tcPr>
            <w:tcW w:w="1749" w:type="dxa"/>
            <w:tcBorders>
              <w:top w:val="single" w:color="000000" w:sz="8" w:space="0"/>
              <w:left w:val="single" w:color="000000" w:sz="2" w:space="0"/>
              <w:bottom w:val="single" w:color="000000" w:sz="8" w:space="0"/>
              <w:right w:val="single" w:color="000000" w:sz="8" w:space="0"/>
            </w:tcBorders>
            <w:vAlign w:val="center"/>
          </w:tcPr>
          <w:p>
            <w:pPr>
              <w:autoSpaceDE w:val="0"/>
              <w:autoSpaceDN w:val="0"/>
              <w:spacing w:line="312"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中标候选人</w:t>
            </w:r>
          </w:p>
        </w:tc>
        <w:tc>
          <w:tcPr>
            <w:tcW w:w="6465" w:type="dxa"/>
            <w:tcBorders>
              <w:top w:val="single" w:color="000000" w:sz="8" w:space="0"/>
              <w:left w:val="single" w:color="000000" w:sz="2" w:space="0"/>
              <w:bottom w:val="single" w:color="000000" w:sz="8" w:space="0"/>
              <w:right w:val="single" w:color="000000" w:sz="8" w:space="0"/>
            </w:tcBorders>
            <w:vAlign w:val="center"/>
          </w:tcPr>
          <w:p>
            <w:pPr>
              <w:autoSpaceDE w:val="0"/>
              <w:autoSpaceDN w:val="0"/>
              <w:spacing w:line="312"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推荐中标候选人数量：1家。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19</w:t>
            </w:r>
          </w:p>
        </w:tc>
        <w:tc>
          <w:tcPr>
            <w:tcW w:w="1749" w:type="dxa"/>
            <w:tcBorders>
              <w:top w:val="single" w:color="000000" w:sz="8" w:space="0"/>
              <w:left w:val="single" w:color="000000" w:sz="2" w:space="0"/>
              <w:bottom w:val="single" w:color="000000" w:sz="8" w:space="0"/>
              <w:right w:val="single" w:color="000000" w:sz="8" w:space="0"/>
            </w:tcBorders>
            <w:vAlign w:val="center"/>
          </w:tcPr>
          <w:p>
            <w:pPr>
              <w:autoSpaceDE w:val="0"/>
              <w:autoSpaceDN w:val="0"/>
              <w:spacing w:line="312"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zh-CN" w:eastAsia="zh-CN" w:bidi="ar-SA"/>
              </w:rPr>
              <w:t>履约保证金</w:t>
            </w:r>
          </w:p>
        </w:tc>
        <w:tc>
          <w:tcPr>
            <w:tcW w:w="6465" w:type="dxa"/>
            <w:tcBorders>
              <w:top w:val="single" w:color="000000" w:sz="8" w:space="0"/>
              <w:left w:val="single" w:color="000000" w:sz="2" w:space="0"/>
              <w:bottom w:val="single" w:color="000000" w:sz="8" w:space="0"/>
              <w:right w:val="single" w:color="000000" w:sz="8" w:space="0"/>
            </w:tcBorders>
            <w:vAlign w:val="center"/>
          </w:tcPr>
          <w:p>
            <w:pPr>
              <w:autoSpaceDE w:val="0"/>
              <w:autoSpaceDN w:val="0"/>
              <w:spacing w:line="312"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20</w:t>
            </w:r>
          </w:p>
        </w:tc>
        <w:tc>
          <w:tcPr>
            <w:tcW w:w="1749" w:type="dxa"/>
            <w:tcBorders>
              <w:top w:val="single" w:color="000000" w:sz="8" w:space="0"/>
              <w:left w:val="single" w:color="000000" w:sz="2" w:space="0"/>
              <w:bottom w:val="single" w:color="000000" w:sz="8" w:space="0"/>
              <w:right w:val="single" w:color="000000" w:sz="8" w:space="0"/>
            </w:tcBorders>
            <w:vAlign w:val="center"/>
          </w:tcPr>
          <w:p>
            <w:pPr>
              <w:autoSpaceDE w:val="0"/>
              <w:autoSpaceDN w:val="0"/>
              <w:spacing w:line="312"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val="zh-CN"/>
              </w:rPr>
              <w:t>中标公告及中标通知书</w:t>
            </w:r>
          </w:p>
        </w:tc>
        <w:tc>
          <w:tcPr>
            <w:tcW w:w="6465" w:type="dxa"/>
            <w:tcBorders>
              <w:top w:val="single" w:color="000000" w:sz="8" w:space="0"/>
              <w:left w:val="single" w:color="000000" w:sz="2" w:space="0"/>
              <w:bottom w:val="single" w:color="000000" w:sz="8" w:space="0"/>
              <w:right w:val="single" w:color="000000" w:sz="8" w:space="0"/>
            </w:tcBorders>
            <w:vAlign w:val="center"/>
          </w:tcPr>
          <w:p>
            <w:pPr>
              <w:autoSpaceDE w:val="0"/>
              <w:autoSpaceDN w:val="0"/>
              <w:spacing w:line="312" w:lineRule="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val="zh-CN"/>
              </w:rPr>
              <w:t>评标结束后</w:t>
            </w:r>
            <w:r>
              <w:rPr>
                <w:rFonts w:hint="eastAsia" w:ascii="宋体" w:hAnsi="宋体" w:cs="宋体"/>
                <w:color w:val="auto"/>
                <w:sz w:val="24"/>
                <w:highlight w:val="none"/>
              </w:rPr>
              <w:t>5</w:t>
            </w:r>
            <w:r>
              <w:rPr>
                <w:rFonts w:hint="eastAsia" w:ascii="宋体" w:hAnsi="宋体" w:cs="宋体"/>
                <w:color w:val="auto"/>
                <w:sz w:val="24"/>
                <w:highlight w:val="none"/>
                <w:lang w:val="zh-CN"/>
              </w:rPr>
              <w:t>个工作日内</w:t>
            </w:r>
            <w:r>
              <w:rPr>
                <w:rFonts w:hint="eastAsia" w:ascii="宋体" w:hAnsi="宋体" w:cs="宋体"/>
                <w:color w:val="auto"/>
                <w:sz w:val="24"/>
                <w:highlight w:val="none"/>
              </w:rPr>
              <w:t>，</w:t>
            </w:r>
            <w:r>
              <w:rPr>
                <w:rFonts w:hint="eastAsia" w:ascii="宋体" w:hAnsi="宋体" w:cs="宋体"/>
                <w:color w:val="auto"/>
                <w:sz w:val="24"/>
                <w:highlight w:val="none"/>
                <w:lang w:val="zh-CN"/>
              </w:rPr>
              <w:t>中标公告发布于浙江省政府采购网</w:t>
            </w:r>
            <w:r>
              <w:rPr>
                <w:rFonts w:hint="eastAsia" w:ascii="宋体" w:hAnsi="宋体" w:cs="宋体"/>
                <w:color w:val="auto"/>
                <w:sz w:val="24"/>
                <w:highlight w:val="none"/>
              </w:rPr>
              <w:t>(</w:t>
            </w:r>
            <w:r>
              <w:rPr>
                <w:color w:val="auto"/>
                <w:highlight w:val="none"/>
              </w:rPr>
              <w:fldChar w:fldCharType="begin"/>
            </w:r>
            <w:r>
              <w:rPr>
                <w:color w:val="auto"/>
                <w:highlight w:val="none"/>
              </w:rPr>
              <w:instrText xml:space="preserve"> HYPERLINK "http://www.zjzfcg.gov.cn)，中标公示期1" </w:instrText>
            </w:r>
            <w:r>
              <w:rPr>
                <w:color w:val="auto"/>
                <w:highlight w:val="none"/>
              </w:rPr>
              <w:fldChar w:fldCharType="separate"/>
            </w:r>
            <w:r>
              <w:rPr>
                <w:rFonts w:hint="eastAsia" w:ascii="宋体" w:hAnsi="宋体" w:cs="宋体"/>
                <w:color w:val="auto"/>
                <w:sz w:val="24"/>
                <w:highlight w:val="none"/>
                <w:lang w:val="zh-CN"/>
              </w:rPr>
              <w:t>https://www.zcygov.cn/)，中标公示期1</w:t>
            </w:r>
            <w:r>
              <w:rPr>
                <w:rFonts w:hint="eastAsia" w:ascii="宋体" w:hAnsi="宋体" w:cs="宋体"/>
                <w:color w:val="auto"/>
                <w:sz w:val="24"/>
                <w:highlight w:val="none"/>
                <w:lang w:val="zh-CN"/>
              </w:rPr>
              <w:fldChar w:fldCharType="end"/>
            </w:r>
            <w:r>
              <w:rPr>
                <w:rFonts w:hint="eastAsia" w:ascii="宋体" w:hAnsi="宋体" w:cs="宋体"/>
                <w:color w:val="auto"/>
                <w:sz w:val="24"/>
                <w:highlight w:val="none"/>
                <w:lang w:val="zh-CN"/>
              </w:rPr>
              <w:t>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1749"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46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19"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749"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46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eastAsia="宋体"/>
                <w:color w:val="auto"/>
                <w:sz w:val="24"/>
                <w:szCs w:val="32"/>
                <w:highlight w:val="none"/>
                <w:lang w:eastAsia="zh-CN"/>
              </w:rPr>
            </w:pPr>
            <w:sdt>
              <w:sdtPr>
                <w:rPr>
                  <w:rFonts w:hint="eastAsia"/>
                  <w:color w:val="auto"/>
                  <w:sz w:val="24"/>
                  <w:szCs w:val="32"/>
                  <w:highlight w:val="none"/>
                </w:rPr>
                <w:id w:val="1052570136"/>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sym w:font="Wingdings" w:char="F0FE"/>
                </w:r>
              </w:sdtContent>
            </w:sdt>
            <w:r>
              <w:rPr>
                <w:rFonts w:hint="eastAsia"/>
                <w:color w:val="auto"/>
                <w:sz w:val="24"/>
                <w:szCs w:val="32"/>
                <w:highlight w:val="none"/>
              </w:rPr>
              <w:t>联合体投标的，联合体中有一方或者联合体成员根据分工按招标文件第四部分评标标准要求提供资信证明文件的，视为符合了相关要求。</w:t>
            </w:r>
          </w:p>
          <w:p>
            <w:pPr>
              <w:spacing w:line="360" w:lineRule="auto"/>
              <w:rPr>
                <w:rFonts w:hint="eastAsia" w:ascii="Times New Roman" w:hAnsi="Times New Roman" w:eastAsia="宋体" w:cs="Times New Roman"/>
                <w:color w:val="auto"/>
                <w:sz w:val="24"/>
                <w:szCs w:val="32"/>
                <w:highlight w:val="none"/>
              </w:rPr>
            </w:pPr>
            <w:r>
              <w:rPr>
                <w:rFonts w:hint="eastAsia" w:ascii="Times New Roman" w:hAnsi="Times New Roman" w:eastAsia="宋体" w:cs="Times New Roman"/>
                <w:color w:val="auto"/>
                <w:sz w:val="24"/>
                <w:szCs w:val="32"/>
                <w:highlight w:val="none"/>
              </w:rPr>
              <w:t>评审因素对应的要求视为采购需求的一部分。</w:t>
            </w:r>
          </w:p>
          <w:p>
            <w:pPr>
              <w:spacing w:line="360" w:lineRule="auto"/>
              <w:rPr>
                <w:rFonts w:hint="eastAsia" w:ascii="Times New Roman" w:hAnsi="Times New Roman" w:eastAsia="宋体" w:cs="Times New Roman"/>
                <w:color w:val="auto"/>
                <w:sz w:val="24"/>
                <w:szCs w:val="32"/>
                <w:highlight w:val="none"/>
              </w:rPr>
            </w:pPr>
            <w:r>
              <w:rPr>
                <w:rFonts w:hint="eastAsia" w:ascii="Times New Roman" w:hAnsi="Times New Roman" w:eastAsia="宋体" w:cs="Times New Roman"/>
                <w:color w:val="auto"/>
                <w:sz w:val="24"/>
                <w:szCs w:val="32"/>
                <w:highlight w:val="none"/>
              </w:rPr>
              <w:t>严格执行预算限价，项目如涉及办公用房装修、通用办公设备家具的不得超限额标准。（萧财国资【2019】389号）</w:t>
            </w:r>
          </w:p>
          <w:p>
            <w:pPr>
              <w:spacing w:line="360" w:lineRule="auto"/>
              <w:rPr>
                <w:rFonts w:hint="eastAsia" w:eastAsia="宋体"/>
                <w:color w:val="auto"/>
                <w:highlight w:val="none"/>
                <w:lang w:eastAsia="zh-CN"/>
              </w:rPr>
            </w:pPr>
            <w:r>
              <w:rPr>
                <w:rFonts w:hint="eastAsia" w:ascii="Times New Roman" w:hAnsi="Times New Roman" w:eastAsia="宋体" w:cs="Times New Roman"/>
                <w:color w:val="auto"/>
                <w:sz w:val="24"/>
                <w:szCs w:val="32"/>
                <w:highlight w:val="none"/>
              </w:rPr>
              <w:t>本项目通用总则条款与前附表</w:t>
            </w:r>
            <w:r>
              <w:rPr>
                <w:rFonts w:hint="eastAsia"/>
                <w:b/>
                <w:bCs/>
                <w:color w:val="auto"/>
                <w:sz w:val="24"/>
                <w:szCs w:val="32"/>
                <w:highlight w:val="none"/>
              </w:rPr>
              <w:t>等专用特别规定有冲突之处，以专用条款（特别规定）为准</w:t>
            </w:r>
            <w:r>
              <w:rPr>
                <w:rFonts w:hint="eastAsia"/>
                <w:b/>
                <w:bCs/>
                <w:color w:val="auto"/>
                <w:sz w:val="24"/>
                <w:szCs w:val="32"/>
                <w:highlight w:val="none"/>
                <w:lang w:eastAsia="zh-CN"/>
              </w:rPr>
              <w:t>。</w:t>
            </w:r>
          </w:p>
        </w:tc>
      </w:tr>
    </w:tbl>
    <w:p>
      <w:pPr>
        <w:rPr>
          <w:rFonts w:ascii="宋体" w:hAnsi="宋体" w:cs="宋体"/>
          <w:b/>
          <w:color w:val="auto"/>
          <w:sz w:val="32"/>
          <w:szCs w:val="20"/>
          <w:highlight w:val="none"/>
        </w:rPr>
      </w:pPr>
      <w:r>
        <w:rPr>
          <w:rFonts w:ascii="宋体" w:hAnsi="宋体" w:cs="宋体"/>
          <w:b/>
          <w:color w:val="auto"/>
          <w:sz w:val="32"/>
          <w:szCs w:val="20"/>
          <w:highlight w:val="none"/>
        </w:rPr>
        <w:br w:type="page"/>
      </w:r>
    </w:p>
    <w:p>
      <w:pPr>
        <w:pStyle w:val="6"/>
        <w:rPr>
          <w:color w:val="auto"/>
          <w:highlight w:val="none"/>
        </w:rPr>
      </w:pPr>
    </w:p>
    <w:bookmarkEnd w:id="9"/>
    <w:p>
      <w:pPr>
        <w:adjustRightInd/>
        <w:spacing w:line="360" w:lineRule="auto"/>
        <w:ind w:firstLine="3845" w:firstLineChars="1197"/>
        <w:outlineLvl w:val="0"/>
        <w:rPr>
          <w:rFonts w:ascii="宋体" w:hAnsi="宋体" w:cs="宋体"/>
          <w:b/>
          <w:color w:val="auto"/>
          <w:sz w:val="32"/>
          <w:szCs w:val="20"/>
          <w:highlight w:val="none"/>
        </w:rPr>
      </w:pPr>
      <w:bookmarkStart w:id="10" w:name="第三部分"/>
      <w:bookmarkStart w:id="11"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3.5平等对待内外资企业和符合条件的破产重整企业平等对待内外资企业和符合条件的破产重整企业，切实保障企业公平竞争，平等维护企业的合法利益。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4"/>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8"/>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5"/>
        <w:spacing w:line="360" w:lineRule="auto"/>
        <w:rPr>
          <w:rFonts w:hint="default" w:hAnsi="宋体" w:eastAsia="宋体" w:cs="宋体"/>
          <w:b/>
          <w:color w:val="auto"/>
          <w:sz w:val="24"/>
          <w:szCs w:val="24"/>
          <w:highlight w:val="none"/>
          <w:lang w:val="en-US" w:eastAsia="zh-CN"/>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4"/>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3"/>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jc w:val="left"/>
        <w:rPr>
          <w:rFonts w:hint="eastAsia" w:ascii="宋体" w:hAnsi="宋体" w:eastAsia="宋体" w:cs="宋体"/>
          <w:color w:val="auto"/>
          <w:highlight w:val="none"/>
          <w:lang w:eastAsia="zh-CN"/>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28"/>
        <w:spacing w:before="0"/>
        <w:ind w:firstLine="480"/>
        <w:jc w:val="left"/>
        <w:rPr>
          <w:rFonts w:hint="eastAsia" w:ascii="宋体" w:hAnsi="宋体" w:cs="宋体"/>
          <w:color w:val="auto"/>
          <w:highlight w:val="none"/>
        </w:rPr>
      </w:pPr>
      <w:r>
        <w:rPr>
          <w:rFonts w:hint="eastAsia" w:ascii="宋体" w:hAnsi="宋体" w:cs="宋体"/>
          <w:color w:val="auto"/>
          <w:highlight w:val="none"/>
          <w:lang w:val="en-US" w:eastAsia="zh-CN"/>
        </w:rPr>
        <w:t xml:space="preserve">    </w:t>
      </w:r>
      <w:r>
        <w:rPr>
          <w:rFonts w:hint="eastAsia" w:ascii="宋体" w:hAnsi="宋体" w:cs="宋体"/>
          <w:color w:val="auto"/>
          <w:highlight w:val="none"/>
        </w:rPr>
        <w:t>17.4在投标截止时间起至投标有效期届满，供应商投标文件不可撤销。</w:t>
      </w:r>
    </w:p>
    <w:p>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3"/>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3"/>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3"/>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3"/>
        <w:spacing w:line="360" w:lineRule="auto"/>
        <w:ind w:left="479" w:hanging="479" w:hangingChars="199"/>
        <w:rPr>
          <w:rFonts w:cs="宋体"/>
          <w:b/>
          <w:color w:val="auto"/>
          <w:highlight w:val="none"/>
        </w:rPr>
      </w:pPr>
      <w:r>
        <w:rPr>
          <w:rFonts w:hint="eastAsia" w:cs="宋体"/>
          <w:b/>
          <w:color w:val="auto"/>
          <w:highlight w:val="none"/>
        </w:rPr>
        <w:t xml:space="preserve">26. </w:t>
      </w:r>
      <w:bookmarkStart w:id="522" w:name="_GoBack"/>
      <w:r>
        <w:rPr>
          <w:rFonts w:hint="eastAsia" w:cs="宋体"/>
          <w:b/>
          <w:color w:val="auto"/>
          <w:highlight w:val="none"/>
        </w:rPr>
        <w:t>履约保证金</w:t>
      </w:r>
      <w:bookmarkEnd w:id="522"/>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6"/>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3"/>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14665"/>
      <w:bookmarkEnd w:id="14"/>
      <w:bookmarkStart w:id="15" w:name="_Hlt68072990"/>
      <w:bookmarkEnd w:id="15"/>
      <w:bookmarkStart w:id="16" w:name="_Hlt68073093"/>
      <w:bookmarkEnd w:id="16"/>
      <w:bookmarkStart w:id="17" w:name="_Hlt68403820"/>
      <w:bookmarkEnd w:id="17"/>
      <w:bookmarkStart w:id="18" w:name="_Hlt74730295"/>
      <w:bookmarkEnd w:id="18"/>
      <w:bookmarkStart w:id="19" w:name="_Hlt74707468"/>
      <w:bookmarkEnd w:id="19"/>
      <w:bookmarkStart w:id="20" w:name="_Hlt68072998"/>
      <w:bookmarkEnd w:id="20"/>
      <w:bookmarkStart w:id="21" w:name="_Hlt74729768"/>
      <w:bookmarkEnd w:id="21"/>
      <w:bookmarkStart w:id="22" w:name="_Hlt75236101"/>
      <w:bookmarkEnd w:id="22"/>
      <w:bookmarkStart w:id="23" w:name="_Hlt68057669"/>
      <w:bookmarkEnd w:id="23"/>
      <w:bookmarkStart w:id="24" w:name="_Hlt75236290"/>
      <w:bookmarkEnd w:id="24"/>
      <w:bookmarkStart w:id="25" w:name="_Hlt75236011"/>
      <w:bookmarkEnd w:id="25"/>
    </w:p>
    <w:bookmarkEnd w:id="10"/>
    <w:bookmarkEnd w:id="11"/>
    <w:p>
      <w:pPr>
        <w:spacing w:line="360" w:lineRule="auto"/>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第三部分   采购需求</w:t>
      </w:r>
    </w:p>
    <w:p>
      <w:pPr>
        <w:snapToGrid w:val="0"/>
        <w:jc w:val="center"/>
        <w:rPr>
          <w:rStyle w:val="962"/>
          <w:rFonts w:hint="eastAsia" w:ascii="宋体" w:hAnsi="宋体" w:eastAsia="宋体" w:cs="宋体"/>
          <w:i w:val="0"/>
          <w:iCs w:val="0"/>
          <w:color w:val="auto"/>
          <w:sz w:val="24"/>
          <w:szCs w:val="24"/>
          <w:highlight w:val="none"/>
        </w:rPr>
      </w:pPr>
      <w:r>
        <w:rPr>
          <w:rStyle w:val="962"/>
          <w:rFonts w:hint="eastAsia" w:ascii="宋体" w:hAnsi="宋体" w:eastAsia="宋体" w:cs="宋体"/>
          <w:i w:val="0"/>
          <w:iCs w:val="0"/>
          <w:color w:val="auto"/>
          <w:sz w:val="24"/>
          <w:szCs w:val="24"/>
          <w:highlight w:val="none"/>
        </w:rPr>
        <w:t>属于实质性要求条款的，请用符号“▲”标明，否则属于非实质性要求。</w:t>
      </w:r>
    </w:p>
    <w:p>
      <w:pPr>
        <w:pStyle w:val="6"/>
        <w:tabs>
          <w:tab w:val="clear" w:pos="432"/>
        </w:tabs>
        <w:ind w:left="0" w:leftChars="0" w:firstLine="0" w:firstLineChars="0"/>
        <w:rPr>
          <w:color w:val="auto"/>
          <w:highlight w:val="none"/>
        </w:rPr>
      </w:pPr>
    </w:p>
    <w:p>
      <w:pPr>
        <w:pStyle w:val="6"/>
        <w:numPr>
          <w:ilvl w:val="0"/>
          <w:numId w:val="0"/>
        </w:numPr>
        <w:ind w:leftChars="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招标一览表</w:t>
      </w:r>
    </w:p>
    <w:p>
      <w:pPr>
        <w:pStyle w:val="8"/>
        <w:pageBreakBefore w:val="0"/>
        <w:widowControl w:val="0"/>
        <w:kinsoku/>
        <w:wordWrap/>
        <w:overflowPunct/>
        <w:topLinePunct w:val="0"/>
        <w:autoSpaceDE/>
        <w:autoSpaceDN/>
        <w:bidi w:val="0"/>
        <w:adjustRightInd w:val="0"/>
        <w:snapToGrid/>
        <w:spacing w:before="0"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标项一：</w:t>
      </w:r>
      <w:r>
        <w:rPr>
          <w:rFonts w:hint="eastAsia" w:ascii="宋体" w:hAnsi="宋体" w:eastAsia="宋体" w:cs="宋体"/>
          <w:bCs/>
          <w:color w:val="auto"/>
          <w:sz w:val="24"/>
          <w:szCs w:val="24"/>
          <w:highlight w:val="none"/>
          <w:lang w:val="en-US" w:eastAsia="zh-CN"/>
        </w:rPr>
        <w:t>残疾人之家运营托管服务项目</w:t>
      </w:r>
    </w:p>
    <w:tbl>
      <w:tblPr>
        <w:tblStyle w:val="62"/>
        <w:tblpPr w:leftFromText="180" w:rightFromText="180" w:vertAnchor="text" w:horzAnchor="margin" w:tblpX="-192" w:tblpY="63"/>
        <w:tblOverlap w:val="never"/>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1931"/>
        <w:gridCol w:w="690"/>
        <w:gridCol w:w="720"/>
        <w:gridCol w:w="1230"/>
        <w:gridCol w:w="2472"/>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3" w:hRule="atLeast"/>
        </w:trPr>
        <w:tc>
          <w:tcPr>
            <w:tcW w:w="585" w:type="dxa"/>
            <w:tcMar>
              <w:top w:w="15" w:type="dxa"/>
              <w:left w:w="15" w:type="dxa"/>
              <w:bottom w:w="0" w:type="dxa"/>
              <w:right w:w="15" w:type="dxa"/>
            </w:tcMar>
            <w:vAlign w:val="center"/>
          </w:tcPr>
          <w:p>
            <w:pPr>
              <w:pageBreakBefore w:val="0"/>
              <w:widowControl w:val="0"/>
              <w:tabs>
                <w:tab w:val="left" w:pos="0"/>
              </w:tabs>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31" w:type="dxa"/>
            <w:tcMar>
              <w:top w:w="15" w:type="dxa"/>
              <w:left w:w="15" w:type="dxa"/>
              <w:bottom w:w="0" w:type="dxa"/>
              <w:right w:w="15" w:type="dxa"/>
            </w:tcMar>
            <w:vAlign w:val="center"/>
          </w:tcPr>
          <w:p>
            <w:pPr>
              <w:pageBreakBefore w:val="0"/>
              <w:widowControl w:val="0"/>
              <w:tabs>
                <w:tab w:val="left" w:pos="0"/>
              </w:tabs>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690" w:type="dxa"/>
            <w:tcMar>
              <w:top w:w="15" w:type="dxa"/>
              <w:left w:w="15" w:type="dxa"/>
              <w:bottom w:w="0" w:type="dxa"/>
              <w:right w:w="15" w:type="dxa"/>
            </w:tcMar>
            <w:vAlign w:val="center"/>
          </w:tcPr>
          <w:p>
            <w:pPr>
              <w:pageBreakBefore w:val="0"/>
              <w:widowControl w:val="0"/>
              <w:tabs>
                <w:tab w:val="left" w:pos="0"/>
              </w:tabs>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20" w:type="dxa"/>
            <w:tcMar>
              <w:top w:w="15" w:type="dxa"/>
              <w:left w:w="15" w:type="dxa"/>
              <w:bottom w:w="0" w:type="dxa"/>
              <w:right w:w="15" w:type="dxa"/>
            </w:tcMar>
            <w:vAlign w:val="center"/>
          </w:tcPr>
          <w:p>
            <w:pPr>
              <w:pageBreakBefore w:val="0"/>
              <w:widowControl w:val="0"/>
              <w:tabs>
                <w:tab w:val="left" w:pos="0"/>
              </w:tabs>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30" w:type="dxa"/>
            <w:vAlign w:val="center"/>
          </w:tcPr>
          <w:p>
            <w:pPr>
              <w:pageBreakBefore w:val="0"/>
              <w:widowControl w:val="0"/>
              <w:tabs>
                <w:tab w:val="left" w:pos="0"/>
              </w:tabs>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w:t>
            </w:r>
          </w:p>
          <w:p>
            <w:pPr>
              <w:pageBreakBefore w:val="0"/>
              <w:widowControl w:val="0"/>
              <w:tabs>
                <w:tab w:val="left" w:pos="0"/>
              </w:tabs>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2472" w:type="dxa"/>
            <w:vAlign w:val="center"/>
          </w:tcPr>
          <w:p>
            <w:pPr>
              <w:pageBreakBefore w:val="0"/>
              <w:widowControl w:val="0"/>
              <w:tabs>
                <w:tab w:val="left" w:pos="0"/>
              </w:tabs>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简要规格描述或基本情况介绍</w:t>
            </w:r>
          </w:p>
        </w:tc>
        <w:tc>
          <w:tcPr>
            <w:tcW w:w="1350" w:type="dxa"/>
            <w:vAlign w:val="center"/>
          </w:tcPr>
          <w:p>
            <w:pPr>
              <w:pageBreakBefore w:val="0"/>
              <w:widowControl w:val="0"/>
              <w:tabs>
                <w:tab w:val="left" w:pos="0"/>
              </w:tabs>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3" w:hRule="atLeast"/>
        </w:trPr>
        <w:tc>
          <w:tcPr>
            <w:tcW w:w="585" w:type="dxa"/>
            <w:tcMar>
              <w:top w:w="15" w:type="dxa"/>
              <w:left w:w="15" w:type="dxa"/>
              <w:bottom w:w="0" w:type="dxa"/>
              <w:right w:w="15" w:type="dxa"/>
            </w:tcMar>
            <w:vAlign w:val="center"/>
          </w:tcPr>
          <w:p>
            <w:pPr>
              <w:tabs>
                <w:tab w:val="left" w:pos="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31" w:type="dxa"/>
            <w:tcMar>
              <w:top w:w="15" w:type="dxa"/>
              <w:left w:w="15" w:type="dxa"/>
              <w:bottom w:w="0"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残疾人之家运营托管服务项目</w:t>
            </w:r>
          </w:p>
        </w:tc>
        <w:tc>
          <w:tcPr>
            <w:tcW w:w="690" w:type="dxa"/>
            <w:tcMar>
              <w:top w:w="15" w:type="dxa"/>
              <w:left w:w="15" w:type="dxa"/>
              <w:bottom w:w="0" w:type="dxa"/>
              <w:right w:w="15" w:type="dxa"/>
            </w:tcMar>
            <w:vAlign w:val="center"/>
          </w:tcPr>
          <w:p>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20" w:type="dxa"/>
            <w:tcMar>
              <w:top w:w="15" w:type="dxa"/>
              <w:left w:w="15" w:type="dxa"/>
              <w:bottom w:w="0" w:type="dxa"/>
              <w:right w:w="15" w:type="dxa"/>
            </w:tcMar>
            <w:vAlign w:val="center"/>
          </w:tcPr>
          <w:p>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年</w:t>
            </w:r>
          </w:p>
        </w:tc>
        <w:tc>
          <w:tcPr>
            <w:tcW w:w="1230" w:type="dxa"/>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3850000.00</w:t>
            </w:r>
          </w:p>
        </w:tc>
        <w:tc>
          <w:tcPr>
            <w:tcW w:w="2472" w:type="dxa"/>
            <w:vAlign w:val="center"/>
          </w:tcPr>
          <w:p>
            <w:pPr>
              <w:tabs>
                <w:tab w:val="left" w:pos="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详见招标需求</w:t>
            </w:r>
          </w:p>
        </w:tc>
        <w:tc>
          <w:tcPr>
            <w:tcW w:w="1350" w:type="dxa"/>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3841200.00</w:t>
            </w:r>
          </w:p>
        </w:tc>
      </w:tr>
    </w:tbl>
    <w:p>
      <w:pPr>
        <w:rPr>
          <w:rFonts w:hint="eastAsia" w:ascii="仿宋" w:hAnsi="仿宋" w:eastAsia="仿宋" w:cs="仿宋"/>
          <w:b/>
          <w:color w:val="auto"/>
          <w:sz w:val="22"/>
          <w:szCs w:val="22"/>
          <w:highlight w:val="none"/>
        </w:rPr>
      </w:pPr>
    </w:p>
    <w:p>
      <w:pPr>
        <w:pStyle w:val="6"/>
        <w:numPr>
          <w:ilvl w:val="0"/>
          <w:numId w:val="0"/>
        </w:numPr>
        <w:ind w:left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二、招标</w:t>
      </w:r>
      <w:r>
        <w:rPr>
          <w:rFonts w:hint="eastAsia" w:ascii="宋体" w:hAnsi="宋体" w:eastAsia="宋体" w:cs="宋体"/>
          <w:color w:val="auto"/>
          <w:highlight w:val="none"/>
        </w:rPr>
        <w:t>需求</w:t>
      </w:r>
    </w:p>
    <w:p>
      <w:pPr>
        <w:widowControl w:val="0"/>
        <w:numPr>
          <w:ilvl w:val="0"/>
          <w:numId w:val="0"/>
        </w:numPr>
        <w:jc w:val="both"/>
        <w:rPr>
          <w:rFonts w:hint="eastAsia" w:ascii="仿宋" w:hAnsi="仿宋" w:eastAsia="仿宋" w:cs="仿宋"/>
          <w:color w:val="auto"/>
          <w:highlight w:val="none"/>
          <w:lang w:val="en-US" w:eastAsia="zh-CN"/>
        </w:rPr>
      </w:pPr>
    </w:p>
    <w:p>
      <w:pPr>
        <w:numPr>
          <w:ilvl w:val="0"/>
          <w:numId w:val="1"/>
        </w:numPr>
        <w:spacing w:line="360" w:lineRule="auto"/>
        <w:rPr>
          <w:rFonts w:hint="eastAsia" w:ascii="宋体" w:hAnsi="宋体" w:cs="宋体"/>
          <w:b/>
          <w:color w:val="auto"/>
          <w:sz w:val="24"/>
          <w:szCs w:val="24"/>
          <w:highlight w:val="none"/>
          <w:lang w:val="en-US" w:eastAsia="zh-CN"/>
        </w:rPr>
      </w:pPr>
      <w:bookmarkStart w:id="27" w:name="_Toc388261189"/>
      <w:bookmarkStart w:id="28" w:name="_Toc8587526"/>
      <w:bookmarkStart w:id="29" w:name="_Toc298856060"/>
      <w:r>
        <w:rPr>
          <w:rFonts w:hint="eastAsia" w:ascii="宋体" w:hAnsi="宋体" w:cs="宋体"/>
          <w:b/>
          <w:color w:val="auto"/>
          <w:sz w:val="24"/>
          <w:szCs w:val="24"/>
          <w:highlight w:val="none"/>
          <w:lang w:val="en-US" w:eastAsia="zh-CN"/>
        </w:rPr>
        <w:t>项目概况</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瓜沥镇“残疾人之家”建筑面积</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00平方米，</w:t>
      </w:r>
      <w:r>
        <w:rPr>
          <w:rFonts w:hint="eastAsia" w:ascii="宋体" w:hAnsi="宋体" w:eastAsia="宋体" w:cs="宋体"/>
          <w:color w:val="auto"/>
          <w:sz w:val="24"/>
          <w:szCs w:val="24"/>
          <w:highlight w:val="none"/>
          <w:lang w:eastAsia="zh-CN"/>
        </w:rPr>
        <w:t>中心内设有工疗室、医务室、康复保健室、心理咨询室、午休室等场所，是集日间生活照护、康复训练、技能培训、文体活动、辅助性就业、心理疏导等多种功能于一体的残疾人之家</w:t>
      </w:r>
      <w:r>
        <w:rPr>
          <w:rFonts w:hint="eastAsia" w:ascii="宋体" w:hAnsi="宋体" w:eastAsia="宋体" w:cs="宋体"/>
          <w:color w:val="auto"/>
          <w:sz w:val="24"/>
          <w:szCs w:val="24"/>
          <w:highlight w:val="none"/>
        </w:rPr>
        <w:t>，主要开展“四疗四教育”</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lang w:val="en-US" w:eastAsia="zh-CN"/>
        </w:rPr>
        <w:t>+五进残疾人之家服务”</w:t>
      </w:r>
      <w:r>
        <w:rPr>
          <w:rFonts w:hint="eastAsia" w:ascii="宋体" w:hAnsi="宋体" w:eastAsia="宋体" w:cs="宋体"/>
          <w:color w:val="auto"/>
          <w:sz w:val="24"/>
          <w:szCs w:val="24"/>
          <w:highlight w:val="none"/>
        </w:rPr>
        <w:t>康复活动。</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“残疾人之家”采取日托型模式分昭东、坎山、大园、党山四个片区，四辆</w:t>
      </w:r>
      <w:r>
        <w:rPr>
          <w:rFonts w:hint="eastAsia" w:ascii="宋体" w:hAnsi="宋体" w:eastAsia="宋体" w:cs="宋体"/>
          <w:color w:val="auto"/>
          <w:sz w:val="24"/>
          <w:szCs w:val="24"/>
          <w:highlight w:val="none"/>
          <w:lang w:val="en-US" w:eastAsia="zh-CN"/>
        </w:rPr>
        <w:t>接送</w:t>
      </w:r>
      <w:r>
        <w:rPr>
          <w:rFonts w:hint="eastAsia" w:ascii="宋体" w:hAnsi="宋体" w:eastAsia="宋体" w:cs="宋体"/>
          <w:color w:val="auto"/>
          <w:sz w:val="24"/>
          <w:szCs w:val="24"/>
          <w:highlight w:val="none"/>
        </w:rPr>
        <w:t>车早晚定时全程来回接送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管理制度和入托手续规范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为加强“残疾人之家”规范化运行，精准服务、科学管理、严格制度、强化实效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镇政府每年与“残疾人之家”签订目标管理责任承包协议，镇组织考核领导小组对“残疾人之家”每年两次定期进行检查、督导、考核，每年财务工作进行财务审计，区残联每年进行现场督查，区民政局每年进行年检年审，财务审计。“残疾人之家”已建立一套完整的规章制度，形成一套完善的</w:t>
      </w:r>
      <w:r>
        <w:rPr>
          <w:rFonts w:hint="eastAsia" w:ascii="宋体" w:hAnsi="宋体" w:eastAsia="宋体" w:cs="宋体"/>
          <w:color w:val="auto"/>
          <w:sz w:val="24"/>
          <w:szCs w:val="24"/>
          <w:highlight w:val="none"/>
          <w:lang w:eastAsia="zh-CN"/>
        </w:rPr>
        <w:t>单子</w:t>
      </w:r>
      <w:r>
        <w:rPr>
          <w:rFonts w:hint="eastAsia" w:ascii="宋体" w:hAnsi="宋体" w:eastAsia="宋体" w:cs="宋体"/>
          <w:color w:val="auto"/>
          <w:sz w:val="24"/>
          <w:szCs w:val="24"/>
          <w:highlight w:val="none"/>
        </w:rPr>
        <w:t>台账档案。</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“残疾人之家”开展“四疗四教育”（工疗、药疗、体疗、娱疗、文化教育、语言教育、道德教育、心理健康教育）</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lang w:val="en-US" w:eastAsia="zh-CN"/>
        </w:rPr>
        <w:t>+五进残疾人之家服务”，</w:t>
      </w:r>
      <w:r>
        <w:rPr>
          <w:rFonts w:hint="eastAsia" w:ascii="宋体" w:hAnsi="宋体" w:eastAsia="宋体" w:cs="宋体"/>
          <w:color w:val="auto"/>
          <w:sz w:val="24"/>
          <w:szCs w:val="24"/>
          <w:highlight w:val="none"/>
        </w:rPr>
        <w:t>多次被市残联综合考评为年度优秀单位，优秀台账和最佳台账，先进集体和个人先进，2012年杭精卫5号文件，批准为三级仁爱家园工疗站，浙残联教就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15号批准为残疾人小康阳光庇护中心。2018年</w:t>
      </w:r>
      <w:r>
        <w:rPr>
          <w:rFonts w:hint="eastAsia" w:ascii="宋体" w:hAnsi="宋体" w:eastAsia="宋体" w:cs="宋体"/>
          <w:color w:val="auto"/>
          <w:sz w:val="24"/>
          <w:szCs w:val="24"/>
          <w:highlight w:val="none"/>
          <w:lang w:val="en-US" w:eastAsia="zh-CN"/>
        </w:rPr>
        <w:t>被</w:t>
      </w:r>
      <w:r>
        <w:rPr>
          <w:rFonts w:hint="eastAsia" w:ascii="宋体" w:hAnsi="宋体" w:eastAsia="宋体" w:cs="宋体"/>
          <w:color w:val="auto"/>
          <w:sz w:val="24"/>
          <w:szCs w:val="24"/>
          <w:highlight w:val="none"/>
        </w:rPr>
        <w:t>授予“平安示范单位”称号。2019年获“五星级残疾人之家”，是萧山区</w:t>
      </w:r>
      <w:r>
        <w:rPr>
          <w:rFonts w:hint="eastAsia" w:ascii="宋体" w:hAnsi="宋体" w:eastAsia="宋体" w:cs="宋体"/>
          <w:color w:val="auto"/>
          <w:sz w:val="24"/>
          <w:szCs w:val="24"/>
          <w:highlight w:val="none"/>
          <w:lang w:val="en-US" w:eastAsia="zh-CN"/>
        </w:rPr>
        <w:t>第一</w:t>
      </w:r>
      <w:r>
        <w:rPr>
          <w:rFonts w:hint="eastAsia" w:ascii="宋体" w:hAnsi="宋体" w:eastAsia="宋体" w:cs="宋体"/>
          <w:color w:val="auto"/>
          <w:sz w:val="24"/>
          <w:szCs w:val="24"/>
          <w:highlight w:val="none"/>
        </w:rPr>
        <w:t>家五星级“残疾人之家”。2020年为萧山区超五星级“残疾人之家”示范单位。</w:t>
      </w:r>
      <w:r>
        <w:rPr>
          <w:rFonts w:hint="eastAsia" w:ascii="宋体" w:hAnsi="宋体" w:eastAsia="宋体" w:cs="宋体"/>
          <w:color w:val="auto"/>
          <w:sz w:val="24"/>
          <w:szCs w:val="24"/>
          <w:highlight w:val="none"/>
          <w:lang w:val="en-US" w:eastAsia="zh-CN"/>
        </w:rPr>
        <w:t>2022年10月接受杭州市残联考核；2022年11月接受省残联五星复评；2022年荣上浙江省五星级残疾人之家光荣榜；2024年1月接受五星级残疾人之家复评。</w:t>
      </w:r>
    </w:p>
    <w:p>
      <w:pPr>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二、服务对象</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“残疾人之家”面向本</w:t>
      </w:r>
      <w:r>
        <w:rPr>
          <w:rFonts w:hint="eastAsia" w:ascii="宋体" w:hAnsi="宋体" w:cs="宋体"/>
          <w:color w:val="auto"/>
          <w:sz w:val="24"/>
          <w:szCs w:val="24"/>
          <w:highlight w:val="none"/>
          <w:lang w:eastAsia="zh-CN"/>
        </w:rPr>
        <w:t>镇户籍</w:t>
      </w:r>
      <w:r>
        <w:rPr>
          <w:rFonts w:hint="eastAsia" w:ascii="宋体" w:hAnsi="宋体" w:eastAsia="宋体" w:cs="宋体"/>
          <w:color w:val="auto"/>
          <w:sz w:val="24"/>
          <w:szCs w:val="24"/>
          <w:highlight w:val="none"/>
        </w:rPr>
        <w:t>内的所有残疾人,以劳动年龄段内的智力、精神和重度残疾人为</w:t>
      </w:r>
      <w:r>
        <w:rPr>
          <w:rFonts w:hint="eastAsia" w:ascii="宋体" w:hAnsi="宋体" w:cs="宋体"/>
          <w:color w:val="auto"/>
          <w:sz w:val="24"/>
          <w:szCs w:val="24"/>
          <w:highlight w:val="none"/>
          <w:lang w:eastAsia="zh-CN"/>
        </w:rPr>
        <w:t>主</w:t>
      </w:r>
      <w:r>
        <w:rPr>
          <w:rFonts w:hint="eastAsia" w:ascii="宋体" w:hAnsi="宋体" w:eastAsia="宋体" w:cs="宋体"/>
          <w:color w:val="auto"/>
          <w:sz w:val="24"/>
          <w:szCs w:val="24"/>
          <w:highlight w:val="none"/>
        </w:rPr>
        <w:t>,同时为有需求的残疾人提供生活照料、技能培训、康复训练、文体活动、辅助性就业、心理疏导和社会适应能力训练等服务,结合当地实际,开展增设服务内容和项目</w:t>
      </w:r>
      <w:r>
        <w:rPr>
          <w:rFonts w:hint="eastAsia" w:ascii="宋体" w:hAnsi="宋体" w:cs="宋体"/>
          <w:color w:val="auto"/>
          <w:sz w:val="24"/>
          <w:szCs w:val="24"/>
          <w:highlight w:val="none"/>
          <w:lang w:eastAsia="zh-CN"/>
        </w:rPr>
        <w:t>。</w:t>
      </w:r>
    </w:p>
    <w:p>
      <w:pPr>
        <w:numPr>
          <w:ilvl w:val="0"/>
          <w:numId w:val="0"/>
        </w:numPr>
        <w:spacing w:line="360" w:lineRule="auto"/>
        <w:ind w:leftChars="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三、运营模式及供应商职责</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负责残疾人之家的运营管理。供应商需遵守《中华人民共和国残疾人保障法》和上级相关规定，按采购人提出的工作要求开展相关工作。采取自主经营、自负盈亏，自主负担一切经营成本及运作资金，包括但不限于水电费、人工工资、社会保险等，并承担自身所有债权债务。</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2.供应商职责</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2.1负责为工疗对象提供接送、午餐、精神或智力常规治疗药物等。</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2.2开展工疗、药疗、娱疗、心理健康教育等为主要手段的康复工作。提高残疾人的社会实践和生活自理能力，培养残疾人自尊心、自信心。</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根据残疾人不同的康复需求，提供康复治疗、训练指导、心理疏导、知识普及、残疾人家庭培训、简易训练器具制作、用品用具服务、咨询服务、转介服务等多种康复服务；充分利用现代信息转播手段，为残疾人提供方便、快捷、实用的康复信息服务。</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2.4负责“残疾人之家”的运作、管理和设备维修，设备维修费用由采购人承担</w:t>
      </w:r>
      <w:r>
        <w:rPr>
          <w:rFonts w:hint="eastAsia" w:ascii="宋体" w:hAnsi="宋体" w:cs="宋体"/>
          <w:color w:val="auto"/>
          <w:sz w:val="24"/>
          <w:szCs w:val="24"/>
          <w:highlight w:val="none"/>
          <w:lang w:val="en-US" w:eastAsia="zh-CN"/>
        </w:rPr>
        <w:t>，因供应商运营期间人为因素造成的，由供应商支付</w:t>
      </w:r>
      <w:r>
        <w:rPr>
          <w:rFonts w:hint="eastAsia" w:ascii="宋体" w:hAnsi="宋体" w:eastAsia="宋体" w:cs="宋体"/>
          <w:color w:val="auto"/>
          <w:sz w:val="24"/>
          <w:szCs w:val="24"/>
          <w:highlight w:val="none"/>
          <w:lang w:val="en-US" w:eastAsia="zh-CN"/>
        </w:rPr>
        <w:t>。</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2.5负责“残疾人之家”各方面的安全工作，并承担安全责任。</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2.6供应商必须依法开展与“残疾人之家”有关的活动，不得私自开展与“残疾人之家”无关的任何活动。</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2.7建立建全瓜沥镇残疾人之家各工作岗位职责和工作人员职责、计划和总结、活动安排、个人康复训练计划、突发事件应急预案、生产劳动操作章程、安全生产制度、财务管理制度等。</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2.8根据各部门要求，建立健全设施设备、人员配备、服务功能、服务品质、日常管理、文化建设、满意度测评、社会参与、志愿服务、特色创新等瓜沥镇残疾人之家的相关工作台账。</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2.9培训提高原有工作人员的工作能力，确立服务理念。</w:t>
      </w:r>
    </w:p>
    <w:p>
      <w:pPr>
        <w:tabs>
          <w:tab w:val="left" w:pos="0"/>
        </w:tabs>
        <w:adjustRightInd w:val="0"/>
        <w:snapToGrid w:val="0"/>
        <w:spacing w:after="0" w:line="360" w:lineRule="auto"/>
        <w:ind w:firstLine="420"/>
        <w:jc w:val="left"/>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2.10供应商为本项目配备系统软件，实现服务记录、活动签到、档案管理等电子</w:t>
      </w:r>
      <w:r>
        <w:rPr>
          <w:rFonts w:hint="eastAsia" w:ascii="宋体" w:hAnsi="宋体" w:cs="宋体"/>
          <w:b/>
          <w:bCs/>
          <w:color w:val="auto"/>
          <w:sz w:val="24"/>
          <w:szCs w:val="24"/>
          <w:highlight w:val="none"/>
          <w:lang w:val="en-US" w:eastAsia="zh-CN"/>
        </w:rPr>
        <w:t>智能</w:t>
      </w:r>
      <w:r>
        <w:rPr>
          <w:rFonts w:hint="eastAsia" w:ascii="宋体" w:hAnsi="宋体" w:eastAsia="宋体" w:cs="宋体"/>
          <w:b/>
          <w:bCs/>
          <w:color w:val="auto"/>
          <w:sz w:val="24"/>
          <w:szCs w:val="24"/>
          <w:highlight w:val="none"/>
          <w:lang w:val="en-US" w:eastAsia="zh-CN"/>
        </w:rPr>
        <w:t>化管理</w:t>
      </w:r>
      <w:r>
        <w:rPr>
          <w:rFonts w:hint="eastAsia" w:ascii="宋体" w:hAnsi="宋体" w:cs="宋体"/>
          <w:b/>
          <w:bCs/>
          <w:color w:val="auto"/>
          <w:sz w:val="24"/>
          <w:szCs w:val="24"/>
          <w:highlight w:val="none"/>
          <w:lang w:val="en-US" w:eastAsia="zh-CN"/>
        </w:rPr>
        <w:t>。</w:t>
      </w:r>
    </w:p>
    <w:p>
      <w:pPr>
        <w:tabs>
          <w:tab w:val="left" w:pos="0"/>
        </w:tabs>
        <w:adjustRightInd w:val="0"/>
        <w:snapToGrid w:val="0"/>
        <w:spacing w:after="0" w:line="360" w:lineRule="auto"/>
        <w:ind w:firstLine="42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szCs w:val="24"/>
          <w:highlight w:val="none"/>
          <w:lang w:val="en-US" w:eastAsia="zh-CN"/>
        </w:rPr>
        <w:t>2.11鼓励工疗对象自行或家人接送形式前往工疗点，</w:t>
      </w:r>
      <w:r>
        <w:rPr>
          <w:rFonts w:hint="eastAsia" w:ascii="宋体" w:hAnsi="宋体" w:cs="宋体"/>
          <w:b/>
          <w:bCs/>
          <w:color w:val="auto"/>
          <w:sz w:val="24"/>
          <w:szCs w:val="24"/>
          <w:highlight w:val="none"/>
          <w:lang w:val="en-US" w:eastAsia="zh-CN"/>
        </w:rPr>
        <w:t>供应商须对其</w:t>
      </w:r>
      <w:r>
        <w:rPr>
          <w:rFonts w:hint="eastAsia" w:ascii="宋体" w:hAnsi="宋体" w:eastAsia="宋体" w:cs="宋体"/>
          <w:b/>
          <w:bCs/>
          <w:color w:val="auto"/>
          <w:sz w:val="24"/>
          <w:szCs w:val="24"/>
          <w:highlight w:val="none"/>
          <w:lang w:val="en-US" w:eastAsia="zh-CN"/>
        </w:rPr>
        <w:t>进行</w:t>
      </w:r>
      <w:r>
        <w:rPr>
          <w:rFonts w:hint="eastAsia" w:ascii="宋体" w:hAnsi="宋体" w:cs="宋体"/>
          <w:b/>
          <w:bCs/>
          <w:color w:val="auto"/>
          <w:sz w:val="24"/>
          <w:szCs w:val="24"/>
          <w:highlight w:val="none"/>
          <w:lang w:val="en-US" w:eastAsia="zh-CN"/>
        </w:rPr>
        <w:t>交通</w:t>
      </w:r>
      <w:r>
        <w:rPr>
          <w:rFonts w:hint="eastAsia" w:ascii="宋体" w:hAnsi="宋体" w:eastAsia="宋体" w:cs="宋体"/>
          <w:b/>
          <w:bCs/>
          <w:color w:val="auto"/>
          <w:sz w:val="24"/>
          <w:szCs w:val="24"/>
          <w:highlight w:val="none"/>
          <w:lang w:val="en-US" w:eastAsia="zh-CN"/>
        </w:rPr>
        <w:t>补贴。</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2.12</w:t>
      </w:r>
      <w:r>
        <w:rPr>
          <w:rFonts w:hint="eastAsia" w:ascii="宋体" w:hAnsi="宋体" w:eastAsia="宋体" w:cs="宋体"/>
          <w:color w:val="auto"/>
          <w:sz w:val="24"/>
          <w:szCs w:val="24"/>
          <w:highlight w:val="none"/>
          <w:lang w:val="en-US" w:eastAsia="zh-CN"/>
        </w:rPr>
        <w:t>为瓜沥镇辖区的智障人士与精神障碍康复者提供免费的日间服务（不收取服务费），在册服务人员不</w:t>
      </w:r>
      <w:r>
        <w:rPr>
          <w:rFonts w:hint="eastAsia" w:ascii="宋体" w:hAnsi="宋体" w:cs="宋体"/>
          <w:color w:val="auto"/>
          <w:sz w:val="24"/>
          <w:szCs w:val="24"/>
          <w:highlight w:val="none"/>
          <w:lang w:val="en-US" w:eastAsia="zh-CN"/>
        </w:rPr>
        <w:t>超过</w:t>
      </w:r>
      <w:r>
        <w:rPr>
          <w:rFonts w:hint="eastAsia" w:ascii="宋体" w:hAnsi="宋体" w:eastAsia="宋体" w:cs="宋体"/>
          <w:color w:val="auto"/>
          <w:sz w:val="24"/>
          <w:szCs w:val="24"/>
          <w:highlight w:val="none"/>
          <w:lang w:val="en-US" w:eastAsia="zh-CN"/>
        </w:rPr>
        <w:t>60人。</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四、服务内容与要求</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（一）项目管理要求</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1.运营时间：工作日8:30-16:30。</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2.建立各项管理制度，服务项目、服务承诺及服务标准上墙公示。</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3.建立服务档案（包括服务记录、活动记录、残疾人档案等），定期收集整理工作台账，每月更新。</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4.持证上岗，严格人员录用。服务机构应保证所录用人员身体健康、无传染性疾病、无刑事违法或处分犯罪记录、要求持证上岗，专技人员有职业资格证书。</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（二）运营服务内容及要求</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1.辅助性就业</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开展适合残疾人特点的劳动项目，提高残疾人的身体协调能力和劳动能力，同时通过完成产品赚取相应的报酬，提高残疾人生活质量。</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2.康复训练</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配备相应的康复器械，专业康复治疗师根据残疾人需求，为其制定康复训练计划，并定期提供康复指导服务；经过培训的康复协理员，为残疾人开展康复训练与服务。</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3.生活训练</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为残疾人制定个性化训练计划，通过系统训练，全面提升残疾人生活自理能力和社会适应能力。</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.日间照料</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营造安全舒适的环境，开展日间照料服务，并提供午餐休息，切实解决残疾人家庭的后顾之忧，解放残疾人家庭劳动力。</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5.心理疏导</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邀请专业心理医生对残疾，人进行不定期的心理疏导及培训，减少或解除残疾人的心理障碍，帮助其树立积极向上的人生观和价值观。</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6.文体活动</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组织残疾人开展文化教育、音乐、舞蹈、体育等健康有益、适宜的文体活动，丰富残疾人的业余文化生活。</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7.就业支持</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为康复效果较好的残疾人寻找适合的就业岗位，并通过就业辅导，追踪服务等方式，帮助残疾人顺利就业，融入社会。</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8.权益保障</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向残疾人普及法律知识，帮助他们掌握法律武器，提高依法保障自身权益的意识。同时要特别组织学习《中华人民共和国残疾人保障法》等相关法律政策，让他们了解残疾人特殊享有的社会物质帮助权和社会平等权。要让残疾人了解，当其合法权益受到侵害时，帮其申请法律援助。</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9.公众宣教</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充分利用社会资源，进入社区、企业等举办各类宣教活动，增进公众对残疾人事业的关注和支持。</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10.志愿者服务</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与各类志愿者组织、社会爱心人士加强合作，经常开展志愿助残服务，并开展常态化的志愿助残服务项目和活动。</w:t>
      </w:r>
    </w:p>
    <w:p>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三</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康复服务训练要求</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运动能力训练：为服务对象提供适当的肌力、关节活动、平衡与协调等方面的运动训练，指导其规范使用矫形器和训练器具，巩固医疗康复效果，使其身体运动功能得到恢复或代偿。</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认知能力训练：为服务对象提供感觉、记忆、注意、语言等认知训练。指导其采用概念归类、顺序排列、学习概括、解决问题等情景支持训练，不同程度提高智力水平，恢复和补偿大脑功能定位。</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娱疗训练：为服务对象提供适宜的娱乐活动，丰富日常生活，帮助其陶冶情操，提高神经系统和整个机体对外界环境的反应能力。</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健身运动：合理使用现有健身器材，开展富有韵律性的有氧运动，帮助其恢复肢体运动功能，增强体质愉悦身心。</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生活技能训练：为服务对象提供基本生活自理能力训练，学习简单家务和劳动，培养基本的生活能力和卫生习惯</w:t>
      </w:r>
      <w:r>
        <w:rPr>
          <w:rFonts w:hint="eastAsia" w:ascii="宋体" w:hAnsi="宋体" w:eastAsia="宋体" w:cs="宋体"/>
          <w:b w:val="0"/>
          <w:bCs w:val="0"/>
          <w:color w:val="auto"/>
          <w:kern w:val="0"/>
          <w:sz w:val="24"/>
          <w:szCs w:val="24"/>
          <w:highlight w:val="none"/>
        </w:rPr>
        <w:t>，提升自我个人成长、独立的生活品质。</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社交技能训练：为服务对象提供社会角色、朋友交往、同事相处等方面的社交技能训练</w:t>
      </w:r>
      <w:r>
        <w:rPr>
          <w:rFonts w:hint="eastAsia" w:ascii="宋体" w:hAnsi="宋体" w:eastAsia="宋体" w:cs="宋体"/>
          <w:b w:val="0"/>
          <w:bCs w:val="0"/>
          <w:color w:val="auto"/>
          <w:kern w:val="0"/>
          <w:sz w:val="24"/>
          <w:szCs w:val="24"/>
          <w:highlight w:val="none"/>
        </w:rPr>
        <w:t>。培养与他人接触、表达感受、处理、选择、需求等各项社会融合技能能力。</w:t>
      </w:r>
      <w:r>
        <w:rPr>
          <w:rFonts w:hint="eastAsia" w:ascii="宋体" w:hAnsi="宋体" w:eastAsia="宋体" w:cs="宋体"/>
          <w:color w:val="auto"/>
          <w:kern w:val="0"/>
          <w:sz w:val="24"/>
          <w:szCs w:val="24"/>
          <w:highlight w:val="none"/>
        </w:rPr>
        <w:t>逐步具备基本的人际交往兴趣和能力，提高自信心。</w:t>
      </w:r>
    </w:p>
    <w:p>
      <w:pPr>
        <w:spacing w:line="360" w:lineRule="auto"/>
        <w:ind w:firstLine="480" w:firstLineChars="200"/>
        <w:rPr>
          <w:rFonts w:hint="eastAsia" w:ascii="宋体" w:hAnsi="宋体" w:eastAsia="宋体" w:cs="宋体"/>
          <w:b w:val="0"/>
          <w:bCs w:val="0"/>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职业康复训练：为服务对象提供与其行为能力相适应的简单基本生产劳动，通过劳动培养注意力协调能力等，逐步提高自我处置能力</w:t>
      </w:r>
      <w:r>
        <w:rPr>
          <w:rFonts w:hint="eastAsia" w:ascii="宋体" w:hAnsi="宋体" w:eastAsia="宋体" w:cs="宋体"/>
          <w:b w:val="0"/>
          <w:bCs w:val="0"/>
          <w:color w:val="auto"/>
          <w:kern w:val="0"/>
          <w:sz w:val="24"/>
          <w:szCs w:val="24"/>
          <w:highlight w:val="none"/>
        </w:rPr>
        <w:t>，正确引导学员重视职前参与康复指导的认知性。</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心理康复训练：为服务对象提供日常心理疏导，健康关爱，行为矫正等服务，</w:t>
      </w:r>
      <w:r>
        <w:rPr>
          <w:rFonts w:hint="eastAsia" w:ascii="宋体" w:hAnsi="宋体" w:eastAsia="宋体" w:cs="宋体"/>
          <w:b w:val="0"/>
          <w:bCs w:val="0"/>
          <w:color w:val="auto"/>
          <w:kern w:val="0"/>
          <w:sz w:val="24"/>
          <w:szCs w:val="24"/>
          <w:highlight w:val="none"/>
        </w:rPr>
        <w:t>维稳建设残障学员心理的安全屏障。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社会融合活动：为服务对象建立社会关系，参加社会活动，社区互动，参与社会建设，促进社会融合。</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三</w:t>
      </w:r>
      <w:r>
        <w:rPr>
          <w:rFonts w:hint="eastAsia" w:ascii="宋体" w:hAnsi="宋体" w:eastAsia="宋体" w:cs="宋体"/>
          <w:b/>
          <w:bCs/>
          <w:color w:val="auto"/>
          <w:kern w:val="0"/>
          <w:sz w:val="24"/>
          <w:szCs w:val="24"/>
          <w:highlight w:val="none"/>
        </w:rPr>
        <w:t>、服务期限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合同履约期限：</w:t>
      </w:r>
      <w:r>
        <w:rPr>
          <w:rFonts w:hint="eastAsia" w:ascii="宋体" w:hAnsi="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u w:val="single"/>
        </w:rPr>
        <w:t>年</w:t>
      </w:r>
      <w:r>
        <w:rPr>
          <w:rFonts w:hint="eastAsia" w:ascii="宋体" w:hAnsi="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具体以签订合同之日起为准</w:t>
      </w:r>
      <w:r>
        <w:rPr>
          <w:rFonts w:hint="eastAsia" w:ascii="宋体" w:hAnsi="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w:t>
      </w:r>
    </w:p>
    <w:p>
      <w:p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四</w:t>
      </w:r>
      <w:r>
        <w:rPr>
          <w:rFonts w:hint="eastAsia" w:ascii="宋体" w:hAnsi="宋体" w:eastAsia="宋体" w:cs="宋体"/>
          <w:b/>
          <w:bCs/>
          <w:color w:val="auto"/>
          <w:kern w:val="0"/>
          <w:sz w:val="24"/>
          <w:szCs w:val="24"/>
          <w:highlight w:val="none"/>
        </w:rPr>
        <w:t>、应急预案要求</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1.制定以防走失、预防突发疾病和意外伤害、防火防盗为核心的应急预案，定期组织管理人员和服务人员进行应急预案的演习。</w:t>
      </w:r>
    </w:p>
    <w:p>
      <w:pPr>
        <w:spacing w:line="360" w:lineRule="auto"/>
        <w:ind w:firstLine="480" w:firstLineChars="200"/>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2.预防保健服务，根据服务对象的需求，有针对性的制定基础疾病和常见传染病的预防方案，科学有效的开展疾病防治工作。</w:t>
      </w:r>
    </w:p>
    <w:p>
      <w:p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五</w:t>
      </w:r>
      <w:r>
        <w:rPr>
          <w:rFonts w:hint="eastAsia" w:ascii="宋体" w:hAnsi="宋体" w:eastAsia="宋体" w:cs="宋体"/>
          <w:b/>
          <w:bCs/>
          <w:color w:val="auto"/>
          <w:kern w:val="0"/>
          <w:sz w:val="24"/>
          <w:szCs w:val="24"/>
          <w:highlight w:val="none"/>
        </w:rPr>
        <w:t>、考核标准</w:t>
      </w:r>
    </w:p>
    <w:p>
      <w:pPr>
        <w:widowControl/>
        <w:spacing w:line="360" w:lineRule="auto"/>
        <w:ind w:firstLine="482" w:firstLineChars="200"/>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采购人每</w:t>
      </w:r>
      <w:r>
        <w:rPr>
          <w:rFonts w:hint="eastAsia" w:ascii="宋体" w:hAnsi="宋体" w:eastAsia="宋体" w:cs="宋体"/>
          <w:b/>
          <w:bCs/>
          <w:color w:val="auto"/>
          <w:sz w:val="24"/>
          <w:highlight w:val="none"/>
          <w:lang w:val="en-US" w:eastAsia="zh-CN"/>
        </w:rPr>
        <w:t>满半年</w:t>
      </w:r>
      <w:r>
        <w:rPr>
          <w:rFonts w:hint="eastAsia" w:ascii="宋体" w:hAnsi="宋体" w:eastAsia="宋体" w:cs="宋体"/>
          <w:b/>
          <w:bCs/>
          <w:color w:val="auto"/>
          <w:sz w:val="24"/>
          <w:highlight w:val="none"/>
          <w:lang w:eastAsia="zh-CN"/>
        </w:rPr>
        <w:t>服务期</w:t>
      </w:r>
      <w:r>
        <w:rPr>
          <w:rFonts w:hint="eastAsia" w:ascii="宋体" w:hAnsi="宋体" w:eastAsia="宋体" w:cs="宋体"/>
          <w:b/>
          <w:bCs/>
          <w:color w:val="auto"/>
          <w:sz w:val="24"/>
          <w:highlight w:val="none"/>
          <w:lang w:val="en-US" w:eastAsia="zh-CN"/>
        </w:rPr>
        <w:t>时</w:t>
      </w:r>
      <w:r>
        <w:rPr>
          <w:rFonts w:hint="eastAsia" w:ascii="宋体" w:hAnsi="宋体" w:eastAsia="宋体" w:cs="宋体"/>
          <w:b/>
          <w:bCs/>
          <w:color w:val="auto"/>
          <w:sz w:val="24"/>
          <w:highlight w:val="none"/>
          <w:lang w:eastAsia="zh-CN"/>
        </w:rPr>
        <w:t>对中标</w:t>
      </w:r>
      <w:r>
        <w:rPr>
          <w:rFonts w:hint="eastAsia" w:ascii="宋体" w:hAnsi="宋体" w:eastAsia="宋体" w:cs="宋体"/>
          <w:b/>
          <w:bCs/>
          <w:color w:val="auto"/>
          <w:sz w:val="24"/>
          <w:highlight w:val="none"/>
          <w:lang w:val="en-US" w:eastAsia="zh-CN"/>
        </w:rPr>
        <w:t>供应商</w:t>
      </w:r>
      <w:r>
        <w:rPr>
          <w:rFonts w:hint="eastAsia" w:ascii="宋体" w:hAnsi="宋体" w:eastAsia="宋体" w:cs="宋体"/>
          <w:b/>
          <w:bCs/>
          <w:color w:val="auto"/>
          <w:sz w:val="24"/>
          <w:highlight w:val="none"/>
          <w:lang w:eastAsia="zh-CN"/>
        </w:rPr>
        <w:t>的</w:t>
      </w:r>
      <w:r>
        <w:rPr>
          <w:rFonts w:hint="eastAsia" w:ascii="宋体" w:hAnsi="宋体" w:eastAsia="宋体" w:cs="宋体"/>
          <w:b/>
          <w:bCs/>
          <w:color w:val="auto"/>
          <w:sz w:val="24"/>
          <w:highlight w:val="none"/>
          <w:lang w:val="en-US" w:eastAsia="zh-CN"/>
        </w:rPr>
        <w:t>运营</w:t>
      </w:r>
      <w:r>
        <w:rPr>
          <w:rFonts w:hint="eastAsia" w:ascii="宋体" w:hAnsi="宋体" w:eastAsia="宋体" w:cs="宋体"/>
          <w:b/>
          <w:bCs/>
          <w:color w:val="auto"/>
          <w:sz w:val="24"/>
          <w:highlight w:val="none"/>
          <w:lang w:eastAsia="zh-CN"/>
        </w:rPr>
        <w:t>管理质量进行考核，最终考核办法可由采购人根据上级部门最新要求和实际工作重点进行调整确定。供应商考核</w:t>
      </w:r>
      <w:r>
        <w:rPr>
          <w:rFonts w:hint="eastAsia" w:ascii="宋体" w:hAnsi="宋体" w:eastAsia="宋体" w:cs="宋体"/>
          <w:b/>
          <w:bCs/>
          <w:color w:val="auto"/>
          <w:sz w:val="24"/>
          <w:highlight w:val="none"/>
          <w:lang w:val="en-US" w:eastAsia="zh-CN"/>
        </w:rPr>
        <w:t>内容</w:t>
      </w:r>
      <w:r>
        <w:rPr>
          <w:rFonts w:hint="eastAsia" w:ascii="宋体" w:hAnsi="宋体" w:eastAsia="宋体" w:cs="宋体"/>
          <w:b/>
          <w:bCs/>
          <w:color w:val="auto"/>
          <w:sz w:val="24"/>
          <w:highlight w:val="none"/>
          <w:lang w:eastAsia="zh-CN"/>
        </w:rPr>
        <w:t>详见附件1。</w:t>
      </w:r>
    </w:p>
    <w:p>
      <w:p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六</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eastAsia="zh-CN"/>
        </w:rPr>
        <w:t>团队人员</w:t>
      </w:r>
      <w:r>
        <w:rPr>
          <w:rFonts w:hint="eastAsia" w:ascii="宋体" w:hAnsi="宋体" w:eastAsia="宋体" w:cs="宋体"/>
          <w:b/>
          <w:bCs/>
          <w:color w:val="auto"/>
          <w:kern w:val="0"/>
          <w:sz w:val="24"/>
          <w:szCs w:val="24"/>
          <w:highlight w:val="none"/>
        </w:rPr>
        <w:t>配置要求</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项目负责人</w:t>
      </w:r>
      <w:r>
        <w:rPr>
          <w:rFonts w:hint="eastAsia" w:ascii="宋体" w:hAnsi="宋体" w:eastAsia="宋体" w:cs="宋体"/>
          <w:color w:val="auto"/>
          <w:sz w:val="24"/>
          <w:highlight w:val="none"/>
        </w:rPr>
        <w:t>1人、心理</w:t>
      </w:r>
      <w:r>
        <w:rPr>
          <w:rFonts w:hint="eastAsia" w:ascii="宋体" w:hAnsi="宋体" w:cs="宋体"/>
          <w:color w:val="auto"/>
          <w:sz w:val="24"/>
          <w:highlight w:val="none"/>
          <w:lang w:eastAsia="zh-CN"/>
        </w:rPr>
        <w:t>咨询师</w:t>
      </w:r>
      <w:r>
        <w:rPr>
          <w:rFonts w:hint="eastAsia" w:ascii="宋体" w:hAnsi="宋体" w:eastAsia="宋体" w:cs="宋体"/>
          <w:color w:val="auto"/>
          <w:sz w:val="24"/>
          <w:highlight w:val="none"/>
        </w:rPr>
        <w:t>1人、</w:t>
      </w:r>
      <w:r>
        <w:rPr>
          <w:rFonts w:hint="eastAsia" w:ascii="宋体" w:hAnsi="宋体" w:eastAsia="宋体" w:cs="宋体"/>
          <w:color w:val="auto"/>
          <w:sz w:val="24"/>
          <w:highlight w:val="none"/>
          <w:lang w:eastAsia="zh-CN"/>
        </w:rPr>
        <w:t>精防医生</w:t>
      </w:r>
      <w:r>
        <w:rPr>
          <w:rFonts w:hint="eastAsia" w:ascii="宋体" w:hAnsi="宋体" w:eastAsia="宋体" w:cs="宋体"/>
          <w:color w:val="auto"/>
          <w:sz w:val="24"/>
          <w:highlight w:val="none"/>
          <w:lang w:val="en-US" w:eastAsia="zh-CN"/>
        </w:rPr>
        <w:t>1人</w:t>
      </w:r>
      <w:r>
        <w:rPr>
          <w:rFonts w:hint="eastAsia" w:ascii="宋体" w:hAnsi="宋体" w:eastAsia="宋体" w:cs="宋体"/>
          <w:color w:val="auto"/>
          <w:sz w:val="24"/>
          <w:highlight w:val="none"/>
          <w:lang w:eastAsia="zh-CN"/>
        </w:rPr>
        <w:t>、康复治疗</w:t>
      </w:r>
      <w:r>
        <w:rPr>
          <w:rFonts w:hint="eastAsia" w:ascii="宋体" w:hAnsi="宋体" w:eastAsia="宋体" w:cs="宋体"/>
          <w:color w:val="auto"/>
          <w:sz w:val="24"/>
          <w:highlight w:val="none"/>
          <w:lang w:val="en-US" w:eastAsia="zh-CN"/>
        </w:rPr>
        <w:t>师1人、</w:t>
      </w:r>
      <w:r>
        <w:rPr>
          <w:rFonts w:hint="eastAsia" w:ascii="宋体" w:hAnsi="宋体" w:eastAsia="宋体" w:cs="宋体"/>
          <w:color w:val="auto"/>
          <w:sz w:val="24"/>
          <w:highlight w:val="none"/>
        </w:rPr>
        <w:t>工作人员2人（男女各一人）、保安1人</w:t>
      </w:r>
      <w:r>
        <w:rPr>
          <w:rFonts w:hint="eastAsia" w:ascii="宋体" w:hAnsi="宋体" w:cs="宋体"/>
          <w:color w:val="auto"/>
          <w:sz w:val="24"/>
          <w:highlight w:val="none"/>
          <w:lang w:eastAsia="zh-CN"/>
        </w:rPr>
        <w:t>；团队人员</w:t>
      </w:r>
      <w:r>
        <w:rPr>
          <w:rFonts w:hint="eastAsia" w:ascii="宋体" w:hAnsi="宋体" w:eastAsia="宋体" w:cs="宋体"/>
          <w:color w:val="auto"/>
          <w:sz w:val="24"/>
          <w:highlight w:val="none"/>
        </w:rPr>
        <w:t>需要持证上岗。</w:t>
      </w:r>
    </w:p>
    <w:p>
      <w:pPr>
        <w:wordWrap/>
        <w:adjustRightInd/>
        <w:spacing w:line="360" w:lineRule="auto"/>
        <w:ind w:firstLine="241" w:firstLineChars="100"/>
        <w:textAlignment w:val="auto"/>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eastAsia="zh-CN"/>
        </w:rPr>
        <w:t>七、商务要求</w:t>
      </w:r>
    </w:p>
    <w:p>
      <w:pPr>
        <w:numPr>
          <w:ilvl w:val="0"/>
          <w:numId w:val="2"/>
        </w:numPr>
        <w:wordWrap/>
        <w:adjustRightInd/>
        <w:spacing w:line="360" w:lineRule="auto"/>
        <w:ind w:firstLine="482" w:firstLineChars="200"/>
        <w:textAlignment w:val="auto"/>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运营补贴</w:t>
      </w:r>
    </w:p>
    <w:p>
      <w:pPr>
        <w:spacing w:line="360" w:lineRule="auto"/>
        <w:ind w:firstLine="471" w:firstLineChars="196"/>
        <w:rPr>
          <w:rFonts w:hint="default" w:ascii="宋体" w:hAnsi="宋体" w:eastAsia="宋体" w:cs="宋体"/>
          <w:b/>
          <w:bCs/>
          <w:color w:val="auto"/>
          <w:sz w:val="24"/>
          <w:szCs w:val="24"/>
          <w:highlight w:val="none"/>
          <w:u w:val="single"/>
          <w:lang w:val="en-US"/>
        </w:rPr>
      </w:pPr>
      <w:r>
        <w:rPr>
          <w:rFonts w:hint="eastAsia" w:ascii="微软雅黑" w:hAnsi="微软雅黑" w:eastAsia="微软雅黑" w:cs="微软雅黑"/>
          <w:b/>
          <w:bCs/>
          <w:color w:val="auto"/>
          <w:sz w:val="24"/>
          <w:szCs w:val="24"/>
          <w:highlight w:val="none"/>
          <w:u w:val="single"/>
          <w:lang w:val="en-US" w:eastAsia="zh-CN"/>
        </w:rPr>
        <w:t>▲</w:t>
      </w:r>
      <w:r>
        <w:rPr>
          <w:rFonts w:hint="eastAsia" w:ascii="宋体" w:hAnsi="宋体" w:cs="宋体"/>
          <w:b/>
          <w:bCs/>
          <w:color w:val="auto"/>
          <w:sz w:val="24"/>
          <w:szCs w:val="24"/>
          <w:highlight w:val="none"/>
          <w:u w:val="single"/>
          <w:lang w:val="en-US" w:eastAsia="zh-CN"/>
        </w:rPr>
        <w:t>本项目服务期三年；</w:t>
      </w:r>
      <w:r>
        <w:rPr>
          <w:rFonts w:hint="eastAsia" w:ascii="宋体" w:hAnsi="宋体" w:eastAsia="宋体" w:cs="宋体"/>
          <w:b/>
          <w:bCs/>
          <w:color w:val="auto"/>
          <w:sz w:val="24"/>
          <w:szCs w:val="24"/>
          <w:highlight w:val="none"/>
          <w:u w:val="single"/>
        </w:rPr>
        <w:t>工疗对象人数</w:t>
      </w:r>
      <w:r>
        <w:rPr>
          <w:rFonts w:hint="eastAsia" w:ascii="宋体" w:hAnsi="宋体" w:eastAsia="宋体" w:cs="宋体"/>
          <w:b/>
          <w:bCs/>
          <w:color w:val="auto"/>
          <w:sz w:val="24"/>
          <w:szCs w:val="24"/>
          <w:highlight w:val="none"/>
          <w:u w:val="single"/>
          <w:lang w:val="en-US" w:eastAsia="zh-CN"/>
        </w:rPr>
        <w:t>暂定60人</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工疗补贴</w:t>
      </w:r>
      <w:r>
        <w:rPr>
          <w:rFonts w:hint="eastAsia" w:ascii="宋体" w:hAnsi="宋体" w:eastAsia="宋体" w:cs="宋体"/>
          <w:b/>
          <w:bCs/>
          <w:color w:val="auto"/>
          <w:sz w:val="24"/>
          <w:szCs w:val="24"/>
          <w:highlight w:val="none"/>
          <w:u w:val="single"/>
          <w:lang w:eastAsia="zh-CN"/>
        </w:rPr>
        <w:t>为</w:t>
      </w:r>
      <w:r>
        <w:rPr>
          <w:rFonts w:hint="eastAsia" w:ascii="宋体" w:hAnsi="宋体" w:cs="宋体"/>
          <w:b/>
          <w:bCs/>
          <w:color w:val="auto"/>
          <w:sz w:val="24"/>
          <w:szCs w:val="24"/>
          <w:highlight w:val="none"/>
          <w:u w:val="single"/>
          <w:lang w:val="en-US" w:eastAsia="zh-CN"/>
        </w:rPr>
        <w:t>21340</w:t>
      </w:r>
      <w:r>
        <w:rPr>
          <w:rFonts w:hint="eastAsia" w:ascii="宋体" w:hAnsi="宋体" w:eastAsia="宋体" w:cs="宋体"/>
          <w:b/>
          <w:bCs/>
          <w:color w:val="auto"/>
          <w:sz w:val="24"/>
          <w:szCs w:val="24"/>
          <w:highlight w:val="none"/>
          <w:u w:val="single"/>
          <w:lang w:val="en-US" w:eastAsia="zh-CN"/>
        </w:rPr>
        <w:t>元/</w:t>
      </w:r>
      <w:r>
        <w:rPr>
          <w:rFonts w:hint="eastAsia" w:ascii="宋体" w:hAnsi="宋体" w:cs="宋体"/>
          <w:b/>
          <w:bCs/>
          <w:color w:val="auto"/>
          <w:sz w:val="24"/>
          <w:szCs w:val="24"/>
          <w:highlight w:val="none"/>
          <w:u w:val="single"/>
          <w:lang w:val="en-US" w:eastAsia="zh-CN"/>
        </w:rPr>
        <w:t>年</w:t>
      </w:r>
      <w:r>
        <w:rPr>
          <w:rFonts w:hint="eastAsia" w:ascii="宋体" w:hAnsi="宋体" w:eastAsia="宋体" w:cs="宋体"/>
          <w:b/>
          <w:bCs/>
          <w:color w:val="auto"/>
          <w:sz w:val="24"/>
          <w:szCs w:val="24"/>
          <w:highlight w:val="none"/>
          <w:u w:val="single"/>
          <w:lang w:val="en-US" w:eastAsia="zh-CN"/>
        </w:rPr>
        <w:t>/人；</w:t>
      </w:r>
      <w:r>
        <w:rPr>
          <w:rFonts w:hint="eastAsia" w:ascii="宋体" w:hAnsi="宋体" w:cs="宋体"/>
          <w:b/>
          <w:bCs/>
          <w:color w:val="auto"/>
          <w:sz w:val="24"/>
          <w:szCs w:val="24"/>
          <w:highlight w:val="none"/>
          <w:u w:val="single"/>
          <w:lang w:val="en-US" w:eastAsia="zh-CN"/>
        </w:rPr>
        <w:t>预算总金额为3841200.00元。</w:t>
      </w:r>
      <w:r>
        <w:rPr>
          <w:rFonts w:hint="eastAsia" w:ascii="宋体" w:hAnsi="宋体" w:eastAsia="宋体" w:cs="宋体"/>
          <w:b/>
          <w:bCs/>
          <w:color w:val="auto"/>
          <w:sz w:val="24"/>
          <w:szCs w:val="24"/>
          <w:highlight w:val="none"/>
          <w:u w:val="single"/>
          <w:lang w:val="en-US" w:eastAsia="zh-CN"/>
        </w:rPr>
        <w:t>最终</w:t>
      </w:r>
      <w:r>
        <w:rPr>
          <w:rFonts w:hint="eastAsia" w:ascii="宋体" w:hAnsi="宋体" w:eastAsia="宋体" w:cs="宋体"/>
          <w:b/>
          <w:bCs/>
          <w:color w:val="auto"/>
          <w:sz w:val="24"/>
          <w:szCs w:val="24"/>
          <w:highlight w:val="none"/>
          <w:u w:val="single"/>
        </w:rPr>
        <w:t>按实际</w:t>
      </w:r>
      <w:r>
        <w:rPr>
          <w:rFonts w:hint="eastAsia" w:ascii="宋体" w:hAnsi="宋体" w:cs="宋体"/>
          <w:b/>
          <w:bCs/>
          <w:color w:val="auto"/>
          <w:sz w:val="24"/>
          <w:szCs w:val="24"/>
          <w:highlight w:val="none"/>
          <w:u w:val="single"/>
          <w:lang w:eastAsia="zh-CN"/>
        </w:rPr>
        <w:t>工疗</w:t>
      </w:r>
      <w:r>
        <w:rPr>
          <w:rFonts w:hint="eastAsia" w:ascii="宋体" w:hAnsi="宋体" w:eastAsia="宋体" w:cs="宋体"/>
          <w:b/>
          <w:bCs/>
          <w:color w:val="auto"/>
          <w:sz w:val="24"/>
          <w:szCs w:val="24"/>
          <w:highlight w:val="none"/>
          <w:u w:val="single"/>
        </w:rPr>
        <w:t>人数结算；</w:t>
      </w:r>
      <w:r>
        <w:rPr>
          <w:rFonts w:hint="eastAsia" w:ascii="宋体" w:hAnsi="宋体" w:eastAsia="宋体" w:cs="宋体"/>
          <w:b/>
          <w:bCs/>
          <w:color w:val="auto"/>
          <w:sz w:val="24"/>
          <w:szCs w:val="24"/>
          <w:highlight w:val="none"/>
          <w:u w:val="single"/>
          <w:lang w:val="en-US" w:eastAsia="zh-CN"/>
        </w:rPr>
        <w:t>具体以上级文件规定为准。</w:t>
      </w:r>
    </w:p>
    <w:p>
      <w:pPr>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cs="宋体"/>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u w:val="single"/>
          <w:lang w:val="en-US" w:eastAsia="zh-CN"/>
        </w:rPr>
        <w:t>▲</w:t>
      </w:r>
      <w:r>
        <w:rPr>
          <w:rFonts w:hint="eastAsia" w:ascii="宋体" w:hAnsi="宋体" w:cs="宋体"/>
          <w:b/>
          <w:bCs/>
          <w:color w:val="auto"/>
          <w:sz w:val="24"/>
          <w:szCs w:val="24"/>
          <w:highlight w:val="none"/>
          <w:lang w:val="en-US" w:eastAsia="zh-CN"/>
        </w:rPr>
        <w:t>2、报价说明:</w:t>
      </w:r>
    </w:p>
    <w:p>
      <w:pPr>
        <w:widowControl/>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本次</w:t>
      </w:r>
      <w:r>
        <w:rPr>
          <w:rFonts w:hint="eastAsia" w:ascii="宋体" w:hAnsi="宋体" w:cs="宋体"/>
          <w:b/>
          <w:bCs/>
          <w:color w:val="auto"/>
          <w:sz w:val="24"/>
          <w:highlight w:val="none"/>
          <w:lang w:val="en-US" w:eastAsia="zh-CN"/>
        </w:rPr>
        <w:t>工疗对象人数</w:t>
      </w:r>
      <w:r>
        <w:rPr>
          <w:rFonts w:hint="eastAsia" w:ascii="宋体" w:hAnsi="宋体" w:eastAsia="宋体" w:cs="宋体"/>
          <w:b/>
          <w:bCs/>
          <w:color w:val="auto"/>
          <w:sz w:val="24"/>
          <w:highlight w:val="none"/>
        </w:rPr>
        <w:t>为暂定数量，但投标时</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不得变更数量；最终结算按实际</w:t>
      </w:r>
      <w:r>
        <w:rPr>
          <w:rFonts w:hint="eastAsia" w:ascii="宋体" w:hAnsi="宋体" w:eastAsia="宋体" w:cs="宋体"/>
          <w:b/>
          <w:bCs/>
          <w:color w:val="auto"/>
          <w:sz w:val="24"/>
          <w:highlight w:val="none"/>
          <w:lang w:eastAsia="zh-CN"/>
        </w:rPr>
        <w:t>人数</w:t>
      </w:r>
      <w:r>
        <w:rPr>
          <w:rFonts w:hint="eastAsia" w:ascii="宋体" w:hAnsi="宋体" w:eastAsia="宋体" w:cs="宋体"/>
          <w:b/>
          <w:bCs/>
          <w:color w:val="auto"/>
          <w:sz w:val="24"/>
          <w:highlight w:val="none"/>
        </w:rPr>
        <w:t>乘以中标单价。</w:t>
      </w:r>
    </w:p>
    <w:p>
      <w:pPr>
        <w:widowControl/>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r>
        <w:rPr>
          <w:rFonts w:hint="eastAsia" w:ascii="宋体" w:hAnsi="宋体" w:cs="宋体"/>
          <w:b/>
          <w:bCs/>
          <w:color w:val="auto"/>
          <w:sz w:val="24"/>
          <w:szCs w:val="24"/>
          <w:highlight w:val="none"/>
          <w:lang w:val="en-US" w:eastAsia="zh-CN"/>
        </w:rPr>
        <w:t>本项目报价不作竞争，</w:t>
      </w:r>
      <w:r>
        <w:rPr>
          <w:rFonts w:hint="eastAsia" w:ascii="宋体" w:hAnsi="宋体" w:eastAsia="宋体" w:cs="宋体"/>
          <w:b/>
          <w:bCs/>
          <w:color w:val="auto"/>
          <w:sz w:val="24"/>
          <w:highlight w:val="none"/>
        </w:rPr>
        <w:t>投标人在报价时应按照上述</w:t>
      </w:r>
      <w:r>
        <w:rPr>
          <w:rFonts w:hint="eastAsia" w:ascii="宋体" w:hAnsi="宋体" w:cs="宋体"/>
          <w:b/>
          <w:bCs/>
          <w:color w:val="auto"/>
          <w:sz w:val="24"/>
          <w:highlight w:val="none"/>
          <w:lang w:val="en-US" w:eastAsia="zh-CN"/>
        </w:rPr>
        <w:t>运营补贴</w:t>
      </w:r>
      <w:r>
        <w:rPr>
          <w:rFonts w:hint="eastAsia" w:ascii="宋体" w:hAnsi="宋体" w:eastAsia="宋体" w:cs="宋体"/>
          <w:b/>
          <w:bCs/>
          <w:color w:val="auto"/>
          <w:sz w:val="24"/>
          <w:highlight w:val="none"/>
        </w:rPr>
        <w:t>要求的价格标准执行，否则按无效标处理。</w:t>
      </w:r>
    </w:p>
    <w:p>
      <w:pPr>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（3）供应商按中标价作为暂定合同价，最终根据实际数量结合上述单价金额计取费用。</w:t>
      </w:r>
    </w:p>
    <w:p>
      <w:pPr>
        <w:widowControl/>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服务要求在合同履行期内若主管部门有其他政策颁布的，依照最新政策所规定的落实。</w:t>
      </w:r>
    </w:p>
    <w:p>
      <w:pPr>
        <w:pStyle w:val="6"/>
        <w:wordWrap w:val="0"/>
        <w:ind w:left="434" w:leftChars="202" w:hanging="10" w:hangingChars="4"/>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（5）综合单价（元/年/人）：包括所有人工费、运营费、设施设备及相关耗材费、</w:t>
      </w:r>
    </w:p>
    <w:p>
      <w:pPr>
        <w:pStyle w:val="6"/>
        <w:wordWrap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交通费、工疗涉及的其他项目费等供应商认为完成本项目所需的一切费用。</w:t>
      </w:r>
    </w:p>
    <w:p>
      <w:pPr>
        <w:pageBreakBefore w:val="0"/>
        <w:widowControl/>
        <w:kinsoku/>
        <w:wordWrap/>
        <w:overflowPunct/>
        <w:topLinePunct w:val="0"/>
        <w:autoSpaceDE/>
        <w:autoSpaceDN/>
        <w:bidi w:val="0"/>
        <w:adjustRightInd/>
        <w:snapToGrid/>
        <w:spacing w:line="360" w:lineRule="auto"/>
        <w:ind w:left="0" w:firstLine="482" w:firstLineChars="200"/>
        <w:jc w:val="left"/>
        <w:textAlignment w:val="baseline"/>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付款方式：</w:t>
      </w:r>
    </w:p>
    <w:p>
      <w:pPr>
        <w:pStyle w:val="25"/>
        <w:ind w:firstLine="482" w:firstLineChars="200"/>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1</w:t>
      </w:r>
      <w:r>
        <w:rPr>
          <w:rFonts w:hint="eastAsia"/>
          <w:b/>
          <w:bCs/>
          <w:color w:val="auto"/>
          <w:highlight w:val="none"/>
          <w:lang w:eastAsia="zh-CN"/>
        </w:rPr>
        <w:t>）付款方式：</w:t>
      </w:r>
    </w:p>
    <w:p>
      <w:pPr>
        <w:pStyle w:val="25"/>
        <w:ind w:firstLine="482" w:firstLineChars="200"/>
        <w:rPr>
          <w:rFonts w:hint="eastAsia"/>
          <w:b/>
          <w:bCs/>
          <w:color w:val="auto"/>
          <w:highlight w:val="none"/>
        </w:rPr>
      </w:pPr>
      <w:r>
        <w:rPr>
          <w:rFonts w:hint="eastAsia"/>
          <w:b/>
          <w:bCs/>
          <w:color w:val="auto"/>
          <w:highlight w:val="none"/>
        </w:rPr>
        <w:t>①预付款：合同签订后并生效后，采购人5个工作日内向中标人支付1年合同总价的40%的预付款；</w:t>
      </w:r>
    </w:p>
    <w:p>
      <w:pPr>
        <w:pageBreakBefore w:val="0"/>
        <w:widowControl/>
        <w:tabs>
          <w:tab w:val="left" w:pos="312"/>
        </w:tabs>
        <w:kinsoku/>
        <w:wordWrap/>
        <w:overflowPunct/>
        <w:topLinePunct w:val="0"/>
        <w:autoSpaceDE/>
        <w:autoSpaceDN/>
        <w:bidi w:val="0"/>
        <w:adjustRightInd/>
        <w:snapToGrid/>
        <w:spacing w:line="360" w:lineRule="auto"/>
        <w:ind w:left="0" w:firstLine="482" w:firstLineChars="200"/>
        <w:jc w:val="left"/>
        <w:textAlignment w:val="baseline"/>
        <w:rPr>
          <w:rFonts w:hint="eastAsia" w:ascii="宋体" w:hAnsi="宋体" w:eastAsia="宋体" w:cs="宋体"/>
          <w:color w:val="auto"/>
          <w:sz w:val="24"/>
          <w:szCs w:val="24"/>
          <w:highlight w:val="none"/>
          <w:lang w:val="en-US" w:eastAsia="zh-CN"/>
        </w:rPr>
      </w:pPr>
      <w:r>
        <w:rPr>
          <w:rFonts w:hint="eastAsia"/>
          <w:b/>
          <w:bCs/>
          <w:color w:val="auto"/>
          <w:sz w:val="24"/>
          <w:szCs w:val="32"/>
          <w:highlight w:val="none"/>
        </w:rPr>
        <w:t>②</w:t>
      </w:r>
      <w:r>
        <w:rPr>
          <w:rFonts w:hint="eastAsia"/>
          <w:b/>
          <w:bCs/>
          <w:color w:val="auto"/>
          <w:sz w:val="24"/>
          <w:szCs w:val="32"/>
          <w:highlight w:val="none"/>
          <w:lang w:eastAsia="zh-CN"/>
        </w:rPr>
        <w:t>服务期每满六个月</w:t>
      </w:r>
      <w:r>
        <w:rPr>
          <w:rFonts w:hint="eastAsia"/>
          <w:b/>
          <w:bCs/>
          <w:color w:val="auto"/>
          <w:sz w:val="24"/>
          <w:szCs w:val="32"/>
          <w:highlight w:val="none"/>
        </w:rPr>
        <w:t>采购人根据考核办法</w:t>
      </w:r>
      <w:r>
        <w:rPr>
          <w:rFonts w:hint="eastAsia"/>
          <w:b/>
          <w:bCs/>
          <w:color w:val="auto"/>
          <w:sz w:val="24"/>
          <w:szCs w:val="32"/>
          <w:highlight w:val="none"/>
          <w:lang w:eastAsia="zh-CN"/>
        </w:rPr>
        <w:t>进行考核，</w:t>
      </w:r>
      <w:r>
        <w:rPr>
          <w:rFonts w:hint="eastAsia"/>
          <w:b/>
          <w:bCs/>
          <w:color w:val="auto"/>
          <w:sz w:val="24"/>
          <w:szCs w:val="32"/>
          <w:highlight w:val="none"/>
        </w:rPr>
        <w:t>扣除相应的款项后支付</w:t>
      </w:r>
      <w:r>
        <w:rPr>
          <w:rFonts w:hint="eastAsia"/>
          <w:b/>
          <w:bCs/>
          <w:color w:val="auto"/>
          <w:sz w:val="24"/>
          <w:szCs w:val="32"/>
          <w:highlight w:val="none"/>
          <w:lang w:eastAsia="zh-CN"/>
        </w:rPr>
        <w:t>合同总价的</w:t>
      </w:r>
      <w:r>
        <w:rPr>
          <w:rFonts w:hint="eastAsia"/>
          <w:b/>
          <w:bCs/>
          <w:color w:val="auto"/>
          <w:sz w:val="24"/>
          <w:szCs w:val="32"/>
          <w:highlight w:val="none"/>
          <w:lang w:val="en-US" w:eastAsia="zh-CN"/>
        </w:rPr>
        <w:t>10%</w:t>
      </w:r>
      <w:r>
        <w:rPr>
          <w:rFonts w:hint="eastAsia"/>
          <w:b/>
          <w:bCs/>
          <w:color w:val="auto"/>
          <w:sz w:val="24"/>
          <w:szCs w:val="32"/>
          <w:highlight w:val="none"/>
        </w:rPr>
        <w:t>（</w:t>
      </w:r>
      <w:r>
        <w:rPr>
          <w:rFonts w:hint="eastAsia"/>
          <w:b/>
          <w:bCs/>
          <w:color w:val="auto"/>
          <w:sz w:val="24"/>
          <w:szCs w:val="32"/>
          <w:highlight w:val="none"/>
          <w:lang w:eastAsia="zh-CN"/>
        </w:rPr>
        <w:t>每满六个月</w:t>
      </w:r>
      <w:r>
        <w:rPr>
          <w:rFonts w:hint="eastAsia"/>
          <w:b/>
          <w:bCs/>
          <w:color w:val="auto"/>
          <w:sz w:val="24"/>
          <w:szCs w:val="32"/>
          <w:highlight w:val="none"/>
        </w:rPr>
        <w:t>实际工疗残疾人不足60人的在考核时核减相应款项）</w:t>
      </w:r>
      <w:r>
        <w:rPr>
          <w:rFonts w:hint="eastAsia"/>
          <w:b/>
          <w:bCs/>
          <w:color w:val="auto"/>
          <w:sz w:val="24"/>
          <w:szCs w:val="32"/>
          <w:highlight w:val="none"/>
          <w:lang w:eastAsia="zh-CN"/>
        </w:rPr>
        <w:t>。</w:t>
      </w:r>
    </w:p>
    <w:p>
      <w:pPr>
        <w:pageBreakBefore w:val="0"/>
        <w:widowControl/>
        <w:tabs>
          <w:tab w:val="left" w:pos="312"/>
        </w:tabs>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支付条件</w:t>
      </w:r>
      <w:r>
        <w:rPr>
          <w:rFonts w:hint="eastAsia" w:ascii="宋体" w:hAnsi="宋体" w:cs="宋体"/>
          <w:color w:val="auto"/>
          <w:sz w:val="24"/>
          <w:szCs w:val="24"/>
          <w:highlight w:val="none"/>
          <w:lang w:eastAsia="zh-CN"/>
        </w:rPr>
        <w:t>：</w:t>
      </w:r>
    </w:p>
    <w:p>
      <w:pPr>
        <w:tabs>
          <w:tab w:val="left" w:pos="0"/>
        </w:tabs>
        <w:adjustRightInd/>
        <w:snapToGrid w:val="0"/>
        <w:spacing w:line="360" w:lineRule="auto"/>
        <w:ind w:firstLine="480" w:firstLineChars="200"/>
        <w:jc w:val="left"/>
        <w:outlineLvl w:val="1"/>
        <w:rPr>
          <w:rFonts w:ascii="宋体" w:hAnsi="宋体" w:cs="宋体"/>
          <w:color w:val="auto"/>
          <w:kern w:val="0"/>
          <w:sz w:val="24"/>
          <w:highlight w:val="none"/>
        </w:rPr>
      </w:pPr>
      <w:r>
        <w:rPr>
          <w:rFonts w:hint="eastAsia" w:ascii="宋体" w:hAnsi="宋体" w:cs="宋体"/>
          <w:color w:val="auto"/>
          <w:kern w:val="0"/>
          <w:sz w:val="24"/>
          <w:highlight w:val="none"/>
        </w:rPr>
        <w:t>①</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在收到</w:t>
      </w:r>
      <w:r>
        <w:rPr>
          <w:rFonts w:hint="eastAsia" w:ascii="宋体" w:hAnsi="宋体" w:cs="宋体"/>
          <w:color w:val="auto"/>
          <w:kern w:val="0"/>
          <w:sz w:val="24"/>
          <w:highlight w:val="none"/>
          <w:lang w:eastAsia="zh-CN"/>
        </w:rPr>
        <w:t>中标人</w:t>
      </w:r>
      <w:r>
        <w:rPr>
          <w:rFonts w:hint="eastAsia" w:ascii="宋体" w:hAnsi="宋体" w:cs="宋体"/>
          <w:color w:val="auto"/>
          <w:kern w:val="0"/>
          <w:sz w:val="24"/>
          <w:highlight w:val="none"/>
        </w:rPr>
        <w:t>开具的符合法律法规规定发票后，以转账支付的方式，支付给</w:t>
      </w:r>
      <w:r>
        <w:rPr>
          <w:rFonts w:hint="eastAsia" w:ascii="宋体" w:hAnsi="宋体" w:cs="宋体"/>
          <w:color w:val="auto"/>
          <w:kern w:val="0"/>
          <w:sz w:val="24"/>
          <w:highlight w:val="none"/>
          <w:lang w:eastAsia="zh-CN"/>
        </w:rPr>
        <w:t>中标人</w:t>
      </w:r>
      <w:r>
        <w:rPr>
          <w:rFonts w:hint="eastAsia" w:ascii="宋体" w:hAnsi="宋体" w:cs="宋体"/>
          <w:color w:val="auto"/>
          <w:kern w:val="0"/>
          <w:sz w:val="24"/>
          <w:highlight w:val="none"/>
        </w:rPr>
        <w:t>服务费。</w:t>
      </w:r>
      <w:r>
        <w:rPr>
          <w:rFonts w:hint="eastAsia" w:ascii="宋体" w:hAnsi="宋体" w:cs="宋体"/>
          <w:color w:val="auto"/>
          <w:kern w:val="0"/>
          <w:sz w:val="24"/>
          <w:highlight w:val="none"/>
          <w:lang w:eastAsia="zh-CN"/>
        </w:rPr>
        <w:t>中标人</w:t>
      </w:r>
      <w:r>
        <w:rPr>
          <w:rFonts w:hint="eastAsia" w:ascii="宋体" w:hAnsi="宋体" w:cs="宋体"/>
          <w:color w:val="auto"/>
          <w:kern w:val="0"/>
          <w:sz w:val="24"/>
          <w:highlight w:val="none"/>
        </w:rPr>
        <w:t>逾期开具发票或开具的发票不符合</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要求的，</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有权延迟付款时间，且该行为不视为违约。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为落实政府采购政策需满足的要求</w:t>
      </w:r>
    </w:p>
    <w:tbl>
      <w:tblPr>
        <w:tblStyle w:val="62"/>
        <w:tblW w:w="9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5115"/>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bCs/>
                <w:color w:val="auto"/>
                <w:sz w:val="24"/>
                <w:highlight w:val="none"/>
              </w:rPr>
            </w:pPr>
            <w:bookmarkStart w:id="30" w:name="_Hlk45005599"/>
            <w:r>
              <w:rPr>
                <w:rFonts w:hint="eastAsia" w:ascii="宋体" w:hAnsi="宋体" w:cs="宋体"/>
                <w:b/>
                <w:bCs/>
                <w:color w:val="auto"/>
                <w:sz w:val="24"/>
                <w:highlight w:val="none"/>
              </w:rPr>
              <w:t>序号</w:t>
            </w:r>
          </w:p>
        </w:tc>
        <w:tc>
          <w:tcPr>
            <w:tcW w:w="511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政策名称</w:t>
            </w:r>
          </w:p>
        </w:tc>
        <w:tc>
          <w:tcPr>
            <w:tcW w:w="353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bCs/>
                <w:color w:val="auto"/>
                <w:sz w:val="24"/>
                <w:highlight w:val="none"/>
              </w:rPr>
            </w:pPr>
            <w:r>
              <w:rPr>
                <w:rFonts w:hint="eastAsia" w:ascii="宋体" w:hAnsi="宋体" w:cs="宋体"/>
                <w:color w:val="auto"/>
                <w:sz w:val="24"/>
                <w:highlight w:val="none"/>
              </w:rPr>
              <w:t>1</w:t>
            </w:r>
          </w:p>
        </w:tc>
        <w:tc>
          <w:tcPr>
            <w:tcW w:w="511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cs="宋体"/>
                <w:b/>
                <w:bCs/>
                <w:color w:val="auto"/>
                <w:sz w:val="24"/>
                <w:highlight w:val="none"/>
              </w:rPr>
            </w:pPr>
            <w:r>
              <w:rPr>
                <w:rFonts w:hint="eastAsia" w:ascii="宋体" w:hAnsi="宋体" w:cs="宋体"/>
                <w:color w:val="auto"/>
                <w:sz w:val="24"/>
                <w:highlight w:val="none"/>
              </w:rPr>
              <w:t>政府采购进口产品</w:t>
            </w:r>
          </w:p>
        </w:tc>
        <w:tc>
          <w:tcPr>
            <w:tcW w:w="3538"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bCs/>
                <w:color w:val="auto"/>
                <w:sz w:val="24"/>
                <w:highlight w:val="none"/>
              </w:rPr>
            </w:pPr>
            <w:r>
              <w:rPr>
                <w:rFonts w:hint="eastAsia" w:ascii="宋体" w:hAnsi="宋体" w:cs="宋体"/>
                <w:color w:val="auto"/>
                <w:sz w:val="24"/>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bCs/>
                <w:color w:val="auto"/>
                <w:sz w:val="24"/>
                <w:highlight w:val="none"/>
              </w:rPr>
            </w:pPr>
            <w:r>
              <w:rPr>
                <w:rFonts w:hint="eastAsia" w:ascii="宋体" w:hAnsi="宋体" w:cs="宋体"/>
                <w:color w:val="auto"/>
                <w:sz w:val="24"/>
                <w:highlight w:val="none"/>
              </w:rPr>
              <w:t>2</w:t>
            </w:r>
          </w:p>
        </w:tc>
        <w:tc>
          <w:tcPr>
            <w:tcW w:w="511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cs="宋体"/>
                <w:b/>
                <w:bCs/>
                <w:color w:val="auto"/>
                <w:sz w:val="24"/>
                <w:highlight w:val="none"/>
              </w:rPr>
            </w:pPr>
            <w:r>
              <w:rPr>
                <w:rFonts w:hint="eastAsia" w:ascii="宋体" w:hAnsi="宋体" w:cs="宋体"/>
                <w:color w:val="auto"/>
                <w:sz w:val="24"/>
                <w:highlight w:val="none"/>
              </w:rPr>
              <w:t>政府强制采购节能产品</w:t>
            </w:r>
          </w:p>
        </w:tc>
        <w:tc>
          <w:tcPr>
            <w:tcW w:w="3538"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bCs/>
                <w:color w:val="auto"/>
                <w:sz w:val="24"/>
                <w:highlight w:val="none"/>
              </w:rPr>
            </w:pPr>
            <w:r>
              <w:rPr>
                <w:rFonts w:hint="eastAsia" w:ascii="宋体" w:hAnsi="宋体" w:cs="宋体"/>
                <w:color w:val="auto"/>
                <w:sz w:val="24"/>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bCs/>
                <w:color w:val="auto"/>
                <w:sz w:val="24"/>
                <w:highlight w:val="none"/>
              </w:rPr>
            </w:pPr>
            <w:r>
              <w:rPr>
                <w:rFonts w:hint="eastAsia" w:ascii="宋体" w:hAnsi="宋体" w:cs="宋体"/>
                <w:color w:val="auto"/>
                <w:sz w:val="24"/>
                <w:highlight w:val="none"/>
              </w:rPr>
              <w:t>3</w:t>
            </w:r>
          </w:p>
        </w:tc>
        <w:tc>
          <w:tcPr>
            <w:tcW w:w="511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cs="宋体"/>
                <w:b/>
                <w:bCs/>
                <w:color w:val="auto"/>
                <w:sz w:val="24"/>
                <w:highlight w:val="none"/>
              </w:rPr>
            </w:pPr>
            <w:r>
              <w:rPr>
                <w:rFonts w:hint="eastAsia" w:ascii="宋体" w:hAnsi="宋体" w:cs="宋体"/>
                <w:color w:val="auto"/>
                <w:sz w:val="24"/>
                <w:highlight w:val="none"/>
              </w:rPr>
              <w:t>政府优先采购节能、环保产品</w:t>
            </w:r>
          </w:p>
        </w:tc>
        <w:tc>
          <w:tcPr>
            <w:tcW w:w="3538"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bCs/>
                <w:color w:val="auto"/>
                <w:sz w:val="24"/>
                <w:highlight w:val="none"/>
              </w:rPr>
            </w:pPr>
            <w:r>
              <w:rPr>
                <w:rFonts w:hint="eastAsia" w:ascii="宋体" w:hAnsi="宋体" w:cs="宋体"/>
                <w:color w:val="auto"/>
                <w:sz w:val="24"/>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511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cs="宋体"/>
                <w:color w:val="auto"/>
                <w:sz w:val="24"/>
                <w:highlight w:val="none"/>
              </w:rPr>
            </w:pPr>
            <w:r>
              <w:rPr>
                <w:rFonts w:hint="eastAsia" w:ascii="宋体" w:hAnsi="宋体" w:cs="宋体"/>
                <w:color w:val="auto"/>
                <w:sz w:val="24"/>
                <w:highlight w:val="none"/>
              </w:rPr>
              <w:t>政府采购支持科技创新</w:t>
            </w:r>
          </w:p>
        </w:tc>
        <w:tc>
          <w:tcPr>
            <w:tcW w:w="3538"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bCs/>
                <w:color w:val="auto"/>
                <w:sz w:val="24"/>
                <w:highlight w:val="none"/>
              </w:rPr>
            </w:pPr>
            <w:r>
              <w:rPr>
                <w:rFonts w:hint="eastAsia" w:ascii="宋体" w:hAnsi="宋体" w:cs="宋体"/>
                <w:color w:val="auto"/>
                <w:sz w:val="24"/>
                <w:highlight w:val="none"/>
              </w:rPr>
              <w:t>5</w:t>
            </w:r>
          </w:p>
        </w:tc>
        <w:tc>
          <w:tcPr>
            <w:tcW w:w="511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cs="宋体"/>
                <w:color w:val="auto"/>
                <w:sz w:val="24"/>
                <w:highlight w:val="none"/>
              </w:rPr>
            </w:pPr>
            <w:r>
              <w:rPr>
                <w:rFonts w:hint="eastAsia" w:ascii="宋体" w:hAnsi="宋体" w:cs="宋体"/>
                <w:color w:val="auto"/>
                <w:sz w:val="24"/>
                <w:highlight w:val="none"/>
              </w:rPr>
              <w:t>政府采购促进中小企业发展</w:t>
            </w:r>
          </w:p>
        </w:tc>
        <w:tc>
          <w:tcPr>
            <w:tcW w:w="353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专门面向中小企业</w:t>
            </w:r>
          </w:p>
        </w:tc>
      </w:tr>
      <w:bookmarkEnd w:id="27"/>
      <w:bookmarkEnd w:id="28"/>
      <w:bookmarkEnd w:id="29"/>
      <w:bookmarkEnd w:id="30"/>
    </w:tbl>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360" w:lineRule="auto"/>
        <w:rPr>
          <w:rFonts w:hint="eastAsia"/>
          <w:b/>
          <w:bCs/>
          <w:color w:val="auto"/>
          <w:sz w:val="24"/>
          <w:szCs w:val="32"/>
          <w:highlight w:val="none"/>
          <w:lang w:val="en-US" w:eastAsia="zh-CN"/>
        </w:rPr>
      </w:pPr>
      <w:r>
        <w:rPr>
          <w:rFonts w:hint="eastAsia"/>
          <w:b/>
          <w:bCs/>
          <w:color w:val="auto"/>
          <w:sz w:val="24"/>
          <w:szCs w:val="32"/>
          <w:highlight w:val="none"/>
          <w:lang w:eastAsia="zh-CN"/>
        </w:rPr>
        <w:t>附件</w:t>
      </w:r>
      <w:r>
        <w:rPr>
          <w:rFonts w:hint="eastAsia"/>
          <w:b/>
          <w:bCs/>
          <w:color w:val="auto"/>
          <w:sz w:val="24"/>
          <w:szCs w:val="32"/>
          <w:highlight w:val="none"/>
          <w:lang w:val="en-US" w:eastAsia="zh-CN"/>
        </w:rPr>
        <w:t>1：</w:t>
      </w:r>
    </w:p>
    <w:p>
      <w:pPr>
        <w:spacing w:line="360" w:lineRule="auto"/>
        <w:jc w:val="center"/>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b/>
          <w:bCs/>
          <w:i w:val="0"/>
          <w:iCs w:val="0"/>
          <w:color w:val="auto"/>
          <w:kern w:val="0"/>
          <w:sz w:val="28"/>
          <w:szCs w:val="28"/>
          <w:highlight w:val="none"/>
          <w:u w:val="none"/>
          <w:lang w:val="en-US" w:eastAsia="zh-CN" w:bidi="ar"/>
        </w:rPr>
        <w:t>瓜沥镇“残疾人之家”考核内容</w:t>
      </w:r>
    </w:p>
    <w:tbl>
      <w:tblPr>
        <w:tblStyle w:val="62"/>
        <w:tblW w:w="88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710"/>
        <w:gridCol w:w="6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组织制度建设</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1、建立健全残疾人之家相关管理制度，其中制度上墙不少于3个。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2、开设独立的财务账户，实行法定代表人签批负责制度，独立承担民事责任。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3、按要求配备特殊工作岗位工作人员，持证上岗。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4、加强内部管理，定期召开内部会议，半年不少于3次。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5、认真参加上级残联组织的会议（活动）和培训，完成上级布置的各项任务。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6、制定并实施“四疗四教育”工作制度和计划。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7、规范建立残疾人之家台账。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8、按时报送残疾人之家每月工作报表。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二</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康复服务质量</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9、开展每日考勤制度，确保残疾人到站率不低于在册总人数的80%。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10、对进入机构的残疾人严格审核，接纳有康复需求、符合条件的残疾人进入机构。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11、加强工疗员工日常服药管理，确保工疗员得到规范治疗。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12、根据工疗员生理、心理特点，开展生活技能、简单劳动、体育文化等方面培训，逐步提高他们的生活自理能力、简单劳动能力和社会交往能力。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13、为参加工疗的残疾人提供免费的工作日午餐，标准不得低于12元/餐。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14、不得打骂、虐待残疾人。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15、不得克扣工疗残疾人劳动应得的劳务费。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16、关心残疾人身体健康，定期组织体检。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17、加强与家长的联系沟通，定期召开家长座谈会。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机构综合管理</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18、积极宣传机构特色活动，营造氛围。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19、机构内卫生环境整齐清洁，厕所干净，楼道过道等通畅防滑。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20、关爱残疾人，建立志愿者爱心帮扶机制。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21、积极配合区、镇残联工作人员检查。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22、经费使用规范，各项经费严格根据政府规定执行，不挪作他用。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23、加大对机构工作人员的培训，机构工作人员无发生违规现象和事故。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24、主动向所属残联汇报工作，对区、镇残联有关部门要求整改的问题需按时整改。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25、法人变更、单位搬迁、重要领导活动等重大事项及时报告所属残联。</w:t>
            </w:r>
          </w:p>
        </w:tc>
      </w:tr>
    </w:tbl>
    <w:p>
      <w:pPr>
        <w:pStyle w:val="3"/>
        <w:rPr>
          <w:rFonts w:hint="eastAsia"/>
          <w:color w:val="auto"/>
          <w:highlight w:val="none"/>
          <w:lang w:val="en-US" w:eastAsia="zh-CN"/>
        </w:rPr>
      </w:pPr>
    </w:p>
    <w:p>
      <w:pPr>
        <w:pStyle w:val="6"/>
        <w:rPr>
          <w:rFonts w:hint="eastAsia"/>
          <w:color w:val="auto"/>
          <w:highlight w:val="none"/>
        </w:rPr>
      </w:pPr>
    </w:p>
    <w:p>
      <w:pPr>
        <w:spacing w:line="240" w:lineRule="auto"/>
        <w:jc w:val="left"/>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1" w:name="_Toc184313277"/>
      <w:bookmarkEnd w:id="31"/>
      <w:bookmarkStart w:id="32" w:name="_Toc184308069"/>
      <w:bookmarkEnd w:id="32"/>
      <w:bookmarkStart w:id="33" w:name="_Toc184312086"/>
      <w:bookmarkEnd w:id="33"/>
      <w:bookmarkStart w:id="34" w:name="_Toc184314463"/>
      <w:bookmarkEnd w:id="34"/>
      <w:bookmarkStart w:id="35" w:name="_Toc184308079"/>
      <w:bookmarkEnd w:id="35"/>
      <w:bookmarkStart w:id="36" w:name="_Toc184308053"/>
      <w:bookmarkEnd w:id="36"/>
      <w:bookmarkStart w:id="37" w:name="_Toc184313287"/>
      <w:bookmarkEnd w:id="37"/>
      <w:bookmarkStart w:id="38" w:name="_Toc184312132"/>
      <w:bookmarkEnd w:id="38"/>
      <w:bookmarkStart w:id="39" w:name="_Toc184312106"/>
      <w:bookmarkEnd w:id="39"/>
      <w:bookmarkStart w:id="40" w:name="_Toc184308081"/>
      <w:bookmarkEnd w:id="40"/>
      <w:bookmarkStart w:id="41" w:name="_Toc184314451"/>
      <w:bookmarkEnd w:id="41"/>
      <w:bookmarkStart w:id="42" w:name="_Toc184312137"/>
      <w:bookmarkEnd w:id="42"/>
      <w:bookmarkStart w:id="43" w:name="_Toc184308038"/>
      <w:bookmarkEnd w:id="43"/>
      <w:bookmarkStart w:id="44" w:name="_Toc184313293"/>
      <w:bookmarkEnd w:id="44"/>
      <w:bookmarkStart w:id="45" w:name="_Toc184312112"/>
      <w:bookmarkEnd w:id="45"/>
      <w:bookmarkStart w:id="46" w:name="_Toc184313310"/>
      <w:bookmarkEnd w:id="46"/>
      <w:bookmarkStart w:id="47" w:name="_Toc184314473"/>
      <w:bookmarkEnd w:id="47"/>
      <w:bookmarkStart w:id="48" w:name="_Toc184312133"/>
      <w:bookmarkEnd w:id="48"/>
      <w:bookmarkStart w:id="49" w:name="_Toc184312069"/>
      <w:bookmarkEnd w:id="49"/>
      <w:bookmarkStart w:id="50" w:name="_Toc184310336"/>
      <w:bookmarkEnd w:id="50"/>
      <w:bookmarkStart w:id="51" w:name="_Toc184312131"/>
      <w:bookmarkEnd w:id="51"/>
      <w:bookmarkStart w:id="52" w:name="_Toc184313276"/>
      <w:bookmarkEnd w:id="52"/>
      <w:bookmarkStart w:id="53" w:name="_Toc184314426"/>
      <w:bookmarkEnd w:id="53"/>
      <w:bookmarkStart w:id="54" w:name="_Toc184310308"/>
      <w:bookmarkEnd w:id="54"/>
      <w:bookmarkStart w:id="55" w:name="_Toc184308096"/>
      <w:bookmarkEnd w:id="55"/>
      <w:bookmarkStart w:id="56" w:name="_Toc184312114"/>
      <w:bookmarkEnd w:id="56"/>
      <w:bookmarkStart w:id="57" w:name="_Toc184310292"/>
      <w:bookmarkEnd w:id="57"/>
      <w:bookmarkStart w:id="58" w:name="_Toc184314415"/>
      <w:bookmarkEnd w:id="58"/>
      <w:bookmarkStart w:id="59" w:name="_Toc184312119"/>
      <w:bookmarkEnd w:id="59"/>
      <w:bookmarkStart w:id="60" w:name="_Toc184308086"/>
      <w:bookmarkEnd w:id="60"/>
      <w:bookmarkStart w:id="61" w:name="_Toc184314446"/>
      <w:bookmarkEnd w:id="61"/>
      <w:bookmarkStart w:id="62" w:name="_Toc184308071"/>
      <w:bookmarkEnd w:id="62"/>
      <w:bookmarkStart w:id="63" w:name="_Toc184312076"/>
      <w:bookmarkEnd w:id="63"/>
      <w:bookmarkStart w:id="64" w:name="_Toc184312125"/>
      <w:bookmarkEnd w:id="64"/>
      <w:bookmarkStart w:id="65" w:name="_Toc184314460"/>
      <w:bookmarkEnd w:id="65"/>
      <w:bookmarkStart w:id="66" w:name="_Toc184310309"/>
      <w:bookmarkEnd w:id="66"/>
      <w:bookmarkStart w:id="67" w:name="_Toc184312081"/>
      <w:bookmarkEnd w:id="67"/>
      <w:bookmarkStart w:id="68" w:name="_Toc184312098"/>
      <w:bookmarkEnd w:id="68"/>
      <w:bookmarkStart w:id="69" w:name="_Toc184310306"/>
      <w:bookmarkEnd w:id="69"/>
      <w:bookmarkStart w:id="70" w:name="_Toc184310340"/>
      <w:bookmarkEnd w:id="70"/>
      <w:bookmarkStart w:id="71" w:name="_Toc184314430"/>
      <w:bookmarkEnd w:id="71"/>
      <w:bookmarkStart w:id="72" w:name="_Toc184312096"/>
      <w:bookmarkEnd w:id="72"/>
      <w:bookmarkStart w:id="73" w:name="_Toc184314431"/>
      <w:bookmarkEnd w:id="73"/>
      <w:bookmarkStart w:id="74" w:name="_Toc184310329"/>
      <w:bookmarkEnd w:id="74"/>
      <w:bookmarkStart w:id="75" w:name="_Toc184308039"/>
      <w:bookmarkEnd w:id="75"/>
      <w:bookmarkStart w:id="76" w:name="_Toc184308063"/>
      <w:bookmarkEnd w:id="76"/>
      <w:bookmarkStart w:id="77" w:name="_Toc184314445"/>
      <w:bookmarkEnd w:id="77"/>
      <w:bookmarkStart w:id="78" w:name="_Toc184312088"/>
      <w:bookmarkEnd w:id="78"/>
      <w:bookmarkStart w:id="79" w:name="_Toc184314477"/>
      <w:bookmarkEnd w:id="79"/>
      <w:bookmarkStart w:id="80" w:name="_Toc184310343"/>
      <w:bookmarkEnd w:id="80"/>
      <w:bookmarkStart w:id="81" w:name="_Toc184314416"/>
      <w:bookmarkEnd w:id="81"/>
      <w:bookmarkStart w:id="82" w:name="_Toc184313245"/>
      <w:bookmarkEnd w:id="82"/>
      <w:bookmarkStart w:id="83" w:name="_Toc184310341"/>
      <w:bookmarkEnd w:id="83"/>
      <w:bookmarkStart w:id="84" w:name="_Toc184310302"/>
      <w:bookmarkEnd w:id="84"/>
      <w:bookmarkStart w:id="85" w:name="_Toc184314458"/>
      <w:bookmarkEnd w:id="85"/>
      <w:bookmarkStart w:id="86" w:name="_Toc184310273"/>
      <w:bookmarkEnd w:id="86"/>
      <w:bookmarkStart w:id="87" w:name="_Toc184314439"/>
      <w:bookmarkEnd w:id="87"/>
      <w:bookmarkStart w:id="88" w:name="_Toc184310275"/>
      <w:bookmarkEnd w:id="88"/>
      <w:bookmarkStart w:id="89" w:name="_Toc184310324"/>
      <w:bookmarkEnd w:id="89"/>
      <w:bookmarkStart w:id="90" w:name="_Toc184314418"/>
      <w:bookmarkEnd w:id="90"/>
      <w:bookmarkStart w:id="91" w:name="_Toc184312073"/>
      <w:bookmarkEnd w:id="91"/>
      <w:bookmarkStart w:id="92" w:name="_Toc184314442"/>
      <w:bookmarkEnd w:id="92"/>
      <w:bookmarkStart w:id="93" w:name="_Toc184313257"/>
      <w:bookmarkEnd w:id="93"/>
      <w:bookmarkStart w:id="94" w:name="_Toc184314462"/>
      <w:bookmarkEnd w:id="94"/>
      <w:bookmarkStart w:id="95" w:name="_Toc184308108"/>
      <w:bookmarkEnd w:id="95"/>
      <w:bookmarkStart w:id="96" w:name="_Toc184310290"/>
      <w:bookmarkEnd w:id="96"/>
      <w:bookmarkStart w:id="97" w:name="_Toc184313254"/>
      <w:bookmarkEnd w:id="97"/>
      <w:bookmarkStart w:id="98" w:name="_Toc184314429"/>
      <w:bookmarkEnd w:id="98"/>
      <w:bookmarkStart w:id="99" w:name="_Toc184313271"/>
      <w:bookmarkEnd w:id="99"/>
      <w:bookmarkStart w:id="100" w:name="_Toc184310319"/>
      <w:bookmarkEnd w:id="100"/>
      <w:bookmarkStart w:id="101" w:name="_Toc184310301"/>
      <w:bookmarkEnd w:id="101"/>
      <w:bookmarkStart w:id="102" w:name="_Toc184308050"/>
      <w:bookmarkEnd w:id="102"/>
      <w:bookmarkStart w:id="103" w:name="_Toc184313264"/>
      <w:bookmarkEnd w:id="103"/>
      <w:bookmarkStart w:id="104" w:name="_Toc184310314"/>
      <w:bookmarkEnd w:id="104"/>
      <w:bookmarkStart w:id="105" w:name="_Toc184312108"/>
      <w:bookmarkEnd w:id="105"/>
      <w:bookmarkStart w:id="106" w:name="_Toc184314422"/>
      <w:bookmarkEnd w:id="106"/>
      <w:bookmarkStart w:id="107" w:name="_Toc184308085"/>
      <w:bookmarkEnd w:id="107"/>
      <w:bookmarkStart w:id="108" w:name="_Toc184314427"/>
      <w:bookmarkEnd w:id="108"/>
      <w:bookmarkStart w:id="109" w:name="_Toc184310293"/>
      <w:bookmarkEnd w:id="109"/>
      <w:bookmarkStart w:id="110" w:name="_Toc184312138"/>
      <w:bookmarkEnd w:id="110"/>
      <w:bookmarkStart w:id="111" w:name="_Toc184314457"/>
      <w:bookmarkEnd w:id="111"/>
      <w:bookmarkStart w:id="112" w:name="_Toc184313238"/>
      <w:bookmarkEnd w:id="112"/>
      <w:bookmarkStart w:id="113" w:name="_Toc184310305"/>
      <w:bookmarkEnd w:id="113"/>
      <w:bookmarkStart w:id="114" w:name="_Toc184310327"/>
      <w:bookmarkEnd w:id="114"/>
      <w:bookmarkStart w:id="115" w:name="_Toc184312117"/>
      <w:bookmarkEnd w:id="115"/>
      <w:bookmarkStart w:id="116" w:name="_Toc184308036"/>
      <w:bookmarkEnd w:id="116"/>
      <w:bookmarkStart w:id="117" w:name="_Toc184310303"/>
      <w:bookmarkEnd w:id="117"/>
      <w:bookmarkStart w:id="118" w:name="_Toc184314444"/>
      <w:bookmarkEnd w:id="118"/>
      <w:bookmarkStart w:id="119" w:name="_Toc184308072"/>
      <w:bookmarkEnd w:id="119"/>
      <w:bookmarkStart w:id="120" w:name="_Toc184312124"/>
      <w:bookmarkEnd w:id="120"/>
      <w:bookmarkStart w:id="121" w:name="_Toc184310337"/>
      <w:bookmarkEnd w:id="121"/>
      <w:bookmarkStart w:id="122" w:name="_Toc184310344"/>
      <w:bookmarkEnd w:id="122"/>
      <w:bookmarkStart w:id="123" w:name="_Toc184313305"/>
      <w:bookmarkEnd w:id="123"/>
      <w:bookmarkStart w:id="124" w:name="_Toc184313266"/>
      <w:bookmarkEnd w:id="124"/>
      <w:bookmarkStart w:id="125" w:name="_Toc184312094"/>
      <w:bookmarkEnd w:id="125"/>
      <w:bookmarkStart w:id="126" w:name="_Toc184314468"/>
      <w:bookmarkEnd w:id="126"/>
      <w:bookmarkStart w:id="127" w:name="_Toc184312134"/>
      <w:bookmarkEnd w:id="127"/>
      <w:bookmarkStart w:id="128" w:name="_Toc184313259"/>
      <w:bookmarkEnd w:id="128"/>
      <w:bookmarkStart w:id="129" w:name="_Toc184313308"/>
      <w:bookmarkEnd w:id="129"/>
      <w:bookmarkStart w:id="130" w:name="_Toc184312128"/>
      <w:bookmarkEnd w:id="130"/>
      <w:bookmarkStart w:id="131" w:name="_Toc184312074"/>
      <w:bookmarkEnd w:id="131"/>
      <w:bookmarkStart w:id="132" w:name="_Toc184310338"/>
      <w:bookmarkEnd w:id="132"/>
      <w:bookmarkStart w:id="133" w:name="_Toc184312067"/>
      <w:bookmarkEnd w:id="133"/>
      <w:bookmarkStart w:id="134" w:name="_Toc184312100"/>
      <w:bookmarkEnd w:id="134"/>
      <w:bookmarkStart w:id="135" w:name="_Toc184312070"/>
      <w:bookmarkEnd w:id="135"/>
      <w:bookmarkStart w:id="136" w:name="_Toc184312126"/>
      <w:bookmarkEnd w:id="136"/>
      <w:bookmarkStart w:id="137" w:name="_Toc184312083"/>
      <w:bookmarkEnd w:id="137"/>
      <w:bookmarkStart w:id="138" w:name="_Toc184313299"/>
      <w:bookmarkEnd w:id="138"/>
      <w:bookmarkStart w:id="139" w:name="_Toc184312136"/>
      <w:bookmarkEnd w:id="139"/>
      <w:bookmarkStart w:id="140" w:name="_Toc184310320"/>
      <w:bookmarkEnd w:id="140"/>
      <w:bookmarkStart w:id="141" w:name="_Toc184314452"/>
      <w:bookmarkEnd w:id="141"/>
      <w:bookmarkStart w:id="142" w:name="_Toc184314467"/>
      <w:bookmarkEnd w:id="142"/>
      <w:bookmarkStart w:id="143" w:name="_Toc184312107"/>
      <w:bookmarkEnd w:id="143"/>
      <w:bookmarkStart w:id="144" w:name="_Toc184313248"/>
      <w:bookmarkEnd w:id="144"/>
      <w:bookmarkStart w:id="145" w:name="_Toc184314410"/>
      <w:bookmarkEnd w:id="145"/>
      <w:bookmarkStart w:id="146" w:name="_Toc184312116"/>
      <w:bookmarkEnd w:id="146"/>
      <w:bookmarkStart w:id="147" w:name="_Toc184312101"/>
      <w:bookmarkEnd w:id="147"/>
      <w:bookmarkStart w:id="148" w:name="_Toc184310289"/>
      <w:bookmarkEnd w:id="148"/>
      <w:bookmarkStart w:id="149" w:name="_Toc184313251"/>
      <w:bookmarkEnd w:id="149"/>
      <w:bookmarkStart w:id="150" w:name="_Toc184314461"/>
      <w:bookmarkEnd w:id="150"/>
      <w:bookmarkStart w:id="151" w:name="_Toc184313283"/>
      <w:bookmarkEnd w:id="151"/>
      <w:bookmarkStart w:id="152" w:name="_Toc184313252"/>
      <w:bookmarkEnd w:id="152"/>
      <w:bookmarkStart w:id="153" w:name="_Toc184310313"/>
      <w:bookmarkEnd w:id="153"/>
      <w:bookmarkStart w:id="154" w:name="_Toc184312120"/>
      <w:bookmarkEnd w:id="154"/>
      <w:bookmarkStart w:id="155" w:name="_Toc184313275"/>
      <w:bookmarkEnd w:id="155"/>
      <w:bookmarkStart w:id="156" w:name="_Toc184308067"/>
      <w:bookmarkEnd w:id="156"/>
      <w:bookmarkStart w:id="157" w:name="_Toc184313284"/>
      <w:bookmarkEnd w:id="157"/>
      <w:bookmarkStart w:id="158" w:name="_Toc184312082"/>
      <w:bookmarkEnd w:id="158"/>
      <w:bookmarkStart w:id="159" w:name="_Toc184310282"/>
      <w:bookmarkEnd w:id="159"/>
      <w:bookmarkStart w:id="160" w:name="_Toc184312111"/>
      <w:bookmarkEnd w:id="160"/>
      <w:bookmarkStart w:id="161" w:name="_Toc184310298"/>
      <w:bookmarkEnd w:id="161"/>
      <w:bookmarkStart w:id="162" w:name="_Toc184312109"/>
      <w:bookmarkEnd w:id="162"/>
      <w:bookmarkStart w:id="163" w:name="_Toc184308089"/>
      <w:bookmarkEnd w:id="163"/>
      <w:bookmarkStart w:id="164" w:name="_Toc184314428"/>
      <w:bookmarkEnd w:id="164"/>
      <w:bookmarkStart w:id="165" w:name="_Toc184312097"/>
      <w:bookmarkEnd w:id="165"/>
      <w:bookmarkStart w:id="166" w:name="_Toc184310315"/>
      <w:bookmarkEnd w:id="166"/>
      <w:bookmarkStart w:id="167" w:name="_Toc184313289"/>
      <w:bookmarkEnd w:id="167"/>
      <w:bookmarkStart w:id="168" w:name="_Toc184308097"/>
      <w:bookmarkEnd w:id="168"/>
      <w:bookmarkStart w:id="169" w:name="_Toc184313292"/>
      <w:bookmarkEnd w:id="169"/>
      <w:bookmarkStart w:id="170" w:name="_Toc184313270"/>
      <w:bookmarkEnd w:id="170"/>
      <w:bookmarkStart w:id="171" w:name="_Toc184313295"/>
      <w:bookmarkEnd w:id="171"/>
      <w:bookmarkStart w:id="172" w:name="_Toc184312068"/>
      <w:bookmarkEnd w:id="172"/>
      <w:bookmarkStart w:id="173" w:name="_Toc184308062"/>
      <w:bookmarkEnd w:id="173"/>
      <w:bookmarkStart w:id="174" w:name="_Toc184314423"/>
      <w:bookmarkEnd w:id="174"/>
      <w:bookmarkStart w:id="175" w:name="_Toc184310281"/>
      <w:bookmarkEnd w:id="175"/>
      <w:bookmarkStart w:id="176" w:name="_Toc184310284"/>
      <w:bookmarkEnd w:id="176"/>
      <w:bookmarkStart w:id="177" w:name="_Toc184313278"/>
      <w:bookmarkEnd w:id="177"/>
      <w:bookmarkStart w:id="178" w:name="_Toc184308099"/>
      <w:bookmarkEnd w:id="178"/>
      <w:bookmarkStart w:id="179" w:name="_Toc184310280"/>
      <w:bookmarkEnd w:id="179"/>
      <w:bookmarkStart w:id="180" w:name="_Toc184308105"/>
      <w:bookmarkEnd w:id="180"/>
      <w:bookmarkStart w:id="181" w:name="_Toc184313304"/>
      <w:bookmarkEnd w:id="181"/>
      <w:bookmarkStart w:id="182" w:name="_Toc184310288"/>
      <w:bookmarkEnd w:id="182"/>
      <w:bookmarkStart w:id="183" w:name="_Toc184312085"/>
      <w:bookmarkEnd w:id="183"/>
      <w:bookmarkStart w:id="184" w:name="_Toc184313263"/>
      <w:bookmarkEnd w:id="184"/>
      <w:bookmarkStart w:id="185" w:name="_Toc184310332"/>
      <w:bookmarkEnd w:id="185"/>
      <w:bookmarkStart w:id="186" w:name="_Toc184312091"/>
      <w:bookmarkEnd w:id="186"/>
      <w:bookmarkStart w:id="187" w:name="_Toc184308092"/>
      <w:bookmarkEnd w:id="187"/>
      <w:bookmarkStart w:id="188" w:name="_Toc184312121"/>
      <w:bookmarkEnd w:id="188"/>
      <w:bookmarkStart w:id="189" w:name="_Toc184314435"/>
      <w:bookmarkEnd w:id="189"/>
      <w:bookmarkStart w:id="190" w:name="_Toc184308037"/>
      <w:bookmarkEnd w:id="190"/>
      <w:bookmarkStart w:id="191" w:name="_Toc184313249"/>
      <w:bookmarkEnd w:id="191"/>
      <w:bookmarkStart w:id="192" w:name="_Toc184314424"/>
      <w:bookmarkEnd w:id="192"/>
      <w:bookmarkStart w:id="193" w:name="_Toc184314421"/>
      <w:bookmarkEnd w:id="193"/>
      <w:bookmarkStart w:id="194" w:name="_Toc184312072"/>
      <w:bookmarkEnd w:id="194"/>
      <w:bookmarkStart w:id="195" w:name="_Toc184313239"/>
      <w:bookmarkEnd w:id="195"/>
      <w:bookmarkStart w:id="196" w:name="_Toc184314436"/>
      <w:bookmarkEnd w:id="196"/>
      <w:bookmarkStart w:id="197" w:name="_Toc184312078"/>
      <w:bookmarkEnd w:id="197"/>
      <w:bookmarkStart w:id="198" w:name="_Toc184312084"/>
      <w:bookmarkEnd w:id="198"/>
      <w:bookmarkStart w:id="199" w:name="_Toc184314470"/>
      <w:bookmarkEnd w:id="199"/>
      <w:bookmarkStart w:id="200" w:name="_Toc184308066"/>
      <w:bookmarkEnd w:id="200"/>
      <w:bookmarkStart w:id="201" w:name="_Toc184310277"/>
      <w:bookmarkEnd w:id="201"/>
      <w:bookmarkStart w:id="202" w:name="_Toc184313286"/>
      <w:bookmarkEnd w:id="202"/>
      <w:bookmarkStart w:id="203" w:name="_Toc184308095"/>
      <w:bookmarkEnd w:id="203"/>
      <w:bookmarkStart w:id="204" w:name="_Toc184308048"/>
      <w:bookmarkEnd w:id="204"/>
      <w:bookmarkStart w:id="205" w:name="_Toc184312135"/>
      <w:bookmarkEnd w:id="205"/>
      <w:bookmarkStart w:id="206" w:name="_Toc184308040"/>
      <w:bookmarkEnd w:id="206"/>
      <w:bookmarkStart w:id="207" w:name="_Toc184308054"/>
      <w:bookmarkEnd w:id="207"/>
      <w:bookmarkStart w:id="208" w:name="_Toc184312122"/>
      <w:bookmarkEnd w:id="208"/>
      <w:bookmarkStart w:id="209" w:name="_Toc184308045"/>
      <w:bookmarkEnd w:id="209"/>
      <w:bookmarkStart w:id="210" w:name="_Toc184312093"/>
      <w:bookmarkEnd w:id="210"/>
      <w:bookmarkStart w:id="211" w:name="_Toc184314419"/>
      <w:bookmarkEnd w:id="211"/>
      <w:bookmarkStart w:id="212" w:name="_Toc184308107"/>
      <w:bookmarkEnd w:id="212"/>
      <w:bookmarkStart w:id="213" w:name="_Toc184314450"/>
      <w:bookmarkEnd w:id="213"/>
      <w:bookmarkStart w:id="214" w:name="_Toc184308061"/>
      <w:bookmarkEnd w:id="214"/>
      <w:bookmarkStart w:id="215" w:name="_Toc184314432"/>
      <w:bookmarkEnd w:id="215"/>
      <w:bookmarkStart w:id="216" w:name="_Toc184314448"/>
      <w:bookmarkEnd w:id="216"/>
      <w:bookmarkStart w:id="217" w:name="_Toc184310304"/>
      <w:bookmarkEnd w:id="217"/>
      <w:bookmarkStart w:id="218" w:name="_Toc184312104"/>
      <w:bookmarkEnd w:id="218"/>
      <w:bookmarkStart w:id="219" w:name="_Toc184308077"/>
      <w:bookmarkEnd w:id="219"/>
      <w:bookmarkStart w:id="220" w:name="_Toc184314472"/>
      <w:bookmarkEnd w:id="220"/>
      <w:bookmarkStart w:id="221" w:name="_Toc184310276"/>
      <w:bookmarkEnd w:id="221"/>
      <w:bookmarkStart w:id="222" w:name="_Toc184313243"/>
      <w:bookmarkEnd w:id="222"/>
      <w:bookmarkStart w:id="223" w:name="_Toc184314465"/>
      <w:bookmarkEnd w:id="223"/>
      <w:bookmarkStart w:id="224" w:name="_Toc184314469"/>
      <w:bookmarkEnd w:id="224"/>
      <w:bookmarkStart w:id="225" w:name="_Toc184308042"/>
      <w:bookmarkEnd w:id="225"/>
      <w:bookmarkStart w:id="226" w:name="_Toc184314455"/>
      <w:bookmarkEnd w:id="226"/>
      <w:bookmarkStart w:id="227" w:name="_Toc184314449"/>
      <w:bookmarkEnd w:id="227"/>
      <w:bookmarkStart w:id="228" w:name="_Toc184312090"/>
      <w:bookmarkEnd w:id="228"/>
      <w:bookmarkStart w:id="229" w:name="_Toc184313306"/>
      <w:bookmarkEnd w:id="229"/>
      <w:bookmarkStart w:id="230" w:name="_Toc184308055"/>
      <w:bookmarkEnd w:id="230"/>
      <w:bookmarkStart w:id="231" w:name="_Toc184313268"/>
      <w:bookmarkEnd w:id="231"/>
      <w:bookmarkStart w:id="232" w:name="_Toc184308070"/>
      <w:bookmarkEnd w:id="232"/>
      <w:bookmarkStart w:id="233" w:name="_Toc184308046"/>
      <w:bookmarkEnd w:id="233"/>
      <w:bookmarkStart w:id="234" w:name="_Toc184312102"/>
      <w:bookmarkEnd w:id="234"/>
      <w:bookmarkStart w:id="235" w:name="_Toc184308060"/>
      <w:bookmarkEnd w:id="235"/>
      <w:bookmarkStart w:id="236" w:name="_Toc184310299"/>
      <w:bookmarkEnd w:id="236"/>
      <w:bookmarkStart w:id="237" w:name="_Toc184308094"/>
      <w:bookmarkEnd w:id="237"/>
      <w:bookmarkStart w:id="238" w:name="_Toc184313303"/>
      <w:bookmarkEnd w:id="238"/>
      <w:bookmarkStart w:id="239" w:name="_Toc184313279"/>
      <w:bookmarkEnd w:id="239"/>
      <w:bookmarkStart w:id="240" w:name="_Toc184310318"/>
      <w:bookmarkEnd w:id="240"/>
      <w:bookmarkStart w:id="241" w:name="_Toc184312130"/>
      <w:bookmarkEnd w:id="241"/>
      <w:bookmarkStart w:id="242" w:name="_Toc184308059"/>
      <w:bookmarkEnd w:id="242"/>
      <w:bookmarkStart w:id="243" w:name="_Toc184308056"/>
      <w:bookmarkEnd w:id="243"/>
      <w:bookmarkStart w:id="244" w:name="_Toc184308074"/>
      <w:bookmarkEnd w:id="244"/>
      <w:bookmarkStart w:id="245" w:name="_Toc184314411"/>
      <w:bookmarkEnd w:id="245"/>
      <w:bookmarkStart w:id="246" w:name="_Toc184312080"/>
      <w:bookmarkEnd w:id="246"/>
      <w:bookmarkStart w:id="247" w:name="_Toc184314459"/>
      <w:bookmarkEnd w:id="247"/>
      <w:bookmarkStart w:id="248" w:name="_Toc184313307"/>
      <w:bookmarkEnd w:id="248"/>
      <w:bookmarkStart w:id="249" w:name="_Toc184310312"/>
      <w:bookmarkEnd w:id="249"/>
      <w:bookmarkStart w:id="250" w:name="_Toc184310325"/>
      <w:bookmarkEnd w:id="250"/>
      <w:bookmarkStart w:id="251" w:name="_Toc184314479"/>
      <w:bookmarkEnd w:id="251"/>
      <w:bookmarkStart w:id="252" w:name="_Toc184313273"/>
      <w:bookmarkEnd w:id="252"/>
      <w:bookmarkStart w:id="253" w:name="_Toc184313258"/>
      <w:bookmarkEnd w:id="253"/>
      <w:bookmarkStart w:id="254" w:name="_Toc184313302"/>
      <w:bookmarkEnd w:id="254"/>
      <w:bookmarkStart w:id="255" w:name="_Toc184312071"/>
      <w:bookmarkEnd w:id="255"/>
      <w:bookmarkStart w:id="256" w:name="_Toc184310331"/>
      <w:bookmarkEnd w:id="256"/>
      <w:bookmarkStart w:id="257" w:name="_Toc184308080"/>
      <w:bookmarkEnd w:id="257"/>
      <w:bookmarkStart w:id="258" w:name="_Toc184310310"/>
      <w:bookmarkEnd w:id="258"/>
      <w:bookmarkStart w:id="259" w:name="_Toc184312113"/>
      <w:bookmarkEnd w:id="259"/>
      <w:bookmarkStart w:id="260" w:name="_Toc184310297"/>
      <w:bookmarkEnd w:id="260"/>
      <w:bookmarkStart w:id="261" w:name="_Toc184312103"/>
      <w:bookmarkEnd w:id="261"/>
      <w:bookmarkStart w:id="262" w:name="_Toc184308049"/>
      <w:bookmarkEnd w:id="262"/>
      <w:bookmarkStart w:id="263" w:name="_Toc184310323"/>
      <w:bookmarkEnd w:id="263"/>
      <w:bookmarkStart w:id="264" w:name="_Toc184314464"/>
      <w:bookmarkEnd w:id="264"/>
      <w:bookmarkStart w:id="265" w:name="_Toc184314453"/>
      <w:bookmarkEnd w:id="265"/>
      <w:bookmarkStart w:id="266" w:name="_Toc184310300"/>
      <w:bookmarkEnd w:id="266"/>
      <w:bookmarkStart w:id="267" w:name="_Toc184313280"/>
      <w:bookmarkEnd w:id="267"/>
      <w:bookmarkStart w:id="268" w:name="_Toc184312123"/>
      <w:bookmarkEnd w:id="268"/>
      <w:bookmarkStart w:id="269" w:name="_Toc184308082"/>
      <w:bookmarkEnd w:id="269"/>
      <w:bookmarkStart w:id="270" w:name="_Toc184314414"/>
      <w:bookmarkEnd w:id="270"/>
      <w:bookmarkStart w:id="271" w:name="_Toc184310283"/>
      <w:bookmarkEnd w:id="271"/>
      <w:bookmarkStart w:id="272" w:name="_Toc184312110"/>
      <w:bookmarkEnd w:id="272"/>
      <w:bookmarkStart w:id="273" w:name="_Toc184313301"/>
      <w:bookmarkEnd w:id="273"/>
      <w:bookmarkStart w:id="274" w:name="_Toc184308078"/>
      <w:bookmarkEnd w:id="274"/>
      <w:bookmarkStart w:id="275" w:name="_Toc184310335"/>
      <w:bookmarkEnd w:id="275"/>
      <w:bookmarkStart w:id="276" w:name="_Toc184313241"/>
      <w:bookmarkEnd w:id="276"/>
      <w:bookmarkStart w:id="277" w:name="_Toc184314476"/>
      <w:bookmarkEnd w:id="277"/>
      <w:bookmarkStart w:id="278" w:name="_Toc184314447"/>
      <w:bookmarkEnd w:id="278"/>
      <w:bookmarkStart w:id="279" w:name="_Toc184314413"/>
      <w:bookmarkEnd w:id="279"/>
      <w:bookmarkStart w:id="280" w:name="_Toc184313244"/>
      <w:bookmarkEnd w:id="280"/>
      <w:bookmarkStart w:id="281" w:name="_Toc184313300"/>
      <w:bookmarkEnd w:id="281"/>
      <w:bookmarkStart w:id="282" w:name="_Toc184312079"/>
      <w:bookmarkEnd w:id="282"/>
      <w:bookmarkStart w:id="283" w:name="_Toc184312139"/>
      <w:bookmarkEnd w:id="283"/>
      <w:bookmarkStart w:id="284" w:name="_Toc184312095"/>
      <w:bookmarkEnd w:id="284"/>
      <w:bookmarkStart w:id="285" w:name="_Toc184313288"/>
      <w:bookmarkEnd w:id="285"/>
      <w:bookmarkStart w:id="286" w:name="_Toc184313274"/>
      <w:bookmarkEnd w:id="286"/>
      <w:bookmarkStart w:id="287" w:name="_Toc184308098"/>
      <w:bookmarkEnd w:id="287"/>
      <w:bookmarkStart w:id="288" w:name="_Toc184314412"/>
      <w:bookmarkEnd w:id="288"/>
      <w:bookmarkStart w:id="289" w:name="_Toc184308073"/>
      <w:bookmarkEnd w:id="289"/>
      <w:bookmarkStart w:id="290" w:name="_Toc184308058"/>
      <w:bookmarkEnd w:id="290"/>
      <w:bookmarkStart w:id="291" w:name="_Toc184313290"/>
      <w:bookmarkEnd w:id="291"/>
      <w:bookmarkStart w:id="292" w:name="_Toc184308076"/>
      <w:bookmarkEnd w:id="292"/>
      <w:bookmarkStart w:id="293" w:name="_Toc184310321"/>
      <w:bookmarkEnd w:id="293"/>
      <w:bookmarkStart w:id="294" w:name="_Toc184313281"/>
      <w:bookmarkEnd w:id="294"/>
      <w:bookmarkStart w:id="295" w:name="_Toc184313291"/>
      <w:bookmarkEnd w:id="295"/>
      <w:bookmarkStart w:id="296" w:name="_Toc184308052"/>
      <w:bookmarkEnd w:id="296"/>
      <w:bookmarkStart w:id="297" w:name="_Toc184314420"/>
      <w:bookmarkEnd w:id="297"/>
      <w:bookmarkStart w:id="298" w:name="_Toc184313294"/>
      <w:bookmarkEnd w:id="298"/>
      <w:bookmarkStart w:id="299" w:name="_Toc184312129"/>
      <w:bookmarkEnd w:id="299"/>
      <w:bookmarkStart w:id="300" w:name="_Toc184312099"/>
      <w:bookmarkEnd w:id="300"/>
      <w:bookmarkStart w:id="301" w:name="_Toc184313265"/>
      <w:bookmarkEnd w:id="301"/>
      <w:bookmarkStart w:id="302" w:name="_Toc184310295"/>
      <w:bookmarkEnd w:id="302"/>
      <w:bookmarkStart w:id="303" w:name="_Toc184310342"/>
      <w:bookmarkEnd w:id="303"/>
      <w:bookmarkStart w:id="304" w:name="_Toc184312118"/>
      <w:bookmarkEnd w:id="304"/>
      <w:bookmarkStart w:id="305" w:name="_Toc184310285"/>
      <w:bookmarkEnd w:id="305"/>
      <w:bookmarkStart w:id="306" w:name="_Toc184310307"/>
      <w:bookmarkEnd w:id="306"/>
      <w:bookmarkStart w:id="307" w:name="_Toc184313253"/>
      <w:bookmarkEnd w:id="307"/>
      <w:bookmarkStart w:id="308" w:name="_Toc184310274"/>
      <w:bookmarkEnd w:id="308"/>
      <w:bookmarkStart w:id="309" w:name="_Toc184308106"/>
      <w:bookmarkEnd w:id="309"/>
      <w:bookmarkStart w:id="310" w:name="_Toc184313250"/>
      <w:bookmarkEnd w:id="310"/>
      <w:bookmarkStart w:id="311" w:name="_Toc184314441"/>
      <w:bookmarkEnd w:id="311"/>
      <w:bookmarkStart w:id="312" w:name="_Toc184314443"/>
      <w:bookmarkEnd w:id="312"/>
      <w:bookmarkStart w:id="313" w:name="_Toc184308091"/>
      <w:bookmarkEnd w:id="313"/>
      <w:bookmarkStart w:id="314" w:name="_Toc184314474"/>
      <w:bookmarkEnd w:id="314"/>
      <w:bookmarkStart w:id="315" w:name="_Toc184314438"/>
      <w:bookmarkEnd w:id="315"/>
      <w:bookmarkStart w:id="316" w:name="_Toc184308102"/>
      <w:bookmarkEnd w:id="316"/>
      <w:bookmarkStart w:id="317" w:name="_Toc184313247"/>
      <w:bookmarkEnd w:id="317"/>
      <w:bookmarkStart w:id="318" w:name="_Toc184313242"/>
      <w:bookmarkEnd w:id="318"/>
      <w:bookmarkStart w:id="319" w:name="_Toc184312077"/>
      <w:bookmarkEnd w:id="319"/>
      <w:bookmarkStart w:id="320" w:name="_Toc184308088"/>
      <w:bookmarkEnd w:id="320"/>
      <w:bookmarkStart w:id="321" w:name="_Toc184313256"/>
      <w:bookmarkEnd w:id="321"/>
      <w:bookmarkStart w:id="322" w:name="_Toc184310317"/>
      <w:bookmarkEnd w:id="322"/>
      <w:bookmarkStart w:id="323" w:name="_Toc184308100"/>
      <w:bookmarkEnd w:id="323"/>
      <w:bookmarkStart w:id="324" w:name="_Toc184312115"/>
      <w:bookmarkEnd w:id="324"/>
      <w:bookmarkStart w:id="325" w:name="_Toc184314478"/>
      <w:bookmarkEnd w:id="325"/>
      <w:bookmarkStart w:id="326" w:name="_Toc184308057"/>
      <w:bookmarkEnd w:id="326"/>
      <w:bookmarkStart w:id="327" w:name="_Toc184310316"/>
      <w:bookmarkEnd w:id="327"/>
      <w:bookmarkStart w:id="328" w:name="_Toc184313272"/>
      <w:bookmarkEnd w:id="328"/>
      <w:bookmarkStart w:id="329" w:name="_Toc184313269"/>
      <w:bookmarkEnd w:id="329"/>
      <w:bookmarkStart w:id="330" w:name="_Toc184310330"/>
      <w:bookmarkEnd w:id="330"/>
      <w:bookmarkStart w:id="331" w:name="_Toc184308101"/>
      <w:bookmarkEnd w:id="331"/>
      <w:bookmarkStart w:id="332" w:name="_Toc184310322"/>
      <w:bookmarkEnd w:id="332"/>
      <w:bookmarkStart w:id="333" w:name="_Toc184314480"/>
      <w:bookmarkEnd w:id="333"/>
      <w:bookmarkStart w:id="334" w:name="_Toc184310296"/>
      <w:bookmarkEnd w:id="334"/>
      <w:bookmarkStart w:id="335" w:name="_Toc184313240"/>
      <w:bookmarkEnd w:id="335"/>
      <w:bookmarkStart w:id="336" w:name="_Toc184313246"/>
      <w:bookmarkEnd w:id="336"/>
      <w:bookmarkStart w:id="337" w:name="_Toc184308047"/>
      <w:bookmarkEnd w:id="337"/>
      <w:bookmarkStart w:id="338" w:name="_Toc184310286"/>
      <w:bookmarkEnd w:id="338"/>
      <w:bookmarkStart w:id="339" w:name="_Toc184314456"/>
      <w:bookmarkEnd w:id="339"/>
      <w:bookmarkStart w:id="340" w:name="_Toc184313261"/>
      <w:bookmarkEnd w:id="340"/>
      <w:bookmarkStart w:id="341" w:name="_Toc184314482"/>
      <w:bookmarkEnd w:id="341"/>
      <w:bookmarkStart w:id="342" w:name="_Toc184308044"/>
      <w:bookmarkEnd w:id="342"/>
      <w:bookmarkStart w:id="343" w:name="_Toc184310287"/>
      <w:bookmarkEnd w:id="343"/>
      <w:bookmarkStart w:id="344" w:name="_Toc184314425"/>
      <w:bookmarkEnd w:id="344"/>
      <w:bookmarkStart w:id="345" w:name="_Toc184308041"/>
      <w:bookmarkEnd w:id="345"/>
      <w:bookmarkStart w:id="346" w:name="_Toc184308103"/>
      <w:bookmarkEnd w:id="346"/>
      <w:bookmarkStart w:id="347" w:name="_Toc184312105"/>
      <w:bookmarkEnd w:id="347"/>
      <w:bookmarkStart w:id="348" w:name="_Toc184313309"/>
      <w:bookmarkEnd w:id="348"/>
      <w:bookmarkStart w:id="349" w:name="_Toc184312087"/>
      <w:bookmarkEnd w:id="349"/>
      <w:bookmarkStart w:id="350" w:name="_Toc184312075"/>
      <w:bookmarkEnd w:id="350"/>
      <w:bookmarkStart w:id="351" w:name="_Toc184312092"/>
      <w:bookmarkEnd w:id="351"/>
      <w:bookmarkStart w:id="352" w:name="_Toc184308075"/>
      <w:bookmarkEnd w:id="352"/>
      <w:bookmarkStart w:id="353" w:name="_Toc184310294"/>
      <w:bookmarkEnd w:id="353"/>
      <w:bookmarkStart w:id="354" w:name="_Toc184310291"/>
      <w:bookmarkEnd w:id="354"/>
      <w:bookmarkStart w:id="355" w:name="_Toc184310279"/>
      <w:bookmarkEnd w:id="355"/>
      <w:bookmarkStart w:id="356" w:name="_Toc184308090"/>
      <w:bookmarkEnd w:id="356"/>
      <w:bookmarkStart w:id="357" w:name="_Toc184308104"/>
      <w:bookmarkEnd w:id="357"/>
      <w:bookmarkStart w:id="358" w:name="_Toc184313260"/>
      <w:bookmarkEnd w:id="358"/>
      <w:bookmarkStart w:id="359" w:name="_Toc184313298"/>
      <w:bookmarkEnd w:id="359"/>
      <w:bookmarkStart w:id="360" w:name="_Toc184308065"/>
      <w:bookmarkEnd w:id="360"/>
      <w:bookmarkStart w:id="361" w:name="_Toc184310326"/>
      <w:bookmarkEnd w:id="361"/>
      <w:bookmarkStart w:id="362" w:name="_Toc184308084"/>
      <w:bookmarkEnd w:id="362"/>
      <w:bookmarkStart w:id="363" w:name="_Toc184314433"/>
      <w:bookmarkEnd w:id="363"/>
      <w:bookmarkStart w:id="364" w:name="_Toc184312127"/>
      <w:bookmarkEnd w:id="364"/>
      <w:bookmarkStart w:id="365" w:name="_Toc184308083"/>
      <w:bookmarkEnd w:id="365"/>
      <w:bookmarkStart w:id="366" w:name="_Toc184310333"/>
      <w:bookmarkEnd w:id="366"/>
      <w:bookmarkStart w:id="367" w:name="_Toc184308051"/>
      <w:bookmarkEnd w:id="367"/>
      <w:bookmarkStart w:id="368" w:name="_Toc184314440"/>
      <w:bookmarkEnd w:id="368"/>
      <w:bookmarkStart w:id="369" w:name="_Toc184314437"/>
      <w:bookmarkEnd w:id="369"/>
      <w:bookmarkStart w:id="370" w:name="_Toc184308087"/>
      <w:bookmarkEnd w:id="370"/>
      <w:bookmarkStart w:id="371" w:name="_Toc184313282"/>
      <w:bookmarkEnd w:id="371"/>
      <w:bookmarkStart w:id="372" w:name="_Toc184313285"/>
      <w:bookmarkEnd w:id="372"/>
      <w:bookmarkStart w:id="373" w:name="_Toc184310278"/>
      <w:bookmarkEnd w:id="373"/>
      <w:bookmarkStart w:id="374" w:name="_Toc184312089"/>
      <w:bookmarkEnd w:id="374"/>
      <w:bookmarkStart w:id="375" w:name="_Toc184310272"/>
      <w:bookmarkEnd w:id="375"/>
      <w:bookmarkStart w:id="376" w:name="_Toc184308093"/>
      <w:bookmarkEnd w:id="376"/>
      <w:bookmarkStart w:id="377" w:name="_Toc184314417"/>
      <w:bookmarkEnd w:id="377"/>
      <w:bookmarkStart w:id="378" w:name="_Toc184310328"/>
      <w:bookmarkEnd w:id="378"/>
      <w:bookmarkStart w:id="379" w:name="_Toc184313296"/>
      <w:bookmarkEnd w:id="379"/>
      <w:bookmarkStart w:id="380" w:name="_Toc184310339"/>
      <w:bookmarkEnd w:id="380"/>
      <w:bookmarkStart w:id="381" w:name="_Toc184314475"/>
      <w:bookmarkEnd w:id="381"/>
      <w:bookmarkStart w:id="382" w:name="_Toc184313267"/>
      <w:bookmarkEnd w:id="382"/>
      <w:bookmarkStart w:id="383" w:name="_Toc184308068"/>
      <w:bookmarkEnd w:id="383"/>
      <w:bookmarkStart w:id="384" w:name="_Toc184314434"/>
      <w:bookmarkEnd w:id="384"/>
      <w:bookmarkStart w:id="385" w:name="_Toc184314471"/>
      <w:bookmarkEnd w:id="385"/>
      <w:bookmarkStart w:id="386" w:name="_Toc184308064"/>
      <w:bookmarkEnd w:id="386"/>
      <w:bookmarkStart w:id="387" w:name="_Toc184310311"/>
      <w:bookmarkEnd w:id="387"/>
      <w:bookmarkStart w:id="388" w:name="_Toc184313255"/>
      <w:bookmarkEnd w:id="388"/>
      <w:bookmarkStart w:id="389" w:name="_Toc184314481"/>
      <w:bookmarkEnd w:id="389"/>
      <w:bookmarkStart w:id="390" w:name="_Toc184314454"/>
      <w:bookmarkEnd w:id="390"/>
      <w:bookmarkStart w:id="391" w:name="_Toc184313262"/>
      <w:bookmarkEnd w:id="391"/>
      <w:bookmarkStart w:id="392" w:name="_Toc184314466"/>
      <w:bookmarkEnd w:id="392"/>
      <w:bookmarkStart w:id="393" w:name="_Toc184310334"/>
      <w:bookmarkEnd w:id="393"/>
      <w:bookmarkStart w:id="394" w:name="_Toc184313297"/>
      <w:bookmarkEnd w:id="394"/>
      <w:bookmarkStart w:id="395" w:name="_Toc184308043"/>
      <w:bookmarkEnd w:id="395"/>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945" w:tblpY="608"/>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6967"/>
        <w:gridCol w:w="716"/>
        <w:gridCol w:w="950"/>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6967"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评标标准</w:t>
            </w:r>
          </w:p>
        </w:tc>
        <w:tc>
          <w:tcPr>
            <w:tcW w:w="716"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权重</w:t>
            </w:r>
          </w:p>
        </w:tc>
        <w:tc>
          <w:tcPr>
            <w:tcW w:w="950" w:type="dxa"/>
            <w:vAlign w:val="center"/>
          </w:tcPr>
          <w:p>
            <w:pPr>
              <w:snapToGrid w:val="0"/>
              <w:jc w:val="center"/>
              <w:rPr>
                <w:rFonts w:ascii="宋体" w:hAnsi="宋体" w:cs="仿宋_GB2312"/>
                <w:bCs/>
                <w:color w:val="auto"/>
                <w:sz w:val="24"/>
                <w:highlight w:val="none"/>
              </w:rPr>
            </w:pPr>
            <w:r>
              <w:rPr>
                <w:rFonts w:hint="eastAsia" w:ascii="宋体" w:hAnsi="宋体" w:cs="仿宋_GB2312"/>
                <w:bCs/>
                <w:color w:val="auto"/>
                <w:szCs w:val="21"/>
                <w:highlight w:val="none"/>
              </w:rPr>
              <w:t>主观分/客观分属性</w:t>
            </w:r>
          </w:p>
        </w:tc>
        <w:tc>
          <w:tcPr>
            <w:tcW w:w="836" w:type="dxa"/>
          </w:tcPr>
          <w:p>
            <w:pPr>
              <w:snapToGrid w:val="0"/>
              <w:jc w:val="center"/>
              <w:rPr>
                <w:rFonts w:ascii="宋体" w:hAnsi="宋体" w:cs="仿宋_GB2312"/>
                <w:color w:val="auto"/>
                <w:sz w:val="24"/>
                <w:highlight w:val="none"/>
              </w:rPr>
            </w:pPr>
            <w:r>
              <w:rPr>
                <w:rFonts w:hint="eastAsia" w:ascii="宋体" w:hAnsi="宋体" w:cs="仿宋_GB2312"/>
                <w:bCs/>
                <w:color w:val="auto"/>
                <w:sz w:val="18"/>
                <w:szCs w:val="18"/>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755" w:type="dxa"/>
            <w:vAlign w:val="center"/>
          </w:tcPr>
          <w:p>
            <w:pPr>
              <w:snapToGri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6967" w:type="dxa"/>
            <w:vAlign w:val="center"/>
          </w:tcPr>
          <w:p>
            <w:pPr>
              <w:adjustRightInd/>
              <w:spacing w:line="312" w:lineRule="auto"/>
              <w:jc w:val="left"/>
              <w:rPr>
                <w:rFonts w:ascii="宋体" w:hAnsi="宋体" w:cs="宋体"/>
                <w:b/>
                <w:bCs/>
                <w:color w:val="auto"/>
                <w:sz w:val="24"/>
                <w:highlight w:val="none"/>
              </w:rPr>
            </w:pPr>
            <w:r>
              <w:rPr>
                <w:rFonts w:hint="eastAsia" w:ascii="宋体" w:hAnsi="宋体" w:cs="宋体"/>
                <w:b/>
                <w:bCs/>
                <w:color w:val="auto"/>
                <w:sz w:val="24"/>
                <w:highlight w:val="none"/>
              </w:rPr>
              <w:t>【类似项目经验】</w:t>
            </w:r>
          </w:p>
          <w:p>
            <w:pPr>
              <w:adjustRightInd/>
              <w:spacing w:line="312" w:lineRule="auto"/>
              <w:jc w:val="left"/>
              <w:rPr>
                <w:rFonts w:hint="eastAsia" w:ascii="宋体" w:hAnsi="宋体" w:cs="宋体"/>
                <w:color w:val="auto"/>
                <w:sz w:val="24"/>
                <w:highlight w:val="none"/>
              </w:rPr>
            </w:pPr>
            <w:r>
              <w:rPr>
                <w:rFonts w:hint="eastAsia" w:ascii="宋体" w:hAnsi="宋体" w:cs="宋体"/>
                <w:color w:val="auto"/>
                <w:sz w:val="24"/>
                <w:highlight w:val="none"/>
              </w:rPr>
              <w:t>供应商自202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月1日（按合同签订时间为准）以来具有类似</w:t>
            </w:r>
            <w:r>
              <w:rPr>
                <w:rFonts w:hint="eastAsia" w:ascii="宋体" w:hAnsi="宋体" w:cs="宋体"/>
                <w:color w:val="auto"/>
                <w:sz w:val="24"/>
                <w:highlight w:val="none"/>
                <w:lang w:eastAsia="zh-CN"/>
              </w:rPr>
              <w:t>本</w:t>
            </w:r>
            <w:r>
              <w:rPr>
                <w:rFonts w:hint="eastAsia" w:ascii="宋体" w:hAnsi="宋体" w:cs="宋体"/>
                <w:color w:val="auto"/>
                <w:sz w:val="24"/>
                <w:highlight w:val="none"/>
              </w:rPr>
              <w:t>项目实施经验的，每一个得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p>
            <w:pPr>
              <w:adjustRightInd/>
              <w:spacing w:line="312" w:lineRule="auto"/>
              <w:jc w:val="left"/>
              <w:rPr>
                <w:rFonts w:eastAsia="仿宋_GB2312"/>
                <w:color w:val="auto"/>
                <w:highlight w:val="none"/>
              </w:rPr>
            </w:pPr>
            <w:r>
              <w:rPr>
                <w:rFonts w:hint="eastAsia" w:ascii="宋体" w:hAnsi="宋体" w:cs="宋体"/>
                <w:color w:val="auto"/>
                <w:sz w:val="24"/>
                <w:highlight w:val="none"/>
              </w:rPr>
              <w:t>证明材料：提供合同</w:t>
            </w:r>
            <w:r>
              <w:rPr>
                <w:rFonts w:hint="eastAsia" w:ascii="宋体" w:hAnsi="宋体" w:eastAsia="宋体" w:cs="宋体"/>
                <w:snapToGrid/>
                <w:color w:val="auto"/>
                <w:kern w:val="2"/>
                <w:sz w:val="24"/>
                <w:szCs w:val="24"/>
                <w:highlight w:val="none"/>
                <w:lang w:val="en-US" w:eastAsia="zh-CN" w:bidi="ar-SA"/>
              </w:rPr>
              <w:t>复印件或者扫描件加盖公章</w:t>
            </w:r>
            <w:r>
              <w:rPr>
                <w:rFonts w:hint="eastAsia" w:ascii="宋体" w:hAnsi="宋体" w:cs="宋体"/>
                <w:color w:val="auto"/>
                <w:sz w:val="24"/>
                <w:highlight w:val="none"/>
              </w:rPr>
              <w:t>。</w:t>
            </w:r>
          </w:p>
        </w:tc>
        <w:tc>
          <w:tcPr>
            <w:tcW w:w="716" w:type="dxa"/>
            <w:vAlign w:val="center"/>
          </w:tcPr>
          <w:p>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1</w:t>
            </w:r>
          </w:p>
        </w:tc>
        <w:tc>
          <w:tcPr>
            <w:tcW w:w="950" w:type="dxa"/>
            <w:vAlign w:val="center"/>
          </w:tcPr>
          <w:p>
            <w:pPr>
              <w:snapToGrid w:val="0"/>
              <w:spacing w:line="360" w:lineRule="auto"/>
              <w:jc w:val="center"/>
              <w:rPr>
                <w:rFonts w:ascii="宋体" w:hAnsi="宋体" w:cs="仿宋_GB2312"/>
                <w:bCs/>
                <w:color w:val="auto"/>
                <w:sz w:val="24"/>
                <w:highlight w:val="none"/>
              </w:rPr>
            </w:pPr>
            <w:r>
              <w:rPr>
                <w:rFonts w:hint="eastAsia" w:ascii="宋体" w:hAnsi="宋体" w:cs="仿宋_GB2312"/>
                <w:bCs/>
                <w:color w:val="auto"/>
                <w:sz w:val="24"/>
                <w:highlight w:val="none"/>
              </w:rPr>
              <w:t>客观分</w:t>
            </w:r>
          </w:p>
        </w:tc>
        <w:tc>
          <w:tcPr>
            <w:tcW w:w="836" w:type="dxa"/>
          </w:tcPr>
          <w:p>
            <w:pPr>
              <w:pStyle w:val="6"/>
              <w:outlineLvl w:val="1"/>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napToGrid w:val="0"/>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6967" w:type="dxa"/>
            <w:vAlign w:val="center"/>
          </w:tcPr>
          <w:p>
            <w:pPr>
              <w:adjustRightInd/>
              <w:spacing w:line="312" w:lineRule="auto"/>
              <w:jc w:val="left"/>
              <w:rPr>
                <w:rFonts w:hint="eastAsia"/>
                <w:b/>
                <w:bCs/>
                <w:color w:val="auto"/>
                <w:sz w:val="24"/>
                <w:szCs w:val="32"/>
                <w:highlight w:val="none"/>
                <w:lang w:val="en-US" w:eastAsia="zh-CN"/>
              </w:rPr>
            </w:pPr>
            <w:r>
              <w:rPr>
                <w:rFonts w:hint="eastAsia"/>
                <w:b/>
                <w:bCs/>
                <w:color w:val="auto"/>
                <w:sz w:val="24"/>
                <w:szCs w:val="32"/>
                <w:highlight w:val="none"/>
                <w:lang w:eastAsia="zh-CN"/>
              </w:rPr>
              <w:t>【团队人员配置】</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left"/>
              <w:textAlignment w:val="auto"/>
              <w:rPr>
                <w:rFonts w:hint="default" w:ascii="宋体" w:hAnsi="宋体" w:eastAsia="宋体" w:cs="宋体"/>
                <w:snapToGrid/>
                <w:color w:val="auto"/>
                <w:kern w:val="2"/>
                <w:sz w:val="24"/>
                <w:szCs w:val="24"/>
                <w:highlight w:val="none"/>
                <w:lang w:val="en-US" w:eastAsia="zh-CN" w:bidi="ar-SA"/>
              </w:rPr>
            </w:pPr>
            <w:r>
              <w:rPr>
                <w:rFonts w:hint="eastAsia"/>
                <w:color w:val="auto"/>
                <w:highlight w:val="none"/>
                <w:lang w:val="en-US" w:eastAsia="zh-CN"/>
              </w:rPr>
              <w:t>1、</w:t>
            </w:r>
            <w:r>
              <w:rPr>
                <w:rFonts w:hint="eastAsia" w:ascii="宋体" w:hAnsi="宋体" w:eastAsia="宋体" w:cs="宋体"/>
                <w:snapToGrid/>
                <w:color w:val="auto"/>
                <w:kern w:val="2"/>
                <w:sz w:val="24"/>
                <w:szCs w:val="24"/>
                <w:highlight w:val="none"/>
                <w:lang w:val="en-US" w:eastAsia="zh-CN" w:bidi="ar-SA"/>
              </w:rPr>
              <w:t>拟派项目负责人具有高级职称证书得3分，中级的得2分，初级的得1分。本项最高3分。</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证明材料：同时提供职称证书复印件或者扫描件及供应商为其缴纳近两个月任意一个月的社保缴纳证明加盖公章。</w:t>
            </w:r>
          </w:p>
          <w:p>
            <w:pPr>
              <w:pStyle w:val="27"/>
              <w:numPr>
                <w:ilvl w:val="0"/>
                <w:numId w:val="0"/>
              </w:numPr>
              <w:spacing w:line="360" w:lineRule="auto"/>
              <w:ind w:leftChars="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2、拟派团队人员中</w:t>
            </w:r>
            <w:r>
              <w:rPr>
                <w:rFonts w:hint="eastAsia" w:ascii="宋体" w:hAnsi="宋体" w:cs="宋体"/>
                <w:snapToGrid/>
                <w:color w:val="auto"/>
                <w:kern w:val="2"/>
                <w:sz w:val="24"/>
                <w:szCs w:val="24"/>
                <w:highlight w:val="none"/>
                <w:lang w:val="en-US" w:eastAsia="zh-CN" w:bidi="ar-SA"/>
              </w:rPr>
              <w:t>在满足采购需求每增加一名</w:t>
            </w:r>
            <w:r>
              <w:rPr>
                <w:rFonts w:hint="eastAsia" w:ascii="宋体" w:hAnsi="宋体" w:eastAsia="宋体" w:cs="宋体"/>
                <w:snapToGrid/>
                <w:color w:val="auto"/>
                <w:kern w:val="2"/>
                <w:sz w:val="24"/>
                <w:szCs w:val="24"/>
                <w:highlight w:val="none"/>
                <w:lang w:val="en-US" w:eastAsia="zh-CN" w:bidi="ar-SA"/>
              </w:rPr>
              <w:t>具有康复治疗师资格证书的得1分</w:t>
            </w:r>
            <w:r>
              <w:rPr>
                <w:rFonts w:hint="eastAsia" w:ascii="宋体" w:hAnsi="宋体" w:cs="宋体"/>
                <w:snapToGrid/>
                <w:color w:val="auto"/>
                <w:kern w:val="2"/>
                <w:sz w:val="24"/>
                <w:szCs w:val="24"/>
                <w:highlight w:val="none"/>
                <w:lang w:val="en-US" w:eastAsia="zh-CN" w:bidi="ar-SA"/>
              </w:rPr>
              <w:t>，最高3分</w:t>
            </w:r>
            <w:r>
              <w:rPr>
                <w:rFonts w:hint="eastAsia" w:ascii="宋体" w:hAnsi="宋体" w:eastAsia="宋体" w:cs="宋体"/>
                <w:snapToGrid/>
                <w:color w:val="auto"/>
                <w:kern w:val="2"/>
                <w:sz w:val="24"/>
                <w:szCs w:val="24"/>
                <w:highlight w:val="none"/>
                <w:lang w:val="en-US" w:eastAsia="zh-CN" w:bidi="ar-SA"/>
              </w:rPr>
              <w:t>；具有心理咨询师证书</w:t>
            </w:r>
            <w:r>
              <w:rPr>
                <w:rFonts w:hint="eastAsia" w:ascii="宋体" w:hAnsi="宋体" w:cs="宋体"/>
                <w:snapToGrid/>
                <w:color w:val="auto"/>
                <w:kern w:val="2"/>
                <w:sz w:val="24"/>
                <w:szCs w:val="24"/>
                <w:highlight w:val="none"/>
                <w:lang w:val="en-US" w:eastAsia="zh-CN" w:bidi="ar-SA"/>
              </w:rPr>
              <w:t>或</w:t>
            </w:r>
            <w:r>
              <w:rPr>
                <w:rFonts w:hint="eastAsia" w:ascii="宋体" w:hAnsi="宋体" w:eastAsia="宋体" w:cs="宋体"/>
                <w:snapToGrid/>
                <w:color w:val="auto"/>
                <w:kern w:val="2"/>
                <w:sz w:val="24"/>
                <w:szCs w:val="24"/>
                <w:highlight w:val="none"/>
                <w:lang w:val="en-US" w:eastAsia="zh-CN" w:bidi="ar-SA"/>
              </w:rPr>
              <w:t>具有精神科医师资格证的得1分</w:t>
            </w:r>
            <w:r>
              <w:rPr>
                <w:rFonts w:hint="eastAsia" w:ascii="宋体" w:hAnsi="宋体" w:cs="宋体"/>
                <w:snapToGrid/>
                <w:color w:val="auto"/>
                <w:kern w:val="2"/>
                <w:sz w:val="24"/>
                <w:szCs w:val="24"/>
                <w:highlight w:val="none"/>
                <w:lang w:val="en-US" w:eastAsia="zh-CN" w:bidi="ar-SA"/>
              </w:rPr>
              <w:t>，最高3分</w:t>
            </w:r>
            <w:r>
              <w:rPr>
                <w:rFonts w:hint="eastAsia" w:ascii="宋体" w:hAnsi="宋体" w:eastAsia="宋体" w:cs="宋体"/>
                <w:snapToGrid/>
                <w:color w:val="auto"/>
                <w:kern w:val="2"/>
                <w:sz w:val="24"/>
                <w:szCs w:val="24"/>
                <w:highlight w:val="none"/>
                <w:lang w:val="en-US" w:eastAsia="zh-CN" w:bidi="ar-SA"/>
              </w:rPr>
              <w:t>；本项最高</w:t>
            </w:r>
            <w:r>
              <w:rPr>
                <w:rFonts w:hint="eastAsia" w:ascii="宋体" w:hAnsi="宋体" w:cs="宋体"/>
                <w:snapToGrid/>
                <w:color w:val="auto"/>
                <w:kern w:val="2"/>
                <w:sz w:val="24"/>
                <w:szCs w:val="24"/>
                <w:highlight w:val="none"/>
                <w:lang w:val="en-US" w:eastAsia="zh-CN" w:bidi="ar-SA"/>
              </w:rPr>
              <w:t>6</w:t>
            </w:r>
            <w:r>
              <w:rPr>
                <w:rFonts w:hint="eastAsia" w:ascii="宋体" w:hAnsi="宋体" w:eastAsia="宋体" w:cs="宋体"/>
                <w:snapToGrid/>
                <w:color w:val="auto"/>
                <w:kern w:val="2"/>
                <w:sz w:val="24"/>
                <w:szCs w:val="24"/>
                <w:highlight w:val="none"/>
                <w:lang w:val="en-US" w:eastAsia="zh-CN" w:bidi="ar-SA"/>
              </w:rPr>
              <w:t>分。</w:t>
            </w:r>
          </w:p>
          <w:p>
            <w:pPr>
              <w:pStyle w:val="27"/>
              <w:ind w:left="0" w:leftChars="0" w:firstLine="0" w:firstLineChars="0"/>
              <w:rPr>
                <w:rFonts w:hint="default"/>
                <w:color w:val="auto"/>
                <w:highlight w:val="none"/>
                <w:lang w:val="en-US" w:eastAsia="zh-CN"/>
              </w:rPr>
            </w:pPr>
            <w:r>
              <w:rPr>
                <w:rFonts w:hint="eastAsia" w:ascii="宋体" w:hAnsi="宋体" w:eastAsia="宋体" w:cs="宋体"/>
                <w:snapToGrid/>
                <w:color w:val="auto"/>
                <w:kern w:val="2"/>
                <w:sz w:val="24"/>
                <w:szCs w:val="24"/>
                <w:highlight w:val="none"/>
                <w:lang w:val="en-US" w:eastAsia="zh-CN" w:bidi="ar-SA"/>
              </w:rPr>
              <w:t>证明材料：提供相关证书复印件或者扫描件加盖公章。</w:t>
            </w:r>
          </w:p>
        </w:tc>
        <w:tc>
          <w:tcPr>
            <w:tcW w:w="716" w:type="dxa"/>
            <w:vAlign w:val="center"/>
          </w:tcPr>
          <w:p>
            <w:pPr>
              <w:snapToGrid w:val="0"/>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9</w:t>
            </w:r>
          </w:p>
        </w:tc>
        <w:tc>
          <w:tcPr>
            <w:tcW w:w="950" w:type="dxa"/>
            <w:vAlign w:val="center"/>
          </w:tcPr>
          <w:p>
            <w:pPr>
              <w:snapToGrid w:val="0"/>
              <w:spacing w:line="360" w:lineRule="auto"/>
              <w:jc w:val="center"/>
              <w:rPr>
                <w:rFonts w:hint="eastAsia" w:ascii="宋体" w:hAnsi="宋体" w:eastAsia="宋体" w:cs="仿宋_GB2312"/>
                <w:bCs/>
                <w:color w:val="auto"/>
                <w:sz w:val="24"/>
                <w:highlight w:val="none"/>
                <w:lang w:eastAsia="zh-CN"/>
              </w:rPr>
            </w:pPr>
            <w:r>
              <w:rPr>
                <w:rFonts w:hint="eastAsia" w:ascii="宋体" w:hAnsi="宋体" w:cs="仿宋_GB2312"/>
                <w:bCs/>
                <w:color w:val="auto"/>
                <w:sz w:val="24"/>
                <w:highlight w:val="none"/>
                <w:lang w:eastAsia="zh-CN"/>
              </w:rPr>
              <w:t>客观分</w:t>
            </w:r>
          </w:p>
        </w:tc>
        <w:tc>
          <w:tcPr>
            <w:tcW w:w="836" w:type="dxa"/>
          </w:tcPr>
          <w:p>
            <w:pPr>
              <w:pStyle w:val="6"/>
              <w:outlineLvl w:val="1"/>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napToGrid w:val="0"/>
              <w:spacing w:line="360" w:lineRule="auto"/>
              <w:jc w:val="center"/>
              <w:rPr>
                <w:rFonts w:ascii="宋体" w:hAnsi="宋体" w:cs="仿宋_GB2312"/>
                <w:color w:val="auto"/>
                <w:sz w:val="24"/>
                <w:highlight w:val="none"/>
              </w:rPr>
            </w:pPr>
          </w:p>
          <w:p>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3</w:t>
            </w:r>
          </w:p>
        </w:tc>
        <w:tc>
          <w:tcPr>
            <w:tcW w:w="6967" w:type="dxa"/>
            <w:vAlign w:val="center"/>
          </w:tcPr>
          <w:p>
            <w:pPr>
              <w:adjustRightInd/>
              <w:spacing w:line="360" w:lineRule="auto"/>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w:t>
            </w:r>
            <w:r>
              <w:rPr>
                <w:rFonts w:hint="eastAsia" w:ascii="宋体" w:hAnsi="宋体" w:cs="宋体"/>
                <w:b/>
                <w:color w:val="auto"/>
                <w:sz w:val="24"/>
                <w:highlight w:val="none"/>
              </w:rPr>
              <w:t>方案讲解演示</w:t>
            </w:r>
            <w:r>
              <w:rPr>
                <w:rFonts w:hint="eastAsia" w:ascii="宋体" w:hAnsi="宋体" w:eastAsia="宋体" w:cs="宋体"/>
                <w:b/>
                <w:bCs/>
                <w:color w:val="auto"/>
                <w:sz w:val="24"/>
                <w:highlight w:val="none"/>
                <w:lang w:val="en-US" w:eastAsia="zh-CN"/>
              </w:rPr>
              <w:t>】</w:t>
            </w:r>
          </w:p>
          <w:p>
            <w:pPr>
              <w:pStyle w:val="128"/>
              <w:numPr>
                <w:ilvl w:val="0"/>
                <w:numId w:val="0"/>
              </w:numPr>
              <w:snapToGrid w:val="0"/>
              <w:spacing w:before="0" w:line="360" w:lineRule="auto"/>
              <w:rPr>
                <w:rFonts w:hint="eastAsia" w:ascii="宋体" w:hAnsi="宋体" w:eastAsia="宋体" w:cs="宋体"/>
                <w:snapToGrid/>
                <w:color w:val="auto"/>
                <w:kern w:val="2"/>
                <w:sz w:val="24"/>
                <w:szCs w:val="24"/>
                <w:highlight w:val="none"/>
                <w:lang w:val="en-GB" w:eastAsia="zh-CN" w:bidi="ar-SA"/>
              </w:rPr>
            </w:pPr>
            <w:r>
              <w:rPr>
                <w:rFonts w:hint="eastAsia" w:ascii="宋体" w:hAnsi="宋体" w:eastAsia="宋体" w:cs="宋体"/>
                <w:snapToGrid/>
                <w:color w:val="auto"/>
                <w:kern w:val="2"/>
                <w:sz w:val="24"/>
                <w:szCs w:val="24"/>
                <w:highlight w:val="none"/>
                <w:lang w:val="en-GB" w:eastAsia="zh-CN" w:bidi="ar-SA"/>
              </w:rPr>
              <w:t>供应商</w:t>
            </w:r>
            <w:r>
              <w:rPr>
                <w:rFonts w:hint="eastAsia" w:ascii="宋体" w:hAnsi="宋体" w:cs="宋体"/>
                <w:snapToGrid/>
                <w:color w:val="auto"/>
                <w:kern w:val="2"/>
                <w:sz w:val="24"/>
                <w:szCs w:val="24"/>
                <w:highlight w:val="none"/>
                <w:lang w:val="en-GB" w:eastAsia="zh-CN" w:bidi="ar-SA"/>
              </w:rPr>
              <w:t>对本项目的整体运营策划方案的讲解；内容包括</w:t>
            </w:r>
            <w:r>
              <w:rPr>
                <w:rFonts w:hint="eastAsia" w:ascii="宋体" w:hAnsi="宋体" w:eastAsia="宋体" w:cs="宋体"/>
                <w:snapToGrid/>
                <w:color w:val="auto"/>
                <w:kern w:val="2"/>
                <w:sz w:val="24"/>
                <w:szCs w:val="24"/>
                <w:highlight w:val="none"/>
                <w:lang w:val="en-GB" w:eastAsia="zh-CN" w:bidi="ar-SA"/>
              </w:rPr>
              <w:t>对不同情况的入托人员的服务范围、服务流程、服务方案、日常工作安排、活动安排、员工培训、餐饮管理、康复训练</w:t>
            </w:r>
            <w:r>
              <w:rPr>
                <w:rFonts w:hint="eastAsia" w:ascii="宋体" w:hAnsi="宋体" w:cs="宋体"/>
                <w:snapToGrid/>
                <w:color w:val="auto"/>
                <w:kern w:val="2"/>
                <w:sz w:val="24"/>
                <w:szCs w:val="24"/>
                <w:highlight w:val="none"/>
                <w:lang w:val="en-GB" w:eastAsia="zh-CN" w:bidi="ar-SA"/>
              </w:rPr>
              <w:t>等方面</w:t>
            </w:r>
            <w:r>
              <w:rPr>
                <w:rFonts w:hint="eastAsia" w:ascii="宋体" w:hAnsi="宋体" w:eastAsia="宋体" w:cs="宋体"/>
                <w:snapToGrid/>
                <w:color w:val="auto"/>
                <w:kern w:val="2"/>
                <w:sz w:val="24"/>
                <w:szCs w:val="24"/>
                <w:highlight w:val="none"/>
                <w:lang w:val="en-GB" w:eastAsia="zh-CN" w:bidi="ar-SA"/>
              </w:rPr>
              <w:t>。</w:t>
            </w:r>
          </w:p>
          <w:p>
            <w:pPr>
              <w:pStyle w:val="128"/>
              <w:numPr>
                <w:ilvl w:val="0"/>
                <w:numId w:val="0"/>
              </w:numPr>
              <w:snapToGrid w:val="0"/>
              <w:spacing w:before="0" w:line="360" w:lineRule="auto"/>
              <w:rPr>
                <w:rFonts w:hint="eastAsia" w:ascii="Times New Roman" w:hAnsi="Times New Roman" w:eastAsia="宋体" w:cs="Times New Roman"/>
                <w:b w:val="0"/>
                <w:bCs/>
                <w:color w:val="auto"/>
                <w:kern w:val="0"/>
                <w:sz w:val="24"/>
                <w:szCs w:val="24"/>
                <w:highlight w:val="none"/>
                <w:lang w:val="en-GB" w:eastAsia="zh-CN" w:bidi="ar-SA"/>
              </w:rPr>
            </w:pPr>
            <w:r>
              <w:rPr>
                <w:rFonts w:hint="eastAsia" w:ascii="宋体" w:hAnsi="宋体" w:cs="宋体"/>
                <w:b/>
                <w:color w:val="auto"/>
                <w:sz w:val="24"/>
                <w:highlight w:val="none"/>
              </w:rPr>
              <w:t>方案讲解</w:t>
            </w:r>
            <w:r>
              <w:rPr>
                <w:rFonts w:hint="eastAsia" w:ascii="宋体" w:hAnsi="宋体" w:eastAsia="宋体" w:cs="宋体"/>
                <w:snapToGrid/>
                <w:color w:val="auto"/>
                <w:kern w:val="2"/>
                <w:sz w:val="24"/>
                <w:szCs w:val="24"/>
                <w:highlight w:val="none"/>
                <w:lang w:val="en-GB" w:eastAsia="zh-CN" w:bidi="ar-SA"/>
              </w:rPr>
              <w:t>总体情况</w:t>
            </w:r>
            <w:r>
              <w:rPr>
                <w:rFonts w:hint="eastAsia" w:ascii="宋体" w:hAnsi="宋体" w:cs="宋体"/>
                <w:snapToGrid/>
                <w:color w:val="auto"/>
                <w:kern w:val="2"/>
                <w:sz w:val="24"/>
                <w:szCs w:val="24"/>
                <w:highlight w:val="none"/>
                <w:lang w:val="en-GB" w:eastAsia="zh-CN" w:bidi="ar-SA"/>
              </w:rPr>
              <w:t>讲解</w:t>
            </w:r>
            <w:r>
              <w:rPr>
                <w:rFonts w:hint="eastAsia" w:ascii="宋体" w:hAnsi="宋体" w:eastAsia="宋体" w:cs="宋体"/>
                <w:snapToGrid/>
                <w:color w:val="auto"/>
                <w:kern w:val="2"/>
                <w:sz w:val="24"/>
                <w:szCs w:val="24"/>
                <w:highlight w:val="none"/>
                <w:lang w:val="en-GB" w:eastAsia="zh-CN" w:bidi="ar-SA"/>
              </w:rPr>
              <w:t>完整、全面，运营服务理念先进、发展规划科学可行的得</w:t>
            </w:r>
            <w:r>
              <w:rPr>
                <w:rFonts w:hint="eastAsia" w:ascii="宋体" w:hAnsi="宋体" w:cs="宋体"/>
                <w:snapToGrid/>
                <w:color w:val="auto"/>
                <w:kern w:val="2"/>
                <w:sz w:val="24"/>
                <w:szCs w:val="24"/>
                <w:highlight w:val="none"/>
                <w:lang w:val="en-US" w:eastAsia="zh-CN" w:bidi="ar-SA"/>
              </w:rPr>
              <w:t>5</w:t>
            </w:r>
            <w:r>
              <w:rPr>
                <w:rFonts w:hint="eastAsia" w:ascii="宋体" w:hAnsi="宋体" w:eastAsia="宋体" w:cs="宋体"/>
                <w:snapToGrid/>
                <w:color w:val="auto"/>
                <w:kern w:val="2"/>
                <w:sz w:val="24"/>
                <w:szCs w:val="24"/>
                <w:highlight w:val="none"/>
                <w:lang w:val="en-GB" w:eastAsia="zh-CN" w:bidi="ar-SA"/>
              </w:rPr>
              <w:t>分；总体情况</w:t>
            </w:r>
            <w:r>
              <w:rPr>
                <w:rFonts w:hint="eastAsia" w:ascii="宋体" w:hAnsi="宋体" w:cs="宋体"/>
                <w:snapToGrid/>
                <w:color w:val="auto"/>
                <w:kern w:val="2"/>
                <w:sz w:val="24"/>
                <w:szCs w:val="24"/>
                <w:highlight w:val="none"/>
                <w:lang w:val="en-GB" w:eastAsia="zh-CN" w:bidi="ar-SA"/>
              </w:rPr>
              <w:t>讲解</w:t>
            </w:r>
            <w:r>
              <w:rPr>
                <w:rFonts w:hint="eastAsia" w:ascii="宋体" w:hAnsi="宋体" w:eastAsia="宋体" w:cs="宋体"/>
                <w:snapToGrid/>
                <w:color w:val="auto"/>
                <w:kern w:val="2"/>
                <w:sz w:val="24"/>
                <w:szCs w:val="24"/>
                <w:highlight w:val="none"/>
                <w:lang w:val="en-GB" w:eastAsia="zh-CN" w:bidi="ar-SA"/>
              </w:rPr>
              <w:t>基本完整，发展规划基本可行的得</w:t>
            </w:r>
            <w:r>
              <w:rPr>
                <w:rFonts w:hint="eastAsia" w:ascii="宋体" w:hAnsi="宋体" w:cs="宋体"/>
                <w:snapToGrid/>
                <w:color w:val="auto"/>
                <w:kern w:val="2"/>
                <w:sz w:val="24"/>
                <w:szCs w:val="24"/>
                <w:highlight w:val="none"/>
                <w:lang w:val="en-US" w:eastAsia="zh-CN" w:bidi="ar-SA"/>
              </w:rPr>
              <w:t>4</w:t>
            </w:r>
            <w:r>
              <w:rPr>
                <w:rFonts w:hint="eastAsia" w:ascii="宋体" w:hAnsi="宋体" w:eastAsia="宋体" w:cs="宋体"/>
                <w:snapToGrid/>
                <w:color w:val="auto"/>
                <w:kern w:val="2"/>
                <w:sz w:val="24"/>
                <w:szCs w:val="24"/>
                <w:highlight w:val="none"/>
                <w:lang w:val="en-GB" w:eastAsia="zh-CN" w:bidi="ar-SA"/>
              </w:rPr>
              <w:t>分；总体情况</w:t>
            </w:r>
            <w:r>
              <w:rPr>
                <w:rFonts w:hint="eastAsia" w:ascii="宋体" w:hAnsi="宋体" w:cs="宋体"/>
                <w:snapToGrid/>
                <w:color w:val="auto"/>
                <w:kern w:val="2"/>
                <w:sz w:val="24"/>
                <w:szCs w:val="24"/>
                <w:highlight w:val="none"/>
                <w:lang w:val="en-GB" w:eastAsia="zh-CN" w:bidi="ar-SA"/>
              </w:rPr>
              <w:t>讲解、</w:t>
            </w:r>
            <w:r>
              <w:rPr>
                <w:rFonts w:hint="eastAsia" w:ascii="宋体" w:hAnsi="宋体" w:eastAsia="宋体" w:cs="宋体"/>
                <w:snapToGrid/>
                <w:color w:val="auto"/>
                <w:kern w:val="2"/>
                <w:sz w:val="24"/>
                <w:szCs w:val="24"/>
                <w:highlight w:val="none"/>
                <w:lang w:val="en-GB" w:eastAsia="zh-CN" w:bidi="ar-SA"/>
              </w:rPr>
              <w:t>发展规划</w:t>
            </w:r>
            <w:r>
              <w:rPr>
                <w:rFonts w:hint="eastAsia" w:ascii="宋体" w:hAnsi="宋体" w:cs="宋体"/>
                <w:snapToGrid/>
                <w:color w:val="auto"/>
                <w:kern w:val="2"/>
                <w:sz w:val="24"/>
                <w:szCs w:val="24"/>
                <w:highlight w:val="none"/>
                <w:lang w:val="en-GB" w:eastAsia="zh-CN" w:bidi="ar-SA"/>
              </w:rPr>
              <w:t>一般</w:t>
            </w:r>
            <w:r>
              <w:rPr>
                <w:rFonts w:hint="eastAsia" w:ascii="宋体" w:hAnsi="宋体" w:eastAsia="宋体" w:cs="宋体"/>
                <w:snapToGrid/>
                <w:color w:val="auto"/>
                <w:kern w:val="2"/>
                <w:sz w:val="24"/>
                <w:szCs w:val="24"/>
                <w:highlight w:val="none"/>
                <w:lang w:val="en-GB" w:eastAsia="zh-CN" w:bidi="ar-SA"/>
              </w:rPr>
              <w:t>的得</w:t>
            </w:r>
            <w:r>
              <w:rPr>
                <w:rFonts w:hint="eastAsia" w:ascii="宋体" w:hAnsi="宋体" w:cs="宋体"/>
                <w:snapToGrid/>
                <w:color w:val="auto"/>
                <w:kern w:val="2"/>
                <w:sz w:val="24"/>
                <w:szCs w:val="24"/>
                <w:highlight w:val="none"/>
                <w:lang w:val="en-US" w:eastAsia="zh-CN" w:bidi="ar-SA"/>
              </w:rPr>
              <w:t>3</w:t>
            </w:r>
            <w:r>
              <w:rPr>
                <w:rFonts w:hint="eastAsia" w:ascii="宋体" w:hAnsi="宋体" w:eastAsia="宋体" w:cs="宋体"/>
                <w:snapToGrid/>
                <w:color w:val="auto"/>
                <w:kern w:val="2"/>
                <w:sz w:val="24"/>
                <w:szCs w:val="24"/>
                <w:highlight w:val="none"/>
                <w:lang w:val="en-GB" w:eastAsia="zh-CN" w:bidi="ar-SA"/>
              </w:rPr>
              <w:t>分；总体情况</w:t>
            </w:r>
            <w:r>
              <w:rPr>
                <w:rFonts w:hint="eastAsia" w:ascii="宋体" w:hAnsi="宋体" w:cs="宋体"/>
                <w:snapToGrid/>
                <w:color w:val="auto"/>
                <w:kern w:val="2"/>
                <w:sz w:val="24"/>
                <w:szCs w:val="24"/>
                <w:highlight w:val="none"/>
                <w:lang w:val="en-GB" w:eastAsia="zh-CN" w:bidi="ar-SA"/>
              </w:rPr>
              <w:t>讲解</w:t>
            </w:r>
            <w:r>
              <w:rPr>
                <w:rFonts w:hint="eastAsia" w:ascii="宋体" w:hAnsi="宋体" w:eastAsia="宋体" w:cs="宋体"/>
                <w:snapToGrid/>
                <w:color w:val="auto"/>
                <w:kern w:val="2"/>
                <w:sz w:val="24"/>
                <w:szCs w:val="24"/>
                <w:highlight w:val="none"/>
                <w:lang w:val="en-GB" w:eastAsia="zh-CN" w:bidi="ar-SA"/>
              </w:rPr>
              <w:t>存在明显的漏洞的得</w:t>
            </w:r>
            <w:r>
              <w:rPr>
                <w:rFonts w:hint="eastAsia" w:ascii="宋体" w:hAnsi="宋体" w:eastAsia="宋体" w:cs="宋体"/>
                <w:snapToGrid/>
                <w:color w:val="auto"/>
                <w:kern w:val="2"/>
                <w:sz w:val="24"/>
                <w:szCs w:val="24"/>
                <w:highlight w:val="none"/>
                <w:lang w:val="en-US" w:eastAsia="zh-CN" w:bidi="ar-SA"/>
              </w:rPr>
              <w:t>2</w:t>
            </w:r>
            <w:r>
              <w:rPr>
                <w:rFonts w:hint="eastAsia" w:ascii="宋体" w:hAnsi="宋体" w:eastAsia="宋体" w:cs="宋体"/>
                <w:snapToGrid/>
                <w:color w:val="auto"/>
                <w:kern w:val="2"/>
                <w:sz w:val="24"/>
                <w:szCs w:val="24"/>
                <w:highlight w:val="none"/>
                <w:lang w:val="en-GB" w:eastAsia="zh-CN" w:bidi="ar-SA"/>
              </w:rPr>
              <w:t>分。</w:t>
            </w:r>
            <w:r>
              <w:rPr>
                <w:rFonts w:hint="eastAsia" w:ascii="宋体" w:hAnsi="宋体" w:eastAsia="宋体" w:cs="宋体"/>
                <w:bCs/>
                <w:color w:val="auto"/>
                <w:kern w:val="2"/>
                <w:sz w:val="24"/>
                <w:szCs w:val="20"/>
                <w:highlight w:val="none"/>
                <w:lang w:val="en-US" w:eastAsia="zh-CN" w:bidi="ar-SA"/>
              </w:rPr>
              <w:t>未提供</w:t>
            </w:r>
            <w:r>
              <w:rPr>
                <w:rFonts w:hint="eastAsia" w:ascii="宋体" w:hAnsi="宋体" w:cs="宋体"/>
                <w:bCs/>
                <w:color w:val="auto"/>
                <w:kern w:val="2"/>
                <w:sz w:val="24"/>
                <w:szCs w:val="20"/>
                <w:highlight w:val="none"/>
                <w:lang w:val="en-US" w:eastAsia="zh-CN" w:bidi="ar-SA"/>
              </w:rPr>
              <w:t>讲解</w:t>
            </w:r>
            <w:r>
              <w:rPr>
                <w:rFonts w:hint="eastAsia" w:ascii="宋体" w:hAnsi="宋体" w:eastAsia="宋体" w:cs="宋体"/>
                <w:bCs/>
                <w:color w:val="auto"/>
                <w:kern w:val="2"/>
                <w:sz w:val="24"/>
                <w:szCs w:val="20"/>
                <w:highlight w:val="none"/>
                <w:lang w:val="en-US" w:eastAsia="zh-CN" w:bidi="ar-SA"/>
              </w:rPr>
              <w:t>的</w:t>
            </w:r>
            <w:r>
              <w:rPr>
                <w:rFonts w:hint="eastAsia" w:ascii="宋体" w:hAnsi="宋体" w:eastAsia="宋体" w:cs="宋体"/>
                <w:bCs/>
                <w:color w:val="auto"/>
                <w:highlight w:val="none"/>
                <w:lang w:val="en-US" w:eastAsia="zh-CN"/>
              </w:rPr>
              <w:t>得0分。</w:t>
            </w:r>
          </w:p>
        </w:tc>
        <w:tc>
          <w:tcPr>
            <w:tcW w:w="716" w:type="dxa"/>
            <w:vAlign w:val="center"/>
          </w:tcPr>
          <w:p>
            <w:pPr>
              <w:pStyle w:val="60"/>
              <w:numPr>
                <w:ilvl w:val="0"/>
                <w:numId w:val="0"/>
              </w:numPr>
              <w:overflowPunct/>
              <w:autoSpaceDE/>
              <w:autoSpaceDN/>
              <w:adjustRightInd/>
              <w:spacing w:line="240" w:lineRule="auto"/>
              <w:ind w:left="0" w:leftChars="0" w:firstLine="0" w:firstLineChars="0"/>
              <w:jc w:val="center"/>
              <w:textAlignment w:val="auto"/>
              <w:rPr>
                <w:rFonts w:hint="default" w:ascii="Times New Roman" w:hAnsi="Times New Roman" w:eastAsia="宋体" w:cs="Times New Roman"/>
                <w:b w:val="0"/>
                <w:bCs/>
                <w:color w:val="auto"/>
                <w:kern w:val="0"/>
                <w:sz w:val="21"/>
                <w:szCs w:val="16"/>
                <w:highlight w:val="none"/>
                <w:lang w:val="en-US" w:eastAsia="zh-CN" w:bidi="ar-SA"/>
              </w:rPr>
            </w:pPr>
            <w:r>
              <w:rPr>
                <w:rFonts w:hint="eastAsia" w:ascii="宋体" w:hAnsi="宋体" w:cs="仿宋_GB2312"/>
                <w:b w:val="0"/>
                <w:color w:val="auto"/>
                <w:kern w:val="2"/>
                <w:sz w:val="24"/>
                <w:szCs w:val="24"/>
                <w:highlight w:val="none"/>
                <w:lang w:val="en-US" w:eastAsia="zh-CN" w:bidi="ar-SA"/>
              </w:rPr>
              <w:t>5</w:t>
            </w:r>
          </w:p>
        </w:tc>
        <w:tc>
          <w:tcPr>
            <w:tcW w:w="950" w:type="dxa"/>
            <w:vAlign w:val="center"/>
          </w:tcPr>
          <w:p>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eastAsia="zh-CN"/>
              </w:rPr>
              <w:t>主观分</w:t>
            </w:r>
          </w:p>
        </w:tc>
        <w:tc>
          <w:tcPr>
            <w:tcW w:w="836"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napToGrid w:val="0"/>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4</w:t>
            </w:r>
          </w:p>
        </w:tc>
        <w:tc>
          <w:tcPr>
            <w:tcW w:w="6967" w:type="dxa"/>
            <w:vAlign w:val="center"/>
          </w:tcPr>
          <w:p>
            <w:pPr>
              <w:pStyle w:val="128"/>
              <w:numPr>
                <w:ilvl w:val="0"/>
                <w:numId w:val="0"/>
              </w:numPr>
              <w:snapToGrid w:val="0"/>
              <w:spacing w:before="0" w:line="360" w:lineRule="auto"/>
              <w:rPr>
                <w:rFonts w:hint="eastAsia"/>
                <w:b/>
                <w:bCs w:val="0"/>
                <w:color w:val="auto"/>
                <w:highlight w:val="none"/>
                <w:lang w:eastAsia="zh-CN"/>
              </w:rPr>
            </w:pPr>
            <w:r>
              <w:rPr>
                <w:rFonts w:hint="eastAsia"/>
                <w:b/>
                <w:bCs w:val="0"/>
                <w:color w:val="auto"/>
                <w:highlight w:val="none"/>
                <w:lang w:eastAsia="zh-CN"/>
              </w:rPr>
              <w:t>【</w:t>
            </w:r>
            <w:r>
              <w:rPr>
                <w:rFonts w:hint="eastAsia"/>
                <w:b/>
                <w:bCs w:val="0"/>
                <w:color w:val="auto"/>
                <w:highlight w:val="none"/>
              </w:rPr>
              <w:t>服务方案</w:t>
            </w:r>
            <w:r>
              <w:rPr>
                <w:rFonts w:hint="eastAsia"/>
                <w:b/>
                <w:bCs w:val="0"/>
                <w:color w:val="auto"/>
                <w:highlight w:val="none"/>
                <w:lang w:val="en-US" w:eastAsia="zh-CN"/>
              </w:rPr>
              <w:t>：运动能力训练方案</w:t>
            </w:r>
            <w:r>
              <w:rPr>
                <w:rFonts w:hint="eastAsia"/>
                <w:b/>
                <w:bCs w:val="0"/>
                <w:color w:val="auto"/>
                <w:highlight w:val="none"/>
                <w:lang w:eastAsia="zh-CN"/>
              </w:rPr>
              <w:t>】</w:t>
            </w:r>
          </w:p>
          <w:p>
            <w:pPr>
              <w:pStyle w:val="128"/>
              <w:numPr>
                <w:ilvl w:val="0"/>
                <w:numId w:val="0"/>
              </w:numPr>
              <w:snapToGrid w:val="0"/>
              <w:spacing w:before="0" w:line="360" w:lineRule="auto"/>
              <w:jc w:val="left"/>
              <w:rPr>
                <w:rFonts w:hint="eastAsia"/>
                <w:bCs/>
                <w:color w:val="auto"/>
                <w:highlight w:val="none"/>
                <w:lang w:val="en-US" w:eastAsia="zh-CN"/>
              </w:rPr>
            </w:pPr>
            <w:r>
              <w:rPr>
                <w:rFonts w:hint="eastAsia" w:ascii="宋体" w:hAnsi="宋体" w:eastAsia="宋体" w:cs="宋体"/>
                <w:bCs/>
                <w:color w:val="auto"/>
                <w:highlight w:val="none"/>
                <w:lang w:val="en-US" w:eastAsia="zh-CN"/>
              </w:rPr>
              <w:t>运动能力训练方案具体详实，符合实际情况，具有合理可行</w:t>
            </w:r>
            <w:r>
              <w:rPr>
                <w:rFonts w:hint="eastAsia" w:ascii="宋体" w:hAnsi="宋体" w:cs="宋体"/>
                <w:bCs/>
                <w:color w:val="auto"/>
                <w:highlight w:val="none"/>
                <w:lang w:val="en-US" w:eastAsia="zh-CN"/>
              </w:rPr>
              <w:t>且</w:t>
            </w:r>
            <w:r>
              <w:rPr>
                <w:rFonts w:hint="eastAsia" w:ascii="宋体" w:hAnsi="宋体" w:eastAsia="宋体" w:cs="宋体"/>
                <w:bCs/>
                <w:color w:val="auto"/>
                <w:highlight w:val="none"/>
                <w:lang w:val="en-US" w:eastAsia="zh-CN"/>
              </w:rPr>
              <w:t>针对性</w:t>
            </w:r>
            <w:r>
              <w:rPr>
                <w:rFonts w:hint="eastAsia" w:ascii="宋体" w:hAnsi="宋体" w:cs="宋体"/>
                <w:bCs/>
                <w:color w:val="auto"/>
                <w:highlight w:val="none"/>
                <w:lang w:val="en-US" w:eastAsia="zh-CN"/>
              </w:rPr>
              <w:t>强的</w:t>
            </w:r>
            <w:r>
              <w:rPr>
                <w:rFonts w:hint="eastAsia" w:ascii="宋体" w:hAnsi="宋体" w:eastAsia="宋体" w:cs="宋体"/>
                <w:bCs/>
                <w:color w:val="auto"/>
                <w:highlight w:val="none"/>
                <w:lang w:val="en-US" w:eastAsia="zh-CN"/>
              </w:rPr>
              <w:t>得</w:t>
            </w:r>
            <w:r>
              <w:rPr>
                <w:rFonts w:hint="eastAsia" w:ascii="宋体" w:hAnsi="宋体" w:cs="宋体"/>
                <w:bCs/>
                <w:color w:val="auto"/>
                <w:highlight w:val="none"/>
                <w:lang w:val="en-US" w:eastAsia="zh-CN"/>
              </w:rPr>
              <w:t>5</w:t>
            </w:r>
            <w:r>
              <w:rPr>
                <w:rFonts w:hint="eastAsia" w:ascii="宋体" w:hAnsi="宋体" w:eastAsia="宋体" w:cs="宋体"/>
                <w:bCs/>
                <w:color w:val="auto"/>
                <w:highlight w:val="none"/>
                <w:lang w:val="en-US" w:eastAsia="zh-CN"/>
              </w:rPr>
              <w:t>分；合理可行的得</w:t>
            </w:r>
            <w:r>
              <w:rPr>
                <w:rFonts w:hint="eastAsia" w:ascii="宋体" w:hAnsi="宋体" w:cs="宋体"/>
                <w:bCs/>
                <w:color w:val="auto"/>
                <w:highlight w:val="none"/>
                <w:lang w:val="en-US" w:eastAsia="zh-CN"/>
              </w:rPr>
              <w:t>4</w:t>
            </w:r>
            <w:r>
              <w:rPr>
                <w:rFonts w:hint="eastAsia" w:ascii="宋体" w:hAnsi="宋体" w:eastAsia="宋体" w:cs="宋体"/>
                <w:bCs/>
                <w:color w:val="auto"/>
                <w:highlight w:val="none"/>
                <w:lang w:val="en-US" w:eastAsia="zh-CN"/>
              </w:rPr>
              <w:t>分；基本全面的得3分；较差的得2分；一般的得1；</w:t>
            </w:r>
            <w:r>
              <w:rPr>
                <w:rFonts w:hint="eastAsia" w:ascii="宋体" w:hAnsi="宋体" w:eastAsia="宋体" w:cs="宋体"/>
                <w:bCs/>
                <w:color w:val="auto"/>
                <w:kern w:val="2"/>
                <w:sz w:val="24"/>
                <w:szCs w:val="20"/>
                <w:highlight w:val="none"/>
                <w:lang w:val="en-US" w:eastAsia="zh-CN" w:bidi="ar-SA"/>
              </w:rPr>
              <w:t>未提供方案的</w:t>
            </w:r>
            <w:r>
              <w:rPr>
                <w:rFonts w:hint="eastAsia" w:ascii="宋体" w:hAnsi="宋体" w:eastAsia="宋体" w:cs="宋体"/>
                <w:bCs/>
                <w:color w:val="auto"/>
                <w:highlight w:val="none"/>
                <w:lang w:val="en-US" w:eastAsia="zh-CN"/>
              </w:rPr>
              <w:t>得0分。</w:t>
            </w:r>
          </w:p>
        </w:tc>
        <w:tc>
          <w:tcPr>
            <w:tcW w:w="716" w:type="dxa"/>
            <w:vAlign w:val="center"/>
          </w:tcPr>
          <w:p>
            <w:pPr>
              <w:pStyle w:val="60"/>
              <w:numPr>
                <w:ilvl w:val="0"/>
                <w:numId w:val="0"/>
              </w:numPr>
              <w:overflowPunct/>
              <w:autoSpaceDE/>
              <w:autoSpaceDN/>
              <w:adjustRightInd/>
              <w:spacing w:line="240" w:lineRule="auto"/>
              <w:ind w:left="0" w:leftChars="0" w:firstLine="0" w:firstLineChars="0"/>
              <w:jc w:val="center"/>
              <w:textAlignment w:val="auto"/>
              <w:rPr>
                <w:rFonts w:hint="default" w:ascii="宋体" w:hAnsi="宋体" w:eastAsia="宋体" w:cs="仿宋_GB2312"/>
                <w:b w:val="0"/>
                <w:color w:val="auto"/>
                <w:kern w:val="2"/>
                <w:sz w:val="24"/>
                <w:szCs w:val="24"/>
                <w:highlight w:val="none"/>
                <w:lang w:val="en-US" w:eastAsia="zh-CN" w:bidi="ar-SA"/>
              </w:rPr>
            </w:pPr>
            <w:r>
              <w:rPr>
                <w:rFonts w:hint="eastAsia" w:ascii="宋体" w:hAnsi="宋体" w:cs="仿宋_GB2312"/>
                <w:b w:val="0"/>
                <w:color w:val="auto"/>
                <w:kern w:val="2"/>
                <w:sz w:val="24"/>
                <w:szCs w:val="24"/>
                <w:highlight w:val="none"/>
                <w:lang w:val="en-US" w:eastAsia="zh-CN" w:bidi="ar-SA"/>
              </w:rPr>
              <w:t>5</w:t>
            </w:r>
          </w:p>
        </w:tc>
        <w:tc>
          <w:tcPr>
            <w:tcW w:w="950"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eastAsia="zh-CN"/>
              </w:rPr>
              <w:t>主观分</w:t>
            </w:r>
          </w:p>
        </w:tc>
        <w:tc>
          <w:tcPr>
            <w:tcW w:w="836"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napToGrid w:val="0"/>
              <w:spacing w:line="360" w:lineRule="auto"/>
              <w:jc w:val="center"/>
              <w:rPr>
                <w:rFonts w:hint="eastAsia" w:ascii="宋体" w:hAnsi="宋体" w:cs="仿宋_GB2312"/>
                <w:color w:val="auto"/>
                <w:sz w:val="24"/>
                <w:highlight w:val="none"/>
                <w:lang w:val="en-US" w:eastAsia="zh-CN"/>
              </w:rPr>
            </w:pPr>
          </w:p>
          <w:p>
            <w:pPr>
              <w:snapToGrid w:val="0"/>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5</w:t>
            </w:r>
          </w:p>
        </w:tc>
        <w:tc>
          <w:tcPr>
            <w:tcW w:w="6967" w:type="dxa"/>
            <w:vAlign w:val="center"/>
          </w:tcPr>
          <w:p>
            <w:pPr>
              <w:pStyle w:val="128"/>
              <w:numPr>
                <w:ilvl w:val="0"/>
                <w:numId w:val="0"/>
              </w:numPr>
              <w:snapToGrid w:val="0"/>
              <w:spacing w:before="0" w:line="360" w:lineRule="auto"/>
              <w:rPr>
                <w:rFonts w:hint="eastAsia"/>
                <w:b/>
                <w:bCs w:val="0"/>
                <w:color w:val="auto"/>
                <w:highlight w:val="none"/>
                <w:lang w:eastAsia="zh-CN"/>
              </w:rPr>
            </w:pPr>
            <w:r>
              <w:rPr>
                <w:rFonts w:hint="eastAsia"/>
                <w:b/>
                <w:bCs w:val="0"/>
                <w:color w:val="auto"/>
                <w:highlight w:val="none"/>
                <w:lang w:eastAsia="zh-CN"/>
              </w:rPr>
              <w:t>【</w:t>
            </w:r>
            <w:r>
              <w:rPr>
                <w:rFonts w:hint="eastAsia"/>
                <w:b/>
                <w:bCs w:val="0"/>
                <w:color w:val="auto"/>
                <w:highlight w:val="none"/>
              </w:rPr>
              <w:t>服务方案</w:t>
            </w:r>
            <w:r>
              <w:rPr>
                <w:rFonts w:hint="eastAsia"/>
                <w:b/>
                <w:bCs w:val="0"/>
                <w:color w:val="auto"/>
                <w:highlight w:val="none"/>
                <w:lang w:val="en-US" w:eastAsia="zh-CN"/>
              </w:rPr>
              <w:t>：认知能力训练方案</w:t>
            </w:r>
            <w:r>
              <w:rPr>
                <w:rFonts w:hint="eastAsia"/>
                <w:b/>
                <w:bCs w:val="0"/>
                <w:color w:val="auto"/>
                <w:highlight w:val="none"/>
                <w:lang w:eastAsia="zh-CN"/>
              </w:rPr>
              <w:t>】</w:t>
            </w:r>
          </w:p>
          <w:p>
            <w:pPr>
              <w:pStyle w:val="128"/>
              <w:numPr>
                <w:ilvl w:val="0"/>
                <w:numId w:val="0"/>
              </w:numPr>
              <w:snapToGrid w:val="0"/>
              <w:spacing w:before="0" w:line="360" w:lineRule="auto"/>
              <w:ind w:leftChars="0"/>
              <w:jc w:val="left"/>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认知能力训练方案具体详实，符合实际情况，具有合理可行</w:t>
            </w:r>
            <w:r>
              <w:rPr>
                <w:rFonts w:hint="eastAsia" w:ascii="宋体" w:hAnsi="宋体" w:cs="宋体"/>
                <w:bCs/>
                <w:color w:val="auto"/>
                <w:highlight w:val="none"/>
                <w:lang w:val="en-US" w:eastAsia="zh-CN"/>
              </w:rPr>
              <w:t>且</w:t>
            </w:r>
            <w:r>
              <w:rPr>
                <w:rFonts w:hint="eastAsia" w:ascii="宋体" w:hAnsi="宋体" w:eastAsia="宋体" w:cs="宋体"/>
                <w:bCs/>
                <w:color w:val="auto"/>
                <w:highlight w:val="none"/>
                <w:lang w:val="en-US" w:eastAsia="zh-CN"/>
              </w:rPr>
              <w:t>针对性</w:t>
            </w:r>
            <w:r>
              <w:rPr>
                <w:rFonts w:hint="eastAsia" w:ascii="宋体" w:hAnsi="宋体" w:cs="宋体"/>
                <w:bCs/>
                <w:color w:val="auto"/>
                <w:highlight w:val="none"/>
                <w:lang w:val="en-US" w:eastAsia="zh-CN"/>
              </w:rPr>
              <w:t>强的</w:t>
            </w:r>
            <w:r>
              <w:rPr>
                <w:rFonts w:hint="eastAsia" w:ascii="宋体" w:hAnsi="宋体" w:eastAsia="宋体" w:cs="宋体"/>
                <w:bCs/>
                <w:color w:val="auto"/>
                <w:highlight w:val="none"/>
                <w:lang w:val="en-US" w:eastAsia="zh-CN"/>
              </w:rPr>
              <w:t>得</w:t>
            </w:r>
            <w:r>
              <w:rPr>
                <w:rFonts w:hint="eastAsia" w:ascii="宋体" w:hAnsi="宋体" w:cs="宋体"/>
                <w:bCs/>
                <w:color w:val="auto"/>
                <w:highlight w:val="none"/>
                <w:lang w:val="en-US" w:eastAsia="zh-CN"/>
              </w:rPr>
              <w:t>5</w:t>
            </w:r>
            <w:r>
              <w:rPr>
                <w:rFonts w:hint="eastAsia" w:ascii="宋体" w:hAnsi="宋体" w:eastAsia="宋体" w:cs="宋体"/>
                <w:bCs/>
                <w:color w:val="auto"/>
                <w:highlight w:val="none"/>
                <w:lang w:val="en-US" w:eastAsia="zh-CN"/>
              </w:rPr>
              <w:t>分；合理可行的得</w:t>
            </w:r>
            <w:r>
              <w:rPr>
                <w:rFonts w:hint="eastAsia" w:ascii="宋体" w:hAnsi="宋体" w:cs="宋体"/>
                <w:bCs/>
                <w:color w:val="auto"/>
                <w:highlight w:val="none"/>
                <w:lang w:val="en-US" w:eastAsia="zh-CN"/>
              </w:rPr>
              <w:t>4</w:t>
            </w:r>
            <w:r>
              <w:rPr>
                <w:rFonts w:hint="eastAsia" w:ascii="宋体" w:hAnsi="宋体" w:eastAsia="宋体" w:cs="宋体"/>
                <w:bCs/>
                <w:color w:val="auto"/>
                <w:highlight w:val="none"/>
                <w:lang w:val="en-US" w:eastAsia="zh-CN"/>
              </w:rPr>
              <w:t>分；基本全面的得3分；较差的得2分；一般的得1；</w:t>
            </w:r>
            <w:r>
              <w:rPr>
                <w:rFonts w:hint="eastAsia" w:ascii="宋体" w:hAnsi="宋体" w:eastAsia="宋体" w:cs="宋体"/>
                <w:bCs/>
                <w:color w:val="auto"/>
                <w:kern w:val="2"/>
                <w:sz w:val="24"/>
                <w:szCs w:val="20"/>
                <w:highlight w:val="none"/>
                <w:lang w:val="en-US" w:eastAsia="zh-CN" w:bidi="ar-SA"/>
              </w:rPr>
              <w:t>未提供方案的</w:t>
            </w:r>
            <w:r>
              <w:rPr>
                <w:rFonts w:hint="eastAsia" w:ascii="宋体" w:hAnsi="宋体" w:eastAsia="宋体" w:cs="宋体"/>
                <w:bCs/>
                <w:color w:val="auto"/>
                <w:highlight w:val="none"/>
                <w:lang w:val="en-US" w:eastAsia="zh-CN"/>
              </w:rPr>
              <w:t>得0分。</w:t>
            </w:r>
          </w:p>
        </w:tc>
        <w:tc>
          <w:tcPr>
            <w:tcW w:w="716" w:type="dxa"/>
            <w:vAlign w:val="center"/>
          </w:tcPr>
          <w:p>
            <w:pPr>
              <w:pStyle w:val="60"/>
              <w:numPr>
                <w:ilvl w:val="0"/>
                <w:numId w:val="0"/>
              </w:numPr>
              <w:overflowPunct/>
              <w:autoSpaceDE/>
              <w:autoSpaceDN/>
              <w:adjustRightInd/>
              <w:spacing w:line="240" w:lineRule="auto"/>
              <w:ind w:left="0" w:leftChars="0" w:firstLine="0" w:firstLineChars="0"/>
              <w:jc w:val="center"/>
              <w:textAlignment w:val="auto"/>
              <w:rPr>
                <w:rFonts w:hint="default" w:ascii="宋体" w:hAnsi="宋体" w:cs="仿宋_GB2312"/>
                <w:b w:val="0"/>
                <w:color w:val="auto"/>
                <w:kern w:val="2"/>
                <w:sz w:val="24"/>
                <w:szCs w:val="24"/>
                <w:highlight w:val="none"/>
                <w:lang w:val="en-US" w:eastAsia="zh-CN" w:bidi="ar-SA"/>
              </w:rPr>
            </w:pPr>
            <w:r>
              <w:rPr>
                <w:rFonts w:hint="eastAsia" w:ascii="宋体" w:hAnsi="宋体" w:cs="仿宋_GB2312"/>
                <w:b w:val="0"/>
                <w:color w:val="auto"/>
                <w:kern w:val="2"/>
                <w:sz w:val="24"/>
                <w:szCs w:val="24"/>
                <w:highlight w:val="none"/>
                <w:lang w:val="en-US" w:eastAsia="zh-CN" w:bidi="ar-SA"/>
              </w:rPr>
              <w:t>5</w:t>
            </w:r>
          </w:p>
        </w:tc>
        <w:tc>
          <w:tcPr>
            <w:tcW w:w="950" w:type="dxa"/>
            <w:vAlign w:val="center"/>
          </w:tcPr>
          <w:p>
            <w:pPr>
              <w:snapToGrid w:val="0"/>
              <w:spacing w:line="360" w:lineRule="auto"/>
              <w:jc w:val="center"/>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主观分</w:t>
            </w:r>
          </w:p>
        </w:tc>
        <w:tc>
          <w:tcPr>
            <w:tcW w:w="836"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pStyle w:val="6"/>
              <w:jc w:val="center"/>
              <w:rPr>
                <w:rFonts w:hint="default" w:ascii="宋体" w:hAnsi="宋体" w:eastAsia="宋体" w:cs="仿宋_GB2312"/>
                <w:b w:val="0"/>
                <w:bCs w:val="0"/>
                <w:color w:val="auto"/>
                <w:kern w:val="2"/>
                <w:sz w:val="24"/>
                <w:szCs w:val="24"/>
                <w:highlight w:val="none"/>
                <w:lang w:val="en-US" w:eastAsia="zh-CN" w:bidi="ar-SA"/>
              </w:rPr>
            </w:pPr>
            <w:r>
              <w:rPr>
                <w:rFonts w:hint="eastAsia" w:ascii="宋体" w:hAnsi="宋体" w:eastAsia="宋体" w:cs="仿宋_GB2312"/>
                <w:b w:val="0"/>
                <w:bCs w:val="0"/>
                <w:color w:val="auto"/>
                <w:kern w:val="2"/>
                <w:sz w:val="24"/>
                <w:szCs w:val="24"/>
                <w:highlight w:val="none"/>
                <w:lang w:val="en-US" w:eastAsia="zh-CN" w:bidi="ar-SA"/>
              </w:rPr>
              <w:t>6</w:t>
            </w:r>
          </w:p>
        </w:tc>
        <w:tc>
          <w:tcPr>
            <w:tcW w:w="6967" w:type="dxa"/>
            <w:vAlign w:val="center"/>
          </w:tcPr>
          <w:p>
            <w:pPr>
              <w:pStyle w:val="128"/>
              <w:numPr>
                <w:ilvl w:val="0"/>
                <w:numId w:val="0"/>
              </w:numPr>
              <w:snapToGrid w:val="0"/>
              <w:spacing w:before="0" w:line="360" w:lineRule="auto"/>
              <w:ind w:leftChars="0"/>
              <w:jc w:val="left"/>
              <w:rPr>
                <w:rFonts w:hint="eastAsia"/>
                <w:b/>
                <w:bCs w:val="0"/>
                <w:color w:val="auto"/>
                <w:highlight w:val="none"/>
                <w:lang w:eastAsia="zh-CN"/>
              </w:rPr>
            </w:pPr>
            <w:r>
              <w:rPr>
                <w:rFonts w:hint="eastAsia"/>
                <w:b/>
                <w:bCs w:val="0"/>
                <w:color w:val="auto"/>
                <w:highlight w:val="none"/>
                <w:lang w:eastAsia="zh-CN"/>
              </w:rPr>
              <w:t>【</w:t>
            </w:r>
            <w:r>
              <w:rPr>
                <w:rFonts w:hint="eastAsia"/>
                <w:b/>
                <w:bCs w:val="0"/>
                <w:color w:val="auto"/>
                <w:highlight w:val="none"/>
              </w:rPr>
              <w:t>服务方案</w:t>
            </w:r>
            <w:r>
              <w:rPr>
                <w:rFonts w:hint="eastAsia"/>
                <w:b/>
                <w:bCs w:val="0"/>
                <w:color w:val="auto"/>
                <w:highlight w:val="none"/>
                <w:lang w:val="en-US" w:eastAsia="zh-CN"/>
              </w:rPr>
              <w:t>：娱疗训练方案</w:t>
            </w:r>
            <w:r>
              <w:rPr>
                <w:rFonts w:hint="eastAsia"/>
                <w:b/>
                <w:bCs w:val="0"/>
                <w:color w:val="auto"/>
                <w:highlight w:val="none"/>
                <w:lang w:eastAsia="zh-CN"/>
              </w:rPr>
              <w:t>】</w:t>
            </w:r>
          </w:p>
          <w:p>
            <w:pPr>
              <w:pStyle w:val="128"/>
              <w:numPr>
                <w:ilvl w:val="0"/>
                <w:numId w:val="0"/>
              </w:numPr>
              <w:snapToGrid w:val="0"/>
              <w:spacing w:before="0" w:line="360" w:lineRule="auto"/>
              <w:ind w:leftChars="0"/>
              <w:jc w:val="left"/>
              <w:rPr>
                <w:rFonts w:hint="eastAsia"/>
                <w:b/>
                <w:bCs w:val="0"/>
                <w:color w:val="auto"/>
                <w:highlight w:val="none"/>
                <w:lang w:val="en-US" w:eastAsia="zh-CN"/>
              </w:rPr>
            </w:pPr>
            <w:r>
              <w:rPr>
                <w:rFonts w:hint="eastAsia" w:ascii="宋体" w:hAnsi="宋体" w:eastAsia="宋体" w:cs="宋体"/>
                <w:bCs/>
                <w:color w:val="auto"/>
                <w:highlight w:val="none"/>
                <w:lang w:val="en-US" w:eastAsia="zh-CN"/>
              </w:rPr>
              <w:t>娱疗训练方案具体详实，符合实际情况，具有合理可行</w:t>
            </w:r>
            <w:r>
              <w:rPr>
                <w:rFonts w:hint="eastAsia" w:ascii="宋体" w:hAnsi="宋体" w:cs="宋体"/>
                <w:bCs/>
                <w:color w:val="auto"/>
                <w:highlight w:val="none"/>
                <w:lang w:val="en-US" w:eastAsia="zh-CN"/>
              </w:rPr>
              <w:t>且</w:t>
            </w:r>
            <w:r>
              <w:rPr>
                <w:rFonts w:hint="eastAsia" w:ascii="宋体" w:hAnsi="宋体" w:eastAsia="宋体" w:cs="宋体"/>
                <w:bCs/>
                <w:color w:val="auto"/>
                <w:highlight w:val="none"/>
                <w:lang w:val="en-US" w:eastAsia="zh-CN"/>
              </w:rPr>
              <w:t>针对性</w:t>
            </w:r>
            <w:r>
              <w:rPr>
                <w:rFonts w:hint="eastAsia" w:ascii="宋体" w:hAnsi="宋体" w:cs="宋体"/>
                <w:bCs/>
                <w:color w:val="auto"/>
                <w:highlight w:val="none"/>
                <w:lang w:val="en-US" w:eastAsia="zh-CN"/>
              </w:rPr>
              <w:t>强的</w:t>
            </w:r>
            <w:r>
              <w:rPr>
                <w:rFonts w:hint="eastAsia" w:ascii="宋体" w:hAnsi="宋体" w:eastAsia="宋体" w:cs="宋体"/>
                <w:bCs/>
                <w:color w:val="auto"/>
                <w:highlight w:val="none"/>
                <w:lang w:val="en-US" w:eastAsia="zh-CN"/>
              </w:rPr>
              <w:t>得</w:t>
            </w:r>
            <w:r>
              <w:rPr>
                <w:rFonts w:hint="eastAsia" w:ascii="宋体" w:hAnsi="宋体" w:cs="宋体"/>
                <w:bCs/>
                <w:color w:val="auto"/>
                <w:highlight w:val="none"/>
                <w:lang w:val="en-US" w:eastAsia="zh-CN"/>
              </w:rPr>
              <w:t>5</w:t>
            </w:r>
            <w:r>
              <w:rPr>
                <w:rFonts w:hint="eastAsia" w:ascii="宋体" w:hAnsi="宋体" w:eastAsia="宋体" w:cs="宋体"/>
                <w:bCs/>
                <w:color w:val="auto"/>
                <w:highlight w:val="none"/>
                <w:lang w:val="en-US" w:eastAsia="zh-CN"/>
              </w:rPr>
              <w:t>分；合理可行的得</w:t>
            </w:r>
            <w:r>
              <w:rPr>
                <w:rFonts w:hint="eastAsia" w:ascii="宋体" w:hAnsi="宋体" w:cs="宋体"/>
                <w:bCs/>
                <w:color w:val="auto"/>
                <w:highlight w:val="none"/>
                <w:lang w:val="en-US" w:eastAsia="zh-CN"/>
              </w:rPr>
              <w:t>4</w:t>
            </w:r>
            <w:r>
              <w:rPr>
                <w:rFonts w:hint="eastAsia" w:ascii="宋体" w:hAnsi="宋体" w:eastAsia="宋体" w:cs="宋体"/>
                <w:bCs/>
                <w:color w:val="auto"/>
                <w:highlight w:val="none"/>
                <w:lang w:val="en-US" w:eastAsia="zh-CN"/>
              </w:rPr>
              <w:t>分；基本全面的得3分；较差的得2分；一般的得1；</w:t>
            </w:r>
            <w:r>
              <w:rPr>
                <w:rFonts w:hint="eastAsia" w:ascii="宋体" w:hAnsi="宋体" w:eastAsia="宋体" w:cs="宋体"/>
                <w:bCs/>
                <w:color w:val="auto"/>
                <w:kern w:val="2"/>
                <w:sz w:val="24"/>
                <w:szCs w:val="20"/>
                <w:highlight w:val="none"/>
                <w:lang w:val="en-US" w:eastAsia="zh-CN" w:bidi="ar-SA"/>
              </w:rPr>
              <w:t>未提供方案的</w:t>
            </w:r>
            <w:r>
              <w:rPr>
                <w:rFonts w:hint="eastAsia" w:ascii="宋体" w:hAnsi="宋体" w:eastAsia="宋体" w:cs="宋体"/>
                <w:bCs/>
                <w:color w:val="auto"/>
                <w:highlight w:val="none"/>
                <w:lang w:val="en-US" w:eastAsia="zh-CN"/>
              </w:rPr>
              <w:t>得0分。</w:t>
            </w:r>
          </w:p>
        </w:tc>
        <w:tc>
          <w:tcPr>
            <w:tcW w:w="716" w:type="dxa"/>
            <w:vAlign w:val="center"/>
          </w:tcPr>
          <w:p>
            <w:pPr>
              <w:pStyle w:val="60"/>
              <w:numPr>
                <w:ilvl w:val="0"/>
                <w:numId w:val="0"/>
              </w:numPr>
              <w:overflowPunct/>
              <w:autoSpaceDE/>
              <w:autoSpaceDN/>
              <w:adjustRightInd/>
              <w:spacing w:line="240" w:lineRule="auto"/>
              <w:ind w:left="0" w:leftChars="0" w:firstLine="0" w:firstLineChars="0"/>
              <w:jc w:val="center"/>
              <w:textAlignment w:val="auto"/>
              <w:rPr>
                <w:rFonts w:hint="default" w:ascii="宋体" w:hAnsi="宋体" w:cs="仿宋_GB2312"/>
                <w:b w:val="0"/>
                <w:color w:val="auto"/>
                <w:kern w:val="2"/>
                <w:sz w:val="24"/>
                <w:szCs w:val="24"/>
                <w:highlight w:val="none"/>
                <w:lang w:val="en-US" w:eastAsia="zh-CN" w:bidi="ar-SA"/>
              </w:rPr>
            </w:pPr>
            <w:r>
              <w:rPr>
                <w:rFonts w:hint="eastAsia" w:ascii="宋体" w:hAnsi="宋体" w:cs="仿宋_GB2312"/>
                <w:b w:val="0"/>
                <w:color w:val="auto"/>
                <w:kern w:val="2"/>
                <w:sz w:val="24"/>
                <w:szCs w:val="24"/>
                <w:highlight w:val="none"/>
                <w:lang w:val="en-US" w:eastAsia="zh-CN" w:bidi="ar-SA"/>
              </w:rPr>
              <w:t>5</w:t>
            </w:r>
          </w:p>
        </w:tc>
        <w:tc>
          <w:tcPr>
            <w:tcW w:w="950" w:type="dxa"/>
            <w:vAlign w:val="center"/>
          </w:tcPr>
          <w:p>
            <w:pPr>
              <w:snapToGrid w:val="0"/>
              <w:spacing w:line="360" w:lineRule="auto"/>
              <w:jc w:val="center"/>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主观分</w:t>
            </w:r>
          </w:p>
        </w:tc>
        <w:tc>
          <w:tcPr>
            <w:tcW w:w="836"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pStyle w:val="6"/>
              <w:jc w:val="center"/>
              <w:rPr>
                <w:rFonts w:hint="default" w:ascii="宋体" w:hAnsi="宋体" w:eastAsia="宋体" w:cs="仿宋_GB2312"/>
                <w:b w:val="0"/>
                <w:bCs w:val="0"/>
                <w:color w:val="auto"/>
                <w:kern w:val="2"/>
                <w:sz w:val="24"/>
                <w:szCs w:val="24"/>
                <w:highlight w:val="none"/>
                <w:lang w:val="en-US" w:eastAsia="zh-CN" w:bidi="ar-SA"/>
              </w:rPr>
            </w:pPr>
            <w:r>
              <w:rPr>
                <w:rFonts w:hint="eastAsia" w:ascii="宋体" w:hAnsi="宋体" w:eastAsia="宋体" w:cs="仿宋_GB2312"/>
                <w:b w:val="0"/>
                <w:bCs w:val="0"/>
                <w:color w:val="auto"/>
                <w:kern w:val="2"/>
                <w:sz w:val="24"/>
                <w:szCs w:val="24"/>
                <w:highlight w:val="none"/>
                <w:lang w:val="en-US" w:eastAsia="zh-CN" w:bidi="ar-SA"/>
              </w:rPr>
              <w:t>7</w:t>
            </w:r>
          </w:p>
        </w:tc>
        <w:tc>
          <w:tcPr>
            <w:tcW w:w="6967" w:type="dxa"/>
            <w:vAlign w:val="center"/>
          </w:tcPr>
          <w:p>
            <w:pPr>
              <w:pStyle w:val="128"/>
              <w:numPr>
                <w:ilvl w:val="0"/>
                <w:numId w:val="0"/>
              </w:numPr>
              <w:snapToGrid w:val="0"/>
              <w:spacing w:before="0" w:line="360" w:lineRule="auto"/>
              <w:ind w:leftChars="0"/>
              <w:jc w:val="left"/>
              <w:rPr>
                <w:rFonts w:hint="eastAsia"/>
                <w:b/>
                <w:bCs w:val="0"/>
                <w:color w:val="auto"/>
                <w:highlight w:val="none"/>
                <w:lang w:eastAsia="zh-CN"/>
              </w:rPr>
            </w:pPr>
            <w:r>
              <w:rPr>
                <w:rFonts w:hint="eastAsia"/>
                <w:b/>
                <w:bCs w:val="0"/>
                <w:color w:val="auto"/>
                <w:highlight w:val="none"/>
                <w:lang w:eastAsia="zh-CN"/>
              </w:rPr>
              <w:t>【</w:t>
            </w:r>
            <w:r>
              <w:rPr>
                <w:rFonts w:hint="eastAsia"/>
                <w:b/>
                <w:bCs w:val="0"/>
                <w:color w:val="auto"/>
                <w:highlight w:val="none"/>
              </w:rPr>
              <w:t>服务方案</w:t>
            </w:r>
            <w:r>
              <w:rPr>
                <w:rFonts w:hint="eastAsia"/>
                <w:b/>
                <w:bCs w:val="0"/>
                <w:color w:val="auto"/>
                <w:highlight w:val="none"/>
                <w:lang w:val="en-US" w:eastAsia="zh-CN"/>
              </w:rPr>
              <w:t>：生活技能方案</w:t>
            </w:r>
            <w:r>
              <w:rPr>
                <w:rFonts w:hint="eastAsia"/>
                <w:b/>
                <w:bCs w:val="0"/>
                <w:color w:val="auto"/>
                <w:highlight w:val="none"/>
                <w:lang w:eastAsia="zh-CN"/>
              </w:rPr>
              <w:t>】</w:t>
            </w:r>
          </w:p>
          <w:p>
            <w:pPr>
              <w:pStyle w:val="128"/>
              <w:numPr>
                <w:ilvl w:val="0"/>
                <w:numId w:val="0"/>
              </w:numPr>
              <w:snapToGrid w:val="0"/>
              <w:spacing w:before="0" w:line="360" w:lineRule="auto"/>
              <w:ind w:leftChars="0"/>
              <w:jc w:val="left"/>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生活技能方案具体详实，符合实际情况，具有合理可行</w:t>
            </w:r>
            <w:r>
              <w:rPr>
                <w:rFonts w:hint="eastAsia" w:ascii="宋体" w:hAnsi="宋体" w:cs="宋体"/>
                <w:bCs/>
                <w:color w:val="auto"/>
                <w:highlight w:val="none"/>
                <w:lang w:val="en-US" w:eastAsia="zh-CN"/>
              </w:rPr>
              <w:t>且</w:t>
            </w:r>
            <w:r>
              <w:rPr>
                <w:rFonts w:hint="eastAsia" w:ascii="宋体" w:hAnsi="宋体" w:eastAsia="宋体" w:cs="宋体"/>
                <w:bCs/>
                <w:color w:val="auto"/>
                <w:highlight w:val="none"/>
                <w:lang w:val="en-US" w:eastAsia="zh-CN"/>
              </w:rPr>
              <w:t>针对性</w:t>
            </w:r>
            <w:r>
              <w:rPr>
                <w:rFonts w:hint="eastAsia" w:ascii="宋体" w:hAnsi="宋体" w:cs="宋体"/>
                <w:bCs/>
                <w:color w:val="auto"/>
                <w:highlight w:val="none"/>
                <w:lang w:val="en-US" w:eastAsia="zh-CN"/>
              </w:rPr>
              <w:t>强的</w:t>
            </w:r>
            <w:r>
              <w:rPr>
                <w:rFonts w:hint="eastAsia" w:ascii="宋体" w:hAnsi="宋体" w:eastAsia="宋体" w:cs="宋体"/>
                <w:bCs/>
                <w:color w:val="auto"/>
                <w:highlight w:val="none"/>
                <w:lang w:val="en-US" w:eastAsia="zh-CN"/>
              </w:rPr>
              <w:t>得</w:t>
            </w:r>
            <w:r>
              <w:rPr>
                <w:rFonts w:hint="eastAsia" w:ascii="宋体" w:hAnsi="宋体" w:cs="宋体"/>
                <w:bCs/>
                <w:color w:val="auto"/>
                <w:highlight w:val="none"/>
                <w:lang w:val="en-US" w:eastAsia="zh-CN"/>
              </w:rPr>
              <w:t>5</w:t>
            </w:r>
            <w:r>
              <w:rPr>
                <w:rFonts w:hint="eastAsia" w:ascii="宋体" w:hAnsi="宋体" w:eastAsia="宋体" w:cs="宋体"/>
                <w:bCs/>
                <w:color w:val="auto"/>
                <w:highlight w:val="none"/>
                <w:lang w:val="en-US" w:eastAsia="zh-CN"/>
              </w:rPr>
              <w:t>分；合理可行的得</w:t>
            </w:r>
            <w:r>
              <w:rPr>
                <w:rFonts w:hint="eastAsia" w:ascii="宋体" w:hAnsi="宋体" w:cs="宋体"/>
                <w:bCs/>
                <w:color w:val="auto"/>
                <w:highlight w:val="none"/>
                <w:lang w:val="en-US" w:eastAsia="zh-CN"/>
              </w:rPr>
              <w:t>4</w:t>
            </w:r>
            <w:r>
              <w:rPr>
                <w:rFonts w:hint="eastAsia" w:ascii="宋体" w:hAnsi="宋体" w:eastAsia="宋体" w:cs="宋体"/>
                <w:bCs/>
                <w:color w:val="auto"/>
                <w:highlight w:val="none"/>
                <w:lang w:val="en-US" w:eastAsia="zh-CN"/>
              </w:rPr>
              <w:t>分；基本全面的得3分；较差的得2分；一般的得1；</w:t>
            </w:r>
            <w:r>
              <w:rPr>
                <w:rFonts w:hint="eastAsia" w:ascii="宋体" w:hAnsi="宋体" w:eastAsia="宋体" w:cs="宋体"/>
                <w:bCs/>
                <w:color w:val="auto"/>
                <w:kern w:val="2"/>
                <w:sz w:val="24"/>
                <w:szCs w:val="20"/>
                <w:highlight w:val="none"/>
                <w:lang w:val="en-US" w:eastAsia="zh-CN" w:bidi="ar-SA"/>
              </w:rPr>
              <w:t>未提供方案的</w:t>
            </w:r>
            <w:r>
              <w:rPr>
                <w:rFonts w:hint="eastAsia" w:ascii="宋体" w:hAnsi="宋体" w:eastAsia="宋体" w:cs="宋体"/>
                <w:bCs/>
                <w:color w:val="auto"/>
                <w:highlight w:val="none"/>
                <w:lang w:val="en-US" w:eastAsia="zh-CN"/>
              </w:rPr>
              <w:t>得0分。</w:t>
            </w:r>
          </w:p>
        </w:tc>
        <w:tc>
          <w:tcPr>
            <w:tcW w:w="716" w:type="dxa"/>
            <w:vAlign w:val="center"/>
          </w:tcPr>
          <w:p>
            <w:pPr>
              <w:pStyle w:val="60"/>
              <w:numPr>
                <w:ilvl w:val="0"/>
                <w:numId w:val="0"/>
              </w:numPr>
              <w:overflowPunct/>
              <w:autoSpaceDE/>
              <w:autoSpaceDN/>
              <w:adjustRightInd/>
              <w:spacing w:line="240" w:lineRule="auto"/>
              <w:ind w:left="0" w:leftChars="0" w:firstLine="0" w:firstLineChars="0"/>
              <w:jc w:val="center"/>
              <w:textAlignment w:val="auto"/>
              <w:rPr>
                <w:rFonts w:hint="default" w:ascii="宋体" w:hAnsi="宋体" w:cs="仿宋_GB2312"/>
                <w:b w:val="0"/>
                <w:color w:val="auto"/>
                <w:kern w:val="2"/>
                <w:sz w:val="24"/>
                <w:szCs w:val="24"/>
                <w:highlight w:val="none"/>
                <w:lang w:val="en-US" w:eastAsia="zh-CN" w:bidi="ar-SA"/>
              </w:rPr>
            </w:pPr>
            <w:r>
              <w:rPr>
                <w:rFonts w:hint="eastAsia" w:ascii="宋体" w:hAnsi="宋体" w:cs="仿宋_GB2312"/>
                <w:b w:val="0"/>
                <w:color w:val="auto"/>
                <w:kern w:val="2"/>
                <w:sz w:val="24"/>
                <w:szCs w:val="24"/>
                <w:highlight w:val="none"/>
                <w:lang w:val="en-US" w:eastAsia="zh-CN" w:bidi="ar-SA"/>
              </w:rPr>
              <w:t>5</w:t>
            </w:r>
          </w:p>
        </w:tc>
        <w:tc>
          <w:tcPr>
            <w:tcW w:w="950" w:type="dxa"/>
            <w:vAlign w:val="center"/>
          </w:tcPr>
          <w:p>
            <w:pPr>
              <w:snapToGrid w:val="0"/>
              <w:spacing w:line="360" w:lineRule="auto"/>
              <w:jc w:val="center"/>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主观分</w:t>
            </w:r>
          </w:p>
        </w:tc>
        <w:tc>
          <w:tcPr>
            <w:tcW w:w="836"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pStyle w:val="6"/>
              <w:ind w:left="432" w:leftChars="0" w:hanging="432" w:firstLineChars="0"/>
              <w:jc w:val="center"/>
              <w:rPr>
                <w:rFonts w:hint="default" w:ascii="宋体" w:hAnsi="宋体" w:eastAsia="宋体" w:cs="仿宋_GB2312"/>
                <w:b w:val="0"/>
                <w:bCs w:val="0"/>
                <w:color w:val="auto"/>
                <w:kern w:val="2"/>
                <w:sz w:val="24"/>
                <w:szCs w:val="24"/>
                <w:highlight w:val="none"/>
                <w:lang w:val="en-US" w:eastAsia="zh-CN" w:bidi="ar-SA"/>
              </w:rPr>
            </w:pPr>
            <w:r>
              <w:rPr>
                <w:rFonts w:hint="eastAsia" w:ascii="宋体" w:hAnsi="宋体" w:eastAsia="宋体" w:cs="仿宋_GB2312"/>
                <w:b w:val="0"/>
                <w:bCs w:val="0"/>
                <w:color w:val="auto"/>
                <w:kern w:val="2"/>
                <w:sz w:val="24"/>
                <w:szCs w:val="24"/>
                <w:highlight w:val="none"/>
                <w:lang w:val="en-US" w:eastAsia="zh-CN" w:bidi="ar-SA"/>
              </w:rPr>
              <w:t>8</w:t>
            </w:r>
          </w:p>
        </w:tc>
        <w:tc>
          <w:tcPr>
            <w:tcW w:w="6967" w:type="dxa"/>
            <w:vAlign w:val="center"/>
          </w:tcPr>
          <w:p>
            <w:pPr>
              <w:pStyle w:val="128"/>
              <w:numPr>
                <w:ilvl w:val="0"/>
                <w:numId w:val="0"/>
              </w:numPr>
              <w:snapToGrid w:val="0"/>
              <w:spacing w:before="0" w:line="360" w:lineRule="auto"/>
              <w:ind w:leftChars="0"/>
              <w:jc w:val="left"/>
              <w:rPr>
                <w:rFonts w:hint="eastAsia"/>
                <w:b/>
                <w:bCs w:val="0"/>
                <w:color w:val="auto"/>
                <w:highlight w:val="none"/>
                <w:lang w:eastAsia="zh-CN"/>
              </w:rPr>
            </w:pPr>
            <w:r>
              <w:rPr>
                <w:rFonts w:hint="eastAsia"/>
                <w:b/>
                <w:bCs w:val="0"/>
                <w:color w:val="auto"/>
                <w:highlight w:val="none"/>
                <w:lang w:eastAsia="zh-CN"/>
              </w:rPr>
              <w:t>【</w:t>
            </w:r>
            <w:r>
              <w:rPr>
                <w:rFonts w:hint="eastAsia"/>
                <w:b/>
                <w:bCs w:val="0"/>
                <w:color w:val="auto"/>
                <w:highlight w:val="none"/>
              </w:rPr>
              <w:t>服务方案</w:t>
            </w:r>
            <w:r>
              <w:rPr>
                <w:rFonts w:hint="eastAsia"/>
                <w:b/>
                <w:bCs w:val="0"/>
                <w:color w:val="auto"/>
                <w:highlight w:val="none"/>
                <w:lang w:val="en-US" w:eastAsia="zh-CN"/>
              </w:rPr>
              <w:t>：社交技能训练方案</w:t>
            </w:r>
            <w:r>
              <w:rPr>
                <w:rFonts w:hint="eastAsia"/>
                <w:b/>
                <w:bCs w:val="0"/>
                <w:color w:val="auto"/>
                <w:highlight w:val="none"/>
                <w:lang w:eastAsia="zh-CN"/>
              </w:rPr>
              <w:t>】</w:t>
            </w:r>
          </w:p>
          <w:p>
            <w:pPr>
              <w:pStyle w:val="128"/>
              <w:numPr>
                <w:ilvl w:val="0"/>
                <w:numId w:val="0"/>
              </w:numPr>
              <w:snapToGrid w:val="0"/>
              <w:spacing w:before="0" w:line="360" w:lineRule="auto"/>
              <w:ind w:leftChars="0"/>
              <w:jc w:val="left"/>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社交技能训练方案具体详实，符合实际情况，具有合理可行</w:t>
            </w:r>
            <w:r>
              <w:rPr>
                <w:rFonts w:hint="eastAsia" w:ascii="宋体" w:hAnsi="宋体" w:cs="宋体"/>
                <w:bCs/>
                <w:color w:val="auto"/>
                <w:highlight w:val="none"/>
                <w:lang w:val="en-US" w:eastAsia="zh-CN"/>
              </w:rPr>
              <w:t>且</w:t>
            </w:r>
            <w:r>
              <w:rPr>
                <w:rFonts w:hint="eastAsia" w:ascii="宋体" w:hAnsi="宋体" w:eastAsia="宋体" w:cs="宋体"/>
                <w:bCs/>
                <w:color w:val="auto"/>
                <w:highlight w:val="none"/>
                <w:lang w:val="en-US" w:eastAsia="zh-CN"/>
              </w:rPr>
              <w:t>针对性</w:t>
            </w:r>
            <w:r>
              <w:rPr>
                <w:rFonts w:hint="eastAsia" w:ascii="宋体" w:hAnsi="宋体" w:cs="宋体"/>
                <w:bCs/>
                <w:color w:val="auto"/>
                <w:highlight w:val="none"/>
                <w:lang w:val="en-US" w:eastAsia="zh-CN"/>
              </w:rPr>
              <w:t>强的</w:t>
            </w:r>
            <w:r>
              <w:rPr>
                <w:rFonts w:hint="eastAsia" w:ascii="宋体" w:hAnsi="宋体" w:eastAsia="宋体" w:cs="宋体"/>
                <w:bCs/>
                <w:color w:val="auto"/>
                <w:highlight w:val="none"/>
                <w:lang w:val="en-US" w:eastAsia="zh-CN"/>
              </w:rPr>
              <w:t>得</w:t>
            </w:r>
            <w:r>
              <w:rPr>
                <w:rFonts w:hint="eastAsia" w:ascii="宋体" w:hAnsi="宋体" w:cs="宋体"/>
                <w:bCs/>
                <w:color w:val="auto"/>
                <w:highlight w:val="none"/>
                <w:lang w:val="en-US" w:eastAsia="zh-CN"/>
              </w:rPr>
              <w:t>5</w:t>
            </w:r>
            <w:r>
              <w:rPr>
                <w:rFonts w:hint="eastAsia" w:ascii="宋体" w:hAnsi="宋体" w:eastAsia="宋体" w:cs="宋体"/>
                <w:bCs/>
                <w:color w:val="auto"/>
                <w:highlight w:val="none"/>
                <w:lang w:val="en-US" w:eastAsia="zh-CN"/>
              </w:rPr>
              <w:t>分；合理可行的得</w:t>
            </w:r>
            <w:r>
              <w:rPr>
                <w:rFonts w:hint="eastAsia" w:ascii="宋体" w:hAnsi="宋体" w:cs="宋体"/>
                <w:bCs/>
                <w:color w:val="auto"/>
                <w:highlight w:val="none"/>
                <w:lang w:val="en-US" w:eastAsia="zh-CN"/>
              </w:rPr>
              <w:t>4</w:t>
            </w:r>
            <w:r>
              <w:rPr>
                <w:rFonts w:hint="eastAsia" w:ascii="宋体" w:hAnsi="宋体" w:eastAsia="宋体" w:cs="宋体"/>
                <w:bCs/>
                <w:color w:val="auto"/>
                <w:highlight w:val="none"/>
                <w:lang w:val="en-US" w:eastAsia="zh-CN"/>
              </w:rPr>
              <w:t>分；基本全面的得3分；较差的得2分；一般的得1；</w:t>
            </w:r>
            <w:r>
              <w:rPr>
                <w:rFonts w:hint="eastAsia" w:ascii="宋体" w:hAnsi="宋体" w:eastAsia="宋体" w:cs="宋体"/>
                <w:bCs/>
                <w:color w:val="auto"/>
                <w:kern w:val="2"/>
                <w:sz w:val="24"/>
                <w:szCs w:val="20"/>
                <w:highlight w:val="none"/>
                <w:lang w:val="en-US" w:eastAsia="zh-CN" w:bidi="ar-SA"/>
              </w:rPr>
              <w:t>未提供方案的</w:t>
            </w:r>
            <w:r>
              <w:rPr>
                <w:rFonts w:hint="eastAsia" w:ascii="宋体" w:hAnsi="宋体" w:eastAsia="宋体" w:cs="宋体"/>
                <w:bCs/>
                <w:color w:val="auto"/>
                <w:highlight w:val="none"/>
                <w:lang w:val="en-US" w:eastAsia="zh-CN"/>
              </w:rPr>
              <w:t>得0分。</w:t>
            </w:r>
          </w:p>
        </w:tc>
        <w:tc>
          <w:tcPr>
            <w:tcW w:w="716" w:type="dxa"/>
            <w:vAlign w:val="center"/>
          </w:tcPr>
          <w:p>
            <w:pPr>
              <w:pStyle w:val="60"/>
              <w:numPr>
                <w:ilvl w:val="0"/>
                <w:numId w:val="0"/>
              </w:numPr>
              <w:overflowPunct/>
              <w:autoSpaceDE/>
              <w:autoSpaceDN/>
              <w:adjustRightInd/>
              <w:spacing w:line="240" w:lineRule="auto"/>
              <w:ind w:left="0" w:leftChars="0" w:firstLine="0" w:firstLineChars="0"/>
              <w:jc w:val="center"/>
              <w:textAlignment w:val="auto"/>
              <w:rPr>
                <w:rFonts w:hint="default" w:ascii="宋体" w:hAnsi="宋体" w:cs="仿宋_GB2312"/>
                <w:b w:val="0"/>
                <w:color w:val="auto"/>
                <w:kern w:val="2"/>
                <w:sz w:val="24"/>
                <w:szCs w:val="24"/>
                <w:highlight w:val="none"/>
                <w:lang w:val="en-US" w:eastAsia="zh-CN" w:bidi="ar-SA"/>
              </w:rPr>
            </w:pPr>
            <w:r>
              <w:rPr>
                <w:rFonts w:hint="eastAsia" w:ascii="宋体" w:hAnsi="宋体" w:cs="仿宋_GB2312"/>
                <w:b w:val="0"/>
                <w:color w:val="auto"/>
                <w:kern w:val="2"/>
                <w:sz w:val="24"/>
                <w:szCs w:val="24"/>
                <w:highlight w:val="none"/>
                <w:lang w:val="en-US" w:eastAsia="zh-CN" w:bidi="ar-SA"/>
              </w:rPr>
              <w:t>5</w:t>
            </w:r>
          </w:p>
        </w:tc>
        <w:tc>
          <w:tcPr>
            <w:tcW w:w="950" w:type="dxa"/>
            <w:vAlign w:val="center"/>
          </w:tcPr>
          <w:p>
            <w:pPr>
              <w:snapToGrid w:val="0"/>
              <w:spacing w:line="360" w:lineRule="auto"/>
              <w:jc w:val="center"/>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主观分</w:t>
            </w:r>
          </w:p>
        </w:tc>
        <w:tc>
          <w:tcPr>
            <w:tcW w:w="836"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pStyle w:val="6"/>
              <w:ind w:left="432" w:leftChars="0" w:hanging="432" w:firstLineChars="0"/>
              <w:jc w:val="center"/>
              <w:rPr>
                <w:rFonts w:hint="default" w:ascii="宋体" w:hAnsi="宋体" w:eastAsia="宋体" w:cs="仿宋_GB2312"/>
                <w:b w:val="0"/>
                <w:bCs w:val="0"/>
                <w:color w:val="auto"/>
                <w:kern w:val="2"/>
                <w:sz w:val="24"/>
                <w:szCs w:val="24"/>
                <w:highlight w:val="none"/>
                <w:lang w:val="en-US" w:eastAsia="zh-CN" w:bidi="ar-SA"/>
              </w:rPr>
            </w:pPr>
            <w:r>
              <w:rPr>
                <w:rFonts w:hint="eastAsia" w:ascii="宋体" w:hAnsi="宋体" w:eastAsia="宋体" w:cs="仿宋_GB2312"/>
                <w:b w:val="0"/>
                <w:bCs w:val="0"/>
                <w:color w:val="auto"/>
                <w:kern w:val="2"/>
                <w:sz w:val="24"/>
                <w:szCs w:val="24"/>
                <w:highlight w:val="none"/>
                <w:lang w:val="en-US" w:eastAsia="zh-CN" w:bidi="ar-SA"/>
              </w:rPr>
              <w:t>9</w:t>
            </w:r>
          </w:p>
        </w:tc>
        <w:tc>
          <w:tcPr>
            <w:tcW w:w="6967" w:type="dxa"/>
            <w:vAlign w:val="center"/>
          </w:tcPr>
          <w:p>
            <w:pPr>
              <w:pStyle w:val="128"/>
              <w:numPr>
                <w:ilvl w:val="0"/>
                <w:numId w:val="0"/>
              </w:numPr>
              <w:snapToGrid w:val="0"/>
              <w:spacing w:before="0" w:line="360" w:lineRule="auto"/>
              <w:ind w:leftChars="0"/>
              <w:jc w:val="left"/>
              <w:rPr>
                <w:rFonts w:hint="eastAsia"/>
                <w:b/>
                <w:bCs w:val="0"/>
                <w:color w:val="auto"/>
                <w:highlight w:val="none"/>
                <w:lang w:eastAsia="zh-CN"/>
              </w:rPr>
            </w:pPr>
            <w:r>
              <w:rPr>
                <w:rFonts w:hint="eastAsia"/>
                <w:b/>
                <w:bCs w:val="0"/>
                <w:color w:val="auto"/>
                <w:highlight w:val="none"/>
                <w:lang w:eastAsia="zh-CN"/>
              </w:rPr>
              <w:t>【</w:t>
            </w:r>
            <w:r>
              <w:rPr>
                <w:rFonts w:hint="eastAsia"/>
                <w:b/>
                <w:bCs w:val="0"/>
                <w:color w:val="auto"/>
                <w:highlight w:val="none"/>
              </w:rPr>
              <w:t>服务方案</w:t>
            </w:r>
            <w:r>
              <w:rPr>
                <w:rFonts w:hint="eastAsia"/>
                <w:b/>
                <w:bCs w:val="0"/>
                <w:color w:val="auto"/>
                <w:highlight w:val="none"/>
                <w:lang w:val="en-US" w:eastAsia="zh-CN"/>
              </w:rPr>
              <w:t>：职业康复训练方案</w:t>
            </w:r>
            <w:r>
              <w:rPr>
                <w:rFonts w:hint="eastAsia"/>
                <w:b/>
                <w:bCs w:val="0"/>
                <w:color w:val="auto"/>
                <w:highlight w:val="none"/>
                <w:lang w:eastAsia="zh-CN"/>
              </w:rPr>
              <w:t>】</w:t>
            </w:r>
          </w:p>
          <w:p>
            <w:pPr>
              <w:pStyle w:val="128"/>
              <w:numPr>
                <w:ilvl w:val="0"/>
                <w:numId w:val="0"/>
              </w:numPr>
              <w:snapToGrid w:val="0"/>
              <w:spacing w:before="0" w:line="360" w:lineRule="auto"/>
              <w:ind w:leftChars="0"/>
              <w:jc w:val="left"/>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职业康复训练方案具体详实，符合实际情况，具有合理可行</w:t>
            </w:r>
            <w:r>
              <w:rPr>
                <w:rFonts w:hint="eastAsia" w:ascii="宋体" w:hAnsi="宋体" w:cs="宋体"/>
                <w:bCs/>
                <w:color w:val="auto"/>
                <w:highlight w:val="none"/>
                <w:lang w:val="en-US" w:eastAsia="zh-CN"/>
              </w:rPr>
              <w:t>且</w:t>
            </w:r>
            <w:r>
              <w:rPr>
                <w:rFonts w:hint="eastAsia" w:ascii="宋体" w:hAnsi="宋体" w:eastAsia="宋体" w:cs="宋体"/>
                <w:bCs/>
                <w:color w:val="auto"/>
                <w:highlight w:val="none"/>
                <w:lang w:val="en-US" w:eastAsia="zh-CN"/>
              </w:rPr>
              <w:t>针对性</w:t>
            </w:r>
            <w:r>
              <w:rPr>
                <w:rFonts w:hint="eastAsia" w:ascii="宋体" w:hAnsi="宋体" w:cs="宋体"/>
                <w:bCs/>
                <w:color w:val="auto"/>
                <w:highlight w:val="none"/>
                <w:lang w:val="en-US" w:eastAsia="zh-CN"/>
              </w:rPr>
              <w:t>强的</w:t>
            </w:r>
            <w:r>
              <w:rPr>
                <w:rFonts w:hint="eastAsia" w:ascii="宋体" w:hAnsi="宋体" w:eastAsia="宋体" w:cs="宋体"/>
                <w:bCs/>
                <w:color w:val="auto"/>
                <w:highlight w:val="none"/>
                <w:lang w:val="en-US" w:eastAsia="zh-CN"/>
              </w:rPr>
              <w:t>得</w:t>
            </w:r>
            <w:r>
              <w:rPr>
                <w:rFonts w:hint="eastAsia" w:ascii="宋体" w:hAnsi="宋体" w:cs="宋体"/>
                <w:bCs/>
                <w:color w:val="auto"/>
                <w:highlight w:val="none"/>
                <w:lang w:val="en-US" w:eastAsia="zh-CN"/>
              </w:rPr>
              <w:t>5</w:t>
            </w:r>
            <w:r>
              <w:rPr>
                <w:rFonts w:hint="eastAsia" w:ascii="宋体" w:hAnsi="宋体" w:eastAsia="宋体" w:cs="宋体"/>
                <w:bCs/>
                <w:color w:val="auto"/>
                <w:highlight w:val="none"/>
                <w:lang w:val="en-US" w:eastAsia="zh-CN"/>
              </w:rPr>
              <w:t>分；合理可行的得</w:t>
            </w:r>
            <w:r>
              <w:rPr>
                <w:rFonts w:hint="eastAsia" w:ascii="宋体" w:hAnsi="宋体" w:cs="宋体"/>
                <w:bCs/>
                <w:color w:val="auto"/>
                <w:highlight w:val="none"/>
                <w:lang w:val="en-US" w:eastAsia="zh-CN"/>
              </w:rPr>
              <w:t>4</w:t>
            </w:r>
            <w:r>
              <w:rPr>
                <w:rFonts w:hint="eastAsia" w:ascii="宋体" w:hAnsi="宋体" w:eastAsia="宋体" w:cs="宋体"/>
                <w:bCs/>
                <w:color w:val="auto"/>
                <w:highlight w:val="none"/>
                <w:lang w:val="en-US" w:eastAsia="zh-CN"/>
              </w:rPr>
              <w:t>分；基本全面的得3分；较差的得2分；一般的得1；</w:t>
            </w:r>
            <w:r>
              <w:rPr>
                <w:rFonts w:hint="eastAsia" w:ascii="宋体" w:hAnsi="宋体" w:eastAsia="宋体" w:cs="宋体"/>
                <w:bCs/>
                <w:color w:val="auto"/>
                <w:kern w:val="2"/>
                <w:sz w:val="24"/>
                <w:szCs w:val="20"/>
                <w:highlight w:val="none"/>
                <w:lang w:val="en-US" w:eastAsia="zh-CN" w:bidi="ar-SA"/>
              </w:rPr>
              <w:t>未提供方案的</w:t>
            </w:r>
            <w:r>
              <w:rPr>
                <w:rFonts w:hint="eastAsia" w:ascii="宋体" w:hAnsi="宋体" w:eastAsia="宋体" w:cs="宋体"/>
                <w:bCs/>
                <w:color w:val="auto"/>
                <w:highlight w:val="none"/>
                <w:lang w:val="en-US" w:eastAsia="zh-CN"/>
              </w:rPr>
              <w:t>得0分。</w:t>
            </w:r>
          </w:p>
        </w:tc>
        <w:tc>
          <w:tcPr>
            <w:tcW w:w="716" w:type="dxa"/>
            <w:vAlign w:val="center"/>
          </w:tcPr>
          <w:p>
            <w:pPr>
              <w:pStyle w:val="60"/>
              <w:numPr>
                <w:ilvl w:val="0"/>
                <w:numId w:val="0"/>
              </w:numPr>
              <w:overflowPunct/>
              <w:autoSpaceDE/>
              <w:autoSpaceDN/>
              <w:adjustRightInd/>
              <w:spacing w:line="240" w:lineRule="auto"/>
              <w:ind w:left="0" w:leftChars="0" w:firstLine="0" w:firstLineChars="0"/>
              <w:jc w:val="center"/>
              <w:textAlignment w:val="auto"/>
              <w:rPr>
                <w:rFonts w:hint="default" w:ascii="宋体" w:hAnsi="宋体" w:cs="仿宋_GB2312"/>
                <w:b w:val="0"/>
                <w:color w:val="auto"/>
                <w:kern w:val="2"/>
                <w:sz w:val="24"/>
                <w:szCs w:val="24"/>
                <w:highlight w:val="none"/>
                <w:lang w:val="en-US" w:eastAsia="zh-CN" w:bidi="ar-SA"/>
              </w:rPr>
            </w:pPr>
            <w:r>
              <w:rPr>
                <w:rFonts w:hint="eastAsia" w:ascii="宋体" w:hAnsi="宋体" w:cs="仿宋_GB2312"/>
                <w:b w:val="0"/>
                <w:color w:val="auto"/>
                <w:kern w:val="2"/>
                <w:sz w:val="24"/>
                <w:szCs w:val="24"/>
                <w:highlight w:val="none"/>
                <w:lang w:val="en-US" w:eastAsia="zh-CN" w:bidi="ar-SA"/>
              </w:rPr>
              <w:t>5</w:t>
            </w:r>
          </w:p>
        </w:tc>
        <w:tc>
          <w:tcPr>
            <w:tcW w:w="950" w:type="dxa"/>
            <w:vAlign w:val="center"/>
          </w:tcPr>
          <w:p>
            <w:pPr>
              <w:snapToGrid w:val="0"/>
              <w:spacing w:line="360" w:lineRule="auto"/>
              <w:jc w:val="center"/>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主观分</w:t>
            </w:r>
          </w:p>
        </w:tc>
        <w:tc>
          <w:tcPr>
            <w:tcW w:w="836"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pStyle w:val="6"/>
              <w:ind w:left="432" w:leftChars="0" w:hanging="432" w:firstLineChars="0"/>
              <w:jc w:val="center"/>
              <w:rPr>
                <w:rFonts w:hint="default" w:ascii="宋体" w:hAnsi="宋体" w:eastAsia="宋体" w:cs="仿宋_GB2312"/>
                <w:b w:val="0"/>
                <w:bCs w:val="0"/>
                <w:color w:val="auto"/>
                <w:kern w:val="2"/>
                <w:sz w:val="24"/>
                <w:szCs w:val="24"/>
                <w:highlight w:val="none"/>
                <w:lang w:val="en-US" w:eastAsia="zh-CN" w:bidi="ar-SA"/>
              </w:rPr>
            </w:pPr>
            <w:r>
              <w:rPr>
                <w:rFonts w:hint="eastAsia" w:ascii="宋体" w:hAnsi="宋体" w:eastAsia="宋体" w:cs="仿宋_GB2312"/>
                <w:b w:val="0"/>
                <w:bCs w:val="0"/>
                <w:color w:val="auto"/>
                <w:kern w:val="2"/>
                <w:sz w:val="24"/>
                <w:szCs w:val="24"/>
                <w:highlight w:val="none"/>
                <w:lang w:val="en-US" w:eastAsia="zh-CN" w:bidi="ar-SA"/>
              </w:rPr>
              <w:t>10</w:t>
            </w:r>
          </w:p>
        </w:tc>
        <w:tc>
          <w:tcPr>
            <w:tcW w:w="6967" w:type="dxa"/>
            <w:vAlign w:val="center"/>
          </w:tcPr>
          <w:p>
            <w:pPr>
              <w:pStyle w:val="128"/>
              <w:numPr>
                <w:ilvl w:val="0"/>
                <w:numId w:val="0"/>
              </w:numPr>
              <w:snapToGrid w:val="0"/>
              <w:spacing w:before="0" w:line="360" w:lineRule="auto"/>
              <w:ind w:leftChars="0"/>
              <w:jc w:val="left"/>
              <w:rPr>
                <w:rFonts w:hint="eastAsia"/>
                <w:b/>
                <w:bCs w:val="0"/>
                <w:color w:val="auto"/>
                <w:highlight w:val="none"/>
                <w:lang w:eastAsia="zh-CN"/>
              </w:rPr>
            </w:pPr>
            <w:r>
              <w:rPr>
                <w:rFonts w:hint="eastAsia"/>
                <w:b/>
                <w:bCs w:val="0"/>
                <w:color w:val="auto"/>
                <w:highlight w:val="none"/>
                <w:lang w:eastAsia="zh-CN"/>
              </w:rPr>
              <w:t>【</w:t>
            </w:r>
            <w:r>
              <w:rPr>
                <w:rFonts w:hint="eastAsia"/>
                <w:b/>
                <w:bCs w:val="0"/>
                <w:color w:val="auto"/>
                <w:highlight w:val="none"/>
              </w:rPr>
              <w:t>服务方案</w:t>
            </w:r>
            <w:r>
              <w:rPr>
                <w:rFonts w:hint="eastAsia"/>
                <w:b/>
                <w:bCs w:val="0"/>
                <w:color w:val="auto"/>
                <w:highlight w:val="none"/>
                <w:lang w:val="en-US" w:eastAsia="zh-CN"/>
              </w:rPr>
              <w:t>：心理康复训练方案</w:t>
            </w:r>
            <w:r>
              <w:rPr>
                <w:rFonts w:hint="eastAsia"/>
                <w:b/>
                <w:bCs w:val="0"/>
                <w:color w:val="auto"/>
                <w:highlight w:val="none"/>
                <w:lang w:eastAsia="zh-CN"/>
              </w:rPr>
              <w:t>】</w:t>
            </w:r>
          </w:p>
          <w:p>
            <w:pPr>
              <w:pStyle w:val="128"/>
              <w:numPr>
                <w:ilvl w:val="0"/>
                <w:numId w:val="0"/>
              </w:numPr>
              <w:snapToGrid w:val="0"/>
              <w:spacing w:before="0" w:line="360" w:lineRule="auto"/>
              <w:jc w:val="left"/>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心理康复训练方案具体详实，符合实际情况，具有合理可行</w:t>
            </w:r>
            <w:r>
              <w:rPr>
                <w:rFonts w:hint="eastAsia" w:ascii="宋体" w:hAnsi="宋体" w:cs="宋体"/>
                <w:bCs/>
                <w:color w:val="auto"/>
                <w:highlight w:val="none"/>
                <w:lang w:val="en-US" w:eastAsia="zh-CN"/>
              </w:rPr>
              <w:t>且</w:t>
            </w:r>
            <w:r>
              <w:rPr>
                <w:rFonts w:hint="eastAsia" w:ascii="宋体" w:hAnsi="宋体" w:eastAsia="宋体" w:cs="宋体"/>
                <w:bCs/>
                <w:color w:val="auto"/>
                <w:highlight w:val="none"/>
                <w:lang w:val="en-US" w:eastAsia="zh-CN"/>
              </w:rPr>
              <w:t>针对性</w:t>
            </w:r>
            <w:r>
              <w:rPr>
                <w:rFonts w:hint="eastAsia" w:ascii="宋体" w:hAnsi="宋体" w:cs="宋体"/>
                <w:bCs/>
                <w:color w:val="auto"/>
                <w:highlight w:val="none"/>
                <w:lang w:val="en-US" w:eastAsia="zh-CN"/>
              </w:rPr>
              <w:t>强的</w:t>
            </w:r>
            <w:r>
              <w:rPr>
                <w:rFonts w:hint="eastAsia" w:ascii="宋体" w:hAnsi="宋体" w:eastAsia="宋体" w:cs="宋体"/>
                <w:bCs/>
                <w:color w:val="auto"/>
                <w:highlight w:val="none"/>
                <w:lang w:val="en-US" w:eastAsia="zh-CN"/>
              </w:rPr>
              <w:t>得</w:t>
            </w:r>
            <w:r>
              <w:rPr>
                <w:rFonts w:hint="eastAsia" w:ascii="宋体" w:hAnsi="宋体" w:cs="宋体"/>
                <w:bCs/>
                <w:color w:val="auto"/>
                <w:highlight w:val="none"/>
                <w:lang w:val="en-US" w:eastAsia="zh-CN"/>
              </w:rPr>
              <w:t>5</w:t>
            </w:r>
            <w:r>
              <w:rPr>
                <w:rFonts w:hint="eastAsia" w:ascii="宋体" w:hAnsi="宋体" w:eastAsia="宋体" w:cs="宋体"/>
                <w:bCs/>
                <w:color w:val="auto"/>
                <w:highlight w:val="none"/>
                <w:lang w:val="en-US" w:eastAsia="zh-CN"/>
              </w:rPr>
              <w:t>分；合理可行的得</w:t>
            </w:r>
            <w:r>
              <w:rPr>
                <w:rFonts w:hint="eastAsia" w:ascii="宋体" w:hAnsi="宋体" w:cs="宋体"/>
                <w:bCs/>
                <w:color w:val="auto"/>
                <w:highlight w:val="none"/>
                <w:lang w:val="en-US" w:eastAsia="zh-CN"/>
              </w:rPr>
              <w:t>4</w:t>
            </w:r>
            <w:r>
              <w:rPr>
                <w:rFonts w:hint="eastAsia" w:ascii="宋体" w:hAnsi="宋体" w:eastAsia="宋体" w:cs="宋体"/>
                <w:bCs/>
                <w:color w:val="auto"/>
                <w:highlight w:val="none"/>
                <w:lang w:val="en-US" w:eastAsia="zh-CN"/>
              </w:rPr>
              <w:t>分；基本全面的得3分；较差的得2分；一般的得1；</w:t>
            </w:r>
            <w:r>
              <w:rPr>
                <w:rFonts w:hint="eastAsia" w:ascii="宋体" w:hAnsi="宋体" w:eastAsia="宋体" w:cs="宋体"/>
                <w:bCs/>
                <w:color w:val="auto"/>
                <w:kern w:val="2"/>
                <w:sz w:val="24"/>
                <w:szCs w:val="20"/>
                <w:highlight w:val="none"/>
                <w:lang w:val="en-US" w:eastAsia="zh-CN" w:bidi="ar-SA"/>
              </w:rPr>
              <w:t>未提供方案的</w:t>
            </w:r>
            <w:r>
              <w:rPr>
                <w:rFonts w:hint="eastAsia" w:ascii="宋体" w:hAnsi="宋体" w:eastAsia="宋体" w:cs="宋体"/>
                <w:bCs/>
                <w:color w:val="auto"/>
                <w:highlight w:val="none"/>
                <w:lang w:val="en-US" w:eastAsia="zh-CN"/>
              </w:rPr>
              <w:t>得0分。</w:t>
            </w:r>
          </w:p>
        </w:tc>
        <w:tc>
          <w:tcPr>
            <w:tcW w:w="716" w:type="dxa"/>
            <w:vAlign w:val="center"/>
          </w:tcPr>
          <w:p>
            <w:pPr>
              <w:pStyle w:val="60"/>
              <w:numPr>
                <w:ilvl w:val="0"/>
                <w:numId w:val="0"/>
              </w:numPr>
              <w:overflowPunct/>
              <w:autoSpaceDE/>
              <w:autoSpaceDN/>
              <w:adjustRightInd/>
              <w:spacing w:line="240" w:lineRule="auto"/>
              <w:ind w:left="0" w:leftChars="0" w:firstLine="0" w:firstLineChars="0"/>
              <w:jc w:val="center"/>
              <w:textAlignment w:val="auto"/>
              <w:rPr>
                <w:rFonts w:hint="default" w:ascii="宋体" w:hAnsi="宋体" w:cs="仿宋_GB2312"/>
                <w:b w:val="0"/>
                <w:color w:val="auto"/>
                <w:kern w:val="2"/>
                <w:sz w:val="24"/>
                <w:szCs w:val="24"/>
                <w:highlight w:val="none"/>
                <w:lang w:val="en-US" w:eastAsia="zh-CN" w:bidi="ar-SA"/>
              </w:rPr>
            </w:pPr>
            <w:r>
              <w:rPr>
                <w:rFonts w:hint="eastAsia" w:ascii="宋体" w:hAnsi="宋体" w:cs="仿宋_GB2312"/>
                <w:b w:val="0"/>
                <w:color w:val="auto"/>
                <w:kern w:val="2"/>
                <w:sz w:val="24"/>
                <w:szCs w:val="24"/>
                <w:highlight w:val="none"/>
                <w:lang w:val="en-US" w:eastAsia="zh-CN" w:bidi="ar-SA"/>
              </w:rPr>
              <w:t>5</w:t>
            </w:r>
          </w:p>
        </w:tc>
        <w:tc>
          <w:tcPr>
            <w:tcW w:w="950" w:type="dxa"/>
            <w:vAlign w:val="center"/>
          </w:tcPr>
          <w:p>
            <w:pPr>
              <w:snapToGrid w:val="0"/>
              <w:spacing w:line="360" w:lineRule="auto"/>
              <w:jc w:val="center"/>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主观分</w:t>
            </w:r>
          </w:p>
        </w:tc>
        <w:tc>
          <w:tcPr>
            <w:tcW w:w="836"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napToGrid w:val="0"/>
              <w:spacing w:line="360" w:lineRule="auto"/>
              <w:jc w:val="center"/>
              <w:rPr>
                <w:rFonts w:hint="default" w:ascii="宋体" w:hAnsi="宋体" w:eastAsia="宋体" w:cs="仿宋_GB2312"/>
                <w:b w:val="0"/>
                <w:bCs w:val="0"/>
                <w:color w:val="auto"/>
                <w:kern w:val="2"/>
                <w:sz w:val="24"/>
                <w:szCs w:val="24"/>
                <w:highlight w:val="none"/>
                <w:lang w:val="en-US" w:eastAsia="zh-CN" w:bidi="ar-SA"/>
              </w:rPr>
            </w:pPr>
            <w:r>
              <w:rPr>
                <w:rFonts w:hint="eastAsia" w:ascii="宋体" w:hAnsi="宋体" w:cs="仿宋_GB2312"/>
                <w:b w:val="0"/>
                <w:bCs w:val="0"/>
                <w:color w:val="auto"/>
                <w:kern w:val="2"/>
                <w:sz w:val="24"/>
                <w:szCs w:val="24"/>
                <w:highlight w:val="none"/>
                <w:lang w:val="en-US" w:eastAsia="zh-CN" w:bidi="ar-SA"/>
              </w:rPr>
              <w:t>11</w:t>
            </w:r>
          </w:p>
        </w:tc>
        <w:tc>
          <w:tcPr>
            <w:tcW w:w="6967" w:type="dxa"/>
            <w:vAlign w:val="top"/>
          </w:tcPr>
          <w:p>
            <w:pPr>
              <w:adjustRightInd/>
              <w:spacing w:before="0" w:beforeAutospacing="0" w:after="0" w:afterAutospacing="0" w:line="360" w:lineRule="auto"/>
              <w:ind w:left="0" w:leftChars="0" w:right="0" w:rightChars="0"/>
              <w:jc w:val="left"/>
              <w:outlineLvl w:val="0"/>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【管理规章制度的建立与管理】</w:t>
            </w:r>
          </w:p>
          <w:p>
            <w:pPr>
              <w:pStyle w:val="6"/>
              <w:tabs>
                <w:tab w:val="left" w:pos="0"/>
                <w:tab w:val="clear" w:pos="432"/>
              </w:tabs>
              <w:ind w:left="0" w:leftChars="0" w:firstLine="0" w:firstLineChars="0"/>
              <w:jc w:val="left"/>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 w:val="0"/>
                <w:bCs/>
                <w:color w:val="auto"/>
                <w:kern w:val="2"/>
                <w:sz w:val="24"/>
                <w:szCs w:val="20"/>
                <w:highlight w:val="none"/>
                <w:lang w:val="en-US" w:eastAsia="zh-CN" w:bidi="ar-SA"/>
              </w:rPr>
              <w:t>各项制度（包括但不限于日常运营管理制度、服务标准化体系、内部岗位责任制度、人员考核绩效制度等）符合运营实际要求，规范合理，体现高标准、高档次，制度齐全、科学合理的得4分；制度齐全、基本可行的得3分；制度不全、有明显漏洞的得2分；较差的得1分；未提供方案的得0分。</w:t>
            </w:r>
          </w:p>
        </w:tc>
        <w:tc>
          <w:tcPr>
            <w:tcW w:w="716" w:type="dxa"/>
            <w:vAlign w:val="center"/>
          </w:tcPr>
          <w:p>
            <w:pPr>
              <w:pStyle w:val="60"/>
              <w:numPr>
                <w:ilvl w:val="0"/>
                <w:numId w:val="0"/>
              </w:numPr>
              <w:overflowPunct/>
              <w:autoSpaceDE/>
              <w:autoSpaceDN/>
              <w:adjustRightInd/>
              <w:spacing w:line="240" w:lineRule="auto"/>
              <w:ind w:left="0" w:leftChars="0" w:firstLine="0" w:firstLineChars="0"/>
              <w:jc w:val="center"/>
              <w:textAlignment w:val="auto"/>
              <w:rPr>
                <w:rFonts w:hint="eastAsia" w:ascii="宋体" w:hAnsi="宋体" w:eastAsia="宋体" w:cs="仿宋_GB2312"/>
                <w:b w:val="0"/>
                <w:color w:val="auto"/>
                <w:kern w:val="2"/>
                <w:sz w:val="24"/>
                <w:szCs w:val="24"/>
                <w:highlight w:val="none"/>
                <w:lang w:val="en-GB" w:eastAsia="zh-CN" w:bidi="ar-SA"/>
              </w:rPr>
            </w:pPr>
            <w:r>
              <w:rPr>
                <w:rFonts w:hint="eastAsia" w:ascii="宋体" w:hAnsi="宋体" w:cs="仿宋_GB2312"/>
                <w:b w:val="0"/>
                <w:color w:val="auto"/>
                <w:kern w:val="2"/>
                <w:sz w:val="24"/>
                <w:szCs w:val="24"/>
                <w:highlight w:val="none"/>
                <w:lang w:val="en-US" w:eastAsia="zh-CN" w:bidi="ar-SA"/>
              </w:rPr>
              <w:t>4</w:t>
            </w:r>
          </w:p>
        </w:tc>
        <w:tc>
          <w:tcPr>
            <w:tcW w:w="950"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eastAsia="zh-CN"/>
              </w:rPr>
              <w:t>主观分</w:t>
            </w:r>
          </w:p>
        </w:tc>
        <w:tc>
          <w:tcPr>
            <w:tcW w:w="836"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755" w:type="dxa"/>
            <w:vAlign w:val="center"/>
          </w:tcPr>
          <w:p>
            <w:pPr>
              <w:snapToGrid w:val="0"/>
              <w:spacing w:line="360" w:lineRule="auto"/>
              <w:jc w:val="center"/>
              <w:rPr>
                <w:rFonts w:hint="default" w:ascii="宋体" w:hAnsi="宋体" w:eastAsia="宋体" w:cs="仿宋_GB2312"/>
                <w:b w:val="0"/>
                <w:bCs w:val="0"/>
                <w:color w:val="auto"/>
                <w:kern w:val="2"/>
                <w:sz w:val="24"/>
                <w:szCs w:val="24"/>
                <w:highlight w:val="none"/>
                <w:lang w:val="en-US" w:eastAsia="zh-CN" w:bidi="ar-SA"/>
              </w:rPr>
            </w:pPr>
            <w:r>
              <w:rPr>
                <w:rFonts w:hint="eastAsia" w:ascii="宋体" w:hAnsi="宋体" w:cs="仿宋_GB2312"/>
                <w:b w:val="0"/>
                <w:bCs w:val="0"/>
                <w:color w:val="auto"/>
                <w:kern w:val="2"/>
                <w:sz w:val="24"/>
                <w:szCs w:val="24"/>
                <w:highlight w:val="none"/>
                <w:lang w:val="en-US" w:eastAsia="zh-CN" w:bidi="ar-SA"/>
              </w:rPr>
              <w:t>12</w:t>
            </w:r>
          </w:p>
        </w:tc>
        <w:tc>
          <w:tcPr>
            <w:tcW w:w="6967" w:type="dxa"/>
            <w:vAlign w:val="top"/>
          </w:tcPr>
          <w:p>
            <w:pPr>
              <w:adjustRightInd/>
              <w:spacing w:before="0" w:beforeAutospacing="0" w:after="0" w:afterAutospacing="0" w:line="360" w:lineRule="auto"/>
              <w:ind w:left="0" w:leftChars="0" w:right="0" w:rightChars="0"/>
              <w:jc w:val="left"/>
              <w:outlineLvl w:val="0"/>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【档案台账的建立】</w:t>
            </w:r>
          </w:p>
          <w:p>
            <w:pPr>
              <w:pStyle w:val="6"/>
              <w:tabs>
                <w:tab w:val="left" w:pos="0"/>
                <w:tab w:val="clear" w:pos="432"/>
              </w:tabs>
              <w:spacing w:line="360" w:lineRule="auto"/>
              <w:ind w:left="0" w:leftChars="0" w:firstLine="0" w:firstLineChars="0"/>
              <w:jc w:val="left"/>
              <w:rPr>
                <w:rFonts w:hint="default"/>
                <w:color w:val="auto"/>
                <w:highlight w:val="none"/>
                <w:lang w:val="en-US" w:eastAsia="zh-CN"/>
              </w:rPr>
            </w:pPr>
            <w:r>
              <w:rPr>
                <w:rFonts w:hint="eastAsia" w:ascii="宋体" w:hAnsi="宋体" w:eastAsia="宋体" w:cs="宋体"/>
                <w:b w:val="0"/>
                <w:bCs/>
                <w:color w:val="auto"/>
                <w:kern w:val="2"/>
                <w:sz w:val="24"/>
                <w:szCs w:val="20"/>
                <w:highlight w:val="none"/>
                <w:lang w:val="en-US" w:eastAsia="zh-CN" w:bidi="ar-SA"/>
              </w:rPr>
              <w:t>供应商应建立服务机构档案和服务对象档案（包括但不限于运营收支记录、场所及设备的使用维保记录、服务对象记录、服务项目记录等），档案记录全面、内容详细、定期更新的得4分，基本全面、详细的、定期更新得3分，档案记录较差的2分，档案记录一般得1分；无档案的得0分。</w:t>
            </w:r>
          </w:p>
        </w:tc>
        <w:tc>
          <w:tcPr>
            <w:tcW w:w="716" w:type="dxa"/>
            <w:vAlign w:val="center"/>
          </w:tcPr>
          <w:p>
            <w:pPr>
              <w:pStyle w:val="60"/>
              <w:numPr>
                <w:ilvl w:val="0"/>
                <w:numId w:val="0"/>
              </w:numPr>
              <w:overflowPunct/>
              <w:autoSpaceDE/>
              <w:autoSpaceDN/>
              <w:adjustRightInd/>
              <w:spacing w:line="240" w:lineRule="auto"/>
              <w:ind w:left="0" w:leftChars="0" w:firstLine="0" w:firstLineChars="0"/>
              <w:jc w:val="center"/>
              <w:textAlignment w:val="auto"/>
              <w:rPr>
                <w:rFonts w:hint="eastAsia" w:ascii="宋体" w:hAnsi="宋体" w:eastAsia="宋体" w:cs="仿宋_GB2312"/>
                <w:b w:val="0"/>
                <w:color w:val="auto"/>
                <w:kern w:val="2"/>
                <w:sz w:val="24"/>
                <w:szCs w:val="24"/>
                <w:highlight w:val="none"/>
                <w:lang w:val="en-GB" w:eastAsia="zh-CN" w:bidi="ar-SA"/>
              </w:rPr>
            </w:pPr>
            <w:r>
              <w:rPr>
                <w:rFonts w:hint="eastAsia" w:ascii="宋体" w:hAnsi="宋体" w:cs="仿宋_GB2312"/>
                <w:b w:val="0"/>
                <w:color w:val="auto"/>
                <w:kern w:val="2"/>
                <w:sz w:val="24"/>
                <w:szCs w:val="24"/>
                <w:highlight w:val="none"/>
                <w:lang w:val="en-US" w:eastAsia="zh-CN" w:bidi="ar-SA"/>
              </w:rPr>
              <w:t>4</w:t>
            </w:r>
          </w:p>
        </w:tc>
        <w:tc>
          <w:tcPr>
            <w:tcW w:w="950"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eastAsia="zh-CN"/>
              </w:rPr>
              <w:t>主观分</w:t>
            </w:r>
          </w:p>
        </w:tc>
        <w:tc>
          <w:tcPr>
            <w:tcW w:w="836"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55" w:type="dxa"/>
            <w:vAlign w:val="center"/>
          </w:tcPr>
          <w:p>
            <w:pPr>
              <w:snapToGrid w:val="0"/>
              <w:spacing w:line="360" w:lineRule="auto"/>
              <w:jc w:val="center"/>
              <w:rPr>
                <w:rFonts w:hint="default" w:ascii="宋体" w:hAnsi="宋体" w:cs="仿宋_GB2312"/>
                <w:b w:val="0"/>
                <w:bCs w:val="0"/>
                <w:color w:val="auto"/>
                <w:kern w:val="2"/>
                <w:sz w:val="24"/>
                <w:szCs w:val="24"/>
                <w:highlight w:val="none"/>
                <w:lang w:val="en-US" w:eastAsia="zh-CN" w:bidi="ar-SA"/>
              </w:rPr>
            </w:pPr>
            <w:r>
              <w:rPr>
                <w:rFonts w:hint="eastAsia" w:ascii="宋体" w:hAnsi="宋体" w:cs="仿宋_GB2312"/>
                <w:b w:val="0"/>
                <w:bCs w:val="0"/>
                <w:color w:val="auto"/>
                <w:kern w:val="2"/>
                <w:sz w:val="24"/>
                <w:szCs w:val="24"/>
                <w:highlight w:val="none"/>
                <w:lang w:val="en-US" w:eastAsia="zh-CN" w:bidi="ar-SA"/>
              </w:rPr>
              <w:t>13</w:t>
            </w:r>
          </w:p>
        </w:tc>
        <w:tc>
          <w:tcPr>
            <w:tcW w:w="6967" w:type="dxa"/>
            <w:vAlign w:val="top"/>
          </w:tcPr>
          <w:p>
            <w:pPr>
              <w:adjustRightInd/>
              <w:spacing w:before="0" w:beforeAutospacing="0" w:after="0" w:afterAutospacing="0" w:line="360" w:lineRule="auto"/>
              <w:ind w:left="0" w:leftChars="0" w:right="0" w:rightChars="0"/>
              <w:jc w:val="left"/>
              <w:outlineLvl w:val="0"/>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【档案台账的管理】</w:t>
            </w:r>
          </w:p>
          <w:p>
            <w:pPr>
              <w:numPr>
                <w:ilvl w:val="0"/>
                <w:numId w:val="0"/>
              </w:numPr>
              <w:spacing w:line="360" w:lineRule="auto"/>
              <w:rPr>
                <w:rFonts w:hint="eastAsia" w:ascii="宋体" w:hAnsi="宋体" w:eastAsia="宋体" w:cs="宋体"/>
                <w:b w:val="0"/>
                <w:bCs/>
                <w:color w:val="auto"/>
                <w:kern w:val="2"/>
                <w:sz w:val="24"/>
                <w:szCs w:val="20"/>
                <w:highlight w:val="none"/>
                <w:lang w:val="en-US" w:eastAsia="zh-CN" w:bidi="ar-SA"/>
              </w:rPr>
            </w:pPr>
            <w:r>
              <w:rPr>
                <w:rFonts w:hint="eastAsia" w:ascii="宋体" w:hAnsi="宋体" w:eastAsia="宋体" w:cs="宋体"/>
                <w:b w:val="0"/>
                <w:bCs/>
                <w:color w:val="auto"/>
                <w:kern w:val="2"/>
                <w:sz w:val="24"/>
                <w:szCs w:val="20"/>
                <w:highlight w:val="none"/>
                <w:lang w:val="en-US" w:eastAsia="zh-CN" w:bidi="ar-SA"/>
              </w:rPr>
              <w:t>供应商运用电子智能化管理系统软件，实现服务记录、活动签到、档案管理等方案详细完善且</w:t>
            </w:r>
            <w:r>
              <w:rPr>
                <w:rFonts w:hint="eastAsia" w:ascii="宋体" w:hAnsi="宋体" w:cs="宋体"/>
                <w:b w:val="0"/>
                <w:bCs/>
                <w:color w:val="auto"/>
                <w:kern w:val="2"/>
                <w:sz w:val="24"/>
                <w:szCs w:val="20"/>
                <w:highlight w:val="none"/>
                <w:lang w:val="en-US" w:eastAsia="zh-CN" w:bidi="ar-SA"/>
              </w:rPr>
              <w:t>较有</w:t>
            </w:r>
            <w:r>
              <w:rPr>
                <w:rFonts w:hint="eastAsia" w:ascii="宋体" w:hAnsi="宋体" w:eastAsia="宋体" w:cs="宋体"/>
                <w:b w:val="0"/>
                <w:bCs/>
                <w:color w:val="auto"/>
                <w:kern w:val="2"/>
                <w:sz w:val="24"/>
                <w:szCs w:val="20"/>
                <w:highlight w:val="none"/>
                <w:lang w:val="en-US" w:eastAsia="zh-CN" w:bidi="ar-SA"/>
              </w:rPr>
              <w:t>针对性、可靠性的得</w:t>
            </w:r>
            <w:r>
              <w:rPr>
                <w:rFonts w:hint="eastAsia" w:ascii="宋体" w:hAnsi="宋体" w:cs="宋体"/>
                <w:b w:val="0"/>
                <w:bCs/>
                <w:color w:val="auto"/>
                <w:kern w:val="2"/>
                <w:sz w:val="24"/>
                <w:szCs w:val="20"/>
                <w:highlight w:val="none"/>
                <w:lang w:val="en-US" w:eastAsia="zh-CN" w:bidi="ar-SA"/>
              </w:rPr>
              <w:t>4</w:t>
            </w:r>
            <w:r>
              <w:rPr>
                <w:rFonts w:hint="eastAsia" w:ascii="宋体" w:hAnsi="宋体" w:eastAsia="宋体" w:cs="宋体"/>
                <w:b w:val="0"/>
                <w:bCs/>
                <w:color w:val="auto"/>
                <w:kern w:val="2"/>
                <w:sz w:val="24"/>
                <w:szCs w:val="20"/>
                <w:highlight w:val="none"/>
                <w:lang w:val="en-US" w:eastAsia="zh-CN" w:bidi="ar-SA"/>
              </w:rPr>
              <w:t>分；方案较详细完善且针对性、可靠性的得</w:t>
            </w:r>
            <w:r>
              <w:rPr>
                <w:rFonts w:hint="eastAsia" w:ascii="宋体" w:hAnsi="宋体" w:cs="宋体"/>
                <w:b w:val="0"/>
                <w:bCs/>
                <w:color w:val="auto"/>
                <w:kern w:val="2"/>
                <w:sz w:val="24"/>
                <w:szCs w:val="20"/>
                <w:highlight w:val="none"/>
                <w:lang w:val="en-US" w:eastAsia="zh-CN" w:bidi="ar-SA"/>
              </w:rPr>
              <w:t>3</w:t>
            </w:r>
            <w:r>
              <w:rPr>
                <w:rFonts w:hint="eastAsia" w:ascii="宋体" w:hAnsi="宋体" w:eastAsia="宋体" w:cs="宋体"/>
                <w:b w:val="0"/>
                <w:bCs/>
                <w:color w:val="auto"/>
                <w:kern w:val="2"/>
                <w:sz w:val="24"/>
                <w:szCs w:val="20"/>
                <w:highlight w:val="none"/>
                <w:lang w:val="en-US" w:eastAsia="zh-CN" w:bidi="ar-SA"/>
              </w:rPr>
              <w:t>分；方案</w:t>
            </w:r>
            <w:r>
              <w:rPr>
                <w:rFonts w:hint="eastAsia" w:ascii="宋体" w:hAnsi="宋体" w:cs="宋体"/>
                <w:b w:val="0"/>
                <w:bCs/>
                <w:color w:val="auto"/>
                <w:kern w:val="2"/>
                <w:sz w:val="24"/>
                <w:szCs w:val="20"/>
                <w:highlight w:val="none"/>
                <w:lang w:val="en-US" w:eastAsia="zh-CN" w:bidi="ar-SA"/>
              </w:rPr>
              <w:t>基本</w:t>
            </w:r>
            <w:r>
              <w:rPr>
                <w:rFonts w:hint="eastAsia" w:ascii="宋体" w:hAnsi="宋体" w:eastAsia="宋体" w:cs="宋体"/>
                <w:b w:val="0"/>
                <w:bCs/>
                <w:color w:val="auto"/>
                <w:kern w:val="2"/>
                <w:sz w:val="24"/>
                <w:szCs w:val="20"/>
                <w:highlight w:val="none"/>
                <w:lang w:val="en-US" w:eastAsia="zh-CN" w:bidi="ar-SA"/>
              </w:rPr>
              <w:t>完善且</w:t>
            </w:r>
            <w:r>
              <w:rPr>
                <w:rFonts w:hint="eastAsia" w:ascii="宋体" w:hAnsi="宋体" w:cs="宋体"/>
                <w:b w:val="0"/>
                <w:bCs/>
                <w:color w:val="auto"/>
                <w:kern w:val="2"/>
                <w:sz w:val="24"/>
                <w:szCs w:val="20"/>
                <w:highlight w:val="none"/>
                <w:lang w:val="en-US" w:eastAsia="zh-CN" w:bidi="ar-SA"/>
              </w:rPr>
              <w:t>具有一般</w:t>
            </w:r>
            <w:r>
              <w:rPr>
                <w:rFonts w:hint="eastAsia" w:ascii="宋体" w:hAnsi="宋体" w:eastAsia="宋体" w:cs="宋体"/>
                <w:b w:val="0"/>
                <w:bCs/>
                <w:color w:val="auto"/>
                <w:kern w:val="2"/>
                <w:sz w:val="24"/>
                <w:szCs w:val="20"/>
                <w:highlight w:val="none"/>
                <w:lang w:val="en-US" w:eastAsia="zh-CN" w:bidi="ar-SA"/>
              </w:rPr>
              <w:t>针对性、可靠性的得</w:t>
            </w:r>
            <w:r>
              <w:rPr>
                <w:rFonts w:hint="eastAsia" w:ascii="宋体" w:hAnsi="宋体" w:cs="宋体"/>
                <w:b w:val="0"/>
                <w:bCs/>
                <w:color w:val="auto"/>
                <w:kern w:val="2"/>
                <w:sz w:val="24"/>
                <w:szCs w:val="20"/>
                <w:highlight w:val="none"/>
                <w:lang w:val="en-US" w:eastAsia="zh-CN" w:bidi="ar-SA"/>
              </w:rPr>
              <w:t>2</w:t>
            </w:r>
            <w:r>
              <w:rPr>
                <w:rFonts w:hint="eastAsia" w:ascii="宋体" w:hAnsi="宋体" w:eastAsia="宋体" w:cs="宋体"/>
                <w:b w:val="0"/>
                <w:bCs/>
                <w:color w:val="auto"/>
                <w:kern w:val="2"/>
                <w:sz w:val="24"/>
                <w:szCs w:val="20"/>
                <w:highlight w:val="none"/>
                <w:lang w:val="en-US" w:eastAsia="zh-CN" w:bidi="ar-SA"/>
              </w:rPr>
              <w:t>分</w:t>
            </w:r>
            <w:r>
              <w:rPr>
                <w:rFonts w:hint="eastAsia" w:ascii="宋体" w:hAnsi="宋体" w:cs="宋体"/>
                <w:b w:val="0"/>
                <w:bCs/>
                <w:color w:val="auto"/>
                <w:kern w:val="2"/>
                <w:sz w:val="24"/>
                <w:szCs w:val="20"/>
                <w:highlight w:val="none"/>
                <w:lang w:val="en-US" w:eastAsia="zh-CN" w:bidi="ar-SA"/>
              </w:rPr>
              <w:t>；</w:t>
            </w:r>
            <w:r>
              <w:rPr>
                <w:rFonts w:hint="eastAsia" w:ascii="宋体" w:hAnsi="宋体" w:eastAsia="宋体" w:cs="宋体"/>
                <w:b w:val="0"/>
                <w:bCs/>
                <w:color w:val="auto"/>
                <w:kern w:val="2"/>
                <w:sz w:val="24"/>
                <w:szCs w:val="20"/>
                <w:highlight w:val="none"/>
                <w:lang w:val="en-US" w:eastAsia="zh-CN" w:bidi="ar-SA"/>
              </w:rPr>
              <w:t>方案不够详细完善且具有针对性、可靠性一般的得1分；未提供方案的得0分。</w:t>
            </w:r>
          </w:p>
        </w:tc>
        <w:tc>
          <w:tcPr>
            <w:tcW w:w="716" w:type="dxa"/>
            <w:vAlign w:val="center"/>
          </w:tcPr>
          <w:p>
            <w:pPr>
              <w:pStyle w:val="60"/>
              <w:numPr>
                <w:ilvl w:val="0"/>
                <w:numId w:val="0"/>
              </w:numPr>
              <w:overflowPunct/>
              <w:autoSpaceDE/>
              <w:autoSpaceDN/>
              <w:adjustRightInd/>
              <w:spacing w:line="240" w:lineRule="auto"/>
              <w:ind w:left="0" w:leftChars="0" w:firstLine="0" w:firstLineChars="0"/>
              <w:jc w:val="center"/>
              <w:textAlignment w:val="auto"/>
              <w:rPr>
                <w:rFonts w:hint="default" w:ascii="宋体" w:hAnsi="宋体" w:cs="仿宋_GB2312"/>
                <w:b w:val="0"/>
                <w:color w:val="auto"/>
                <w:kern w:val="2"/>
                <w:sz w:val="24"/>
                <w:szCs w:val="24"/>
                <w:highlight w:val="none"/>
                <w:lang w:val="en-US" w:eastAsia="zh-CN" w:bidi="ar-SA"/>
              </w:rPr>
            </w:pPr>
            <w:r>
              <w:rPr>
                <w:rFonts w:hint="eastAsia" w:ascii="宋体" w:hAnsi="宋体" w:cs="仿宋_GB2312"/>
                <w:b w:val="0"/>
                <w:color w:val="auto"/>
                <w:kern w:val="2"/>
                <w:sz w:val="24"/>
                <w:szCs w:val="24"/>
                <w:highlight w:val="none"/>
                <w:lang w:val="en-US" w:eastAsia="zh-CN" w:bidi="ar-SA"/>
              </w:rPr>
              <w:t>4</w:t>
            </w:r>
          </w:p>
        </w:tc>
        <w:tc>
          <w:tcPr>
            <w:tcW w:w="950" w:type="dxa"/>
            <w:vAlign w:val="center"/>
          </w:tcPr>
          <w:p>
            <w:pPr>
              <w:snapToGrid w:val="0"/>
              <w:spacing w:line="360" w:lineRule="auto"/>
              <w:jc w:val="center"/>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主观分</w:t>
            </w:r>
          </w:p>
        </w:tc>
        <w:tc>
          <w:tcPr>
            <w:tcW w:w="836"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55" w:type="dxa"/>
            <w:vAlign w:val="center"/>
          </w:tcPr>
          <w:p>
            <w:pPr>
              <w:snapToGrid w:val="0"/>
              <w:spacing w:line="360" w:lineRule="auto"/>
              <w:jc w:val="center"/>
              <w:rPr>
                <w:rFonts w:hint="default" w:ascii="宋体" w:hAnsi="宋体" w:cs="仿宋_GB2312"/>
                <w:b w:val="0"/>
                <w:bCs w:val="0"/>
                <w:color w:val="auto"/>
                <w:kern w:val="2"/>
                <w:sz w:val="24"/>
                <w:szCs w:val="24"/>
                <w:highlight w:val="none"/>
                <w:lang w:val="en-US" w:eastAsia="zh-CN" w:bidi="ar-SA"/>
              </w:rPr>
            </w:pPr>
            <w:r>
              <w:rPr>
                <w:rFonts w:hint="eastAsia" w:ascii="宋体" w:hAnsi="宋体" w:cs="仿宋_GB2312"/>
                <w:b w:val="0"/>
                <w:bCs w:val="0"/>
                <w:color w:val="auto"/>
                <w:kern w:val="2"/>
                <w:sz w:val="24"/>
                <w:szCs w:val="24"/>
                <w:highlight w:val="none"/>
                <w:lang w:val="en-US" w:eastAsia="zh-CN" w:bidi="ar-SA"/>
              </w:rPr>
              <w:t>14</w:t>
            </w:r>
          </w:p>
        </w:tc>
        <w:tc>
          <w:tcPr>
            <w:tcW w:w="6967" w:type="dxa"/>
            <w:vAlign w:val="top"/>
          </w:tcPr>
          <w:p>
            <w:pPr>
              <w:adjustRightInd/>
              <w:spacing w:before="0" w:beforeAutospacing="0" w:after="0" w:afterAutospacing="0" w:line="360" w:lineRule="auto"/>
              <w:ind w:left="0" w:leftChars="0" w:right="0" w:rightChars="0"/>
              <w:jc w:val="left"/>
              <w:outlineLvl w:val="0"/>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【活动策划方案】</w:t>
            </w:r>
          </w:p>
          <w:p>
            <w:pPr>
              <w:pStyle w:val="128"/>
              <w:numPr>
                <w:ilvl w:val="0"/>
                <w:numId w:val="0"/>
              </w:numPr>
              <w:snapToGrid w:val="0"/>
              <w:spacing w:before="0" w:line="360" w:lineRule="auto"/>
              <w:ind w:leftChars="0"/>
              <w:jc w:val="left"/>
              <w:rPr>
                <w:rFonts w:hint="eastAsia" w:ascii="宋体" w:hAnsi="宋体" w:eastAsia="宋体" w:cs="宋体"/>
                <w:b w:val="0"/>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根据供应商对开展各类活动方案具体详实是否符合实际情况，是否具有针对性，是否合理可行进行打分：全面的得</w:t>
            </w:r>
            <w:r>
              <w:rPr>
                <w:rFonts w:hint="eastAsia" w:ascii="宋体" w:hAnsi="宋体" w:cs="宋体"/>
                <w:bCs/>
                <w:color w:val="auto"/>
                <w:kern w:val="2"/>
                <w:sz w:val="24"/>
                <w:szCs w:val="20"/>
                <w:highlight w:val="none"/>
                <w:lang w:val="en-US" w:eastAsia="zh-CN" w:bidi="ar-SA"/>
              </w:rPr>
              <w:t>2</w:t>
            </w:r>
            <w:r>
              <w:rPr>
                <w:rFonts w:hint="eastAsia" w:ascii="宋体" w:hAnsi="宋体" w:eastAsia="宋体" w:cs="宋体"/>
                <w:bCs/>
                <w:color w:val="auto"/>
                <w:kern w:val="2"/>
                <w:sz w:val="24"/>
                <w:szCs w:val="20"/>
                <w:highlight w:val="none"/>
                <w:lang w:val="en-US" w:eastAsia="zh-CN" w:bidi="ar-SA"/>
              </w:rPr>
              <w:t>分；基本全面的得</w:t>
            </w:r>
            <w:r>
              <w:rPr>
                <w:rFonts w:hint="eastAsia" w:ascii="宋体" w:hAnsi="宋体" w:cs="宋体"/>
                <w:bCs/>
                <w:color w:val="auto"/>
                <w:kern w:val="2"/>
                <w:sz w:val="24"/>
                <w:szCs w:val="20"/>
                <w:highlight w:val="none"/>
                <w:lang w:val="en-US" w:eastAsia="zh-CN" w:bidi="ar-SA"/>
              </w:rPr>
              <w:t>1</w:t>
            </w:r>
            <w:r>
              <w:rPr>
                <w:rFonts w:hint="eastAsia" w:ascii="宋体" w:hAnsi="宋体" w:eastAsia="宋体" w:cs="宋体"/>
                <w:bCs/>
                <w:color w:val="auto"/>
                <w:kern w:val="2"/>
                <w:sz w:val="24"/>
                <w:szCs w:val="20"/>
                <w:highlight w:val="none"/>
                <w:lang w:val="en-US" w:eastAsia="zh-CN" w:bidi="ar-SA"/>
              </w:rPr>
              <w:t>分</w:t>
            </w:r>
            <w:r>
              <w:rPr>
                <w:rFonts w:hint="eastAsia" w:ascii="宋体" w:hAnsi="宋体" w:cs="宋体"/>
                <w:bCs/>
                <w:color w:val="auto"/>
                <w:kern w:val="2"/>
                <w:sz w:val="24"/>
                <w:szCs w:val="20"/>
                <w:highlight w:val="none"/>
                <w:lang w:val="en-US" w:eastAsia="zh-CN" w:bidi="ar-SA"/>
              </w:rPr>
              <w:t>；</w:t>
            </w:r>
            <w:r>
              <w:rPr>
                <w:rFonts w:hint="eastAsia" w:ascii="宋体" w:hAnsi="宋体" w:eastAsia="宋体" w:cs="宋体"/>
                <w:bCs/>
                <w:color w:val="auto"/>
                <w:kern w:val="2"/>
                <w:sz w:val="24"/>
                <w:szCs w:val="20"/>
                <w:highlight w:val="none"/>
                <w:lang w:val="en-US" w:eastAsia="zh-CN" w:bidi="ar-SA"/>
              </w:rPr>
              <w:t>不合理或者缺项的得0分。</w:t>
            </w:r>
          </w:p>
        </w:tc>
        <w:tc>
          <w:tcPr>
            <w:tcW w:w="716" w:type="dxa"/>
            <w:vAlign w:val="center"/>
          </w:tcPr>
          <w:p>
            <w:pPr>
              <w:pStyle w:val="60"/>
              <w:numPr>
                <w:ilvl w:val="0"/>
                <w:numId w:val="0"/>
              </w:numPr>
              <w:overflowPunct/>
              <w:autoSpaceDE/>
              <w:autoSpaceDN/>
              <w:adjustRightInd/>
              <w:spacing w:line="240" w:lineRule="auto"/>
              <w:ind w:left="0" w:leftChars="0" w:firstLine="0" w:firstLineChars="0"/>
              <w:jc w:val="center"/>
              <w:textAlignment w:val="auto"/>
              <w:rPr>
                <w:rFonts w:hint="eastAsia" w:ascii="宋体" w:hAnsi="宋体" w:cs="仿宋_GB2312"/>
                <w:b w:val="0"/>
                <w:color w:val="auto"/>
                <w:kern w:val="2"/>
                <w:sz w:val="24"/>
                <w:szCs w:val="24"/>
                <w:highlight w:val="none"/>
                <w:lang w:val="en-US" w:eastAsia="zh-CN" w:bidi="ar-SA"/>
              </w:rPr>
            </w:pPr>
            <w:r>
              <w:rPr>
                <w:rFonts w:hint="eastAsia" w:ascii="宋体" w:hAnsi="宋体" w:cs="仿宋_GB2312"/>
                <w:b w:val="0"/>
                <w:color w:val="auto"/>
                <w:kern w:val="2"/>
                <w:sz w:val="24"/>
                <w:szCs w:val="24"/>
                <w:highlight w:val="none"/>
                <w:lang w:val="en-US" w:eastAsia="zh-CN" w:bidi="ar-SA"/>
              </w:rPr>
              <w:t>2</w:t>
            </w:r>
          </w:p>
        </w:tc>
        <w:tc>
          <w:tcPr>
            <w:tcW w:w="950" w:type="dxa"/>
            <w:vAlign w:val="center"/>
          </w:tcPr>
          <w:p>
            <w:pPr>
              <w:snapToGrid w:val="0"/>
              <w:spacing w:line="360" w:lineRule="auto"/>
              <w:jc w:val="center"/>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主观分</w:t>
            </w:r>
          </w:p>
        </w:tc>
        <w:tc>
          <w:tcPr>
            <w:tcW w:w="836"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55" w:type="dxa"/>
            <w:vAlign w:val="center"/>
          </w:tcPr>
          <w:p>
            <w:pPr>
              <w:snapToGrid w:val="0"/>
              <w:spacing w:line="360" w:lineRule="auto"/>
              <w:jc w:val="center"/>
              <w:rPr>
                <w:rFonts w:hint="default" w:ascii="宋体" w:hAnsi="宋体" w:cs="仿宋_GB2312"/>
                <w:b w:val="0"/>
                <w:bCs w:val="0"/>
                <w:color w:val="auto"/>
                <w:kern w:val="2"/>
                <w:sz w:val="24"/>
                <w:szCs w:val="24"/>
                <w:highlight w:val="none"/>
                <w:lang w:val="en-US" w:eastAsia="zh-CN" w:bidi="ar-SA"/>
              </w:rPr>
            </w:pPr>
            <w:r>
              <w:rPr>
                <w:rFonts w:hint="eastAsia" w:ascii="宋体" w:hAnsi="宋体" w:cs="仿宋_GB2312"/>
                <w:b w:val="0"/>
                <w:bCs w:val="0"/>
                <w:color w:val="auto"/>
                <w:kern w:val="2"/>
                <w:sz w:val="24"/>
                <w:szCs w:val="24"/>
                <w:highlight w:val="none"/>
                <w:lang w:val="en-US" w:eastAsia="zh-CN" w:bidi="ar-SA"/>
              </w:rPr>
              <w:t>15</w:t>
            </w:r>
          </w:p>
        </w:tc>
        <w:tc>
          <w:tcPr>
            <w:tcW w:w="6967" w:type="dxa"/>
            <w:vAlign w:val="top"/>
          </w:tcPr>
          <w:p>
            <w:pPr>
              <w:adjustRightInd/>
              <w:spacing w:before="0" w:beforeAutospacing="0" w:after="0" w:afterAutospacing="0" w:line="360" w:lineRule="auto"/>
              <w:ind w:left="0" w:leftChars="0" w:right="0" w:rightChars="0"/>
              <w:jc w:val="left"/>
              <w:outlineLvl w:val="0"/>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【活动的举办计划方案】</w:t>
            </w:r>
          </w:p>
          <w:p>
            <w:pPr>
              <w:numPr>
                <w:ilvl w:val="0"/>
                <w:numId w:val="0"/>
              </w:numPr>
              <w:spacing w:line="360" w:lineRule="auto"/>
              <w:rPr>
                <w:rFonts w:hint="eastAsia" w:ascii="宋体" w:hAnsi="宋体" w:eastAsia="宋体" w:cs="宋体"/>
                <w:b w:val="0"/>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根据供应商对开展各类活动的举办计划：活动频率合理，计划安排得当的得3分；计划安排基本得当的得2分；计划安排一般的得1分；无活动计划的不得分。</w:t>
            </w:r>
          </w:p>
        </w:tc>
        <w:tc>
          <w:tcPr>
            <w:tcW w:w="716" w:type="dxa"/>
            <w:vAlign w:val="center"/>
          </w:tcPr>
          <w:p>
            <w:pPr>
              <w:pStyle w:val="60"/>
              <w:numPr>
                <w:ilvl w:val="0"/>
                <w:numId w:val="0"/>
              </w:numPr>
              <w:overflowPunct/>
              <w:autoSpaceDE/>
              <w:autoSpaceDN/>
              <w:adjustRightInd/>
              <w:spacing w:line="240" w:lineRule="auto"/>
              <w:ind w:left="0" w:leftChars="0" w:firstLine="0" w:firstLineChars="0"/>
              <w:jc w:val="center"/>
              <w:textAlignment w:val="auto"/>
              <w:rPr>
                <w:rFonts w:hint="eastAsia" w:ascii="宋体" w:hAnsi="宋体" w:cs="仿宋_GB2312"/>
                <w:b w:val="0"/>
                <w:color w:val="auto"/>
                <w:kern w:val="2"/>
                <w:sz w:val="24"/>
                <w:szCs w:val="24"/>
                <w:highlight w:val="none"/>
                <w:lang w:val="en-US" w:eastAsia="zh-CN" w:bidi="ar-SA"/>
              </w:rPr>
            </w:pPr>
            <w:r>
              <w:rPr>
                <w:rFonts w:hint="eastAsia" w:ascii="宋体" w:hAnsi="宋体" w:cs="仿宋_GB2312"/>
                <w:b w:val="0"/>
                <w:color w:val="auto"/>
                <w:kern w:val="2"/>
                <w:sz w:val="24"/>
                <w:szCs w:val="24"/>
                <w:highlight w:val="none"/>
                <w:lang w:val="en-US" w:eastAsia="zh-CN" w:bidi="ar-SA"/>
              </w:rPr>
              <w:t>3</w:t>
            </w:r>
          </w:p>
        </w:tc>
        <w:tc>
          <w:tcPr>
            <w:tcW w:w="950" w:type="dxa"/>
            <w:vAlign w:val="center"/>
          </w:tcPr>
          <w:p>
            <w:pPr>
              <w:snapToGrid w:val="0"/>
              <w:spacing w:line="360" w:lineRule="auto"/>
              <w:jc w:val="center"/>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主观分</w:t>
            </w:r>
          </w:p>
        </w:tc>
        <w:tc>
          <w:tcPr>
            <w:tcW w:w="836"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55" w:type="dxa"/>
            <w:vAlign w:val="center"/>
          </w:tcPr>
          <w:p>
            <w:pPr>
              <w:snapToGrid w:val="0"/>
              <w:spacing w:line="360" w:lineRule="auto"/>
              <w:jc w:val="center"/>
              <w:rPr>
                <w:rFonts w:hint="default" w:ascii="宋体" w:hAnsi="宋体" w:cs="仿宋_GB2312"/>
                <w:b w:val="0"/>
                <w:bCs w:val="0"/>
                <w:color w:val="auto"/>
                <w:kern w:val="2"/>
                <w:sz w:val="24"/>
                <w:szCs w:val="24"/>
                <w:highlight w:val="none"/>
                <w:lang w:val="en-US" w:eastAsia="zh-CN" w:bidi="ar-SA"/>
              </w:rPr>
            </w:pPr>
            <w:r>
              <w:rPr>
                <w:rFonts w:hint="eastAsia" w:ascii="宋体" w:hAnsi="宋体" w:cs="仿宋_GB2312"/>
                <w:b w:val="0"/>
                <w:bCs w:val="0"/>
                <w:color w:val="auto"/>
                <w:kern w:val="2"/>
                <w:sz w:val="24"/>
                <w:szCs w:val="24"/>
                <w:highlight w:val="none"/>
                <w:lang w:val="en-US" w:eastAsia="zh-CN" w:bidi="ar-SA"/>
              </w:rPr>
              <w:t>16</w:t>
            </w:r>
          </w:p>
        </w:tc>
        <w:tc>
          <w:tcPr>
            <w:tcW w:w="6967" w:type="dxa"/>
            <w:vAlign w:val="top"/>
          </w:tcPr>
          <w:p>
            <w:pPr>
              <w:adjustRightInd/>
              <w:spacing w:before="0" w:beforeAutospacing="0" w:after="0" w:afterAutospacing="0" w:line="360" w:lineRule="auto"/>
              <w:ind w:left="0" w:leftChars="0" w:right="0" w:rightChars="0"/>
              <w:jc w:val="left"/>
              <w:outlineLvl w:val="0"/>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w:t>
            </w:r>
            <w:r>
              <w:rPr>
                <w:rFonts w:hint="eastAsia" w:ascii="宋体" w:hAnsi="宋体" w:cs="宋体"/>
                <w:b/>
                <w:bCs w:val="0"/>
                <w:color w:val="auto"/>
                <w:kern w:val="2"/>
                <w:sz w:val="24"/>
                <w:szCs w:val="20"/>
                <w:highlight w:val="none"/>
                <w:lang w:val="en-US" w:eastAsia="zh-CN" w:bidi="ar-SA"/>
              </w:rPr>
              <w:t>实施</w:t>
            </w:r>
            <w:r>
              <w:rPr>
                <w:rFonts w:hint="eastAsia" w:ascii="宋体" w:hAnsi="宋体" w:eastAsia="宋体" w:cs="宋体"/>
                <w:b/>
                <w:bCs w:val="0"/>
                <w:color w:val="auto"/>
                <w:kern w:val="2"/>
                <w:sz w:val="24"/>
                <w:szCs w:val="20"/>
                <w:highlight w:val="none"/>
                <w:lang w:val="en-US" w:eastAsia="zh-CN" w:bidi="ar-SA"/>
              </w:rPr>
              <w:t>方案】</w:t>
            </w:r>
          </w:p>
          <w:p>
            <w:pPr>
              <w:numPr>
                <w:ilvl w:val="0"/>
                <w:numId w:val="0"/>
              </w:numPr>
              <w:spacing w:line="360" w:lineRule="auto"/>
              <w:rPr>
                <w:rFonts w:hint="eastAsia" w:ascii="宋体" w:hAnsi="宋体" w:eastAsia="宋体" w:cs="宋体"/>
                <w:b w:val="0"/>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根据供应商对开展各类活动策划方案：活动形式多样，主题明确，内容新颖的得3分，活动形式单一，内容陈旧的得2分；活动形式及内容一般的得1分；无此项内容的不得分。</w:t>
            </w:r>
          </w:p>
        </w:tc>
        <w:tc>
          <w:tcPr>
            <w:tcW w:w="716" w:type="dxa"/>
            <w:vAlign w:val="center"/>
          </w:tcPr>
          <w:p>
            <w:pPr>
              <w:pStyle w:val="60"/>
              <w:numPr>
                <w:ilvl w:val="0"/>
                <w:numId w:val="0"/>
              </w:numPr>
              <w:overflowPunct/>
              <w:autoSpaceDE/>
              <w:autoSpaceDN/>
              <w:adjustRightInd/>
              <w:spacing w:line="240" w:lineRule="auto"/>
              <w:ind w:left="0" w:leftChars="0" w:firstLine="0" w:firstLineChars="0"/>
              <w:jc w:val="center"/>
              <w:textAlignment w:val="auto"/>
              <w:rPr>
                <w:rFonts w:hint="eastAsia" w:ascii="宋体" w:hAnsi="宋体" w:cs="仿宋_GB2312"/>
                <w:b w:val="0"/>
                <w:color w:val="auto"/>
                <w:kern w:val="2"/>
                <w:sz w:val="24"/>
                <w:szCs w:val="24"/>
                <w:highlight w:val="none"/>
                <w:lang w:val="en-US" w:eastAsia="zh-CN" w:bidi="ar-SA"/>
              </w:rPr>
            </w:pPr>
            <w:r>
              <w:rPr>
                <w:rFonts w:hint="eastAsia" w:ascii="宋体" w:hAnsi="宋体" w:cs="仿宋_GB2312"/>
                <w:b w:val="0"/>
                <w:color w:val="auto"/>
                <w:kern w:val="2"/>
                <w:sz w:val="24"/>
                <w:szCs w:val="24"/>
                <w:highlight w:val="none"/>
                <w:lang w:val="en-US" w:eastAsia="zh-CN" w:bidi="ar-SA"/>
              </w:rPr>
              <w:t>3</w:t>
            </w:r>
          </w:p>
        </w:tc>
        <w:tc>
          <w:tcPr>
            <w:tcW w:w="950" w:type="dxa"/>
            <w:vAlign w:val="center"/>
          </w:tcPr>
          <w:p>
            <w:pPr>
              <w:snapToGrid w:val="0"/>
              <w:spacing w:line="360" w:lineRule="auto"/>
              <w:jc w:val="center"/>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主观分</w:t>
            </w:r>
          </w:p>
        </w:tc>
        <w:tc>
          <w:tcPr>
            <w:tcW w:w="836"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napToGrid w:val="0"/>
              <w:spacing w:line="360" w:lineRule="auto"/>
              <w:jc w:val="center"/>
              <w:rPr>
                <w:rFonts w:hint="default" w:ascii="宋体" w:hAnsi="宋体" w:eastAsia="宋体" w:cs="仿宋_GB2312"/>
                <w:b w:val="0"/>
                <w:bCs w:val="0"/>
                <w:color w:val="auto"/>
                <w:kern w:val="2"/>
                <w:sz w:val="24"/>
                <w:szCs w:val="24"/>
                <w:highlight w:val="none"/>
                <w:lang w:val="en-US" w:eastAsia="zh-CN" w:bidi="ar-SA"/>
              </w:rPr>
            </w:pPr>
            <w:r>
              <w:rPr>
                <w:rFonts w:hint="eastAsia" w:ascii="宋体" w:hAnsi="宋体" w:cs="仿宋_GB2312"/>
                <w:b w:val="0"/>
                <w:bCs w:val="0"/>
                <w:color w:val="auto"/>
                <w:kern w:val="2"/>
                <w:sz w:val="24"/>
                <w:szCs w:val="24"/>
                <w:highlight w:val="none"/>
                <w:lang w:val="en-US" w:eastAsia="zh-CN" w:bidi="ar-SA"/>
              </w:rPr>
              <w:t>17</w:t>
            </w:r>
          </w:p>
        </w:tc>
        <w:tc>
          <w:tcPr>
            <w:tcW w:w="6967" w:type="dxa"/>
            <w:vAlign w:val="top"/>
          </w:tcPr>
          <w:p>
            <w:pPr>
              <w:pStyle w:val="128"/>
              <w:numPr>
                <w:ilvl w:val="0"/>
                <w:numId w:val="0"/>
              </w:numPr>
              <w:snapToGrid w:val="0"/>
              <w:spacing w:before="0" w:line="360" w:lineRule="auto"/>
              <w:ind w:leftChars="0"/>
              <w:jc w:val="left"/>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【人员稳定保证措施】</w:t>
            </w:r>
          </w:p>
          <w:p>
            <w:pPr>
              <w:pStyle w:val="128"/>
              <w:numPr>
                <w:ilvl w:val="0"/>
                <w:numId w:val="0"/>
              </w:numPr>
              <w:snapToGrid w:val="0"/>
              <w:spacing w:before="0" w:line="360" w:lineRule="auto"/>
              <w:ind w:leftChars="0"/>
              <w:jc w:val="left"/>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供应商服务人员队伍的稳定保障措施合理可行性，能够有效保证项目人员稳定，持续服务：合理可行的得</w:t>
            </w:r>
            <w:r>
              <w:rPr>
                <w:rFonts w:hint="eastAsia" w:ascii="宋体" w:hAnsi="宋体" w:cs="宋体"/>
                <w:bCs/>
                <w:color w:val="auto"/>
                <w:kern w:val="2"/>
                <w:sz w:val="24"/>
                <w:szCs w:val="20"/>
                <w:highlight w:val="none"/>
                <w:lang w:val="en-US" w:eastAsia="zh-CN" w:bidi="ar-SA"/>
              </w:rPr>
              <w:t>4</w:t>
            </w:r>
            <w:r>
              <w:rPr>
                <w:rFonts w:hint="eastAsia" w:ascii="宋体" w:hAnsi="宋体" w:eastAsia="宋体" w:cs="宋体"/>
                <w:bCs/>
                <w:color w:val="auto"/>
                <w:kern w:val="2"/>
                <w:sz w:val="24"/>
                <w:szCs w:val="20"/>
                <w:highlight w:val="none"/>
                <w:lang w:val="en-US" w:eastAsia="zh-CN" w:bidi="ar-SA"/>
              </w:rPr>
              <w:t>分；基本合理可行的得3分；合理可行性欠缺的得</w:t>
            </w:r>
            <w:r>
              <w:rPr>
                <w:rFonts w:hint="eastAsia" w:ascii="宋体" w:hAnsi="宋体" w:cs="宋体"/>
                <w:bCs/>
                <w:color w:val="auto"/>
                <w:kern w:val="2"/>
                <w:sz w:val="24"/>
                <w:szCs w:val="20"/>
                <w:highlight w:val="none"/>
                <w:lang w:val="en-US" w:eastAsia="zh-CN" w:bidi="ar-SA"/>
              </w:rPr>
              <w:t>2</w:t>
            </w:r>
            <w:r>
              <w:rPr>
                <w:rFonts w:hint="eastAsia" w:ascii="宋体" w:hAnsi="宋体" w:eastAsia="宋体" w:cs="宋体"/>
                <w:bCs/>
                <w:color w:val="auto"/>
                <w:kern w:val="2"/>
                <w:sz w:val="24"/>
                <w:szCs w:val="20"/>
                <w:highlight w:val="none"/>
                <w:lang w:val="en-US" w:eastAsia="zh-CN" w:bidi="ar-SA"/>
              </w:rPr>
              <w:t>分；</w:t>
            </w:r>
            <w:r>
              <w:rPr>
                <w:rFonts w:hint="eastAsia" w:ascii="宋体" w:hAnsi="宋体" w:cs="宋体"/>
                <w:bCs/>
                <w:color w:val="auto"/>
                <w:kern w:val="2"/>
                <w:sz w:val="24"/>
                <w:szCs w:val="20"/>
                <w:highlight w:val="none"/>
                <w:lang w:val="en-US" w:eastAsia="zh-CN" w:bidi="ar-SA"/>
              </w:rPr>
              <w:t>合理可行</w:t>
            </w:r>
            <w:r>
              <w:rPr>
                <w:rFonts w:hint="eastAsia" w:ascii="宋体" w:hAnsi="宋体" w:eastAsia="宋体" w:cs="宋体"/>
                <w:bCs/>
                <w:color w:val="auto"/>
                <w:kern w:val="2"/>
                <w:sz w:val="24"/>
                <w:szCs w:val="20"/>
                <w:highlight w:val="none"/>
                <w:lang w:val="en-US" w:eastAsia="zh-CN" w:bidi="ar-SA"/>
              </w:rPr>
              <w:t>一般的得1分；不合理可行的或者缺项的得0分。</w:t>
            </w:r>
          </w:p>
        </w:tc>
        <w:tc>
          <w:tcPr>
            <w:tcW w:w="716" w:type="dxa"/>
            <w:vAlign w:val="center"/>
          </w:tcPr>
          <w:p>
            <w:pPr>
              <w:pStyle w:val="60"/>
              <w:numPr>
                <w:ilvl w:val="0"/>
                <w:numId w:val="0"/>
              </w:numPr>
              <w:overflowPunct/>
              <w:autoSpaceDE/>
              <w:autoSpaceDN/>
              <w:adjustRightInd/>
              <w:spacing w:line="240" w:lineRule="auto"/>
              <w:ind w:left="0" w:leftChars="0" w:firstLine="0" w:firstLineChars="0"/>
              <w:jc w:val="center"/>
              <w:textAlignment w:val="auto"/>
              <w:rPr>
                <w:rFonts w:hint="default" w:ascii="宋体" w:hAnsi="宋体" w:cs="仿宋_GB2312"/>
                <w:b w:val="0"/>
                <w:color w:val="auto"/>
                <w:kern w:val="2"/>
                <w:sz w:val="24"/>
                <w:szCs w:val="24"/>
                <w:highlight w:val="none"/>
                <w:lang w:val="en-US" w:eastAsia="zh-CN" w:bidi="ar-SA"/>
              </w:rPr>
            </w:pPr>
            <w:r>
              <w:rPr>
                <w:rFonts w:hint="eastAsia" w:ascii="宋体" w:hAnsi="宋体" w:cs="仿宋_GB2312"/>
                <w:b w:val="0"/>
                <w:color w:val="auto"/>
                <w:kern w:val="2"/>
                <w:sz w:val="24"/>
                <w:szCs w:val="24"/>
                <w:highlight w:val="none"/>
                <w:lang w:val="en-US" w:eastAsia="zh-CN" w:bidi="ar-SA"/>
              </w:rPr>
              <w:t>4</w:t>
            </w:r>
          </w:p>
        </w:tc>
        <w:tc>
          <w:tcPr>
            <w:tcW w:w="950" w:type="dxa"/>
            <w:vAlign w:val="center"/>
          </w:tcPr>
          <w:p>
            <w:pPr>
              <w:snapToGrid w:val="0"/>
              <w:spacing w:line="360" w:lineRule="auto"/>
              <w:jc w:val="center"/>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主观分</w:t>
            </w:r>
          </w:p>
        </w:tc>
        <w:tc>
          <w:tcPr>
            <w:tcW w:w="836"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napToGrid w:val="0"/>
              <w:spacing w:line="360" w:lineRule="auto"/>
              <w:jc w:val="center"/>
              <w:rPr>
                <w:rFonts w:hint="eastAsia" w:ascii="宋体" w:hAnsi="宋体" w:eastAsia="宋体" w:cs="仿宋_GB2312"/>
                <w:b w:val="0"/>
                <w:bCs w:val="0"/>
                <w:color w:val="auto"/>
                <w:kern w:val="2"/>
                <w:sz w:val="24"/>
                <w:szCs w:val="24"/>
                <w:highlight w:val="none"/>
                <w:lang w:val="en-US" w:eastAsia="zh-CN" w:bidi="ar-SA"/>
              </w:rPr>
            </w:pPr>
          </w:p>
          <w:p>
            <w:pPr>
              <w:snapToGrid w:val="0"/>
              <w:spacing w:line="360" w:lineRule="auto"/>
              <w:jc w:val="center"/>
              <w:rPr>
                <w:rFonts w:hint="default" w:ascii="宋体" w:hAnsi="宋体" w:eastAsia="宋体" w:cs="仿宋_GB2312"/>
                <w:b w:val="0"/>
                <w:bCs w:val="0"/>
                <w:color w:val="auto"/>
                <w:kern w:val="2"/>
                <w:sz w:val="24"/>
                <w:szCs w:val="24"/>
                <w:highlight w:val="none"/>
                <w:lang w:val="en-US" w:eastAsia="zh-CN" w:bidi="ar-SA"/>
              </w:rPr>
            </w:pPr>
            <w:r>
              <w:rPr>
                <w:rFonts w:hint="eastAsia" w:ascii="宋体" w:hAnsi="宋体" w:cs="仿宋_GB2312"/>
                <w:b w:val="0"/>
                <w:bCs w:val="0"/>
                <w:color w:val="auto"/>
                <w:kern w:val="2"/>
                <w:sz w:val="24"/>
                <w:szCs w:val="24"/>
                <w:highlight w:val="none"/>
                <w:lang w:val="en-US" w:eastAsia="zh-CN" w:bidi="ar-SA"/>
              </w:rPr>
              <w:t>18</w:t>
            </w:r>
          </w:p>
        </w:tc>
        <w:tc>
          <w:tcPr>
            <w:tcW w:w="6967" w:type="dxa"/>
            <w:vAlign w:val="top"/>
          </w:tcPr>
          <w:p>
            <w:pPr>
              <w:pStyle w:val="128"/>
              <w:numPr>
                <w:ilvl w:val="0"/>
                <w:numId w:val="0"/>
              </w:numPr>
              <w:snapToGrid w:val="0"/>
              <w:spacing w:before="0" w:line="360" w:lineRule="auto"/>
              <w:ind w:leftChars="0"/>
              <w:jc w:val="left"/>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【质量保证措施】</w:t>
            </w:r>
          </w:p>
          <w:p>
            <w:pPr>
              <w:pStyle w:val="128"/>
              <w:numPr>
                <w:ilvl w:val="0"/>
                <w:numId w:val="0"/>
              </w:numPr>
              <w:snapToGrid w:val="0"/>
              <w:spacing w:before="0" w:line="360" w:lineRule="auto"/>
              <w:ind w:leftChars="0"/>
              <w:jc w:val="left"/>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服务质量保证情况（根据投标人提供的质量保证措施是否具有针对性、可靠性、是否具有严密的质量管理制度、可实现程度、提供优惠等情况综合评定）。方案较</w:t>
            </w:r>
            <w:r>
              <w:rPr>
                <w:rFonts w:hint="eastAsia" w:ascii="宋体" w:hAnsi="宋体" w:cs="宋体"/>
                <w:bCs/>
                <w:color w:val="auto"/>
                <w:kern w:val="2"/>
                <w:sz w:val="24"/>
                <w:szCs w:val="20"/>
                <w:highlight w:val="none"/>
                <w:lang w:val="en-US" w:eastAsia="zh-CN" w:bidi="ar-SA"/>
              </w:rPr>
              <w:t>好、</w:t>
            </w:r>
            <w:r>
              <w:rPr>
                <w:rFonts w:hint="eastAsia" w:ascii="宋体" w:hAnsi="宋体" w:eastAsia="宋体" w:cs="宋体"/>
                <w:bCs/>
                <w:color w:val="auto"/>
                <w:kern w:val="2"/>
                <w:sz w:val="24"/>
                <w:szCs w:val="20"/>
                <w:highlight w:val="none"/>
                <w:lang w:val="en-US" w:eastAsia="zh-CN" w:bidi="ar-SA"/>
              </w:rPr>
              <w:t>详细完善且</w:t>
            </w:r>
            <w:r>
              <w:rPr>
                <w:rFonts w:hint="eastAsia" w:ascii="宋体" w:hAnsi="宋体" w:cs="宋体"/>
                <w:bCs/>
                <w:color w:val="auto"/>
                <w:kern w:val="2"/>
                <w:sz w:val="24"/>
                <w:szCs w:val="20"/>
                <w:highlight w:val="none"/>
                <w:lang w:val="en-US" w:eastAsia="zh-CN" w:bidi="ar-SA"/>
              </w:rPr>
              <w:t>较</w:t>
            </w:r>
            <w:r>
              <w:rPr>
                <w:rFonts w:hint="eastAsia" w:ascii="宋体" w:hAnsi="宋体" w:eastAsia="宋体" w:cs="宋体"/>
                <w:bCs/>
                <w:color w:val="auto"/>
                <w:kern w:val="2"/>
                <w:sz w:val="24"/>
                <w:szCs w:val="20"/>
                <w:highlight w:val="none"/>
                <w:lang w:val="en-US" w:eastAsia="zh-CN" w:bidi="ar-SA"/>
              </w:rPr>
              <w:t>有针对性、可靠性的得4分；方案</w:t>
            </w:r>
            <w:r>
              <w:rPr>
                <w:rFonts w:hint="eastAsia" w:ascii="宋体" w:hAnsi="宋体" w:cs="宋体"/>
                <w:bCs/>
                <w:color w:val="auto"/>
                <w:kern w:val="2"/>
                <w:sz w:val="24"/>
                <w:szCs w:val="20"/>
                <w:highlight w:val="none"/>
                <w:lang w:val="en-US" w:eastAsia="zh-CN" w:bidi="ar-SA"/>
              </w:rPr>
              <w:t>好、</w:t>
            </w:r>
            <w:r>
              <w:rPr>
                <w:rFonts w:hint="eastAsia" w:ascii="宋体" w:hAnsi="宋体" w:eastAsia="宋体" w:cs="宋体"/>
                <w:bCs/>
                <w:color w:val="auto"/>
                <w:kern w:val="2"/>
                <w:sz w:val="24"/>
                <w:szCs w:val="20"/>
                <w:highlight w:val="none"/>
                <w:lang w:val="en-US" w:eastAsia="zh-CN" w:bidi="ar-SA"/>
              </w:rPr>
              <w:t>详细完善且具有针对性、可靠性的得</w:t>
            </w:r>
            <w:r>
              <w:rPr>
                <w:rFonts w:hint="eastAsia" w:ascii="宋体" w:hAnsi="宋体" w:cs="宋体"/>
                <w:bCs/>
                <w:color w:val="auto"/>
                <w:kern w:val="2"/>
                <w:sz w:val="24"/>
                <w:szCs w:val="20"/>
                <w:highlight w:val="none"/>
                <w:lang w:val="en-US" w:eastAsia="zh-CN" w:bidi="ar-SA"/>
              </w:rPr>
              <w:t>3</w:t>
            </w:r>
            <w:r>
              <w:rPr>
                <w:rFonts w:hint="eastAsia" w:ascii="宋体" w:hAnsi="宋体" w:eastAsia="宋体" w:cs="宋体"/>
                <w:bCs/>
                <w:color w:val="auto"/>
                <w:kern w:val="2"/>
                <w:sz w:val="24"/>
                <w:szCs w:val="20"/>
                <w:highlight w:val="none"/>
                <w:lang w:val="en-US" w:eastAsia="zh-CN" w:bidi="ar-SA"/>
              </w:rPr>
              <w:t>分；</w:t>
            </w:r>
            <w:r>
              <w:rPr>
                <w:rFonts w:hint="eastAsia" w:ascii="宋体" w:hAnsi="宋体" w:eastAsia="宋体" w:cs="宋体"/>
                <w:b w:val="0"/>
                <w:bCs/>
                <w:color w:val="auto"/>
                <w:kern w:val="2"/>
                <w:sz w:val="24"/>
                <w:szCs w:val="20"/>
                <w:highlight w:val="none"/>
                <w:lang w:val="en-US" w:eastAsia="zh-CN" w:bidi="ar-SA"/>
              </w:rPr>
              <w:t>方案</w:t>
            </w:r>
            <w:r>
              <w:rPr>
                <w:rFonts w:hint="eastAsia" w:ascii="宋体" w:hAnsi="宋体" w:cs="宋体"/>
                <w:b w:val="0"/>
                <w:bCs/>
                <w:color w:val="auto"/>
                <w:kern w:val="2"/>
                <w:sz w:val="24"/>
                <w:szCs w:val="20"/>
                <w:highlight w:val="none"/>
                <w:lang w:val="en-US" w:eastAsia="zh-CN" w:bidi="ar-SA"/>
              </w:rPr>
              <w:t>一般、基本</w:t>
            </w:r>
            <w:r>
              <w:rPr>
                <w:rFonts w:hint="eastAsia" w:ascii="宋体" w:hAnsi="宋体" w:eastAsia="宋体" w:cs="宋体"/>
                <w:b w:val="0"/>
                <w:bCs/>
                <w:color w:val="auto"/>
                <w:kern w:val="2"/>
                <w:sz w:val="24"/>
                <w:szCs w:val="20"/>
                <w:highlight w:val="none"/>
                <w:lang w:val="en-US" w:eastAsia="zh-CN" w:bidi="ar-SA"/>
              </w:rPr>
              <w:t>完善且针对性、可靠性</w:t>
            </w:r>
            <w:r>
              <w:rPr>
                <w:rFonts w:hint="eastAsia" w:ascii="宋体" w:hAnsi="宋体" w:eastAsia="宋体" w:cs="宋体"/>
                <w:bCs/>
                <w:color w:val="auto"/>
                <w:kern w:val="2"/>
                <w:sz w:val="24"/>
                <w:szCs w:val="20"/>
                <w:highlight w:val="none"/>
                <w:lang w:val="en-US" w:eastAsia="zh-CN" w:bidi="ar-SA"/>
              </w:rPr>
              <w:t>一般</w:t>
            </w:r>
            <w:r>
              <w:rPr>
                <w:rFonts w:hint="eastAsia" w:ascii="宋体" w:hAnsi="宋体" w:eastAsia="宋体" w:cs="宋体"/>
                <w:b w:val="0"/>
                <w:bCs/>
                <w:color w:val="auto"/>
                <w:kern w:val="2"/>
                <w:sz w:val="24"/>
                <w:szCs w:val="20"/>
                <w:highlight w:val="none"/>
                <w:lang w:val="en-US" w:eastAsia="zh-CN" w:bidi="ar-SA"/>
              </w:rPr>
              <w:t>的得</w:t>
            </w:r>
            <w:r>
              <w:rPr>
                <w:rFonts w:hint="eastAsia" w:ascii="宋体" w:hAnsi="宋体" w:cs="宋体"/>
                <w:b w:val="0"/>
                <w:bCs/>
                <w:color w:val="auto"/>
                <w:kern w:val="2"/>
                <w:sz w:val="24"/>
                <w:szCs w:val="20"/>
                <w:highlight w:val="none"/>
                <w:lang w:val="en-US" w:eastAsia="zh-CN" w:bidi="ar-SA"/>
              </w:rPr>
              <w:t>2</w:t>
            </w:r>
            <w:r>
              <w:rPr>
                <w:rFonts w:hint="eastAsia" w:ascii="宋体" w:hAnsi="宋体" w:eastAsia="宋体" w:cs="宋体"/>
                <w:b w:val="0"/>
                <w:bCs/>
                <w:color w:val="auto"/>
                <w:kern w:val="2"/>
                <w:sz w:val="24"/>
                <w:szCs w:val="20"/>
                <w:highlight w:val="none"/>
                <w:lang w:val="en-US" w:eastAsia="zh-CN" w:bidi="ar-SA"/>
              </w:rPr>
              <w:t>分</w:t>
            </w:r>
            <w:r>
              <w:rPr>
                <w:rFonts w:hint="eastAsia" w:ascii="宋体" w:hAnsi="宋体" w:cs="宋体"/>
                <w:b w:val="0"/>
                <w:bCs/>
                <w:color w:val="auto"/>
                <w:kern w:val="2"/>
                <w:sz w:val="24"/>
                <w:szCs w:val="20"/>
                <w:highlight w:val="none"/>
                <w:lang w:val="en-US" w:eastAsia="zh-CN" w:bidi="ar-SA"/>
              </w:rPr>
              <w:t>；</w:t>
            </w:r>
            <w:r>
              <w:rPr>
                <w:rFonts w:hint="eastAsia" w:ascii="宋体" w:hAnsi="宋体" w:eastAsia="宋体" w:cs="宋体"/>
                <w:bCs/>
                <w:color w:val="auto"/>
                <w:kern w:val="2"/>
                <w:sz w:val="24"/>
                <w:szCs w:val="20"/>
                <w:highlight w:val="none"/>
                <w:lang w:val="en-US" w:eastAsia="zh-CN" w:bidi="ar-SA"/>
              </w:rPr>
              <w:t>方案不够详细完善且</w:t>
            </w:r>
            <w:r>
              <w:rPr>
                <w:rFonts w:hint="eastAsia" w:ascii="宋体" w:hAnsi="宋体" w:cs="宋体"/>
                <w:bCs/>
                <w:color w:val="auto"/>
                <w:kern w:val="2"/>
                <w:sz w:val="24"/>
                <w:szCs w:val="20"/>
                <w:highlight w:val="none"/>
                <w:lang w:val="en-US" w:eastAsia="zh-CN" w:bidi="ar-SA"/>
              </w:rPr>
              <w:t>无</w:t>
            </w:r>
            <w:r>
              <w:rPr>
                <w:rFonts w:hint="eastAsia" w:ascii="宋体" w:hAnsi="宋体" w:eastAsia="宋体" w:cs="宋体"/>
                <w:bCs/>
                <w:color w:val="auto"/>
                <w:kern w:val="2"/>
                <w:sz w:val="24"/>
                <w:szCs w:val="20"/>
                <w:highlight w:val="none"/>
                <w:lang w:val="en-US" w:eastAsia="zh-CN" w:bidi="ar-SA"/>
              </w:rPr>
              <w:t>针对性、可靠性的得1分；未提供方案的</w:t>
            </w:r>
            <w:r>
              <w:rPr>
                <w:rFonts w:hint="eastAsia" w:ascii="宋体" w:hAnsi="宋体" w:eastAsia="宋体" w:cs="宋体"/>
                <w:bCs/>
                <w:color w:val="auto"/>
                <w:highlight w:val="none"/>
                <w:lang w:val="en-US" w:eastAsia="zh-CN"/>
              </w:rPr>
              <w:t>得0分。</w:t>
            </w:r>
          </w:p>
        </w:tc>
        <w:tc>
          <w:tcPr>
            <w:tcW w:w="716" w:type="dxa"/>
            <w:vAlign w:val="center"/>
          </w:tcPr>
          <w:p>
            <w:pPr>
              <w:pStyle w:val="60"/>
              <w:numPr>
                <w:ilvl w:val="0"/>
                <w:numId w:val="0"/>
              </w:numPr>
              <w:overflowPunct/>
              <w:autoSpaceDE/>
              <w:autoSpaceDN/>
              <w:adjustRightInd/>
              <w:spacing w:line="240" w:lineRule="auto"/>
              <w:ind w:left="0" w:leftChars="0" w:firstLine="0" w:firstLineChars="0"/>
              <w:jc w:val="center"/>
              <w:textAlignment w:val="auto"/>
              <w:rPr>
                <w:rFonts w:hint="default" w:ascii="宋体" w:hAnsi="宋体" w:cs="仿宋_GB2312"/>
                <w:b w:val="0"/>
                <w:color w:val="auto"/>
                <w:kern w:val="2"/>
                <w:sz w:val="24"/>
                <w:szCs w:val="24"/>
                <w:highlight w:val="none"/>
                <w:lang w:val="en-US" w:eastAsia="zh-CN" w:bidi="ar-SA"/>
              </w:rPr>
            </w:pPr>
            <w:r>
              <w:rPr>
                <w:rFonts w:hint="eastAsia" w:ascii="宋体" w:hAnsi="宋体" w:cs="仿宋_GB2312"/>
                <w:b w:val="0"/>
                <w:color w:val="auto"/>
                <w:kern w:val="2"/>
                <w:sz w:val="24"/>
                <w:szCs w:val="24"/>
                <w:highlight w:val="none"/>
                <w:lang w:val="en-US" w:eastAsia="zh-CN" w:bidi="ar-SA"/>
              </w:rPr>
              <w:t>4</w:t>
            </w:r>
          </w:p>
        </w:tc>
        <w:tc>
          <w:tcPr>
            <w:tcW w:w="950" w:type="dxa"/>
            <w:vAlign w:val="center"/>
          </w:tcPr>
          <w:p>
            <w:pPr>
              <w:snapToGrid w:val="0"/>
              <w:spacing w:line="360" w:lineRule="auto"/>
              <w:jc w:val="center"/>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主观分</w:t>
            </w:r>
          </w:p>
        </w:tc>
        <w:tc>
          <w:tcPr>
            <w:tcW w:w="836"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pStyle w:val="6"/>
              <w:jc w:val="center"/>
              <w:rPr>
                <w:rFonts w:hint="default" w:ascii="宋体" w:hAnsi="宋体" w:eastAsia="宋体" w:cs="仿宋_GB2312"/>
                <w:b w:val="0"/>
                <w:bCs w:val="0"/>
                <w:color w:val="auto"/>
                <w:kern w:val="2"/>
                <w:sz w:val="24"/>
                <w:szCs w:val="24"/>
                <w:highlight w:val="none"/>
                <w:lang w:val="en-US" w:eastAsia="zh-CN" w:bidi="ar-SA"/>
              </w:rPr>
            </w:pPr>
            <w:r>
              <w:rPr>
                <w:rFonts w:hint="eastAsia" w:ascii="宋体" w:hAnsi="宋体" w:eastAsia="宋体" w:cs="仿宋_GB2312"/>
                <w:b w:val="0"/>
                <w:bCs w:val="0"/>
                <w:color w:val="auto"/>
                <w:kern w:val="2"/>
                <w:sz w:val="24"/>
                <w:szCs w:val="24"/>
                <w:highlight w:val="none"/>
                <w:lang w:val="en-US" w:eastAsia="zh-CN" w:bidi="ar-SA"/>
              </w:rPr>
              <w:t>19</w:t>
            </w:r>
          </w:p>
        </w:tc>
        <w:tc>
          <w:tcPr>
            <w:tcW w:w="6967" w:type="dxa"/>
            <w:vAlign w:val="top"/>
          </w:tcPr>
          <w:p>
            <w:pPr>
              <w:pStyle w:val="128"/>
              <w:numPr>
                <w:ilvl w:val="0"/>
                <w:numId w:val="0"/>
              </w:numPr>
              <w:snapToGrid w:val="0"/>
              <w:spacing w:before="0" w:line="360" w:lineRule="auto"/>
              <w:ind w:leftChars="0"/>
              <w:jc w:val="left"/>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【宣传方案】</w:t>
            </w:r>
          </w:p>
          <w:p>
            <w:pPr>
              <w:pStyle w:val="128"/>
              <w:numPr>
                <w:ilvl w:val="0"/>
                <w:numId w:val="0"/>
              </w:numPr>
              <w:snapToGrid w:val="0"/>
              <w:spacing w:before="0" w:line="360" w:lineRule="auto"/>
              <w:ind w:leftChars="0"/>
              <w:jc w:val="left"/>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供应商提供的宣传方案形式多样、宣传内容</w:t>
            </w:r>
            <w:r>
              <w:rPr>
                <w:rFonts w:hint="eastAsia" w:ascii="宋体" w:hAnsi="宋体" w:cs="宋体"/>
                <w:bCs/>
                <w:color w:val="auto"/>
                <w:kern w:val="2"/>
                <w:sz w:val="24"/>
                <w:szCs w:val="20"/>
                <w:highlight w:val="none"/>
                <w:lang w:val="en-US" w:eastAsia="zh-CN" w:bidi="ar-SA"/>
              </w:rPr>
              <w:t>较</w:t>
            </w:r>
            <w:r>
              <w:rPr>
                <w:rFonts w:hint="eastAsia" w:ascii="宋体" w:hAnsi="宋体" w:eastAsia="宋体" w:cs="宋体"/>
                <w:bCs/>
                <w:color w:val="auto"/>
                <w:kern w:val="2"/>
                <w:sz w:val="24"/>
                <w:szCs w:val="20"/>
                <w:highlight w:val="none"/>
                <w:lang w:val="en-US" w:eastAsia="zh-CN" w:bidi="ar-SA"/>
              </w:rPr>
              <w:t>充实的得4分；宣传方案形式</w:t>
            </w:r>
            <w:r>
              <w:rPr>
                <w:rFonts w:hint="eastAsia" w:ascii="宋体" w:hAnsi="宋体" w:cs="宋体"/>
                <w:bCs/>
                <w:color w:val="auto"/>
                <w:kern w:val="2"/>
                <w:sz w:val="24"/>
                <w:szCs w:val="20"/>
                <w:highlight w:val="none"/>
                <w:lang w:val="en-US" w:eastAsia="zh-CN" w:bidi="ar-SA"/>
              </w:rPr>
              <w:t>较</w:t>
            </w:r>
            <w:r>
              <w:rPr>
                <w:rFonts w:hint="eastAsia" w:ascii="宋体" w:hAnsi="宋体" w:eastAsia="宋体" w:cs="宋体"/>
                <w:bCs/>
                <w:color w:val="auto"/>
                <w:kern w:val="2"/>
                <w:sz w:val="24"/>
                <w:szCs w:val="20"/>
                <w:highlight w:val="none"/>
                <w:lang w:val="en-US" w:eastAsia="zh-CN" w:bidi="ar-SA"/>
              </w:rPr>
              <w:t>多样、宣传内容</w:t>
            </w:r>
            <w:r>
              <w:rPr>
                <w:rFonts w:hint="eastAsia" w:ascii="宋体" w:hAnsi="宋体" w:cs="宋体"/>
                <w:bCs/>
                <w:color w:val="auto"/>
                <w:kern w:val="2"/>
                <w:sz w:val="24"/>
                <w:szCs w:val="20"/>
                <w:highlight w:val="none"/>
                <w:lang w:val="en-US" w:eastAsia="zh-CN" w:bidi="ar-SA"/>
              </w:rPr>
              <w:t>充实</w:t>
            </w:r>
            <w:r>
              <w:rPr>
                <w:rFonts w:hint="eastAsia" w:ascii="宋体" w:hAnsi="宋体" w:eastAsia="宋体" w:cs="宋体"/>
                <w:bCs/>
                <w:color w:val="auto"/>
                <w:kern w:val="2"/>
                <w:sz w:val="24"/>
                <w:szCs w:val="20"/>
                <w:highlight w:val="none"/>
                <w:lang w:val="en-US" w:eastAsia="zh-CN" w:bidi="ar-SA"/>
              </w:rPr>
              <w:t>的得</w:t>
            </w:r>
            <w:r>
              <w:rPr>
                <w:rFonts w:hint="eastAsia" w:ascii="宋体" w:hAnsi="宋体" w:cs="宋体"/>
                <w:bCs/>
                <w:color w:val="auto"/>
                <w:kern w:val="2"/>
                <w:sz w:val="24"/>
                <w:szCs w:val="20"/>
                <w:highlight w:val="none"/>
                <w:lang w:val="en-US" w:eastAsia="zh-CN" w:bidi="ar-SA"/>
              </w:rPr>
              <w:t>3</w:t>
            </w:r>
            <w:r>
              <w:rPr>
                <w:rFonts w:hint="eastAsia" w:ascii="宋体" w:hAnsi="宋体" w:eastAsia="宋体" w:cs="宋体"/>
                <w:bCs/>
                <w:color w:val="auto"/>
                <w:kern w:val="2"/>
                <w:sz w:val="24"/>
                <w:szCs w:val="20"/>
                <w:highlight w:val="none"/>
                <w:lang w:val="en-US" w:eastAsia="zh-CN" w:bidi="ar-SA"/>
              </w:rPr>
              <w:t>分；形式一般、内容</w:t>
            </w:r>
            <w:r>
              <w:rPr>
                <w:rFonts w:hint="eastAsia" w:ascii="宋体" w:hAnsi="宋体" w:cs="宋体"/>
                <w:bCs/>
                <w:color w:val="auto"/>
                <w:kern w:val="2"/>
                <w:sz w:val="24"/>
                <w:szCs w:val="20"/>
                <w:highlight w:val="none"/>
                <w:lang w:val="en-US" w:eastAsia="zh-CN" w:bidi="ar-SA"/>
              </w:rPr>
              <w:t>一般</w:t>
            </w:r>
            <w:r>
              <w:rPr>
                <w:rFonts w:hint="eastAsia" w:ascii="宋体" w:hAnsi="宋体" w:eastAsia="宋体" w:cs="宋体"/>
                <w:bCs/>
                <w:color w:val="auto"/>
                <w:kern w:val="2"/>
                <w:sz w:val="24"/>
                <w:szCs w:val="20"/>
                <w:highlight w:val="none"/>
                <w:lang w:val="en-US" w:eastAsia="zh-CN" w:bidi="ar-SA"/>
              </w:rPr>
              <w:t>的得2分；方案不全、形式单一的1分；未提供方案的得0分。</w:t>
            </w:r>
          </w:p>
        </w:tc>
        <w:tc>
          <w:tcPr>
            <w:tcW w:w="716" w:type="dxa"/>
            <w:vAlign w:val="center"/>
          </w:tcPr>
          <w:p>
            <w:pPr>
              <w:pStyle w:val="60"/>
              <w:numPr>
                <w:ilvl w:val="0"/>
                <w:numId w:val="0"/>
              </w:numPr>
              <w:overflowPunct/>
              <w:autoSpaceDE/>
              <w:autoSpaceDN/>
              <w:adjustRightInd/>
              <w:spacing w:line="240" w:lineRule="auto"/>
              <w:ind w:left="0" w:leftChars="0" w:firstLine="0" w:firstLineChars="0"/>
              <w:jc w:val="center"/>
              <w:textAlignment w:val="auto"/>
              <w:rPr>
                <w:rFonts w:hint="default" w:ascii="宋体" w:hAnsi="宋体" w:cs="仿宋_GB2312"/>
                <w:b w:val="0"/>
                <w:color w:val="auto"/>
                <w:kern w:val="2"/>
                <w:sz w:val="24"/>
                <w:szCs w:val="24"/>
                <w:highlight w:val="none"/>
                <w:lang w:val="en-US" w:eastAsia="zh-CN" w:bidi="ar-SA"/>
              </w:rPr>
            </w:pPr>
            <w:r>
              <w:rPr>
                <w:rFonts w:hint="eastAsia" w:ascii="宋体" w:hAnsi="宋体" w:cs="仿宋_GB2312"/>
                <w:b w:val="0"/>
                <w:color w:val="auto"/>
                <w:kern w:val="2"/>
                <w:sz w:val="24"/>
                <w:szCs w:val="24"/>
                <w:highlight w:val="none"/>
                <w:lang w:val="en-US" w:eastAsia="zh-CN" w:bidi="ar-SA"/>
              </w:rPr>
              <w:t>4</w:t>
            </w:r>
          </w:p>
        </w:tc>
        <w:tc>
          <w:tcPr>
            <w:tcW w:w="950" w:type="dxa"/>
            <w:vAlign w:val="center"/>
          </w:tcPr>
          <w:p>
            <w:pPr>
              <w:snapToGrid w:val="0"/>
              <w:spacing w:line="360" w:lineRule="auto"/>
              <w:jc w:val="center"/>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主观分</w:t>
            </w:r>
          </w:p>
        </w:tc>
        <w:tc>
          <w:tcPr>
            <w:tcW w:w="836"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pStyle w:val="6"/>
              <w:jc w:val="center"/>
              <w:rPr>
                <w:rFonts w:hint="default" w:ascii="宋体" w:hAnsi="宋体" w:eastAsia="宋体" w:cs="仿宋_GB2312"/>
                <w:b w:val="0"/>
                <w:bCs w:val="0"/>
                <w:color w:val="auto"/>
                <w:kern w:val="2"/>
                <w:sz w:val="24"/>
                <w:szCs w:val="24"/>
                <w:highlight w:val="none"/>
                <w:lang w:val="en-US" w:eastAsia="zh-CN" w:bidi="ar-SA"/>
              </w:rPr>
            </w:pPr>
            <w:r>
              <w:rPr>
                <w:rFonts w:hint="eastAsia" w:ascii="宋体" w:hAnsi="宋体" w:eastAsia="宋体" w:cs="仿宋_GB2312"/>
                <w:b w:val="0"/>
                <w:bCs w:val="0"/>
                <w:color w:val="auto"/>
                <w:kern w:val="2"/>
                <w:sz w:val="24"/>
                <w:szCs w:val="24"/>
                <w:highlight w:val="none"/>
                <w:lang w:val="en-US" w:eastAsia="zh-CN" w:bidi="ar-SA"/>
              </w:rPr>
              <w:t>20</w:t>
            </w:r>
          </w:p>
        </w:tc>
        <w:tc>
          <w:tcPr>
            <w:tcW w:w="6967" w:type="dxa"/>
            <w:vAlign w:val="top"/>
          </w:tcPr>
          <w:p>
            <w:pPr>
              <w:pStyle w:val="128"/>
              <w:numPr>
                <w:ilvl w:val="0"/>
                <w:numId w:val="0"/>
              </w:numPr>
              <w:snapToGrid w:val="0"/>
              <w:spacing w:before="0" w:line="360" w:lineRule="auto"/>
              <w:ind w:leftChars="0"/>
              <w:jc w:val="left"/>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【应急服务方案】</w:t>
            </w:r>
          </w:p>
          <w:p>
            <w:pPr>
              <w:spacing w:line="360" w:lineRule="auto"/>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根据供应商针对本项目提出的突发事件发生时的应急预案和应急处理措施（包括应急队伍的组织、安排及实施应急处理的具体措施）</w:t>
            </w:r>
            <w:r>
              <w:rPr>
                <w:rFonts w:hint="eastAsia" w:ascii="宋体" w:hAnsi="宋体" w:eastAsia="宋体" w:cs="宋体"/>
                <w:b w:val="0"/>
                <w:bCs w:val="0"/>
                <w:color w:val="auto"/>
                <w:kern w:val="0"/>
                <w:sz w:val="24"/>
                <w:szCs w:val="24"/>
                <w:highlight w:val="none"/>
                <w:lang w:val="en-GB" w:eastAsia="zh-CN" w:bidi="ar-SA"/>
              </w:rPr>
              <w:t>较科学合理可行的得4分；</w:t>
            </w:r>
            <w:r>
              <w:rPr>
                <w:rFonts w:hint="eastAsia" w:ascii="宋体" w:hAnsi="宋体" w:cs="宋体"/>
                <w:b w:val="0"/>
                <w:bCs w:val="0"/>
                <w:color w:val="auto"/>
                <w:kern w:val="0"/>
                <w:sz w:val="24"/>
                <w:szCs w:val="24"/>
                <w:highlight w:val="none"/>
                <w:lang w:val="en-GB" w:eastAsia="zh-CN" w:bidi="ar-SA"/>
              </w:rPr>
              <w:t>基本</w:t>
            </w:r>
            <w:r>
              <w:rPr>
                <w:rFonts w:hint="eastAsia" w:ascii="宋体" w:hAnsi="宋体" w:eastAsia="宋体" w:cs="宋体"/>
                <w:b w:val="0"/>
                <w:bCs w:val="0"/>
                <w:color w:val="auto"/>
                <w:kern w:val="0"/>
                <w:sz w:val="24"/>
                <w:szCs w:val="24"/>
                <w:highlight w:val="none"/>
                <w:lang w:val="en-GB" w:eastAsia="zh-CN" w:bidi="ar-SA"/>
              </w:rPr>
              <w:t>科学合理可行的得</w:t>
            </w: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GB" w:eastAsia="zh-CN" w:bidi="ar-SA"/>
              </w:rPr>
              <w:t>分；</w:t>
            </w:r>
            <w:r>
              <w:rPr>
                <w:rFonts w:hint="eastAsia" w:ascii="宋体" w:hAnsi="宋体" w:cs="宋体"/>
                <w:b w:val="0"/>
                <w:bCs w:val="0"/>
                <w:color w:val="auto"/>
                <w:kern w:val="0"/>
                <w:sz w:val="24"/>
                <w:szCs w:val="24"/>
                <w:highlight w:val="none"/>
                <w:lang w:val="en-US" w:eastAsia="zh-CN" w:bidi="ar-SA"/>
              </w:rPr>
              <w:t xml:space="preserve"> </w:t>
            </w:r>
            <w:r>
              <w:rPr>
                <w:rFonts w:hint="eastAsia" w:ascii="宋体" w:hAnsi="宋体" w:eastAsia="宋体" w:cs="宋体"/>
                <w:b w:val="0"/>
                <w:bCs w:val="0"/>
                <w:color w:val="auto"/>
                <w:kern w:val="0"/>
                <w:sz w:val="24"/>
                <w:szCs w:val="24"/>
                <w:highlight w:val="none"/>
                <w:lang w:val="en-GB" w:eastAsia="zh-CN" w:bidi="ar-SA"/>
              </w:rPr>
              <w:t>合理可行</w:t>
            </w:r>
            <w:r>
              <w:rPr>
                <w:rFonts w:hint="eastAsia" w:ascii="宋体" w:hAnsi="宋体" w:cs="宋体"/>
                <w:b w:val="0"/>
                <w:bCs w:val="0"/>
                <w:color w:val="auto"/>
                <w:kern w:val="0"/>
                <w:sz w:val="24"/>
                <w:szCs w:val="24"/>
                <w:highlight w:val="none"/>
                <w:lang w:val="en-GB" w:eastAsia="zh-CN" w:bidi="ar-SA"/>
              </w:rPr>
              <w:t>较差</w:t>
            </w:r>
            <w:r>
              <w:rPr>
                <w:rFonts w:hint="eastAsia" w:ascii="宋体" w:hAnsi="宋体" w:eastAsia="宋体" w:cs="宋体"/>
                <w:b w:val="0"/>
                <w:bCs w:val="0"/>
                <w:color w:val="auto"/>
                <w:kern w:val="0"/>
                <w:sz w:val="24"/>
                <w:szCs w:val="24"/>
                <w:highlight w:val="none"/>
                <w:lang w:val="en-GB" w:eastAsia="zh-CN" w:bidi="ar-SA"/>
              </w:rPr>
              <w:t>的得2分；一般的得1分；未提供方案的得0分。</w:t>
            </w:r>
          </w:p>
        </w:tc>
        <w:tc>
          <w:tcPr>
            <w:tcW w:w="716" w:type="dxa"/>
            <w:vAlign w:val="center"/>
          </w:tcPr>
          <w:p>
            <w:pPr>
              <w:pStyle w:val="60"/>
              <w:numPr>
                <w:ilvl w:val="0"/>
                <w:numId w:val="0"/>
              </w:numPr>
              <w:overflowPunct/>
              <w:autoSpaceDE/>
              <w:autoSpaceDN/>
              <w:adjustRightInd/>
              <w:spacing w:line="240" w:lineRule="auto"/>
              <w:ind w:left="0" w:leftChars="0" w:firstLine="0" w:firstLineChars="0"/>
              <w:jc w:val="center"/>
              <w:textAlignment w:val="auto"/>
              <w:rPr>
                <w:rFonts w:hint="default" w:ascii="宋体" w:hAnsi="宋体" w:cs="仿宋_GB2312"/>
                <w:b w:val="0"/>
                <w:color w:val="auto"/>
                <w:kern w:val="2"/>
                <w:sz w:val="24"/>
                <w:szCs w:val="24"/>
                <w:highlight w:val="none"/>
                <w:lang w:val="en-US" w:eastAsia="zh-CN" w:bidi="ar-SA"/>
              </w:rPr>
            </w:pPr>
            <w:r>
              <w:rPr>
                <w:rFonts w:hint="eastAsia" w:ascii="宋体" w:hAnsi="宋体" w:cs="仿宋_GB2312"/>
                <w:b w:val="0"/>
                <w:color w:val="auto"/>
                <w:kern w:val="2"/>
                <w:sz w:val="24"/>
                <w:szCs w:val="24"/>
                <w:highlight w:val="none"/>
                <w:lang w:val="en-US" w:eastAsia="zh-CN" w:bidi="ar-SA"/>
              </w:rPr>
              <w:t>4</w:t>
            </w:r>
          </w:p>
        </w:tc>
        <w:tc>
          <w:tcPr>
            <w:tcW w:w="950" w:type="dxa"/>
            <w:vAlign w:val="center"/>
          </w:tcPr>
          <w:p>
            <w:pPr>
              <w:snapToGrid w:val="0"/>
              <w:spacing w:line="360" w:lineRule="auto"/>
              <w:jc w:val="center"/>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主观分</w:t>
            </w:r>
          </w:p>
        </w:tc>
        <w:tc>
          <w:tcPr>
            <w:tcW w:w="836"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pStyle w:val="6"/>
              <w:jc w:val="center"/>
              <w:rPr>
                <w:rFonts w:hint="default" w:ascii="宋体" w:hAnsi="宋体" w:eastAsia="宋体" w:cs="仿宋_GB2312"/>
                <w:b w:val="0"/>
                <w:bCs w:val="0"/>
                <w:color w:val="auto"/>
                <w:kern w:val="2"/>
                <w:sz w:val="24"/>
                <w:szCs w:val="24"/>
                <w:highlight w:val="none"/>
                <w:lang w:val="en-US" w:eastAsia="zh-CN" w:bidi="ar-SA"/>
              </w:rPr>
            </w:pPr>
            <w:r>
              <w:rPr>
                <w:rFonts w:hint="eastAsia" w:ascii="宋体" w:hAnsi="宋体" w:eastAsia="宋体" w:cs="仿宋_GB2312"/>
                <w:b w:val="0"/>
                <w:bCs w:val="0"/>
                <w:color w:val="auto"/>
                <w:kern w:val="2"/>
                <w:sz w:val="24"/>
                <w:szCs w:val="24"/>
                <w:highlight w:val="none"/>
                <w:lang w:val="en-US" w:eastAsia="zh-CN" w:bidi="ar-SA"/>
              </w:rPr>
              <w:t>21</w:t>
            </w:r>
          </w:p>
        </w:tc>
        <w:tc>
          <w:tcPr>
            <w:tcW w:w="6967" w:type="dxa"/>
            <w:vAlign w:val="top"/>
          </w:tcPr>
          <w:p>
            <w:pPr>
              <w:pStyle w:val="60"/>
              <w:numPr>
                <w:ilvl w:val="0"/>
                <w:numId w:val="0"/>
              </w:numPr>
              <w:overflowPunct/>
              <w:autoSpaceDE/>
              <w:autoSpaceDN/>
              <w:adjustRightInd/>
              <w:spacing w:line="360" w:lineRule="auto"/>
              <w:ind w:left="0" w:leftChars="0" w:firstLine="0" w:firstLineChars="0"/>
              <w:jc w:val="left"/>
              <w:textAlignment w:val="auto"/>
              <w:rPr>
                <w:rFonts w:hint="eastAsia" w:ascii="宋体" w:hAnsi="宋体" w:eastAsia="宋体" w:cs="宋体"/>
                <w:b/>
                <w:bCs/>
                <w:color w:val="auto"/>
                <w:kern w:val="0"/>
                <w:sz w:val="24"/>
                <w:szCs w:val="24"/>
                <w:highlight w:val="none"/>
                <w:lang w:val="en-GB" w:eastAsia="zh-CN" w:bidi="ar-SA"/>
              </w:rPr>
            </w:pPr>
            <w:r>
              <w:rPr>
                <w:rFonts w:hint="eastAsia" w:ascii="宋体" w:hAnsi="宋体" w:eastAsia="宋体" w:cs="宋体"/>
                <w:b/>
                <w:bCs/>
                <w:color w:val="auto"/>
                <w:kern w:val="0"/>
                <w:sz w:val="24"/>
                <w:szCs w:val="24"/>
                <w:highlight w:val="none"/>
                <w:lang w:val="en-GB" w:eastAsia="zh-CN" w:bidi="ar-SA"/>
              </w:rPr>
              <w:t>【合理化建议】</w:t>
            </w:r>
          </w:p>
          <w:p>
            <w:pPr>
              <w:pStyle w:val="60"/>
              <w:numPr>
                <w:ilvl w:val="0"/>
                <w:numId w:val="0"/>
              </w:numPr>
              <w:overflowPunct/>
              <w:autoSpaceDE/>
              <w:autoSpaceDN/>
              <w:adjustRightInd/>
              <w:spacing w:line="360" w:lineRule="auto"/>
              <w:ind w:left="0" w:leftChars="0" w:firstLine="0" w:firstLineChars="0"/>
              <w:jc w:val="left"/>
              <w:textAlignment w:val="auto"/>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 w:val="0"/>
                <w:bCs w:val="0"/>
                <w:color w:val="auto"/>
                <w:kern w:val="2"/>
                <w:sz w:val="24"/>
                <w:szCs w:val="20"/>
                <w:highlight w:val="none"/>
                <w:lang w:val="en-US" w:eastAsia="zh-CN" w:bidi="ar-SA"/>
              </w:rPr>
              <w:t>针对本项目提出的合理化、优化建议，合理可行的综合评定，方案</w:t>
            </w:r>
            <w:r>
              <w:rPr>
                <w:rFonts w:hint="eastAsia" w:ascii="宋体" w:hAnsi="宋体" w:eastAsia="宋体" w:cs="宋体"/>
                <w:b w:val="0"/>
                <w:bCs w:val="0"/>
                <w:color w:val="auto"/>
                <w:kern w:val="0"/>
                <w:sz w:val="24"/>
                <w:szCs w:val="24"/>
                <w:highlight w:val="none"/>
                <w:lang w:val="en-GB" w:eastAsia="zh-CN" w:bidi="ar-SA"/>
              </w:rPr>
              <w:t>较</w:t>
            </w:r>
            <w:r>
              <w:rPr>
                <w:rFonts w:hint="eastAsia" w:ascii="宋体" w:hAnsi="宋体" w:eastAsia="宋体" w:cs="宋体"/>
                <w:b w:val="0"/>
                <w:bCs w:val="0"/>
                <w:color w:val="auto"/>
                <w:kern w:val="2"/>
                <w:sz w:val="24"/>
                <w:szCs w:val="20"/>
                <w:highlight w:val="none"/>
                <w:lang w:val="en-US" w:eastAsia="zh-CN" w:bidi="ar-SA"/>
              </w:rPr>
              <w:t>详细完善、合理的得4分；</w:t>
            </w:r>
            <w:r>
              <w:rPr>
                <w:rFonts w:hint="eastAsia" w:ascii="宋体" w:hAnsi="宋体" w:cs="宋体"/>
                <w:b w:val="0"/>
                <w:bCs w:val="0"/>
                <w:color w:val="auto"/>
                <w:kern w:val="0"/>
                <w:sz w:val="24"/>
                <w:szCs w:val="24"/>
                <w:highlight w:val="none"/>
                <w:lang w:val="en-GB" w:eastAsia="zh-CN" w:bidi="ar-SA"/>
              </w:rPr>
              <w:t>基本完善</w:t>
            </w:r>
            <w:r>
              <w:rPr>
                <w:rFonts w:hint="eastAsia" w:ascii="宋体" w:hAnsi="宋体" w:eastAsia="宋体" w:cs="宋体"/>
                <w:b w:val="0"/>
                <w:bCs w:val="0"/>
                <w:color w:val="auto"/>
                <w:kern w:val="0"/>
                <w:sz w:val="24"/>
                <w:szCs w:val="24"/>
                <w:highlight w:val="none"/>
                <w:lang w:val="en-GB" w:eastAsia="zh-CN" w:bidi="ar-SA"/>
              </w:rPr>
              <w:t>合理可行的得</w:t>
            </w: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GB" w:eastAsia="zh-CN" w:bidi="ar-SA"/>
              </w:rPr>
              <w:t>分；</w:t>
            </w:r>
            <w:r>
              <w:rPr>
                <w:rFonts w:hint="eastAsia" w:ascii="宋体" w:hAnsi="宋体" w:cs="宋体"/>
                <w:b w:val="0"/>
                <w:bCs w:val="0"/>
                <w:color w:val="auto"/>
                <w:kern w:val="0"/>
                <w:sz w:val="24"/>
                <w:szCs w:val="24"/>
                <w:highlight w:val="none"/>
                <w:lang w:val="en-US" w:eastAsia="zh-CN" w:bidi="ar-SA"/>
              </w:rPr>
              <w:t xml:space="preserve"> 方案</w:t>
            </w:r>
            <w:r>
              <w:rPr>
                <w:rFonts w:hint="eastAsia" w:ascii="宋体" w:hAnsi="宋体" w:eastAsia="宋体" w:cs="宋体"/>
                <w:b w:val="0"/>
                <w:bCs w:val="0"/>
                <w:color w:val="auto"/>
                <w:kern w:val="0"/>
                <w:sz w:val="24"/>
                <w:szCs w:val="24"/>
                <w:highlight w:val="none"/>
                <w:lang w:val="en-GB" w:eastAsia="zh-CN" w:bidi="ar-SA"/>
              </w:rPr>
              <w:t>合理可行</w:t>
            </w:r>
            <w:r>
              <w:rPr>
                <w:rFonts w:hint="eastAsia" w:ascii="宋体" w:hAnsi="宋体" w:cs="宋体"/>
                <w:b w:val="0"/>
                <w:bCs w:val="0"/>
                <w:color w:val="auto"/>
                <w:kern w:val="0"/>
                <w:sz w:val="24"/>
                <w:szCs w:val="24"/>
                <w:highlight w:val="none"/>
                <w:lang w:val="en-GB" w:eastAsia="zh-CN" w:bidi="ar-SA"/>
              </w:rPr>
              <w:t>较差</w:t>
            </w:r>
            <w:r>
              <w:rPr>
                <w:rFonts w:hint="eastAsia" w:ascii="宋体" w:hAnsi="宋体" w:eastAsia="宋体" w:cs="宋体"/>
                <w:b w:val="0"/>
                <w:bCs w:val="0"/>
                <w:color w:val="auto"/>
                <w:kern w:val="0"/>
                <w:sz w:val="24"/>
                <w:szCs w:val="24"/>
                <w:highlight w:val="none"/>
                <w:lang w:val="en-GB" w:eastAsia="zh-CN" w:bidi="ar-SA"/>
              </w:rPr>
              <w:t>的得2分；一般的得1分；未提供方案的得0分</w:t>
            </w:r>
            <w:r>
              <w:rPr>
                <w:rFonts w:hint="eastAsia" w:ascii="宋体" w:hAnsi="宋体" w:cs="宋体"/>
                <w:b w:val="0"/>
                <w:bCs w:val="0"/>
                <w:color w:val="auto"/>
                <w:kern w:val="0"/>
                <w:sz w:val="24"/>
                <w:szCs w:val="24"/>
                <w:highlight w:val="none"/>
                <w:lang w:val="en-GB" w:eastAsia="zh-CN" w:bidi="ar-SA"/>
              </w:rPr>
              <w:t>。</w:t>
            </w:r>
          </w:p>
        </w:tc>
        <w:tc>
          <w:tcPr>
            <w:tcW w:w="716" w:type="dxa"/>
            <w:vAlign w:val="center"/>
          </w:tcPr>
          <w:p>
            <w:pPr>
              <w:pStyle w:val="60"/>
              <w:numPr>
                <w:ilvl w:val="0"/>
                <w:numId w:val="0"/>
              </w:numPr>
              <w:overflowPunct/>
              <w:autoSpaceDE/>
              <w:autoSpaceDN/>
              <w:adjustRightInd/>
              <w:spacing w:line="240" w:lineRule="auto"/>
              <w:ind w:left="0" w:leftChars="0" w:firstLine="0" w:firstLineChars="0"/>
              <w:jc w:val="center"/>
              <w:textAlignment w:val="auto"/>
              <w:rPr>
                <w:rFonts w:hint="default" w:ascii="宋体" w:hAnsi="宋体" w:cs="仿宋_GB2312"/>
                <w:b w:val="0"/>
                <w:color w:val="auto"/>
                <w:kern w:val="2"/>
                <w:sz w:val="24"/>
                <w:szCs w:val="24"/>
                <w:highlight w:val="none"/>
                <w:lang w:val="en-US" w:eastAsia="zh-CN" w:bidi="ar-SA"/>
              </w:rPr>
            </w:pPr>
            <w:r>
              <w:rPr>
                <w:rFonts w:hint="eastAsia" w:ascii="宋体" w:hAnsi="宋体" w:cs="仿宋_GB2312"/>
                <w:b w:val="0"/>
                <w:color w:val="auto"/>
                <w:kern w:val="2"/>
                <w:sz w:val="24"/>
                <w:szCs w:val="24"/>
                <w:highlight w:val="none"/>
                <w:lang w:val="en-US" w:eastAsia="zh-CN" w:bidi="ar-SA"/>
              </w:rPr>
              <w:t>4</w:t>
            </w:r>
          </w:p>
        </w:tc>
        <w:tc>
          <w:tcPr>
            <w:tcW w:w="950" w:type="dxa"/>
            <w:vAlign w:val="center"/>
          </w:tcPr>
          <w:p>
            <w:pPr>
              <w:snapToGrid w:val="0"/>
              <w:spacing w:line="360" w:lineRule="auto"/>
              <w:jc w:val="center"/>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主观分</w:t>
            </w:r>
          </w:p>
        </w:tc>
        <w:tc>
          <w:tcPr>
            <w:tcW w:w="836" w:type="dxa"/>
          </w:tcPr>
          <w:p>
            <w:pPr>
              <w:snapToGrid w:val="0"/>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napToGrid w:val="0"/>
              <w:spacing w:line="360" w:lineRule="auto"/>
              <w:jc w:val="center"/>
              <w:rPr>
                <w:rFonts w:hint="default" w:ascii="宋体" w:hAnsi="宋体" w:eastAsia="宋体" w:cs="仿宋_GB2312"/>
                <w:b w:val="0"/>
                <w:bCs w:val="0"/>
                <w:color w:val="auto"/>
                <w:kern w:val="2"/>
                <w:sz w:val="24"/>
                <w:szCs w:val="24"/>
                <w:highlight w:val="none"/>
                <w:lang w:val="en-US" w:eastAsia="zh-CN" w:bidi="ar-SA"/>
              </w:rPr>
            </w:pPr>
            <w:r>
              <w:rPr>
                <w:rFonts w:hint="eastAsia" w:ascii="宋体" w:hAnsi="宋体" w:cs="仿宋_GB2312"/>
                <w:b w:val="0"/>
                <w:bCs w:val="0"/>
                <w:color w:val="auto"/>
                <w:kern w:val="2"/>
                <w:sz w:val="24"/>
                <w:szCs w:val="24"/>
                <w:highlight w:val="none"/>
                <w:lang w:val="en-US" w:eastAsia="zh-CN" w:bidi="ar-SA"/>
              </w:rPr>
              <w:t>22</w:t>
            </w:r>
          </w:p>
        </w:tc>
        <w:tc>
          <w:tcPr>
            <w:tcW w:w="6967" w:type="dxa"/>
            <w:vAlign w:val="top"/>
          </w:tcPr>
          <w:p>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宋体" w:hAnsi="宋体" w:cs="宋体"/>
                <w:b/>
                <w:bCs/>
                <w:color w:val="auto"/>
                <w:sz w:val="24"/>
                <w:highlight w:val="none"/>
                <w:lang w:val="zh-CN"/>
              </w:rPr>
            </w:pPr>
            <w:r>
              <w:rPr>
                <w:rFonts w:hint="eastAsia" w:ascii="宋体" w:hAnsi="宋体" w:cs="宋体"/>
                <w:b/>
                <w:bCs/>
                <w:color w:val="auto"/>
                <w:kern w:val="0"/>
                <w:sz w:val="24"/>
                <w:highlight w:val="none"/>
                <w:lang w:bidi="ar"/>
              </w:rPr>
              <w:t>1.</w:t>
            </w:r>
            <w:r>
              <w:rPr>
                <w:rFonts w:hint="eastAsia" w:ascii="宋体" w:hAnsi="宋体" w:cs="宋体"/>
                <w:b/>
                <w:bCs/>
                <w:color w:val="auto"/>
                <w:sz w:val="24"/>
                <w:highlight w:val="none"/>
                <w:lang w:val="zh-CN"/>
              </w:rPr>
              <w:t>投标价格的合理性</w:t>
            </w:r>
            <w:r>
              <w:rPr>
                <w:rFonts w:hint="eastAsia" w:ascii="宋体" w:hAnsi="宋体" w:cs="宋体"/>
                <w:b/>
                <w:bCs/>
                <w:color w:val="auto"/>
                <w:sz w:val="24"/>
                <w:highlight w:val="none"/>
              </w:rPr>
              <w:t>和有效性评价</w:t>
            </w:r>
          </w:p>
          <w:p>
            <w:pPr>
              <w:pStyle w:val="480"/>
              <w:keepNext w:val="0"/>
              <w:keepLines w:val="0"/>
              <w:pageBreakBefore w:val="0"/>
              <w:kinsoku/>
              <w:wordWrap/>
              <w:overflowPunct/>
              <w:topLinePunct w:val="0"/>
              <w:autoSpaceDE/>
              <w:autoSpaceDN/>
              <w:bidi w:val="0"/>
              <w:adjustRightInd w:val="0"/>
              <w:snapToGrid w:val="0"/>
              <w:spacing w:line="288" w:lineRule="auto"/>
              <w:jc w:val="left"/>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分析总报价及各个分项报价是否合理，报价范围是否完整，有否重大错漏项，</w:t>
            </w:r>
            <w:r>
              <w:rPr>
                <w:rFonts w:hint="eastAsia" w:ascii="宋体" w:hAnsi="宋体" w:cs="宋体"/>
                <w:color w:val="auto"/>
                <w:sz w:val="24"/>
                <w:szCs w:val="24"/>
                <w:highlight w:val="none"/>
              </w:rPr>
              <w:t>评审小组</w:t>
            </w:r>
            <w:r>
              <w:rPr>
                <w:rFonts w:hint="eastAsia" w:ascii="宋体" w:hAnsi="宋体" w:cs="宋体"/>
                <w:color w:val="auto"/>
                <w:sz w:val="24"/>
                <w:szCs w:val="24"/>
                <w:highlight w:val="none"/>
                <w:lang w:val="zh-CN"/>
              </w:rPr>
              <w:t>认为投标报价出现异常时，有权要求</w:t>
            </w: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val="zh-CN"/>
              </w:rPr>
              <w:t>在</w:t>
            </w:r>
            <w:r>
              <w:rPr>
                <w:rFonts w:hint="eastAsia" w:ascii="宋体" w:hAnsi="宋体" w:cs="宋体"/>
                <w:color w:val="auto"/>
                <w:sz w:val="24"/>
                <w:szCs w:val="24"/>
                <w:highlight w:val="none"/>
              </w:rPr>
              <w:t>评审</w:t>
            </w:r>
            <w:r>
              <w:rPr>
                <w:rFonts w:hint="eastAsia" w:ascii="宋体" w:hAnsi="宋体" w:cs="宋体"/>
                <w:color w:val="auto"/>
                <w:sz w:val="24"/>
                <w:szCs w:val="24"/>
                <w:highlight w:val="none"/>
                <w:lang w:val="zh-CN"/>
              </w:rPr>
              <w:t>期间对投标报价的详细组成作出解释和澄清，并确认其投标报价是否有效。</w:t>
            </w:r>
          </w:p>
          <w:p>
            <w:pPr>
              <w:pStyle w:val="480"/>
              <w:keepNext w:val="0"/>
              <w:keepLines w:val="0"/>
              <w:pageBreakBefore w:val="0"/>
              <w:kinsoku/>
              <w:wordWrap/>
              <w:overflowPunct/>
              <w:topLinePunct w:val="0"/>
              <w:autoSpaceDE/>
              <w:autoSpaceDN/>
              <w:bidi w:val="0"/>
              <w:adjustRightInd w:val="0"/>
              <w:snapToGrid w:val="0"/>
              <w:spacing w:line="288" w:lineRule="auto"/>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2.报价评审</w:t>
            </w:r>
          </w:p>
          <w:p>
            <w:pPr>
              <w:pStyle w:val="480"/>
              <w:keepNext w:val="0"/>
              <w:keepLines w:val="0"/>
              <w:pageBreakBefore w:val="0"/>
              <w:kinsoku/>
              <w:wordWrap/>
              <w:overflowPunct/>
              <w:topLinePunct w:val="0"/>
              <w:autoSpaceDE/>
              <w:autoSpaceDN/>
              <w:bidi w:val="0"/>
              <w:adjustRightInd w:val="0"/>
              <w:snapToGrid w:val="0"/>
              <w:spacing w:line="288"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各</w:t>
            </w: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val="zh-CN"/>
              </w:rPr>
              <w:t>的报价分统一采用低价优先法计算，即满足</w:t>
            </w:r>
            <w:r>
              <w:rPr>
                <w:rFonts w:hint="eastAsia" w:ascii="宋体" w:hAnsi="宋体" w:cs="宋体"/>
                <w:color w:val="auto"/>
                <w:sz w:val="24"/>
                <w:szCs w:val="24"/>
                <w:highlight w:val="none"/>
              </w:rPr>
              <w:t>招标文件</w:t>
            </w:r>
            <w:r>
              <w:rPr>
                <w:rFonts w:hint="eastAsia" w:ascii="宋体" w:hAnsi="宋体" w:cs="宋体"/>
                <w:color w:val="auto"/>
                <w:sz w:val="24"/>
                <w:szCs w:val="24"/>
                <w:highlight w:val="none"/>
                <w:lang w:val="zh-CN"/>
              </w:rPr>
              <w:t>要求且</w:t>
            </w:r>
            <w:r>
              <w:rPr>
                <w:rFonts w:hint="eastAsia" w:ascii="宋体" w:hAnsi="宋体" w:cs="宋体"/>
                <w:color w:val="auto"/>
                <w:sz w:val="24"/>
                <w:szCs w:val="24"/>
                <w:highlight w:val="none"/>
              </w:rPr>
              <w:t>最终报价</w:t>
            </w:r>
            <w:r>
              <w:rPr>
                <w:rFonts w:hint="eastAsia" w:ascii="宋体" w:hAnsi="宋体" w:cs="宋体"/>
                <w:color w:val="auto"/>
                <w:sz w:val="24"/>
                <w:szCs w:val="24"/>
                <w:highlight w:val="none"/>
                <w:lang w:val="zh-CN"/>
              </w:rPr>
              <w:t>最低的投标报价为评标基准价，其价格分为满分</w:t>
            </w:r>
            <w:r>
              <w:rPr>
                <w:rFonts w:hint="eastAsia" w:ascii="宋体" w:hAnsi="宋体" w:cs="宋体"/>
                <w:b/>
                <w:bCs/>
                <w:color w:val="auto"/>
                <w:sz w:val="24"/>
                <w:szCs w:val="24"/>
                <w:highlight w:val="none"/>
                <w:u w:val="single"/>
                <w:lang w:val="en-US" w:eastAsia="zh-CN"/>
              </w:rPr>
              <w:t>10</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zh-CN"/>
              </w:rPr>
              <w:t>。其他</w:t>
            </w: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val="zh-CN"/>
              </w:rPr>
              <w:t>的报价分统一按照下列公式计算：报价分=（评标基准价/</w:t>
            </w:r>
            <w:r>
              <w:rPr>
                <w:rFonts w:hint="eastAsia" w:ascii="宋体" w:hAnsi="宋体" w:cs="宋体"/>
                <w:color w:val="auto"/>
                <w:sz w:val="24"/>
                <w:szCs w:val="24"/>
                <w:highlight w:val="none"/>
              </w:rPr>
              <w:t>各供应商有效的最终</w:t>
            </w:r>
            <w:r>
              <w:rPr>
                <w:rFonts w:hint="eastAsia" w:ascii="宋体" w:hAnsi="宋体" w:cs="宋体"/>
                <w:color w:val="auto"/>
                <w:sz w:val="24"/>
                <w:szCs w:val="24"/>
                <w:highlight w:val="none"/>
                <w:lang w:val="zh-CN"/>
              </w:rPr>
              <w:t>报价）×</w:t>
            </w:r>
            <w:r>
              <w:rPr>
                <w:rFonts w:hint="eastAsia" w:ascii="宋体" w:hAnsi="宋体" w:cs="宋体"/>
                <w:b/>
                <w:bCs/>
                <w:color w:val="auto"/>
                <w:sz w:val="24"/>
                <w:szCs w:val="24"/>
                <w:highlight w:val="none"/>
                <w:lang w:val="en-US" w:eastAsia="zh-CN"/>
              </w:rPr>
              <w:t>10</w:t>
            </w:r>
            <w:r>
              <w:rPr>
                <w:rFonts w:hint="eastAsia" w:ascii="宋体" w:hAnsi="宋体" w:cs="宋体"/>
                <w:color w:val="auto"/>
                <w:sz w:val="24"/>
                <w:szCs w:val="24"/>
                <w:highlight w:val="none"/>
              </w:rPr>
              <w:t>。</w:t>
            </w:r>
          </w:p>
          <w:p>
            <w:pPr>
              <w:pStyle w:val="480"/>
              <w:keepNext w:val="0"/>
              <w:keepLines w:val="0"/>
              <w:pageBreakBefore w:val="0"/>
              <w:kinsoku/>
              <w:wordWrap/>
              <w:overflowPunct/>
              <w:topLinePunct w:val="0"/>
              <w:autoSpaceDE/>
              <w:autoSpaceDN/>
              <w:bidi w:val="0"/>
              <w:adjustRightInd w:val="0"/>
              <w:snapToGrid w:val="0"/>
              <w:spacing w:line="288" w:lineRule="auto"/>
              <w:jc w:val="left"/>
              <w:textAlignment w:val="auto"/>
              <w:rPr>
                <w:rFonts w:hint="eastAsia" w:ascii="宋体" w:hAnsi="宋体" w:cs="宋体"/>
                <w:color w:val="auto"/>
                <w:sz w:val="24"/>
                <w:szCs w:val="24"/>
                <w:highlight w:val="none"/>
              </w:rPr>
            </w:pPr>
            <w:r>
              <w:rPr>
                <w:rFonts w:hint="eastAsia" w:ascii="宋体" w:hAnsi="宋体" w:cs="宋体"/>
                <w:b/>
                <w:bCs/>
                <w:color w:val="auto"/>
                <w:sz w:val="24"/>
                <w:highlight w:val="none"/>
              </w:rPr>
              <w:t>3.针对本项目的价格政策规定：</w:t>
            </w:r>
            <w:r>
              <w:rPr>
                <w:rFonts w:hint="eastAsia" w:ascii="宋体" w:hAnsi="宋体" w:cs="宋体"/>
                <w:color w:val="auto"/>
                <w:sz w:val="24"/>
                <w:highlight w:val="none"/>
              </w:rPr>
              <w:t>本项目</w:t>
            </w:r>
            <w:r>
              <w:rPr>
                <w:rFonts w:hint="eastAsia" w:ascii="宋体" w:hAnsi="宋体" w:cs="宋体"/>
                <w:b/>
                <w:bCs/>
                <w:color w:val="auto"/>
                <w:sz w:val="24"/>
                <w:highlight w:val="none"/>
                <w:u w:val="single"/>
              </w:rPr>
              <w:t xml:space="preserve"> 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执行价格评审优惠的扶持政策。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tc>
        <w:tc>
          <w:tcPr>
            <w:tcW w:w="716" w:type="dxa"/>
            <w:vAlign w:val="center"/>
          </w:tcPr>
          <w:p>
            <w:pPr>
              <w:spacing w:line="360" w:lineRule="auto"/>
              <w:jc w:val="center"/>
              <w:outlineLvl w:val="0"/>
              <w:rPr>
                <w:rFonts w:hint="eastAsia" w:ascii="宋体" w:hAnsi="宋体" w:eastAsia="宋体" w:cs="宋体"/>
                <w:b w:val="0"/>
                <w:bCs/>
                <w:color w:val="auto"/>
                <w:kern w:val="0"/>
                <w:sz w:val="24"/>
                <w:szCs w:val="24"/>
                <w:highlight w:val="none"/>
                <w:lang w:val="en-US" w:eastAsia="zh-CN" w:bidi="ar-SA"/>
              </w:rPr>
            </w:pPr>
            <w:r>
              <w:rPr>
                <w:rFonts w:hint="eastAsia" w:ascii="宋体" w:hAnsi="宋体" w:cs="仿宋_GB2312"/>
                <w:color w:val="auto"/>
                <w:sz w:val="24"/>
                <w:highlight w:val="none"/>
                <w:lang w:val="en-US" w:eastAsia="zh-CN"/>
              </w:rPr>
              <w:t>10</w:t>
            </w:r>
          </w:p>
        </w:tc>
        <w:tc>
          <w:tcPr>
            <w:tcW w:w="950" w:type="dxa"/>
            <w:vAlign w:val="center"/>
          </w:tcPr>
          <w:p>
            <w:pPr>
              <w:spacing w:line="360" w:lineRule="auto"/>
              <w:jc w:val="center"/>
              <w:outlineLvl w:val="0"/>
              <w:rPr>
                <w:rFonts w:hint="eastAsia" w:ascii="宋体" w:hAnsi="宋体" w:cs="仿宋_GB2312"/>
                <w:color w:val="auto"/>
                <w:sz w:val="24"/>
                <w:highlight w:val="none"/>
                <w:lang w:eastAsia="zh-CN"/>
              </w:rPr>
            </w:pPr>
            <w:r>
              <w:rPr>
                <w:rFonts w:hint="eastAsia" w:ascii="宋体" w:hAnsi="宋体" w:cs="仿宋_GB2312"/>
                <w:color w:val="auto"/>
                <w:sz w:val="24"/>
                <w:highlight w:val="none"/>
              </w:rPr>
              <w:t>客观分</w:t>
            </w:r>
          </w:p>
        </w:tc>
        <w:tc>
          <w:tcPr>
            <w:tcW w:w="836" w:type="dxa"/>
            <w:vAlign w:val="center"/>
          </w:tcPr>
          <w:p>
            <w:pPr>
              <w:spacing w:line="360" w:lineRule="auto"/>
              <w:jc w:val="center"/>
              <w:outlineLvl w:val="0"/>
              <w:rPr>
                <w:rFonts w:ascii="宋体" w:hAnsi="宋体" w:cs="仿宋_GB2312"/>
                <w:color w:val="auto"/>
                <w:sz w:val="24"/>
                <w:highlight w:val="none"/>
              </w:rPr>
            </w:pPr>
            <w:r>
              <w:rPr>
                <w:rFonts w:ascii="宋体" w:hAnsi="宋体" w:cs="仿宋_GB2312"/>
                <w:color w:val="auto"/>
                <w:sz w:val="24"/>
                <w:highlight w:val="none"/>
              </w:rPr>
              <w:t>/</w:t>
            </w:r>
          </w:p>
        </w:tc>
      </w:tr>
    </w:tbl>
    <w:p>
      <w:pPr>
        <w:spacing w:line="360" w:lineRule="auto"/>
        <w:rPr>
          <w:rFonts w:hint="eastAsia" w:ascii="宋体" w:hAnsi="宋体" w:cs="宋体"/>
          <w:b w:val="0"/>
          <w:bCs w:val="0"/>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b w:val="0"/>
          <w:bCs w:val="0"/>
          <w:color w:val="auto"/>
          <w:sz w:val="24"/>
          <w:highlight w:val="none"/>
        </w:rPr>
        <w:t xml:space="preserve">1、投标人编制投标文件（商务技术文件部分）时，建议按此目录（序号和内容）提供评标标准相应的商务技术资料。 </w:t>
      </w:r>
    </w:p>
    <w:p>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，提供营业执照及身份证即可</w:t>
      </w:r>
      <w:r>
        <w:rPr>
          <w:rFonts w:hint="eastAsia" w:ascii="宋体" w:hAnsi="宋体" w:cs="宋体"/>
          <w:b w:val="0"/>
          <w:bCs w:val="0"/>
          <w:color w:val="auto"/>
          <w:sz w:val="24"/>
          <w:highlight w:val="none"/>
        </w:rPr>
        <w:t>。</w:t>
      </w:r>
    </w:p>
    <w:p>
      <w:pPr>
        <w:spacing w:line="360" w:lineRule="auto"/>
        <w:rPr>
          <w:rFonts w:ascii="宋体" w:hAnsi="宋体" w:cs="宋体"/>
          <w:b/>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pStyle w:val="6"/>
        <w:ind w:left="862" w:leftChars="205"/>
        <w:rPr>
          <w:color w:val="auto"/>
          <w:highlight w:val="none"/>
        </w:rPr>
      </w:pPr>
      <w:r>
        <w:rPr>
          <w:rFonts w:hint="eastAsia" w:ascii="宋体" w:hAnsi="宋体" w:eastAsia="宋体" w:cs="宋体"/>
          <w:b w:val="0"/>
          <w:bCs w:val="0"/>
          <w:color w:val="auto"/>
          <w:kern w:val="0"/>
          <w:sz w:val="24"/>
          <w:szCs w:val="24"/>
          <w:highlight w:val="none"/>
          <w:lang w:val="en-US"/>
        </w:rPr>
        <w:t>4.2.14 投标文件不满足招标文件的实质性要求的；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3"/>
        <w:snapToGrid w:val="0"/>
        <w:spacing w:line="360" w:lineRule="auto"/>
        <w:rPr>
          <w:rFonts w:cs="宋体"/>
          <w:color w:val="auto"/>
          <w:highlight w:val="none"/>
        </w:rPr>
      </w:pPr>
      <w:r>
        <w:rPr>
          <w:rFonts w:hint="eastAsia" w:cs="宋体"/>
          <w:color w:val="auto"/>
          <w:highlight w:val="none"/>
        </w:rPr>
        <w:t>5.4因重大变故，采购任务取消的。</w:t>
      </w:r>
    </w:p>
    <w:p>
      <w:pPr>
        <w:pStyle w:val="3"/>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3"/>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3"/>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3"/>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3"/>
        <w:snapToGrid w:val="0"/>
        <w:spacing w:line="360" w:lineRule="auto"/>
        <w:ind w:firstLine="0" w:firstLineChars="0"/>
        <w:rPr>
          <w:rFonts w:cs="宋体"/>
          <w:color w:val="auto"/>
          <w:highlight w:val="none"/>
        </w:rPr>
      </w:pPr>
    </w:p>
    <w:bookmarkEnd w:id="26"/>
    <w:p>
      <w:pPr>
        <w:spacing w:line="360" w:lineRule="auto"/>
        <w:ind w:left="720" w:leftChars="343" w:firstLine="1084" w:firstLineChars="300"/>
        <w:outlineLvl w:val="0"/>
        <w:rPr>
          <w:rFonts w:ascii="宋体" w:hAnsi="宋体" w:cs="宋体"/>
          <w:b/>
          <w:color w:val="auto"/>
          <w:sz w:val="36"/>
          <w:szCs w:val="36"/>
          <w:highlight w:val="none"/>
        </w:rPr>
      </w:pPr>
      <w:bookmarkStart w:id="396" w:name="第五部分"/>
      <w:bookmarkStart w:id="397"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6"/>
        <w:rPr>
          <w:color w:val="auto"/>
          <w:highlight w:val="none"/>
        </w:rPr>
      </w:pPr>
    </w:p>
    <w:p>
      <w:pPr>
        <w:spacing w:before="120" w:line="22" w:lineRule="atLeast"/>
        <w:ind w:left="960"/>
        <w:jc w:val="left"/>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残疾人之家运营托管服务项目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pPr>
        <w:pStyle w:val="596"/>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杭州市萧山区瓜沥镇人民政府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17" w:right="1474" w:bottom="1417" w:left="1474" w:header="851" w:footer="851" w:gutter="0"/>
          <w:cols w:space="720" w:num="1"/>
        </w:sectPr>
      </w:pPr>
    </w:p>
    <w:p>
      <w:pPr>
        <w:rPr>
          <w:rFonts w:ascii="宋体" w:hAnsi="宋体" w:cs="宋体"/>
          <w:b/>
          <w:color w:val="auto"/>
          <w:sz w:val="24"/>
          <w:highlight w:val="none"/>
        </w:rPr>
      </w:pPr>
    </w:p>
    <w:p>
      <w:pPr>
        <w:pStyle w:val="26"/>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ascii="宋体" w:hAnsi="宋体"/>
          <w:color w:val="auto"/>
          <w:sz w:val="24"/>
          <w:highlight w:val="none"/>
          <w:u w:val="single"/>
          <w:lang w:val="zh-CN"/>
        </w:rPr>
      </w:pPr>
    </w:p>
    <w:p>
      <w:pPr>
        <w:pStyle w:val="26"/>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hint="eastAsia" w:hAnsi="宋体" w:cs="宋体"/>
          <w:b/>
          <w:bCs/>
          <w:color w:val="auto"/>
          <w:sz w:val="24"/>
          <w:highlight w:val="none"/>
          <w:u w:val="single"/>
          <w:lang w:eastAsia="zh-CN"/>
        </w:rPr>
        <w:t>杭州市萧山区瓜沥镇人民政府</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b/>
          <w:bCs/>
          <w:color w:val="auto"/>
          <w:sz w:val="24"/>
          <w:highlight w:val="none"/>
          <w:u w:val="single"/>
        </w:rPr>
        <w:t>公开招标方式</w:t>
      </w:r>
      <w:r>
        <w:rPr>
          <w:rFonts w:hint="eastAsia"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hAnsi="宋体" w:cs="宋体"/>
          <w:b/>
          <w:bCs/>
          <w:color w:val="auto"/>
          <w:sz w:val="24"/>
          <w:highlight w:val="none"/>
          <w:u w:val="single"/>
          <w:lang w:eastAsia="zh-CN"/>
        </w:rPr>
        <w:t>残疾人之家运营托管服务项目</w:t>
      </w:r>
      <w:r>
        <w:rPr>
          <w:rFonts w:hint="eastAsia" w:ascii="宋体" w:hAnsi="宋体"/>
          <w:color w:val="auto"/>
          <w:sz w:val="24"/>
          <w:highlight w:val="none"/>
        </w:rPr>
        <w:t>进行了采购。经</w:t>
      </w:r>
      <w:r>
        <w:rPr>
          <w:rFonts w:hint="eastAsia" w:ascii="宋体" w:hAnsi="宋体"/>
          <w:color w:val="auto"/>
          <w:sz w:val="24"/>
          <w:highlight w:val="none"/>
          <w:u w:val="single"/>
        </w:rPr>
        <w:t xml:space="preserve">评委员会 </w:t>
      </w:r>
      <w:r>
        <w:rPr>
          <w:rFonts w:hint="eastAsia" w:ascii="宋体" w:hAnsi="宋体"/>
          <w:color w:val="auto"/>
          <w:sz w:val="24"/>
          <w:highlight w:val="none"/>
        </w:rPr>
        <w:t>评定，</w:t>
      </w:r>
      <w:r>
        <w:rPr>
          <w:rFonts w:ascii="宋体" w:hAnsi="宋体"/>
          <w:color w:val="auto"/>
          <w:sz w:val="24"/>
          <w:highlight w:val="none"/>
          <w:u w:val="single"/>
        </w:rPr>
        <w:t xml:space="preserve"> （中标供应商名称） </w:t>
      </w:r>
      <w:r>
        <w:rPr>
          <w:rFonts w:hint="eastAsia" w:ascii="宋体" w:hAnsi="宋体"/>
          <w:color w:val="auto"/>
          <w:sz w:val="24"/>
          <w:highlight w:val="none"/>
        </w:rPr>
        <w:t>为该项目</w:t>
      </w:r>
      <w:r>
        <w:rPr>
          <w:rFonts w:hint="eastAsia" w:ascii="宋体" w:hAnsi="宋体" w:cs="宋体"/>
          <w:color w:val="auto"/>
          <w:sz w:val="24"/>
          <w:highlight w:val="none"/>
        </w:rPr>
        <w:t>中标供应商</w:t>
      </w:r>
      <w:r>
        <w:rPr>
          <w:rFonts w:hint="eastAsia" w:ascii="宋体" w:hAnsi="宋体"/>
          <w:color w:val="auto"/>
          <w:sz w:val="24"/>
          <w:highlight w:val="none"/>
        </w:rPr>
        <w:t>。现于</w:t>
      </w:r>
      <w:r>
        <w:rPr>
          <w:rFonts w:hint="eastAsia" w:ascii="宋体" w:hAnsi="宋体" w:cs="宋体"/>
          <w:color w:val="auto"/>
          <w:sz w:val="24"/>
          <w:highlight w:val="none"/>
        </w:rPr>
        <w:t>中标通知书</w:t>
      </w:r>
      <w:r>
        <w:rPr>
          <w:rFonts w:hint="eastAsia" w:ascii="宋体" w:hAnsi="宋体"/>
          <w:color w:val="auto"/>
          <w:sz w:val="24"/>
          <w:highlight w:val="none"/>
        </w:rPr>
        <w:t>发出之日起20日历天内，按照采购文件确定的事项签订本合同。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杭州市萧山区瓜沥镇人民政府</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8" w:name="_Toc20421"/>
      <w:bookmarkStart w:id="399" w:name="_Toc22967"/>
      <w:bookmarkStart w:id="400" w:name="_Toc28855"/>
      <w:bookmarkStart w:id="401" w:name="_Toc15367"/>
      <w:bookmarkStart w:id="402"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8"/>
      <w:bookmarkEnd w:id="399"/>
      <w:bookmarkEnd w:id="400"/>
      <w:bookmarkEnd w:id="401"/>
      <w:bookmarkEnd w:id="402"/>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3" w:name="_Toc22185"/>
      <w:bookmarkStart w:id="404" w:name="_Toc2918"/>
      <w:bookmarkStart w:id="405" w:name="_Toc18585"/>
      <w:bookmarkStart w:id="406" w:name="_Toc6311"/>
      <w:bookmarkStart w:id="407"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3"/>
      <w:bookmarkEnd w:id="404"/>
      <w:bookmarkEnd w:id="405"/>
      <w:bookmarkEnd w:id="406"/>
      <w:bookmarkEnd w:id="407"/>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（附：采购需求）</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57"/>
        <w:spacing w:before="0" w:beforeAutospacing="0" w:after="0" w:afterAutospacing="0" w:line="360" w:lineRule="auto"/>
        <w:ind w:firstLine="480"/>
        <w:rPr>
          <w:color w:val="auto"/>
          <w:highlight w:val="none"/>
        </w:rPr>
      </w:pPr>
      <w:r>
        <w:rPr>
          <w:rFonts w:hint="eastAsia"/>
          <w:color w:val="auto"/>
          <w:highlight w:val="none"/>
        </w:rPr>
        <w:t>1.2.5合同</w:t>
      </w:r>
      <w:r>
        <w:rPr>
          <w:rFonts w:hint="eastAsia"/>
          <w:b/>
          <w:bCs/>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ascii="宋体" w:hAnsi="宋体" w:cs="宋体"/>
          <w:color w:val="auto"/>
          <w:sz w:val="24"/>
          <w:highlight w:val="none"/>
          <w:u w:val="single"/>
        </w:rPr>
      </w:pPr>
      <w:bookmarkStart w:id="408" w:name="_Toc13918"/>
      <w:bookmarkStart w:id="409" w:name="_Toc5635"/>
      <w:bookmarkStart w:id="410" w:name="_Toc1386"/>
      <w:bookmarkStart w:id="411" w:name="_Toc21124"/>
      <w:bookmarkStart w:id="412"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8"/>
      <w:bookmarkEnd w:id="409"/>
      <w:bookmarkEnd w:id="410"/>
      <w:bookmarkEnd w:id="411"/>
      <w:bookmarkEnd w:id="412"/>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bookmarkStart w:id="413" w:name="_Toc10340"/>
      <w:bookmarkStart w:id="414" w:name="_Toc1814"/>
      <w:bookmarkStart w:id="415" w:name="_Toc22618"/>
      <w:bookmarkStart w:id="416" w:name="_Toc11108"/>
      <w:bookmarkStart w:id="417" w:name="_Toc4760"/>
      <w:bookmarkStart w:id="418" w:name="_Toc8772"/>
      <w:bookmarkStart w:id="419" w:name="_Toc31421"/>
      <w:bookmarkStart w:id="420" w:name="_Toc3625"/>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hint="eastAsia" w:ascii="宋体" w:hAnsi="宋体"/>
          <w:color w:val="auto"/>
          <w:kern w:val="0"/>
          <w:sz w:val="24"/>
          <w:highlight w:val="none"/>
        </w:rPr>
        <w:t>合同价中包括</w:t>
      </w:r>
      <w:r>
        <w:rPr>
          <w:rFonts w:hint="eastAsia" w:ascii="宋体" w:hAnsi="宋体" w:cs="宋体"/>
          <w:bCs/>
          <w:color w:val="auto"/>
          <w:kern w:val="0"/>
          <w:sz w:val="24"/>
          <w:highlight w:val="none"/>
          <w:lang w:val="zh-CN"/>
        </w:rPr>
        <w:t>完成本项目实施所需的所有费用（含税费）</w:t>
      </w:r>
      <w:r>
        <w:rPr>
          <w:rFonts w:hint="eastAsia" w:ascii="宋体" w:hAnsi="宋体"/>
          <w:color w:val="auto"/>
          <w:kern w:val="0"/>
          <w:sz w:val="24"/>
          <w:highlight w:val="none"/>
        </w:rPr>
        <w:t>。</w:t>
      </w:r>
      <w:r>
        <w:rPr>
          <w:rFonts w:ascii="宋体" w:hAnsi="宋体"/>
          <w:color w:val="auto"/>
          <w:sz w:val="24"/>
          <w:highlight w:val="none"/>
        </w:rPr>
        <w:t>分项价格：</w:t>
      </w:r>
    </w:p>
    <w:tbl>
      <w:tblPr>
        <w:tblStyle w:val="62"/>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17"/>
              <w:spacing w:line="560" w:lineRule="exact"/>
              <w:jc w:val="center"/>
              <w:rPr>
                <w:rFonts w:hAnsi="宋体"/>
                <w:color w:val="auto"/>
                <w:sz w:val="24"/>
                <w:szCs w:val="24"/>
                <w:highlight w:val="none"/>
              </w:rPr>
            </w:pPr>
            <w:r>
              <w:rPr>
                <w:rFonts w:hAnsi="宋体"/>
                <w:color w:val="auto"/>
                <w:sz w:val="24"/>
                <w:szCs w:val="24"/>
                <w:highlight w:val="none"/>
              </w:rPr>
              <w:t>分项价格</w:t>
            </w:r>
          </w:p>
        </w:tc>
        <w:tc>
          <w:tcPr>
            <w:tcW w:w="2552" w:type="dxa"/>
            <w:vAlign w:val="center"/>
          </w:tcPr>
          <w:p>
            <w:pPr>
              <w:pStyle w:val="317"/>
              <w:spacing w:line="560" w:lineRule="exact"/>
              <w:jc w:val="center"/>
              <w:rPr>
                <w:rFonts w:hAnsi="宋体"/>
                <w:color w:val="auto"/>
                <w:sz w:val="24"/>
                <w:szCs w:val="24"/>
                <w:highlight w:val="none"/>
              </w:rPr>
            </w:pPr>
            <w:r>
              <w:rPr>
                <w:rFonts w:hint="eastAsia" w:hAnsi="宋体"/>
                <w:color w:val="auto"/>
                <w:sz w:val="24"/>
                <w:szCs w:val="24"/>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highlight w:val="none"/>
              </w:rPr>
            </w:pPr>
          </w:p>
        </w:tc>
        <w:tc>
          <w:tcPr>
            <w:tcW w:w="340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highlight w:val="none"/>
              </w:rPr>
            </w:pPr>
          </w:p>
        </w:tc>
        <w:tc>
          <w:tcPr>
            <w:tcW w:w="340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highlight w:val="none"/>
              </w:rPr>
            </w:pPr>
          </w:p>
        </w:tc>
        <w:tc>
          <w:tcPr>
            <w:tcW w:w="340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highlight w:val="none"/>
              </w:rPr>
            </w:pPr>
          </w:p>
        </w:tc>
        <w:tc>
          <w:tcPr>
            <w:tcW w:w="340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55" w:type="dxa"/>
            <w:gridSpan w:val="3"/>
            <w:vAlign w:val="center"/>
          </w:tcPr>
          <w:p>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总价（小计）</w:t>
            </w:r>
          </w:p>
        </w:tc>
        <w:tc>
          <w:tcPr>
            <w:tcW w:w="2552" w:type="dxa"/>
            <w:vAlign w:val="center"/>
          </w:tcPr>
          <w:p>
            <w:pPr>
              <w:pStyle w:val="317"/>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21" w:name="_Toc14993"/>
      <w:bookmarkStart w:id="422" w:name="_Toc30158"/>
      <w:bookmarkStart w:id="423" w:name="_Toc30506"/>
      <w:bookmarkStart w:id="424" w:name="_Toc26916"/>
      <w:bookmarkStart w:id="425"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hint="eastAsia" w:ascii="宋体" w:hAnsi="宋体"/>
          <w:color w:val="auto"/>
          <w:sz w:val="24"/>
          <w:highlight w:val="none"/>
          <w:u w:val="single"/>
          <w:lang w:val="en-US" w:eastAsia="zh-CN"/>
        </w:rPr>
        <w:t xml:space="preserve">    </w:t>
      </w:r>
      <w:r>
        <w:rPr>
          <w:rFonts w:ascii="宋体" w:hAnsi="宋体"/>
          <w:color w:val="auto"/>
          <w:sz w:val="24"/>
          <w:highlight w:val="none"/>
        </w:rPr>
        <w:t>元</w:t>
      </w:r>
      <w:r>
        <w:rPr>
          <w:rFonts w:hint="eastAsia" w:ascii="宋体" w:hAnsi="宋体"/>
          <w:color w:val="auto"/>
          <w:sz w:val="24"/>
          <w:highlight w:val="none"/>
        </w:rPr>
        <w:t>（大写：</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元人民币）。</w:t>
      </w:r>
    </w:p>
    <w:p>
      <w:pPr>
        <w:pStyle w:val="6"/>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21"/>
    <w:bookmarkEnd w:id="422"/>
    <w:bookmarkEnd w:id="423"/>
    <w:bookmarkEnd w:id="424"/>
    <w:bookmarkEnd w:id="425"/>
    <w:p>
      <w:pPr>
        <w:pStyle w:val="957"/>
        <w:spacing w:before="0" w:beforeAutospacing="0" w:after="0" w:afterAutospacing="0" w:line="360" w:lineRule="auto"/>
        <w:ind w:firstLine="480"/>
        <w:rPr>
          <w:b/>
          <w:color w:val="auto"/>
          <w:highlight w:val="none"/>
        </w:rPr>
      </w:pPr>
      <w:r>
        <w:rPr>
          <w:rFonts w:hint="eastAsia"/>
          <w:b/>
          <w:color w:val="auto"/>
          <w:highlight w:val="none"/>
        </w:rPr>
        <w:t>1.4履约保证金</w:t>
      </w:r>
    </w:p>
    <w:p>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b/>
          <w:bCs/>
          <w:color w:val="auto"/>
          <w:highlight w:val="none"/>
          <w:u w:val="single"/>
        </w:rPr>
        <w:t xml:space="preserve"> </w:t>
      </w:r>
      <w:r>
        <w:rPr>
          <w:rFonts w:hint="eastAsia"/>
          <w:b/>
          <w:bCs/>
          <w:color w:val="auto"/>
          <w:highlight w:val="none"/>
          <w:u w:val="single"/>
          <w:lang w:eastAsia="zh-CN"/>
        </w:rPr>
        <w:t>否</w:t>
      </w:r>
      <w:r>
        <w:rPr>
          <w:rFonts w:hint="eastAsia"/>
          <w:b/>
          <w:bCs/>
          <w:color w:val="auto"/>
          <w:highlight w:val="none"/>
          <w:u w:val="single"/>
        </w:rPr>
        <w:t xml:space="preserve"> </w:t>
      </w:r>
      <w:r>
        <w:rPr>
          <w:rFonts w:hint="eastAsia"/>
          <w:color w:val="auto"/>
          <w:highlight w:val="none"/>
          <w:u w:val="single"/>
        </w:rPr>
        <w:t xml:space="preserve"> </w:t>
      </w:r>
      <w:r>
        <w:rPr>
          <w:rFonts w:hint="eastAsia"/>
          <w:color w:val="auto"/>
          <w:highlight w:val="none"/>
        </w:rPr>
        <w:t>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w:t>
      </w:r>
      <w:r>
        <w:rPr>
          <w:rFonts w:hint="eastAsia" w:ascii="宋体" w:hAnsi="宋体" w:cs="宋体"/>
          <w:b/>
          <w:bCs/>
          <w:color w:val="auto"/>
          <w:kern w:val="0"/>
          <w:sz w:val="24"/>
          <w:highlight w:val="none"/>
        </w:rPr>
        <w:t>的</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6"/>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3"/>
      <w:bookmarkEnd w:id="414"/>
      <w:bookmarkEnd w:id="415"/>
      <w:r>
        <w:rPr>
          <w:rFonts w:hint="eastAsia" w:ascii="宋体" w:hAnsi="宋体" w:cs="宋体"/>
          <w:b/>
          <w:color w:val="auto"/>
          <w:sz w:val="24"/>
          <w:highlight w:val="none"/>
        </w:rPr>
        <w:t>预付款</w:t>
      </w:r>
    </w:p>
    <w:p>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b/>
          <w:bCs/>
          <w:color w:val="auto"/>
          <w:highlight w:val="none"/>
          <w:u w:val="single"/>
        </w:rPr>
        <w:t xml:space="preserve"> 是  </w:t>
      </w:r>
      <w:r>
        <w:rPr>
          <w:rFonts w:hint="eastAsia"/>
          <w:color w:val="auto"/>
          <w:highlight w:val="none"/>
          <w:u w:val="single"/>
        </w:rPr>
        <w:t xml:space="preserve"> </w:t>
      </w:r>
      <w:r>
        <w:rPr>
          <w:rFonts w:hint="eastAsia"/>
          <w:color w:val="auto"/>
          <w:highlight w:val="none"/>
        </w:rPr>
        <w:t>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b/>
          <w:i/>
          <w:color w:val="auto"/>
          <w:highlight w:val="none"/>
          <w:u w:val="single"/>
        </w:rPr>
        <w:t>合同专用条款</w:t>
      </w:r>
      <w:r>
        <w:rPr>
          <w:rFonts w:hint="eastAsia"/>
          <w:color w:val="auto"/>
          <w:highlight w:val="none"/>
        </w:rPr>
        <w:t>。</w:t>
      </w:r>
    </w:p>
    <w:p>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6"/>
      <w:bookmarkEnd w:id="417"/>
      <w:bookmarkEnd w:id="418"/>
      <w:bookmarkEnd w:id="419"/>
      <w:bookmarkEnd w:id="420"/>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6" w:name="_Toc24662"/>
      <w:bookmarkStart w:id="427" w:name="_Toc3079"/>
      <w:bookmarkStart w:id="428" w:name="_Toc8586"/>
      <w:bookmarkStart w:id="429" w:name="_Toc2375"/>
      <w:bookmarkStart w:id="430" w:name="_Toc5698"/>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6"/>
      <w:bookmarkEnd w:id="427"/>
      <w:bookmarkEnd w:id="428"/>
      <w:bookmarkEnd w:id="429"/>
      <w:bookmarkEnd w:id="430"/>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6"/>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5</w:t>
      </w:r>
      <w:r>
        <w:rPr>
          <w:rFonts w:hint="eastAsia" w:ascii="宋体" w:hAnsi="宋体" w:eastAsia="宋体" w:cs="宋体"/>
          <w:b w:val="0"/>
          <w:bCs w:val="0"/>
          <w:color w:val="auto"/>
          <w:sz w:val="24"/>
          <w:szCs w:val="24"/>
          <w:highlight w:val="none"/>
          <w:u w:val="single"/>
          <w:lang w:val="en-US"/>
        </w:rPr>
        <w:t xml:space="preserve">（可根据情况修改）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31" w:name="_Toc32454"/>
      <w:bookmarkStart w:id="432" w:name="_Toc18683"/>
      <w:bookmarkStart w:id="433" w:name="_Toc30329"/>
      <w:bookmarkStart w:id="434" w:name="_Toc26807"/>
      <w:bookmarkStart w:id="435"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1"/>
    <w:bookmarkEnd w:id="432"/>
    <w:bookmarkEnd w:id="433"/>
    <w:bookmarkEnd w:id="434"/>
    <w:bookmarkEnd w:id="435"/>
    <w:p>
      <w:pPr>
        <w:spacing w:line="560" w:lineRule="exact"/>
        <w:ind w:firstLine="482" w:firstLineChars="200"/>
        <w:outlineLvl w:val="0"/>
        <w:rPr>
          <w:rFonts w:ascii="宋体" w:hAnsi="宋体" w:cs="宋体"/>
          <w:b/>
          <w:color w:val="auto"/>
          <w:sz w:val="24"/>
          <w:highlight w:val="none"/>
        </w:rPr>
      </w:pPr>
      <w:bookmarkStart w:id="436" w:name="_Toc15583"/>
      <w:bookmarkStart w:id="437" w:name="_Toc16021"/>
      <w:bookmarkStart w:id="438" w:name="_Toc28375"/>
      <w:r>
        <w:rPr>
          <w:rFonts w:hint="eastAsia" w:ascii="宋体" w:hAnsi="宋体" w:cs="宋体"/>
          <w:b/>
          <w:color w:val="auto"/>
          <w:sz w:val="24"/>
          <w:highlight w:val="none"/>
        </w:rPr>
        <w:t>1.9合同争议的解决</w:t>
      </w:r>
      <w:bookmarkEnd w:id="436"/>
      <w:bookmarkEnd w:id="437"/>
      <w:bookmarkEnd w:id="438"/>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Cs/>
          <w:color w:val="auto"/>
          <w:sz w:val="24"/>
          <w:highlight w:val="none"/>
          <w:u w:val="single"/>
        </w:rPr>
        <w:t xml:space="preserve">1.9.2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39" w:name="_Toc15322"/>
      <w:bookmarkStart w:id="440" w:name="_Toc7245"/>
      <w:bookmarkStart w:id="441" w:name="_Toc11173"/>
      <w:r>
        <w:rPr>
          <w:rFonts w:hint="eastAsia" w:ascii="宋体" w:hAnsi="宋体" w:cs="宋体"/>
          <w:b/>
          <w:color w:val="auto"/>
          <w:sz w:val="24"/>
          <w:highlight w:val="none"/>
        </w:rPr>
        <w:t>2.0 合同生效</w:t>
      </w:r>
      <w:bookmarkEnd w:id="439"/>
      <w:bookmarkEnd w:id="440"/>
      <w:bookmarkEnd w:id="441"/>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699"/>
        <w:spacing w:line="560" w:lineRule="exact"/>
        <w:ind w:left="0" w:leftChars="0" w:firstLine="0" w:firstLineChars="0"/>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42" w:name="_Toc14021"/>
      <w:bookmarkStart w:id="443" w:name="_Toc5228"/>
      <w:bookmarkStart w:id="444" w:name="_Toc19680"/>
      <w:bookmarkStart w:id="445" w:name="_Toc31297"/>
      <w:bookmarkStart w:id="446" w:name="_Toc25079"/>
      <w:r>
        <w:rPr>
          <w:rFonts w:ascii="宋体" w:hAnsi="宋体"/>
          <w:b/>
          <w:color w:val="auto"/>
          <w:sz w:val="24"/>
          <w:highlight w:val="none"/>
        </w:rPr>
        <w:t>2.1 定义</w:t>
      </w:r>
      <w:bookmarkEnd w:id="442"/>
      <w:bookmarkEnd w:id="443"/>
      <w:bookmarkEnd w:id="444"/>
      <w:bookmarkEnd w:id="445"/>
      <w:bookmarkEnd w:id="446"/>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7" w:name="_Toc23289"/>
      <w:bookmarkStart w:id="448" w:name="_Toc3769"/>
      <w:bookmarkStart w:id="449" w:name="_Toc31402"/>
      <w:bookmarkStart w:id="450" w:name="_Toc19539"/>
      <w:bookmarkStart w:id="451" w:name="_Toc16752"/>
      <w:r>
        <w:rPr>
          <w:rFonts w:ascii="宋体" w:hAnsi="宋体"/>
          <w:b/>
          <w:color w:val="auto"/>
          <w:sz w:val="24"/>
          <w:highlight w:val="none"/>
        </w:rPr>
        <w:t>2.2 技术规范</w:t>
      </w:r>
      <w:bookmarkEnd w:id="447"/>
      <w:bookmarkEnd w:id="448"/>
      <w:bookmarkEnd w:id="449"/>
      <w:bookmarkEnd w:id="450"/>
      <w:bookmarkEnd w:id="451"/>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52" w:name="_Toc9161"/>
      <w:bookmarkStart w:id="453" w:name="_Toc12412"/>
      <w:bookmarkStart w:id="454" w:name="_Toc13673"/>
      <w:bookmarkStart w:id="455" w:name="_Toc27945"/>
      <w:bookmarkStart w:id="456" w:name="_Toc4133"/>
      <w:r>
        <w:rPr>
          <w:rFonts w:ascii="宋体" w:hAnsi="宋体"/>
          <w:b/>
          <w:color w:val="auto"/>
          <w:sz w:val="24"/>
          <w:highlight w:val="none"/>
        </w:rPr>
        <w:t>2.3 知识产权</w:t>
      </w:r>
      <w:bookmarkEnd w:id="452"/>
      <w:bookmarkEnd w:id="453"/>
      <w:bookmarkEnd w:id="454"/>
      <w:bookmarkEnd w:id="455"/>
      <w:bookmarkEnd w:id="456"/>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7" w:name="_Toc32670"/>
      <w:bookmarkStart w:id="458" w:name="_Toc22011"/>
      <w:bookmarkStart w:id="459" w:name="_Toc15447"/>
      <w:bookmarkStart w:id="460" w:name="_Toc26555"/>
      <w:bookmarkStart w:id="461" w:name="_Toc31233"/>
      <w:r>
        <w:rPr>
          <w:rFonts w:ascii="宋体" w:hAnsi="宋体"/>
          <w:b/>
          <w:color w:val="auto"/>
          <w:sz w:val="24"/>
          <w:highlight w:val="none"/>
        </w:rPr>
        <w:t>2.5 结算方式和付款条件</w:t>
      </w:r>
      <w:bookmarkEnd w:id="457"/>
      <w:bookmarkEnd w:id="458"/>
      <w:bookmarkEnd w:id="459"/>
      <w:bookmarkEnd w:id="460"/>
      <w:bookmarkEnd w:id="461"/>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62" w:name="_Toc30507"/>
      <w:bookmarkStart w:id="463" w:name="_Toc13154"/>
      <w:bookmarkStart w:id="464" w:name="_Toc13467"/>
      <w:bookmarkStart w:id="465" w:name="_Toc16163"/>
      <w:bookmarkStart w:id="466" w:name="_Toc18990"/>
      <w:r>
        <w:rPr>
          <w:rFonts w:ascii="宋体" w:hAnsi="宋体"/>
          <w:b/>
          <w:color w:val="auto"/>
          <w:sz w:val="24"/>
          <w:highlight w:val="none"/>
        </w:rPr>
        <w:t>2.6 技术资料和保密义务</w:t>
      </w:r>
      <w:bookmarkEnd w:id="462"/>
      <w:bookmarkEnd w:id="463"/>
      <w:bookmarkEnd w:id="464"/>
      <w:bookmarkEnd w:id="465"/>
      <w:bookmarkEnd w:id="466"/>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7"/>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8"/>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70" w:name="_Toc23368"/>
      <w:bookmarkStart w:id="471" w:name="_Toc42"/>
      <w:bookmarkStart w:id="472" w:name="_Toc10663"/>
      <w:bookmarkStart w:id="473" w:name="_Toc21830"/>
      <w:bookmarkStart w:id="474" w:name="_Toc26689"/>
      <w:r>
        <w:rPr>
          <w:rFonts w:ascii="宋体" w:hAnsi="宋体"/>
          <w:b/>
          <w:color w:val="auto"/>
          <w:sz w:val="24"/>
          <w:highlight w:val="none"/>
        </w:rPr>
        <w:t>2.10 合同转让和分包</w:t>
      </w:r>
      <w:bookmarkEnd w:id="470"/>
      <w:bookmarkEnd w:id="471"/>
      <w:bookmarkEnd w:id="472"/>
      <w:bookmarkEnd w:id="473"/>
      <w:bookmarkEnd w:id="474"/>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5" w:name="_Toc32494"/>
      <w:bookmarkStart w:id="476" w:name="_Toc26633"/>
      <w:bookmarkStart w:id="477" w:name="_Toc4720"/>
      <w:bookmarkStart w:id="478" w:name="_Toc25571"/>
      <w:bookmarkStart w:id="479" w:name="_Toc14371"/>
      <w:r>
        <w:rPr>
          <w:rFonts w:ascii="宋体" w:hAnsi="宋体"/>
          <w:b/>
          <w:color w:val="auto"/>
          <w:sz w:val="24"/>
          <w:highlight w:val="none"/>
        </w:rPr>
        <w:t>2.11 不可抗力</w:t>
      </w:r>
      <w:bookmarkEnd w:id="475"/>
      <w:bookmarkEnd w:id="476"/>
      <w:bookmarkEnd w:id="477"/>
      <w:bookmarkEnd w:id="478"/>
      <w:bookmarkEnd w:id="479"/>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0" w:name="_Toc23854"/>
      <w:bookmarkStart w:id="481" w:name="_Toc25783"/>
      <w:bookmarkStart w:id="482" w:name="_Toc3638"/>
      <w:bookmarkStart w:id="483" w:name="_Toc24465"/>
      <w:bookmarkStart w:id="484" w:name="_Toc14115"/>
      <w:r>
        <w:rPr>
          <w:rFonts w:ascii="宋体" w:hAnsi="宋体"/>
          <w:b/>
          <w:color w:val="auto"/>
          <w:sz w:val="24"/>
          <w:highlight w:val="none"/>
        </w:rPr>
        <w:t>2.12 税费</w:t>
      </w:r>
      <w:bookmarkEnd w:id="480"/>
      <w:bookmarkEnd w:id="481"/>
      <w:bookmarkEnd w:id="482"/>
      <w:bookmarkEnd w:id="483"/>
      <w:bookmarkEnd w:id="484"/>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5" w:name="_Toc25525"/>
      <w:bookmarkStart w:id="486" w:name="_Toc7315"/>
      <w:bookmarkStart w:id="487" w:name="_Toc14814"/>
      <w:bookmarkStart w:id="488" w:name="_Toc26883"/>
      <w:bookmarkStart w:id="489" w:name="_Toc30105"/>
      <w:r>
        <w:rPr>
          <w:rFonts w:ascii="宋体" w:hAnsi="宋体"/>
          <w:b/>
          <w:color w:val="auto"/>
          <w:sz w:val="24"/>
          <w:highlight w:val="none"/>
        </w:rPr>
        <w:t>2.13 乙方破产</w:t>
      </w:r>
      <w:bookmarkEnd w:id="485"/>
      <w:bookmarkEnd w:id="486"/>
      <w:bookmarkEnd w:id="487"/>
      <w:bookmarkEnd w:id="488"/>
      <w:bookmarkEnd w:id="489"/>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0" w:name="_Toc2016"/>
      <w:bookmarkStart w:id="491" w:name="_Toc23323"/>
      <w:bookmarkStart w:id="492" w:name="_Toc1123"/>
      <w:r>
        <w:rPr>
          <w:rFonts w:ascii="宋体" w:hAnsi="宋体"/>
          <w:b/>
          <w:color w:val="auto"/>
          <w:sz w:val="24"/>
          <w:highlight w:val="none"/>
        </w:rPr>
        <w:t>2.14 合同中止、终止</w:t>
      </w:r>
      <w:bookmarkEnd w:id="490"/>
      <w:bookmarkEnd w:id="491"/>
      <w:bookmarkEnd w:id="492"/>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3" w:name="_Toc1969"/>
      <w:bookmarkStart w:id="494" w:name="_Toc14525"/>
      <w:bookmarkStart w:id="495" w:name="_Toc17363"/>
      <w:r>
        <w:rPr>
          <w:rFonts w:ascii="宋体" w:hAnsi="宋体"/>
          <w:b/>
          <w:color w:val="auto"/>
          <w:sz w:val="24"/>
          <w:highlight w:val="none"/>
        </w:rPr>
        <w:t>2.15 检验和验收</w:t>
      </w:r>
      <w:bookmarkEnd w:id="493"/>
      <w:bookmarkEnd w:id="494"/>
      <w:bookmarkEnd w:id="495"/>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6" w:name="_Toc31892"/>
      <w:bookmarkStart w:id="497" w:name="_Toc25198"/>
      <w:bookmarkStart w:id="498" w:name="_Toc9808"/>
      <w:bookmarkStart w:id="499" w:name="_Toc12666"/>
      <w:bookmarkStart w:id="500" w:name="_Toc2308"/>
      <w:r>
        <w:rPr>
          <w:rFonts w:ascii="宋体" w:hAnsi="宋体"/>
          <w:b/>
          <w:color w:val="auto"/>
          <w:sz w:val="24"/>
          <w:highlight w:val="none"/>
        </w:rPr>
        <w:t>2.16 通知和送达</w:t>
      </w:r>
      <w:bookmarkEnd w:id="496"/>
      <w:bookmarkEnd w:id="497"/>
      <w:bookmarkEnd w:id="498"/>
      <w:bookmarkEnd w:id="499"/>
      <w:bookmarkEnd w:id="500"/>
    </w:p>
    <w:p>
      <w:pPr>
        <w:spacing w:line="560" w:lineRule="exact"/>
        <w:ind w:firstLine="480" w:firstLineChars="200"/>
        <w:rPr>
          <w:rFonts w:ascii="宋体" w:hAnsi="宋体"/>
          <w:color w:val="auto"/>
          <w:sz w:val="24"/>
          <w:highlight w:val="none"/>
        </w:rPr>
      </w:pPr>
      <w:bookmarkStart w:id="501" w:name="_Toc18401"/>
      <w:bookmarkStart w:id="502" w:name="_Toc27674"/>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1"/>
      <w:bookmarkEnd w:id="502"/>
    </w:p>
    <w:p>
      <w:pPr>
        <w:spacing w:line="560" w:lineRule="exact"/>
        <w:ind w:firstLine="482" w:firstLineChars="200"/>
        <w:outlineLvl w:val="0"/>
        <w:rPr>
          <w:rFonts w:ascii="宋体" w:hAnsi="宋体"/>
          <w:b/>
          <w:color w:val="auto"/>
          <w:sz w:val="24"/>
          <w:highlight w:val="none"/>
        </w:rPr>
      </w:pPr>
      <w:bookmarkStart w:id="503" w:name="_Toc20808"/>
      <w:bookmarkStart w:id="504" w:name="_Toc28906"/>
      <w:bookmarkStart w:id="505" w:name="_Toc12254"/>
      <w:bookmarkStart w:id="506" w:name="_Toc5063"/>
      <w:bookmarkStart w:id="507"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3"/>
      <w:bookmarkEnd w:id="504"/>
      <w:bookmarkEnd w:id="505"/>
      <w:bookmarkEnd w:id="506"/>
      <w:bookmarkEnd w:id="507"/>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08" w:name="_Toc4355"/>
      <w:bookmarkStart w:id="509" w:name="_Toc18540"/>
      <w:bookmarkStart w:id="510" w:name="_Toc30599"/>
      <w:r>
        <w:rPr>
          <w:rFonts w:hint="eastAsia" w:ascii="宋体" w:hAnsi="宋体" w:cs="宋体"/>
          <w:b/>
          <w:color w:val="auto"/>
          <w:sz w:val="24"/>
          <w:highlight w:val="none"/>
        </w:rPr>
        <w:t>2.18 计量单位</w:t>
      </w:r>
      <w:bookmarkEnd w:id="508"/>
      <w:bookmarkEnd w:id="509"/>
      <w:bookmarkEnd w:id="51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1" w:name="_Toc331685784"/>
      <w:r>
        <w:rPr>
          <w:rFonts w:hint="eastAsia" w:ascii="宋体" w:hAnsi="宋体" w:cs="宋体"/>
          <w:b/>
          <w:color w:val="auto"/>
          <w:sz w:val="24"/>
          <w:highlight w:val="none"/>
        </w:rPr>
        <w:t xml:space="preserve"> </w:t>
      </w:r>
      <w:bookmarkEnd w:id="511"/>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06"/>
        <w:gridCol w:w="84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5"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7" w:hRule="atLeast"/>
        </w:trPr>
        <w:tc>
          <w:tcPr>
            <w:tcW w:w="534"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1.3.2</w:t>
            </w:r>
          </w:p>
        </w:tc>
        <w:tc>
          <w:tcPr>
            <w:tcW w:w="446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1.4.2</w:t>
            </w:r>
          </w:p>
        </w:tc>
        <w:tc>
          <w:tcPr>
            <w:tcW w:w="815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履约保证金：</w:t>
            </w:r>
            <w:r>
              <w:rPr>
                <w:rFonts w:hint="eastAsia" w:ascii="宋体" w:hAnsi="宋体" w:cs="宋体"/>
                <w:color w:val="auto"/>
                <w:sz w:val="24"/>
                <w:highlight w:val="none"/>
                <w:u w:val="single"/>
                <w:lang w:eastAsia="zh-CN"/>
              </w:rPr>
              <w:t>无</w:t>
            </w:r>
            <w:r>
              <w:rPr>
                <w:rFonts w:hint="eastAsia" w:ascii="宋体" w:hAnsi="宋体" w:cs="宋体"/>
                <w:color w:val="auto"/>
                <w:kern w:val="0"/>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6" w:hRule="atLeast"/>
        </w:trPr>
        <w:tc>
          <w:tcPr>
            <w:tcW w:w="534"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1.5.1</w:t>
            </w:r>
          </w:p>
        </w:tc>
        <w:tc>
          <w:tcPr>
            <w:tcW w:w="8151" w:type="dxa"/>
            <w:vAlign w:val="center"/>
          </w:tcPr>
          <w:p>
            <w:pPr>
              <w:spacing w:line="360" w:lineRule="auto"/>
              <w:rPr>
                <w:rFonts w:ascii="宋体" w:hAnsi="宋体" w:cs="宋体"/>
                <w:color w:val="auto"/>
                <w:sz w:val="24"/>
                <w:highlight w:val="none"/>
              </w:rPr>
            </w:pPr>
            <w:r>
              <w:rPr>
                <w:rFonts w:hint="eastAsia" w:ascii="宋体" w:hAnsi="宋体" w:cs="宋体"/>
                <w:b w:val="0"/>
                <w:bCs/>
                <w:color w:val="auto"/>
                <w:kern w:val="2"/>
                <w:sz w:val="24"/>
                <w:szCs w:val="24"/>
                <w:highlight w:val="none"/>
                <w:lang w:val="en-US" w:eastAsia="zh-CN" w:bidi="ar-SA"/>
              </w:rPr>
              <w:t>在合同生效以及具备实施条件后5个工作日内甲方</w:t>
            </w:r>
            <w:r>
              <w:rPr>
                <w:rFonts w:hint="default" w:ascii="宋体" w:hAnsi="宋体" w:eastAsia="宋体" w:cs="宋体"/>
                <w:b w:val="0"/>
                <w:bCs/>
                <w:color w:val="auto"/>
                <w:kern w:val="2"/>
                <w:sz w:val="24"/>
                <w:szCs w:val="24"/>
                <w:highlight w:val="none"/>
                <w:lang w:val="en-US" w:eastAsia="zh-CN" w:bidi="ar-SA"/>
              </w:rPr>
              <w:t>支付合同金额</w:t>
            </w:r>
            <w:r>
              <w:rPr>
                <w:rFonts w:hint="eastAsia" w:ascii="宋体" w:hAnsi="宋体" w:cs="宋体"/>
                <w:b w:val="0"/>
                <w:bCs/>
                <w:color w:val="auto"/>
                <w:kern w:val="2"/>
                <w:sz w:val="24"/>
                <w:szCs w:val="24"/>
                <w:highlight w:val="none"/>
                <w:lang w:val="en-US" w:eastAsia="zh-CN" w:bidi="ar-SA"/>
              </w:rPr>
              <w:t>的</w:t>
            </w:r>
            <w:r>
              <w:rPr>
                <w:rFonts w:hint="eastAsia" w:ascii="宋体" w:hAnsi="宋体" w:cs="宋体"/>
                <w:b w:val="0"/>
                <w:bCs/>
                <w:color w:val="auto"/>
                <w:kern w:val="2"/>
                <w:sz w:val="24"/>
                <w:szCs w:val="24"/>
                <w:highlight w:val="none"/>
                <w:u w:val="single"/>
                <w:lang w:val="en-US" w:eastAsia="zh-CN" w:bidi="ar-SA"/>
              </w:rPr>
              <w:t>40</w:t>
            </w:r>
            <w:r>
              <w:rPr>
                <w:rFonts w:hint="default" w:ascii="宋体" w:hAnsi="宋体" w:eastAsia="宋体" w:cs="宋体"/>
                <w:b w:val="0"/>
                <w:bCs/>
                <w:color w:val="auto"/>
                <w:kern w:val="2"/>
                <w:sz w:val="24"/>
                <w:szCs w:val="24"/>
                <w:highlight w:val="none"/>
                <w:u w:val="single"/>
                <w:lang w:val="en-US" w:eastAsia="zh-CN" w:bidi="ar-SA"/>
              </w:rPr>
              <w:t>%</w:t>
            </w:r>
            <w:r>
              <w:rPr>
                <w:rFonts w:hint="eastAsia"/>
                <w:color w:val="auto"/>
                <w:sz w:val="24"/>
                <w:szCs w:val="24"/>
                <w:highlight w:val="none"/>
                <w:lang w:eastAsia="zh-CN"/>
              </w:rPr>
              <w:t>（即大写：</w:t>
            </w:r>
            <w:r>
              <w:rPr>
                <w:rFonts w:hint="eastAsia"/>
                <w:color w:val="auto"/>
                <w:sz w:val="24"/>
                <w:szCs w:val="24"/>
                <w:highlight w:val="none"/>
                <w:u w:val="single"/>
                <w:lang w:val="en-US" w:eastAsia="zh-CN"/>
              </w:rPr>
              <w:t xml:space="preserve">   （小写）¥    元</w:t>
            </w:r>
            <w:r>
              <w:rPr>
                <w:rFonts w:hint="eastAsia"/>
                <w:color w:val="auto"/>
                <w:sz w:val="24"/>
                <w:szCs w:val="24"/>
                <w:highlight w:val="none"/>
                <w:lang w:eastAsia="zh-CN"/>
              </w:rPr>
              <w:t>）</w:t>
            </w:r>
            <w:r>
              <w:rPr>
                <w:rFonts w:hint="default" w:ascii="宋体" w:hAnsi="宋体" w:eastAsia="宋体" w:cs="宋体"/>
                <w:b w:val="0"/>
                <w:bCs/>
                <w:color w:val="auto"/>
                <w:kern w:val="2"/>
                <w:sz w:val="24"/>
                <w:szCs w:val="24"/>
                <w:highlight w:val="none"/>
                <w:lang w:val="en-US" w:eastAsia="zh-CN" w:bidi="ar-SA"/>
              </w:rPr>
              <w:t>作为预付款</w:t>
            </w: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1.5.2</w:t>
            </w:r>
          </w:p>
        </w:tc>
        <w:tc>
          <w:tcPr>
            <w:tcW w:w="446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预付款的担保措施：本项目不适用。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1.5.3</w:t>
            </w:r>
          </w:p>
        </w:tc>
        <w:tc>
          <w:tcPr>
            <w:tcW w:w="446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预付款的担保措施：本项目不适用。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1.6.2</w:t>
            </w:r>
          </w:p>
        </w:tc>
        <w:tc>
          <w:tcPr>
            <w:tcW w:w="446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b/>
                <w:color w:val="auto"/>
                <w:sz w:val="24"/>
                <w:highlight w:val="none"/>
                <w:lang w:eastAsia="zh-CN"/>
              </w:rPr>
            </w:pPr>
            <w:r>
              <w:rPr>
                <w:rFonts w:ascii="宋体" w:hAnsi="宋体"/>
                <w:b/>
                <w:color w:val="auto"/>
                <w:sz w:val="24"/>
                <w:highlight w:val="none"/>
              </w:rPr>
              <w:t>结算方式</w:t>
            </w:r>
            <w:r>
              <w:rPr>
                <w:rFonts w:hint="eastAsia" w:ascii="宋体" w:hAnsi="宋体"/>
                <w:b/>
                <w:color w:val="auto"/>
                <w:sz w:val="24"/>
                <w:highlight w:val="none"/>
                <w:lang w:eastAsia="zh-CN"/>
              </w:rPr>
              <w:t>及支付条件</w:t>
            </w:r>
          </w:p>
          <w:p>
            <w:pPr>
              <w:pageBreakBefore w:val="0"/>
              <w:widowControl/>
              <w:numPr>
                <w:ilvl w:val="0"/>
                <w:numId w:val="3"/>
              </w:numPr>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付款方式：</w:t>
            </w:r>
          </w:p>
          <w:p>
            <w:pPr>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①预付款：合同签订后并生效后，</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lang w:eastAsia="zh-CN"/>
              </w:rPr>
              <w:t>5个工作日内向中标人支付</w:t>
            </w:r>
            <w:r>
              <w:rPr>
                <w:rFonts w:hint="eastAsia" w:ascii="宋体" w:hAnsi="宋体" w:eastAsia="宋体" w:cs="宋体"/>
                <w:color w:val="auto"/>
                <w:sz w:val="24"/>
                <w:szCs w:val="24"/>
                <w:highlight w:val="none"/>
                <w:lang w:val="en-US" w:eastAsia="zh-CN"/>
              </w:rPr>
              <w:t>1年</w:t>
            </w:r>
            <w:r>
              <w:rPr>
                <w:rFonts w:hint="eastAsia" w:ascii="宋体" w:hAnsi="宋体" w:eastAsia="宋体" w:cs="宋体"/>
                <w:color w:val="auto"/>
                <w:sz w:val="24"/>
                <w:szCs w:val="24"/>
                <w:highlight w:val="none"/>
                <w:lang w:eastAsia="zh-CN"/>
              </w:rPr>
              <w:t>合同</w:t>
            </w:r>
            <w:r>
              <w:rPr>
                <w:rFonts w:hint="eastAsia" w:ascii="宋体" w:hAnsi="宋体" w:cs="宋体"/>
                <w:color w:val="auto"/>
                <w:sz w:val="24"/>
                <w:szCs w:val="24"/>
                <w:highlight w:val="none"/>
                <w:lang w:eastAsia="zh-CN"/>
              </w:rPr>
              <w:t>总</w:t>
            </w:r>
            <w:r>
              <w:rPr>
                <w:rFonts w:hint="eastAsia" w:ascii="宋体" w:hAnsi="宋体" w:eastAsia="宋体" w:cs="宋体"/>
                <w:color w:val="auto"/>
                <w:sz w:val="24"/>
                <w:szCs w:val="24"/>
                <w:highlight w:val="none"/>
                <w:lang w:eastAsia="zh-CN"/>
              </w:rPr>
              <w:t>价的</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lang w:eastAsia="zh-CN"/>
              </w:rPr>
              <w:t>%（即大写：   （小写）¥    元）的预付款；</w:t>
            </w:r>
          </w:p>
          <w:p>
            <w:pPr>
              <w:widowControl/>
              <w:autoSpaceDE/>
              <w:autoSpaceDN/>
              <w:adjustRightInd/>
              <w:spacing w:line="360" w:lineRule="auto"/>
              <w:jc w:val="left"/>
              <w:textAlignment w:val="baseline"/>
              <w:rPr>
                <w:rFonts w:hint="eastAsia"/>
                <w:color w:val="auto"/>
                <w:highlight w:val="none"/>
              </w:rPr>
            </w:pPr>
            <w:r>
              <w:rPr>
                <w:rFonts w:hint="eastAsia" w:ascii="宋体" w:hAnsi="宋体" w:cs="宋体"/>
                <w:color w:val="auto"/>
                <w:sz w:val="24"/>
                <w:szCs w:val="24"/>
                <w:highlight w:val="none"/>
                <w:lang w:eastAsia="zh-CN"/>
              </w:rPr>
              <w:t>②服务期每满六个月甲方根据考核办法进行考核，扣除相应的款项后支付合同总价的10%（每满六个月实际工疗残疾人不足60人的在考核时核减相应款项）。</w:t>
            </w:r>
          </w:p>
          <w:p>
            <w:pPr>
              <w:pageBreakBefore w:val="0"/>
              <w:widowControl/>
              <w:tabs>
                <w:tab w:val="left" w:pos="312"/>
              </w:tabs>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支付条件</w:t>
            </w:r>
            <w:r>
              <w:rPr>
                <w:rFonts w:hint="eastAsia" w:ascii="宋体" w:hAnsi="宋体" w:cs="宋体"/>
                <w:color w:val="auto"/>
                <w:sz w:val="24"/>
                <w:szCs w:val="24"/>
                <w:highlight w:val="none"/>
                <w:lang w:eastAsia="zh-CN"/>
              </w:rPr>
              <w:t>：</w:t>
            </w:r>
          </w:p>
          <w:p>
            <w:pPr>
              <w:tabs>
                <w:tab w:val="left" w:pos="0"/>
              </w:tabs>
              <w:adjustRightInd/>
              <w:snapToGrid w:val="0"/>
              <w:spacing w:line="360" w:lineRule="auto"/>
              <w:jc w:val="left"/>
              <w:outlineLvl w:val="1"/>
              <w:rPr>
                <w:rFonts w:ascii="宋体" w:hAnsi="宋体" w:cs="宋体"/>
                <w:color w:val="auto"/>
                <w:sz w:val="24"/>
                <w:highlight w:val="none"/>
              </w:rPr>
            </w:pPr>
            <w:r>
              <w:rPr>
                <w:rFonts w:hint="eastAsia"/>
                <w:color w:val="auto"/>
                <w:highlight w:val="none"/>
              </w:rPr>
              <w:t>①</w:t>
            </w:r>
            <w:r>
              <w:rPr>
                <w:rFonts w:hint="eastAsia"/>
                <w:color w:val="auto"/>
                <w:highlight w:val="none"/>
                <w:lang w:eastAsia="zh-CN"/>
              </w:rPr>
              <w:t>甲方</w:t>
            </w:r>
            <w:r>
              <w:rPr>
                <w:rFonts w:hint="eastAsia" w:ascii="宋体" w:hAnsi="宋体" w:cs="宋体"/>
                <w:color w:val="auto"/>
                <w:kern w:val="0"/>
                <w:sz w:val="24"/>
                <w:highlight w:val="none"/>
              </w:rPr>
              <w:t>在收到</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开具的符合法律法规规定发票后，以转账支付的方式，支付给</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服务费。</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逾期开具发票或开具的发票不符合甲方要求的</w:t>
            </w:r>
            <w:r>
              <w:rPr>
                <w:rFonts w:hint="eastAsia" w:ascii="宋体" w:hAnsi="宋体" w:cs="宋体"/>
                <w:color w:val="auto"/>
                <w:kern w:val="0"/>
                <w:sz w:val="24"/>
                <w:highlight w:val="none"/>
                <w:lang w:eastAsia="zh-CN"/>
              </w:rPr>
              <w:t>，甲方</w:t>
            </w:r>
            <w:r>
              <w:rPr>
                <w:rFonts w:hint="eastAsia" w:ascii="宋体" w:hAnsi="宋体" w:cs="宋体"/>
                <w:color w:val="auto"/>
                <w:kern w:val="0"/>
                <w:sz w:val="24"/>
                <w:highlight w:val="none"/>
              </w:rPr>
              <w:t>有权延迟付款时间，且该行为不视为违约。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1.7.1</w:t>
            </w:r>
          </w:p>
        </w:tc>
        <w:tc>
          <w:tcPr>
            <w:tcW w:w="4465" w:type="pct"/>
            <w:vAlign w:val="center"/>
          </w:tcPr>
          <w:p>
            <w:pPr>
              <w:widowControl/>
              <w:numPr>
                <w:ilvl w:val="0"/>
                <w:numId w:val="0"/>
              </w:numPr>
              <w:tabs>
                <w:tab w:val="left" w:pos="0"/>
              </w:tabs>
              <w:adjustRightInd/>
              <w:snapToGrid w:val="0"/>
              <w:spacing w:line="360" w:lineRule="auto"/>
              <w:jc w:val="left"/>
              <w:outlineLvl w:val="1"/>
              <w:rPr>
                <w:color w:val="auto"/>
                <w:highlight w:val="none"/>
              </w:rPr>
            </w:pPr>
            <w:r>
              <w:rPr>
                <w:rFonts w:hint="eastAsia" w:ascii="宋体" w:hAnsi="宋体" w:cs="宋体"/>
                <w:color w:val="auto"/>
                <w:kern w:val="0"/>
                <w:sz w:val="24"/>
                <w:highlight w:val="none"/>
                <w:lang w:val="en-US" w:eastAsia="zh-CN"/>
              </w:rPr>
              <w:t>合同履约期限：</w:t>
            </w:r>
            <w:r>
              <w:rPr>
                <w:rFonts w:hint="default" w:ascii="宋体" w:hAnsi="宋体" w:cs="宋体"/>
                <w:color w:val="auto"/>
                <w:kern w:val="0"/>
                <w:sz w:val="24"/>
                <w:szCs w:val="24"/>
                <w:highlight w:val="none"/>
                <w:lang w:val="en-US" w:eastAsia="zh-CN"/>
              </w:rPr>
              <w:t>3</w:t>
            </w:r>
            <w:r>
              <w:rPr>
                <w:rFonts w:hint="default" w:ascii="宋体" w:hAnsi="宋体" w:eastAsia="宋体" w:cs="宋体"/>
                <w:color w:val="auto"/>
                <w:kern w:val="0"/>
                <w:sz w:val="24"/>
                <w:szCs w:val="24"/>
                <w:highlight w:val="none"/>
                <w:lang w:val="en-US" w:eastAsia="zh-CN"/>
              </w:rPr>
              <w:t>年（</w:t>
            </w:r>
            <w:r>
              <w:rPr>
                <w:rFonts w:hint="default" w:ascii="宋体" w:hAnsi="宋体" w:eastAsia="宋体" w:cs="宋体"/>
                <w:snapToGrid/>
                <w:color w:val="auto"/>
                <w:kern w:val="0"/>
                <w:sz w:val="24"/>
                <w:szCs w:val="24"/>
                <w:highlight w:val="none"/>
              </w:rPr>
              <w:t>2024年</w:t>
            </w:r>
            <w:r>
              <w:rPr>
                <w:rFonts w:hint="default" w:ascii="宋体" w:hAnsi="宋体" w:eastAsia="宋体" w:cs="宋体"/>
                <w:snapToGrid/>
                <w:color w:val="auto"/>
                <w:kern w:val="0"/>
                <w:sz w:val="24"/>
                <w:szCs w:val="24"/>
                <w:highlight w:val="none"/>
                <w:lang w:val="en-US" w:eastAsia="zh-CN"/>
              </w:rPr>
              <w:t xml:space="preserve">  </w:t>
            </w:r>
            <w:r>
              <w:rPr>
                <w:rFonts w:hint="default" w:ascii="宋体" w:hAnsi="宋体" w:eastAsia="宋体" w:cs="宋体"/>
                <w:snapToGrid/>
                <w:color w:val="auto"/>
                <w:kern w:val="0"/>
                <w:sz w:val="24"/>
                <w:szCs w:val="24"/>
                <w:highlight w:val="none"/>
              </w:rPr>
              <w:t>月</w:t>
            </w:r>
            <w:r>
              <w:rPr>
                <w:rFonts w:hint="default" w:ascii="宋体" w:hAnsi="宋体" w:eastAsia="宋体" w:cs="宋体"/>
                <w:snapToGrid/>
                <w:color w:val="auto"/>
                <w:kern w:val="0"/>
                <w:sz w:val="24"/>
                <w:szCs w:val="24"/>
                <w:highlight w:val="none"/>
                <w:lang w:val="en-US" w:eastAsia="zh-CN"/>
              </w:rPr>
              <w:t xml:space="preserve">  </w:t>
            </w:r>
            <w:r>
              <w:rPr>
                <w:rFonts w:hint="default" w:ascii="宋体" w:hAnsi="宋体" w:eastAsia="宋体" w:cs="宋体"/>
                <w:snapToGrid/>
                <w:color w:val="auto"/>
                <w:kern w:val="0"/>
                <w:sz w:val="24"/>
                <w:szCs w:val="24"/>
                <w:highlight w:val="none"/>
              </w:rPr>
              <w:t>日至</w:t>
            </w:r>
            <w:r>
              <w:rPr>
                <w:rFonts w:hint="default" w:ascii="宋体" w:hAnsi="宋体" w:eastAsia="宋体" w:cs="宋体"/>
                <w:snapToGrid/>
                <w:color w:val="auto"/>
                <w:kern w:val="0"/>
                <w:sz w:val="24"/>
                <w:szCs w:val="24"/>
                <w:highlight w:val="none"/>
                <w:lang w:val="en-US" w:eastAsia="zh-CN"/>
              </w:rPr>
              <w:t xml:space="preserve">  </w:t>
            </w:r>
            <w:r>
              <w:rPr>
                <w:rFonts w:hint="default" w:ascii="宋体" w:hAnsi="宋体" w:eastAsia="宋体" w:cs="宋体"/>
                <w:snapToGrid/>
                <w:color w:val="auto"/>
                <w:kern w:val="0"/>
                <w:sz w:val="24"/>
                <w:szCs w:val="24"/>
                <w:highlight w:val="none"/>
              </w:rPr>
              <w:t>年</w:t>
            </w:r>
            <w:r>
              <w:rPr>
                <w:rFonts w:hint="default" w:ascii="宋体" w:hAnsi="宋体" w:eastAsia="宋体" w:cs="宋体"/>
                <w:snapToGrid/>
                <w:color w:val="auto"/>
                <w:kern w:val="0"/>
                <w:sz w:val="24"/>
                <w:szCs w:val="24"/>
                <w:highlight w:val="none"/>
                <w:lang w:val="en-US" w:eastAsia="zh-CN"/>
              </w:rPr>
              <w:t xml:space="preserve">  </w:t>
            </w:r>
            <w:r>
              <w:rPr>
                <w:rFonts w:hint="default" w:ascii="宋体" w:hAnsi="宋体" w:eastAsia="宋体" w:cs="宋体"/>
                <w:snapToGrid/>
                <w:color w:val="auto"/>
                <w:kern w:val="0"/>
                <w:sz w:val="24"/>
                <w:szCs w:val="24"/>
                <w:highlight w:val="none"/>
              </w:rPr>
              <w:t>月</w:t>
            </w:r>
            <w:r>
              <w:rPr>
                <w:rFonts w:hint="default" w:ascii="宋体" w:hAnsi="宋体" w:eastAsia="宋体" w:cs="宋体"/>
                <w:snapToGrid/>
                <w:color w:val="auto"/>
                <w:kern w:val="0"/>
                <w:sz w:val="24"/>
                <w:szCs w:val="24"/>
                <w:highlight w:val="none"/>
                <w:lang w:val="en-US" w:eastAsia="zh-CN"/>
              </w:rPr>
              <w:t xml:space="preserve">  </w:t>
            </w:r>
            <w:r>
              <w:rPr>
                <w:rFonts w:hint="default" w:ascii="宋体" w:hAnsi="宋体" w:eastAsia="宋体" w:cs="宋体"/>
                <w:snapToGrid/>
                <w:color w:val="auto"/>
                <w:kern w:val="0"/>
                <w:sz w:val="24"/>
                <w:szCs w:val="24"/>
                <w:highlight w:val="none"/>
              </w:rPr>
              <w:t>日</w:t>
            </w:r>
            <w:r>
              <w:rPr>
                <w:rFonts w:hint="default" w:ascii="宋体" w:hAnsi="宋体" w:eastAsia="宋体" w:cs="宋体"/>
                <w:color w:val="auto"/>
                <w:kern w:val="0"/>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1.7.2</w:t>
            </w:r>
          </w:p>
        </w:tc>
        <w:tc>
          <w:tcPr>
            <w:tcW w:w="4465" w:type="pct"/>
            <w:vAlign w:val="center"/>
          </w:tcPr>
          <w:p>
            <w:pPr>
              <w:spacing w:line="360" w:lineRule="auto"/>
              <w:rPr>
                <w:rFonts w:ascii="宋体" w:hAnsi="宋体" w:cs="宋体"/>
                <w:color w:val="auto"/>
                <w:sz w:val="24"/>
                <w:highlight w:val="none"/>
              </w:rPr>
            </w:pPr>
            <w:r>
              <w:rPr>
                <w:rFonts w:ascii="宋体" w:hAnsi="宋体" w:cs="宋体"/>
                <w:color w:val="auto"/>
                <w:sz w:val="24"/>
                <w:highlight w:val="none"/>
              </w:rPr>
              <w:t>服务交付（实施）的地点（地域范围）：</w:t>
            </w:r>
            <w:r>
              <w:rPr>
                <w:rFonts w:hint="eastAsia" w:ascii="宋体" w:hAnsi="宋体" w:cs="宋体"/>
                <w:color w:val="auto"/>
                <w:sz w:val="24"/>
                <w:highlight w:val="none"/>
              </w:rPr>
              <w:t>萧山区瓜沥镇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1.7.3</w:t>
            </w:r>
          </w:p>
        </w:tc>
        <w:tc>
          <w:tcPr>
            <w:tcW w:w="4465" w:type="pct"/>
            <w:vAlign w:val="center"/>
          </w:tcPr>
          <w:p>
            <w:pPr>
              <w:autoSpaceDE w:val="0"/>
              <w:adjustRightInd/>
              <w:spacing w:line="360" w:lineRule="auto"/>
              <w:jc w:val="left"/>
              <w:rPr>
                <w:rFonts w:ascii="宋体" w:hAnsi="宋体" w:cs="宋体"/>
                <w:color w:val="auto"/>
                <w:spacing w:val="-6"/>
                <w:sz w:val="24"/>
                <w:highlight w:val="none"/>
              </w:rPr>
            </w:pPr>
            <w:r>
              <w:rPr>
                <w:rFonts w:hint="eastAsia" w:ascii="宋体" w:hAnsi="宋体" w:cs="宋体"/>
                <w:color w:val="auto"/>
                <w:spacing w:val="-6"/>
                <w:sz w:val="24"/>
                <w:highlight w:val="none"/>
              </w:rPr>
              <w:t>服务交付（实施）的方式：现实交付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1.7.4.1</w:t>
            </w:r>
          </w:p>
        </w:tc>
        <w:tc>
          <w:tcPr>
            <w:tcW w:w="4465" w:type="pct"/>
            <w:vAlign w:val="center"/>
          </w:tcPr>
          <w:p>
            <w:pPr>
              <w:autoSpaceDE w:val="0"/>
              <w:adjustRightInd/>
              <w:spacing w:line="360" w:lineRule="auto"/>
              <w:jc w:val="left"/>
              <w:rPr>
                <w:rFonts w:ascii="宋体" w:hAnsi="宋体" w:cs="宋体"/>
                <w:color w:val="auto"/>
                <w:spacing w:val="-6"/>
                <w:sz w:val="24"/>
                <w:highlight w:val="none"/>
              </w:rPr>
            </w:pPr>
            <w:r>
              <w:rPr>
                <w:rFonts w:hint="eastAsia" w:ascii="宋体" w:hAnsi="宋体" w:cs="宋体"/>
                <w:color w:val="auto"/>
                <w:spacing w:val="-6"/>
                <w:sz w:val="24"/>
                <w:highlight w:val="none"/>
              </w:rPr>
              <w:t>若服务涉及货物的，本项目不适用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1.7.4.2</w:t>
            </w:r>
          </w:p>
        </w:tc>
        <w:tc>
          <w:tcPr>
            <w:tcW w:w="4465" w:type="pct"/>
            <w:vAlign w:val="center"/>
          </w:tcPr>
          <w:p>
            <w:pPr>
              <w:autoSpaceDE w:val="0"/>
              <w:adjustRightInd/>
              <w:spacing w:line="360" w:lineRule="auto"/>
              <w:jc w:val="left"/>
              <w:rPr>
                <w:rFonts w:ascii="宋体" w:hAnsi="宋体" w:cs="宋体"/>
                <w:color w:val="auto"/>
                <w:spacing w:val="-6"/>
                <w:sz w:val="24"/>
                <w:highlight w:val="none"/>
              </w:rPr>
            </w:pPr>
            <w:r>
              <w:rPr>
                <w:rFonts w:hint="eastAsia" w:ascii="宋体" w:hAnsi="宋体" w:cs="宋体"/>
                <w:color w:val="auto"/>
                <w:spacing w:val="-6"/>
                <w:sz w:val="24"/>
                <w:highlight w:val="none"/>
              </w:rPr>
              <w:t>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1.7.4.3</w:t>
            </w:r>
          </w:p>
        </w:tc>
        <w:tc>
          <w:tcPr>
            <w:tcW w:w="4465" w:type="pct"/>
            <w:vAlign w:val="center"/>
          </w:tcPr>
          <w:p>
            <w:pPr>
              <w:autoSpaceDE w:val="0"/>
              <w:adjustRightInd/>
              <w:spacing w:line="360" w:lineRule="auto"/>
              <w:jc w:val="left"/>
              <w:rPr>
                <w:rFonts w:ascii="宋体" w:hAnsi="宋体" w:cs="宋体"/>
                <w:color w:val="auto"/>
                <w:spacing w:val="-6"/>
                <w:sz w:val="24"/>
                <w:highlight w:val="none"/>
              </w:rPr>
            </w:pPr>
            <w:r>
              <w:rPr>
                <w:rFonts w:hint="eastAsia" w:ascii="宋体" w:hAnsi="宋体" w:cs="宋体"/>
                <w:color w:val="auto"/>
                <w:spacing w:val="-6"/>
                <w:sz w:val="24"/>
                <w:highlight w:val="none"/>
              </w:rPr>
              <w:t>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1.8.7</w:t>
            </w:r>
          </w:p>
        </w:tc>
        <w:tc>
          <w:tcPr>
            <w:tcW w:w="4465" w:type="pct"/>
            <w:vAlign w:val="center"/>
          </w:tcPr>
          <w:p>
            <w:pPr>
              <w:autoSpaceDE w:val="0"/>
              <w:adjustRightInd/>
              <w:spacing w:line="360" w:lineRule="auto"/>
              <w:jc w:val="left"/>
              <w:rPr>
                <w:rFonts w:ascii="宋体" w:hAnsi="宋体" w:cs="宋体"/>
                <w:color w:val="auto"/>
                <w:spacing w:val="-6"/>
                <w:sz w:val="24"/>
                <w:highlight w:val="none"/>
              </w:rPr>
            </w:pPr>
            <w:r>
              <w:rPr>
                <w:rFonts w:hint="eastAsia" w:ascii="宋体" w:hAnsi="宋体" w:cs="宋体"/>
                <w:color w:val="auto"/>
                <w:spacing w:val="-6"/>
                <w:sz w:val="24"/>
                <w:highlight w:val="none"/>
              </w:rPr>
              <w:t>（1）甲方无正当理由拒收接受服务的，甲方向乙方偿付合同款项百分之五作为违约金。</w:t>
            </w:r>
          </w:p>
          <w:p>
            <w:pPr>
              <w:autoSpaceDE w:val="0"/>
              <w:adjustRightInd/>
              <w:spacing w:line="360" w:lineRule="auto"/>
              <w:jc w:val="left"/>
              <w:rPr>
                <w:rFonts w:ascii="宋体" w:hAnsi="宋体" w:cs="宋体"/>
                <w:color w:val="auto"/>
                <w:spacing w:val="-6"/>
                <w:sz w:val="24"/>
                <w:highlight w:val="none"/>
              </w:rPr>
            </w:pPr>
            <w:r>
              <w:rPr>
                <w:rFonts w:hint="eastAsia" w:ascii="宋体" w:hAnsi="宋体" w:cs="宋体"/>
                <w:color w:val="auto"/>
                <w:spacing w:val="-6"/>
                <w:sz w:val="24"/>
                <w:highlight w:val="none"/>
              </w:rPr>
              <w:t>（2）甲方无故逾期验收和办理款项支付手续的,甲方应按逾期付款总额每日万分之五向乙方支付违约金。</w:t>
            </w:r>
          </w:p>
          <w:p>
            <w:pPr>
              <w:autoSpaceDE w:val="0"/>
              <w:adjustRightInd/>
              <w:spacing w:line="360" w:lineRule="auto"/>
              <w:jc w:val="left"/>
              <w:rPr>
                <w:rFonts w:ascii="宋体" w:hAnsi="宋体" w:cs="宋体"/>
                <w:color w:val="auto"/>
                <w:spacing w:val="-6"/>
                <w:sz w:val="24"/>
                <w:highlight w:val="none"/>
              </w:rPr>
            </w:pPr>
            <w:r>
              <w:rPr>
                <w:rFonts w:hint="eastAsia" w:ascii="宋体" w:hAnsi="宋体" w:cs="宋体"/>
                <w:color w:val="auto"/>
                <w:spacing w:val="-6"/>
                <w:sz w:val="24"/>
                <w:highlight w:val="none"/>
              </w:rPr>
              <w:t>（3）乙方未能如期提供服务的，每日向甲方支付合同款项的千分之六作为违约金。乙方超过约定日期10个工作日仍不能提供服务的，甲方有权单方解除本合同。乙方因未能如期提供服务或因其他违约行为导致甲方解除合同的，乙方应向甲方支付合同总值的百分之五作为违约金；如造成甲方损失超过违约金的，超出部分由乙方继续承担赔偿责任。</w:t>
            </w:r>
          </w:p>
          <w:p>
            <w:pPr>
              <w:autoSpaceDE w:val="0"/>
              <w:adjustRightInd/>
              <w:spacing w:line="360" w:lineRule="auto"/>
              <w:jc w:val="left"/>
              <w:rPr>
                <w:rFonts w:ascii="宋体" w:hAnsi="宋体" w:cs="宋体"/>
                <w:color w:val="auto"/>
                <w:spacing w:val="-6"/>
                <w:sz w:val="24"/>
                <w:highlight w:val="none"/>
              </w:rPr>
            </w:pPr>
            <w:r>
              <w:rPr>
                <w:rFonts w:hint="eastAsia" w:ascii="宋体" w:hAnsi="宋体" w:cs="宋体"/>
                <w:color w:val="auto"/>
                <w:spacing w:val="-6"/>
                <w:sz w:val="24"/>
                <w:highlight w:val="none"/>
              </w:rPr>
              <w:t>（4）乙方在服务期内，执行本项目过程中必须接受甲方和有关部门的检查和监督。甲方发现乙方有违反合同约定的，有权单方终止合同。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1.9.1</w:t>
            </w:r>
          </w:p>
        </w:tc>
        <w:tc>
          <w:tcPr>
            <w:tcW w:w="446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如发生纠纷，双方应当及时协商解决，如协商不成，向杭州仲裁委员会提起仲裁。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1.9.2</w:t>
            </w:r>
          </w:p>
        </w:tc>
        <w:tc>
          <w:tcPr>
            <w:tcW w:w="446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2.3.2</w:t>
            </w:r>
          </w:p>
        </w:tc>
        <w:tc>
          <w:tcPr>
            <w:tcW w:w="4465" w:type="pct"/>
            <w:vAlign w:val="center"/>
          </w:tcPr>
          <w:p>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合同涉及技术成果的归属和收益等所有权益归甲方。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2.5</w:t>
            </w:r>
          </w:p>
        </w:tc>
        <w:tc>
          <w:tcPr>
            <w:tcW w:w="4465" w:type="pct"/>
            <w:vAlign w:val="center"/>
          </w:tcPr>
          <w:p>
            <w:pPr>
              <w:spacing w:line="360" w:lineRule="auto"/>
              <w:rPr>
                <w:rFonts w:hint="eastAsia" w:eastAsia="宋体"/>
                <w:color w:val="auto"/>
                <w:highlight w:val="none"/>
                <w:lang w:eastAsia="zh-CN"/>
              </w:rPr>
            </w:pPr>
            <w:r>
              <w:rPr>
                <w:rFonts w:hint="eastAsia" w:ascii="宋体" w:hAnsi="宋体" w:cs="宋体"/>
                <w:color w:val="auto"/>
                <w:sz w:val="24"/>
                <w:highlight w:val="none"/>
                <w:lang w:eastAsia="zh-CN"/>
              </w:rPr>
              <w:t>同本合同</w:t>
            </w:r>
            <w:r>
              <w:rPr>
                <w:rFonts w:hint="eastAsia" w:ascii="宋体" w:hAnsi="宋体" w:cs="宋体"/>
                <w:color w:val="auto"/>
                <w:sz w:val="24"/>
                <w:highlight w:val="none"/>
              </w:rPr>
              <w:t>1.6.2</w:t>
            </w:r>
            <w:r>
              <w:rPr>
                <w:rFonts w:hint="eastAsia" w:ascii="宋体" w:hAnsi="宋体" w:cs="宋体"/>
                <w:color w:val="auto"/>
                <w:sz w:val="24"/>
                <w:highlight w:val="none"/>
                <w:lang w:eastAsia="zh-CN"/>
              </w:rPr>
              <w:t>条一致。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2.11.3</w:t>
            </w:r>
          </w:p>
        </w:tc>
        <w:tc>
          <w:tcPr>
            <w:tcW w:w="446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因不可抗力致使合同有变更必要的，双方当事人应在提前30日历天以书面形式通知对方，经协商后变更合同；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2.11.4</w:t>
            </w:r>
          </w:p>
        </w:tc>
        <w:tc>
          <w:tcPr>
            <w:tcW w:w="4465" w:type="pct"/>
          </w:tcPr>
          <w:p>
            <w:pPr>
              <w:spacing w:line="360" w:lineRule="auto"/>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受不可抗力影响的一方在不可抗力发生后，应在提前30日历天之前以书面形式通知对方当事人，并在30日历天内，将有关部门出具的证明文件（将相关证明材料）送达对方当事人。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2.15.1</w:t>
            </w:r>
          </w:p>
        </w:tc>
        <w:tc>
          <w:tcPr>
            <w:tcW w:w="446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2.15.3</w:t>
            </w:r>
          </w:p>
        </w:tc>
        <w:tc>
          <w:tcPr>
            <w:tcW w:w="4465" w:type="pct"/>
            <w:vAlign w:val="center"/>
          </w:tcPr>
          <w:p>
            <w:pPr>
              <w:snapToGrid w:val="0"/>
              <w:spacing w:line="360" w:lineRule="auto"/>
              <w:jc w:val="left"/>
              <w:rPr>
                <w:rFonts w:ascii="宋体" w:hAnsi="宋体" w:cs="仿宋"/>
                <w:color w:val="auto"/>
                <w:sz w:val="24"/>
                <w:highlight w:val="none"/>
              </w:rPr>
            </w:pPr>
            <w:r>
              <w:rPr>
                <w:rFonts w:hint="eastAsia" w:ascii="宋体" w:hAnsi="宋体" w:cs="宋体"/>
                <w:color w:val="auto"/>
                <w:spacing w:val="-6"/>
                <w:sz w:val="24"/>
                <w:highlight w:val="none"/>
              </w:rPr>
              <w:t>验收由采购人负责组织验收。可以采用自行组织验收或专门机构验收两种形式，具体按照萧政办发[2014]217号文件执行。验收方成员应当在验收书上签字，并承担相应的法律责任。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2.19</w:t>
            </w:r>
          </w:p>
        </w:tc>
        <w:tc>
          <w:tcPr>
            <w:tcW w:w="4465" w:type="pct"/>
          </w:tcPr>
          <w:p>
            <w:pPr>
              <w:snapToGrid w:val="0"/>
              <w:spacing w:line="360" w:lineRule="auto"/>
              <w:jc w:val="left"/>
              <w:rPr>
                <w:rFonts w:ascii="宋体" w:hAnsi="宋体" w:cs="仿宋"/>
                <w:color w:val="auto"/>
                <w:sz w:val="24"/>
                <w:highlight w:val="none"/>
              </w:rPr>
            </w:pPr>
            <w:r>
              <w:rPr>
                <w:rFonts w:hint="eastAsia" w:ascii="宋体" w:hAnsi="宋体" w:cs="仿宋"/>
                <w:color w:val="auto"/>
                <w:sz w:val="24"/>
                <w:highlight w:val="none"/>
                <w:lang w:val="zh-CN"/>
              </w:rPr>
              <w:t>本合同一式六份</w:t>
            </w:r>
            <w:r>
              <w:rPr>
                <w:rFonts w:hint="eastAsia" w:ascii="宋体" w:hAnsi="宋体" w:cs="仿宋"/>
                <w:color w:val="auto"/>
                <w:sz w:val="24"/>
                <w:highlight w:val="none"/>
              </w:rPr>
              <w:t>，</w:t>
            </w:r>
            <w:r>
              <w:rPr>
                <w:rFonts w:hint="eastAsia" w:ascii="宋体" w:hAnsi="宋体" w:cs="仿宋"/>
                <w:color w:val="auto"/>
                <w:sz w:val="24"/>
                <w:highlight w:val="none"/>
                <w:lang w:val="zh-CN"/>
              </w:rPr>
              <w:t>甲</w:t>
            </w:r>
            <w:r>
              <w:rPr>
                <w:rFonts w:hint="eastAsia" w:ascii="宋体" w:hAnsi="宋体" w:cs="仿宋"/>
                <w:color w:val="auto"/>
                <w:sz w:val="24"/>
                <w:highlight w:val="none"/>
              </w:rPr>
              <w:t>方四</w:t>
            </w:r>
            <w:r>
              <w:rPr>
                <w:rFonts w:hint="eastAsia" w:ascii="宋体" w:hAnsi="宋体" w:cs="仿宋"/>
                <w:color w:val="auto"/>
                <w:sz w:val="24"/>
                <w:highlight w:val="none"/>
                <w:lang w:val="zh-CN"/>
              </w:rPr>
              <w:t>份</w:t>
            </w:r>
            <w:r>
              <w:rPr>
                <w:rFonts w:hint="eastAsia" w:ascii="宋体" w:hAnsi="宋体" w:cs="仿宋"/>
                <w:color w:val="auto"/>
                <w:sz w:val="24"/>
                <w:highlight w:val="none"/>
              </w:rPr>
              <w:t>，</w:t>
            </w:r>
            <w:r>
              <w:rPr>
                <w:rFonts w:hint="eastAsia" w:ascii="宋体" w:hAnsi="宋体" w:cs="仿宋"/>
                <w:color w:val="auto"/>
                <w:sz w:val="24"/>
                <w:highlight w:val="none"/>
                <w:lang w:val="zh-CN"/>
              </w:rPr>
              <w:t>乙方</w:t>
            </w:r>
            <w:r>
              <w:rPr>
                <w:rFonts w:hint="eastAsia" w:ascii="宋体" w:hAnsi="宋体" w:cs="仿宋"/>
                <w:color w:val="auto"/>
                <w:sz w:val="24"/>
                <w:highlight w:val="none"/>
              </w:rPr>
              <w:t>二份</w:t>
            </w:r>
            <w:r>
              <w:rPr>
                <w:rFonts w:hint="eastAsia" w:ascii="宋体" w:hAnsi="宋体" w:cs="仿宋"/>
                <w:color w:val="auto"/>
                <w:sz w:val="24"/>
                <w:highlight w:val="none"/>
                <w:lang w:val="zh-CN"/>
              </w:rPr>
              <w:t>。每份均具有同等法律效力。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534" w:type="pct"/>
            <w:tcBorders>
              <w:left w:val="single" w:color="auto" w:sz="4" w:space="0"/>
            </w:tcBorders>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2.20</w:t>
            </w:r>
          </w:p>
        </w:tc>
        <w:tc>
          <w:tcPr>
            <w:tcW w:w="4465" w:type="pct"/>
          </w:tcPr>
          <w:p>
            <w:pPr>
              <w:snapToGrid w:val="0"/>
              <w:spacing w:line="360" w:lineRule="auto"/>
              <w:jc w:val="left"/>
              <w:rPr>
                <w:rFonts w:hint="eastAsia" w:ascii="宋体" w:hAnsi="宋体" w:cs="仿宋"/>
                <w:color w:val="auto"/>
                <w:sz w:val="24"/>
                <w:highlight w:val="none"/>
                <w:lang w:val="zh-CN"/>
              </w:rPr>
            </w:pPr>
            <w:r>
              <w:rPr>
                <w:rFonts w:hint="eastAsia" w:ascii="宋体" w:hAnsi="宋体" w:cs="仿宋"/>
                <w:color w:val="auto"/>
                <w:sz w:val="24"/>
                <w:highlight w:val="none"/>
                <w:lang w:val="zh-CN"/>
              </w:rPr>
              <w:t>其他：</w:t>
            </w:r>
            <w:r>
              <w:rPr>
                <w:rFonts w:hint="eastAsia" w:ascii="宋体" w:hAnsi="宋体" w:cs="仿宋"/>
                <w:color w:val="auto"/>
                <w:sz w:val="24"/>
                <w:highlight w:val="none"/>
                <w:u w:val="single"/>
                <w:lang w:val="zh-CN"/>
              </w:rPr>
              <w:t>为调动乙方工作积极性，年度经省、市、区残联考核，被列入省、市、区级先进（优秀）单位的每项分别奖励（8000元、5000元、2000元）（同类先进取最高项）；评上综合性、示范性“残疾人之家”奖励10000元，当年五星级“残疾人之家”复评通过的，奖励5000元；获得其他区级以上荣誉的按实际给予适当奖励。</w:t>
            </w:r>
          </w:p>
        </w:tc>
      </w:tr>
    </w:tbl>
    <w:p>
      <w:pPr>
        <w:rPr>
          <w:rFonts w:ascii="宋体" w:hAnsi="宋体" w:cs="宋体"/>
          <w:color w:val="auto"/>
          <w:sz w:val="24"/>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2" w:name="_Hlk101257010"/>
      <w:r>
        <w:rPr>
          <w:rFonts w:hint="eastAsia" w:ascii="宋体" w:hAnsi="宋体" w:cs="宋体"/>
          <w:color w:val="auto"/>
          <w:sz w:val="24"/>
          <w:highlight w:val="none"/>
        </w:rPr>
        <w:t>（如果有)</w:t>
      </w:r>
      <w:bookmarkEnd w:id="512"/>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6"/>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ascii="宋体" w:hAnsi="宋体" w:cs="宋体"/>
          <w:color w:val="auto"/>
          <w:sz w:val="24"/>
          <w:highlight w:val="none"/>
        </w:rPr>
      </w:pP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12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w:t>
      </w:r>
      <w:r>
        <w:rPr>
          <w:rFonts w:hint="eastAsia" w:ascii="宋体" w:hAnsi="宋体" w:cs="宋体"/>
          <w:b/>
          <w:bCs/>
          <w:color w:val="auto"/>
          <w:sz w:val="24"/>
          <w:highlight w:val="none"/>
        </w:rPr>
        <w:t>残疾人之家运营托管服务项目</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84"/>
        <w:gridCol w:w="1228"/>
        <w:gridCol w:w="2235"/>
        <w:gridCol w:w="2730"/>
        <w:gridCol w:w="165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8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228"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数量</w:t>
            </w:r>
          </w:p>
        </w:tc>
        <w:tc>
          <w:tcPr>
            <w:tcW w:w="2235" w:type="dxa"/>
            <w:vAlign w:val="center"/>
          </w:tcPr>
          <w:p>
            <w:pPr>
              <w:spacing w:line="360" w:lineRule="auto"/>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综合单价</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（元/人/年）</w:t>
            </w:r>
          </w:p>
        </w:tc>
        <w:tc>
          <w:tcPr>
            <w:tcW w:w="273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1年合计报价（元）</w:t>
            </w:r>
          </w:p>
        </w:tc>
        <w:tc>
          <w:tcPr>
            <w:tcW w:w="1650" w:type="dxa"/>
            <w:vAlign w:val="center"/>
          </w:tcPr>
          <w:p>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3年合计报价（元）</w:t>
            </w:r>
          </w:p>
        </w:tc>
        <w:tc>
          <w:tcPr>
            <w:tcW w:w="1740"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17" w:type="dxa"/>
            <w:vAlign w:val="center"/>
          </w:tcPr>
          <w:p>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1</w:t>
            </w:r>
          </w:p>
        </w:tc>
        <w:tc>
          <w:tcPr>
            <w:tcW w:w="3884" w:type="dxa"/>
            <w:vAlign w:val="center"/>
          </w:tcPr>
          <w:p>
            <w:pPr>
              <w:jc w:val="center"/>
              <w:textAlignment w:val="center"/>
              <w:rPr>
                <w:rFonts w:hint="eastAsia" w:ascii="宋体" w:hAnsi="宋体" w:eastAsia="宋体" w:cs="宋体"/>
                <w:b/>
                <w:color w:val="auto"/>
                <w:sz w:val="24"/>
                <w:highlight w:val="none"/>
                <w:lang w:eastAsia="zh-CN"/>
              </w:rPr>
            </w:pPr>
            <w:r>
              <w:rPr>
                <w:rFonts w:hint="eastAsia" w:ascii="宋体" w:hAnsi="宋体" w:eastAsia="宋体" w:cs="宋体"/>
                <w:bCs/>
                <w:color w:val="auto"/>
                <w:sz w:val="24"/>
                <w:szCs w:val="24"/>
                <w:highlight w:val="none"/>
                <w:lang w:val="en-US" w:eastAsia="zh-CN"/>
              </w:rPr>
              <w:t>残疾人之家运营托管服务项目</w:t>
            </w:r>
          </w:p>
        </w:tc>
        <w:tc>
          <w:tcPr>
            <w:tcW w:w="1228" w:type="dxa"/>
            <w:vAlign w:val="center"/>
          </w:tcPr>
          <w:p>
            <w:pPr>
              <w:spacing w:line="360" w:lineRule="auto"/>
              <w:jc w:val="center"/>
              <w:rPr>
                <w:rFonts w:hint="default" w:ascii="宋体" w:hAnsi="宋体" w:cs="宋体"/>
                <w:b/>
                <w:color w:val="auto"/>
                <w:sz w:val="24"/>
                <w:highlight w:val="none"/>
                <w:lang w:val="en-US" w:eastAsia="zh-CN"/>
              </w:rPr>
            </w:pPr>
            <w:r>
              <w:rPr>
                <w:rFonts w:hint="eastAsia" w:ascii="宋体" w:hAnsi="宋体" w:cs="宋体"/>
                <w:b/>
                <w:bCs/>
                <w:color w:val="auto"/>
                <w:sz w:val="24"/>
                <w:highlight w:val="none"/>
                <w:lang w:val="en-US" w:eastAsia="zh-CN"/>
              </w:rPr>
              <w:t>60人</w:t>
            </w:r>
          </w:p>
        </w:tc>
        <w:tc>
          <w:tcPr>
            <w:tcW w:w="2235" w:type="dxa"/>
            <w:vAlign w:val="center"/>
          </w:tcPr>
          <w:p>
            <w:pPr>
              <w:spacing w:line="360" w:lineRule="auto"/>
              <w:jc w:val="center"/>
              <w:rPr>
                <w:rFonts w:hint="default" w:ascii="宋体" w:hAnsi="宋体" w:cs="宋体"/>
                <w:b/>
                <w:color w:val="auto"/>
                <w:sz w:val="24"/>
                <w:highlight w:val="none"/>
                <w:lang w:val="en-US" w:eastAsia="zh-CN"/>
              </w:rPr>
            </w:pPr>
            <w:r>
              <w:rPr>
                <w:rFonts w:hint="default" w:ascii="宋体" w:hAnsi="宋体" w:cs="宋体"/>
                <w:b/>
                <w:color w:val="auto"/>
                <w:sz w:val="24"/>
                <w:highlight w:val="none"/>
                <w:lang w:val="en-US" w:eastAsia="zh-CN"/>
              </w:rPr>
              <w:t>21340</w:t>
            </w:r>
          </w:p>
        </w:tc>
        <w:tc>
          <w:tcPr>
            <w:tcW w:w="2730" w:type="dxa"/>
            <w:vAlign w:val="center"/>
          </w:tcPr>
          <w:p>
            <w:pPr>
              <w:keepNext w:val="0"/>
              <w:keepLines w:val="0"/>
              <w:widowControl/>
              <w:suppressLineNumbers w:val="0"/>
              <w:jc w:val="center"/>
              <w:textAlignment w:val="center"/>
              <w:rPr>
                <w:rFonts w:hint="default" w:ascii="宋体" w:hAnsi="宋体" w:cs="宋体"/>
                <w:b/>
                <w:color w:val="auto"/>
                <w:sz w:val="24"/>
                <w:highlight w:val="none"/>
                <w:lang w:val="en-US" w:eastAsia="zh-CN"/>
              </w:rPr>
            </w:pPr>
            <w:r>
              <w:rPr>
                <w:rFonts w:hint="eastAsia" w:ascii="宋体" w:hAnsi="宋体" w:cs="宋体"/>
                <w:b/>
                <w:bCs/>
                <w:i w:val="0"/>
                <w:iCs w:val="0"/>
                <w:color w:val="auto"/>
                <w:kern w:val="0"/>
                <w:sz w:val="24"/>
                <w:szCs w:val="24"/>
                <w:highlight w:val="none"/>
                <w:u w:val="none"/>
                <w:lang w:val="en-US" w:eastAsia="zh-CN" w:bidi="ar"/>
              </w:rPr>
              <w:t>1280400.00</w:t>
            </w:r>
          </w:p>
        </w:tc>
        <w:tc>
          <w:tcPr>
            <w:tcW w:w="1650" w:type="dxa"/>
            <w:vAlign w:val="center"/>
          </w:tcPr>
          <w:p>
            <w:pPr>
              <w:spacing w:line="360" w:lineRule="auto"/>
              <w:jc w:val="center"/>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3841200.00</w:t>
            </w:r>
          </w:p>
        </w:tc>
        <w:tc>
          <w:tcPr>
            <w:tcW w:w="1740" w:type="dxa"/>
            <w:vAlign w:val="center"/>
          </w:tcPr>
          <w:p>
            <w:pPr>
              <w:spacing w:line="360" w:lineRule="auto"/>
              <w:jc w:val="center"/>
              <w:rPr>
                <w:rFonts w:ascii="宋体" w:hAnsi="宋体" w:cs="宋体"/>
                <w:b/>
                <w:color w:val="auto"/>
                <w:sz w:val="24"/>
                <w:highlight w:val="none"/>
              </w:rPr>
            </w:pPr>
            <w:r>
              <w:rPr>
                <w:rFonts w:hint="eastAsia" w:ascii="宋体" w:hAnsi="宋体" w:cs="宋体"/>
                <w:b/>
                <w:bCs/>
                <w:color w:val="auto"/>
                <w:sz w:val="24"/>
                <w:highlight w:val="none"/>
                <w:lang w:val="en-US" w:eastAsia="zh-CN"/>
              </w:rPr>
              <w:t>报价不作竞争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64" w:type="dxa"/>
            <w:gridSpan w:val="4"/>
            <w:vAlign w:val="center"/>
          </w:tcPr>
          <w:p>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投标报价（小写）</w:t>
            </w:r>
          </w:p>
        </w:tc>
        <w:tc>
          <w:tcPr>
            <w:tcW w:w="6120" w:type="dxa"/>
            <w:gridSpan w:val="3"/>
            <w:vAlign w:val="center"/>
          </w:tcPr>
          <w:p>
            <w:pPr>
              <w:spacing w:line="360" w:lineRule="auto"/>
              <w:jc w:val="center"/>
              <w:rPr>
                <w:rFonts w:hint="default" w:ascii="宋体" w:hAnsi="宋体" w:cs="宋体"/>
                <w:b/>
                <w:bCs/>
                <w:color w:val="auto"/>
                <w:sz w:val="24"/>
                <w:highlight w:val="none"/>
                <w:lang w:val="en-US"/>
              </w:rPr>
            </w:pPr>
            <w:r>
              <w:rPr>
                <w:rFonts w:hint="eastAsia" w:ascii="宋体" w:hAnsi="宋体" w:cs="宋体"/>
                <w:b/>
                <w:bCs/>
                <w:color w:val="auto"/>
                <w:sz w:val="24"/>
                <w:highlight w:val="none"/>
                <w:lang w:val="en-US" w:eastAsia="zh-CN"/>
              </w:rPr>
              <w:t>3841200.00元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164" w:type="dxa"/>
            <w:gridSpan w:val="4"/>
            <w:vAlign w:val="center"/>
          </w:tcPr>
          <w:p>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投标报价（大写）</w:t>
            </w:r>
          </w:p>
        </w:tc>
        <w:tc>
          <w:tcPr>
            <w:tcW w:w="6120" w:type="dxa"/>
            <w:gridSpan w:val="3"/>
            <w:vAlign w:val="center"/>
          </w:tcPr>
          <w:p>
            <w:pPr>
              <w:spacing w:line="360" w:lineRule="auto"/>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叁佰捌拾肆万壹仟贰佰元整</w:t>
            </w: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cs="宋体"/>
          <w:b/>
          <w:color w:val="auto"/>
          <w:sz w:val="24"/>
          <w:highlight w:val="none"/>
          <w:lang w:val="en-US" w:eastAsia="zh-CN"/>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未做阐述说明的，投标无效。</w:t>
      </w:r>
    </w:p>
    <w:p>
      <w:pPr>
        <w:pStyle w:val="6"/>
        <w:ind w:left="437" w:leftChars="202" w:hanging="13" w:hangingChars="4"/>
        <w:rPr>
          <w:rFonts w:hint="default"/>
          <w:color w:val="auto"/>
          <w:highlight w:val="none"/>
          <w:lang w:val="en-US" w:eastAsia="zh-CN"/>
        </w:rPr>
      </w:pPr>
    </w:p>
    <w:p>
      <w:pPr>
        <w:pStyle w:val="6"/>
        <w:rPr>
          <w:rFonts w:hint="default"/>
          <w:color w:val="auto"/>
          <w:highlight w:val="none"/>
          <w:lang w:val="en-US" w:eastAsia="zh-CN"/>
        </w:rPr>
      </w:pPr>
    </w:p>
    <w:p>
      <w:pPr>
        <w:spacing w:line="360" w:lineRule="auto"/>
        <w:ind w:firstLine="482" w:firstLineChars="200"/>
        <w:rPr>
          <w:rFonts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3" w:name="OLE_LINK14"/>
      <w:bookmarkStart w:id="514" w:name="OLE_LINK13"/>
      <w:r>
        <w:rPr>
          <w:rFonts w:hint="eastAsia" w:ascii="宋体" w:hAnsi="宋体" w:cs="宋体"/>
          <w:b/>
          <w:color w:val="auto"/>
          <w:spacing w:val="6"/>
          <w:sz w:val="32"/>
          <w:szCs w:val="32"/>
          <w:highlight w:val="none"/>
        </w:rPr>
        <w:t>残疾人福利性单位声明函</w:t>
      </w:r>
    </w:p>
    <w:bookmarkEnd w:id="513"/>
    <w:bookmarkEnd w:id="514"/>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6"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6"/>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7"/>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pStyle w:val="6"/>
        <w:jc w:val="left"/>
        <w:rPr>
          <w:rFonts w:cs="仿宋_GB2312"/>
          <w:color w:val="auto"/>
          <w:sz w:val="24"/>
          <w:highlight w:val="none"/>
        </w:rPr>
      </w:pPr>
      <w:r>
        <w:rPr>
          <w:rFonts w:hint="eastAsia"/>
          <w:color w:val="auto"/>
          <w:highlight w:val="none"/>
        </w:rPr>
        <w:t>附件</w:t>
      </w:r>
      <w:r>
        <w:rPr>
          <w:rFonts w:hint="eastAsia"/>
          <w:color w:val="auto"/>
          <w:highlight w:val="none"/>
          <w:lang w:val="en-US" w:eastAsia="zh-CN"/>
        </w:rPr>
        <w:t>8</w:t>
      </w:r>
      <w:r>
        <w:rPr>
          <w:rFonts w:hint="eastAsia"/>
          <w:color w:val="auto"/>
          <w:highlight w:val="none"/>
        </w:rPr>
        <w:t>样品（演示）授权委托书</w:t>
      </w:r>
    </w:p>
    <w:p>
      <w:pPr>
        <w:jc w:val="center"/>
        <w:rPr>
          <w:color w:val="auto"/>
          <w:sz w:val="40"/>
          <w:highlight w:val="none"/>
        </w:rPr>
      </w:pPr>
      <w:r>
        <w:rPr>
          <w:rFonts w:hint="eastAsia"/>
          <w:color w:val="auto"/>
          <w:sz w:val="40"/>
          <w:highlight w:val="none"/>
        </w:rPr>
        <w:t>样品（演示）授权委托书</w:t>
      </w:r>
    </w:p>
    <w:p>
      <w:pPr>
        <w:jc w:val="center"/>
        <w:rPr>
          <w:color w:val="auto"/>
          <w:sz w:val="40"/>
          <w:highlight w:val="none"/>
        </w:rPr>
      </w:pPr>
    </w:p>
    <w:p>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pPr>
        <w:snapToGrid w:val="0"/>
        <w:spacing w:line="360" w:lineRule="auto"/>
        <w:rPr>
          <w:rFonts w:cs="仿宋"/>
          <w:color w:val="auto"/>
          <w:highlight w:val="none"/>
          <w:lang w:val="zh-CN"/>
        </w:rPr>
      </w:pPr>
      <w:r>
        <w:rPr>
          <w:rFonts w:hint="eastAsia" w:cs="仿宋"/>
          <w:color w:val="auto"/>
          <w:highlight w:val="none"/>
          <w:lang w:val="zh-CN"/>
        </w:rPr>
        <w:t xml:space="preserve">  </w:t>
      </w:r>
    </w:p>
    <w:p>
      <w:pPr>
        <w:snapToGrid w:val="0"/>
        <w:spacing w:line="360" w:lineRule="auto"/>
        <w:rPr>
          <w:rFonts w:cs="仿宋"/>
          <w:color w:val="auto"/>
          <w:highlight w:val="none"/>
        </w:rPr>
      </w:pPr>
      <w:r>
        <w:rPr>
          <w:rFonts w:hint="eastAsia" w:cs="仿宋"/>
          <w:color w:val="auto"/>
          <w:highlight w:val="none"/>
          <w:lang w:val="zh-CN"/>
        </w:rPr>
        <w:t xml:space="preserve">    特此告知。</w:t>
      </w:r>
    </w:p>
    <w:p>
      <w:pPr>
        <w:snapToGrid w:val="0"/>
        <w:spacing w:line="360" w:lineRule="auto"/>
        <w:rPr>
          <w:rFonts w:cs="仿宋"/>
          <w:color w:val="auto"/>
          <w:highlight w:val="none"/>
        </w:rPr>
      </w:pPr>
      <w:r>
        <w:rPr>
          <w:rFonts w:hint="eastAsia" w:cs="仿宋"/>
          <w:color w:val="auto"/>
          <w:highlight w:val="none"/>
          <w:lang w:val="zh-CN"/>
        </w:rPr>
        <w:t xml:space="preserve">                                                  投标人名称(公章)：</w:t>
      </w:r>
    </w:p>
    <w:p>
      <w:pPr>
        <w:snapToGrid w:val="0"/>
        <w:spacing w:line="360" w:lineRule="auto"/>
        <w:rPr>
          <w:rFonts w:cs="仿宋"/>
          <w:color w:val="auto"/>
          <w:highlight w:val="none"/>
        </w:rPr>
      </w:pPr>
      <w:r>
        <w:rPr>
          <w:rFonts w:hint="eastAsia" w:cs="仿宋"/>
          <w:color w:val="auto"/>
          <w:highlight w:val="none"/>
          <w:lang w:val="zh-CN"/>
        </w:rPr>
        <w:t xml:space="preserve">                                                  </w:t>
      </w:r>
    </w:p>
    <w:p>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pPr>
        <w:snapToGrid w:val="0"/>
        <w:spacing w:line="360" w:lineRule="auto"/>
        <w:ind w:right="240"/>
        <w:jc w:val="right"/>
        <w:rPr>
          <w:rFonts w:cs="仿宋"/>
          <w:color w:val="auto"/>
          <w:highlight w:val="none"/>
          <w:lang w:val="zh-CN"/>
        </w:rPr>
      </w:pPr>
    </w:p>
    <w:p>
      <w:pPr>
        <w:snapToGrid w:val="0"/>
        <w:spacing w:line="360" w:lineRule="auto"/>
        <w:ind w:right="1920"/>
        <w:rPr>
          <w:rFonts w:cs="仿宋"/>
          <w:color w:val="auto"/>
          <w:highlight w:val="none"/>
          <w:lang w:val="zh-CN"/>
        </w:rPr>
      </w:pPr>
    </w:p>
    <w:p>
      <w:pPr>
        <w:snapToGrid w:val="0"/>
        <w:spacing w:line="360" w:lineRule="auto"/>
        <w:ind w:right="240"/>
        <w:jc w:val="right"/>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pPr>
        <w:snapToGrid w:val="0"/>
        <w:spacing w:line="360" w:lineRule="auto"/>
        <w:ind w:right="240"/>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pPr>
        <w:spacing w:line="360" w:lineRule="auto"/>
        <w:rPr>
          <w:rFonts w:cs="仿宋_GB2312"/>
          <w:b/>
          <w:color w:val="auto"/>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p>
      <w:pPr>
        <w:pStyle w:val="6"/>
        <w:rPr>
          <w:color w:val="auto"/>
          <w:highlight w:val="none"/>
        </w:rPr>
      </w:pPr>
    </w:p>
    <w:p>
      <w:pPr>
        <w:spacing w:line="360" w:lineRule="auto"/>
        <w:jc w:val="center"/>
        <w:rPr>
          <w:rFonts w:ascii="宋体" w:hAnsi="宋体" w:cs="宋体"/>
          <w:b/>
          <w:color w:val="auto"/>
          <w:sz w:val="32"/>
          <w:szCs w:val="32"/>
          <w:highlight w:val="none"/>
        </w:rPr>
      </w:pPr>
    </w:p>
    <w:p>
      <w:pPr>
        <w:pStyle w:val="6"/>
        <w:rPr>
          <w:color w:val="auto"/>
          <w:highlight w:val="none"/>
        </w:rPr>
      </w:pPr>
    </w:p>
    <w:p>
      <w:pPr>
        <w:pStyle w:val="6"/>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9" w:usb3="00000000" w:csb0="400001FF" w:csb1="FFFF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91899912"/>
    <w:bookmarkStart w:id="519" w:name="_Toc164085800"/>
    <w:bookmarkStart w:id="520" w:name="_Toc36110187"/>
    <w:bookmarkStart w:id="521" w:name="_Toc131845147"/>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68A45"/>
    <w:multiLevelType w:val="singleLevel"/>
    <w:tmpl w:val="C8868A45"/>
    <w:lvl w:ilvl="0" w:tentative="0">
      <w:start w:val="1"/>
      <w:numFmt w:val="chineseCounting"/>
      <w:suff w:val="nothing"/>
      <w:lvlText w:val="%1、"/>
      <w:lvlJc w:val="left"/>
      <w:rPr>
        <w:rFonts w:hint="eastAsia"/>
      </w:rPr>
    </w:lvl>
  </w:abstractNum>
  <w:abstractNum w:abstractNumId="1">
    <w:nsid w:val="EC4A9861"/>
    <w:multiLevelType w:val="singleLevel"/>
    <w:tmpl w:val="EC4A9861"/>
    <w:lvl w:ilvl="0" w:tentative="0">
      <w:start w:val="1"/>
      <w:numFmt w:val="decimal"/>
      <w:suff w:val="nothing"/>
      <w:lvlText w:val="（%1）"/>
      <w:lvlJc w:val="left"/>
    </w:lvl>
  </w:abstractNum>
  <w:abstractNum w:abstractNumId="2">
    <w:nsid w:val="F9606B17"/>
    <w:multiLevelType w:val="singleLevel"/>
    <w:tmpl w:val="F9606B17"/>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MjZmM2IwZjEzZWVmYWYyNjEyMjBkNmUyZjgzNWIifQ=="/>
    <w:docVar w:name="KSO_WPS_MARK_KEY" w:val="5109b736-e7c4-488c-91e0-2dacd4509b5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E6F06"/>
    <w:rsid w:val="025F0711"/>
    <w:rsid w:val="026B2E25"/>
    <w:rsid w:val="02824D4D"/>
    <w:rsid w:val="02DC4B10"/>
    <w:rsid w:val="02DD76CE"/>
    <w:rsid w:val="02F36323"/>
    <w:rsid w:val="02F5619C"/>
    <w:rsid w:val="030463CA"/>
    <w:rsid w:val="031511C4"/>
    <w:rsid w:val="0326446A"/>
    <w:rsid w:val="032D5555"/>
    <w:rsid w:val="03343D40"/>
    <w:rsid w:val="033F5400"/>
    <w:rsid w:val="036634D2"/>
    <w:rsid w:val="03DD35E4"/>
    <w:rsid w:val="04076900"/>
    <w:rsid w:val="041A5A3B"/>
    <w:rsid w:val="042311BA"/>
    <w:rsid w:val="042A28FC"/>
    <w:rsid w:val="042B157A"/>
    <w:rsid w:val="048F763B"/>
    <w:rsid w:val="049F330E"/>
    <w:rsid w:val="04AA775C"/>
    <w:rsid w:val="04AF1889"/>
    <w:rsid w:val="04C11A7C"/>
    <w:rsid w:val="04D542E2"/>
    <w:rsid w:val="04F66F48"/>
    <w:rsid w:val="05043453"/>
    <w:rsid w:val="05251E14"/>
    <w:rsid w:val="05A16594"/>
    <w:rsid w:val="05A7762D"/>
    <w:rsid w:val="05D252BA"/>
    <w:rsid w:val="05E92E9A"/>
    <w:rsid w:val="060E5941"/>
    <w:rsid w:val="06110FAF"/>
    <w:rsid w:val="06493CA7"/>
    <w:rsid w:val="065A6178"/>
    <w:rsid w:val="066F1CF3"/>
    <w:rsid w:val="06930BB8"/>
    <w:rsid w:val="07245D42"/>
    <w:rsid w:val="07264C62"/>
    <w:rsid w:val="0764344E"/>
    <w:rsid w:val="0779354C"/>
    <w:rsid w:val="08061376"/>
    <w:rsid w:val="081B74D9"/>
    <w:rsid w:val="08452D77"/>
    <w:rsid w:val="086401F8"/>
    <w:rsid w:val="08751CAA"/>
    <w:rsid w:val="087E4C40"/>
    <w:rsid w:val="08915791"/>
    <w:rsid w:val="08A871D0"/>
    <w:rsid w:val="08D66AD6"/>
    <w:rsid w:val="08DA33A3"/>
    <w:rsid w:val="08E80F13"/>
    <w:rsid w:val="09335624"/>
    <w:rsid w:val="0944690F"/>
    <w:rsid w:val="09535675"/>
    <w:rsid w:val="09575788"/>
    <w:rsid w:val="095F057D"/>
    <w:rsid w:val="09642282"/>
    <w:rsid w:val="09733572"/>
    <w:rsid w:val="09772C16"/>
    <w:rsid w:val="098353B5"/>
    <w:rsid w:val="09A92330"/>
    <w:rsid w:val="09B06B87"/>
    <w:rsid w:val="09C13146"/>
    <w:rsid w:val="09E04166"/>
    <w:rsid w:val="09EC6DB4"/>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3094A"/>
    <w:rsid w:val="0CC007F7"/>
    <w:rsid w:val="0CC617AC"/>
    <w:rsid w:val="0CE618DF"/>
    <w:rsid w:val="0CFE707A"/>
    <w:rsid w:val="0D063BDA"/>
    <w:rsid w:val="0D08375F"/>
    <w:rsid w:val="0D16364C"/>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378DE"/>
    <w:rsid w:val="0EF94D4B"/>
    <w:rsid w:val="0F207E9C"/>
    <w:rsid w:val="0F4958DC"/>
    <w:rsid w:val="0F515DF7"/>
    <w:rsid w:val="0F596BA8"/>
    <w:rsid w:val="0F6248D2"/>
    <w:rsid w:val="0F693536"/>
    <w:rsid w:val="0F7B0511"/>
    <w:rsid w:val="0F7B76D9"/>
    <w:rsid w:val="0F816ACD"/>
    <w:rsid w:val="0F9832DB"/>
    <w:rsid w:val="0FBF3FD2"/>
    <w:rsid w:val="0FBF7FF3"/>
    <w:rsid w:val="100C552D"/>
    <w:rsid w:val="10646583"/>
    <w:rsid w:val="107D4B15"/>
    <w:rsid w:val="108A3C80"/>
    <w:rsid w:val="109127D2"/>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6443CC"/>
    <w:rsid w:val="16A8729C"/>
    <w:rsid w:val="16B33777"/>
    <w:rsid w:val="16BC70A7"/>
    <w:rsid w:val="16C6339E"/>
    <w:rsid w:val="172F2D79"/>
    <w:rsid w:val="17557BEF"/>
    <w:rsid w:val="17C028C2"/>
    <w:rsid w:val="17D349C1"/>
    <w:rsid w:val="17DC510A"/>
    <w:rsid w:val="1830729E"/>
    <w:rsid w:val="1870062C"/>
    <w:rsid w:val="18817102"/>
    <w:rsid w:val="18830A15"/>
    <w:rsid w:val="18852B28"/>
    <w:rsid w:val="188B5321"/>
    <w:rsid w:val="189E35C3"/>
    <w:rsid w:val="19932372"/>
    <w:rsid w:val="19A20DD5"/>
    <w:rsid w:val="19AE03F1"/>
    <w:rsid w:val="1A071A03"/>
    <w:rsid w:val="1A1F16AE"/>
    <w:rsid w:val="1A3B5C77"/>
    <w:rsid w:val="1A984BAD"/>
    <w:rsid w:val="1AAB44C6"/>
    <w:rsid w:val="1AB8220E"/>
    <w:rsid w:val="1AE4166C"/>
    <w:rsid w:val="1AF06CFB"/>
    <w:rsid w:val="1AF11B8D"/>
    <w:rsid w:val="1B11359C"/>
    <w:rsid w:val="1B2A271F"/>
    <w:rsid w:val="1B530544"/>
    <w:rsid w:val="1B6D7998"/>
    <w:rsid w:val="1B713184"/>
    <w:rsid w:val="1BA209CF"/>
    <w:rsid w:val="1BB4777D"/>
    <w:rsid w:val="1BD02060"/>
    <w:rsid w:val="1BD069FF"/>
    <w:rsid w:val="1BD75AB8"/>
    <w:rsid w:val="1C0459C2"/>
    <w:rsid w:val="1C1B3B4A"/>
    <w:rsid w:val="1C5B6D0F"/>
    <w:rsid w:val="1C88086E"/>
    <w:rsid w:val="1CB24189"/>
    <w:rsid w:val="1D266CE1"/>
    <w:rsid w:val="1D3963AF"/>
    <w:rsid w:val="1D6A673C"/>
    <w:rsid w:val="1D7E2045"/>
    <w:rsid w:val="1D9247AE"/>
    <w:rsid w:val="1DB567EC"/>
    <w:rsid w:val="1DEE45E2"/>
    <w:rsid w:val="1DF51A98"/>
    <w:rsid w:val="1DFF3EF7"/>
    <w:rsid w:val="1E3D060F"/>
    <w:rsid w:val="1E3F7D2E"/>
    <w:rsid w:val="1E4134E4"/>
    <w:rsid w:val="1E5062B3"/>
    <w:rsid w:val="1E523514"/>
    <w:rsid w:val="1E714A66"/>
    <w:rsid w:val="1E802593"/>
    <w:rsid w:val="1E8B1FEC"/>
    <w:rsid w:val="1E8B6156"/>
    <w:rsid w:val="1EA703CC"/>
    <w:rsid w:val="1EB7330C"/>
    <w:rsid w:val="1F0A0FF3"/>
    <w:rsid w:val="1F5771FF"/>
    <w:rsid w:val="1FD52DD5"/>
    <w:rsid w:val="1FE868A9"/>
    <w:rsid w:val="20034907"/>
    <w:rsid w:val="201363E8"/>
    <w:rsid w:val="20173E4B"/>
    <w:rsid w:val="204E48BC"/>
    <w:rsid w:val="208921B3"/>
    <w:rsid w:val="20973DEB"/>
    <w:rsid w:val="209D2ACD"/>
    <w:rsid w:val="20B26522"/>
    <w:rsid w:val="20B44310"/>
    <w:rsid w:val="211116EB"/>
    <w:rsid w:val="216133FC"/>
    <w:rsid w:val="2185666F"/>
    <w:rsid w:val="21B65624"/>
    <w:rsid w:val="21D56769"/>
    <w:rsid w:val="21E52EF3"/>
    <w:rsid w:val="21FB5D7B"/>
    <w:rsid w:val="22015E94"/>
    <w:rsid w:val="220B1C3D"/>
    <w:rsid w:val="220D42F1"/>
    <w:rsid w:val="221C0826"/>
    <w:rsid w:val="221D1D20"/>
    <w:rsid w:val="22334A87"/>
    <w:rsid w:val="227D579B"/>
    <w:rsid w:val="22BE6801"/>
    <w:rsid w:val="233500BF"/>
    <w:rsid w:val="23377FF7"/>
    <w:rsid w:val="236B425F"/>
    <w:rsid w:val="23836192"/>
    <w:rsid w:val="23901F29"/>
    <w:rsid w:val="239C0061"/>
    <w:rsid w:val="23B908A4"/>
    <w:rsid w:val="23E95BEF"/>
    <w:rsid w:val="23FD0064"/>
    <w:rsid w:val="242F0705"/>
    <w:rsid w:val="24465B9C"/>
    <w:rsid w:val="245375B0"/>
    <w:rsid w:val="24642C0A"/>
    <w:rsid w:val="24B22173"/>
    <w:rsid w:val="24B37C49"/>
    <w:rsid w:val="24B95AD9"/>
    <w:rsid w:val="24BE24DA"/>
    <w:rsid w:val="24CF5825"/>
    <w:rsid w:val="24D663E6"/>
    <w:rsid w:val="24D77F2B"/>
    <w:rsid w:val="256B7E8B"/>
    <w:rsid w:val="258B00E2"/>
    <w:rsid w:val="25A917A6"/>
    <w:rsid w:val="25BE27CC"/>
    <w:rsid w:val="25DF76E4"/>
    <w:rsid w:val="25F74A5C"/>
    <w:rsid w:val="260D2485"/>
    <w:rsid w:val="2628662C"/>
    <w:rsid w:val="262D45DE"/>
    <w:rsid w:val="26871DC8"/>
    <w:rsid w:val="26A0342B"/>
    <w:rsid w:val="26A53EF9"/>
    <w:rsid w:val="26A94201"/>
    <w:rsid w:val="26AC274F"/>
    <w:rsid w:val="27044A29"/>
    <w:rsid w:val="271D34C8"/>
    <w:rsid w:val="276142BF"/>
    <w:rsid w:val="27783712"/>
    <w:rsid w:val="27907362"/>
    <w:rsid w:val="28333E1D"/>
    <w:rsid w:val="28454BD6"/>
    <w:rsid w:val="28455253"/>
    <w:rsid w:val="284657F9"/>
    <w:rsid w:val="28551971"/>
    <w:rsid w:val="285B1C53"/>
    <w:rsid w:val="289F7086"/>
    <w:rsid w:val="28C32028"/>
    <w:rsid w:val="28CA01D8"/>
    <w:rsid w:val="28CC490F"/>
    <w:rsid w:val="28DE40AA"/>
    <w:rsid w:val="29345E77"/>
    <w:rsid w:val="29427770"/>
    <w:rsid w:val="294C65AD"/>
    <w:rsid w:val="29806583"/>
    <w:rsid w:val="298B3C4C"/>
    <w:rsid w:val="29A9603F"/>
    <w:rsid w:val="29F250AD"/>
    <w:rsid w:val="29F26D24"/>
    <w:rsid w:val="2A15033F"/>
    <w:rsid w:val="2A1662C1"/>
    <w:rsid w:val="2A1C7367"/>
    <w:rsid w:val="2A2815FA"/>
    <w:rsid w:val="2A6D6092"/>
    <w:rsid w:val="2A7D76B4"/>
    <w:rsid w:val="2AD0106D"/>
    <w:rsid w:val="2B437463"/>
    <w:rsid w:val="2B5D2C79"/>
    <w:rsid w:val="2B7807EE"/>
    <w:rsid w:val="2BA50BF7"/>
    <w:rsid w:val="2BBF00EC"/>
    <w:rsid w:val="2BC37CFD"/>
    <w:rsid w:val="2BC416AA"/>
    <w:rsid w:val="2BD5237F"/>
    <w:rsid w:val="2BD72447"/>
    <w:rsid w:val="2BE536CE"/>
    <w:rsid w:val="2BE758D9"/>
    <w:rsid w:val="2C09049E"/>
    <w:rsid w:val="2C0A653C"/>
    <w:rsid w:val="2C191F85"/>
    <w:rsid w:val="2CE82D6F"/>
    <w:rsid w:val="2CE92030"/>
    <w:rsid w:val="2D343236"/>
    <w:rsid w:val="2D6B301C"/>
    <w:rsid w:val="2DD15014"/>
    <w:rsid w:val="2DE27D71"/>
    <w:rsid w:val="2DF72DE4"/>
    <w:rsid w:val="2E0220AF"/>
    <w:rsid w:val="2E4B082A"/>
    <w:rsid w:val="2E5D4E86"/>
    <w:rsid w:val="2E5D790B"/>
    <w:rsid w:val="2E9A3C18"/>
    <w:rsid w:val="2EBB0FEE"/>
    <w:rsid w:val="2EC63002"/>
    <w:rsid w:val="2F01622A"/>
    <w:rsid w:val="2F0A6B38"/>
    <w:rsid w:val="2F946CCB"/>
    <w:rsid w:val="2FD25781"/>
    <w:rsid w:val="2FDC745C"/>
    <w:rsid w:val="2FFD7934"/>
    <w:rsid w:val="30733ACD"/>
    <w:rsid w:val="308C3862"/>
    <w:rsid w:val="309379D8"/>
    <w:rsid w:val="30A270F7"/>
    <w:rsid w:val="30DF1478"/>
    <w:rsid w:val="30EC586F"/>
    <w:rsid w:val="314550B7"/>
    <w:rsid w:val="319C6071"/>
    <w:rsid w:val="31A57A34"/>
    <w:rsid w:val="31AC537E"/>
    <w:rsid w:val="31E3679B"/>
    <w:rsid w:val="31E732FD"/>
    <w:rsid w:val="32517576"/>
    <w:rsid w:val="3283589F"/>
    <w:rsid w:val="32BE5C2C"/>
    <w:rsid w:val="32FB6478"/>
    <w:rsid w:val="33263B3F"/>
    <w:rsid w:val="336963EB"/>
    <w:rsid w:val="33816EEB"/>
    <w:rsid w:val="33841B6F"/>
    <w:rsid w:val="33933A63"/>
    <w:rsid w:val="33EB55CD"/>
    <w:rsid w:val="33EC4C02"/>
    <w:rsid w:val="340D2360"/>
    <w:rsid w:val="3410665D"/>
    <w:rsid w:val="34211214"/>
    <w:rsid w:val="342E63AB"/>
    <w:rsid w:val="34950E68"/>
    <w:rsid w:val="34986E94"/>
    <w:rsid w:val="34AF62C9"/>
    <w:rsid w:val="34CB4388"/>
    <w:rsid w:val="34FA6E12"/>
    <w:rsid w:val="35311149"/>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3733B0"/>
    <w:rsid w:val="38586797"/>
    <w:rsid w:val="38BC0149"/>
    <w:rsid w:val="38D87D1C"/>
    <w:rsid w:val="392963F5"/>
    <w:rsid w:val="39416E46"/>
    <w:rsid w:val="39636459"/>
    <w:rsid w:val="396B7F6C"/>
    <w:rsid w:val="399649C1"/>
    <w:rsid w:val="39A959E1"/>
    <w:rsid w:val="39B417A9"/>
    <w:rsid w:val="39BD1693"/>
    <w:rsid w:val="39FC5695"/>
    <w:rsid w:val="3A006D8E"/>
    <w:rsid w:val="3A0C0EF2"/>
    <w:rsid w:val="3A3651E5"/>
    <w:rsid w:val="3A744481"/>
    <w:rsid w:val="3A8C7BEF"/>
    <w:rsid w:val="3A906246"/>
    <w:rsid w:val="3AF7E610"/>
    <w:rsid w:val="3B2349B7"/>
    <w:rsid w:val="3B464036"/>
    <w:rsid w:val="3B616CFF"/>
    <w:rsid w:val="3B6259F6"/>
    <w:rsid w:val="3B976654"/>
    <w:rsid w:val="3BC01EFC"/>
    <w:rsid w:val="3BCA786A"/>
    <w:rsid w:val="3BCD71AE"/>
    <w:rsid w:val="3BD31E2F"/>
    <w:rsid w:val="3BF15831"/>
    <w:rsid w:val="3C105946"/>
    <w:rsid w:val="3C471448"/>
    <w:rsid w:val="3C5C33E5"/>
    <w:rsid w:val="3C5F759A"/>
    <w:rsid w:val="3C6C525A"/>
    <w:rsid w:val="3CCE23CB"/>
    <w:rsid w:val="3CD17D17"/>
    <w:rsid w:val="3D107AC3"/>
    <w:rsid w:val="3D3C7F39"/>
    <w:rsid w:val="3D440F09"/>
    <w:rsid w:val="3D4504A0"/>
    <w:rsid w:val="3D8734BB"/>
    <w:rsid w:val="3D9A11D4"/>
    <w:rsid w:val="3DA16D89"/>
    <w:rsid w:val="3DA364BE"/>
    <w:rsid w:val="3DE041CB"/>
    <w:rsid w:val="3E0D48F6"/>
    <w:rsid w:val="3E0D7281"/>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827B63"/>
    <w:rsid w:val="3F95482B"/>
    <w:rsid w:val="4019356B"/>
    <w:rsid w:val="40592157"/>
    <w:rsid w:val="406E1CAE"/>
    <w:rsid w:val="40A0133A"/>
    <w:rsid w:val="40C31A53"/>
    <w:rsid w:val="40FF545D"/>
    <w:rsid w:val="410067C8"/>
    <w:rsid w:val="418F0D2A"/>
    <w:rsid w:val="41D01505"/>
    <w:rsid w:val="41D85D89"/>
    <w:rsid w:val="42474939"/>
    <w:rsid w:val="424C3C57"/>
    <w:rsid w:val="42613FF3"/>
    <w:rsid w:val="42660D96"/>
    <w:rsid w:val="428667D2"/>
    <w:rsid w:val="42A36627"/>
    <w:rsid w:val="42CD1CE0"/>
    <w:rsid w:val="42E1381E"/>
    <w:rsid w:val="42ED6459"/>
    <w:rsid w:val="42FE58DD"/>
    <w:rsid w:val="43174B3D"/>
    <w:rsid w:val="434B790E"/>
    <w:rsid w:val="43560B8E"/>
    <w:rsid w:val="4360274F"/>
    <w:rsid w:val="43977AB6"/>
    <w:rsid w:val="43A3342B"/>
    <w:rsid w:val="43C77C27"/>
    <w:rsid w:val="43DE09EE"/>
    <w:rsid w:val="44002FAD"/>
    <w:rsid w:val="448170BD"/>
    <w:rsid w:val="449101DD"/>
    <w:rsid w:val="44DE1391"/>
    <w:rsid w:val="451B225C"/>
    <w:rsid w:val="452410C9"/>
    <w:rsid w:val="45317DFB"/>
    <w:rsid w:val="456D3CE4"/>
    <w:rsid w:val="4579042C"/>
    <w:rsid w:val="457F0571"/>
    <w:rsid w:val="45851176"/>
    <w:rsid w:val="458D35C1"/>
    <w:rsid w:val="45C63B94"/>
    <w:rsid w:val="45CC15DB"/>
    <w:rsid w:val="45D37DAE"/>
    <w:rsid w:val="45E0080D"/>
    <w:rsid w:val="460E7DA5"/>
    <w:rsid w:val="46422483"/>
    <w:rsid w:val="464F3A18"/>
    <w:rsid w:val="4659254A"/>
    <w:rsid w:val="465B0637"/>
    <w:rsid w:val="465E3F0D"/>
    <w:rsid w:val="466A16E6"/>
    <w:rsid w:val="46893F2B"/>
    <w:rsid w:val="46C4686E"/>
    <w:rsid w:val="471C20EE"/>
    <w:rsid w:val="477B778F"/>
    <w:rsid w:val="478203EC"/>
    <w:rsid w:val="47B01BCD"/>
    <w:rsid w:val="47B025FA"/>
    <w:rsid w:val="47B80E5A"/>
    <w:rsid w:val="47CB141F"/>
    <w:rsid w:val="47D44777"/>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7A30FC"/>
    <w:rsid w:val="49B64211"/>
    <w:rsid w:val="49E56AF9"/>
    <w:rsid w:val="49F6167F"/>
    <w:rsid w:val="4A064FA0"/>
    <w:rsid w:val="4A16615C"/>
    <w:rsid w:val="4A3407F9"/>
    <w:rsid w:val="4A4424D7"/>
    <w:rsid w:val="4AB82D0F"/>
    <w:rsid w:val="4AEB7664"/>
    <w:rsid w:val="4AFD7C19"/>
    <w:rsid w:val="4B0567D1"/>
    <w:rsid w:val="4B2047A0"/>
    <w:rsid w:val="4B236AAE"/>
    <w:rsid w:val="4B363761"/>
    <w:rsid w:val="4B707271"/>
    <w:rsid w:val="4B9739F7"/>
    <w:rsid w:val="4BEE2503"/>
    <w:rsid w:val="4C245A30"/>
    <w:rsid w:val="4CB6685F"/>
    <w:rsid w:val="4CC367FE"/>
    <w:rsid w:val="4CCB05AC"/>
    <w:rsid w:val="4D077F3C"/>
    <w:rsid w:val="4D123355"/>
    <w:rsid w:val="4D224441"/>
    <w:rsid w:val="4D2A3B31"/>
    <w:rsid w:val="4D312C52"/>
    <w:rsid w:val="4D493C6F"/>
    <w:rsid w:val="4D905305"/>
    <w:rsid w:val="4D964A72"/>
    <w:rsid w:val="4D9C1254"/>
    <w:rsid w:val="4E0E523B"/>
    <w:rsid w:val="4E793892"/>
    <w:rsid w:val="4E800872"/>
    <w:rsid w:val="4EC372F3"/>
    <w:rsid w:val="4EC569ED"/>
    <w:rsid w:val="4ED50EA1"/>
    <w:rsid w:val="4EEC050C"/>
    <w:rsid w:val="4F104EC3"/>
    <w:rsid w:val="4F47354A"/>
    <w:rsid w:val="4F911C54"/>
    <w:rsid w:val="4FE625E0"/>
    <w:rsid w:val="5021480F"/>
    <w:rsid w:val="508879E5"/>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54D64"/>
    <w:rsid w:val="522E4CC3"/>
    <w:rsid w:val="5244713B"/>
    <w:rsid w:val="52615633"/>
    <w:rsid w:val="526F4DE4"/>
    <w:rsid w:val="52977FD4"/>
    <w:rsid w:val="52A25790"/>
    <w:rsid w:val="52A96B6F"/>
    <w:rsid w:val="52B45975"/>
    <w:rsid w:val="52BF7DD2"/>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E37E8"/>
    <w:rsid w:val="566B6D1E"/>
    <w:rsid w:val="57032A2C"/>
    <w:rsid w:val="570F5219"/>
    <w:rsid w:val="575D12B5"/>
    <w:rsid w:val="57610A87"/>
    <w:rsid w:val="577B1140"/>
    <w:rsid w:val="577B7F21"/>
    <w:rsid w:val="577F181B"/>
    <w:rsid w:val="578E4942"/>
    <w:rsid w:val="57921984"/>
    <w:rsid w:val="579737F0"/>
    <w:rsid w:val="57AB7B30"/>
    <w:rsid w:val="57AF5251"/>
    <w:rsid w:val="57B2381E"/>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AE13F5E"/>
    <w:rsid w:val="5B2E1A1D"/>
    <w:rsid w:val="5B843A1C"/>
    <w:rsid w:val="5B873E3F"/>
    <w:rsid w:val="5C02690E"/>
    <w:rsid w:val="5C196DA7"/>
    <w:rsid w:val="5C2A048C"/>
    <w:rsid w:val="5C80234E"/>
    <w:rsid w:val="5C8A680C"/>
    <w:rsid w:val="5D0C4701"/>
    <w:rsid w:val="5D0C50F9"/>
    <w:rsid w:val="5D0F0395"/>
    <w:rsid w:val="5D221076"/>
    <w:rsid w:val="5D397964"/>
    <w:rsid w:val="5D5A391C"/>
    <w:rsid w:val="5D5F10C0"/>
    <w:rsid w:val="5D891B7B"/>
    <w:rsid w:val="5DAD38EE"/>
    <w:rsid w:val="5E006862"/>
    <w:rsid w:val="5E0207B9"/>
    <w:rsid w:val="5E1834A1"/>
    <w:rsid w:val="5E261785"/>
    <w:rsid w:val="5E4A7017"/>
    <w:rsid w:val="5E552BBA"/>
    <w:rsid w:val="5E5F664B"/>
    <w:rsid w:val="5E611C10"/>
    <w:rsid w:val="5E7A0F3F"/>
    <w:rsid w:val="5EFC7377"/>
    <w:rsid w:val="5F06174D"/>
    <w:rsid w:val="5F3A3602"/>
    <w:rsid w:val="5F45733B"/>
    <w:rsid w:val="5F6277C6"/>
    <w:rsid w:val="5F6D0B1D"/>
    <w:rsid w:val="5F8D0B82"/>
    <w:rsid w:val="5FC72A15"/>
    <w:rsid w:val="5FCC5339"/>
    <w:rsid w:val="5FE34A5B"/>
    <w:rsid w:val="5FFE1E36"/>
    <w:rsid w:val="60232584"/>
    <w:rsid w:val="607330CE"/>
    <w:rsid w:val="60825176"/>
    <w:rsid w:val="609F2AC4"/>
    <w:rsid w:val="60A66CA3"/>
    <w:rsid w:val="60FA2EE8"/>
    <w:rsid w:val="61054A27"/>
    <w:rsid w:val="610A52BC"/>
    <w:rsid w:val="611D2366"/>
    <w:rsid w:val="61421856"/>
    <w:rsid w:val="615227C4"/>
    <w:rsid w:val="61654E3F"/>
    <w:rsid w:val="6182292A"/>
    <w:rsid w:val="619F7F92"/>
    <w:rsid w:val="61A63211"/>
    <w:rsid w:val="61F21F72"/>
    <w:rsid w:val="61F94C26"/>
    <w:rsid w:val="62000E56"/>
    <w:rsid w:val="624F3E49"/>
    <w:rsid w:val="62632286"/>
    <w:rsid w:val="62885958"/>
    <w:rsid w:val="62CD5CC5"/>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1C78C8"/>
    <w:rsid w:val="662E75B1"/>
    <w:rsid w:val="66342C2E"/>
    <w:rsid w:val="663E784C"/>
    <w:rsid w:val="668B6A45"/>
    <w:rsid w:val="67011F07"/>
    <w:rsid w:val="672F3F24"/>
    <w:rsid w:val="673E055F"/>
    <w:rsid w:val="67551CE3"/>
    <w:rsid w:val="676C1E7F"/>
    <w:rsid w:val="67801E1B"/>
    <w:rsid w:val="67A22552"/>
    <w:rsid w:val="67B22DCC"/>
    <w:rsid w:val="67BE71AA"/>
    <w:rsid w:val="67D90273"/>
    <w:rsid w:val="67DE5875"/>
    <w:rsid w:val="67E55852"/>
    <w:rsid w:val="67EB1AB4"/>
    <w:rsid w:val="67FA1285"/>
    <w:rsid w:val="68551F4F"/>
    <w:rsid w:val="687C10C9"/>
    <w:rsid w:val="68840C16"/>
    <w:rsid w:val="68872541"/>
    <w:rsid w:val="68876EFB"/>
    <w:rsid w:val="68884654"/>
    <w:rsid w:val="688C45B2"/>
    <w:rsid w:val="689F444F"/>
    <w:rsid w:val="68B96DBB"/>
    <w:rsid w:val="68CA2805"/>
    <w:rsid w:val="68E937A3"/>
    <w:rsid w:val="68F81038"/>
    <w:rsid w:val="691664E5"/>
    <w:rsid w:val="693E15D3"/>
    <w:rsid w:val="69627681"/>
    <w:rsid w:val="69640F20"/>
    <w:rsid w:val="6977531D"/>
    <w:rsid w:val="69CC2BFF"/>
    <w:rsid w:val="69FD55B8"/>
    <w:rsid w:val="6A0B1C62"/>
    <w:rsid w:val="6A0C23D8"/>
    <w:rsid w:val="6A2406C8"/>
    <w:rsid w:val="6A2955A8"/>
    <w:rsid w:val="6AA36F30"/>
    <w:rsid w:val="6ADE0BD1"/>
    <w:rsid w:val="6AE96859"/>
    <w:rsid w:val="6B147746"/>
    <w:rsid w:val="6B24787C"/>
    <w:rsid w:val="6B573233"/>
    <w:rsid w:val="6B5B6274"/>
    <w:rsid w:val="6B935D53"/>
    <w:rsid w:val="6BFB7BD7"/>
    <w:rsid w:val="6C196F71"/>
    <w:rsid w:val="6C1B20C5"/>
    <w:rsid w:val="6C226FCB"/>
    <w:rsid w:val="6C31226F"/>
    <w:rsid w:val="6C552F0B"/>
    <w:rsid w:val="6C8C67B7"/>
    <w:rsid w:val="6C9D744C"/>
    <w:rsid w:val="6D167928"/>
    <w:rsid w:val="6D26299B"/>
    <w:rsid w:val="6D4772EC"/>
    <w:rsid w:val="6D9078AF"/>
    <w:rsid w:val="6DAA3FEF"/>
    <w:rsid w:val="6DAC56CB"/>
    <w:rsid w:val="6DC0172B"/>
    <w:rsid w:val="6DCB690C"/>
    <w:rsid w:val="6DD41A5B"/>
    <w:rsid w:val="6DF43C2E"/>
    <w:rsid w:val="6DF51CA3"/>
    <w:rsid w:val="6E0252EB"/>
    <w:rsid w:val="6E8335BD"/>
    <w:rsid w:val="6E8E12EF"/>
    <w:rsid w:val="6E972936"/>
    <w:rsid w:val="6ED446C5"/>
    <w:rsid w:val="6EDA4416"/>
    <w:rsid w:val="6F2A7D94"/>
    <w:rsid w:val="6F8331F1"/>
    <w:rsid w:val="6FAE1A09"/>
    <w:rsid w:val="6FD75BF8"/>
    <w:rsid w:val="707723D0"/>
    <w:rsid w:val="70F52246"/>
    <w:rsid w:val="70F5661B"/>
    <w:rsid w:val="71360107"/>
    <w:rsid w:val="713B688E"/>
    <w:rsid w:val="71A71BCE"/>
    <w:rsid w:val="71D43752"/>
    <w:rsid w:val="71F1796A"/>
    <w:rsid w:val="72154626"/>
    <w:rsid w:val="72262B5D"/>
    <w:rsid w:val="72283FF7"/>
    <w:rsid w:val="722E7212"/>
    <w:rsid w:val="723A0474"/>
    <w:rsid w:val="72485A07"/>
    <w:rsid w:val="725923E4"/>
    <w:rsid w:val="72864BF7"/>
    <w:rsid w:val="729023FC"/>
    <w:rsid w:val="73643540"/>
    <w:rsid w:val="73C05499"/>
    <w:rsid w:val="73C0646E"/>
    <w:rsid w:val="73C35765"/>
    <w:rsid w:val="7416243F"/>
    <w:rsid w:val="742222F5"/>
    <w:rsid w:val="74476126"/>
    <w:rsid w:val="74706664"/>
    <w:rsid w:val="747F3682"/>
    <w:rsid w:val="748A428C"/>
    <w:rsid w:val="749C4185"/>
    <w:rsid w:val="75067759"/>
    <w:rsid w:val="752E6DCD"/>
    <w:rsid w:val="7551380D"/>
    <w:rsid w:val="75565FBE"/>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997202"/>
    <w:rsid w:val="79A97383"/>
    <w:rsid w:val="79B57BE5"/>
    <w:rsid w:val="79E27E8B"/>
    <w:rsid w:val="79F850CE"/>
    <w:rsid w:val="79FD443C"/>
    <w:rsid w:val="7A1D1975"/>
    <w:rsid w:val="7A3E5150"/>
    <w:rsid w:val="7A4670D6"/>
    <w:rsid w:val="7A534B63"/>
    <w:rsid w:val="7A615382"/>
    <w:rsid w:val="7A67303B"/>
    <w:rsid w:val="7AA91F0C"/>
    <w:rsid w:val="7AAB1D04"/>
    <w:rsid w:val="7ABA4368"/>
    <w:rsid w:val="7AD05746"/>
    <w:rsid w:val="7B257FFD"/>
    <w:rsid w:val="7B273D20"/>
    <w:rsid w:val="7B276391"/>
    <w:rsid w:val="7B343476"/>
    <w:rsid w:val="7B5A2978"/>
    <w:rsid w:val="7B5A7E4C"/>
    <w:rsid w:val="7B667AF9"/>
    <w:rsid w:val="7B6770D5"/>
    <w:rsid w:val="7B7468F8"/>
    <w:rsid w:val="7BBE549C"/>
    <w:rsid w:val="7BEE0103"/>
    <w:rsid w:val="7C0A0FE4"/>
    <w:rsid w:val="7C254906"/>
    <w:rsid w:val="7C590818"/>
    <w:rsid w:val="7C7C10F6"/>
    <w:rsid w:val="7C853BEA"/>
    <w:rsid w:val="7C881368"/>
    <w:rsid w:val="7C9BECE0"/>
    <w:rsid w:val="7CD25682"/>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156D37"/>
    <w:rsid w:val="7F715AF2"/>
    <w:rsid w:val="7F886E69"/>
    <w:rsid w:val="7FF621E9"/>
    <w:rsid w:val="B4C6961A"/>
    <w:rsid w:val="BB7FA927"/>
    <w:rsid w:val="C543CA59"/>
    <w:rsid w:val="F1FFBFF6"/>
    <w:rsid w:val="F2FCEA75"/>
    <w:rsid w:val="F5FFD31F"/>
    <w:rsid w:val="FDA76847"/>
    <w:rsid w:val="FE7C51FA"/>
    <w:rsid w:val="FF7E5C00"/>
    <w:rsid w:val="FFA58880"/>
    <w:rsid w:val="FFFE94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8"/>
    <w:qFormat/>
    <w:uiPriority w:val="0"/>
    <w:pPr>
      <w:adjustRightInd/>
      <w:spacing w:after="120" w:line="240" w:lineRule="auto"/>
      <w:ind w:left="420" w:leftChars="200" w:firstLine="210"/>
    </w:pPr>
    <w:rPr>
      <w:sz w:val="21"/>
    </w:rPr>
  </w:style>
  <w:style w:type="paragraph" w:styleId="3">
    <w:name w:val="Body Text Indent"/>
    <w:basedOn w:val="1"/>
    <w:next w:val="4"/>
    <w:link w:val="262"/>
    <w:qFormat/>
    <w:uiPriority w:val="0"/>
    <w:pPr>
      <w:spacing w:line="480" w:lineRule="exact"/>
      <w:ind w:firstLine="480" w:firstLineChars="200"/>
    </w:pPr>
    <w:rPr>
      <w:rFonts w:ascii="宋体" w:hAnsi="宋体"/>
      <w:sz w:val="24"/>
    </w:rPr>
  </w:style>
  <w:style w:type="paragraph" w:styleId="4">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7"/>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18"/>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4"/>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9"/>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6"/>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8"/>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4"/>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3"/>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6"/>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99"/>
    <w:rPr>
      <w:kern w:val="2"/>
      <w:sz w:val="21"/>
      <w:szCs w:val="24"/>
    </w:rPr>
  </w:style>
  <w:style w:type="character" w:customStyle="1" w:styleId="342">
    <w:name w:val="签名 Char"/>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4"/>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d表格内容"/>
    <w:basedOn w:val="1"/>
    <w:qFormat/>
    <w:uiPriority w:val="0"/>
    <w:pPr>
      <w:spacing w:line="360" w:lineRule="exact"/>
    </w:pPr>
    <w:rPr>
      <w:rFonts w:ascii="仿宋" w:hAnsi="仿宋" w:eastAsia="仿宋" w:cs="仿宋"/>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81</Pages>
  <Words>41294</Words>
  <Characters>43624</Characters>
  <Lines>281</Lines>
  <Paragraphs>79</Paragraphs>
  <TotalTime>9</TotalTime>
  <ScaleCrop>false</ScaleCrop>
  <LinksUpToDate>false</LinksUpToDate>
  <CharactersWithSpaces>48799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2021-08-02T16:22:00Z</dcterms:created>
  <dc:creator>玥</dc:creator>
  <cp:lastModifiedBy>游客</cp:lastModifiedBy>
  <cp:lastPrinted>2021-12-30T19:06:00Z</cp:lastPrinted>
  <dcterms:modified xsi:type="dcterms:W3CDTF">2024-05-22T03:50:54Z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311BF4E43F24486FB35B503139C4B9D9_13</vt:lpwstr>
  </property>
</Properties>
</file>