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adjustRightInd/>
        <w:spacing w:line="360" w:lineRule="auto"/>
        <w:jc w:val="both"/>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2023年度灵隐管理处季节性园林服务项目</w:t>
      </w:r>
    </w:p>
    <w:p>
      <w:pPr>
        <w:pStyle w:val="4"/>
        <w:rPr>
          <w:rFonts w:hint="eastAsia"/>
          <w:color w:val="auto"/>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编号:FYC012305-66</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杭州西湖风景名胜区灵隐管理处</w:t>
      </w:r>
    </w:p>
    <w:p>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浙江泛亚工程咨询有限公司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二十</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4"/>
        <w:rPr>
          <w:color w:val="auto"/>
          <w:highlight w:val="none"/>
        </w:rPr>
      </w:pPr>
    </w:p>
    <w:p>
      <w:pPr>
        <w:spacing w:line="360" w:lineRule="auto"/>
        <w:jc w:val="center"/>
        <w:rPr>
          <w:rFonts w:ascii="宋体" w:hAnsi="宋体" w:cs="宋体"/>
          <w:color w:val="auto"/>
          <w:sz w:val="32"/>
          <w:szCs w:val="32"/>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2023年度灵隐管理处季节性园林服务项目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05</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22</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FYC012305-66</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2023年度灵隐管理处季节性园林服务项目</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920000.00</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920000.00</w:t>
      </w:r>
    </w:p>
    <w:p>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2023年度灵隐管理处季节性园林服务项目</w:t>
      </w:r>
      <w:r>
        <w:rPr>
          <w:rFonts w:hint="eastAsia" w:hAnsi="宋体" w:cs="宋体"/>
          <w:bCs/>
          <w:snapToGrid/>
          <w:color w:val="auto"/>
          <w:kern w:val="2"/>
          <w:sz w:val="24"/>
          <w:szCs w:val="24"/>
          <w:highlight w:val="none"/>
        </w:rPr>
        <w:t>主要内容：</w:t>
      </w:r>
      <w:r>
        <w:rPr>
          <w:rFonts w:hint="eastAsia" w:ascii="宋体" w:hAnsi="宋体" w:eastAsia="宋体" w:cs="宋体"/>
          <w:b w:val="0"/>
          <w:bCs w:val="0"/>
          <w:color w:val="auto"/>
          <w:kern w:val="0"/>
          <w:sz w:val="24"/>
          <w:szCs w:val="24"/>
          <w:highlight w:val="none"/>
          <w:lang w:eastAsia="zh-CN"/>
        </w:rPr>
        <w:t>按时</w:t>
      </w:r>
      <w:r>
        <w:rPr>
          <w:rFonts w:hint="eastAsia" w:ascii="宋体" w:hAnsi="宋体" w:cs="宋体"/>
          <w:b w:val="0"/>
          <w:bCs w:val="0"/>
          <w:color w:val="auto"/>
          <w:kern w:val="0"/>
          <w:sz w:val="24"/>
          <w:szCs w:val="24"/>
          <w:highlight w:val="none"/>
          <w:lang w:eastAsia="zh-CN"/>
        </w:rPr>
        <w:t>提供</w:t>
      </w:r>
      <w:r>
        <w:rPr>
          <w:rFonts w:hint="eastAsia" w:ascii="宋体" w:hAnsi="宋体" w:eastAsia="宋体" w:cs="宋体"/>
          <w:b w:val="0"/>
          <w:bCs w:val="0"/>
          <w:color w:val="auto"/>
          <w:kern w:val="0"/>
          <w:sz w:val="24"/>
          <w:szCs w:val="24"/>
          <w:highlight w:val="none"/>
          <w:lang w:eastAsia="zh-CN"/>
        </w:rPr>
        <w:t>满足</w:t>
      </w:r>
      <w:r>
        <w:rPr>
          <w:rFonts w:hint="eastAsia" w:ascii="宋体" w:hAnsi="宋体" w:cs="宋体"/>
          <w:b w:val="0"/>
          <w:bCs w:val="0"/>
          <w:color w:val="auto"/>
          <w:kern w:val="0"/>
          <w:sz w:val="24"/>
          <w:szCs w:val="24"/>
          <w:highlight w:val="none"/>
          <w:lang w:eastAsia="zh-CN"/>
        </w:rPr>
        <w:t>采购人</w:t>
      </w:r>
      <w:r>
        <w:rPr>
          <w:rFonts w:hint="eastAsia" w:ascii="宋体" w:hAnsi="宋体" w:eastAsia="宋体" w:cs="宋体"/>
          <w:b w:val="0"/>
          <w:bCs w:val="0"/>
          <w:color w:val="auto"/>
          <w:kern w:val="0"/>
          <w:sz w:val="24"/>
          <w:szCs w:val="24"/>
          <w:highlight w:val="none"/>
          <w:lang w:eastAsia="zh-CN"/>
        </w:rPr>
        <w:t>要求的</w:t>
      </w:r>
      <w:r>
        <w:rPr>
          <w:rFonts w:hint="eastAsia" w:ascii="宋体" w:hAnsi="宋体" w:eastAsia="宋体" w:cs="宋体"/>
          <w:color w:val="auto"/>
          <w:kern w:val="0"/>
          <w:sz w:val="24"/>
          <w:szCs w:val="24"/>
          <w:highlight w:val="none"/>
          <w:lang w:eastAsia="zh-CN"/>
        </w:rPr>
        <w:t>养护</w:t>
      </w:r>
      <w:r>
        <w:rPr>
          <w:rFonts w:hint="eastAsia" w:ascii="宋体" w:hAnsi="宋体" w:eastAsia="宋体" w:cs="宋体"/>
          <w:b w:val="0"/>
          <w:bCs w:val="0"/>
          <w:color w:val="auto"/>
          <w:kern w:val="0"/>
          <w:sz w:val="24"/>
          <w:szCs w:val="24"/>
          <w:highlight w:val="none"/>
          <w:lang w:eastAsia="zh-CN"/>
        </w:rPr>
        <w:t>人员到达</w:t>
      </w:r>
      <w:r>
        <w:rPr>
          <w:rFonts w:hint="eastAsia" w:ascii="宋体" w:hAnsi="宋体" w:cs="宋体"/>
          <w:b w:val="0"/>
          <w:bCs w:val="0"/>
          <w:color w:val="auto"/>
          <w:kern w:val="0"/>
          <w:sz w:val="24"/>
          <w:szCs w:val="24"/>
          <w:highlight w:val="none"/>
          <w:lang w:eastAsia="zh-CN"/>
        </w:rPr>
        <w:t>采购人</w:t>
      </w:r>
      <w:r>
        <w:rPr>
          <w:rFonts w:hint="eastAsia" w:ascii="宋体" w:hAnsi="宋体" w:eastAsia="宋体" w:cs="宋体"/>
          <w:b w:val="0"/>
          <w:bCs w:val="0"/>
          <w:color w:val="auto"/>
          <w:kern w:val="0"/>
          <w:sz w:val="24"/>
          <w:szCs w:val="24"/>
          <w:highlight w:val="none"/>
          <w:lang w:eastAsia="zh-CN"/>
        </w:rPr>
        <w:t>指定地点，</w:t>
      </w:r>
      <w:r>
        <w:rPr>
          <w:rFonts w:hint="eastAsia" w:ascii="宋体" w:hAnsi="宋体" w:eastAsia="宋体" w:cs="宋体"/>
          <w:color w:val="auto"/>
          <w:kern w:val="0"/>
          <w:sz w:val="24"/>
          <w:szCs w:val="24"/>
          <w:highlight w:val="none"/>
        </w:rPr>
        <w:t>园林修枝、种植苗木、抗旱</w:t>
      </w:r>
      <w:r>
        <w:rPr>
          <w:rFonts w:hint="eastAsia" w:hAnsi="宋体" w:cs="宋体"/>
          <w:color w:val="auto"/>
          <w:kern w:val="0"/>
          <w:sz w:val="24"/>
          <w:szCs w:val="24"/>
          <w:highlight w:val="none"/>
          <w:lang w:eastAsia="zh-CN"/>
        </w:rPr>
        <w:t>抗台</w:t>
      </w:r>
      <w:r>
        <w:rPr>
          <w:rFonts w:hint="eastAsia" w:ascii="宋体" w:hAnsi="宋体" w:eastAsia="宋体" w:cs="宋体"/>
          <w:color w:val="auto"/>
          <w:kern w:val="0"/>
          <w:sz w:val="24"/>
          <w:szCs w:val="24"/>
          <w:highlight w:val="none"/>
        </w:rPr>
        <w:t>、应急保障</w:t>
      </w:r>
      <w:r>
        <w:rPr>
          <w:rFonts w:hint="eastAsia" w:hAnsi="宋体" w:cs="宋体"/>
          <w:color w:val="auto"/>
          <w:kern w:val="0"/>
          <w:sz w:val="24"/>
          <w:szCs w:val="24"/>
          <w:highlight w:val="none"/>
          <w:lang w:eastAsia="zh-CN"/>
        </w:rPr>
        <w:t>、抄告整改、集中攻坚、花事活动</w:t>
      </w:r>
      <w:r>
        <w:rPr>
          <w:rFonts w:hint="eastAsia" w:ascii="宋体" w:hAnsi="宋体" w:eastAsia="宋体" w:cs="宋体"/>
          <w:color w:val="auto"/>
          <w:kern w:val="0"/>
          <w:sz w:val="24"/>
          <w:szCs w:val="24"/>
          <w:highlight w:val="none"/>
        </w:rPr>
        <w:t>等</w:t>
      </w:r>
      <w:r>
        <w:rPr>
          <w:rFonts w:hint="eastAsia" w:hAnsi="宋体" w:cs="宋体"/>
          <w:color w:val="auto"/>
          <w:kern w:val="0"/>
          <w:sz w:val="24"/>
          <w:szCs w:val="24"/>
          <w:highlight w:val="none"/>
          <w:lang w:eastAsia="zh-CN"/>
        </w:rPr>
        <w:t>日常</w:t>
      </w:r>
      <w:r>
        <w:rPr>
          <w:rFonts w:hint="eastAsia" w:ascii="宋体" w:hAnsi="宋体" w:eastAsia="宋体" w:cs="宋体"/>
          <w:color w:val="auto"/>
          <w:kern w:val="0"/>
          <w:sz w:val="24"/>
          <w:szCs w:val="24"/>
          <w:highlight w:val="none"/>
        </w:rPr>
        <w:t>园林养护作业</w:t>
      </w:r>
      <w:r>
        <w:rPr>
          <w:rFonts w:hint="eastAsia" w:ascii="宋体" w:hAnsi="宋体" w:eastAsia="宋体" w:cs="宋体"/>
          <w:b w:val="0"/>
          <w:bCs w:val="0"/>
          <w:color w:val="auto"/>
          <w:kern w:val="0"/>
          <w:sz w:val="24"/>
          <w:szCs w:val="24"/>
          <w:highlight w:val="none"/>
          <w:lang w:eastAsia="zh-CN"/>
        </w:rPr>
        <w:t>，并落实项目负责人服务期内协调管理</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8"/>
        <w:ind w:firstLine="482"/>
        <w:outlineLvl w:val="2"/>
        <w:rPr>
          <w:rFonts w:hint="eastAsia" w:ascii="宋体" w:hAnsi="宋体" w:eastAsia="宋体" w:cs="宋体"/>
          <w:b w:val="0"/>
          <w:bCs/>
          <w:color w:val="auto"/>
          <w:highlight w:val="none"/>
          <w:lang w:eastAsia="zh-CN"/>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12个月（具体时间按合同签订为准）。</w:t>
      </w:r>
    </w:p>
    <w:p>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color w:val="auto"/>
          <w:sz w:val="24"/>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w:t>
      </w:r>
      <w:r>
        <w:rPr>
          <w:rFonts w:hint="eastAsia" w:ascii="宋体" w:hAnsi="宋体" w:cs="宋体"/>
          <w:color w:val="auto"/>
          <w:sz w:val="24"/>
          <w:highlight w:val="none"/>
          <w:lang w:eastAsia="zh-CN"/>
        </w:rPr>
        <w:t>小微</w:t>
      </w:r>
      <w:r>
        <w:rPr>
          <w:rFonts w:hint="eastAsia" w:ascii="宋体" w:hAnsi="宋体" w:cs="宋体"/>
          <w:color w:val="auto"/>
          <w:sz w:val="24"/>
          <w:highlight w:val="none"/>
        </w:rPr>
        <w:t>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w:t>
      </w:r>
      <w:r>
        <w:rPr>
          <w:rFonts w:hint="eastAsia" w:ascii="宋体" w:hAnsi="宋体" w:cs="宋体"/>
          <w:color w:val="auto"/>
          <w:sz w:val="24"/>
          <w:highlight w:val="none"/>
          <w:lang w:eastAsia="zh-CN"/>
        </w:rPr>
        <w:t>小微</w:t>
      </w:r>
      <w:r>
        <w:rPr>
          <w:rFonts w:hint="eastAsia" w:ascii="宋体" w:hAnsi="宋体" w:cs="宋体"/>
          <w:color w:val="auto"/>
          <w:sz w:val="24"/>
          <w:highlight w:val="none"/>
        </w:rPr>
        <w:t>企业承接，提供</w:t>
      </w:r>
      <w:r>
        <w:rPr>
          <w:rFonts w:hint="eastAsia" w:ascii="宋体" w:hAnsi="宋体" w:cs="宋体"/>
          <w:color w:val="auto"/>
          <w:sz w:val="24"/>
          <w:highlight w:val="none"/>
          <w:lang w:eastAsia="zh-CN"/>
        </w:rPr>
        <w:t>小微</w:t>
      </w:r>
      <w:r>
        <w:rPr>
          <w:rFonts w:hint="eastAsia" w:ascii="宋体" w:hAnsi="宋体" w:cs="宋体"/>
          <w:color w:val="auto"/>
          <w:sz w:val="24"/>
          <w:highlight w:val="none"/>
        </w:rPr>
        <w:t>企业声明函；</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val="0"/>
          <w:bCs/>
          <w:color w:val="auto"/>
          <w:sz w:val="24"/>
          <w:highlight w:val="none"/>
        </w:rPr>
        <w:t>自本公告发布之日起至投标截止时间止</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杭州西湖风景名胜区灵隐管理处</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址：杭州市灵溪南路8号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张明</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13957141477</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王喆</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质疑联系方式：0571-87999110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浙江泛亚工程咨询有限公司</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杭州市天目山路</w:t>
      </w:r>
      <w:r>
        <w:rPr>
          <w:rFonts w:hint="eastAsia" w:ascii="宋体" w:hAnsi="宋体" w:cs="宋体"/>
          <w:color w:val="auto"/>
          <w:sz w:val="24"/>
          <w:highlight w:val="none"/>
          <w:lang w:val="en-US" w:eastAsia="zh-CN"/>
        </w:rPr>
        <w:t>181号天际大厦804</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传    真： </w:t>
      </w:r>
      <w:r>
        <w:rPr>
          <w:rFonts w:hint="eastAsia" w:ascii="宋体" w:hAnsi="宋体" w:cs="宋体"/>
          <w:color w:val="auto"/>
          <w:sz w:val="24"/>
          <w:highlight w:val="none"/>
          <w:lang w:val="en-US" w:eastAsia="zh-CN"/>
        </w:rPr>
        <w:t>/</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杨佩瑾</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15068827539</w:t>
      </w:r>
      <w:r>
        <w:rPr>
          <w:rFonts w:hint="eastAsia" w:ascii="宋体" w:hAnsi="宋体" w:cs="宋体"/>
          <w:color w:val="auto"/>
          <w:sz w:val="24"/>
          <w:highlight w:val="none"/>
          <w:lang w:val="en-US" w:eastAsia="zh-CN"/>
        </w:rPr>
        <w:tab/>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eastAsia="zh-CN"/>
        </w:rPr>
        <w:t>李芳芳</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13605802875</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名    称：杭州西湖风景名胜区管理委员会财政局</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址：杭州市龙井路1号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0571-87179813</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 ：刘女士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监督投诉电话：电话：0571-87179536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2023年度灵隐管理处季节性园林服务项目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其他未列明</w:t>
            </w:r>
            <w:r>
              <w:rPr>
                <w:rFonts w:hint="eastAsia" w:ascii="宋体" w:hAnsi="宋体" w:cs="宋体"/>
                <w:color w:val="auto"/>
                <w:kern w:val="0"/>
                <w:sz w:val="24"/>
                <w:highlight w:val="none"/>
              </w:rPr>
              <w:t>行业；</w:t>
            </w:r>
          </w:p>
          <w:p>
            <w:pPr>
              <w:pStyle w:val="4"/>
              <w:tabs>
                <w:tab w:val="left" w:pos="0"/>
                <w:tab w:val="clear" w:pos="432"/>
              </w:tabs>
              <w:ind w:left="0" w:leftChars="0" w:firstLine="0" w:firstLineChars="0"/>
              <w:rPr>
                <w:rFonts w:ascii="宋体" w:hAnsi="宋体" w:eastAsia="宋体" w:cs="宋体"/>
                <w:color w:val="auto"/>
                <w:highlight w:val="none"/>
                <w:lang w:val="en-US"/>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en-US"/>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宋体" w:hAnsi="宋体" w:cs="宋体"/>
                <w:b/>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b/>
                <w:color w:val="auto"/>
                <w:kern w:val="0"/>
                <w:sz w:val="24"/>
                <w:highlight w:val="none"/>
              </w:rPr>
            </w:pPr>
            <w:r>
              <w:rPr>
                <w:rFonts w:hint="eastAsia" w:ascii="宋体" w:hAnsi="宋体" w:eastAsia="宋体" w:cs="宋体"/>
                <w:b/>
                <w:color w:val="auto"/>
                <w:kern w:val="0"/>
                <w:sz w:val="24"/>
                <w:highlight w:val="none"/>
                <w:lang w:val="en-US" w:eastAsia="zh-CN"/>
              </w:rPr>
              <w:t>本项目最高限价：920000.00元，超过此限价的投标无效。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杭州市天目山路181号天际大厦804</w:t>
            </w:r>
            <w:r>
              <w:rPr>
                <w:rFonts w:hint="eastAsia" w:ascii="宋体" w:hAnsi="宋体" w:eastAsia="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eastAsia="zh-CN"/>
              </w:rPr>
              <w:t>杨佩瑾，</w:t>
            </w:r>
            <w:r>
              <w:rPr>
                <w:rFonts w:hint="eastAsia" w:hAnsi="宋体" w:cs="宋体"/>
                <w:color w:val="auto"/>
                <w:sz w:val="24"/>
                <w:highlight w:val="none"/>
                <w:u w:val="single"/>
                <w:lang w:val="en-US" w:eastAsia="zh-CN"/>
              </w:rPr>
              <w:t>15068827539</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top"/>
          </w:tcPr>
          <w:p>
            <w:pPr>
              <w:pStyle w:val="5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jc w:val="left"/>
              <w:rPr>
                <w:rFonts w:ascii="宋体" w:hAnsi="宋体" w:cs="宋体"/>
                <w:color w:val="auto"/>
                <w:sz w:val="24"/>
                <w:highlight w:val="none"/>
              </w:rPr>
            </w:pPr>
            <w:r>
              <w:rPr>
                <w:rFonts w:hint="eastAsia" w:ascii="宋体" w:hAnsi="宋体" w:eastAsia="宋体" w:cs="宋体"/>
                <w:b/>
                <w:bCs/>
                <w:color w:val="auto"/>
                <w:kern w:val="2"/>
                <w:sz w:val="24"/>
                <w:szCs w:val="24"/>
                <w:highlight w:val="none"/>
                <w:vertAlign w:val="baseline"/>
                <w:lang w:val="en-US" w:eastAsia="zh-CN" w:bidi="ar-SA"/>
              </w:rPr>
              <w:t>14</w:t>
            </w:r>
          </w:p>
        </w:tc>
        <w:tc>
          <w:tcPr>
            <w:tcW w:w="1843" w:type="dxa"/>
            <w:tcBorders>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b/>
                <w:color w:val="auto"/>
                <w:sz w:val="24"/>
                <w:highlight w:val="none"/>
              </w:rPr>
            </w:pPr>
            <w:r>
              <w:rPr>
                <w:rFonts w:hint="eastAsia" w:ascii="宋体" w:hAnsi="宋体" w:eastAsia="宋体" w:cs="宋体"/>
                <w:snapToGrid w:val="0"/>
                <w:color w:val="auto"/>
                <w:kern w:val="28"/>
                <w:sz w:val="24"/>
                <w:szCs w:val="24"/>
                <w:highlight w:val="none"/>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bidi w:val="0"/>
              <w:spacing w:line="360" w:lineRule="auto"/>
              <w:jc w:val="left"/>
              <w:textAlignment w:val="auto"/>
              <w:rPr>
                <w:rFonts w:hint="eastAsia" w:ascii="宋体" w:hAnsi="宋体" w:cs="宋体"/>
                <w:snapToGrid w:val="0"/>
                <w:color w:val="auto"/>
                <w:kern w:val="28"/>
                <w:sz w:val="24"/>
                <w:highlight w:val="none"/>
              </w:rPr>
            </w:pPr>
            <w:r>
              <w:rPr>
                <w:rFonts w:hint="eastAsia" w:ascii="宋体" w:hAnsi="宋体" w:eastAsia="宋体" w:cs="宋体"/>
                <w:snapToGrid w:val="0"/>
                <w:color w:val="auto"/>
                <w:kern w:val="28"/>
                <w:sz w:val="24"/>
                <w:szCs w:val="24"/>
                <w:highlight w:val="none"/>
                <w:lang w:val="en-US" w:eastAsia="zh-CN" w:bidi="ar-SA"/>
              </w:rPr>
              <w:t>本项目的采购代理费由中标供应商支付，以项目中标价为基数，计费标准按发改价格［2011］534号文件中招标代理服务费收费标准计取，该费用考虑在总报价中，不必单列。结算方式及时间为：在领取中标通知书时由中标人一次性向采购代理机构付清。</w:t>
            </w:r>
          </w:p>
        </w:tc>
      </w:tr>
    </w:tbl>
    <w:p>
      <w:pPr>
        <w:rPr>
          <w:rFonts w:ascii="宋体" w:hAnsi="宋体" w:cs="宋体"/>
          <w:b/>
          <w:color w:val="auto"/>
          <w:sz w:val="32"/>
          <w:szCs w:val="20"/>
          <w:highlight w:val="none"/>
        </w:rPr>
      </w:pPr>
      <w:r>
        <w:rPr>
          <w:rFonts w:ascii="宋体" w:hAnsi="宋体" w:cs="宋体"/>
          <w:b/>
          <w:color w:val="auto"/>
          <w:sz w:val="32"/>
          <w:szCs w:val="20"/>
          <w:highlight w:val="none"/>
        </w:rPr>
        <w:br w:type="page"/>
      </w:r>
    </w:p>
    <w:p>
      <w:pPr>
        <w:pStyle w:val="2"/>
        <w:rPr>
          <w:color w:val="auto"/>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highlight w:val="none"/>
        </w:rPr>
      </w:pPr>
    </w:p>
    <w:p>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4714665"/>
      <w:bookmarkEnd w:id="16"/>
      <w:bookmarkStart w:id="17" w:name="_Hlt68073093"/>
      <w:bookmarkEnd w:id="17"/>
      <w:bookmarkStart w:id="18" w:name="_Hlt75236290"/>
      <w:bookmarkEnd w:id="18"/>
      <w:bookmarkStart w:id="19" w:name="_Hlt68403820"/>
      <w:bookmarkEnd w:id="19"/>
      <w:bookmarkStart w:id="20" w:name="_Hlt74729768"/>
      <w:bookmarkEnd w:id="20"/>
      <w:bookmarkStart w:id="21" w:name="_Hlt74707468"/>
      <w:bookmarkEnd w:id="21"/>
      <w:bookmarkStart w:id="22" w:name="_Hlt68072990"/>
      <w:bookmarkEnd w:id="22"/>
      <w:bookmarkStart w:id="23" w:name="_Hlt75236101"/>
      <w:bookmarkEnd w:id="23"/>
      <w:bookmarkStart w:id="24" w:name="_Hlt75236011"/>
      <w:bookmarkEnd w:id="24"/>
      <w:bookmarkStart w:id="25" w:name="_Hlt74730295"/>
      <w:bookmarkEnd w:id="25"/>
      <w:bookmarkStart w:id="26" w:name="_Hlt68072998"/>
      <w:bookmarkEnd w:id="26"/>
    </w:p>
    <w:bookmarkEnd w:id="11"/>
    <w:bookmarkEnd w:id="12"/>
    <w:p>
      <w:pPr>
        <w:numPr>
          <w:ilvl w:val="0"/>
          <w:numId w:val="1"/>
        </w:num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  采购需求</w:t>
      </w:r>
    </w:p>
    <w:p>
      <w:pPr>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firstLine="482"/>
        <w:textAlignment w:val="auto"/>
        <w:outlineLvl w:val="1"/>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一、项目简要说明</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b w:val="0"/>
          <w:bCs w:val="0"/>
          <w:strike/>
          <w:dstrike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1.1项目名称：</w:t>
      </w:r>
      <w:r>
        <w:rPr>
          <w:rFonts w:hint="eastAsia" w:ascii="宋体" w:hAnsi="宋体" w:cs="宋体"/>
          <w:b w:val="0"/>
          <w:bCs w:val="0"/>
          <w:strike w:val="0"/>
          <w:dstrike w:val="0"/>
          <w:color w:val="auto"/>
          <w:kern w:val="0"/>
          <w:sz w:val="24"/>
          <w:szCs w:val="24"/>
          <w:highlight w:val="none"/>
          <w:lang w:val="en-US" w:eastAsia="zh-CN"/>
        </w:rPr>
        <w:t>2023年度灵隐管理处季节性园林服务项目</w:t>
      </w:r>
    </w:p>
    <w:p>
      <w:pPr>
        <w:pStyle w:val="15"/>
        <w:spacing w:line="360" w:lineRule="auto"/>
        <w:ind w:firstLine="480"/>
        <w:rPr>
          <w:rFonts w:hint="eastAsia" w:ascii="宋体" w:hAnsi="宋体" w:eastAsia="宋体" w:cs="宋体"/>
          <w:b/>
          <w:bCs/>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eastAsia="zh-CN"/>
        </w:rPr>
        <w:t>按时</w:t>
      </w:r>
      <w:r>
        <w:rPr>
          <w:rFonts w:hint="eastAsia" w:ascii="宋体" w:hAnsi="宋体" w:cs="宋体"/>
          <w:b w:val="0"/>
          <w:bCs w:val="0"/>
          <w:color w:val="auto"/>
          <w:kern w:val="0"/>
          <w:sz w:val="24"/>
          <w:szCs w:val="24"/>
          <w:highlight w:val="none"/>
          <w:lang w:eastAsia="zh-CN"/>
        </w:rPr>
        <w:t>提供</w:t>
      </w:r>
      <w:r>
        <w:rPr>
          <w:rFonts w:hint="eastAsia" w:ascii="宋体" w:hAnsi="宋体" w:eastAsia="宋体" w:cs="宋体"/>
          <w:b w:val="0"/>
          <w:bCs w:val="0"/>
          <w:color w:val="auto"/>
          <w:kern w:val="0"/>
          <w:sz w:val="24"/>
          <w:szCs w:val="24"/>
          <w:highlight w:val="none"/>
          <w:lang w:eastAsia="zh-CN"/>
        </w:rPr>
        <w:t>满足</w:t>
      </w:r>
      <w:r>
        <w:rPr>
          <w:rFonts w:hint="eastAsia" w:ascii="宋体" w:hAnsi="宋体" w:cs="宋体"/>
          <w:b w:val="0"/>
          <w:bCs w:val="0"/>
          <w:color w:val="auto"/>
          <w:kern w:val="0"/>
          <w:sz w:val="24"/>
          <w:szCs w:val="24"/>
          <w:highlight w:val="none"/>
          <w:lang w:eastAsia="zh-CN"/>
        </w:rPr>
        <w:t>采购人</w:t>
      </w:r>
      <w:r>
        <w:rPr>
          <w:rFonts w:hint="eastAsia" w:ascii="宋体" w:hAnsi="宋体" w:eastAsia="宋体" w:cs="宋体"/>
          <w:b w:val="0"/>
          <w:bCs w:val="0"/>
          <w:color w:val="auto"/>
          <w:kern w:val="0"/>
          <w:sz w:val="24"/>
          <w:szCs w:val="24"/>
          <w:highlight w:val="none"/>
          <w:lang w:eastAsia="zh-CN"/>
        </w:rPr>
        <w:t>要求的</w:t>
      </w:r>
      <w:r>
        <w:rPr>
          <w:rFonts w:hint="eastAsia" w:ascii="宋体" w:hAnsi="宋体" w:eastAsia="宋体" w:cs="宋体"/>
          <w:color w:val="auto"/>
          <w:kern w:val="0"/>
          <w:sz w:val="24"/>
          <w:szCs w:val="24"/>
          <w:highlight w:val="none"/>
          <w:lang w:eastAsia="zh-CN"/>
        </w:rPr>
        <w:t>养护</w:t>
      </w:r>
      <w:r>
        <w:rPr>
          <w:rFonts w:hint="eastAsia" w:ascii="宋体" w:hAnsi="宋体" w:eastAsia="宋体" w:cs="宋体"/>
          <w:b w:val="0"/>
          <w:bCs w:val="0"/>
          <w:color w:val="auto"/>
          <w:kern w:val="0"/>
          <w:sz w:val="24"/>
          <w:szCs w:val="24"/>
          <w:highlight w:val="none"/>
          <w:lang w:eastAsia="zh-CN"/>
        </w:rPr>
        <w:t>人员到达</w:t>
      </w:r>
      <w:r>
        <w:rPr>
          <w:rFonts w:hint="eastAsia" w:ascii="宋体" w:hAnsi="宋体" w:cs="宋体"/>
          <w:b w:val="0"/>
          <w:bCs w:val="0"/>
          <w:color w:val="auto"/>
          <w:kern w:val="0"/>
          <w:sz w:val="24"/>
          <w:szCs w:val="24"/>
          <w:highlight w:val="none"/>
          <w:lang w:eastAsia="zh-CN"/>
        </w:rPr>
        <w:t>采购人</w:t>
      </w:r>
      <w:r>
        <w:rPr>
          <w:rFonts w:hint="eastAsia" w:ascii="宋体" w:hAnsi="宋体" w:eastAsia="宋体" w:cs="宋体"/>
          <w:b w:val="0"/>
          <w:bCs w:val="0"/>
          <w:color w:val="auto"/>
          <w:kern w:val="0"/>
          <w:sz w:val="24"/>
          <w:szCs w:val="24"/>
          <w:highlight w:val="none"/>
          <w:lang w:eastAsia="zh-CN"/>
        </w:rPr>
        <w:t>指定地点，</w:t>
      </w:r>
      <w:r>
        <w:rPr>
          <w:rFonts w:hint="eastAsia" w:ascii="宋体" w:hAnsi="宋体" w:eastAsia="宋体" w:cs="宋体"/>
          <w:color w:val="auto"/>
          <w:kern w:val="0"/>
          <w:sz w:val="24"/>
          <w:szCs w:val="24"/>
          <w:highlight w:val="none"/>
        </w:rPr>
        <w:t>园林修枝、种植苗木、抗旱</w:t>
      </w:r>
      <w:r>
        <w:rPr>
          <w:rFonts w:hint="eastAsia" w:hAnsi="宋体" w:cs="宋体"/>
          <w:color w:val="auto"/>
          <w:kern w:val="0"/>
          <w:sz w:val="24"/>
          <w:szCs w:val="24"/>
          <w:highlight w:val="none"/>
          <w:lang w:eastAsia="zh-CN"/>
        </w:rPr>
        <w:t>抗台</w:t>
      </w:r>
      <w:r>
        <w:rPr>
          <w:rFonts w:hint="eastAsia" w:ascii="宋体" w:hAnsi="宋体" w:eastAsia="宋体" w:cs="宋体"/>
          <w:color w:val="auto"/>
          <w:kern w:val="0"/>
          <w:sz w:val="24"/>
          <w:szCs w:val="24"/>
          <w:highlight w:val="none"/>
        </w:rPr>
        <w:t>、应急保障</w:t>
      </w:r>
      <w:r>
        <w:rPr>
          <w:rFonts w:hint="eastAsia" w:hAnsi="宋体" w:cs="宋体"/>
          <w:color w:val="auto"/>
          <w:kern w:val="0"/>
          <w:sz w:val="24"/>
          <w:szCs w:val="24"/>
          <w:highlight w:val="none"/>
          <w:lang w:eastAsia="zh-CN"/>
        </w:rPr>
        <w:t>、抄告整改、集中攻坚、花事活动</w:t>
      </w:r>
      <w:r>
        <w:rPr>
          <w:rFonts w:hint="eastAsia" w:ascii="宋体" w:hAnsi="宋体" w:eastAsia="宋体" w:cs="宋体"/>
          <w:color w:val="auto"/>
          <w:kern w:val="0"/>
          <w:sz w:val="24"/>
          <w:szCs w:val="24"/>
          <w:highlight w:val="none"/>
        </w:rPr>
        <w:t>等</w:t>
      </w:r>
      <w:r>
        <w:rPr>
          <w:rFonts w:hint="eastAsia" w:hAnsi="宋体" w:cs="宋体"/>
          <w:color w:val="auto"/>
          <w:kern w:val="0"/>
          <w:sz w:val="24"/>
          <w:szCs w:val="24"/>
          <w:highlight w:val="none"/>
          <w:lang w:eastAsia="zh-CN"/>
        </w:rPr>
        <w:t>日常</w:t>
      </w:r>
      <w:r>
        <w:rPr>
          <w:rFonts w:hint="eastAsia" w:ascii="宋体" w:hAnsi="宋体" w:eastAsia="宋体" w:cs="宋体"/>
          <w:color w:val="auto"/>
          <w:kern w:val="0"/>
          <w:sz w:val="24"/>
          <w:szCs w:val="24"/>
          <w:highlight w:val="none"/>
        </w:rPr>
        <w:t>园林养护作业</w:t>
      </w:r>
      <w:r>
        <w:rPr>
          <w:rFonts w:hint="eastAsia" w:ascii="宋体" w:hAnsi="宋体" w:eastAsia="宋体" w:cs="宋体"/>
          <w:b w:val="0"/>
          <w:bCs w:val="0"/>
          <w:color w:val="auto"/>
          <w:kern w:val="0"/>
          <w:sz w:val="24"/>
          <w:szCs w:val="24"/>
          <w:highlight w:val="none"/>
          <w:lang w:eastAsia="zh-CN"/>
        </w:rPr>
        <w:t>，并落实项目负责人服务期内协调管理</w:t>
      </w:r>
      <w:r>
        <w:rPr>
          <w:rFonts w:hint="eastAsia" w:hAnsi="宋体" w:cs="宋体"/>
          <w:bCs/>
          <w:snapToGrid/>
          <w:color w:val="auto"/>
          <w:kern w:val="2"/>
          <w:sz w:val="24"/>
          <w:szCs w:val="24"/>
          <w:highlight w:val="none"/>
        </w:rPr>
        <w:t>。</w:t>
      </w:r>
    </w:p>
    <w:p>
      <w:pPr>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firstLine="482"/>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二、</w:t>
      </w:r>
      <w:r>
        <w:rPr>
          <w:rFonts w:hint="eastAsia" w:ascii="宋体" w:hAnsi="宋体" w:eastAsia="宋体" w:cs="宋体"/>
          <w:b/>
          <w:bCs/>
          <w:color w:val="auto"/>
          <w:kern w:val="0"/>
          <w:sz w:val="24"/>
          <w:szCs w:val="24"/>
          <w:highlight w:val="none"/>
        </w:rPr>
        <w:t>服务内容、服务期限及服务要求</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2.1服务内容 </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（1）落实项目负责人1人,负责和采购人工作对接及服务期内协调管理上下天竺区块及灵隐管理处管辖范围内的园林修枝、种植苗木、抗旱</w:t>
      </w:r>
      <w:r>
        <w:rPr>
          <w:rFonts w:hint="eastAsia" w:ascii="宋体" w:hAnsi="宋体" w:cs="宋体"/>
          <w:color w:val="auto"/>
          <w:kern w:val="0"/>
          <w:sz w:val="24"/>
          <w:szCs w:val="24"/>
          <w:highlight w:val="none"/>
          <w:lang w:eastAsia="zh-CN"/>
        </w:rPr>
        <w:t>抗台</w:t>
      </w:r>
      <w:r>
        <w:rPr>
          <w:rFonts w:hint="eastAsia" w:ascii="宋体" w:hAnsi="宋体" w:eastAsia="宋体" w:cs="宋体"/>
          <w:color w:val="auto"/>
          <w:kern w:val="0"/>
          <w:sz w:val="24"/>
          <w:szCs w:val="24"/>
          <w:highlight w:val="none"/>
        </w:rPr>
        <w:t>、应急保障</w:t>
      </w:r>
      <w:r>
        <w:rPr>
          <w:rFonts w:hint="eastAsia" w:ascii="宋体" w:hAnsi="宋体" w:cs="宋体"/>
          <w:color w:val="auto"/>
          <w:kern w:val="0"/>
          <w:sz w:val="24"/>
          <w:szCs w:val="24"/>
          <w:highlight w:val="none"/>
          <w:lang w:eastAsia="zh-CN"/>
        </w:rPr>
        <w:t>、抄告整改、集中攻坚、花事活动</w:t>
      </w:r>
      <w:r>
        <w:rPr>
          <w:rFonts w:hint="eastAsia" w:ascii="宋体" w:hAnsi="宋体" w:eastAsia="宋体" w:cs="宋体"/>
          <w:color w:val="auto"/>
          <w:kern w:val="0"/>
          <w:sz w:val="24"/>
          <w:szCs w:val="24"/>
          <w:highlight w:val="none"/>
        </w:rPr>
        <w:t>等</w:t>
      </w:r>
      <w:r>
        <w:rPr>
          <w:rFonts w:hint="eastAsia" w:ascii="宋体" w:hAnsi="宋体" w:cs="宋体"/>
          <w:color w:val="auto"/>
          <w:kern w:val="0"/>
          <w:sz w:val="24"/>
          <w:szCs w:val="24"/>
          <w:highlight w:val="none"/>
          <w:lang w:eastAsia="zh-CN"/>
        </w:rPr>
        <w:t>日常</w:t>
      </w:r>
      <w:r>
        <w:rPr>
          <w:rFonts w:hint="eastAsia" w:ascii="宋体" w:hAnsi="宋体" w:eastAsia="宋体" w:cs="宋体"/>
          <w:color w:val="auto"/>
          <w:kern w:val="0"/>
          <w:sz w:val="24"/>
          <w:szCs w:val="24"/>
          <w:highlight w:val="none"/>
        </w:rPr>
        <w:t>园林养护作业。采购人对项目负责人安排任务，由项目负责人对派出</w:t>
      </w:r>
      <w:r>
        <w:rPr>
          <w:rFonts w:hint="eastAsia" w:ascii="宋体" w:hAnsi="宋体" w:eastAsia="宋体" w:cs="宋体"/>
          <w:color w:val="auto"/>
          <w:kern w:val="0"/>
          <w:sz w:val="24"/>
          <w:szCs w:val="24"/>
          <w:highlight w:val="none"/>
          <w:lang w:eastAsia="zh-CN"/>
        </w:rPr>
        <w:t>养护</w:t>
      </w:r>
      <w:r>
        <w:rPr>
          <w:rFonts w:hint="eastAsia" w:ascii="宋体" w:hAnsi="宋体" w:eastAsia="宋体" w:cs="宋体"/>
          <w:color w:val="auto"/>
          <w:kern w:val="0"/>
          <w:sz w:val="24"/>
          <w:szCs w:val="24"/>
          <w:highlight w:val="none"/>
        </w:rPr>
        <w:t>人员工作及时落实且监督执行完毕。处理好工作中出现的突发状况并及时工作情况反馈采购人。项目负责人到岗率须100%。</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eastAsia="zh-CN"/>
        </w:rPr>
        <w:t>服务人数</w:t>
      </w:r>
      <w:r>
        <w:rPr>
          <w:rFonts w:hint="eastAsia" w:ascii="宋体" w:hAnsi="宋体" w:eastAsia="宋体" w:cs="宋体"/>
          <w:color w:val="auto"/>
          <w:kern w:val="0"/>
          <w:sz w:val="24"/>
          <w:szCs w:val="24"/>
          <w:highlight w:val="none"/>
        </w:rPr>
        <w:t>需求：全年计划</w:t>
      </w:r>
      <w:r>
        <w:rPr>
          <w:rFonts w:hint="eastAsia" w:ascii="宋体" w:hAnsi="宋体" w:eastAsia="宋体" w:cs="宋体"/>
          <w:b w:val="0"/>
          <w:bCs w:val="0"/>
          <w:strike w:val="0"/>
          <w:dstrike w:val="0"/>
          <w:color w:val="auto"/>
          <w:kern w:val="0"/>
          <w:sz w:val="24"/>
          <w:szCs w:val="24"/>
          <w:highlight w:val="none"/>
          <w:lang w:val="en-US" w:eastAsia="zh-CN"/>
        </w:rPr>
        <w:t>季节性服务</w:t>
      </w:r>
      <w:r>
        <w:rPr>
          <w:rFonts w:hint="eastAsia" w:ascii="宋体" w:hAnsi="宋体" w:cs="宋体"/>
          <w:b w:val="0"/>
          <w:bCs w:val="0"/>
          <w:strike w:val="0"/>
          <w:dstrike w:val="0"/>
          <w:color w:val="auto"/>
          <w:kern w:val="0"/>
          <w:sz w:val="24"/>
          <w:szCs w:val="24"/>
          <w:highlight w:val="none"/>
          <w:lang w:val="en-US" w:eastAsia="zh-CN"/>
        </w:rPr>
        <w:t>人</w:t>
      </w:r>
      <w:r>
        <w:rPr>
          <w:rFonts w:hint="eastAsia" w:ascii="宋体" w:hAnsi="宋体" w:eastAsia="宋体" w:cs="宋体"/>
          <w:color w:val="auto"/>
          <w:kern w:val="0"/>
          <w:sz w:val="24"/>
          <w:szCs w:val="24"/>
          <w:highlight w:val="none"/>
        </w:rPr>
        <w:t>数为男工</w:t>
      </w:r>
      <w:r>
        <w:rPr>
          <w:rFonts w:hint="eastAsia" w:ascii="宋体" w:hAnsi="宋体" w:cs="宋体"/>
          <w:color w:val="auto"/>
          <w:kern w:val="0"/>
          <w:sz w:val="24"/>
          <w:szCs w:val="24"/>
          <w:highlight w:val="none"/>
          <w:lang w:val="en-US" w:eastAsia="zh-CN"/>
        </w:rPr>
        <w:t>4643</w:t>
      </w:r>
      <w:r>
        <w:rPr>
          <w:rFonts w:hint="eastAsia" w:ascii="宋体" w:hAnsi="宋体" w:eastAsia="宋体" w:cs="宋体"/>
          <w:color w:val="auto"/>
          <w:kern w:val="0"/>
          <w:sz w:val="24"/>
          <w:szCs w:val="24"/>
          <w:highlight w:val="none"/>
        </w:rPr>
        <w:t>工，女工</w:t>
      </w:r>
      <w:r>
        <w:rPr>
          <w:rFonts w:hint="eastAsia" w:ascii="宋体" w:hAnsi="宋体" w:cs="宋体"/>
          <w:color w:val="auto"/>
          <w:kern w:val="0"/>
          <w:sz w:val="24"/>
          <w:szCs w:val="24"/>
          <w:highlight w:val="none"/>
          <w:lang w:val="en-US" w:eastAsia="zh-CN"/>
        </w:rPr>
        <w:t>1040</w:t>
      </w:r>
      <w:r>
        <w:rPr>
          <w:rFonts w:hint="eastAsia" w:ascii="宋体" w:hAnsi="宋体" w:eastAsia="宋体" w:cs="宋体"/>
          <w:color w:val="auto"/>
          <w:kern w:val="0"/>
          <w:sz w:val="24"/>
          <w:szCs w:val="24"/>
          <w:highlight w:val="none"/>
        </w:rPr>
        <w:t>工，要求男性60</w:t>
      </w:r>
      <w:r>
        <w:rPr>
          <w:rFonts w:hint="eastAsia" w:ascii="宋体" w:hAnsi="宋体" w:cs="宋体"/>
          <w:color w:val="auto"/>
          <w:kern w:val="0"/>
          <w:sz w:val="24"/>
          <w:szCs w:val="24"/>
          <w:highlight w:val="none"/>
          <w:lang w:eastAsia="zh-CN"/>
        </w:rPr>
        <w:t>周</w:t>
      </w:r>
      <w:r>
        <w:rPr>
          <w:rFonts w:hint="eastAsia" w:ascii="宋体" w:hAnsi="宋体" w:eastAsia="宋体" w:cs="宋体"/>
          <w:color w:val="auto"/>
          <w:kern w:val="0"/>
          <w:sz w:val="24"/>
          <w:szCs w:val="24"/>
          <w:highlight w:val="none"/>
        </w:rPr>
        <w:t>岁以下，女性50</w:t>
      </w:r>
      <w:r>
        <w:rPr>
          <w:rFonts w:hint="eastAsia" w:ascii="宋体" w:hAnsi="宋体" w:cs="宋体"/>
          <w:color w:val="auto"/>
          <w:kern w:val="0"/>
          <w:sz w:val="24"/>
          <w:szCs w:val="24"/>
          <w:highlight w:val="none"/>
          <w:lang w:eastAsia="zh-CN"/>
        </w:rPr>
        <w:t>周</w:t>
      </w:r>
      <w:r>
        <w:rPr>
          <w:rFonts w:hint="eastAsia" w:ascii="宋体" w:hAnsi="宋体" w:eastAsia="宋体" w:cs="宋体"/>
          <w:color w:val="auto"/>
          <w:kern w:val="0"/>
          <w:sz w:val="24"/>
          <w:szCs w:val="24"/>
          <w:highlight w:val="none"/>
        </w:rPr>
        <w:t>岁以下，年龄应符合国家法律法规规定的要求。具体</w:t>
      </w:r>
      <w:r>
        <w:rPr>
          <w:rFonts w:hint="eastAsia" w:ascii="宋体" w:hAnsi="宋体" w:cs="宋体"/>
          <w:color w:val="auto"/>
          <w:kern w:val="0"/>
          <w:sz w:val="24"/>
          <w:szCs w:val="24"/>
          <w:highlight w:val="none"/>
          <w:lang w:eastAsia="zh-CN"/>
        </w:rPr>
        <w:t>人数要求</w:t>
      </w:r>
      <w:r>
        <w:rPr>
          <w:rFonts w:hint="eastAsia" w:ascii="宋体" w:hAnsi="宋体" w:eastAsia="宋体" w:cs="宋体"/>
          <w:color w:val="auto"/>
          <w:kern w:val="0"/>
          <w:sz w:val="24"/>
          <w:szCs w:val="24"/>
          <w:highlight w:val="none"/>
        </w:rPr>
        <w:t>需按照采购人的要求分批次</w:t>
      </w:r>
      <w:r>
        <w:rPr>
          <w:rFonts w:hint="eastAsia" w:ascii="宋体" w:hAnsi="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，具体服务时间以采购人的通知为准，采购人至少提前1天通知供应商（应急突发任务除外）。供应商应在接到采购人的通知后，按该通知规定的时间、地点、数量</w:t>
      </w:r>
      <w:r>
        <w:rPr>
          <w:rFonts w:hint="eastAsia" w:ascii="宋体" w:hAnsi="宋体" w:cs="宋体"/>
          <w:color w:val="auto"/>
          <w:kern w:val="0"/>
          <w:sz w:val="24"/>
          <w:szCs w:val="24"/>
          <w:highlight w:val="none"/>
          <w:lang w:eastAsia="zh-CN"/>
        </w:rPr>
        <w:t>提供</w:t>
      </w:r>
      <w:r>
        <w:rPr>
          <w:rFonts w:hint="eastAsia" w:ascii="宋体" w:hAnsi="宋体" w:eastAsia="宋体" w:cs="宋体"/>
          <w:color w:val="auto"/>
          <w:kern w:val="0"/>
          <w:sz w:val="24"/>
          <w:szCs w:val="24"/>
          <w:highlight w:val="none"/>
          <w:lang w:eastAsia="zh-CN"/>
        </w:rPr>
        <w:t>养护</w:t>
      </w:r>
      <w:r>
        <w:rPr>
          <w:rFonts w:hint="eastAsia" w:ascii="宋体" w:hAnsi="宋体" w:eastAsia="宋体" w:cs="宋体"/>
          <w:color w:val="auto"/>
          <w:kern w:val="0"/>
          <w:sz w:val="24"/>
          <w:szCs w:val="24"/>
          <w:highlight w:val="none"/>
        </w:rPr>
        <w:t>人员。采购人的通知包括口头通知、</w:t>
      </w:r>
      <w:r>
        <w:rPr>
          <w:rFonts w:hint="eastAsia" w:ascii="宋体" w:hAnsi="宋体" w:eastAsia="宋体" w:cs="宋体"/>
          <w:color w:val="auto"/>
          <w:kern w:val="0"/>
          <w:sz w:val="24"/>
          <w:szCs w:val="24"/>
          <w:highlight w:val="none"/>
          <w:lang w:eastAsia="zh-CN"/>
        </w:rPr>
        <w:t>微信通知、</w:t>
      </w:r>
      <w:r>
        <w:rPr>
          <w:rFonts w:hint="eastAsia" w:ascii="宋体" w:hAnsi="宋体" w:eastAsia="宋体" w:cs="宋体"/>
          <w:color w:val="auto"/>
          <w:kern w:val="0"/>
          <w:sz w:val="24"/>
          <w:szCs w:val="24"/>
          <w:highlight w:val="none"/>
        </w:rPr>
        <w:t>书面通知（传真）和电子邮件。采购人的通知（传真）或邮件发送至供应商项目负责人时，视为供应商已经收到。具体实施时间以采购人通知为准。如供应商对采购人的通知逾期未响应，采购人自行安排人员完成工作，产生的相关费用由供应商承担。</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时间：由采购人根据不同季节灵活调整，但必须保证从正式开始上班计时起，每天净工作不少于8小时。</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（4）供应商无条件积极配合采购人应对自然灾害、事故灾害、公共卫生事件和社会安全事件等突发公共事件建立的应急预案</w:t>
      </w:r>
      <w:r>
        <w:rPr>
          <w:rFonts w:hint="eastAsia" w:ascii="宋体" w:hAnsi="宋体" w:eastAsia="宋体" w:cs="宋体"/>
          <w:b w:val="0"/>
          <w:bCs w:val="0"/>
          <w:strike w:val="0"/>
          <w:dstrike w:val="0"/>
          <w:color w:val="auto"/>
          <w:kern w:val="0"/>
          <w:sz w:val="24"/>
          <w:szCs w:val="24"/>
          <w:highlight w:val="none"/>
          <w:lang w:val="en-US" w:eastAsia="zh-CN"/>
        </w:rPr>
        <w:t>季节性服务</w:t>
      </w:r>
      <w:r>
        <w:rPr>
          <w:rFonts w:hint="eastAsia" w:ascii="宋体" w:hAnsi="宋体" w:cs="宋体"/>
          <w:b w:val="0"/>
          <w:bCs w:val="0"/>
          <w:strike w:val="0"/>
          <w:dstrike w:val="0"/>
          <w:color w:val="auto"/>
          <w:kern w:val="0"/>
          <w:sz w:val="24"/>
          <w:szCs w:val="24"/>
          <w:highlight w:val="none"/>
          <w:lang w:val="en-US" w:eastAsia="zh-CN"/>
        </w:rPr>
        <w:t>人员</w:t>
      </w:r>
      <w:r>
        <w:rPr>
          <w:rFonts w:hint="eastAsia" w:ascii="宋体" w:hAnsi="宋体" w:eastAsia="宋体" w:cs="宋体"/>
          <w:color w:val="auto"/>
          <w:kern w:val="0"/>
          <w:sz w:val="24"/>
          <w:szCs w:val="24"/>
          <w:highlight w:val="none"/>
        </w:rPr>
        <w:t>需求，按采购人的要求完成</w:t>
      </w:r>
      <w:r>
        <w:rPr>
          <w:rFonts w:hint="eastAsia" w:ascii="宋体" w:hAnsi="宋体" w:eastAsia="宋体" w:cs="宋体"/>
          <w:b w:val="0"/>
          <w:bCs w:val="0"/>
          <w:strike w:val="0"/>
          <w:dstrike w:val="0"/>
          <w:color w:val="auto"/>
          <w:kern w:val="0"/>
          <w:sz w:val="24"/>
          <w:szCs w:val="24"/>
          <w:highlight w:val="none"/>
          <w:lang w:val="en-US" w:eastAsia="zh-CN"/>
        </w:rPr>
        <w:t>季节性服务</w:t>
      </w:r>
      <w:r>
        <w:rPr>
          <w:rFonts w:hint="eastAsia" w:ascii="宋体" w:hAnsi="宋体" w:eastAsia="宋体" w:cs="宋体"/>
          <w:color w:val="auto"/>
          <w:kern w:val="0"/>
          <w:sz w:val="24"/>
          <w:szCs w:val="24"/>
          <w:highlight w:val="none"/>
          <w:lang w:eastAsia="zh-CN"/>
        </w:rPr>
        <w:t>养护</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费用按实结算。</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2.2服务要求</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养护</w:t>
      </w:r>
      <w:r>
        <w:rPr>
          <w:rFonts w:hint="eastAsia" w:ascii="宋体" w:hAnsi="宋体" w:eastAsia="宋体" w:cs="宋体"/>
          <w:color w:val="auto"/>
          <w:kern w:val="0"/>
          <w:sz w:val="24"/>
          <w:szCs w:val="24"/>
          <w:highlight w:val="none"/>
        </w:rPr>
        <w:t>承包要求</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①必须按采购人季节性</w:t>
      </w:r>
      <w:r>
        <w:rPr>
          <w:rFonts w:hint="eastAsia" w:ascii="宋体" w:hAnsi="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的要求，保质保量安排</w:t>
      </w:r>
      <w:r>
        <w:rPr>
          <w:rFonts w:hint="eastAsia" w:ascii="宋体" w:hAnsi="宋体" w:eastAsia="宋体" w:cs="宋体"/>
          <w:color w:val="auto"/>
          <w:kern w:val="0"/>
          <w:sz w:val="24"/>
          <w:szCs w:val="24"/>
          <w:highlight w:val="none"/>
          <w:lang w:eastAsia="zh-CN"/>
        </w:rPr>
        <w:t>养护</w:t>
      </w:r>
      <w:r>
        <w:rPr>
          <w:rFonts w:hint="eastAsia" w:ascii="宋体" w:hAnsi="宋体" w:cs="宋体"/>
          <w:color w:val="auto"/>
          <w:kern w:val="0"/>
          <w:sz w:val="24"/>
          <w:szCs w:val="24"/>
          <w:highlight w:val="none"/>
          <w:lang w:eastAsia="zh-CN"/>
        </w:rPr>
        <w:t>人员</w:t>
      </w:r>
      <w:r>
        <w:rPr>
          <w:rFonts w:hint="eastAsia" w:ascii="宋体" w:hAnsi="宋体" w:eastAsia="宋体" w:cs="宋体"/>
          <w:color w:val="auto"/>
          <w:kern w:val="0"/>
          <w:sz w:val="24"/>
          <w:szCs w:val="24"/>
          <w:highlight w:val="none"/>
        </w:rPr>
        <w:t>以满足不同季节和活动时</w:t>
      </w:r>
      <w:r>
        <w:rPr>
          <w:rFonts w:hint="eastAsia" w:ascii="宋体" w:hAnsi="宋体" w:eastAsia="宋体" w:cs="宋体"/>
          <w:color w:val="auto"/>
          <w:kern w:val="0"/>
          <w:sz w:val="24"/>
          <w:szCs w:val="24"/>
          <w:highlight w:val="none"/>
          <w:lang w:eastAsia="zh-CN"/>
        </w:rPr>
        <w:t>养护</w:t>
      </w:r>
      <w:r>
        <w:rPr>
          <w:rFonts w:hint="eastAsia" w:ascii="宋体" w:hAnsi="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的需要。</w:t>
      </w:r>
      <w:r>
        <w:rPr>
          <w:rFonts w:hint="eastAsia" w:ascii="宋体" w:hAnsi="宋体" w:eastAsia="宋体" w:cs="宋体"/>
          <w:color w:val="auto"/>
          <w:kern w:val="0"/>
          <w:sz w:val="24"/>
          <w:szCs w:val="24"/>
          <w:highlight w:val="none"/>
          <w:lang w:eastAsia="zh-CN"/>
        </w:rPr>
        <w:t>养护</w:t>
      </w:r>
      <w:r>
        <w:rPr>
          <w:rFonts w:hint="eastAsia" w:ascii="宋体" w:hAnsi="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旺季3月-10月，旺季时供应商应每日准备不少于</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人工以备采购人随时通知</w:t>
      </w:r>
      <w:r>
        <w:rPr>
          <w:rFonts w:hint="eastAsia" w:ascii="宋体" w:hAnsi="宋体" w:eastAsia="宋体" w:cs="宋体"/>
          <w:color w:val="auto"/>
          <w:kern w:val="0"/>
          <w:sz w:val="24"/>
          <w:szCs w:val="24"/>
          <w:highlight w:val="none"/>
          <w:lang w:eastAsia="zh-CN"/>
        </w:rPr>
        <w:t>养护</w:t>
      </w:r>
      <w:r>
        <w:rPr>
          <w:rFonts w:hint="eastAsia" w:ascii="宋体" w:hAnsi="宋体" w:cs="宋体"/>
          <w:color w:val="auto"/>
          <w:kern w:val="0"/>
          <w:sz w:val="24"/>
          <w:szCs w:val="24"/>
          <w:highlight w:val="none"/>
          <w:lang w:eastAsia="zh-CN"/>
        </w:rPr>
        <w:t>服务要求</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养护</w:t>
      </w:r>
      <w:r>
        <w:rPr>
          <w:rFonts w:hint="eastAsia" w:ascii="宋体" w:hAnsi="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淡季为11月</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次年2月，淡季时时供应商应每日准备不少于</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人工以备采购人随时通知</w:t>
      </w:r>
      <w:r>
        <w:rPr>
          <w:rFonts w:hint="eastAsia" w:ascii="宋体" w:hAnsi="宋体" w:eastAsia="宋体" w:cs="宋体"/>
          <w:color w:val="auto"/>
          <w:kern w:val="0"/>
          <w:sz w:val="24"/>
          <w:szCs w:val="24"/>
          <w:highlight w:val="none"/>
          <w:lang w:eastAsia="zh-CN"/>
        </w:rPr>
        <w:t>养护</w:t>
      </w:r>
      <w:r>
        <w:rPr>
          <w:rFonts w:hint="eastAsia" w:ascii="宋体" w:hAnsi="宋体" w:cs="宋体"/>
          <w:color w:val="auto"/>
          <w:kern w:val="0"/>
          <w:sz w:val="24"/>
          <w:szCs w:val="24"/>
          <w:highlight w:val="none"/>
          <w:lang w:eastAsia="zh-CN"/>
        </w:rPr>
        <w:t>服务要求</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费用按实结算。</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②供应商必须按时指派</w:t>
      </w:r>
      <w:r>
        <w:rPr>
          <w:rFonts w:hint="eastAsia" w:ascii="宋体" w:hAnsi="宋体" w:eastAsia="宋体" w:cs="宋体"/>
          <w:color w:val="auto"/>
          <w:kern w:val="0"/>
          <w:sz w:val="24"/>
          <w:szCs w:val="24"/>
          <w:highlight w:val="none"/>
          <w:lang w:eastAsia="zh-CN"/>
        </w:rPr>
        <w:t>养护</w:t>
      </w:r>
      <w:r>
        <w:rPr>
          <w:rFonts w:hint="eastAsia" w:ascii="宋体" w:hAnsi="宋体" w:eastAsia="宋体" w:cs="宋体"/>
          <w:color w:val="auto"/>
          <w:kern w:val="0"/>
          <w:sz w:val="24"/>
          <w:szCs w:val="24"/>
          <w:highlight w:val="none"/>
        </w:rPr>
        <w:t>人员达到指定地点，并落实项目负责人协调管理。如有特殊原因无法按时、按量进行委派的，必须提前一天通知采购人，否则按违约处理，扣除相应费用。</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w:t>
      </w:r>
      <w:r>
        <w:rPr>
          <w:rFonts w:hint="eastAsia" w:ascii="宋体" w:hAnsi="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过程中，园林养护小型工具（枝剪</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手锯、老虎钳丶手工剪等）由供应商自备。</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④供应商</w:t>
      </w:r>
      <w:r>
        <w:rPr>
          <w:rFonts w:hint="eastAsia" w:ascii="宋体" w:hAnsi="宋体" w:eastAsia="宋体" w:cs="宋体"/>
          <w:color w:val="auto"/>
          <w:kern w:val="0"/>
          <w:sz w:val="24"/>
          <w:szCs w:val="24"/>
          <w:highlight w:val="none"/>
          <w:lang w:eastAsia="zh-CN"/>
        </w:rPr>
        <w:t>养护</w:t>
      </w:r>
      <w:r>
        <w:rPr>
          <w:rFonts w:hint="eastAsia" w:ascii="宋体" w:hAnsi="宋体" w:eastAsia="宋体" w:cs="宋体"/>
          <w:color w:val="auto"/>
          <w:kern w:val="0"/>
          <w:sz w:val="24"/>
          <w:szCs w:val="24"/>
          <w:highlight w:val="none"/>
        </w:rPr>
        <w:t>人员必须严格服从采购人的调度与工作安排，认真按时完成采购人规定的工作任务。</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（2）安全生产工作制度</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①供应商必须建立相关的内部管理安全生产工作制度，如</w:t>
      </w:r>
      <w:r>
        <w:rPr>
          <w:rFonts w:hint="eastAsia" w:ascii="宋体" w:hAnsi="宋体" w:eastAsia="宋体" w:cs="宋体"/>
          <w:color w:val="auto"/>
          <w:kern w:val="0"/>
          <w:sz w:val="24"/>
          <w:szCs w:val="24"/>
          <w:highlight w:val="none"/>
          <w:lang w:eastAsia="zh-CN"/>
        </w:rPr>
        <w:t>养护</w:t>
      </w:r>
      <w:r>
        <w:rPr>
          <w:rFonts w:hint="eastAsia" w:ascii="宋体" w:hAnsi="宋体" w:eastAsia="宋体" w:cs="宋体"/>
          <w:color w:val="auto"/>
          <w:kern w:val="0"/>
          <w:sz w:val="24"/>
          <w:szCs w:val="24"/>
          <w:highlight w:val="none"/>
        </w:rPr>
        <w:t>人员在登高作业、农药使用、园林机具使用等安全作业的相关制度。</w:t>
      </w:r>
    </w:p>
    <w:p>
      <w:pPr>
        <w:pStyle w:val="2"/>
        <w:keepNext/>
        <w:keepLines/>
        <w:pageBreakBefore w:val="0"/>
        <w:widowControl w:val="0"/>
        <w:kinsoku/>
        <w:wordWrap/>
        <w:overflowPunct/>
        <w:topLinePunct w:val="0"/>
        <w:autoSpaceDE/>
        <w:autoSpaceDN/>
        <w:bidi w:val="0"/>
        <w:adjustRightInd w:val="0"/>
        <w:snapToGrid/>
        <w:spacing w:before="0" w:after="0" w:line="360" w:lineRule="auto"/>
        <w:ind w:left="0" w:leftChars="0" w:firstLine="560" w:firstLineChars="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②供应商</w:t>
      </w:r>
      <w:r>
        <w:rPr>
          <w:rFonts w:hint="eastAsia" w:ascii="宋体" w:hAnsi="宋体" w:cs="宋体"/>
          <w:b/>
          <w:bCs/>
          <w:color w:val="auto"/>
          <w:kern w:val="0"/>
          <w:sz w:val="24"/>
          <w:szCs w:val="24"/>
          <w:highlight w:val="none"/>
          <w:lang w:val="en-US" w:eastAsia="zh-CN" w:bidi="ar-SA"/>
        </w:rPr>
        <w:t>提供</w:t>
      </w:r>
      <w:r>
        <w:rPr>
          <w:rFonts w:hint="eastAsia" w:ascii="宋体" w:hAnsi="宋体" w:eastAsia="宋体" w:cs="宋体"/>
          <w:b/>
          <w:bCs/>
          <w:color w:val="auto"/>
          <w:kern w:val="0"/>
          <w:sz w:val="24"/>
          <w:szCs w:val="24"/>
          <w:highlight w:val="none"/>
          <w:lang w:val="en-US" w:eastAsia="zh-CN" w:bidi="ar-SA"/>
        </w:rPr>
        <w:t>的养护人员在作业中必须采取有效的安全措施，做好相关安全工作。在道路上作业时，必须严格遵守道路交通法规，必须穿反光背心进行作业；在登高作业时，必须穿防滑鞋、戴上安全头盔、系上安全带；在喷洒农药时，必须配戴防护口罩，严格按照产品说明书进行操作；在使用园林养护机械时，必须由经过培训的熟练工人操作。若违反安全操作规程作业导致任何伤亡等安全事故由</w:t>
      </w:r>
      <w:r>
        <w:rPr>
          <w:rFonts w:hint="eastAsia" w:ascii="宋体" w:hAnsi="宋体" w:cs="宋体"/>
          <w:b/>
          <w:bCs/>
          <w:color w:val="auto"/>
          <w:kern w:val="0"/>
          <w:sz w:val="24"/>
          <w:szCs w:val="24"/>
          <w:highlight w:val="none"/>
          <w:lang w:val="en-US" w:eastAsia="zh-CN" w:bidi="ar-SA"/>
        </w:rPr>
        <w:t>供应商</w:t>
      </w:r>
      <w:r>
        <w:rPr>
          <w:rFonts w:hint="eastAsia" w:ascii="宋体" w:hAnsi="宋体" w:eastAsia="宋体" w:cs="宋体"/>
          <w:b/>
          <w:bCs/>
          <w:color w:val="auto"/>
          <w:kern w:val="0"/>
          <w:sz w:val="24"/>
          <w:szCs w:val="24"/>
          <w:highlight w:val="none"/>
          <w:lang w:val="en-US" w:eastAsia="zh-CN" w:bidi="ar-SA"/>
        </w:rPr>
        <w:t>承担全部责任，并赔偿造成的一切损失。</w:t>
      </w:r>
    </w:p>
    <w:p>
      <w:pPr>
        <w:pStyle w:val="2"/>
        <w:keepNext/>
        <w:keepLines/>
        <w:pageBreakBefore w:val="0"/>
        <w:widowControl w:val="0"/>
        <w:kinsoku/>
        <w:wordWrap/>
        <w:overflowPunct/>
        <w:topLinePunct w:val="0"/>
        <w:autoSpaceDE/>
        <w:autoSpaceDN/>
        <w:bidi w:val="0"/>
        <w:adjustRightInd w:val="0"/>
        <w:snapToGrid/>
        <w:spacing w:before="0" w:after="0" w:line="360" w:lineRule="auto"/>
        <w:ind w:left="0" w:leftChars="0" w:firstLine="560" w:firstLineChars="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③养护人员禁止酒后登高及使用园林机械。</w:t>
      </w:r>
    </w:p>
    <w:p>
      <w:pPr>
        <w:pStyle w:val="2"/>
        <w:keepNext/>
        <w:keepLines/>
        <w:pageBreakBefore w:val="0"/>
        <w:widowControl w:val="0"/>
        <w:kinsoku/>
        <w:wordWrap/>
        <w:overflowPunct/>
        <w:topLinePunct w:val="0"/>
        <w:autoSpaceDE/>
        <w:autoSpaceDN/>
        <w:bidi w:val="0"/>
        <w:adjustRightInd w:val="0"/>
        <w:snapToGrid/>
        <w:spacing w:before="0" w:after="0" w:line="360" w:lineRule="auto"/>
        <w:ind w:left="0" w:leftChars="0" w:firstLine="560" w:firstLineChars="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④</w:t>
      </w:r>
      <w:r>
        <w:rPr>
          <w:rFonts w:hint="eastAsia" w:ascii="宋体" w:hAnsi="宋体" w:cs="宋体"/>
          <w:b/>
          <w:bCs/>
          <w:color w:val="auto"/>
          <w:kern w:val="0"/>
          <w:sz w:val="24"/>
          <w:szCs w:val="24"/>
          <w:highlight w:val="none"/>
          <w:lang w:val="en-US" w:eastAsia="zh-CN" w:bidi="ar-SA"/>
        </w:rPr>
        <w:t>供应商</w:t>
      </w:r>
      <w:r>
        <w:rPr>
          <w:rFonts w:hint="eastAsia" w:ascii="宋体" w:hAnsi="宋体" w:eastAsia="宋体" w:cs="宋体"/>
          <w:b/>
          <w:bCs/>
          <w:color w:val="auto"/>
          <w:kern w:val="0"/>
          <w:sz w:val="24"/>
          <w:szCs w:val="24"/>
          <w:highlight w:val="none"/>
          <w:lang w:val="en-US" w:eastAsia="zh-CN" w:bidi="ar-SA"/>
        </w:rPr>
        <w:t>养护人员必须严格按照规章制度及规范操作流程进行作业，由于</w:t>
      </w:r>
      <w:r>
        <w:rPr>
          <w:rFonts w:hint="eastAsia" w:ascii="宋体" w:hAnsi="宋体" w:cs="宋体"/>
          <w:b/>
          <w:bCs/>
          <w:color w:val="auto"/>
          <w:kern w:val="0"/>
          <w:sz w:val="24"/>
          <w:szCs w:val="24"/>
          <w:highlight w:val="none"/>
          <w:lang w:val="en-US" w:eastAsia="zh-CN" w:bidi="ar-SA"/>
        </w:rPr>
        <w:t>供应商</w:t>
      </w:r>
      <w:r>
        <w:rPr>
          <w:rFonts w:hint="eastAsia" w:ascii="宋体" w:hAnsi="宋体" w:eastAsia="宋体" w:cs="宋体"/>
          <w:b/>
          <w:bCs/>
          <w:color w:val="auto"/>
          <w:kern w:val="0"/>
          <w:sz w:val="24"/>
          <w:szCs w:val="24"/>
          <w:highlight w:val="none"/>
          <w:lang w:val="en-US" w:eastAsia="zh-CN" w:bidi="ar-SA"/>
        </w:rPr>
        <w:t>人员在作业过程中导致任何第三方的财产、经营损失或人身伤害、死亡的，一切责任均由</w:t>
      </w:r>
      <w:r>
        <w:rPr>
          <w:rFonts w:hint="eastAsia" w:ascii="宋体" w:hAnsi="宋体" w:cs="宋体"/>
          <w:b/>
          <w:bCs/>
          <w:color w:val="auto"/>
          <w:kern w:val="0"/>
          <w:sz w:val="24"/>
          <w:szCs w:val="24"/>
          <w:highlight w:val="none"/>
          <w:lang w:val="en-US" w:eastAsia="zh-CN" w:bidi="ar-SA"/>
        </w:rPr>
        <w:t>供应商</w:t>
      </w:r>
      <w:r>
        <w:rPr>
          <w:rFonts w:hint="eastAsia" w:ascii="宋体" w:hAnsi="宋体" w:eastAsia="宋体" w:cs="宋体"/>
          <w:b/>
          <w:bCs/>
          <w:color w:val="auto"/>
          <w:kern w:val="0"/>
          <w:sz w:val="24"/>
          <w:szCs w:val="24"/>
          <w:highlight w:val="none"/>
          <w:lang w:val="en-US" w:eastAsia="zh-CN" w:bidi="ar-SA"/>
        </w:rPr>
        <w:t>承担。</w:t>
      </w:r>
    </w:p>
    <w:p>
      <w:pPr>
        <w:pStyle w:val="2"/>
        <w:keepNext/>
        <w:keepLines/>
        <w:pageBreakBefore w:val="0"/>
        <w:widowControl w:val="0"/>
        <w:kinsoku/>
        <w:wordWrap/>
        <w:overflowPunct/>
        <w:topLinePunct w:val="0"/>
        <w:autoSpaceDE/>
        <w:autoSpaceDN/>
        <w:bidi w:val="0"/>
        <w:adjustRightInd w:val="0"/>
        <w:snapToGrid/>
        <w:spacing w:before="0" w:after="0" w:line="360" w:lineRule="auto"/>
        <w:ind w:left="0" w:leftChars="0" w:firstLine="560" w:firstLineChars="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⑤</w:t>
      </w:r>
      <w:r>
        <w:rPr>
          <w:rFonts w:hint="eastAsia" w:ascii="宋体" w:hAnsi="宋体" w:cs="宋体"/>
          <w:b/>
          <w:bCs/>
          <w:color w:val="auto"/>
          <w:kern w:val="0"/>
          <w:sz w:val="24"/>
          <w:szCs w:val="24"/>
          <w:highlight w:val="none"/>
          <w:lang w:val="en-US" w:eastAsia="zh-CN" w:bidi="ar-SA"/>
        </w:rPr>
        <w:t>供应商</w:t>
      </w:r>
      <w:r>
        <w:rPr>
          <w:rFonts w:hint="eastAsia" w:ascii="宋体" w:hAnsi="宋体" w:eastAsia="宋体" w:cs="宋体"/>
          <w:b/>
          <w:bCs/>
          <w:color w:val="auto"/>
          <w:kern w:val="0"/>
          <w:sz w:val="24"/>
          <w:szCs w:val="24"/>
          <w:highlight w:val="none"/>
          <w:lang w:val="en-US" w:eastAsia="zh-CN" w:bidi="ar-SA"/>
        </w:rPr>
        <w:t>养护人员在作业期间发生工伤、职业病、死亡等事故（包括上下班过程中的交通伤亡事故）等，由</w:t>
      </w:r>
      <w:r>
        <w:rPr>
          <w:rFonts w:hint="eastAsia" w:ascii="宋体" w:hAnsi="宋体" w:cs="宋体"/>
          <w:b/>
          <w:bCs/>
          <w:color w:val="auto"/>
          <w:kern w:val="0"/>
          <w:sz w:val="24"/>
          <w:szCs w:val="24"/>
          <w:highlight w:val="none"/>
          <w:lang w:val="en-US" w:eastAsia="zh-CN" w:bidi="ar-SA"/>
        </w:rPr>
        <w:t>供应商</w:t>
      </w:r>
      <w:r>
        <w:rPr>
          <w:rFonts w:hint="eastAsia" w:ascii="宋体" w:hAnsi="宋体" w:eastAsia="宋体" w:cs="宋体"/>
          <w:b/>
          <w:bCs/>
          <w:color w:val="auto"/>
          <w:kern w:val="0"/>
          <w:sz w:val="24"/>
          <w:szCs w:val="24"/>
          <w:highlight w:val="none"/>
          <w:lang w:val="en-US" w:eastAsia="zh-CN" w:bidi="ar-SA"/>
        </w:rPr>
        <w:t>按国家和本地区的有关政策、规定处理。</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（3）供应商委派的园林养护辅助</w:t>
      </w:r>
      <w:r>
        <w:rPr>
          <w:rFonts w:hint="eastAsia" w:ascii="宋体" w:hAnsi="宋体" w:eastAsia="宋体" w:cs="宋体"/>
          <w:color w:val="auto"/>
          <w:kern w:val="0"/>
          <w:sz w:val="24"/>
          <w:szCs w:val="24"/>
          <w:highlight w:val="none"/>
          <w:lang w:eastAsia="zh-CN"/>
        </w:rPr>
        <w:t>养护</w:t>
      </w:r>
      <w:r>
        <w:rPr>
          <w:rFonts w:hint="eastAsia" w:ascii="宋体" w:hAnsi="宋体" w:eastAsia="宋体" w:cs="宋体"/>
          <w:color w:val="auto"/>
          <w:kern w:val="0"/>
          <w:sz w:val="24"/>
          <w:szCs w:val="24"/>
          <w:highlight w:val="none"/>
        </w:rPr>
        <w:t>人员的食宿、交通、人员工资、国家规定的相关社险、福利、津贴等均由供应商自行承担。</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（4）灵隐管理处全年计划</w:t>
      </w:r>
      <w:r>
        <w:rPr>
          <w:rFonts w:hint="eastAsia" w:ascii="宋体" w:hAnsi="宋体" w:eastAsia="宋体" w:cs="宋体"/>
          <w:b w:val="0"/>
          <w:bCs w:val="0"/>
          <w:strike w:val="0"/>
          <w:dstrike w:val="0"/>
          <w:color w:val="auto"/>
          <w:kern w:val="0"/>
          <w:sz w:val="24"/>
          <w:szCs w:val="24"/>
          <w:highlight w:val="none"/>
          <w:lang w:val="en-US" w:eastAsia="zh-CN"/>
        </w:rPr>
        <w:t>季节性服务</w:t>
      </w:r>
      <w:r>
        <w:rPr>
          <w:rFonts w:hint="eastAsia" w:ascii="宋体" w:hAnsi="宋体" w:cs="宋体"/>
          <w:b w:val="0"/>
          <w:bCs w:val="0"/>
          <w:strike w:val="0"/>
          <w:dstrike w:val="0"/>
          <w:color w:val="auto"/>
          <w:kern w:val="0"/>
          <w:sz w:val="24"/>
          <w:szCs w:val="24"/>
          <w:highlight w:val="none"/>
          <w:lang w:val="en-US" w:eastAsia="zh-CN"/>
        </w:rPr>
        <w:t>人</w:t>
      </w:r>
      <w:r>
        <w:rPr>
          <w:rFonts w:hint="eastAsia" w:ascii="宋体" w:hAnsi="宋体" w:eastAsia="宋体" w:cs="宋体"/>
          <w:color w:val="auto"/>
          <w:kern w:val="0"/>
          <w:sz w:val="24"/>
          <w:szCs w:val="24"/>
          <w:highlight w:val="none"/>
        </w:rPr>
        <w:t>数为男工</w:t>
      </w:r>
      <w:r>
        <w:rPr>
          <w:rFonts w:hint="eastAsia" w:ascii="宋体" w:hAnsi="宋体" w:cs="宋体"/>
          <w:color w:val="auto"/>
          <w:kern w:val="0"/>
          <w:sz w:val="24"/>
          <w:szCs w:val="24"/>
          <w:highlight w:val="none"/>
          <w:lang w:val="en-US" w:eastAsia="zh-CN"/>
        </w:rPr>
        <w:t>4643</w:t>
      </w:r>
      <w:r>
        <w:rPr>
          <w:rFonts w:hint="eastAsia" w:ascii="宋体" w:hAnsi="宋体" w:eastAsia="宋体" w:cs="宋体"/>
          <w:color w:val="auto"/>
          <w:kern w:val="0"/>
          <w:sz w:val="24"/>
          <w:szCs w:val="24"/>
          <w:highlight w:val="none"/>
        </w:rPr>
        <w:t>工，女工</w:t>
      </w:r>
      <w:r>
        <w:rPr>
          <w:rFonts w:hint="eastAsia" w:ascii="宋体" w:hAnsi="宋体" w:cs="宋体"/>
          <w:color w:val="auto"/>
          <w:kern w:val="0"/>
          <w:sz w:val="24"/>
          <w:szCs w:val="24"/>
          <w:highlight w:val="none"/>
          <w:lang w:val="en-US" w:eastAsia="zh-CN"/>
        </w:rPr>
        <w:t>1040</w:t>
      </w:r>
      <w:r>
        <w:rPr>
          <w:rFonts w:hint="eastAsia" w:ascii="宋体" w:hAnsi="宋体" w:eastAsia="宋体" w:cs="宋体"/>
          <w:color w:val="auto"/>
          <w:kern w:val="0"/>
          <w:sz w:val="24"/>
          <w:szCs w:val="24"/>
          <w:highlight w:val="none"/>
        </w:rPr>
        <w:t>工，特殊情况下，管理处有权要求酌情增减人员，具体费用根据每月实际</w:t>
      </w:r>
      <w:r>
        <w:rPr>
          <w:rFonts w:hint="eastAsia" w:ascii="宋体" w:hAnsi="宋体" w:cs="宋体"/>
          <w:color w:val="auto"/>
          <w:kern w:val="0"/>
          <w:sz w:val="24"/>
          <w:szCs w:val="24"/>
          <w:highlight w:val="none"/>
          <w:lang w:eastAsia="zh-CN"/>
        </w:rPr>
        <w:t>产生的服务</w:t>
      </w:r>
      <w:r>
        <w:rPr>
          <w:rFonts w:hint="eastAsia" w:ascii="宋体" w:hAnsi="宋体" w:eastAsia="宋体" w:cs="宋体"/>
          <w:color w:val="auto"/>
          <w:kern w:val="0"/>
          <w:sz w:val="24"/>
          <w:szCs w:val="24"/>
          <w:highlight w:val="none"/>
        </w:rPr>
        <w:t>数</w:t>
      </w:r>
      <w:r>
        <w:rPr>
          <w:rFonts w:hint="eastAsia" w:ascii="宋体" w:hAnsi="宋体" w:cs="宋体"/>
          <w:color w:val="auto"/>
          <w:kern w:val="0"/>
          <w:sz w:val="24"/>
          <w:szCs w:val="24"/>
          <w:highlight w:val="none"/>
          <w:lang w:eastAsia="zh-CN"/>
        </w:rPr>
        <w:t>量</w:t>
      </w:r>
      <w:r>
        <w:rPr>
          <w:rFonts w:hint="eastAsia" w:ascii="宋体" w:hAnsi="宋体" w:eastAsia="宋体" w:cs="宋体"/>
          <w:color w:val="auto"/>
          <w:kern w:val="0"/>
          <w:sz w:val="24"/>
          <w:szCs w:val="24"/>
          <w:highlight w:val="none"/>
        </w:rPr>
        <w:t>按实结算。</w:t>
      </w:r>
    </w:p>
    <w:p>
      <w:pPr>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firstLine="482"/>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项目现场、验收标准、方法及技术服务（含培训）要求、响应时间</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3.1项目现场：已具备条件。</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3.2验收标准、方法：</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w:t>
      </w:r>
      <w:r>
        <w:rPr>
          <w:rFonts w:hint="eastAsia" w:ascii="宋体" w:hAnsi="宋体" w:cs="宋体"/>
          <w:color w:val="auto"/>
          <w:kern w:val="0"/>
          <w:sz w:val="24"/>
          <w:szCs w:val="24"/>
          <w:highlight w:val="none"/>
          <w:lang w:eastAsia="zh-CN"/>
        </w:rPr>
        <w:t>提供</w:t>
      </w:r>
      <w:r>
        <w:rPr>
          <w:rFonts w:hint="eastAsia" w:ascii="宋体" w:hAnsi="宋体" w:eastAsia="宋体" w:cs="宋体"/>
          <w:color w:val="auto"/>
          <w:kern w:val="0"/>
          <w:sz w:val="24"/>
          <w:szCs w:val="24"/>
          <w:highlight w:val="none"/>
        </w:rPr>
        <w:t>的</w:t>
      </w:r>
      <w:r>
        <w:rPr>
          <w:rFonts w:hint="eastAsia" w:ascii="宋体" w:hAnsi="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人员及其施工作业，必须满足采购人的技术要求；</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（2）操作质量不合格的，供应商应在采购人规定的时间内无偿返工，直至达到质量验收标准合格。</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3.3技术服务要求：服务期间对指派人员进行免费的技术培训，达到采购人指派人员的技术要求。</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3.4响应时间：如在服务过程中发生问题，供应商项目负责人应在接到采购人通知后在1小时内到达项目现场。</w:t>
      </w:r>
    </w:p>
    <w:p>
      <w:pPr>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firstLine="482"/>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四、</w:t>
      </w:r>
      <w:r>
        <w:rPr>
          <w:rFonts w:hint="eastAsia" w:ascii="宋体" w:hAnsi="宋体" w:eastAsia="宋体" w:cs="宋体"/>
          <w:b/>
          <w:bCs/>
          <w:color w:val="auto"/>
          <w:kern w:val="0"/>
          <w:sz w:val="24"/>
          <w:szCs w:val="24"/>
          <w:highlight w:val="none"/>
        </w:rPr>
        <w:t>质量保证及后续服务</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4.1质量标准：按时</w:t>
      </w:r>
      <w:r>
        <w:rPr>
          <w:rFonts w:hint="eastAsia" w:ascii="宋体" w:hAnsi="宋体" w:cs="宋体"/>
          <w:color w:val="auto"/>
          <w:kern w:val="0"/>
          <w:sz w:val="24"/>
          <w:szCs w:val="24"/>
          <w:highlight w:val="none"/>
          <w:lang w:eastAsia="zh-CN"/>
        </w:rPr>
        <w:t>提供</w:t>
      </w:r>
      <w:r>
        <w:rPr>
          <w:rFonts w:hint="eastAsia" w:ascii="宋体" w:hAnsi="宋体" w:eastAsia="宋体" w:cs="宋体"/>
          <w:color w:val="auto"/>
          <w:kern w:val="0"/>
          <w:sz w:val="24"/>
          <w:szCs w:val="24"/>
          <w:highlight w:val="none"/>
        </w:rPr>
        <w:t>满足采购人要求的</w:t>
      </w:r>
      <w:r>
        <w:rPr>
          <w:rFonts w:hint="eastAsia" w:ascii="宋体" w:hAnsi="宋体" w:eastAsia="宋体" w:cs="宋体"/>
          <w:color w:val="auto"/>
          <w:kern w:val="0"/>
          <w:sz w:val="24"/>
          <w:szCs w:val="24"/>
          <w:highlight w:val="none"/>
          <w:lang w:eastAsia="zh-CN"/>
        </w:rPr>
        <w:t>养护</w:t>
      </w:r>
      <w:r>
        <w:rPr>
          <w:rFonts w:hint="eastAsia" w:ascii="宋体" w:hAnsi="宋体" w:eastAsia="宋体" w:cs="宋体"/>
          <w:color w:val="auto"/>
          <w:kern w:val="0"/>
          <w:sz w:val="24"/>
          <w:szCs w:val="24"/>
          <w:highlight w:val="none"/>
        </w:rPr>
        <w:t>人员到达采购人指定地点完成采购人规定的工作任务。</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4.2供应商提供的服务应确保按时完成采购人规定的工作任务。对达不到要求的，根据实际情况达不到验收合格的，按损失金额进行赔偿。 </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4.3如在服务过程中发生问题，供应商项目负责人应在接到采购人通知后在1小时内到达项目现场。</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4.4在服务质量保证期内，供应商应对出现的质量及安全问题负责并处理解决，并承担一切费用。</w:t>
      </w:r>
    </w:p>
    <w:p>
      <w:pPr>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firstLine="482"/>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五、</w:t>
      </w:r>
      <w:r>
        <w:rPr>
          <w:rFonts w:hint="eastAsia" w:ascii="宋体" w:hAnsi="宋体" w:eastAsia="宋体" w:cs="宋体"/>
          <w:b/>
          <w:bCs/>
          <w:color w:val="auto"/>
          <w:kern w:val="0"/>
          <w:sz w:val="24"/>
          <w:szCs w:val="24"/>
          <w:highlight w:val="none"/>
        </w:rPr>
        <w:t>报价要求、付款方式和条件</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5.1报价要求</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5.1.1本项目采用投标总价报价，根据每月实际</w:t>
      </w:r>
      <w:r>
        <w:rPr>
          <w:rFonts w:hint="eastAsia" w:ascii="宋体" w:hAnsi="宋体" w:cs="宋体"/>
          <w:color w:val="auto"/>
          <w:kern w:val="0"/>
          <w:sz w:val="24"/>
          <w:szCs w:val="24"/>
          <w:highlight w:val="none"/>
          <w:lang w:eastAsia="zh-CN"/>
        </w:rPr>
        <w:t>产生的服务</w:t>
      </w:r>
      <w:r>
        <w:rPr>
          <w:rFonts w:hint="eastAsia" w:ascii="宋体" w:hAnsi="宋体" w:eastAsia="宋体" w:cs="宋体"/>
          <w:color w:val="auto"/>
          <w:kern w:val="0"/>
          <w:sz w:val="24"/>
          <w:szCs w:val="24"/>
          <w:highlight w:val="none"/>
        </w:rPr>
        <w:t>数</w:t>
      </w:r>
      <w:r>
        <w:rPr>
          <w:rFonts w:hint="eastAsia" w:ascii="宋体" w:hAnsi="宋体" w:cs="宋体"/>
          <w:color w:val="auto"/>
          <w:kern w:val="0"/>
          <w:sz w:val="24"/>
          <w:szCs w:val="24"/>
          <w:highlight w:val="none"/>
          <w:lang w:eastAsia="zh-CN"/>
        </w:rPr>
        <w:t>量</w:t>
      </w:r>
      <w:r>
        <w:rPr>
          <w:rFonts w:hint="eastAsia" w:ascii="宋体" w:hAnsi="宋体" w:eastAsia="宋体" w:cs="宋体"/>
          <w:color w:val="auto"/>
          <w:kern w:val="0"/>
          <w:sz w:val="24"/>
          <w:szCs w:val="24"/>
          <w:highlight w:val="none"/>
        </w:rPr>
        <w:t>按实结算，投标报价中应包括本项目服务内发生的人工费、住宿、服装、培训、通讯、安全、农民工工伤保险费、管理费、利润、税金等为完成本项目所需发生的一切费用。其中</w:t>
      </w:r>
      <w:r>
        <w:rPr>
          <w:rFonts w:hint="eastAsia" w:ascii="宋体" w:hAnsi="宋体" w:cs="宋体"/>
          <w:color w:val="auto"/>
          <w:kern w:val="0"/>
          <w:sz w:val="24"/>
          <w:szCs w:val="24"/>
          <w:highlight w:val="none"/>
          <w:lang w:eastAsia="zh-CN"/>
        </w:rPr>
        <w:t>提供的服务</w:t>
      </w:r>
      <w:r>
        <w:rPr>
          <w:rFonts w:hint="eastAsia" w:ascii="宋体" w:hAnsi="宋体" w:eastAsia="宋体" w:cs="宋体"/>
          <w:color w:val="auto"/>
          <w:kern w:val="0"/>
          <w:sz w:val="24"/>
          <w:szCs w:val="24"/>
          <w:highlight w:val="none"/>
        </w:rPr>
        <w:t>人员每月人工费用不得低于杭州市政府规定的最新最低人工工资标准及社会保障费用，否则评标委员可以认为低于成本价恶性竞争而判定为无效标(因人工费上涨引起费用增加的风险应考虑在投标总价内，采购单位不另行支付)。</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5.1.2本项目需落实项目负责人1人，该人员工资及相关成本综合考虑在综合单价中，不必单列。</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5.1.3在实施中如遇特殊情况，使用时间为按小时计算时，结算依据为实际使用小时乘以（普工单价/8小时）进行按小时结算。</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5.2付款方式和条件</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5.2.1预付款：合同生效以及具备实施条件后7个工作日内支付合同总价的20%。</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5.2.2</w:t>
      </w:r>
      <w:r>
        <w:rPr>
          <w:rFonts w:hint="eastAsia" w:ascii="宋体" w:hAnsi="宋体" w:eastAsia="宋体" w:cs="宋体"/>
          <w:color w:val="auto"/>
          <w:kern w:val="0"/>
          <w:sz w:val="24"/>
          <w:szCs w:val="24"/>
          <w:highlight w:val="none"/>
        </w:rPr>
        <w:t>预付款扣回的方式：</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将分3个月预付款全部扣回。</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付款方式：</w:t>
      </w:r>
      <w:r>
        <w:rPr>
          <w:rFonts w:hint="eastAsia" w:ascii="宋体" w:hAnsi="宋体" w:eastAsia="宋体" w:cs="宋体"/>
          <w:b/>
          <w:bCs/>
          <w:color w:val="auto"/>
          <w:kern w:val="0"/>
          <w:sz w:val="24"/>
          <w:szCs w:val="24"/>
          <w:highlight w:val="none"/>
        </w:rPr>
        <w:t>按月结，转账方式。</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付款条件：供应商凭采购人出具的月</w:t>
      </w:r>
      <w:r>
        <w:rPr>
          <w:rFonts w:hint="eastAsia" w:ascii="宋体" w:hAnsi="宋体" w:cs="宋体"/>
          <w:color w:val="auto"/>
          <w:kern w:val="0"/>
          <w:sz w:val="24"/>
          <w:szCs w:val="24"/>
          <w:highlight w:val="none"/>
          <w:lang w:eastAsia="zh-CN"/>
        </w:rPr>
        <w:t>分派</w:t>
      </w:r>
      <w:r>
        <w:rPr>
          <w:rFonts w:hint="eastAsia" w:ascii="宋体" w:hAnsi="宋体" w:eastAsia="宋体" w:cs="宋体"/>
          <w:color w:val="auto"/>
          <w:kern w:val="0"/>
          <w:sz w:val="24"/>
          <w:szCs w:val="24"/>
          <w:highlight w:val="none"/>
        </w:rPr>
        <w:t>人员清单和采购人相关负责人签字认可的实际</w:t>
      </w:r>
      <w:r>
        <w:rPr>
          <w:rFonts w:hint="eastAsia" w:ascii="宋体" w:hAnsi="宋体" w:cs="宋体"/>
          <w:color w:val="auto"/>
          <w:kern w:val="0"/>
          <w:sz w:val="24"/>
          <w:szCs w:val="24"/>
          <w:highlight w:val="none"/>
          <w:lang w:eastAsia="zh-CN"/>
        </w:rPr>
        <w:t>服务数量</w:t>
      </w:r>
      <w:r>
        <w:rPr>
          <w:rFonts w:hint="eastAsia" w:ascii="宋体" w:hAnsi="宋体" w:eastAsia="宋体" w:cs="宋体"/>
          <w:color w:val="auto"/>
          <w:kern w:val="0"/>
          <w:sz w:val="24"/>
          <w:szCs w:val="24"/>
          <w:highlight w:val="none"/>
          <w:lang w:eastAsia="zh-CN"/>
        </w:rPr>
        <w:t>明细</w:t>
      </w:r>
      <w:r>
        <w:rPr>
          <w:rFonts w:hint="eastAsia" w:ascii="宋体" w:hAnsi="宋体" w:eastAsia="宋体" w:cs="宋体"/>
          <w:color w:val="auto"/>
          <w:kern w:val="0"/>
          <w:sz w:val="24"/>
          <w:szCs w:val="24"/>
          <w:highlight w:val="none"/>
        </w:rPr>
        <w:t>及等额税务发票于次月20日前向采购人进行结算。</w:t>
      </w:r>
    </w:p>
    <w:p>
      <w:pPr>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firstLine="482"/>
        <w:textAlignment w:val="auto"/>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eastAsia="zh-CN"/>
        </w:rPr>
        <w:t>支付说明：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在收到</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开具的符合法律法规规定发票后，以转账支付的方式，支付给</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服务费。</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逾期开具发票或开具的发票不符合</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要求的，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有权延迟付款时间，且该行为不视为违约</w:t>
      </w:r>
      <w:r>
        <w:rPr>
          <w:rFonts w:hint="eastAsia" w:ascii="宋体" w:hAnsi="宋体" w:eastAsia="宋体" w:cs="宋体"/>
          <w:b w:val="0"/>
          <w:bCs/>
          <w:color w:val="auto"/>
          <w:sz w:val="24"/>
          <w:szCs w:val="24"/>
          <w:highlight w:val="none"/>
        </w:rPr>
        <w:t>。</w:t>
      </w:r>
    </w:p>
    <w:p>
      <w:pPr>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firstLine="482"/>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六、</w:t>
      </w:r>
      <w:r>
        <w:rPr>
          <w:rFonts w:hint="eastAsia" w:ascii="宋体" w:hAnsi="宋体" w:eastAsia="宋体" w:cs="宋体"/>
          <w:b/>
          <w:bCs/>
          <w:color w:val="auto"/>
          <w:kern w:val="0"/>
          <w:sz w:val="24"/>
          <w:szCs w:val="24"/>
          <w:highlight w:val="none"/>
        </w:rPr>
        <w:t>履行合同的时间、地点、违约责任、解决争议的方式</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6.1履行合同的时间：</w:t>
      </w:r>
      <w:r>
        <w:rPr>
          <w:rFonts w:hint="eastAsia" w:ascii="宋体" w:hAnsi="宋体" w:eastAsia="宋体" w:cs="宋体"/>
          <w:color w:val="auto"/>
          <w:kern w:val="0"/>
          <w:sz w:val="24"/>
          <w:szCs w:val="24"/>
          <w:highlight w:val="none"/>
          <w:lang w:val="en-US" w:eastAsia="zh-CN"/>
        </w:rPr>
        <w:t>12个月</w:t>
      </w:r>
      <w:r>
        <w:rPr>
          <w:rFonts w:hint="eastAsia" w:ascii="宋体" w:hAnsi="宋体" w:eastAsia="宋体" w:cs="宋体"/>
          <w:color w:val="auto"/>
          <w:kern w:val="0"/>
          <w:sz w:val="24"/>
          <w:szCs w:val="24"/>
          <w:highlight w:val="none"/>
        </w:rPr>
        <w:t>（具体时间按合同签订为准）。</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6.2履行合同的地点：杭州西湖风景名胜区灵隐管理处辖区，具体以采购人指定地点为准。</w:t>
      </w:r>
    </w:p>
    <w:p>
      <w:pPr>
        <w:pStyle w:val="2"/>
        <w:pageBreakBefore w:val="0"/>
        <w:widowControl w:val="0"/>
        <w:kinsoku/>
        <w:wordWrap/>
        <w:overflowPunct/>
        <w:topLinePunct w:val="0"/>
        <w:autoSpaceDE/>
        <w:autoSpaceDN/>
        <w:bidi w:val="0"/>
        <w:adjustRightInd/>
        <w:snapToGrid w:val="0"/>
        <w:spacing w:before="0" w:after="0" w:line="360" w:lineRule="auto"/>
        <w:ind w:left="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 </w:t>
      </w:r>
      <w:r>
        <w:rPr>
          <w:rFonts w:hint="eastAsia" w:ascii="宋体" w:hAnsi="宋体" w:cs="宋体"/>
          <w:b w:val="0"/>
          <w:bCs w:val="0"/>
          <w:color w:val="auto"/>
          <w:kern w:val="0"/>
          <w:sz w:val="24"/>
          <w:szCs w:val="24"/>
          <w:highlight w:val="non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 xml:space="preserve"> </w:t>
      </w:r>
      <w:r>
        <w:rPr>
          <w:rFonts w:hint="eastAsia" w:ascii="宋体" w:hAnsi="宋体" w:cs="宋体"/>
          <w:b w:val="0"/>
          <w:bCs w:val="0"/>
          <w:color w:val="auto"/>
          <w:kern w:val="0"/>
          <w:sz w:val="24"/>
          <w:szCs w:val="24"/>
          <w:highlight w:val="non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6.3履约保证金：中标金额的</w:t>
      </w:r>
      <w:r>
        <w:rPr>
          <w:rFonts w:hint="eastAsia" w:ascii="宋体" w:hAnsi="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0"/>
          <w:sz w:val="24"/>
          <w:szCs w:val="24"/>
          <w:highlight w:val="none"/>
          <w:lang w:val="en-US" w:eastAsia="zh-CN" w:bidi="ar-SA"/>
        </w:rPr>
        <w:t>%。</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履行合同的违约责任</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（1）采购人无正当理由拒收接受服务的，采购人向供应商偿付合同款项百分之五作为违约金。</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（2）采购人无故逾期验收和办理款项支付手续的,采购人应按逾期付款总额每日万分之五向供应商支付违约金。</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（3）供应商未能如期提供服务的，对采购人的通知逾期未响应，采购人自行安排人员完成工作，产生的相关费用由供应商承担。供应商超过约定日期10个工作日仍不能提供服务的，采购人可解除本合同。</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6.5履行合同中解决争议的方式：</w:t>
      </w:r>
      <w:r>
        <w:rPr>
          <w:rFonts w:hint="eastAsia" w:ascii="宋体" w:hAnsi="宋体" w:eastAsia="宋体" w:cs="宋体"/>
          <w:color w:val="auto"/>
          <w:kern w:val="0"/>
          <w:sz w:val="24"/>
          <w:szCs w:val="24"/>
          <w:highlight w:val="none"/>
          <w:lang w:val="zh-CN"/>
        </w:rPr>
        <w:t>在合同</w:t>
      </w:r>
      <w:r>
        <w:rPr>
          <w:rFonts w:hint="eastAsia" w:ascii="宋体" w:hAnsi="宋体" w:eastAsia="宋体" w:cs="宋体"/>
          <w:color w:val="auto"/>
          <w:kern w:val="0"/>
          <w:sz w:val="24"/>
          <w:szCs w:val="24"/>
          <w:highlight w:val="none"/>
          <w:cs/>
          <w:lang w:val="zh-CN"/>
        </w:rPr>
        <w:t>执</w:t>
      </w:r>
      <w:r>
        <w:rPr>
          <w:rFonts w:hint="eastAsia" w:ascii="宋体" w:hAnsi="宋体" w:eastAsia="宋体" w:cs="宋体"/>
          <w:color w:val="auto"/>
          <w:kern w:val="0"/>
          <w:sz w:val="24"/>
          <w:szCs w:val="24"/>
          <w:highlight w:val="none"/>
          <w:lang w:val="zh-CN"/>
        </w:rPr>
        <w:t>行</w:t>
      </w:r>
      <w:r>
        <w:rPr>
          <w:rFonts w:hint="eastAsia" w:ascii="宋体" w:hAnsi="宋体" w:eastAsia="宋体" w:cs="宋体"/>
          <w:color w:val="auto"/>
          <w:kern w:val="0"/>
          <w:sz w:val="24"/>
          <w:szCs w:val="24"/>
          <w:highlight w:val="none"/>
          <w:cs/>
          <w:lang w:val="zh-CN"/>
        </w:rPr>
        <w:t>过</w:t>
      </w:r>
      <w:r>
        <w:rPr>
          <w:rFonts w:hint="eastAsia" w:ascii="宋体" w:hAnsi="宋体" w:eastAsia="宋体" w:cs="宋体"/>
          <w:color w:val="auto"/>
          <w:kern w:val="0"/>
          <w:sz w:val="24"/>
          <w:szCs w:val="24"/>
          <w:highlight w:val="none"/>
          <w:lang w:val="zh-CN"/>
        </w:rPr>
        <w:t>程中如</w:t>
      </w:r>
      <w:r>
        <w:rPr>
          <w:rFonts w:hint="eastAsia" w:ascii="宋体" w:hAnsi="宋体" w:eastAsia="宋体" w:cs="宋体"/>
          <w:color w:val="auto"/>
          <w:kern w:val="0"/>
          <w:sz w:val="24"/>
          <w:szCs w:val="24"/>
          <w:highlight w:val="none"/>
          <w:cs/>
          <w:lang w:val="zh-CN"/>
        </w:rPr>
        <w:t>发</w:t>
      </w:r>
      <w:r>
        <w:rPr>
          <w:rFonts w:hint="eastAsia" w:ascii="宋体" w:hAnsi="宋体" w:eastAsia="宋体" w:cs="宋体"/>
          <w:color w:val="auto"/>
          <w:kern w:val="0"/>
          <w:sz w:val="24"/>
          <w:szCs w:val="24"/>
          <w:highlight w:val="none"/>
          <w:lang w:val="zh-CN"/>
        </w:rPr>
        <w:t>生</w:t>
      </w:r>
      <w:r>
        <w:rPr>
          <w:rFonts w:hint="eastAsia" w:ascii="宋体" w:hAnsi="宋体" w:eastAsia="宋体" w:cs="宋体"/>
          <w:color w:val="auto"/>
          <w:kern w:val="0"/>
          <w:sz w:val="24"/>
          <w:szCs w:val="24"/>
          <w:highlight w:val="none"/>
          <w:cs/>
          <w:lang w:val="zh-CN"/>
        </w:rPr>
        <w:t>争议</w:t>
      </w:r>
      <w:r>
        <w:rPr>
          <w:rFonts w:hint="eastAsia" w:ascii="宋体" w:hAnsi="宋体" w:eastAsia="宋体" w:cs="宋体"/>
          <w:color w:val="auto"/>
          <w:kern w:val="0"/>
          <w:sz w:val="24"/>
          <w:szCs w:val="24"/>
          <w:highlight w:val="none"/>
          <w:lang w:val="zh-CN"/>
        </w:rPr>
        <w:t>，首先</w:t>
      </w:r>
      <w:r>
        <w:rPr>
          <w:rFonts w:hint="eastAsia" w:ascii="宋体" w:hAnsi="宋体" w:eastAsia="宋体" w:cs="宋体"/>
          <w:color w:val="auto"/>
          <w:kern w:val="0"/>
          <w:sz w:val="24"/>
          <w:szCs w:val="24"/>
          <w:highlight w:val="none"/>
          <w:cs/>
          <w:lang w:val="zh-CN"/>
        </w:rPr>
        <w:t>应</w:t>
      </w:r>
      <w:r>
        <w:rPr>
          <w:rFonts w:hint="eastAsia" w:ascii="宋体" w:hAnsi="宋体" w:eastAsia="宋体" w:cs="宋体"/>
          <w:color w:val="auto"/>
          <w:kern w:val="0"/>
          <w:sz w:val="24"/>
          <w:szCs w:val="24"/>
          <w:highlight w:val="none"/>
          <w:lang w:val="zh-CN"/>
        </w:rPr>
        <w:t>本</w:t>
      </w:r>
      <w:r>
        <w:rPr>
          <w:rFonts w:hint="eastAsia" w:ascii="宋体" w:hAnsi="宋体" w:eastAsia="宋体" w:cs="宋体"/>
          <w:color w:val="auto"/>
          <w:kern w:val="0"/>
          <w:sz w:val="24"/>
          <w:szCs w:val="24"/>
          <w:highlight w:val="none"/>
          <w:cs/>
          <w:lang w:val="zh-CN"/>
        </w:rPr>
        <w:t>着</w:t>
      </w:r>
      <w:r>
        <w:rPr>
          <w:rFonts w:hint="eastAsia" w:ascii="宋体" w:hAnsi="宋体" w:eastAsia="宋体" w:cs="宋体"/>
          <w:color w:val="auto"/>
          <w:kern w:val="0"/>
          <w:sz w:val="24"/>
          <w:szCs w:val="24"/>
          <w:highlight w:val="none"/>
          <w:lang w:val="zh-CN"/>
        </w:rPr>
        <w:t>友好的原</w:t>
      </w:r>
      <w:r>
        <w:rPr>
          <w:rFonts w:hint="eastAsia" w:ascii="宋体" w:hAnsi="宋体" w:eastAsia="宋体" w:cs="宋体"/>
          <w:color w:val="auto"/>
          <w:kern w:val="0"/>
          <w:sz w:val="24"/>
          <w:szCs w:val="24"/>
          <w:highlight w:val="none"/>
          <w:cs/>
          <w:lang w:val="zh-CN"/>
        </w:rPr>
        <w:t>则协</w:t>
      </w:r>
      <w:r>
        <w:rPr>
          <w:rFonts w:hint="eastAsia" w:ascii="宋体" w:hAnsi="宋体" w:eastAsia="宋体" w:cs="宋体"/>
          <w:color w:val="auto"/>
          <w:kern w:val="0"/>
          <w:sz w:val="24"/>
          <w:szCs w:val="24"/>
          <w:highlight w:val="none"/>
          <w:lang w:val="zh-CN"/>
        </w:rPr>
        <w:t>商解</w:t>
      </w:r>
      <w:r>
        <w:rPr>
          <w:rFonts w:hint="eastAsia" w:ascii="宋体" w:hAnsi="宋体" w:eastAsia="宋体" w:cs="宋体"/>
          <w:color w:val="auto"/>
          <w:kern w:val="0"/>
          <w:sz w:val="24"/>
          <w:szCs w:val="24"/>
          <w:highlight w:val="none"/>
          <w:cs/>
          <w:lang w:val="zh-CN"/>
        </w:rPr>
        <w:t>决</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cs/>
          <w:lang w:val="zh-CN"/>
        </w:rPr>
        <w:t>协</w:t>
      </w:r>
      <w:r>
        <w:rPr>
          <w:rFonts w:hint="eastAsia" w:ascii="宋体" w:hAnsi="宋体" w:eastAsia="宋体" w:cs="宋体"/>
          <w:color w:val="auto"/>
          <w:kern w:val="0"/>
          <w:sz w:val="24"/>
          <w:szCs w:val="24"/>
          <w:highlight w:val="none"/>
          <w:lang w:val="zh-CN"/>
        </w:rPr>
        <w:t>商未果的，合同中甲乙</w:t>
      </w:r>
      <w:r>
        <w:rPr>
          <w:rFonts w:hint="eastAsia" w:ascii="宋体" w:hAnsi="宋体" w:eastAsia="宋体" w:cs="宋体"/>
          <w:color w:val="auto"/>
          <w:kern w:val="0"/>
          <w:sz w:val="24"/>
          <w:szCs w:val="24"/>
          <w:highlight w:val="none"/>
          <w:cs/>
          <w:lang w:val="zh-CN"/>
        </w:rPr>
        <w:t>双</w:t>
      </w:r>
      <w:r>
        <w:rPr>
          <w:rFonts w:hint="eastAsia" w:ascii="宋体" w:hAnsi="宋体" w:eastAsia="宋体" w:cs="宋体"/>
          <w:color w:val="auto"/>
          <w:kern w:val="0"/>
          <w:sz w:val="24"/>
          <w:szCs w:val="24"/>
          <w:highlight w:val="none"/>
          <w:lang w:val="zh-CN"/>
        </w:rPr>
        <w:t>方均可</w:t>
      </w:r>
      <w:r>
        <w:rPr>
          <w:rFonts w:hint="eastAsia" w:ascii="宋体" w:hAnsi="宋体" w:eastAsia="宋体" w:cs="宋体"/>
          <w:color w:val="auto"/>
          <w:kern w:val="0"/>
          <w:sz w:val="24"/>
          <w:szCs w:val="24"/>
          <w:highlight w:val="none"/>
        </w:rPr>
        <w:t>向本项目所在地人民法院提起诉讼。</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lang w:val="en-US"/>
        </w:rPr>
      </w:pPr>
    </w:p>
    <w:p>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rPr>
      </w:pPr>
    </w:p>
    <w:p>
      <w:pPr>
        <w:pStyle w:val="2"/>
        <w:numPr>
          <w:ilvl w:val="0"/>
          <w:numId w:val="0"/>
        </w:numPr>
        <w:ind w:left="180" w:leftChars="0"/>
        <w:rPr>
          <w:color w:val="auto"/>
          <w:highlight w:val="none"/>
        </w:rPr>
      </w:pPr>
    </w:p>
    <w:p>
      <w:pPr>
        <w:spacing w:line="360" w:lineRule="auto"/>
        <w:ind w:firstLine="181" w:firstLineChars="50"/>
        <w:rPr>
          <w:rFonts w:ascii="宋体" w:hAnsi="宋体" w:cs="宋体"/>
          <w:b/>
          <w:color w:val="auto"/>
          <w:sz w:val="36"/>
          <w:szCs w:val="36"/>
          <w:highlight w:val="none"/>
        </w:rPr>
      </w:pP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88"/>
      <w:bookmarkEnd w:id="28"/>
      <w:bookmarkStart w:id="29" w:name="_Toc184313303"/>
      <w:bookmarkEnd w:id="29"/>
      <w:bookmarkStart w:id="30" w:name="_Toc184312098"/>
      <w:bookmarkEnd w:id="30"/>
      <w:bookmarkStart w:id="31" w:name="_Toc184313298"/>
      <w:bookmarkEnd w:id="31"/>
      <w:bookmarkStart w:id="32" w:name="_Toc184312116"/>
      <w:bookmarkEnd w:id="32"/>
      <w:bookmarkStart w:id="33" w:name="_Toc184310325"/>
      <w:bookmarkEnd w:id="33"/>
      <w:bookmarkStart w:id="34" w:name="_Toc184312137"/>
      <w:bookmarkEnd w:id="34"/>
      <w:bookmarkStart w:id="35" w:name="_Toc184310308"/>
      <w:bookmarkEnd w:id="35"/>
      <w:bookmarkStart w:id="36" w:name="_Toc184314470"/>
      <w:bookmarkEnd w:id="36"/>
      <w:bookmarkStart w:id="37" w:name="_Toc184308102"/>
      <w:bookmarkEnd w:id="37"/>
      <w:bookmarkStart w:id="38" w:name="_Toc184308055"/>
      <w:bookmarkEnd w:id="38"/>
      <w:bookmarkStart w:id="39" w:name="_Toc184312068"/>
      <w:bookmarkEnd w:id="39"/>
      <w:bookmarkStart w:id="40" w:name="_Toc184312087"/>
      <w:bookmarkEnd w:id="40"/>
      <w:bookmarkStart w:id="41" w:name="_Toc184313281"/>
      <w:bookmarkEnd w:id="41"/>
      <w:bookmarkStart w:id="42" w:name="_Toc184314453"/>
      <w:bookmarkEnd w:id="42"/>
      <w:bookmarkStart w:id="43" w:name="_Toc184313242"/>
      <w:bookmarkEnd w:id="43"/>
      <w:bookmarkStart w:id="44" w:name="_Toc184308040"/>
      <w:bookmarkEnd w:id="44"/>
      <w:bookmarkStart w:id="45" w:name="_Toc184310337"/>
      <w:bookmarkEnd w:id="45"/>
      <w:bookmarkStart w:id="46" w:name="_Toc184312123"/>
      <w:bookmarkEnd w:id="46"/>
      <w:bookmarkStart w:id="47" w:name="_Toc184310317"/>
      <w:bookmarkEnd w:id="47"/>
      <w:bookmarkStart w:id="48" w:name="_Toc184313287"/>
      <w:bookmarkEnd w:id="48"/>
      <w:bookmarkStart w:id="49" w:name="_Toc184314477"/>
      <w:bookmarkEnd w:id="49"/>
      <w:bookmarkStart w:id="50" w:name="_Toc184312109"/>
      <w:bookmarkEnd w:id="50"/>
      <w:bookmarkStart w:id="51" w:name="_Toc184308088"/>
      <w:bookmarkEnd w:id="51"/>
      <w:bookmarkStart w:id="52" w:name="_Toc184310286"/>
      <w:bookmarkEnd w:id="52"/>
      <w:bookmarkStart w:id="53" w:name="_Toc184313248"/>
      <w:bookmarkEnd w:id="53"/>
      <w:bookmarkStart w:id="54" w:name="_Toc184308084"/>
      <w:bookmarkEnd w:id="54"/>
      <w:bookmarkStart w:id="55" w:name="_Toc184312113"/>
      <w:bookmarkEnd w:id="55"/>
      <w:bookmarkStart w:id="56" w:name="_Toc184308106"/>
      <w:bookmarkEnd w:id="56"/>
      <w:bookmarkStart w:id="57" w:name="_Toc184308096"/>
      <w:bookmarkEnd w:id="57"/>
      <w:bookmarkStart w:id="58" w:name="_Toc184313241"/>
      <w:bookmarkEnd w:id="58"/>
      <w:bookmarkStart w:id="59" w:name="_Toc184313264"/>
      <w:bookmarkEnd w:id="59"/>
      <w:bookmarkStart w:id="60" w:name="_Toc184313301"/>
      <w:bookmarkEnd w:id="60"/>
      <w:bookmarkStart w:id="61" w:name="_Toc184312106"/>
      <w:bookmarkEnd w:id="61"/>
      <w:bookmarkStart w:id="62" w:name="_Toc184313294"/>
      <w:bookmarkEnd w:id="62"/>
      <w:bookmarkStart w:id="63" w:name="_Toc184313262"/>
      <w:bookmarkEnd w:id="63"/>
      <w:bookmarkStart w:id="64" w:name="_Toc184313259"/>
      <w:bookmarkEnd w:id="64"/>
      <w:bookmarkStart w:id="65" w:name="_Toc184310297"/>
      <w:bookmarkEnd w:id="65"/>
      <w:bookmarkStart w:id="66" w:name="_Toc184314457"/>
      <w:bookmarkEnd w:id="66"/>
      <w:bookmarkStart w:id="67" w:name="_Toc184314465"/>
      <w:bookmarkEnd w:id="67"/>
      <w:bookmarkStart w:id="68" w:name="_Toc184310318"/>
      <w:bookmarkEnd w:id="68"/>
      <w:bookmarkStart w:id="69" w:name="_Toc184314462"/>
      <w:bookmarkEnd w:id="69"/>
      <w:bookmarkStart w:id="70" w:name="_Toc184312085"/>
      <w:bookmarkEnd w:id="70"/>
      <w:bookmarkStart w:id="71" w:name="_Toc184313266"/>
      <w:bookmarkEnd w:id="71"/>
      <w:bookmarkStart w:id="72" w:name="_Toc184308091"/>
      <w:bookmarkEnd w:id="72"/>
      <w:bookmarkStart w:id="73" w:name="_Toc184314482"/>
      <w:bookmarkEnd w:id="73"/>
      <w:bookmarkStart w:id="74" w:name="_Toc184312073"/>
      <w:bookmarkEnd w:id="74"/>
      <w:bookmarkStart w:id="75" w:name="_Toc184314417"/>
      <w:bookmarkEnd w:id="75"/>
      <w:bookmarkStart w:id="76" w:name="_Toc184314479"/>
      <w:bookmarkEnd w:id="76"/>
      <w:bookmarkStart w:id="77" w:name="_Toc184312072"/>
      <w:bookmarkEnd w:id="77"/>
      <w:bookmarkStart w:id="78" w:name="_Toc184314439"/>
      <w:bookmarkEnd w:id="78"/>
      <w:bookmarkStart w:id="79" w:name="_Toc184312102"/>
      <w:bookmarkEnd w:id="79"/>
      <w:bookmarkStart w:id="80" w:name="_Toc184313238"/>
      <w:bookmarkEnd w:id="80"/>
      <w:bookmarkStart w:id="81" w:name="_Toc184313265"/>
      <w:bookmarkEnd w:id="81"/>
      <w:bookmarkStart w:id="82" w:name="_Toc184310299"/>
      <w:bookmarkEnd w:id="82"/>
      <w:bookmarkStart w:id="83" w:name="_Toc184312079"/>
      <w:bookmarkEnd w:id="83"/>
      <w:bookmarkStart w:id="84" w:name="_Toc184308043"/>
      <w:bookmarkEnd w:id="84"/>
      <w:bookmarkStart w:id="85" w:name="_Toc184312074"/>
      <w:bookmarkEnd w:id="85"/>
      <w:bookmarkStart w:id="86" w:name="_Toc184313274"/>
      <w:bookmarkEnd w:id="86"/>
      <w:bookmarkStart w:id="87" w:name="_Toc184308048"/>
      <w:bookmarkEnd w:id="87"/>
      <w:bookmarkStart w:id="88" w:name="_Toc184314449"/>
      <w:bookmarkEnd w:id="88"/>
      <w:bookmarkStart w:id="89" w:name="_Toc184314467"/>
      <w:bookmarkEnd w:id="89"/>
      <w:bookmarkStart w:id="90" w:name="_Toc184313256"/>
      <w:bookmarkEnd w:id="90"/>
      <w:bookmarkStart w:id="91" w:name="_Toc184310316"/>
      <w:bookmarkEnd w:id="91"/>
      <w:bookmarkStart w:id="92" w:name="_Toc184312092"/>
      <w:bookmarkEnd w:id="92"/>
      <w:bookmarkStart w:id="93" w:name="_Toc184308086"/>
      <w:bookmarkEnd w:id="93"/>
      <w:bookmarkStart w:id="94" w:name="_Toc184308066"/>
      <w:bookmarkEnd w:id="94"/>
      <w:bookmarkStart w:id="95" w:name="_Toc184310289"/>
      <w:bookmarkEnd w:id="95"/>
      <w:bookmarkStart w:id="96" w:name="_Toc184314432"/>
      <w:bookmarkEnd w:id="96"/>
      <w:bookmarkStart w:id="97" w:name="_Toc184314447"/>
      <w:bookmarkEnd w:id="97"/>
      <w:bookmarkStart w:id="98" w:name="_Toc184310342"/>
      <w:bookmarkEnd w:id="98"/>
      <w:bookmarkStart w:id="99" w:name="_Toc184308090"/>
      <w:bookmarkEnd w:id="99"/>
      <w:bookmarkStart w:id="100" w:name="_Toc184308071"/>
      <w:bookmarkEnd w:id="100"/>
      <w:bookmarkStart w:id="101" w:name="_Toc184310344"/>
      <w:bookmarkEnd w:id="101"/>
      <w:bookmarkStart w:id="102" w:name="_Toc184308062"/>
      <w:bookmarkEnd w:id="102"/>
      <w:bookmarkStart w:id="103" w:name="_Toc184308083"/>
      <w:bookmarkEnd w:id="103"/>
      <w:bookmarkStart w:id="104" w:name="_Toc184310333"/>
      <w:bookmarkEnd w:id="104"/>
      <w:bookmarkStart w:id="105" w:name="_Toc184314431"/>
      <w:bookmarkEnd w:id="105"/>
      <w:bookmarkStart w:id="106" w:name="_Toc184308089"/>
      <w:bookmarkEnd w:id="106"/>
      <w:bookmarkStart w:id="107" w:name="_Toc184308075"/>
      <w:bookmarkEnd w:id="107"/>
      <w:bookmarkStart w:id="108" w:name="_Toc184314480"/>
      <w:bookmarkEnd w:id="108"/>
      <w:bookmarkStart w:id="109" w:name="_Toc184313260"/>
      <w:bookmarkEnd w:id="109"/>
      <w:bookmarkStart w:id="110" w:name="_Toc184313254"/>
      <w:bookmarkEnd w:id="110"/>
      <w:bookmarkStart w:id="111" w:name="_Toc184308059"/>
      <w:bookmarkEnd w:id="111"/>
      <w:bookmarkStart w:id="112" w:name="_Toc184310326"/>
      <w:bookmarkEnd w:id="112"/>
      <w:bookmarkStart w:id="113" w:name="_Toc184310277"/>
      <w:bookmarkEnd w:id="113"/>
      <w:bookmarkStart w:id="114" w:name="_Toc184308067"/>
      <w:bookmarkEnd w:id="114"/>
      <w:bookmarkStart w:id="115" w:name="_Toc184312081"/>
      <w:bookmarkEnd w:id="115"/>
      <w:bookmarkStart w:id="116" w:name="_Toc184312097"/>
      <w:bookmarkEnd w:id="116"/>
      <w:bookmarkStart w:id="117" w:name="_Toc184313267"/>
      <w:bookmarkEnd w:id="117"/>
      <w:bookmarkStart w:id="118" w:name="_Toc184313245"/>
      <w:bookmarkEnd w:id="118"/>
      <w:bookmarkStart w:id="119" w:name="_Toc184308044"/>
      <w:bookmarkEnd w:id="119"/>
      <w:bookmarkStart w:id="120" w:name="_Toc184313243"/>
      <w:bookmarkEnd w:id="120"/>
      <w:bookmarkStart w:id="121" w:name="_Toc184313299"/>
      <w:bookmarkEnd w:id="121"/>
      <w:bookmarkStart w:id="122" w:name="_Toc184310311"/>
      <w:bookmarkEnd w:id="122"/>
      <w:bookmarkStart w:id="123" w:name="_Toc184312120"/>
      <w:bookmarkEnd w:id="123"/>
      <w:bookmarkStart w:id="124" w:name="_Toc184308064"/>
      <w:bookmarkEnd w:id="124"/>
      <w:bookmarkStart w:id="125" w:name="_Toc184312111"/>
      <w:bookmarkEnd w:id="125"/>
      <w:bookmarkStart w:id="126" w:name="_Toc184308041"/>
      <w:bookmarkEnd w:id="126"/>
      <w:bookmarkStart w:id="127" w:name="_Toc184308081"/>
      <w:bookmarkEnd w:id="127"/>
      <w:bookmarkStart w:id="128" w:name="_Toc184310290"/>
      <w:bookmarkEnd w:id="128"/>
      <w:bookmarkStart w:id="129" w:name="_Toc184313308"/>
      <w:bookmarkEnd w:id="129"/>
      <w:bookmarkStart w:id="130" w:name="_Toc184314473"/>
      <w:bookmarkEnd w:id="130"/>
      <w:bookmarkStart w:id="131" w:name="_Toc184308038"/>
      <w:bookmarkEnd w:id="131"/>
      <w:bookmarkStart w:id="132" w:name="_Toc184308094"/>
      <w:bookmarkEnd w:id="132"/>
      <w:bookmarkStart w:id="133" w:name="_Toc184310301"/>
      <w:bookmarkEnd w:id="133"/>
      <w:bookmarkStart w:id="134" w:name="_Toc184310339"/>
      <w:bookmarkEnd w:id="134"/>
      <w:bookmarkStart w:id="135" w:name="_Toc184312077"/>
      <w:bookmarkEnd w:id="135"/>
      <w:bookmarkStart w:id="136" w:name="_Toc184310278"/>
      <w:bookmarkEnd w:id="136"/>
      <w:bookmarkStart w:id="137" w:name="_Toc184308057"/>
      <w:bookmarkEnd w:id="137"/>
      <w:bookmarkStart w:id="138" w:name="_Toc184313257"/>
      <w:bookmarkEnd w:id="138"/>
      <w:bookmarkStart w:id="139" w:name="_Toc184312071"/>
      <w:bookmarkEnd w:id="139"/>
      <w:bookmarkStart w:id="140" w:name="_Toc184310328"/>
      <w:bookmarkEnd w:id="140"/>
      <w:bookmarkStart w:id="141" w:name="_Toc184308042"/>
      <w:bookmarkEnd w:id="141"/>
      <w:bookmarkStart w:id="142" w:name="_Toc184314474"/>
      <w:bookmarkEnd w:id="142"/>
      <w:bookmarkStart w:id="143" w:name="_Toc184310274"/>
      <w:bookmarkEnd w:id="143"/>
      <w:bookmarkStart w:id="144" w:name="_Toc184308087"/>
      <w:bookmarkEnd w:id="144"/>
      <w:bookmarkStart w:id="145" w:name="_Toc184314425"/>
      <w:bookmarkEnd w:id="145"/>
      <w:bookmarkStart w:id="146" w:name="_Toc184310335"/>
      <w:bookmarkEnd w:id="146"/>
      <w:bookmarkStart w:id="147" w:name="_Toc184313261"/>
      <w:bookmarkEnd w:id="147"/>
      <w:bookmarkStart w:id="148" w:name="_Toc184313272"/>
      <w:bookmarkEnd w:id="148"/>
      <w:bookmarkStart w:id="149" w:name="_Toc184314463"/>
      <w:bookmarkEnd w:id="149"/>
      <w:bookmarkStart w:id="150" w:name="_Toc184314443"/>
      <w:bookmarkEnd w:id="150"/>
      <w:bookmarkStart w:id="151" w:name="_Toc184313239"/>
      <w:bookmarkEnd w:id="151"/>
      <w:bookmarkStart w:id="152" w:name="_Toc184310275"/>
      <w:bookmarkEnd w:id="152"/>
      <w:bookmarkStart w:id="153" w:name="_Toc184314438"/>
      <w:bookmarkEnd w:id="153"/>
      <w:bookmarkStart w:id="154" w:name="_Toc184312082"/>
      <w:bookmarkEnd w:id="154"/>
      <w:bookmarkStart w:id="155" w:name="_Toc184313304"/>
      <w:bookmarkEnd w:id="155"/>
      <w:bookmarkStart w:id="156" w:name="_Toc184314440"/>
      <w:bookmarkEnd w:id="156"/>
      <w:bookmarkStart w:id="157" w:name="_Toc184314434"/>
      <w:bookmarkEnd w:id="157"/>
      <w:bookmarkStart w:id="158" w:name="_Toc184308061"/>
      <w:bookmarkEnd w:id="158"/>
      <w:bookmarkStart w:id="159" w:name="_Toc184310341"/>
      <w:bookmarkEnd w:id="159"/>
      <w:bookmarkStart w:id="160" w:name="_Toc184314461"/>
      <w:bookmarkEnd w:id="160"/>
      <w:bookmarkStart w:id="161" w:name="_Toc184312108"/>
      <w:bookmarkEnd w:id="161"/>
      <w:bookmarkStart w:id="162" w:name="_Toc184308103"/>
      <w:bookmarkEnd w:id="162"/>
      <w:bookmarkStart w:id="163" w:name="_Toc184312089"/>
      <w:bookmarkEnd w:id="163"/>
      <w:bookmarkStart w:id="164" w:name="_Toc184314442"/>
      <w:bookmarkEnd w:id="164"/>
      <w:bookmarkStart w:id="165" w:name="_Toc184314459"/>
      <w:bookmarkEnd w:id="165"/>
      <w:bookmarkStart w:id="166" w:name="_Toc184314416"/>
      <w:bookmarkEnd w:id="166"/>
      <w:bookmarkStart w:id="167" w:name="_Toc184310291"/>
      <w:bookmarkEnd w:id="167"/>
      <w:bookmarkStart w:id="168" w:name="_Toc184312100"/>
      <w:bookmarkEnd w:id="168"/>
      <w:bookmarkStart w:id="169" w:name="_Toc184314458"/>
      <w:bookmarkEnd w:id="169"/>
      <w:bookmarkStart w:id="170" w:name="_Toc184308037"/>
      <w:bookmarkEnd w:id="170"/>
      <w:bookmarkStart w:id="171" w:name="_Toc184308105"/>
      <w:bookmarkEnd w:id="171"/>
      <w:bookmarkStart w:id="172" w:name="_Toc184310331"/>
      <w:bookmarkEnd w:id="172"/>
      <w:bookmarkStart w:id="173" w:name="_Toc184314412"/>
      <w:bookmarkEnd w:id="173"/>
      <w:bookmarkStart w:id="174" w:name="_Toc184314433"/>
      <w:bookmarkEnd w:id="174"/>
      <w:bookmarkStart w:id="175" w:name="_Toc184308065"/>
      <w:bookmarkEnd w:id="175"/>
      <w:bookmarkStart w:id="176" w:name="_Toc184310279"/>
      <w:bookmarkEnd w:id="176"/>
      <w:bookmarkStart w:id="177" w:name="_Toc184312084"/>
      <w:bookmarkEnd w:id="177"/>
      <w:bookmarkStart w:id="178" w:name="_Toc184313273"/>
      <w:bookmarkEnd w:id="178"/>
      <w:bookmarkStart w:id="179" w:name="_Toc184312114"/>
      <w:bookmarkEnd w:id="179"/>
      <w:bookmarkStart w:id="180" w:name="_Toc184312121"/>
      <w:bookmarkEnd w:id="180"/>
      <w:bookmarkStart w:id="181" w:name="_Toc184310276"/>
      <w:bookmarkEnd w:id="181"/>
      <w:bookmarkStart w:id="182" w:name="_Toc184314419"/>
      <w:bookmarkEnd w:id="182"/>
      <w:bookmarkStart w:id="183" w:name="_Toc184313300"/>
      <w:bookmarkEnd w:id="183"/>
      <w:bookmarkStart w:id="184" w:name="_Toc184313279"/>
      <w:bookmarkEnd w:id="184"/>
      <w:bookmarkStart w:id="185" w:name="_Toc184308069"/>
      <w:bookmarkEnd w:id="185"/>
      <w:bookmarkStart w:id="186" w:name="_Toc184312069"/>
      <w:bookmarkEnd w:id="186"/>
      <w:bookmarkStart w:id="187" w:name="_Toc184312122"/>
      <w:bookmarkEnd w:id="187"/>
      <w:bookmarkStart w:id="188" w:name="_Toc184310303"/>
      <w:bookmarkEnd w:id="188"/>
      <w:bookmarkStart w:id="189" w:name="_Toc184308058"/>
      <w:bookmarkEnd w:id="189"/>
      <w:bookmarkStart w:id="190" w:name="_Toc184314436"/>
      <w:bookmarkEnd w:id="190"/>
      <w:bookmarkStart w:id="191" w:name="_Toc184310321"/>
      <w:bookmarkEnd w:id="191"/>
      <w:bookmarkStart w:id="192" w:name="_Toc184312133"/>
      <w:bookmarkEnd w:id="192"/>
      <w:bookmarkStart w:id="193" w:name="_Toc184310322"/>
      <w:bookmarkEnd w:id="193"/>
      <w:bookmarkStart w:id="194" w:name="_Toc184312095"/>
      <w:bookmarkEnd w:id="194"/>
      <w:bookmarkStart w:id="195" w:name="_Toc184310330"/>
      <w:bookmarkEnd w:id="195"/>
      <w:bookmarkStart w:id="196" w:name="_Toc184308070"/>
      <w:bookmarkEnd w:id="196"/>
      <w:bookmarkStart w:id="197" w:name="_Toc184314481"/>
      <w:bookmarkEnd w:id="197"/>
      <w:bookmarkStart w:id="198" w:name="_Toc184310309"/>
      <w:bookmarkEnd w:id="198"/>
      <w:bookmarkStart w:id="199" w:name="_Toc184313251"/>
      <w:bookmarkEnd w:id="199"/>
      <w:bookmarkStart w:id="200" w:name="_Toc184313253"/>
      <w:bookmarkEnd w:id="200"/>
      <w:bookmarkStart w:id="201" w:name="_Toc184308056"/>
      <w:bookmarkEnd w:id="201"/>
      <w:bookmarkStart w:id="202" w:name="_Toc184313270"/>
      <w:bookmarkEnd w:id="202"/>
      <w:bookmarkStart w:id="203" w:name="_Toc184310294"/>
      <w:bookmarkEnd w:id="203"/>
      <w:bookmarkStart w:id="204" w:name="_Toc184312127"/>
      <w:bookmarkEnd w:id="204"/>
      <w:bookmarkStart w:id="205" w:name="_Toc184312128"/>
      <w:bookmarkEnd w:id="205"/>
      <w:bookmarkStart w:id="206" w:name="_Toc184314468"/>
      <w:bookmarkEnd w:id="206"/>
      <w:bookmarkStart w:id="207" w:name="_Toc184313285"/>
      <w:bookmarkEnd w:id="207"/>
      <w:bookmarkStart w:id="208" w:name="_Toc184314441"/>
      <w:bookmarkEnd w:id="208"/>
      <w:bookmarkStart w:id="209" w:name="_Toc184310315"/>
      <w:bookmarkEnd w:id="209"/>
      <w:bookmarkStart w:id="210" w:name="_Toc184310307"/>
      <w:bookmarkEnd w:id="210"/>
      <w:bookmarkStart w:id="211" w:name="_Toc184314466"/>
      <w:bookmarkEnd w:id="211"/>
      <w:bookmarkStart w:id="212" w:name="_Toc184312125"/>
      <w:bookmarkEnd w:id="212"/>
      <w:bookmarkStart w:id="213" w:name="_Toc184308107"/>
      <w:bookmarkEnd w:id="213"/>
      <w:bookmarkStart w:id="214" w:name="_Toc184310288"/>
      <w:bookmarkEnd w:id="214"/>
      <w:bookmarkStart w:id="215" w:name="_Toc184312118"/>
      <w:bookmarkEnd w:id="215"/>
      <w:bookmarkStart w:id="216" w:name="_Toc184312138"/>
      <w:bookmarkEnd w:id="216"/>
      <w:bookmarkStart w:id="217" w:name="_Toc184312104"/>
      <w:bookmarkEnd w:id="217"/>
      <w:bookmarkStart w:id="218" w:name="_Toc184314464"/>
      <w:bookmarkEnd w:id="218"/>
      <w:bookmarkStart w:id="219" w:name="_Toc184314456"/>
      <w:bookmarkEnd w:id="219"/>
      <w:bookmarkStart w:id="220" w:name="_Toc184313302"/>
      <w:bookmarkEnd w:id="220"/>
      <w:bookmarkStart w:id="221" w:name="_Toc184308080"/>
      <w:bookmarkEnd w:id="221"/>
      <w:bookmarkStart w:id="222" w:name="_Toc184314420"/>
      <w:bookmarkEnd w:id="222"/>
      <w:bookmarkStart w:id="223" w:name="_Toc184313293"/>
      <w:bookmarkEnd w:id="223"/>
      <w:bookmarkStart w:id="224" w:name="_Toc184314437"/>
      <w:bookmarkEnd w:id="224"/>
      <w:bookmarkStart w:id="225" w:name="_Toc184313263"/>
      <w:bookmarkEnd w:id="225"/>
      <w:bookmarkStart w:id="226" w:name="_Toc184308060"/>
      <w:bookmarkEnd w:id="226"/>
      <w:bookmarkStart w:id="227" w:name="_Toc184313280"/>
      <w:bookmarkEnd w:id="227"/>
      <w:bookmarkStart w:id="228" w:name="_Toc184308092"/>
      <w:bookmarkEnd w:id="228"/>
      <w:bookmarkStart w:id="229" w:name="_Toc184312067"/>
      <w:bookmarkEnd w:id="229"/>
      <w:bookmarkStart w:id="230" w:name="_Toc184313249"/>
      <w:bookmarkEnd w:id="230"/>
      <w:bookmarkStart w:id="231" w:name="_Toc184313307"/>
      <w:bookmarkEnd w:id="231"/>
      <w:bookmarkStart w:id="232" w:name="_Toc184314435"/>
      <w:bookmarkEnd w:id="232"/>
      <w:bookmarkStart w:id="233" w:name="_Toc184308077"/>
      <w:bookmarkEnd w:id="233"/>
      <w:bookmarkStart w:id="234" w:name="_Toc184310338"/>
      <w:bookmarkEnd w:id="234"/>
      <w:bookmarkStart w:id="235" w:name="_Toc184308099"/>
      <w:bookmarkEnd w:id="235"/>
      <w:bookmarkStart w:id="236" w:name="_Toc184313296"/>
      <w:bookmarkEnd w:id="236"/>
      <w:bookmarkStart w:id="237" w:name="_Toc184308104"/>
      <w:bookmarkEnd w:id="237"/>
      <w:bookmarkStart w:id="238" w:name="_Toc184313290"/>
      <w:bookmarkEnd w:id="238"/>
      <w:bookmarkStart w:id="239" w:name="_Toc184310283"/>
      <w:bookmarkEnd w:id="239"/>
      <w:bookmarkStart w:id="240" w:name="_Toc184310336"/>
      <w:bookmarkEnd w:id="240"/>
      <w:bookmarkStart w:id="241" w:name="_Toc184308072"/>
      <w:bookmarkEnd w:id="241"/>
      <w:bookmarkStart w:id="242" w:name="_Toc184308076"/>
      <w:bookmarkEnd w:id="242"/>
      <w:bookmarkStart w:id="243" w:name="_Toc184312139"/>
      <w:bookmarkEnd w:id="243"/>
      <w:bookmarkStart w:id="244" w:name="_Toc184313247"/>
      <w:bookmarkEnd w:id="244"/>
      <w:bookmarkStart w:id="245" w:name="_Toc184308074"/>
      <w:bookmarkEnd w:id="245"/>
      <w:bookmarkStart w:id="246" w:name="_Toc184314469"/>
      <w:bookmarkEnd w:id="246"/>
      <w:bookmarkStart w:id="247" w:name="_Toc184308078"/>
      <w:bookmarkEnd w:id="247"/>
      <w:bookmarkStart w:id="248" w:name="_Toc184314421"/>
      <w:bookmarkEnd w:id="248"/>
      <w:bookmarkStart w:id="249" w:name="_Toc184312099"/>
      <w:bookmarkEnd w:id="249"/>
      <w:bookmarkStart w:id="250" w:name="_Toc184310272"/>
      <w:bookmarkEnd w:id="250"/>
      <w:bookmarkStart w:id="251" w:name="_Toc184314445"/>
      <w:bookmarkEnd w:id="251"/>
      <w:bookmarkStart w:id="252" w:name="_Toc184308101"/>
      <w:bookmarkEnd w:id="252"/>
      <w:bookmarkStart w:id="253" w:name="_Toc184313250"/>
      <w:bookmarkEnd w:id="253"/>
      <w:bookmarkStart w:id="254" w:name="_Toc184312078"/>
      <w:bookmarkEnd w:id="254"/>
      <w:bookmarkStart w:id="255" w:name="_Toc184314476"/>
      <w:bookmarkEnd w:id="255"/>
      <w:bookmarkStart w:id="256" w:name="_Toc184310302"/>
      <w:bookmarkEnd w:id="256"/>
      <w:bookmarkStart w:id="257" w:name="_Toc184310312"/>
      <w:bookmarkEnd w:id="257"/>
      <w:bookmarkStart w:id="258" w:name="_Toc184314446"/>
      <w:bookmarkEnd w:id="258"/>
      <w:bookmarkStart w:id="259" w:name="_Toc184310329"/>
      <w:bookmarkEnd w:id="259"/>
      <w:bookmarkStart w:id="260" w:name="_Toc184314411"/>
      <w:bookmarkEnd w:id="260"/>
      <w:bookmarkStart w:id="261" w:name="_Toc184314418"/>
      <w:bookmarkEnd w:id="261"/>
      <w:bookmarkStart w:id="262" w:name="_Toc184313286"/>
      <w:bookmarkEnd w:id="262"/>
      <w:bookmarkStart w:id="263" w:name="_Toc184314478"/>
      <w:bookmarkEnd w:id="263"/>
      <w:bookmarkStart w:id="264" w:name="_Toc184310314"/>
      <w:bookmarkEnd w:id="264"/>
      <w:bookmarkStart w:id="265" w:name="_Toc184310319"/>
      <w:bookmarkEnd w:id="265"/>
      <w:bookmarkStart w:id="266" w:name="_Toc184314454"/>
      <w:bookmarkEnd w:id="266"/>
      <w:bookmarkStart w:id="267" w:name="_Toc184310296"/>
      <w:bookmarkEnd w:id="267"/>
      <w:bookmarkStart w:id="268" w:name="_Toc184313306"/>
      <w:bookmarkEnd w:id="268"/>
      <w:bookmarkStart w:id="269" w:name="_Toc184310284"/>
      <w:bookmarkEnd w:id="269"/>
      <w:bookmarkStart w:id="270" w:name="_Toc184314427"/>
      <w:bookmarkEnd w:id="270"/>
      <w:bookmarkStart w:id="271" w:name="_Toc184310287"/>
      <w:bookmarkEnd w:id="271"/>
      <w:bookmarkStart w:id="272" w:name="_Toc184312075"/>
      <w:bookmarkEnd w:id="272"/>
      <w:bookmarkStart w:id="273" w:name="_Toc184308073"/>
      <w:bookmarkEnd w:id="273"/>
      <w:bookmarkStart w:id="274" w:name="_Toc184312129"/>
      <w:bookmarkEnd w:id="274"/>
      <w:bookmarkStart w:id="275" w:name="_Toc184310280"/>
      <w:bookmarkEnd w:id="275"/>
      <w:bookmarkStart w:id="276" w:name="_Toc184308108"/>
      <w:bookmarkEnd w:id="276"/>
      <w:bookmarkStart w:id="277" w:name="_Toc184314444"/>
      <w:bookmarkEnd w:id="277"/>
      <w:bookmarkStart w:id="278" w:name="_Toc184314428"/>
      <w:bookmarkEnd w:id="278"/>
      <w:bookmarkStart w:id="279" w:name="_Toc184313277"/>
      <w:bookmarkEnd w:id="279"/>
      <w:bookmarkStart w:id="280" w:name="_Toc184312093"/>
      <w:bookmarkEnd w:id="280"/>
      <w:bookmarkStart w:id="281" w:name="_Toc184308100"/>
      <w:bookmarkEnd w:id="281"/>
      <w:bookmarkStart w:id="282" w:name="_Toc184312112"/>
      <w:bookmarkEnd w:id="282"/>
      <w:bookmarkStart w:id="283" w:name="_Toc184313278"/>
      <w:bookmarkEnd w:id="283"/>
      <w:bookmarkStart w:id="284" w:name="_Toc184310334"/>
      <w:bookmarkEnd w:id="284"/>
      <w:bookmarkStart w:id="285" w:name="_Toc184314415"/>
      <w:bookmarkEnd w:id="285"/>
      <w:bookmarkStart w:id="286" w:name="_Toc184313295"/>
      <w:bookmarkEnd w:id="286"/>
      <w:bookmarkStart w:id="287" w:name="_Toc184314472"/>
      <w:bookmarkEnd w:id="287"/>
      <w:bookmarkStart w:id="288" w:name="_Toc184314450"/>
      <w:bookmarkEnd w:id="288"/>
      <w:bookmarkStart w:id="289" w:name="_Toc184312126"/>
      <w:bookmarkEnd w:id="289"/>
      <w:bookmarkStart w:id="290" w:name="_Toc184312136"/>
      <w:bookmarkEnd w:id="290"/>
      <w:bookmarkStart w:id="291" w:name="_Toc184310340"/>
      <w:bookmarkEnd w:id="291"/>
      <w:bookmarkStart w:id="292" w:name="_Toc184310273"/>
      <w:bookmarkEnd w:id="292"/>
      <w:bookmarkStart w:id="293" w:name="_Toc184310304"/>
      <w:bookmarkEnd w:id="293"/>
      <w:bookmarkStart w:id="294" w:name="_Toc184313244"/>
      <w:bookmarkEnd w:id="294"/>
      <w:bookmarkStart w:id="295" w:name="_Toc184310323"/>
      <w:bookmarkEnd w:id="295"/>
      <w:bookmarkStart w:id="296" w:name="_Toc184312124"/>
      <w:bookmarkEnd w:id="296"/>
      <w:bookmarkStart w:id="297" w:name="_Toc184312130"/>
      <w:bookmarkEnd w:id="297"/>
      <w:bookmarkStart w:id="298" w:name="_Toc184314423"/>
      <w:bookmarkEnd w:id="298"/>
      <w:bookmarkStart w:id="299" w:name="_Toc184313246"/>
      <w:bookmarkEnd w:id="299"/>
      <w:bookmarkStart w:id="300" w:name="_Toc184308095"/>
      <w:bookmarkEnd w:id="300"/>
      <w:bookmarkStart w:id="301" w:name="_Toc184312086"/>
      <w:bookmarkEnd w:id="301"/>
      <w:bookmarkStart w:id="302" w:name="_Toc184308079"/>
      <w:bookmarkEnd w:id="302"/>
      <w:bookmarkStart w:id="303" w:name="_Toc184310324"/>
      <w:bookmarkEnd w:id="303"/>
      <w:bookmarkStart w:id="304" w:name="_Toc184312131"/>
      <w:bookmarkEnd w:id="304"/>
      <w:bookmarkStart w:id="305" w:name="_Toc184314460"/>
      <w:bookmarkEnd w:id="305"/>
      <w:bookmarkStart w:id="306" w:name="_Toc184310285"/>
      <w:bookmarkEnd w:id="306"/>
      <w:bookmarkStart w:id="307" w:name="_Toc184312091"/>
      <w:bookmarkEnd w:id="307"/>
      <w:bookmarkStart w:id="308" w:name="_Toc184312090"/>
      <w:bookmarkEnd w:id="308"/>
      <w:bookmarkStart w:id="309" w:name="_Toc184308039"/>
      <w:bookmarkEnd w:id="309"/>
      <w:bookmarkStart w:id="310" w:name="_Toc184312094"/>
      <w:bookmarkEnd w:id="310"/>
      <w:bookmarkStart w:id="311" w:name="_Toc184314414"/>
      <w:bookmarkEnd w:id="311"/>
      <w:bookmarkStart w:id="312" w:name="_Toc184310320"/>
      <w:bookmarkEnd w:id="312"/>
      <w:bookmarkStart w:id="313" w:name="_Toc184308051"/>
      <w:bookmarkEnd w:id="313"/>
      <w:bookmarkStart w:id="314" w:name="_Toc184314413"/>
      <w:bookmarkEnd w:id="314"/>
      <w:bookmarkStart w:id="315" w:name="_Toc184312088"/>
      <w:bookmarkEnd w:id="315"/>
      <w:bookmarkStart w:id="316" w:name="_Toc184314426"/>
      <w:bookmarkEnd w:id="316"/>
      <w:bookmarkStart w:id="317" w:name="_Toc184314448"/>
      <w:bookmarkEnd w:id="317"/>
      <w:bookmarkStart w:id="318" w:name="_Toc184313305"/>
      <w:bookmarkEnd w:id="318"/>
      <w:bookmarkStart w:id="319" w:name="_Toc184314430"/>
      <w:bookmarkEnd w:id="319"/>
      <w:bookmarkStart w:id="320" w:name="_Toc184312132"/>
      <w:bookmarkEnd w:id="320"/>
      <w:bookmarkStart w:id="321" w:name="_Toc184314424"/>
      <w:bookmarkEnd w:id="321"/>
      <w:bookmarkStart w:id="322" w:name="_Toc184313275"/>
      <w:bookmarkEnd w:id="322"/>
      <w:bookmarkStart w:id="323" w:name="_Toc184312119"/>
      <w:bookmarkEnd w:id="323"/>
      <w:bookmarkStart w:id="324" w:name="_Toc184314429"/>
      <w:bookmarkEnd w:id="324"/>
      <w:bookmarkStart w:id="325" w:name="_Toc184310332"/>
      <w:bookmarkEnd w:id="325"/>
      <w:bookmarkStart w:id="326" w:name="_Toc184308036"/>
      <w:bookmarkEnd w:id="326"/>
      <w:bookmarkStart w:id="327" w:name="_Toc184313282"/>
      <w:bookmarkEnd w:id="327"/>
      <w:bookmarkStart w:id="328" w:name="_Toc184313269"/>
      <w:bookmarkEnd w:id="328"/>
      <w:bookmarkStart w:id="329" w:name="_Toc184312101"/>
      <w:bookmarkEnd w:id="329"/>
      <w:bookmarkStart w:id="330" w:name="_Toc184313310"/>
      <w:bookmarkEnd w:id="330"/>
      <w:bookmarkStart w:id="331" w:name="_Toc184310327"/>
      <w:bookmarkEnd w:id="331"/>
      <w:bookmarkStart w:id="332" w:name="_Toc184312134"/>
      <w:bookmarkEnd w:id="332"/>
      <w:bookmarkStart w:id="333" w:name="_Toc184314452"/>
      <w:bookmarkEnd w:id="333"/>
      <w:bookmarkStart w:id="334" w:name="_Toc184308046"/>
      <w:bookmarkEnd w:id="334"/>
      <w:bookmarkStart w:id="335" w:name="_Toc184310305"/>
      <w:bookmarkEnd w:id="335"/>
      <w:bookmarkStart w:id="336" w:name="_Toc184313291"/>
      <w:bookmarkEnd w:id="336"/>
      <w:bookmarkStart w:id="337" w:name="_Toc184314475"/>
      <w:bookmarkEnd w:id="337"/>
      <w:bookmarkStart w:id="338" w:name="_Toc184308085"/>
      <w:bookmarkEnd w:id="338"/>
      <w:bookmarkStart w:id="339" w:name="_Toc184308068"/>
      <w:bookmarkEnd w:id="339"/>
      <w:bookmarkStart w:id="340" w:name="_Toc184308047"/>
      <w:bookmarkEnd w:id="340"/>
      <w:bookmarkStart w:id="341" w:name="_Toc184308098"/>
      <w:bookmarkEnd w:id="341"/>
      <w:bookmarkStart w:id="342" w:name="_Toc184312117"/>
      <w:bookmarkEnd w:id="342"/>
      <w:bookmarkStart w:id="343" w:name="_Toc184308063"/>
      <w:bookmarkEnd w:id="343"/>
      <w:bookmarkStart w:id="344" w:name="_Toc184310306"/>
      <w:bookmarkEnd w:id="344"/>
      <w:bookmarkStart w:id="345" w:name="_Toc184313297"/>
      <w:bookmarkEnd w:id="345"/>
      <w:bookmarkStart w:id="346" w:name="_Toc184310292"/>
      <w:bookmarkEnd w:id="346"/>
      <w:bookmarkStart w:id="347" w:name="_Toc184310313"/>
      <w:bookmarkEnd w:id="347"/>
      <w:bookmarkStart w:id="348" w:name="_Toc184310300"/>
      <w:bookmarkEnd w:id="348"/>
      <w:bookmarkStart w:id="349" w:name="_Toc184312110"/>
      <w:bookmarkEnd w:id="349"/>
      <w:bookmarkStart w:id="350" w:name="_Toc184313240"/>
      <w:bookmarkEnd w:id="350"/>
      <w:bookmarkStart w:id="351" w:name="_Toc184313271"/>
      <w:bookmarkEnd w:id="351"/>
      <w:bookmarkStart w:id="352" w:name="_Toc184314471"/>
      <w:bookmarkEnd w:id="352"/>
      <w:bookmarkStart w:id="353" w:name="_Toc184312080"/>
      <w:bookmarkEnd w:id="353"/>
      <w:bookmarkStart w:id="354" w:name="_Toc184312076"/>
      <w:bookmarkEnd w:id="354"/>
      <w:bookmarkStart w:id="355" w:name="_Toc184312115"/>
      <w:bookmarkEnd w:id="355"/>
      <w:bookmarkStart w:id="356" w:name="_Toc184310281"/>
      <w:bookmarkEnd w:id="356"/>
      <w:bookmarkStart w:id="357" w:name="_Toc184312135"/>
      <w:bookmarkEnd w:id="357"/>
      <w:bookmarkStart w:id="358" w:name="_Toc184312070"/>
      <w:bookmarkEnd w:id="358"/>
      <w:bookmarkStart w:id="359" w:name="_Toc184313289"/>
      <w:bookmarkEnd w:id="359"/>
      <w:bookmarkStart w:id="360" w:name="_Toc184312096"/>
      <w:bookmarkEnd w:id="360"/>
      <w:bookmarkStart w:id="361" w:name="_Toc184312105"/>
      <w:bookmarkEnd w:id="361"/>
      <w:bookmarkStart w:id="362" w:name="_Toc184308054"/>
      <w:bookmarkEnd w:id="362"/>
      <w:bookmarkStart w:id="363" w:name="_Toc184308045"/>
      <w:bookmarkEnd w:id="363"/>
      <w:bookmarkStart w:id="364" w:name="_Toc184312107"/>
      <w:bookmarkEnd w:id="364"/>
      <w:bookmarkStart w:id="365" w:name="_Toc184313276"/>
      <w:bookmarkEnd w:id="365"/>
      <w:bookmarkStart w:id="366" w:name="_Toc184308097"/>
      <w:bookmarkEnd w:id="366"/>
      <w:bookmarkStart w:id="367" w:name="_Toc184308093"/>
      <w:bookmarkEnd w:id="367"/>
      <w:bookmarkStart w:id="368" w:name="_Toc184308082"/>
      <w:bookmarkEnd w:id="368"/>
      <w:bookmarkStart w:id="369" w:name="_Toc184308049"/>
      <w:bookmarkEnd w:id="369"/>
      <w:bookmarkStart w:id="370" w:name="_Toc184312083"/>
      <w:bookmarkEnd w:id="370"/>
      <w:bookmarkStart w:id="371" w:name="_Toc184312103"/>
      <w:bookmarkEnd w:id="371"/>
      <w:bookmarkStart w:id="372" w:name="_Toc184314455"/>
      <w:bookmarkEnd w:id="372"/>
      <w:bookmarkStart w:id="373" w:name="_Toc184310343"/>
      <w:bookmarkEnd w:id="373"/>
      <w:bookmarkStart w:id="374" w:name="_Toc184314410"/>
      <w:bookmarkEnd w:id="374"/>
      <w:bookmarkStart w:id="375" w:name="_Toc184314422"/>
      <w:bookmarkEnd w:id="375"/>
      <w:bookmarkStart w:id="376" w:name="_Toc184313309"/>
      <w:bookmarkEnd w:id="376"/>
      <w:bookmarkStart w:id="377" w:name="_Toc184308050"/>
      <w:bookmarkEnd w:id="377"/>
      <w:bookmarkStart w:id="378" w:name="_Toc184310298"/>
      <w:bookmarkEnd w:id="378"/>
      <w:bookmarkStart w:id="379" w:name="_Toc184314451"/>
      <w:bookmarkEnd w:id="379"/>
      <w:bookmarkStart w:id="380" w:name="_Toc184313268"/>
      <w:bookmarkEnd w:id="380"/>
      <w:bookmarkStart w:id="381" w:name="_Toc184313258"/>
      <w:bookmarkEnd w:id="381"/>
      <w:bookmarkStart w:id="382" w:name="_Toc184313292"/>
      <w:bookmarkEnd w:id="382"/>
      <w:bookmarkStart w:id="383" w:name="_Toc184313255"/>
      <w:bookmarkEnd w:id="383"/>
      <w:bookmarkStart w:id="384" w:name="_Toc184308053"/>
      <w:bookmarkEnd w:id="384"/>
      <w:bookmarkStart w:id="385" w:name="_Toc184313252"/>
      <w:bookmarkEnd w:id="385"/>
      <w:bookmarkStart w:id="386" w:name="_Toc184310310"/>
      <w:bookmarkEnd w:id="386"/>
      <w:bookmarkStart w:id="387" w:name="_Toc184310295"/>
      <w:bookmarkEnd w:id="387"/>
      <w:bookmarkStart w:id="388" w:name="_Toc184310282"/>
      <w:bookmarkEnd w:id="388"/>
      <w:bookmarkStart w:id="389" w:name="_Toc184313283"/>
      <w:bookmarkEnd w:id="389"/>
      <w:bookmarkStart w:id="390" w:name="_Toc184313284"/>
      <w:bookmarkEnd w:id="390"/>
      <w:bookmarkStart w:id="391" w:name="_Toc184310293"/>
      <w:bookmarkEnd w:id="391"/>
      <w:bookmarkStart w:id="392" w:name="_Toc184308052"/>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375"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220"/>
        <w:gridCol w:w="765"/>
        <w:gridCol w:w="117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22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65"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70"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680" w:type="dxa"/>
          </w:tcPr>
          <w:p>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220" w:type="dxa"/>
          </w:tcPr>
          <w:p>
            <w:pPr>
              <w:spacing w:line="360" w:lineRule="auto"/>
              <w:jc w:val="left"/>
              <w:outlineLvl w:val="0"/>
              <w:rPr>
                <w:rFonts w:ascii="宋体" w:hAnsi="宋体" w:cs="宋体"/>
                <w:color w:val="auto"/>
                <w:sz w:val="24"/>
                <w:highlight w:val="none"/>
                <w:lang w:val="zh-CN"/>
              </w:rPr>
            </w:pPr>
            <w:r>
              <w:rPr>
                <w:rFonts w:hint="eastAsia" w:ascii="宋体" w:hAnsi="宋体" w:cs="宋体"/>
                <w:color w:val="auto"/>
                <w:sz w:val="24"/>
                <w:highlight w:val="none"/>
                <w:lang w:val="zh-CN"/>
              </w:rPr>
              <w:t>供应商近两年</w:t>
            </w:r>
            <w:r>
              <w:rPr>
                <w:rFonts w:hint="eastAsia" w:ascii="宋体" w:hAnsi="宋体" w:cs="宋体"/>
                <w:color w:val="auto"/>
                <w:sz w:val="24"/>
                <w:highlight w:val="none"/>
              </w:rPr>
              <w:t>承担过</w:t>
            </w:r>
            <w:r>
              <w:rPr>
                <w:rFonts w:hint="eastAsia" w:ascii="宋体" w:hAnsi="宋体" w:cs="宋体"/>
                <w:color w:val="auto"/>
                <w:sz w:val="24"/>
                <w:highlight w:val="none"/>
                <w:lang w:val="zh-CN"/>
              </w:rPr>
              <w:t>类似</w:t>
            </w:r>
            <w:r>
              <w:rPr>
                <w:rFonts w:hint="eastAsia" w:ascii="宋体" w:hAnsi="宋体" w:cs="宋体"/>
                <w:color w:val="auto"/>
                <w:sz w:val="24"/>
                <w:highlight w:val="none"/>
              </w:rPr>
              <w:t>本</w:t>
            </w:r>
            <w:r>
              <w:rPr>
                <w:rFonts w:hint="eastAsia" w:ascii="宋体" w:hAnsi="宋体" w:cs="宋体"/>
                <w:color w:val="auto"/>
                <w:sz w:val="24"/>
                <w:highlight w:val="none"/>
                <w:lang w:val="zh-CN"/>
              </w:rPr>
              <w:t>项目</w:t>
            </w:r>
            <w:r>
              <w:rPr>
                <w:rFonts w:hint="eastAsia" w:ascii="宋体" w:hAnsi="宋体" w:cs="宋体"/>
                <w:color w:val="auto"/>
                <w:sz w:val="24"/>
                <w:highlight w:val="none"/>
              </w:rPr>
              <w:t>的业绩</w:t>
            </w:r>
            <w:r>
              <w:rPr>
                <w:rFonts w:hint="eastAsia" w:ascii="宋体" w:hAnsi="宋体" w:cs="宋体"/>
                <w:color w:val="auto"/>
                <w:sz w:val="24"/>
                <w:highlight w:val="none"/>
                <w:lang w:val="zh-CN"/>
              </w:rPr>
              <w:t>，每个得</w:t>
            </w:r>
            <w:r>
              <w:rPr>
                <w:rFonts w:hint="eastAsia" w:ascii="宋体" w:hAnsi="宋体" w:cs="宋体"/>
                <w:color w:val="auto"/>
                <w:sz w:val="24"/>
                <w:highlight w:val="none"/>
              </w:rPr>
              <w:t>0.5</w:t>
            </w:r>
            <w:r>
              <w:rPr>
                <w:rFonts w:hint="eastAsia" w:ascii="宋体" w:hAnsi="宋体" w:cs="宋体"/>
                <w:color w:val="auto"/>
                <w:sz w:val="24"/>
                <w:highlight w:val="none"/>
                <w:lang w:val="zh-CN"/>
              </w:rPr>
              <w:t>分，本项累计最高得分</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分。</w:t>
            </w:r>
            <w:r>
              <w:rPr>
                <w:rFonts w:hint="eastAsia" w:ascii="宋体" w:hAnsi="宋体" w:cs="宋体"/>
                <w:color w:val="auto"/>
                <w:sz w:val="24"/>
                <w:highlight w:val="none"/>
              </w:rPr>
              <w:t>近两年指以开标日期为界限回推两年</w:t>
            </w:r>
            <w:r>
              <w:rPr>
                <w:rFonts w:hint="eastAsia" w:ascii="宋体" w:hAnsi="宋体" w:cs="宋体"/>
                <w:color w:val="auto"/>
                <w:sz w:val="24"/>
                <w:highlight w:val="none"/>
                <w:lang w:val="zh-CN"/>
              </w:rPr>
              <w:t>，以中标通知书的发出时间或合同签定时间为准。</w:t>
            </w:r>
          </w:p>
          <w:p>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cs="宋体"/>
                <w:b/>
                <w:color w:val="auto"/>
                <w:sz w:val="24"/>
                <w:highlight w:val="none"/>
                <w:lang w:val="zh-CN"/>
              </w:rPr>
              <w:t>证明材料：</w:t>
            </w:r>
            <w:r>
              <w:rPr>
                <w:rFonts w:hint="eastAsia" w:ascii="宋体" w:hAnsi="宋体" w:cs="宋体"/>
                <w:b/>
                <w:color w:val="auto"/>
                <w:sz w:val="24"/>
                <w:highlight w:val="none"/>
              </w:rPr>
              <w:t>同时提供</w:t>
            </w:r>
            <w:r>
              <w:rPr>
                <w:rFonts w:hint="eastAsia" w:ascii="宋体" w:hAnsi="宋体" w:cs="宋体"/>
                <w:b/>
                <w:color w:val="auto"/>
                <w:sz w:val="24"/>
                <w:highlight w:val="none"/>
                <w:lang w:val="zh-CN"/>
              </w:rPr>
              <w:t>中标通知书或合同</w:t>
            </w:r>
            <w:r>
              <w:rPr>
                <w:rFonts w:hint="eastAsia" w:ascii="宋体" w:hAnsi="宋体" w:cs="宋体"/>
                <w:b/>
                <w:color w:val="auto"/>
                <w:sz w:val="24"/>
                <w:highlight w:val="none"/>
              </w:rPr>
              <w:t>及业主满意度调查表（或业主单位证明）复印件并加盖公章，业主满意度调查表（或业主单位证明）需能体现业主单位名称及联系人、联系方式，加盖业主单位公章，否则不得分</w:t>
            </w:r>
            <w:r>
              <w:rPr>
                <w:rFonts w:hint="eastAsia" w:ascii="宋体" w:hAnsi="宋体" w:cs="宋体"/>
                <w:b/>
                <w:color w:val="auto"/>
                <w:sz w:val="24"/>
                <w:highlight w:val="none"/>
                <w:lang w:val="zh-CN"/>
              </w:rPr>
              <w:t>。</w:t>
            </w:r>
          </w:p>
        </w:tc>
        <w:tc>
          <w:tcPr>
            <w:tcW w:w="765"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117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68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exact"/>
        </w:trPr>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220" w:type="dxa"/>
            <w:vAlign w:val="top"/>
          </w:tcPr>
          <w:p>
            <w:pPr>
              <w:spacing w:line="24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投标人已取得有效的质量管理体系认证证书（1分）；</w:t>
            </w:r>
          </w:p>
          <w:p>
            <w:pPr>
              <w:spacing w:line="24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投标人已取得有效的环境管理体系认证证书（1分）；</w:t>
            </w:r>
          </w:p>
          <w:p>
            <w:pPr>
              <w:spacing w:line="24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投标人已取得有效的职业健康安全管理体系认证证书（1分）；</w:t>
            </w:r>
          </w:p>
          <w:p>
            <w:pPr>
              <w:spacing w:line="240" w:lineRule="auto"/>
              <w:jc w:val="left"/>
              <w:outlineLvl w:val="0"/>
              <w:rPr>
                <w:rFonts w:hint="eastAsia" w:eastAsiaTheme="minorEastAsia"/>
                <w:color w:val="auto"/>
                <w:highlight w:val="none"/>
                <w:lang w:eastAsia="zh-CN"/>
              </w:rPr>
            </w:pPr>
            <w:r>
              <w:rPr>
                <w:rFonts w:hint="eastAsia" w:cs="仿宋_GB2312" w:asciiTheme="minorEastAsia" w:hAnsiTheme="minorEastAsia" w:eastAsiaTheme="minorEastAsia"/>
                <w:b/>
                <w:bCs/>
                <w:color w:val="auto"/>
                <w:sz w:val="24"/>
                <w:highlight w:val="none"/>
                <w:lang w:eastAsia="zh-CN"/>
              </w:rPr>
              <w:t>证明材料：提供有效期内的证书复印件并加盖公章。</w:t>
            </w:r>
          </w:p>
        </w:tc>
        <w:tc>
          <w:tcPr>
            <w:tcW w:w="765"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7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68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220" w:type="dxa"/>
            <w:vAlign w:val="center"/>
          </w:tcPr>
          <w:p>
            <w:pPr>
              <w:spacing w:line="360" w:lineRule="auto"/>
              <w:jc w:val="left"/>
              <w:outlineLvl w:val="0"/>
              <w:rPr>
                <w:rFonts w:hint="eastAsia" w:ascii="宋体" w:hAnsi="宋体" w:cs="仿宋"/>
                <w:b/>
                <w:bCs/>
                <w:color w:val="auto"/>
                <w:sz w:val="24"/>
                <w:highlight w:val="none"/>
                <w:lang w:eastAsia="zh-CN"/>
              </w:rPr>
            </w:pPr>
            <w:r>
              <w:rPr>
                <w:rFonts w:hint="eastAsia" w:ascii="宋体" w:hAnsi="宋体" w:cs="仿宋"/>
                <w:b/>
                <w:bCs/>
                <w:color w:val="auto"/>
                <w:sz w:val="24"/>
                <w:highlight w:val="none"/>
              </w:rPr>
              <w:t>对本项目的技术服务总体要求的理解</w:t>
            </w:r>
            <w:r>
              <w:rPr>
                <w:rFonts w:hint="eastAsia" w:ascii="宋体" w:hAnsi="宋体" w:cs="仿宋"/>
                <w:b/>
                <w:bCs/>
                <w:color w:val="auto"/>
                <w:sz w:val="24"/>
                <w:highlight w:val="none"/>
                <w:lang w:eastAsia="zh-CN"/>
              </w:rPr>
              <w:t>：</w:t>
            </w:r>
          </w:p>
          <w:p>
            <w:pPr>
              <w:spacing w:line="360" w:lineRule="auto"/>
              <w:jc w:val="left"/>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（1）对本服务项目的认识、项目整体方案、设想及总体目标。科学合理的得4分，部分满足的得2分，一般的得1分，不满足不得分。</w:t>
            </w:r>
          </w:p>
          <w:p>
            <w:pPr>
              <w:spacing w:line="360" w:lineRule="auto"/>
              <w:jc w:val="left"/>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（2）针对本项目重点、难点分析。科学合理的得4分，部分满足的得2分，一般的得1分，不满足不得分。</w:t>
            </w:r>
          </w:p>
          <w:p>
            <w:pPr>
              <w:spacing w:line="360" w:lineRule="auto"/>
              <w:jc w:val="left"/>
              <w:outlineLvl w:val="0"/>
              <w:rPr>
                <w:rFonts w:hint="eastAsia"/>
                <w:color w:val="auto"/>
                <w:highlight w:val="none"/>
                <w:lang w:eastAsia="zh-CN"/>
              </w:rPr>
            </w:pPr>
            <w:r>
              <w:rPr>
                <w:rFonts w:hint="eastAsia" w:ascii="宋体" w:hAnsi="宋体" w:cs="宋体"/>
                <w:color w:val="auto"/>
                <w:sz w:val="24"/>
                <w:highlight w:val="none"/>
                <w:lang w:val="en-US" w:eastAsia="zh-CN"/>
              </w:rPr>
              <w:t>（3）拟投入设施设备落实方案：具有拟投入本项目的设施设备落实方案。科学合理的得4分，部分满足的得2分，一般的得1分，不满足不得分。</w:t>
            </w:r>
          </w:p>
        </w:tc>
        <w:tc>
          <w:tcPr>
            <w:tcW w:w="765"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117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68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220" w:type="dxa"/>
            <w:vAlign w:val="center"/>
          </w:tcPr>
          <w:p>
            <w:pPr>
              <w:spacing w:line="360" w:lineRule="auto"/>
              <w:outlineLvl w:val="0"/>
              <w:rPr>
                <w:rFonts w:hint="eastAsia" w:cs="仿宋_GB2312" w:asciiTheme="minorEastAsia" w:hAnsiTheme="minorEastAsia" w:eastAsiaTheme="minorEastAsia"/>
                <w:b/>
                <w:bCs/>
                <w:color w:val="auto"/>
                <w:sz w:val="24"/>
                <w:highlight w:val="none"/>
                <w:lang w:eastAsia="zh-CN"/>
              </w:rPr>
            </w:pPr>
            <w:r>
              <w:rPr>
                <w:rFonts w:hint="eastAsia" w:cs="仿宋_GB2312" w:asciiTheme="minorEastAsia" w:hAnsiTheme="minorEastAsia" w:eastAsiaTheme="minorEastAsia"/>
                <w:b/>
                <w:bCs/>
                <w:color w:val="auto"/>
                <w:sz w:val="24"/>
                <w:highlight w:val="none"/>
              </w:rPr>
              <w:t>拟投入作业人员方案</w:t>
            </w:r>
            <w:r>
              <w:rPr>
                <w:rFonts w:hint="eastAsia" w:cs="仿宋_GB2312" w:asciiTheme="minorEastAsia" w:hAnsiTheme="minorEastAsia" w:eastAsiaTheme="minorEastAsia"/>
                <w:b/>
                <w:bCs/>
                <w:color w:val="auto"/>
                <w:sz w:val="24"/>
                <w:highlight w:val="none"/>
                <w:lang w:eastAsia="zh-CN"/>
              </w:rPr>
              <w:t>：</w:t>
            </w:r>
          </w:p>
          <w:p>
            <w:pPr>
              <w:spacing w:line="240" w:lineRule="auto"/>
              <w:jc w:val="left"/>
              <w:outlineLvl w:val="0"/>
              <w:rPr>
                <w:rFonts w:hint="eastAsia" w:ascii="宋体" w:hAnsi="宋体" w:eastAsia="宋体" w:cs="宋体"/>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宋体" w:hAnsi="宋体" w:eastAsia="宋体" w:cs="宋体"/>
                <w:color w:val="auto"/>
                <w:sz w:val="24"/>
                <w:highlight w:val="none"/>
                <w:lang w:eastAsia="zh-CN"/>
              </w:rPr>
              <w:t>拟投入本项目的项目负责人具有与本项目关联的高级职称的得2分；（</w:t>
            </w:r>
            <w:r>
              <w:rPr>
                <w:rFonts w:hint="eastAsia" w:ascii="宋体" w:hAnsi="宋体" w:eastAsia="宋体" w:cs="宋体"/>
                <w:color w:val="auto"/>
                <w:sz w:val="24"/>
                <w:highlight w:val="none"/>
                <w:lang w:val="en-US" w:eastAsia="zh-CN"/>
              </w:rPr>
              <w:t>2分</w:t>
            </w:r>
            <w:r>
              <w:rPr>
                <w:rFonts w:hint="eastAsia" w:ascii="宋体" w:hAnsi="宋体" w:eastAsia="宋体" w:cs="宋体"/>
                <w:color w:val="auto"/>
                <w:sz w:val="24"/>
                <w:highlight w:val="none"/>
                <w:lang w:eastAsia="zh-CN"/>
              </w:rPr>
              <w:t>）</w:t>
            </w:r>
          </w:p>
          <w:p>
            <w:pPr>
              <w:numPr>
                <w:ilvl w:val="0"/>
                <w:numId w:val="0"/>
              </w:numPr>
              <w:spacing w:line="24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2、投入本项目的组员中（除项目负责人）:</w:t>
            </w:r>
          </w:p>
          <w:p>
            <w:pPr>
              <w:numPr>
                <w:ilvl w:val="0"/>
                <w:numId w:val="0"/>
              </w:numPr>
              <w:spacing w:line="24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①具有与本项目关联的中级及以上技术职称的每个得0.5分，最高得1分；（1分）</w:t>
            </w:r>
          </w:p>
          <w:p>
            <w:pPr>
              <w:numPr>
                <w:ilvl w:val="0"/>
                <w:numId w:val="0"/>
              </w:numPr>
              <w:spacing w:line="24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②具有花卉工证书的每个得0.5分，最高得1分；（1分）</w:t>
            </w:r>
          </w:p>
          <w:p>
            <w:pPr>
              <w:numPr>
                <w:ilvl w:val="0"/>
                <w:numId w:val="0"/>
              </w:numPr>
              <w:spacing w:line="24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③具有盆景工证书的每个得0.5分，最高得1分；（1分）</w:t>
            </w:r>
          </w:p>
          <w:p>
            <w:pPr>
              <w:numPr>
                <w:ilvl w:val="0"/>
                <w:numId w:val="0"/>
              </w:numPr>
              <w:spacing w:line="24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④具有绿化工证书的每个得0.5分，最高得2分；（2分）</w:t>
            </w:r>
          </w:p>
          <w:p>
            <w:pPr>
              <w:numPr>
                <w:ilvl w:val="0"/>
                <w:numId w:val="0"/>
              </w:numPr>
              <w:spacing w:line="24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⑤具有安全员的每个得0.5分，最高得1分；（1分）</w:t>
            </w:r>
          </w:p>
          <w:p>
            <w:pPr>
              <w:numPr>
                <w:ilvl w:val="0"/>
                <w:numId w:val="0"/>
              </w:numPr>
              <w:spacing w:line="24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⑥具有高级病媒生物防治员的每个得0.5分，最高得1分。（1分）</w:t>
            </w:r>
          </w:p>
          <w:p>
            <w:pPr>
              <w:numPr>
                <w:ilvl w:val="0"/>
                <w:numId w:val="0"/>
              </w:numPr>
              <w:spacing w:line="24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⑦具有垃圾分类工程师的每个得0.5分，最高得1分。（1分）</w:t>
            </w:r>
          </w:p>
          <w:p>
            <w:pPr>
              <w:spacing w:line="360" w:lineRule="auto"/>
              <w:jc w:val="left"/>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3、根据服务难易程度安排人员合理，重点突出，做到①定人、②定岗、③定责任、④定时间的，得4分；偏离的每项扣0.5分，没有的不得分。</w:t>
            </w:r>
          </w:p>
          <w:p>
            <w:pPr>
              <w:spacing w:line="360" w:lineRule="auto"/>
              <w:jc w:val="left"/>
              <w:outlineLvl w:val="0"/>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en-US" w:eastAsia="zh-CN"/>
              </w:rPr>
              <w:t>4、项目人员项目班子的成员专业素质和专业结构及劳动人员力量的投入情况进行评审，人员力量投入科学合理的得4分，部分满足的得2分，一般的得1分，不满足不得分。</w:t>
            </w:r>
          </w:p>
        </w:tc>
        <w:tc>
          <w:tcPr>
            <w:tcW w:w="765"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18</w:t>
            </w:r>
          </w:p>
        </w:tc>
        <w:tc>
          <w:tcPr>
            <w:tcW w:w="1170" w:type="dxa"/>
            <w:vAlign w:val="center"/>
          </w:tcPr>
          <w:p>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lang w:val="en-US" w:eastAsia="zh-CN"/>
              </w:rPr>
              <w:t>客</w:t>
            </w:r>
            <w:r>
              <w:rPr>
                <w:rFonts w:hint="eastAsia" w:cs="仿宋_GB2312" w:asciiTheme="minorEastAsia" w:hAnsiTheme="minorEastAsia" w:eastAsiaTheme="minorEastAsia"/>
                <w:bCs/>
                <w:color w:val="auto"/>
                <w:sz w:val="24"/>
                <w:highlight w:val="none"/>
              </w:rPr>
              <w:t>观分</w:t>
            </w:r>
          </w:p>
        </w:tc>
        <w:tc>
          <w:tcPr>
            <w:tcW w:w="168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5220" w:type="dxa"/>
          </w:tcPr>
          <w:p>
            <w:pPr>
              <w:spacing w:line="360" w:lineRule="auto"/>
              <w:outlineLvl w:val="0"/>
              <w:rPr>
                <w:rFonts w:hint="eastAsia" w:cs="仿宋_GB2312" w:asciiTheme="minorEastAsia" w:hAnsiTheme="minorEastAsia" w:eastAsiaTheme="minorEastAsia"/>
                <w:b/>
                <w:bCs/>
                <w:color w:val="auto"/>
                <w:sz w:val="24"/>
                <w:highlight w:val="none"/>
                <w:lang w:eastAsia="zh-CN"/>
              </w:rPr>
            </w:pPr>
            <w:r>
              <w:rPr>
                <w:rFonts w:hint="eastAsia" w:cs="仿宋_GB2312" w:asciiTheme="minorEastAsia" w:hAnsiTheme="minorEastAsia" w:eastAsiaTheme="minorEastAsia"/>
                <w:b/>
                <w:bCs/>
                <w:color w:val="auto"/>
                <w:sz w:val="24"/>
                <w:highlight w:val="none"/>
              </w:rPr>
              <w:t>质量保证措施</w:t>
            </w:r>
            <w:r>
              <w:rPr>
                <w:rFonts w:hint="eastAsia" w:cs="仿宋_GB2312" w:asciiTheme="minorEastAsia" w:hAnsiTheme="minorEastAsia" w:eastAsiaTheme="minorEastAsia"/>
                <w:b/>
                <w:bCs/>
                <w:color w:val="auto"/>
                <w:sz w:val="24"/>
                <w:highlight w:val="none"/>
                <w:lang w:eastAsia="zh-CN"/>
              </w:rPr>
              <w:t>：</w:t>
            </w:r>
          </w:p>
          <w:p>
            <w:pPr>
              <w:spacing w:line="360" w:lineRule="auto"/>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（1）现场进度计划安排合理，满足项目关键节点的要求。科学合理的得</w:t>
            </w: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分，部分满足的得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w:t>
            </w:r>
            <w:r>
              <w:rPr>
                <w:rFonts w:hint="eastAsia" w:ascii="宋体" w:hAnsi="宋体" w:cs="宋体"/>
                <w:color w:val="auto"/>
                <w:sz w:val="24"/>
                <w:highlight w:val="none"/>
                <w:lang w:val="en-US" w:eastAsia="zh-CN"/>
              </w:rPr>
              <w:t>一般的得1分</w:t>
            </w:r>
            <w:r>
              <w:rPr>
                <w:rFonts w:hint="eastAsia" w:cs="仿宋_GB2312" w:asciiTheme="minorEastAsia" w:hAnsiTheme="minorEastAsia" w:eastAsiaTheme="minorEastAsia"/>
                <w:color w:val="auto"/>
                <w:sz w:val="24"/>
                <w:highlight w:val="none"/>
              </w:rPr>
              <w:t>，不满足不得分。</w:t>
            </w:r>
          </w:p>
          <w:p>
            <w:pPr>
              <w:spacing w:line="360" w:lineRule="auto"/>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（2）有相应的具体有效的质量控制保证措施。科学合理的得</w:t>
            </w: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分，部分满足的得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w:t>
            </w:r>
            <w:r>
              <w:rPr>
                <w:rFonts w:hint="eastAsia" w:ascii="宋体" w:hAnsi="宋体" w:cs="宋体"/>
                <w:color w:val="auto"/>
                <w:sz w:val="24"/>
                <w:highlight w:val="none"/>
                <w:lang w:val="en-US" w:eastAsia="zh-CN"/>
              </w:rPr>
              <w:t>一般的得1分</w:t>
            </w:r>
            <w:r>
              <w:rPr>
                <w:rFonts w:hint="eastAsia" w:cs="仿宋_GB2312" w:asciiTheme="minorEastAsia" w:hAnsiTheme="minorEastAsia" w:eastAsiaTheme="minorEastAsia"/>
                <w:color w:val="auto"/>
                <w:sz w:val="24"/>
                <w:highlight w:val="none"/>
              </w:rPr>
              <w:t>，不满足不得分。</w:t>
            </w:r>
          </w:p>
          <w:p>
            <w:pPr>
              <w:spacing w:line="360" w:lineRule="auto"/>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（3）各阶段进度控制保证措施合理、有针对性。科学合理的得</w:t>
            </w: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分，部分满足的得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w:t>
            </w:r>
            <w:r>
              <w:rPr>
                <w:rFonts w:hint="eastAsia" w:ascii="宋体" w:hAnsi="宋体" w:cs="宋体"/>
                <w:color w:val="auto"/>
                <w:sz w:val="24"/>
                <w:highlight w:val="none"/>
                <w:lang w:val="en-US" w:eastAsia="zh-CN"/>
              </w:rPr>
              <w:t>一般的得1分</w:t>
            </w:r>
            <w:r>
              <w:rPr>
                <w:rFonts w:hint="eastAsia" w:cs="仿宋_GB2312" w:asciiTheme="minorEastAsia" w:hAnsiTheme="minorEastAsia" w:eastAsiaTheme="minorEastAsia"/>
                <w:color w:val="auto"/>
                <w:sz w:val="24"/>
                <w:highlight w:val="none"/>
              </w:rPr>
              <w:t>，不满足不得分。</w:t>
            </w:r>
          </w:p>
        </w:tc>
        <w:tc>
          <w:tcPr>
            <w:tcW w:w="765"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117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68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5220" w:type="dxa"/>
          </w:tcPr>
          <w:p>
            <w:pPr>
              <w:spacing w:line="360" w:lineRule="auto"/>
              <w:outlineLvl w:val="0"/>
              <w:rPr>
                <w:rFonts w:hint="eastAsia" w:cs="仿宋_GB2312" w:asciiTheme="minorEastAsia" w:hAnsiTheme="minorEastAsia" w:eastAsiaTheme="minorEastAsia"/>
                <w:b/>
                <w:bCs/>
                <w:color w:val="auto"/>
                <w:sz w:val="24"/>
                <w:highlight w:val="none"/>
                <w:lang w:eastAsia="zh-CN"/>
              </w:rPr>
            </w:pPr>
            <w:r>
              <w:rPr>
                <w:rFonts w:hint="eastAsia" w:cs="仿宋_GB2312" w:asciiTheme="minorEastAsia" w:hAnsiTheme="minorEastAsia" w:eastAsiaTheme="minorEastAsia"/>
                <w:b/>
                <w:bCs/>
                <w:color w:val="auto"/>
                <w:sz w:val="24"/>
                <w:highlight w:val="none"/>
              </w:rPr>
              <w:t>应急保障方案</w:t>
            </w:r>
            <w:r>
              <w:rPr>
                <w:rFonts w:hint="eastAsia" w:cs="仿宋_GB2312" w:asciiTheme="minorEastAsia" w:hAnsiTheme="minorEastAsia" w:eastAsiaTheme="minorEastAsia"/>
                <w:b/>
                <w:bCs/>
                <w:color w:val="auto"/>
                <w:sz w:val="24"/>
                <w:highlight w:val="none"/>
                <w:lang w:eastAsia="zh-CN"/>
              </w:rPr>
              <w:t>：</w:t>
            </w:r>
          </w:p>
          <w:p>
            <w:pPr>
              <w:spacing w:line="360" w:lineRule="auto"/>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应急事件处置预案：针对服务过程中的应急处置预案。科学合理的得4分，部分满足的得2分，较差的得1分，不满足不得分。</w:t>
            </w:r>
          </w:p>
          <w:p>
            <w:pPr>
              <w:spacing w:line="360" w:lineRule="auto"/>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应急事件处置措施：针对服务过程中的应急处置措施。科学合理的得4分，部分满足的得2分，较差的得1分，不满足不得分。</w:t>
            </w:r>
          </w:p>
        </w:tc>
        <w:tc>
          <w:tcPr>
            <w:tcW w:w="765"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1170" w:type="dxa"/>
            <w:vAlign w:val="center"/>
          </w:tcPr>
          <w:p>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68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pacing w:line="360" w:lineRule="auto"/>
              <w:outlineLvl w:val="0"/>
              <w:rPr>
                <w:rFonts w:hint="eastAsia" w:cs="仿宋_GB2312" w:asciiTheme="minorEastAsia" w:hAnsiTheme="minorEastAsia" w:eastAsiaTheme="minorEastAsia"/>
                <w:b w:val="0"/>
                <w:bCs w:val="0"/>
                <w:color w:val="auto"/>
                <w:kern w:val="2"/>
                <w:sz w:val="24"/>
                <w:szCs w:val="24"/>
                <w:highlight w:val="none"/>
                <w:lang w:val="zh-CN" w:eastAsia="zh-CN" w:bidi="ar-SA"/>
              </w:rPr>
            </w:pPr>
          </w:p>
        </w:tc>
        <w:tc>
          <w:tcPr>
            <w:tcW w:w="5220" w:type="dxa"/>
          </w:tcPr>
          <w:p>
            <w:pPr>
              <w:spacing w:line="360" w:lineRule="auto"/>
              <w:outlineLvl w:val="0"/>
              <w:rPr>
                <w:rFonts w:hint="eastAsia" w:cs="仿宋_GB2312" w:asciiTheme="minorEastAsia" w:hAnsiTheme="minorEastAsia" w:eastAsiaTheme="minorEastAsia"/>
                <w:b/>
                <w:bCs/>
                <w:color w:val="auto"/>
                <w:kern w:val="2"/>
                <w:sz w:val="24"/>
                <w:szCs w:val="24"/>
                <w:highlight w:val="none"/>
                <w:lang w:val="zh-CN" w:eastAsia="zh-CN" w:bidi="ar-SA"/>
              </w:rPr>
            </w:pPr>
            <w:r>
              <w:rPr>
                <w:rFonts w:hint="eastAsia" w:cs="仿宋_GB2312" w:asciiTheme="minorEastAsia" w:hAnsiTheme="minorEastAsia" w:eastAsiaTheme="minorEastAsia"/>
                <w:b/>
                <w:bCs/>
                <w:color w:val="auto"/>
                <w:kern w:val="2"/>
                <w:sz w:val="24"/>
                <w:szCs w:val="24"/>
                <w:highlight w:val="none"/>
                <w:lang w:val="zh-CN" w:eastAsia="zh-CN" w:bidi="ar-SA"/>
              </w:rPr>
              <w:t>安全文明管理及生产方案：</w:t>
            </w:r>
          </w:p>
          <w:p>
            <w:pPr>
              <w:spacing w:line="360" w:lineRule="auto"/>
              <w:outlineLvl w:val="0"/>
              <w:rPr>
                <w:rFonts w:hint="eastAsia" w:cs="仿宋_GB2312" w:asciiTheme="minorEastAsia" w:hAnsiTheme="minorEastAsia" w:eastAsiaTheme="minorEastAsia"/>
                <w:b w:val="0"/>
                <w:bCs w:val="0"/>
                <w:color w:val="auto"/>
                <w:kern w:val="2"/>
                <w:sz w:val="24"/>
                <w:szCs w:val="24"/>
                <w:highlight w:val="none"/>
                <w:lang w:val="zh-CN" w:eastAsia="zh-CN" w:bidi="ar-SA"/>
              </w:rPr>
            </w:pPr>
            <w:r>
              <w:rPr>
                <w:rFonts w:hint="eastAsia" w:cs="仿宋_GB2312" w:asciiTheme="minorEastAsia" w:hAnsiTheme="minorEastAsia" w:eastAsiaTheme="minorEastAsia"/>
                <w:b w:val="0"/>
                <w:bCs w:val="0"/>
                <w:color w:val="auto"/>
                <w:kern w:val="2"/>
                <w:sz w:val="24"/>
                <w:szCs w:val="24"/>
                <w:highlight w:val="none"/>
                <w:lang w:val="zh-CN" w:eastAsia="zh-CN" w:bidi="ar-SA"/>
              </w:rPr>
              <w:t>（</w:t>
            </w:r>
            <w:r>
              <w:rPr>
                <w:rFonts w:hint="eastAsia" w:cs="仿宋_GB2312" w:asciiTheme="minorEastAsia" w:hAnsiTheme="minorEastAsia" w:eastAsiaTheme="minorEastAsia"/>
                <w:b w:val="0"/>
                <w:bCs w:val="0"/>
                <w:color w:val="auto"/>
                <w:kern w:val="2"/>
                <w:sz w:val="24"/>
                <w:szCs w:val="24"/>
                <w:highlight w:val="none"/>
                <w:lang w:val="en-US" w:eastAsia="zh-CN" w:bidi="ar-SA"/>
              </w:rPr>
              <w:t>1</w:t>
            </w:r>
            <w:r>
              <w:rPr>
                <w:rFonts w:hint="eastAsia" w:cs="仿宋_GB2312" w:asciiTheme="minorEastAsia" w:hAnsiTheme="minorEastAsia" w:eastAsiaTheme="minorEastAsia"/>
                <w:b w:val="0"/>
                <w:bCs w:val="0"/>
                <w:color w:val="auto"/>
                <w:kern w:val="2"/>
                <w:sz w:val="24"/>
                <w:szCs w:val="24"/>
                <w:highlight w:val="none"/>
                <w:lang w:val="zh-CN" w:eastAsia="zh-CN" w:bidi="ar-SA"/>
              </w:rPr>
              <w:t>）针对本项目的安全文明保障措施的合理性、是否具有完善的安全生产制度，安全教育和培训方案、安全生产责任分配等方案。科学合理的得</w:t>
            </w:r>
            <w:r>
              <w:rPr>
                <w:rFonts w:hint="eastAsia" w:cs="仿宋_GB2312" w:asciiTheme="minorEastAsia" w:hAnsiTheme="minorEastAsia" w:eastAsiaTheme="minorEastAsia"/>
                <w:b w:val="0"/>
                <w:bCs w:val="0"/>
                <w:color w:val="auto"/>
                <w:kern w:val="2"/>
                <w:sz w:val="24"/>
                <w:szCs w:val="24"/>
                <w:highlight w:val="none"/>
                <w:lang w:val="en-US" w:eastAsia="zh-CN" w:bidi="ar-SA"/>
              </w:rPr>
              <w:t>4</w:t>
            </w:r>
            <w:r>
              <w:rPr>
                <w:rFonts w:hint="eastAsia" w:cs="仿宋_GB2312" w:asciiTheme="minorEastAsia" w:hAnsiTheme="minorEastAsia" w:eastAsiaTheme="minorEastAsia"/>
                <w:b w:val="0"/>
                <w:bCs w:val="0"/>
                <w:color w:val="auto"/>
                <w:kern w:val="2"/>
                <w:sz w:val="24"/>
                <w:szCs w:val="24"/>
                <w:highlight w:val="none"/>
                <w:lang w:val="zh-CN" w:eastAsia="zh-CN" w:bidi="ar-SA"/>
              </w:rPr>
              <w:t>分，部分满足的得2分，较差的得1分，不满足不得分。</w:t>
            </w:r>
          </w:p>
          <w:p>
            <w:pPr>
              <w:spacing w:line="360" w:lineRule="auto"/>
              <w:outlineLvl w:val="0"/>
              <w:rPr>
                <w:rFonts w:hint="eastAsia" w:cs="仿宋_GB2312" w:asciiTheme="minorEastAsia" w:hAnsiTheme="minorEastAsia" w:eastAsiaTheme="minorEastAsia"/>
                <w:b w:val="0"/>
                <w:bCs w:val="0"/>
                <w:color w:val="auto"/>
                <w:kern w:val="2"/>
                <w:sz w:val="24"/>
                <w:szCs w:val="24"/>
                <w:highlight w:val="none"/>
                <w:lang w:val="zh-CN" w:eastAsia="zh-CN" w:bidi="ar-SA"/>
              </w:rPr>
            </w:pPr>
            <w:r>
              <w:rPr>
                <w:rFonts w:hint="eastAsia" w:cs="仿宋_GB2312" w:asciiTheme="minorEastAsia" w:hAnsiTheme="minorEastAsia" w:eastAsiaTheme="minorEastAsia"/>
                <w:b w:val="0"/>
                <w:bCs w:val="0"/>
                <w:color w:val="auto"/>
                <w:kern w:val="2"/>
                <w:sz w:val="24"/>
                <w:szCs w:val="24"/>
                <w:highlight w:val="none"/>
                <w:lang w:val="zh-CN" w:eastAsia="zh-CN" w:bidi="ar-SA"/>
              </w:rPr>
              <w:t>（</w:t>
            </w:r>
            <w:r>
              <w:rPr>
                <w:rFonts w:hint="eastAsia" w:cs="仿宋_GB2312" w:asciiTheme="minorEastAsia" w:hAnsiTheme="minorEastAsia" w:eastAsiaTheme="minorEastAsia"/>
                <w:b w:val="0"/>
                <w:bCs w:val="0"/>
                <w:color w:val="auto"/>
                <w:kern w:val="2"/>
                <w:sz w:val="24"/>
                <w:szCs w:val="24"/>
                <w:highlight w:val="none"/>
                <w:lang w:val="en-US" w:eastAsia="zh-CN" w:bidi="ar-SA"/>
              </w:rPr>
              <w:t>2</w:t>
            </w:r>
            <w:r>
              <w:rPr>
                <w:rFonts w:hint="eastAsia" w:cs="仿宋_GB2312" w:asciiTheme="minorEastAsia" w:hAnsiTheme="minorEastAsia" w:eastAsiaTheme="minorEastAsia"/>
                <w:b w:val="0"/>
                <w:bCs w:val="0"/>
                <w:color w:val="auto"/>
                <w:kern w:val="2"/>
                <w:sz w:val="24"/>
                <w:szCs w:val="24"/>
                <w:highlight w:val="none"/>
                <w:lang w:val="zh-CN" w:eastAsia="zh-CN" w:bidi="ar-SA"/>
              </w:rPr>
              <w:t>）根据供应商内部管理安全生产工作制度（包括但不限于养护人员在登高作业、农药使用、园林机具使用等方面）进行评审。科学合理的得</w:t>
            </w:r>
            <w:r>
              <w:rPr>
                <w:rFonts w:hint="eastAsia" w:cs="仿宋_GB2312" w:asciiTheme="minorEastAsia" w:hAnsiTheme="minorEastAsia" w:eastAsiaTheme="minorEastAsia"/>
                <w:b w:val="0"/>
                <w:bCs w:val="0"/>
                <w:color w:val="auto"/>
                <w:kern w:val="2"/>
                <w:sz w:val="24"/>
                <w:szCs w:val="24"/>
                <w:highlight w:val="none"/>
                <w:lang w:val="en-US" w:eastAsia="zh-CN" w:bidi="ar-SA"/>
              </w:rPr>
              <w:t>4</w:t>
            </w:r>
            <w:r>
              <w:rPr>
                <w:rFonts w:hint="eastAsia" w:cs="仿宋_GB2312" w:asciiTheme="minorEastAsia" w:hAnsiTheme="minorEastAsia" w:eastAsiaTheme="minorEastAsia"/>
                <w:b w:val="0"/>
                <w:bCs w:val="0"/>
                <w:color w:val="auto"/>
                <w:kern w:val="2"/>
                <w:sz w:val="24"/>
                <w:szCs w:val="24"/>
                <w:highlight w:val="none"/>
                <w:lang w:val="zh-CN" w:eastAsia="zh-CN" w:bidi="ar-SA"/>
              </w:rPr>
              <w:t>分，部分满足的得2分，较差的得1分，不满足不得分。</w:t>
            </w:r>
          </w:p>
        </w:tc>
        <w:tc>
          <w:tcPr>
            <w:tcW w:w="765"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1170" w:type="dxa"/>
            <w:vAlign w:val="center"/>
          </w:tcPr>
          <w:p>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68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5220" w:type="dxa"/>
          </w:tcPr>
          <w:p>
            <w:pPr>
              <w:spacing w:line="360" w:lineRule="auto"/>
              <w:outlineLvl w:val="0"/>
              <w:rPr>
                <w:rFonts w:hint="eastAsia" w:cs="仿宋_GB2312" w:asciiTheme="minorEastAsia" w:hAnsiTheme="minorEastAsia" w:eastAsiaTheme="minorEastAsia"/>
                <w:b w:val="0"/>
                <w:bCs w:val="0"/>
                <w:color w:val="auto"/>
                <w:kern w:val="2"/>
                <w:sz w:val="24"/>
                <w:szCs w:val="24"/>
                <w:highlight w:val="none"/>
                <w:lang w:val="zh-CN" w:eastAsia="zh-CN" w:bidi="ar-SA"/>
              </w:rPr>
            </w:pPr>
            <w:r>
              <w:rPr>
                <w:rFonts w:hint="eastAsia" w:cs="仿宋_GB2312" w:asciiTheme="minorEastAsia" w:hAnsiTheme="minorEastAsia" w:eastAsiaTheme="minorEastAsia"/>
                <w:b w:val="0"/>
                <w:bCs w:val="0"/>
                <w:color w:val="auto"/>
                <w:kern w:val="2"/>
                <w:sz w:val="24"/>
                <w:szCs w:val="24"/>
                <w:highlight w:val="none"/>
                <w:lang w:val="zh-CN" w:eastAsia="zh-CN" w:bidi="ar-SA"/>
              </w:rPr>
              <w:t>供应商内部考核办法及管理制度：</w:t>
            </w:r>
          </w:p>
          <w:p>
            <w:pPr>
              <w:spacing w:line="360" w:lineRule="auto"/>
              <w:outlineLvl w:val="0"/>
              <w:rPr>
                <w:rFonts w:hint="eastAsia" w:cs="仿宋_GB2312" w:asciiTheme="minorEastAsia" w:hAnsiTheme="minorEastAsia" w:eastAsiaTheme="minorEastAsia"/>
                <w:b w:val="0"/>
                <w:bCs w:val="0"/>
                <w:color w:val="auto"/>
                <w:kern w:val="2"/>
                <w:sz w:val="24"/>
                <w:szCs w:val="24"/>
                <w:highlight w:val="none"/>
                <w:lang w:val="zh-CN" w:eastAsia="zh-CN" w:bidi="ar-SA"/>
              </w:rPr>
            </w:pPr>
            <w:r>
              <w:rPr>
                <w:rFonts w:hint="eastAsia" w:cs="仿宋_GB2312" w:asciiTheme="minorEastAsia" w:hAnsiTheme="minorEastAsia" w:eastAsiaTheme="minorEastAsia"/>
                <w:b w:val="0"/>
                <w:bCs w:val="0"/>
                <w:color w:val="auto"/>
                <w:kern w:val="2"/>
                <w:sz w:val="24"/>
                <w:szCs w:val="24"/>
                <w:highlight w:val="none"/>
                <w:lang w:val="zh-CN" w:eastAsia="zh-CN" w:bidi="ar-SA"/>
              </w:rPr>
              <w:t>（</w:t>
            </w:r>
            <w:r>
              <w:rPr>
                <w:rFonts w:hint="eastAsia" w:cs="仿宋_GB2312" w:asciiTheme="minorEastAsia" w:hAnsiTheme="minorEastAsia" w:eastAsiaTheme="minorEastAsia"/>
                <w:b w:val="0"/>
                <w:bCs w:val="0"/>
                <w:color w:val="auto"/>
                <w:kern w:val="2"/>
                <w:sz w:val="24"/>
                <w:szCs w:val="24"/>
                <w:highlight w:val="none"/>
                <w:lang w:val="en-US" w:eastAsia="zh-CN" w:bidi="ar-SA"/>
              </w:rPr>
              <w:t>1</w:t>
            </w:r>
            <w:r>
              <w:rPr>
                <w:rFonts w:hint="eastAsia" w:cs="仿宋_GB2312" w:asciiTheme="minorEastAsia" w:hAnsiTheme="minorEastAsia" w:eastAsiaTheme="minorEastAsia"/>
                <w:b w:val="0"/>
                <w:bCs w:val="0"/>
                <w:color w:val="auto"/>
                <w:kern w:val="2"/>
                <w:sz w:val="24"/>
                <w:szCs w:val="24"/>
                <w:highlight w:val="none"/>
                <w:lang w:val="zh-CN" w:eastAsia="zh-CN" w:bidi="ar-SA"/>
              </w:rPr>
              <w:t>）具有内部管理制度、考核监督制度、奖惩制度等。科学合理的得</w:t>
            </w:r>
            <w:r>
              <w:rPr>
                <w:rFonts w:hint="eastAsia" w:cs="仿宋_GB2312" w:asciiTheme="minorEastAsia" w:hAnsiTheme="minorEastAsia" w:eastAsiaTheme="minorEastAsia"/>
                <w:b w:val="0"/>
                <w:bCs w:val="0"/>
                <w:color w:val="auto"/>
                <w:kern w:val="2"/>
                <w:sz w:val="24"/>
                <w:szCs w:val="24"/>
                <w:highlight w:val="none"/>
                <w:lang w:val="en-US" w:eastAsia="zh-CN" w:bidi="ar-SA"/>
              </w:rPr>
              <w:t>4</w:t>
            </w:r>
            <w:r>
              <w:rPr>
                <w:rFonts w:hint="eastAsia" w:cs="仿宋_GB2312" w:asciiTheme="minorEastAsia" w:hAnsiTheme="minorEastAsia" w:eastAsiaTheme="minorEastAsia"/>
                <w:b w:val="0"/>
                <w:bCs w:val="0"/>
                <w:color w:val="auto"/>
                <w:kern w:val="2"/>
                <w:sz w:val="24"/>
                <w:szCs w:val="24"/>
                <w:highlight w:val="none"/>
                <w:lang w:val="zh-CN" w:eastAsia="zh-CN" w:bidi="ar-SA"/>
              </w:rPr>
              <w:t>分，部分满足的得2分，较差的得1分，不满足不得分</w:t>
            </w:r>
          </w:p>
          <w:p>
            <w:pPr>
              <w:spacing w:line="360" w:lineRule="auto"/>
              <w:outlineLvl w:val="0"/>
              <w:rPr>
                <w:rFonts w:hint="eastAsia" w:cs="仿宋_GB2312" w:asciiTheme="minorEastAsia" w:hAnsiTheme="minorEastAsia" w:eastAsiaTheme="minorEastAsia"/>
                <w:b w:val="0"/>
                <w:bCs w:val="0"/>
                <w:color w:val="auto"/>
                <w:kern w:val="2"/>
                <w:sz w:val="24"/>
                <w:szCs w:val="24"/>
                <w:highlight w:val="none"/>
                <w:lang w:val="zh-CN" w:eastAsia="zh-CN" w:bidi="ar-SA"/>
              </w:rPr>
            </w:pPr>
            <w:r>
              <w:rPr>
                <w:rFonts w:hint="eastAsia" w:cs="仿宋_GB2312" w:asciiTheme="minorEastAsia" w:hAnsiTheme="minorEastAsia" w:eastAsiaTheme="minorEastAsia"/>
                <w:b w:val="0"/>
                <w:bCs w:val="0"/>
                <w:color w:val="auto"/>
                <w:kern w:val="2"/>
                <w:sz w:val="24"/>
                <w:szCs w:val="24"/>
                <w:highlight w:val="none"/>
                <w:lang w:val="zh-CN" w:eastAsia="zh-CN" w:bidi="ar-SA"/>
              </w:rPr>
              <w:t>（</w:t>
            </w:r>
            <w:r>
              <w:rPr>
                <w:rFonts w:hint="eastAsia" w:cs="仿宋_GB2312" w:asciiTheme="minorEastAsia" w:hAnsiTheme="minorEastAsia" w:eastAsiaTheme="minorEastAsia"/>
                <w:b w:val="0"/>
                <w:bCs w:val="0"/>
                <w:color w:val="auto"/>
                <w:kern w:val="2"/>
                <w:sz w:val="24"/>
                <w:szCs w:val="24"/>
                <w:highlight w:val="none"/>
                <w:lang w:val="en-US" w:eastAsia="zh-CN" w:bidi="ar-SA"/>
              </w:rPr>
              <w:t>2</w:t>
            </w:r>
            <w:r>
              <w:rPr>
                <w:rFonts w:hint="eastAsia" w:cs="仿宋_GB2312" w:asciiTheme="minorEastAsia" w:hAnsiTheme="minorEastAsia" w:eastAsiaTheme="minorEastAsia"/>
                <w:b w:val="0"/>
                <w:bCs w:val="0"/>
                <w:color w:val="auto"/>
                <w:kern w:val="2"/>
                <w:sz w:val="24"/>
                <w:szCs w:val="24"/>
                <w:highlight w:val="none"/>
                <w:lang w:val="zh-CN" w:eastAsia="zh-CN" w:bidi="ar-SA"/>
              </w:rPr>
              <w:t>）具有针对本项目实施的内部考核办法及管理制度。科学合理的得</w:t>
            </w:r>
            <w:r>
              <w:rPr>
                <w:rFonts w:hint="eastAsia" w:cs="仿宋_GB2312" w:asciiTheme="minorEastAsia" w:hAnsiTheme="minorEastAsia" w:eastAsiaTheme="minorEastAsia"/>
                <w:b w:val="0"/>
                <w:bCs w:val="0"/>
                <w:color w:val="auto"/>
                <w:kern w:val="2"/>
                <w:sz w:val="24"/>
                <w:szCs w:val="24"/>
                <w:highlight w:val="none"/>
                <w:lang w:val="en-US" w:eastAsia="zh-CN" w:bidi="ar-SA"/>
              </w:rPr>
              <w:t>4</w:t>
            </w:r>
            <w:r>
              <w:rPr>
                <w:rFonts w:hint="eastAsia" w:cs="仿宋_GB2312" w:asciiTheme="minorEastAsia" w:hAnsiTheme="minorEastAsia" w:eastAsiaTheme="minorEastAsia"/>
                <w:b w:val="0"/>
                <w:bCs w:val="0"/>
                <w:color w:val="auto"/>
                <w:kern w:val="2"/>
                <w:sz w:val="24"/>
                <w:szCs w:val="24"/>
                <w:highlight w:val="none"/>
                <w:lang w:val="zh-CN" w:eastAsia="zh-CN" w:bidi="ar-SA"/>
              </w:rPr>
              <w:t>分，部分满足的得2分，较差的得1分，不满足不得分。</w:t>
            </w:r>
          </w:p>
          <w:p>
            <w:pPr>
              <w:spacing w:line="360" w:lineRule="auto"/>
              <w:outlineLvl w:val="0"/>
              <w:rPr>
                <w:rFonts w:hint="eastAsia"/>
                <w:color w:val="auto"/>
                <w:highlight w:val="none"/>
              </w:rPr>
            </w:pPr>
            <w:r>
              <w:rPr>
                <w:rFonts w:hint="eastAsia" w:cs="仿宋_GB2312" w:asciiTheme="minorEastAsia" w:hAnsiTheme="minorEastAsia" w:eastAsiaTheme="minorEastAsia"/>
                <w:b w:val="0"/>
                <w:bCs w:val="0"/>
                <w:color w:val="auto"/>
                <w:kern w:val="2"/>
                <w:sz w:val="24"/>
                <w:szCs w:val="24"/>
                <w:highlight w:val="none"/>
                <w:lang w:val="zh-CN" w:eastAsia="zh-CN" w:bidi="ar-SA"/>
              </w:rPr>
              <w:t>（</w:t>
            </w:r>
            <w:r>
              <w:rPr>
                <w:rFonts w:hint="eastAsia" w:cs="仿宋_GB2312" w:asciiTheme="minorEastAsia" w:hAnsiTheme="minorEastAsia" w:eastAsiaTheme="minorEastAsia"/>
                <w:b w:val="0"/>
                <w:bCs w:val="0"/>
                <w:color w:val="auto"/>
                <w:kern w:val="2"/>
                <w:sz w:val="24"/>
                <w:szCs w:val="24"/>
                <w:highlight w:val="none"/>
                <w:lang w:val="en-US" w:eastAsia="zh-CN" w:bidi="ar-SA"/>
              </w:rPr>
              <w:t>3</w:t>
            </w:r>
            <w:r>
              <w:rPr>
                <w:rFonts w:hint="eastAsia" w:cs="仿宋_GB2312" w:asciiTheme="minorEastAsia" w:hAnsiTheme="minorEastAsia" w:eastAsiaTheme="minorEastAsia"/>
                <w:b w:val="0"/>
                <w:bCs w:val="0"/>
                <w:color w:val="auto"/>
                <w:kern w:val="2"/>
                <w:sz w:val="24"/>
                <w:szCs w:val="24"/>
                <w:highlight w:val="none"/>
                <w:lang w:val="zh-CN" w:eastAsia="zh-CN" w:bidi="ar-SA"/>
              </w:rPr>
              <w:t>）财务管理制度：制度包括工作规定、开支标准、资产管理、现金管理、存款管理、账款管理内容，内容健全完善的得</w:t>
            </w:r>
            <w:r>
              <w:rPr>
                <w:rFonts w:hint="eastAsia" w:cs="仿宋_GB2312" w:asciiTheme="minorEastAsia" w:hAnsiTheme="minorEastAsia" w:eastAsiaTheme="minorEastAsia"/>
                <w:b w:val="0"/>
                <w:bCs w:val="0"/>
                <w:color w:val="auto"/>
                <w:kern w:val="2"/>
                <w:sz w:val="24"/>
                <w:szCs w:val="24"/>
                <w:highlight w:val="none"/>
                <w:lang w:val="en-US" w:eastAsia="zh-CN" w:bidi="ar-SA"/>
              </w:rPr>
              <w:t>6</w:t>
            </w:r>
            <w:r>
              <w:rPr>
                <w:rFonts w:hint="eastAsia" w:cs="仿宋_GB2312" w:asciiTheme="minorEastAsia" w:hAnsiTheme="minorEastAsia" w:eastAsiaTheme="minorEastAsia"/>
                <w:b w:val="0"/>
                <w:bCs w:val="0"/>
                <w:color w:val="auto"/>
                <w:kern w:val="2"/>
                <w:sz w:val="24"/>
                <w:szCs w:val="24"/>
                <w:highlight w:val="none"/>
                <w:lang w:val="zh-CN" w:eastAsia="zh-CN" w:bidi="ar-SA"/>
              </w:rPr>
              <w:t>分，制度偏离的每项扣0.5分，不提供不得分。</w:t>
            </w:r>
          </w:p>
        </w:tc>
        <w:tc>
          <w:tcPr>
            <w:tcW w:w="765"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1170" w:type="dxa"/>
            <w:vAlign w:val="center"/>
          </w:tcPr>
          <w:p>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68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5220" w:type="dxa"/>
          </w:tcPr>
          <w:p>
            <w:pPr>
              <w:spacing w:line="360" w:lineRule="auto"/>
              <w:outlineLvl w:val="0"/>
              <w:rPr>
                <w:rFonts w:hint="eastAsia" w:cs="仿宋_GB2312" w:asciiTheme="minorEastAsia" w:hAnsiTheme="minorEastAsia" w:eastAsiaTheme="minorEastAsia"/>
                <w:b/>
                <w:bCs/>
                <w:color w:val="auto"/>
                <w:sz w:val="24"/>
                <w:highlight w:val="none"/>
                <w:lang w:eastAsia="zh-CN"/>
              </w:rPr>
            </w:pPr>
            <w:r>
              <w:rPr>
                <w:rFonts w:hint="eastAsia" w:cs="仿宋_GB2312" w:asciiTheme="minorEastAsia" w:hAnsiTheme="minorEastAsia" w:eastAsiaTheme="minorEastAsia"/>
                <w:b/>
                <w:bCs/>
                <w:color w:val="auto"/>
                <w:sz w:val="24"/>
                <w:highlight w:val="none"/>
              </w:rPr>
              <w:t>项目组织管理承诺</w:t>
            </w:r>
            <w:r>
              <w:rPr>
                <w:rFonts w:hint="eastAsia" w:cs="仿宋_GB2312" w:asciiTheme="minorEastAsia" w:hAnsiTheme="minorEastAsia" w:eastAsiaTheme="minorEastAsia"/>
                <w:b/>
                <w:bCs/>
                <w:color w:val="auto"/>
                <w:sz w:val="24"/>
                <w:highlight w:val="none"/>
                <w:lang w:eastAsia="zh-CN"/>
              </w:rPr>
              <w:t>：</w:t>
            </w:r>
          </w:p>
          <w:p>
            <w:pPr>
              <w:spacing w:line="360" w:lineRule="auto"/>
              <w:outlineLvl w:val="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（1）承诺负责员工的劳资纠纷及意外伤害的处理，如因处理不当或对采购人带来不良影响的，承担经济和法律责任。承诺的得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分，不承诺的不得分。</w:t>
            </w:r>
          </w:p>
          <w:p>
            <w:pPr>
              <w:spacing w:line="360" w:lineRule="auto"/>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）承诺承担服务期间</w:t>
            </w:r>
            <w:r>
              <w:rPr>
                <w:rFonts w:hint="eastAsia" w:cs="仿宋_GB2312" w:asciiTheme="minorEastAsia" w:hAnsiTheme="minorEastAsia" w:eastAsiaTheme="minorEastAsia"/>
                <w:color w:val="auto"/>
                <w:sz w:val="24"/>
                <w:highlight w:val="none"/>
                <w:lang w:eastAsia="zh-CN"/>
              </w:rPr>
              <w:t>指派</w:t>
            </w:r>
            <w:r>
              <w:rPr>
                <w:rFonts w:hint="eastAsia" w:cs="仿宋_GB2312" w:asciiTheme="minorEastAsia" w:hAnsiTheme="minorEastAsia" w:eastAsiaTheme="minorEastAsia"/>
                <w:color w:val="auto"/>
                <w:sz w:val="24"/>
                <w:highlight w:val="none"/>
              </w:rPr>
              <w:t>员工（非）工伤、疾病死亡所产生的经济赔偿责任。承诺的得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分，不承诺的不得分。</w:t>
            </w:r>
          </w:p>
        </w:tc>
        <w:tc>
          <w:tcPr>
            <w:tcW w:w="765"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170" w:type="dxa"/>
            <w:vAlign w:val="center"/>
          </w:tcPr>
          <w:p>
            <w:pPr>
              <w:snapToGrid w:val="0"/>
              <w:spacing w:line="360" w:lineRule="auto"/>
              <w:jc w:val="center"/>
              <w:rPr>
                <w:rFonts w:hint="eastAsia" w:cs="仿宋_GB2312" w:asciiTheme="minorEastAsia" w:hAnsiTheme="minorEastAsia" w:eastAsiaTheme="minorEastAsia"/>
                <w:bCs/>
                <w:color w:val="auto"/>
                <w:sz w:val="24"/>
                <w:highlight w:val="none"/>
                <w:lang w:eastAsia="zh-CN"/>
              </w:rPr>
            </w:pPr>
            <w:r>
              <w:rPr>
                <w:rFonts w:hint="eastAsia" w:cs="仿宋_GB2312" w:asciiTheme="minorEastAsia" w:hAnsiTheme="minorEastAsia" w:eastAsiaTheme="minorEastAsia"/>
                <w:bCs/>
                <w:color w:val="auto"/>
                <w:sz w:val="24"/>
                <w:highlight w:val="none"/>
                <w:lang w:eastAsia="zh-CN"/>
              </w:rPr>
              <w:t>客观分</w:t>
            </w:r>
          </w:p>
        </w:tc>
        <w:tc>
          <w:tcPr>
            <w:tcW w:w="168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5220" w:type="dxa"/>
          </w:tcPr>
          <w:p>
            <w:pPr>
              <w:spacing w:line="240" w:lineRule="auto"/>
              <w:outlineLvl w:val="0"/>
              <w:rPr>
                <w:rFonts w:hint="eastAsia" w:cs="仿宋_GB2312" w:asciiTheme="minorEastAsia" w:hAnsiTheme="minorEastAsia" w:eastAsiaTheme="minorEastAsia"/>
                <w:b/>
                <w:bCs/>
                <w:color w:val="auto"/>
                <w:sz w:val="24"/>
                <w:highlight w:val="none"/>
                <w:lang w:eastAsia="zh-CN"/>
              </w:rPr>
            </w:pPr>
            <w:r>
              <w:rPr>
                <w:rFonts w:hint="eastAsia" w:cs="仿宋_GB2312" w:asciiTheme="minorEastAsia" w:hAnsiTheme="minorEastAsia" w:eastAsiaTheme="minorEastAsia"/>
                <w:b/>
                <w:bCs/>
                <w:color w:val="auto"/>
                <w:sz w:val="24"/>
                <w:highlight w:val="none"/>
                <w:lang w:eastAsia="zh-CN"/>
              </w:rPr>
              <w:t>拟投入本项目的设备（所有车辆须提供发票、行驶证、带车牌的车辆清晰照片）：</w:t>
            </w:r>
          </w:p>
          <w:p>
            <w:pPr>
              <w:spacing w:line="240" w:lineRule="auto"/>
              <w:outlineLvl w:val="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提供纯电动垃圾洗扫车</w:t>
            </w:r>
            <w:r>
              <w:rPr>
                <w:rFonts w:hint="eastAsia" w:cs="仿宋_GB2312" w:asciiTheme="minorEastAsia" w:hAnsiTheme="minorEastAsia" w:eastAsiaTheme="minorEastAsia"/>
                <w:color w:val="auto"/>
                <w:sz w:val="24"/>
                <w:highlight w:val="none"/>
              </w:rPr>
              <w:t>每</w:t>
            </w:r>
            <w:r>
              <w:rPr>
                <w:rFonts w:hint="eastAsia" w:cs="仿宋_GB2312" w:asciiTheme="minorEastAsia" w:hAnsiTheme="minorEastAsia" w:eastAsiaTheme="minorEastAsia"/>
                <w:color w:val="auto"/>
                <w:sz w:val="24"/>
                <w:highlight w:val="none"/>
                <w:lang w:eastAsia="zh-CN"/>
              </w:rPr>
              <w:t>辆</w:t>
            </w:r>
            <w:r>
              <w:rPr>
                <w:rFonts w:hint="eastAsia" w:cs="仿宋_GB2312" w:asciiTheme="minorEastAsia" w:hAnsiTheme="minorEastAsia" w:eastAsiaTheme="minorEastAsia"/>
                <w:color w:val="auto"/>
                <w:sz w:val="24"/>
                <w:highlight w:val="none"/>
              </w:rPr>
              <w:t>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分，最高得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eastAsia="zh-CN"/>
              </w:rPr>
              <w:t>；</w:t>
            </w:r>
          </w:p>
          <w:p>
            <w:pPr>
              <w:spacing w:line="240" w:lineRule="auto"/>
              <w:outlineLvl w:val="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提供应急抢险工程车</w:t>
            </w:r>
            <w:r>
              <w:rPr>
                <w:rFonts w:hint="eastAsia" w:cs="仿宋_GB2312" w:asciiTheme="minorEastAsia" w:hAnsiTheme="minorEastAsia" w:eastAsiaTheme="minorEastAsia"/>
                <w:color w:val="auto"/>
                <w:sz w:val="24"/>
                <w:highlight w:val="none"/>
              </w:rPr>
              <w:t>每</w:t>
            </w:r>
            <w:r>
              <w:rPr>
                <w:rFonts w:hint="eastAsia" w:cs="仿宋_GB2312" w:asciiTheme="minorEastAsia" w:hAnsiTheme="minorEastAsia" w:eastAsiaTheme="minorEastAsia"/>
                <w:color w:val="auto"/>
                <w:sz w:val="24"/>
                <w:highlight w:val="none"/>
                <w:lang w:eastAsia="zh-CN"/>
              </w:rPr>
              <w:t>辆</w:t>
            </w:r>
            <w:r>
              <w:rPr>
                <w:rFonts w:hint="eastAsia" w:cs="仿宋_GB2312" w:asciiTheme="minorEastAsia" w:hAnsiTheme="minorEastAsia" w:eastAsiaTheme="minorEastAsia"/>
                <w:color w:val="auto"/>
                <w:sz w:val="24"/>
                <w:highlight w:val="none"/>
              </w:rPr>
              <w:t>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分，最高得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eastAsia="zh-CN"/>
              </w:rPr>
              <w:t>；</w:t>
            </w:r>
          </w:p>
          <w:p>
            <w:pPr>
              <w:spacing w:line="240" w:lineRule="auto"/>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提供</w:t>
            </w:r>
            <w:r>
              <w:rPr>
                <w:rFonts w:hint="eastAsia" w:cs="仿宋_GB2312" w:asciiTheme="minorEastAsia" w:hAnsiTheme="minorEastAsia" w:eastAsiaTheme="minorEastAsia"/>
                <w:color w:val="auto"/>
                <w:sz w:val="24"/>
                <w:highlight w:val="none"/>
                <w:lang w:val="en-US" w:eastAsia="zh-CN"/>
              </w:rPr>
              <w:t>植物垃圾压缩车</w:t>
            </w:r>
            <w:r>
              <w:rPr>
                <w:rFonts w:hint="eastAsia" w:cs="仿宋_GB2312" w:asciiTheme="minorEastAsia" w:hAnsiTheme="minorEastAsia" w:eastAsiaTheme="minorEastAsia"/>
                <w:color w:val="auto"/>
                <w:sz w:val="24"/>
                <w:highlight w:val="none"/>
              </w:rPr>
              <w:t>每</w:t>
            </w:r>
            <w:r>
              <w:rPr>
                <w:rFonts w:hint="eastAsia" w:cs="仿宋_GB2312" w:asciiTheme="minorEastAsia" w:hAnsiTheme="minorEastAsia" w:eastAsiaTheme="minorEastAsia"/>
                <w:color w:val="auto"/>
                <w:sz w:val="24"/>
                <w:highlight w:val="none"/>
                <w:lang w:eastAsia="zh-CN"/>
              </w:rPr>
              <w:t>辆</w:t>
            </w:r>
            <w:r>
              <w:rPr>
                <w:rFonts w:hint="eastAsia" w:cs="仿宋_GB2312" w:asciiTheme="minorEastAsia" w:hAnsiTheme="minorEastAsia" w:eastAsiaTheme="minorEastAsia"/>
                <w:color w:val="auto"/>
                <w:sz w:val="24"/>
                <w:highlight w:val="none"/>
              </w:rPr>
              <w:t>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分，最高得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eastAsia="zh-CN"/>
              </w:rPr>
              <w:t>。</w:t>
            </w:r>
          </w:p>
        </w:tc>
        <w:tc>
          <w:tcPr>
            <w:tcW w:w="765"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70" w:type="dxa"/>
            <w:vAlign w:val="center"/>
          </w:tcPr>
          <w:p>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lang w:eastAsia="zh-CN"/>
              </w:rPr>
              <w:t>客观分</w:t>
            </w:r>
          </w:p>
        </w:tc>
        <w:tc>
          <w:tcPr>
            <w:tcW w:w="168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5220" w:type="dxa"/>
          </w:tcPr>
          <w:p>
            <w:pPr>
              <w:spacing w:line="360" w:lineRule="auto"/>
              <w:outlineLvl w:val="0"/>
              <w:rPr>
                <w:rFonts w:hint="eastAsia" w:cs="仿宋_GB2312" w:asciiTheme="minorEastAsia" w:hAnsiTheme="minorEastAsia" w:eastAsiaTheme="minorEastAsia"/>
                <w:b/>
                <w:bCs/>
                <w:color w:val="auto"/>
                <w:sz w:val="24"/>
                <w:highlight w:val="none"/>
                <w:lang w:eastAsia="zh-CN"/>
              </w:rPr>
            </w:pPr>
            <w:bookmarkStart w:id="519" w:name="_GoBack"/>
            <w:r>
              <w:rPr>
                <w:rFonts w:hint="eastAsia" w:cs="仿宋_GB2312" w:asciiTheme="minorEastAsia" w:hAnsiTheme="minorEastAsia" w:eastAsiaTheme="minorEastAsia"/>
                <w:b/>
                <w:bCs/>
                <w:color w:val="auto"/>
                <w:sz w:val="24"/>
                <w:highlight w:val="none"/>
              </w:rPr>
              <w:t>针对本项目的优惠</w:t>
            </w:r>
            <w:r>
              <w:rPr>
                <w:rFonts w:hint="eastAsia" w:cs="仿宋_GB2312" w:asciiTheme="minorEastAsia" w:hAnsiTheme="minorEastAsia" w:eastAsiaTheme="minorEastAsia"/>
                <w:b/>
                <w:bCs/>
                <w:color w:val="auto"/>
                <w:sz w:val="24"/>
                <w:highlight w:val="none"/>
                <w:lang w:eastAsia="zh-CN"/>
              </w:rPr>
              <w:t>：</w:t>
            </w:r>
          </w:p>
          <w:p>
            <w:pPr>
              <w:spacing w:line="360" w:lineRule="auto"/>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针对本项目所提出的优惠方案、延伸服务以及服务承诺的综合评审。科学合理的得4分，部分满足的得2分，较差的得1分，不满足不得分。</w:t>
            </w:r>
            <w:bookmarkEnd w:id="519"/>
          </w:p>
        </w:tc>
        <w:tc>
          <w:tcPr>
            <w:tcW w:w="765"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170" w:type="dxa"/>
            <w:vAlign w:val="center"/>
          </w:tcPr>
          <w:p>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68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5220" w:type="dxa"/>
          </w:tcPr>
          <w:p>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765"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70" w:type="dxa"/>
            <w:vAlign w:val="center"/>
          </w:tcPr>
          <w:p>
            <w:pPr>
              <w:spacing w:line="360" w:lineRule="auto"/>
              <w:jc w:val="center"/>
              <w:outlineLvl w:val="0"/>
              <w:rPr>
                <w:rFonts w:cs="仿宋_GB2312" w:asciiTheme="minorEastAsia" w:hAnsiTheme="minorEastAsia" w:eastAsiaTheme="minorEastAsia"/>
                <w:color w:val="auto"/>
                <w:sz w:val="24"/>
                <w:highlight w:val="none"/>
              </w:rPr>
            </w:pPr>
          </w:p>
        </w:tc>
        <w:tc>
          <w:tcPr>
            <w:tcW w:w="1680"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4"/>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6"/>
        <w:spacing w:before="120" w:line="22" w:lineRule="atLeast"/>
        <w:rPr>
          <w:rFonts w:ascii="宋体" w:hAnsi="宋体" w:eastAsia="宋体" w:cs="宋体"/>
          <w:color w:val="auto"/>
          <w:szCs w:val="24"/>
          <w:highlight w:val="none"/>
        </w:rPr>
      </w:pPr>
    </w:p>
    <w:p>
      <w:pPr>
        <w:pStyle w:val="596"/>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276" w:right="1276" w:bottom="1276" w:left="1276"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5" w:name="_Toc22967"/>
      <w:bookmarkStart w:id="396" w:name="_Toc28855"/>
      <w:bookmarkStart w:id="397" w:name="_Toc19273"/>
      <w:bookmarkStart w:id="398" w:name="_Toc15367"/>
      <w:bookmarkStart w:id="399"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0" w:name="_Toc2918"/>
      <w:bookmarkStart w:id="401" w:name="_Toc22185"/>
      <w:bookmarkStart w:id="402" w:name="_Toc18585"/>
      <w:bookmarkStart w:id="403" w:name="_Toc6773"/>
      <w:bookmarkStart w:id="404"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（1）落实项目负责人1人,负责和</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工作对接及服务期内协调管理上下天竺区块及灵隐管理处管辖范围内的园林修枝、种植苗木、抗旱</w:t>
      </w:r>
      <w:r>
        <w:rPr>
          <w:rFonts w:hint="eastAsia" w:ascii="宋体" w:hAnsi="宋体" w:cs="宋体"/>
          <w:color w:val="auto"/>
          <w:kern w:val="0"/>
          <w:sz w:val="24"/>
          <w:szCs w:val="24"/>
          <w:highlight w:val="none"/>
          <w:lang w:eastAsia="zh-CN"/>
        </w:rPr>
        <w:t>抗台</w:t>
      </w:r>
      <w:r>
        <w:rPr>
          <w:rFonts w:hint="eastAsia" w:ascii="宋体" w:hAnsi="宋体" w:eastAsia="宋体" w:cs="宋体"/>
          <w:color w:val="auto"/>
          <w:kern w:val="0"/>
          <w:sz w:val="24"/>
          <w:szCs w:val="24"/>
          <w:highlight w:val="none"/>
        </w:rPr>
        <w:t>、应急保障</w:t>
      </w:r>
      <w:r>
        <w:rPr>
          <w:rFonts w:hint="eastAsia" w:ascii="宋体" w:hAnsi="宋体" w:cs="宋体"/>
          <w:color w:val="auto"/>
          <w:kern w:val="0"/>
          <w:sz w:val="24"/>
          <w:szCs w:val="24"/>
          <w:highlight w:val="none"/>
          <w:lang w:eastAsia="zh-CN"/>
        </w:rPr>
        <w:t>、抄告整改、集中攻坚、花事活动</w:t>
      </w:r>
      <w:r>
        <w:rPr>
          <w:rFonts w:hint="eastAsia" w:ascii="宋体" w:hAnsi="宋体" w:eastAsia="宋体" w:cs="宋体"/>
          <w:color w:val="auto"/>
          <w:kern w:val="0"/>
          <w:sz w:val="24"/>
          <w:szCs w:val="24"/>
          <w:highlight w:val="none"/>
        </w:rPr>
        <w:t>等</w:t>
      </w:r>
      <w:r>
        <w:rPr>
          <w:rFonts w:hint="eastAsia" w:ascii="宋体" w:hAnsi="宋体" w:cs="宋体"/>
          <w:color w:val="auto"/>
          <w:kern w:val="0"/>
          <w:sz w:val="24"/>
          <w:szCs w:val="24"/>
          <w:highlight w:val="none"/>
          <w:lang w:eastAsia="zh-CN"/>
        </w:rPr>
        <w:t>日常</w:t>
      </w:r>
      <w:r>
        <w:rPr>
          <w:rFonts w:hint="eastAsia" w:ascii="宋体" w:hAnsi="宋体" w:eastAsia="宋体" w:cs="宋体"/>
          <w:color w:val="auto"/>
          <w:kern w:val="0"/>
          <w:sz w:val="24"/>
          <w:szCs w:val="24"/>
          <w:highlight w:val="none"/>
        </w:rPr>
        <w:t>园林养护作业。</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对项目负责人安排任务，由项目负责人对派出</w:t>
      </w:r>
      <w:r>
        <w:rPr>
          <w:rFonts w:hint="eastAsia" w:ascii="宋体" w:hAnsi="宋体" w:eastAsia="宋体" w:cs="宋体"/>
          <w:color w:val="auto"/>
          <w:kern w:val="0"/>
          <w:sz w:val="24"/>
          <w:szCs w:val="24"/>
          <w:highlight w:val="none"/>
          <w:lang w:eastAsia="zh-CN"/>
        </w:rPr>
        <w:t>养护</w:t>
      </w:r>
      <w:r>
        <w:rPr>
          <w:rFonts w:hint="eastAsia" w:ascii="宋体" w:hAnsi="宋体" w:eastAsia="宋体" w:cs="宋体"/>
          <w:color w:val="auto"/>
          <w:kern w:val="0"/>
          <w:sz w:val="24"/>
          <w:szCs w:val="24"/>
          <w:highlight w:val="none"/>
        </w:rPr>
        <w:t>人员工作及时落实且监督执行完毕。处理好工作中出现的突发状况并及时工作情况反馈</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。项目负责人到岗率须100%。</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eastAsia="zh-CN"/>
        </w:rPr>
        <w:t>服务人数</w:t>
      </w:r>
      <w:r>
        <w:rPr>
          <w:rFonts w:hint="eastAsia" w:ascii="宋体" w:hAnsi="宋体" w:eastAsia="宋体" w:cs="宋体"/>
          <w:color w:val="auto"/>
          <w:kern w:val="0"/>
          <w:sz w:val="24"/>
          <w:szCs w:val="24"/>
          <w:highlight w:val="none"/>
        </w:rPr>
        <w:t>需求：全年计划</w:t>
      </w:r>
      <w:r>
        <w:rPr>
          <w:rFonts w:hint="eastAsia" w:ascii="宋体" w:hAnsi="宋体" w:eastAsia="宋体" w:cs="宋体"/>
          <w:b w:val="0"/>
          <w:bCs w:val="0"/>
          <w:strike w:val="0"/>
          <w:dstrike w:val="0"/>
          <w:color w:val="auto"/>
          <w:kern w:val="0"/>
          <w:sz w:val="24"/>
          <w:szCs w:val="24"/>
          <w:highlight w:val="none"/>
          <w:lang w:val="en-US" w:eastAsia="zh-CN"/>
        </w:rPr>
        <w:t>季节性服务</w:t>
      </w:r>
      <w:r>
        <w:rPr>
          <w:rFonts w:hint="eastAsia" w:ascii="宋体" w:hAnsi="宋体" w:cs="宋体"/>
          <w:b w:val="0"/>
          <w:bCs w:val="0"/>
          <w:strike w:val="0"/>
          <w:dstrike w:val="0"/>
          <w:color w:val="auto"/>
          <w:kern w:val="0"/>
          <w:sz w:val="24"/>
          <w:szCs w:val="24"/>
          <w:highlight w:val="none"/>
          <w:lang w:val="en-US" w:eastAsia="zh-CN"/>
        </w:rPr>
        <w:t>人</w:t>
      </w:r>
      <w:r>
        <w:rPr>
          <w:rFonts w:hint="eastAsia" w:ascii="宋体" w:hAnsi="宋体" w:eastAsia="宋体" w:cs="宋体"/>
          <w:color w:val="auto"/>
          <w:kern w:val="0"/>
          <w:sz w:val="24"/>
          <w:szCs w:val="24"/>
          <w:highlight w:val="none"/>
        </w:rPr>
        <w:t>数为男工</w:t>
      </w:r>
      <w:r>
        <w:rPr>
          <w:rFonts w:hint="eastAsia" w:ascii="宋体" w:hAnsi="宋体" w:cs="宋体"/>
          <w:color w:val="auto"/>
          <w:kern w:val="0"/>
          <w:sz w:val="24"/>
          <w:szCs w:val="24"/>
          <w:highlight w:val="none"/>
          <w:lang w:val="en-US" w:eastAsia="zh-CN"/>
        </w:rPr>
        <w:t>4643</w:t>
      </w:r>
      <w:r>
        <w:rPr>
          <w:rFonts w:hint="eastAsia" w:ascii="宋体" w:hAnsi="宋体" w:eastAsia="宋体" w:cs="宋体"/>
          <w:color w:val="auto"/>
          <w:kern w:val="0"/>
          <w:sz w:val="24"/>
          <w:szCs w:val="24"/>
          <w:highlight w:val="none"/>
        </w:rPr>
        <w:t>工，女工</w:t>
      </w:r>
      <w:r>
        <w:rPr>
          <w:rFonts w:hint="eastAsia" w:ascii="宋体" w:hAnsi="宋体" w:cs="宋体"/>
          <w:color w:val="auto"/>
          <w:kern w:val="0"/>
          <w:sz w:val="24"/>
          <w:szCs w:val="24"/>
          <w:highlight w:val="none"/>
          <w:lang w:val="en-US" w:eastAsia="zh-CN"/>
        </w:rPr>
        <w:t>1040</w:t>
      </w:r>
      <w:r>
        <w:rPr>
          <w:rFonts w:hint="eastAsia" w:ascii="宋体" w:hAnsi="宋体" w:eastAsia="宋体" w:cs="宋体"/>
          <w:color w:val="auto"/>
          <w:kern w:val="0"/>
          <w:sz w:val="24"/>
          <w:szCs w:val="24"/>
          <w:highlight w:val="none"/>
        </w:rPr>
        <w:t>工，要求男性60</w:t>
      </w:r>
      <w:r>
        <w:rPr>
          <w:rFonts w:hint="eastAsia" w:ascii="宋体" w:hAnsi="宋体" w:cs="宋体"/>
          <w:color w:val="auto"/>
          <w:kern w:val="0"/>
          <w:sz w:val="24"/>
          <w:szCs w:val="24"/>
          <w:highlight w:val="none"/>
          <w:lang w:eastAsia="zh-CN"/>
        </w:rPr>
        <w:t>周</w:t>
      </w:r>
      <w:r>
        <w:rPr>
          <w:rFonts w:hint="eastAsia" w:ascii="宋体" w:hAnsi="宋体" w:eastAsia="宋体" w:cs="宋体"/>
          <w:color w:val="auto"/>
          <w:kern w:val="0"/>
          <w:sz w:val="24"/>
          <w:szCs w:val="24"/>
          <w:highlight w:val="none"/>
        </w:rPr>
        <w:t>岁以下，女性50</w:t>
      </w:r>
      <w:r>
        <w:rPr>
          <w:rFonts w:hint="eastAsia" w:ascii="宋体" w:hAnsi="宋体" w:cs="宋体"/>
          <w:color w:val="auto"/>
          <w:kern w:val="0"/>
          <w:sz w:val="24"/>
          <w:szCs w:val="24"/>
          <w:highlight w:val="none"/>
          <w:lang w:eastAsia="zh-CN"/>
        </w:rPr>
        <w:t>周</w:t>
      </w:r>
      <w:r>
        <w:rPr>
          <w:rFonts w:hint="eastAsia" w:ascii="宋体" w:hAnsi="宋体" w:eastAsia="宋体" w:cs="宋体"/>
          <w:color w:val="auto"/>
          <w:kern w:val="0"/>
          <w:sz w:val="24"/>
          <w:szCs w:val="24"/>
          <w:highlight w:val="none"/>
        </w:rPr>
        <w:t>岁以下，年龄应符合国家法律法规规定的要求。具体</w:t>
      </w:r>
      <w:r>
        <w:rPr>
          <w:rFonts w:hint="eastAsia" w:ascii="宋体" w:hAnsi="宋体" w:cs="宋体"/>
          <w:color w:val="auto"/>
          <w:kern w:val="0"/>
          <w:sz w:val="24"/>
          <w:szCs w:val="24"/>
          <w:highlight w:val="none"/>
          <w:lang w:eastAsia="zh-CN"/>
        </w:rPr>
        <w:t>人数要求</w:t>
      </w:r>
      <w:r>
        <w:rPr>
          <w:rFonts w:hint="eastAsia" w:ascii="宋体" w:hAnsi="宋体" w:eastAsia="宋体" w:cs="宋体"/>
          <w:color w:val="auto"/>
          <w:kern w:val="0"/>
          <w:sz w:val="24"/>
          <w:szCs w:val="24"/>
          <w:highlight w:val="none"/>
        </w:rPr>
        <w:t>需按照</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的要求分批次</w:t>
      </w:r>
      <w:r>
        <w:rPr>
          <w:rFonts w:hint="eastAsia" w:ascii="宋体" w:hAnsi="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，具体服务时间以</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的通知为准，</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至少提前1天通知</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（应急突发任务除外）。</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应在接到</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的通知后，按该通知规定的时间、地点、数量</w:t>
      </w:r>
      <w:r>
        <w:rPr>
          <w:rFonts w:hint="eastAsia" w:ascii="宋体" w:hAnsi="宋体" w:cs="宋体"/>
          <w:color w:val="auto"/>
          <w:kern w:val="0"/>
          <w:sz w:val="24"/>
          <w:szCs w:val="24"/>
          <w:highlight w:val="none"/>
          <w:lang w:eastAsia="zh-CN"/>
        </w:rPr>
        <w:t>提供</w:t>
      </w:r>
      <w:r>
        <w:rPr>
          <w:rFonts w:hint="eastAsia" w:ascii="宋体" w:hAnsi="宋体" w:eastAsia="宋体" w:cs="宋体"/>
          <w:color w:val="auto"/>
          <w:kern w:val="0"/>
          <w:sz w:val="24"/>
          <w:szCs w:val="24"/>
          <w:highlight w:val="none"/>
          <w:lang w:eastAsia="zh-CN"/>
        </w:rPr>
        <w:t>养护</w:t>
      </w:r>
      <w:r>
        <w:rPr>
          <w:rFonts w:hint="eastAsia" w:ascii="宋体" w:hAnsi="宋体" w:eastAsia="宋体" w:cs="宋体"/>
          <w:color w:val="auto"/>
          <w:kern w:val="0"/>
          <w:sz w:val="24"/>
          <w:szCs w:val="24"/>
          <w:highlight w:val="none"/>
        </w:rPr>
        <w:t>人员。</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的通知包括口头通知、</w:t>
      </w:r>
      <w:r>
        <w:rPr>
          <w:rFonts w:hint="eastAsia" w:ascii="宋体" w:hAnsi="宋体" w:eastAsia="宋体" w:cs="宋体"/>
          <w:color w:val="auto"/>
          <w:kern w:val="0"/>
          <w:sz w:val="24"/>
          <w:szCs w:val="24"/>
          <w:highlight w:val="none"/>
          <w:lang w:eastAsia="zh-CN"/>
        </w:rPr>
        <w:t>微信通知、</w:t>
      </w:r>
      <w:r>
        <w:rPr>
          <w:rFonts w:hint="eastAsia" w:ascii="宋体" w:hAnsi="宋体" w:eastAsia="宋体" w:cs="宋体"/>
          <w:color w:val="auto"/>
          <w:kern w:val="0"/>
          <w:sz w:val="24"/>
          <w:szCs w:val="24"/>
          <w:highlight w:val="none"/>
        </w:rPr>
        <w:t>书面通知（传真）和电子邮件。</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的通知（传真）或邮件发送至</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项目负责人时，视为</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已经收到。具体实施时间以</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通知为准。如</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的通知逾期未响应，</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自行安排人员完成工作，产生的相关费用由</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承担。</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时间：由</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根据不同季节灵活调整，但必须保证从正式开始上班计时起，每天净工作不少于8小时。</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无条件积极配合</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应对自然灾害、事故灾害、公共卫生事件和社会安全事件等突发公共事件建立的应急预案</w:t>
      </w:r>
      <w:r>
        <w:rPr>
          <w:rFonts w:hint="eastAsia" w:ascii="宋体" w:hAnsi="宋体" w:eastAsia="宋体" w:cs="宋体"/>
          <w:b w:val="0"/>
          <w:bCs w:val="0"/>
          <w:strike w:val="0"/>
          <w:dstrike w:val="0"/>
          <w:color w:val="auto"/>
          <w:kern w:val="0"/>
          <w:sz w:val="24"/>
          <w:szCs w:val="24"/>
          <w:highlight w:val="none"/>
          <w:lang w:val="en-US" w:eastAsia="zh-CN"/>
        </w:rPr>
        <w:t>季节性服务</w:t>
      </w:r>
      <w:r>
        <w:rPr>
          <w:rFonts w:hint="eastAsia" w:ascii="宋体" w:hAnsi="宋体" w:cs="宋体"/>
          <w:b w:val="0"/>
          <w:bCs w:val="0"/>
          <w:strike w:val="0"/>
          <w:dstrike w:val="0"/>
          <w:color w:val="auto"/>
          <w:kern w:val="0"/>
          <w:sz w:val="24"/>
          <w:szCs w:val="24"/>
          <w:highlight w:val="none"/>
          <w:lang w:val="en-US" w:eastAsia="zh-CN"/>
        </w:rPr>
        <w:t>人员</w:t>
      </w:r>
      <w:r>
        <w:rPr>
          <w:rFonts w:hint="eastAsia" w:ascii="宋体" w:hAnsi="宋体" w:eastAsia="宋体" w:cs="宋体"/>
          <w:color w:val="auto"/>
          <w:kern w:val="0"/>
          <w:sz w:val="24"/>
          <w:szCs w:val="24"/>
          <w:highlight w:val="none"/>
        </w:rPr>
        <w:t>需求，按</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的要求完成</w:t>
      </w:r>
      <w:r>
        <w:rPr>
          <w:rFonts w:hint="eastAsia" w:ascii="宋体" w:hAnsi="宋体" w:eastAsia="宋体" w:cs="宋体"/>
          <w:b w:val="0"/>
          <w:bCs w:val="0"/>
          <w:strike w:val="0"/>
          <w:dstrike w:val="0"/>
          <w:color w:val="auto"/>
          <w:kern w:val="0"/>
          <w:sz w:val="24"/>
          <w:szCs w:val="24"/>
          <w:highlight w:val="none"/>
          <w:lang w:val="en-US" w:eastAsia="zh-CN"/>
        </w:rPr>
        <w:t>季节性服务</w:t>
      </w:r>
      <w:r>
        <w:rPr>
          <w:rFonts w:hint="eastAsia" w:ascii="宋体" w:hAnsi="宋体" w:eastAsia="宋体" w:cs="宋体"/>
          <w:color w:val="auto"/>
          <w:kern w:val="0"/>
          <w:sz w:val="24"/>
          <w:szCs w:val="24"/>
          <w:highlight w:val="none"/>
          <w:lang w:eastAsia="zh-CN"/>
        </w:rPr>
        <w:t>养护</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费用按实结算。</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hint="eastAsia" w:ascii="宋体" w:hAnsi="宋体"/>
          <w:color w:val="auto"/>
          <w:sz w:val="24"/>
          <w:highlight w:val="none"/>
          <w:lang w:eastAsia="zh-CN"/>
        </w:rPr>
        <w:t>（要求）</w:t>
      </w:r>
      <w:r>
        <w:rPr>
          <w:rFonts w:ascii="宋体" w:hAnsi="宋体"/>
          <w:color w:val="auto"/>
          <w:sz w:val="24"/>
          <w:highlight w:val="none"/>
        </w:rPr>
        <w:t>：</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养护</w:t>
      </w:r>
      <w:r>
        <w:rPr>
          <w:rFonts w:hint="eastAsia" w:ascii="宋体" w:hAnsi="宋体" w:eastAsia="宋体" w:cs="宋体"/>
          <w:color w:val="auto"/>
          <w:kern w:val="0"/>
          <w:sz w:val="24"/>
          <w:szCs w:val="24"/>
          <w:highlight w:val="none"/>
        </w:rPr>
        <w:t>承包要求</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①必须按</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季节性</w:t>
      </w:r>
      <w:r>
        <w:rPr>
          <w:rFonts w:hint="eastAsia" w:ascii="宋体" w:hAnsi="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的要求，保质保量安排</w:t>
      </w:r>
      <w:r>
        <w:rPr>
          <w:rFonts w:hint="eastAsia" w:ascii="宋体" w:hAnsi="宋体" w:eastAsia="宋体" w:cs="宋体"/>
          <w:color w:val="auto"/>
          <w:kern w:val="0"/>
          <w:sz w:val="24"/>
          <w:szCs w:val="24"/>
          <w:highlight w:val="none"/>
          <w:lang w:eastAsia="zh-CN"/>
        </w:rPr>
        <w:t>养护</w:t>
      </w:r>
      <w:r>
        <w:rPr>
          <w:rFonts w:hint="eastAsia" w:ascii="宋体" w:hAnsi="宋体" w:cs="宋体"/>
          <w:color w:val="auto"/>
          <w:kern w:val="0"/>
          <w:sz w:val="24"/>
          <w:szCs w:val="24"/>
          <w:highlight w:val="none"/>
          <w:lang w:eastAsia="zh-CN"/>
        </w:rPr>
        <w:t>人员</w:t>
      </w:r>
      <w:r>
        <w:rPr>
          <w:rFonts w:hint="eastAsia" w:ascii="宋体" w:hAnsi="宋体" w:eastAsia="宋体" w:cs="宋体"/>
          <w:color w:val="auto"/>
          <w:kern w:val="0"/>
          <w:sz w:val="24"/>
          <w:szCs w:val="24"/>
          <w:highlight w:val="none"/>
        </w:rPr>
        <w:t>以满足不同季节和活动时</w:t>
      </w:r>
      <w:r>
        <w:rPr>
          <w:rFonts w:hint="eastAsia" w:ascii="宋体" w:hAnsi="宋体" w:eastAsia="宋体" w:cs="宋体"/>
          <w:color w:val="auto"/>
          <w:kern w:val="0"/>
          <w:sz w:val="24"/>
          <w:szCs w:val="24"/>
          <w:highlight w:val="none"/>
          <w:lang w:eastAsia="zh-CN"/>
        </w:rPr>
        <w:t>养护</w:t>
      </w:r>
      <w:r>
        <w:rPr>
          <w:rFonts w:hint="eastAsia" w:ascii="宋体" w:hAnsi="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的需要。</w:t>
      </w:r>
      <w:r>
        <w:rPr>
          <w:rFonts w:hint="eastAsia" w:ascii="宋体" w:hAnsi="宋体" w:eastAsia="宋体" w:cs="宋体"/>
          <w:color w:val="auto"/>
          <w:kern w:val="0"/>
          <w:sz w:val="24"/>
          <w:szCs w:val="24"/>
          <w:highlight w:val="none"/>
          <w:lang w:eastAsia="zh-CN"/>
        </w:rPr>
        <w:t>养护</w:t>
      </w:r>
      <w:r>
        <w:rPr>
          <w:rFonts w:hint="eastAsia" w:ascii="宋体" w:hAnsi="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旺季3月-10月，旺季时</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应每日准备不少于</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人工以备</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随时通知</w:t>
      </w:r>
      <w:r>
        <w:rPr>
          <w:rFonts w:hint="eastAsia" w:ascii="宋体" w:hAnsi="宋体" w:eastAsia="宋体" w:cs="宋体"/>
          <w:color w:val="auto"/>
          <w:kern w:val="0"/>
          <w:sz w:val="24"/>
          <w:szCs w:val="24"/>
          <w:highlight w:val="none"/>
          <w:lang w:eastAsia="zh-CN"/>
        </w:rPr>
        <w:t>养护</w:t>
      </w:r>
      <w:r>
        <w:rPr>
          <w:rFonts w:hint="eastAsia" w:ascii="宋体" w:hAnsi="宋体" w:cs="宋体"/>
          <w:color w:val="auto"/>
          <w:kern w:val="0"/>
          <w:sz w:val="24"/>
          <w:szCs w:val="24"/>
          <w:highlight w:val="none"/>
          <w:lang w:eastAsia="zh-CN"/>
        </w:rPr>
        <w:t>服务要求</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养护</w:t>
      </w:r>
      <w:r>
        <w:rPr>
          <w:rFonts w:hint="eastAsia" w:ascii="宋体" w:hAnsi="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淡季为11月</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次年2月，淡季时</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应每日准备不少于</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人工以备</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随时通知</w:t>
      </w:r>
      <w:r>
        <w:rPr>
          <w:rFonts w:hint="eastAsia" w:ascii="宋体" w:hAnsi="宋体" w:eastAsia="宋体" w:cs="宋体"/>
          <w:color w:val="auto"/>
          <w:kern w:val="0"/>
          <w:sz w:val="24"/>
          <w:szCs w:val="24"/>
          <w:highlight w:val="none"/>
          <w:lang w:eastAsia="zh-CN"/>
        </w:rPr>
        <w:t>养护</w:t>
      </w:r>
      <w:r>
        <w:rPr>
          <w:rFonts w:hint="eastAsia" w:ascii="宋体" w:hAnsi="宋体" w:cs="宋体"/>
          <w:color w:val="auto"/>
          <w:kern w:val="0"/>
          <w:sz w:val="24"/>
          <w:szCs w:val="24"/>
          <w:highlight w:val="none"/>
          <w:lang w:eastAsia="zh-CN"/>
        </w:rPr>
        <w:t>服务要求</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费用按实结算。</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必须按时指派</w:t>
      </w:r>
      <w:r>
        <w:rPr>
          <w:rFonts w:hint="eastAsia" w:ascii="宋体" w:hAnsi="宋体" w:eastAsia="宋体" w:cs="宋体"/>
          <w:color w:val="auto"/>
          <w:kern w:val="0"/>
          <w:sz w:val="24"/>
          <w:szCs w:val="24"/>
          <w:highlight w:val="none"/>
          <w:lang w:eastAsia="zh-CN"/>
        </w:rPr>
        <w:t>养护</w:t>
      </w:r>
      <w:r>
        <w:rPr>
          <w:rFonts w:hint="eastAsia" w:ascii="宋体" w:hAnsi="宋体" w:eastAsia="宋体" w:cs="宋体"/>
          <w:color w:val="auto"/>
          <w:kern w:val="0"/>
          <w:sz w:val="24"/>
          <w:szCs w:val="24"/>
          <w:highlight w:val="none"/>
        </w:rPr>
        <w:t>人员达到指定地点，并落实项目负责人协调管理。如有特殊原因无法按时、按量进行委派的，必须提前一天通知</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，否则按违约处理，扣除相应费用。</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w:t>
      </w:r>
      <w:r>
        <w:rPr>
          <w:rFonts w:hint="eastAsia" w:ascii="宋体" w:hAnsi="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过程中，园林养护小型工具（枝剪</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手锯、老虎钳丶手工剪等）由</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自备。</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w:t>
      </w:r>
      <w:r>
        <w:rPr>
          <w:rFonts w:hint="eastAsia" w:ascii="宋体" w:hAnsi="宋体" w:eastAsia="宋体" w:cs="宋体"/>
          <w:color w:val="auto"/>
          <w:kern w:val="0"/>
          <w:sz w:val="24"/>
          <w:szCs w:val="24"/>
          <w:highlight w:val="none"/>
          <w:lang w:eastAsia="zh-CN"/>
        </w:rPr>
        <w:t>乙方养护</w:t>
      </w:r>
      <w:r>
        <w:rPr>
          <w:rFonts w:hint="eastAsia" w:ascii="宋体" w:hAnsi="宋体" w:eastAsia="宋体" w:cs="宋体"/>
          <w:color w:val="auto"/>
          <w:kern w:val="0"/>
          <w:sz w:val="24"/>
          <w:szCs w:val="24"/>
          <w:highlight w:val="none"/>
        </w:rPr>
        <w:t>人员必须严格服从</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的调度与工作安排，认真按时完成</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规定的工作任务。</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（2）安全生产工作制度</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必须建立相关的内部管理安全生产工作制度，如</w:t>
      </w:r>
      <w:r>
        <w:rPr>
          <w:rFonts w:hint="eastAsia" w:ascii="宋体" w:hAnsi="宋体" w:eastAsia="宋体" w:cs="宋体"/>
          <w:color w:val="auto"/>
          <w:kern w:val="0"/>
          <w:sz w:val="24"/>
          <w:szCs w:val="24"/>
          <w:highlight w:val="none"/>
          <w:lang w:eastAsia="zh-CN"/>
        </w:rPr>
        <w:t>养护</w:t>
      </w:r>
      <w:r>
        <w:rPr>
          <w:rFonts w:hint="eastAsia" w:ascii="宋体" w:hAnsi="宋体" w:eastAsia="宋体" w:cs="宋体"/>
          <w:color w:val="auto"/>
          <w:kern w:val="0"/>
          <w:sz w:val="24"/>
          <w:szCs w:val="24"/>
          <w:highlight w:val="none"/>
        </w:rPr>
        <w:t>人员在登高作业、农药使用、园林机具使用等安全作业的相关制度。</w:t>
      </w:r>
    </w:p>
    <w:p>
      <w:pPr>
        <w:pStyle w:val="2"/>
        <w:keepNext/>
        <w:keepLines/>
        <w:pageBreakBefore w:val="0"/>
        <w:widowControl w:val="0"/>
        <w:kinsoku/>
        <w:wordWrap/>
        <w:overflowPunct/>
        <w:topLinePunct w:val="0"/>
        <w:autoSpaceDE/>
        <w:autoSpaceDN/>
        <w:bidi w:val="0"/>
        <w:adjustRightInd w:val="0"/>
        <w:snapToGrid/>
        <w:spacing w:before="0" w:after="0" w:line="360" w:lineRule="auto"/>
        <w:ind w:left="0" w:leftChars="0" w:firstLine="560" w:firstLineChars="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②乙方</w:t>
      </w:r>
      <w:r>
        <w:rPr>
          <w:rFonts w:hint="eastAsia" w:ascii="宋体" w:hAnsi="宋体" w:cs="宋体"/>
          <w:b/>
          <w:bCs/>
          <w:color w:val="auto"/>
          <w:kern w:val="0"/>
          <w:sz w:val="24"/>
          <w:szCs w:val="24"/>
          <w:highlight w:val="none"/>
          <w:lang w:val="en-US" w:eastAsia="zh-CN" w:bidi="ar-SA"/>
        </w:rPr>
        <w:t>提供</w:t>
      </w:r>
      <w:r>
        <w:rPr>
          <w:rFonts w:hint="eastAsia" w:ascii="宋体" w:hAnsi="宋体" w:eastAsia="宋体" w:cs="宋体"/>
          <w:b/>
          <w:bCs/>
          <w:color w:val="auto"/>
          <w:kern w:val="0"/>
          <w:sz w:val="24"/>
          <w:szCs w:val="24"/>
          <w:highlight w:val="none"/>
          <w:lang w:val="en-US" w:eastAsia="zh-CN" w:bidi="ar-SA"/>
        </w:rPr>
        <w:t>的养护人员在作业中必须采取有效的安全措施，做好相关安全工作。在道路上作业时，必须严格遵守道路交通法规，必须穿反光背心进行作业；在登高作业时，必须穿防滑鞋、戴上安全头盔、系上安全带；在喷洒农药时，必须配戴防护口罩，严格按照产品说明书进行操作；在使用园林养护机械时，必须由经过培训的熟练工人操作。若违反安全操作规程作业导致任何伤亡等安全事故由</w:t>
      </w:r>
      <w:r>
        <w:rPr>
          <w:rFonts w:hint="eastAsia" w:ascii="宋体" w:hAnsi="宋体" w:cs="宋体"/>
          <w:b/>
          <w:bCs/>
          <w:color w:val="auto"/>
          <w:kern w:val="0"/>
          <w:sz w:val="24"/>
          <w:szCs w:val="24"/>
          <w:highlight w:val="none"/>
          <w:lang w:val="en-US" w:eastAsia="zh-CN" w:bidi="ar-SA"/>
        </w:rPr>
        <w:t>乙方</w:t>
      </w:r>
      <w:r>
        <w:rPr>
          <w:rFonts w:hint="eastAsia" w:ascii="宋体" w:hAnsi="宋体" w:eastAsia="宋体" w:cs="宋体"/>
          <w:b/>
          <w:bCs/>
          <w:color w:val="auto"/>
          <w:kern w:val="0"/>
          <w:sz w:val="24"/>
          <w:szCs w:val="24"/>
          <w:highlight w:val="none"/>
          <w:lang w:val="en-US" w:eastAsia="zh-CN" w:bidi="ar-SA"/>
        </w:rPr>
        <w:t>承担全部责任，并赔偿造成的一切损失。</w:t>
      </w:r>
    </w:p>
    <w:p>
      <w:pPr>
        <w:pStyle w:val="2"/>
        <w:keepNext/>
        <w:keepLines/>
        <w:pageBreakBefore w:val="0"/>
        <w:widowControl w:val="0"/>
        <w:kinsoku/>
        <w:wordWrap/>
        <w:overflowPunct/>
        <w:topLinePunct w:val="0"/>
        <w:autoSpaceDE/>
        <w:autoSpaceDN/>
        <w:bidi w:val="0"/>
        <w:adjustRightInd w:val="0"/>
        <w:snapToGrid/>
        <w:spacing w:before="0" w:after="0" w:line="360" w:lineRule="auto"/>
        <w:ind w:left="0" w:leftChars="0" w:firstLine="560" w:firstLineChars="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③养护人员禁止酒后登高及使用园林机械。</w:t>
      </w:r>
    </w:p>
    <w:p>
      <w:pPr>
        <w:pStyle w:val="2"/>
        <w:keepNext/>
        <w:keepLines/>
        <w:pageBreakBefore w:val="0"/>
        <w:widowControl w:val="0"/>
        <w:kinsoku/>
        <w:wordWrap/>
        <w:overflowPunct/>
        <w:topLinePunct w:val="0"/>
        <w:autoSpaceDE/>
        <w:autoSpaceDN/>
        <w:bidi w:val="0"/>
        <w:adjustRightInd w:val="0"/>
        <w:snapToGrid/>
        <w:spacing w:before="0" w:after="0" w:line="360" w:lineRule="auto"/>
        <w:ind w:left="0" w:leftChars="0" w:firstLine="560" w:firstLineChars="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④</w:t>
      </w:r>
      <w:r>
        <w:rPr>
          <w:rFonts w:hint="eastAsia" w:ascii="宋体" w:hAnsi="宋体" w:cs="宋体"/>
          <w:b/>
          <w:bCs/>
          <w:color w:val="auto"/>
          <w:kern w:val="0"/>
          <w:sz w:val="24"/>
          <w:szCs w:val="24"/>
          <w:highlight w:val="none"/>
          <w:lang w:val="en-US" w:eastAsia="zh-CN" w:bidi="ar-SA"/>
        </w:rPr>
        <w:t>乙方</w:t>
      </w:r>
      <w:r>
        <w:rPr>
          <w:rFonts w:hint="eastAsia" w:ascii="宋体" w:hAnsi="宋体" w:eastAsia="宋体" w:cs="宋体"/>
          <w:b/>
          <w:bCs/>
          <w:color w:val="auto"/>
          <w:kern w:val="0"/>
          <w:sz w:val="24"/>
          <w:szCs w:val="24"/>
          <w:highlight w:val="none"/>
          <w:lang w:val="en-US" w:eastAsia="zh-CN" w:bidi="ar-SA"/>
        </w:rPr>
        <w:t>养护人员必须严格按照规章制度及规范操作流程进行作业，由于</w:t>
      </w:r>
      <w:r>
        <w:rPr>
          <w:rFonts w:hint="eastAsia" w:ascii="宋体" w:hAnsi="宋体" w:cs="宋体"/>
          <w:b/>
          <w:bCs/>
          <w:color w:val="auto"/>
          <w:kern w:val="0"/>
          <w:sz w:val="24"/>
          <w:szCs w:val="24"/>
          <w:highlight w:val="none"/>
          <w:lang w:val="en-US" w:eastAsia="zh-CN" w:bidi="ar-SA"/>
        </w:rPr>
        <w:t>乙方</w:t>
      </w:r>
      <w:r>
        <w:rPr>
          <w:rFonts w:hint="eastAsia" w:ascii="宋体" w:hAnsi="宋体" w:eastAsia="宋体" w:cs="宋体"/>
          <w:b/>
          <w:bCs/>
          <w:color w:val="auto"/>
          <w:kern w:val="0"/>
          <w:sz w:val="24"/>
          <w:szCs w:val="24"/>
          <w:highlight w:val="none"/>
          <w:lang w:val="en-US" w:eastAsia="zh-CN" w:bidi="ar-SA"/>
        </w:rPr>
        <w:t>人员在作业过程中导致任何第三方的财产、经营损失或人身伤害、死亡的，一切责任均由</w:t>
      </w:r>
      <w:r>
        <w:rPr>
          <w:rFonts w:hint="eastAsia" w:ascii="宋体" w:hAnsi="宋体" w:cs="宋体"/>
          <w:b/>
          <w:bCs/>
          <w:color w:val="auto"/>
          <w:kern w:val="0"/>
          <w:sz w:val="24"/>
          <w:szCs w:val="24"/>
          <w:highlight w:val="none"/>
          <w:lang w:val="en-US" w:eastAsia="zh-CN" w:bidi="ar-SA"/>
        </w:rPr>
        <w:t>乙方</w:t>
      </w:r>
      <w:r>
        <w:rPr>
          <w:rFonts w:hint="eastAsia" w:ascii="宋体" w:hAnsi="宋体" w:eastAsia="宋体" w:cs="宋体"/>
          <w:b/>
          <w:bCs/>
          <w:color w:val="auto"/>
          <w:kern w:val="0"/>
          <w:sz w:val="24"/>
          <w:szCs w:val="24"/>
          <w:highlight w:val="none"/>
          <w:lang w:val="en-US" w:eastAsia="zh-CN" w:bidi="ar-SA"/>
        </w:rPr>
        <w:t>承担。</w:t>
      </w:r>
    </w:p>
    <w:p>
      <w:pPr>
        <w:pStyle w:val="2"/>
        <w:keepNext/>
        <w:keepLines/>
        <w:pageBreakBefore w:val="0"/>
        <w:widowControl w:val="0"/>
        <w:kinsoku/>
        <w:wordWrap/>
        <w:overflowPunct/>
        <w:topLinePunct w:val="0"/>
        <w:autoSpaceDE/>
        <w:autoSpaceDN/>
        <w:bidi w:val="0"/>
        <w:adjustRightInd w:val="0"/>
        <w:snapToGrid/>
        <w:spacing w:before="0" w:after="0" w:line="360" w:lineRule="auto"/>
        <w:ind w:left="0" w:leftChars="0" w:firstLine="560" w:firstLineChars="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⑤</w:t>
      </w:r>
      <w:r>
        <w:rPr>
          <w:rFonts w:hint="eastAsia" w:ascii="宋体" w:hAnsi="宋体" w:cs="宋体"/>
          <w:b/>
          <w:bCs/>
          <w:color w:val="auto"/>
          <w:kern w:val="0"/>
          <w:sz w:val="24"/>
          <w:szCs w:val="24"/>
          <w:highlight w:val="none"/>
          <w:lang w:val="en-US" w:eastAsia="zh-CN" w:bidi="ar-SA"/>
        </w:rPr>
        <w:t>乙方</w:t>
      </w:r>
      <w:r>
        <w:rPr>
          <w:rFonts w:hint="eastAsia" w:ascii="宋体" w:hAnsi="宋体" w:eastAsia="宋体" w:cs="宋体"/>
          <w:b/>
          <w:bCs/>
          <w:color w:val="auto"/>
          <w:kern w:val="0"/>
          <w:sz w:val="24"/>
          <w:szCs w:val="24"/>
          <w:highlight w:val="none"/>
          <w:lang w:val="en-US" w:eastAsia="zh-CN" w:bidi="ar-SA"/>
        </w:rPr>
        <w:t>养护人员在作业期间发生工伤、职业病、死亡等事故（包括上下班过程中的交通伤亡事故）等，由</w:t>
      </w:r>
      <w:r>
        <w:rPr>
          <w:rFonts w:hint="eastAsia" w:ascii="宋体" w:hAnsi="宋体" w:cs="宋体"/>
          <w:b/>
          <w:bCs/>
          <w:color w:val="auto"/>
          <w:kern w:val="0"/>
          <w:sz w:val="24"/>
          <w:szCs w:val="24"/>
          <w:highlight w:val="none"/>
          <w:lang w:val="en-US" w:eastAsia="zh-CN" w:bidi="ar-SA"/>
        </w:rPr>
        <w:t>乙方</w:t>
      </w:r>
      <w:r>
        <w:rPr>
          <w:rFonts w:hint="eastAsia" w:ascii="宋体" w:hAnsi="宋体" w:eastAsia="宋体" w:cs="宋体"/>
          <w:b/>
          <w:bCs/>
          <w:color w:val="auto"/>
          <w:kern w:val="0"/>
          <w:sz w:val="24"/>
          <w:szCs w:val="24"/>
          <w:highlight w:val="none"/>
          <w:lang w:val="en-US" w:eastAsia="zh-CN" w:bidi="ar-SA"/>
        </w:rPr>
        <w:t>按国家和本地区的有关政策、规定处理。</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委派的园林养护辅助</w:t>
      </w:r>
      <w:r>
        <w:rPr>
          <w:rFonts w:hint="eastAsia" w:ascii="宋体" w:hAnsi="宋体" w:eastAsia="宋体" w:cs="宋体"/>
          <w:color w:val="auto"/>
          <w:kern w:val="0"/>
          <w:sz w:val="24"/>
          <w:szCs w:val="24"/>
          <w:highlight w:val="none"/>
          <w:lang w:eastAsia="zh-CN"/>
        </w:rPr>
        <w:t>养护</w:t>
      </w:r>
      <w:r>
        <w:rPr>
          <w:rFonts w:hint="eastAsia" w:ascii="宋体" w:hAnsi="宋体" w:eastAsia="宋体" w:cs="宋体"/>
          <w:color w:val="auto"/>
          <w:kern w:val="0"/>
          <w:sz w:val="24"/>
          <w:szCs w:val="24"/>
          <w:highlight w:val="none"/>
        </w:rPr>
        <w:t>人员的食宿、交通、人员工资、国家规定的相关社险、福利、津贴等均由</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自行承担。</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color w:val="auto"/>
          <w:highlight w:val="none"/>
        </w:rPr>
      </w:pPr>
      <w:r>
        <w:rPr>
          <w:rFonts w:hint="eastAsia" w:ascii="宋体" w:hAnsi="宋体" w:eastAsia="宋体" w:cs="宋体"/>
          <w:color w:val="auto"/>
          <w:kern w:val="0"/>
          <w:sz w:val="24"/>
          <w:szCs w:val="24"/>
          <w:highlight w:val="none"/>
        </w:rPr>
        <w:t>（4）灵隐管理处全年计划</w:t>
      </w:r>
      <w:r>
        <w:rPr>
          <w:rFonts w:hint="eastAsia" w:ascii="宋体" w:hAnsi="宋体" w:eastAsia="宋体" w:cs="宋体"/>
          <w:b w:val="0"/>
          <w:bCs w:val="0"/>
          <w:strike w:val="0"/>
          <w:dstrike w:val="0"/>
          <w:color w:val="auto"/>
          <w:kern w:val="0"/>
          <w:sz w:val="24"/>
          <w:szCs w:val="24"/>
          <w:highlight w:val="none"/>
          <w:lang w:val="en-US" w:eastAsia="zh-CN"/>
        </w:rPr>
        <w:t>季节性服务</w:t>
      </w:r>
      <w:r>
        <w:rPr>
          <w:rFonts w:hint="eastAsia" w:ascii="宋体" w:hAnsi="宋体" w:cs="宋体"/>
          <w:b w:val="0"/>
          <w:bCs w:val="0"/>
          <w:strike w:val="0"/>
          <w:dstrike w:val="0"/>
          <w:color w:val="auto"/>
          <w:kern w:val="0"/>
          <w:sz w:val="24"/>
          <w:szCs w:val="24"/>
          <w:highlight w:val="none"/>
          <w:lang w:val="en-US" w:eastAsia="zh-CN"/>
        </w:rPr>
        <w:t>人</w:t>
      </w:r>
      <w:r>
        <w:rPr>
          <w:rFonts w:hint="eastAsia" w:ascii="宋体" w:hAnsi="宋体" w:eastAsia="宋体" w:cs="宋体"/>
          <w:color w:val="auto"/>
          <w:kern w:val="0"/>
          <w:sz w:val="24"/>
          <w:szCs w:val="24"/>
          <w:highlight w:val="none"/>
        </w:rPr>
        <w:t>数为男工</w:t>
      </w:r>
      <w:r>
        <w:rPr>
          <w:rFonts w:hint="eastAsia" w:ascii="宋体" w:hAnsi="宋体" w:cs="宋体"/>
          <w:color w:val="auto"/>
          <w:kern w:val="0"/>
          <w:sz w:val="24"/>
          <w:szCs w:val="24"/>
          <w:highlight w:val="none"/>
          <w:lang w:val="en-US" w:eastAsia="zh-CN"/>
        </w:rPr>
        <w:t>4643</w:t>
      </w:r>
      <w:r>
        <w:rPr>
          <w:rFonts w:hint="eastAsia" w:ascii="宋体" w:hAnsi="宋体" w:eastAsia="宋体" w:cs="宋体"/>
          <w:color w:val="auto"/>
          <w:kern w:val="0"/>
          <w:sz w:val="24"/>
          <w:szCs w:val="24"/>
          <w:highlight w:val="none"/>
        </w:rPr>
        <w:t>工，女工</w:t>
      </w:r>
      <w:r>
        <w:rPr>
          <w:rFonts w:hint="eastAsia" w:ascii="宋体" w:hAnsi="宋体" w:cs="宋体"/>
          <w:color w:val="auto"/>
          <w:kern w:val="0"/>
          <w:sz w:val="24"/>
          <w:szCs w:val="24"/>
          <w:highlight w:val="none"/>
          <w:lang w:val="en-US" w:eastAsia="zh-CN"/>
        </w:rPr>
        <w:t>1040</w:t>
      </w:r>
      <w:r>
        <w:rPr>
          <w:rFonts w:hint="eastAsia" w:ascii="宋体" w:hAnsi="宋体" w:eastAsia="宋体" w:cs="宋体"/>
          <w:color w:val="auto"/>
          <w:kern w:val="0"/>
          <w:sz w:val="24"/>
          <w:szCs w:val="24"/>
          <w:highlight w:val="none"/>
        </w:rPr>
        <w:t>工，特殊情况下，管理处有权要求酌情增减人员，具体费用根据每月实际</w:t>
      </w:r>
      <w:r>
        <w:rPr>
          <w:rFonts w:hint="eastAsia" w:ascii="宋体" w:hAnsi="宋体" w:cs="宋体"/>
          <w:color w:val="auto"/>
          <w:kern w:val="0"/>
          <w:sz w:val="24"/>
          <w:szCs w:val="24"/>
          <w:highlight w:val="none"/>
          <w:lang w:eastAsia="zh-CN"/>
        </w:rPr>
        <w:t>产生的服务</w:t>
      </w:r>
      <w:r>
        <w:rPr>
          <w:rFonts w:hint="eastAsia" w:ascii="宋体" w:hAnsi="宋体" w:eastAsia="宋体" w:cs="宋体"/>
          <w:color w:val="auto"/>
          <w:kern w:val="0"/>
          <w:sz w:val="24"/>
          <w:szCs w:val="24"/>
          <w:highlight w:val="none"/>
        </w:rPr>
        <w:t>数</w:t>
      </w:r>
      <w:r>
        <w:rPr>
          <w:rFonts w:hint="eastAsia" w:ascii="宋体" w:hAnsi="宋体" w:cs="宋体"/>
          <w:color w:val="auto"/>
          <w:kern w:val="0"/>
          <w:sz w:val="24"/>
          <w:szCs w:val="24"/>
          <w:highlight w:val="none"/>
          <w:lang w:eastAsia="zh-CN"/>
        </w:rPr>
        <w:t>量</w:t>
      </w:r>
      <w:r>
        <w:rPr>
          <w:rFonts w:hint="eastAsia" w:ascii="宋体" w:hAnsi="宋体" w:eastAsia="宋体" w:cs="宋体"/>
          <w:color w:val="auto"/>
          <w:kern w:val="0"/>
          <w:sz w:val="24"/>
          <w:szCs w:val="24"/>
          <w:highlight w:val="none"/>
        </w:rPr>
        <w:t>按实结算。</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1.2.3 </w:t>
      </w:r>
      <w:r>
        <w:rPr>
          <w:rFonts w:hint="eastAsia" w:ascii="宋体" w:hAnsi="宋体"/>
          <w:color w:val="auto"/>
          <w:sz w:val="24"/>
          <w:highlight w:val="none"/>
        </w:rPr>
        <w:t>技术保障：</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项目现场：已具备条件。</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验收标准、方法：</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①乙方</w:t>
      </w:r>
      <w:r>
        <w:rPr>
          <w:rFonts w:hint="eastAsia" w:ascii="宋体" w:hAnsi="宋体" w:cs="宋体"/>
          <w:color w:val="auto"/>
          <w:kern w:val="0"/>
          <w:sz w:val="24"/>
          <w:szCs w:val="24"/>
          <w:highlight w:val="none"/>
          <w:lang w:eastAsia="zh-CN"/>
        </w:rPr>
        <w:t>提供</w:t>
      </w:r>
      <w:r>
        <w:rPr>
          <w:rFonts w:hint="eastAsia" w:ascii="宋体" w:hAnsi="宋体" w:eastAsia="宋体" w:cs="宋体"/>
          <w:color w:val="auto"/>
          <w:kern w:val="0"/>
          <w:sz w:val="24"/>
          <w:szCs w:val="24"/>
          <w:highlight w:val="none"/>
        </w:rPr>
        <w:t>的</w:t>
      </w:r>
      <w:r>
        <w:rPr>
          <w:rFonts w:hint="eastAsia" w:ascii="宋体" w:hAnsi="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人员及其施工作业，必须满足</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的技术要求；</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②</w:t>
      </w:r>
      <w:r>
        <w:rPr>
          <w:rFonts w:hint="eastAsia" w:ascii="宋体" w:hAnsi="宋体" w:eastAsia="宋体" w:cs="宋体"/>
          <w:color w:val="auto"/>
          <w:kern w:val="0"/>
          <w:sz w:val="24"/>
          <w:szCs w:val="24"/>
          <w:highlight w:val="none"/>
        </w:rPr>
        <w:t>操作质量不合格的，</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应在</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规定的时间内无偿返工，直至达到质量验收标准合格。</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技术服务要求：服务期间对指派人员进行免费的技术培训，达到</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指派人员的技术要求。</w:t>
      </w:r>
    </w:p>
    <w:p>
      <w:pPr>
        <w:pageBreakBefore w:val="0"/>
        <w:widowControl w:val="0"/>
        <w:tabs>
          <w:tab w:val="left" w:pos="0"/>
        </w:tabs>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响应时间：如在服务过程中发生问题，</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项目负责人应在接到</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通知后在1小时内到达项目现场。</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否 </w:t>
      </w:r>
      <w:r>
        <w:rPr>
          <w:rFonts w:hint="eastAsia"/>
          <w:color w:val="auto"/>
          <w:highlight w:val="none"/>
        </w:rPr>
        <w:t>涉及货物。若涉及货物的的，则：</w:t>
      </w:r>
    </w:p>
    <w:p>
      <w:pPr>
        <w:spacing w:line="560" w:lineRule="exact"/>
        <w:ind w:firstLine="480" w:firstLineChars="200"/>
        <w:rPr>
          <w:rFonts w:ascii="宋体" w:hAnsi="宋体" w:cs="宋体"/>
          <w:color w:val="auto"/>
          <w:sz w:val="24"/>
          <w:highlight w:val="none"/>
          <w:u w:val="single"/>
        </w:rPr>
      </w:pPr>
      <w:bookmarkStart w:id="405" w:name="_Toc5635"/>
      <w:bookmarkStart w:id="406" w:name="_Toc21124"/>
      <w:bookmarkStart w:id="407" w:name="_Toc1386"/>
      <w:bookmarkStart w:id="408" w:name="_Toc13918"/>
      <w:bookmarkStart w:id="409"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lang w:val="en-US" w:eastAsia="zh-CN"/>
        </w:rPr>
        <w:t xml:space="preserve"> 1.3.2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1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noWrap w:val="0"/>
            <w:vAlign w:val="center"/>
          </w:tcPr>
          <w:p>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noWrap w:val="0"/>
            <w:vAlign w:val="center"/>
          </w:tcPr>
          <w:p>
            <w:pPr>
              <w:pStyle w:val="317"/>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17"/>
              <w:spacing w:line="560" w:lineRule="exact"/>
              <w:ind w:firstLine="200"/>
              <w:jc w:val="center"/>
              <w:rPr>
                <w:rFonts w:hAnsi="宋体"/>
                <w:color w:val="auto"/>
                <w:sz w:val="24"/>
                <w:szCs w:val="24"/>
                <w:highlight w:val="none"/>
              </w:rPr>
            </w:pPr>
          </w:p>
        </w:tc>
        <w:tc>
          <w:tcPr>
            <w:tcW w:w="3402" w:type="dxa"/>
            <w:noWrap w:val="0"/>
            <w:vAlign w:val="center"/>
          </w:tcPr>
          <w:p>
            <w:pPr>
              <w:pStyle w:val="317"/>
              <w:spacing w:line="560" w:lineRule="exact"/>
              <w:ind w:firstLine="200"/>
              <w:jc w:val="center"/>
              <w:rPr>
                <w:rFonts w:hAnsi="宋体"/>
                <w:color w:val="auto"/>
                <w:sz w:val="24"/>
                <w:szCs w:val="24"/>
                <w:highlight w:val="none"/>
              </w:rPr>
            </w:pPr>
          </w:p>
        </w:tc>
        <w:tc>
          <w:tcPr>
            <w:tcW w:w="2552" w:type="dxa"/>
            <w:noWrap w:val="0"/>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17"/>
              <w:spacing w:line="560" w:lineRule="exact"/>
              <w:ind w:firstLine="200"/>
              <w:jc w:val="center"/>
              <w:rPr>
                <w:rFonts w:hAnsi="宋体"/>
                <w:color w:val="auto"/>
                <w:sz w:val="24"/>
                <w:szCs w:val="24"/>
                <w:highlight w:val="none"/>
              </w:rPr>
            </w:pPr>
          </w:p>
        </w:tc>
        <w:tc>
          <w:tcPr>
            <w:tcW w:w="3402" w:type="dxa"/>
            <w:noWrap w:val="0"/>
            <w:vAlign w:val="center"/>
          </w:tcPr>
          <w:p>
            <w:pPr>
              <w:pStyle w:val="317"/>
              <w:spacing w:line="560" w:lineRule="exact"/>
              <w:ind w:firstLine="200"/>
              <w:jc w:val="center"/>
              <w:rPr>
                <w:rFonts w:hAnsi="宋体"/>
                <w:color w:val="auto"/>
                <w:sz w:val="24"/>
                <w:szCs w:val="24"/>
                <w:highlight w:val="none"/>
              </w:rPr>
            </w:pPr>
          </w:p>
        </w:tc>
        <w:tc>
          <w:tcPr>
            <w:tcW w:w="2552" w:type="dxa"/>
            <w:noWrap w:val="0"/>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17"/>
              <w:spacing w:line="560" w:lineRule="exact"/>
              <w:ind w:firstLine="200"/>
              <w:jc w:val="center"/>
              <w:rPr>
                <w:rFonts w:hAnsi="宋体"/>
                <w:color w:val="auto"/>
                <w:sz w:val="24"/>
                <w:szCs w:val="24"/>
                <w:highlight w:val="none"/>
              </w:rPr>
            </w:pPr>
          </w:p>
        </w:tc>
        <w:tc>
          <w:tcPr>
            <w:tcW w:w="3402" w:type="dxa"/>
            <w:noWrap w:val="0"/>
            <w:vAlign w:val="center"/>
          </w:tcPr>
          <w:p>
            <w:pPr>
              <w:pStyle w:val="317"/>
              <w:spacing w:line="560" w:lineRule="exact"/>
              <w:ind w:firstLine="200"/>
              <w:jc w:val="center"/>
              <w:rPr>
                <w:rFonts w:hAnsi="宋体"/>
                <w:color w:val="auto"/>
                <w:sz w:val="24"/>
                <w:szCs w:val="24"/>
                <w:highlight w:val="none"/>
              </w:rPr>
            </w:pPr>
          </w:p>
        </w:tc>
        <w:tc>
          <w:tcPr>
            <w:tcW w:w="2552" w:type="dxa"/>
            <w:noWrap w:val="0"/>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17"/>
              <w:spacing w:line="560" w:lineRule="exact"/>
              <w:ind w:firstLine="200"/>
              <w:jc w:val="center"/>
              <w:rPr>
                <w:rFonts w:hAnsi="宋体"/>
                <w:color w:val="auto"/>
                <w:sz w:val="24"/>
                <w:szCs w:val="24"/>
                <w:highlight w:val="none"/>
              </w:rPr>
            </w:pPr>
          </w:p>
        </w:tc>
        <w:tc>
          <w:tcPr>
            <w:tcW w:w="3402" w:type="dxa"/>
            <w:noWrap w:val="0"/>
            <w:vAlign w:val="center"/>
          </w:tcPr>
          <w:p>
            <w:pPr>
              <w:pStyle w:val="317"/>
              <w:spacing w:line="560" w:lineRule="exact"/>
              <w:ind w:firstLine="200"/>
              <w:jc w:val="center"/>
              <w:rPr>
                <w:rFonts w:hAnsi="宋体"/>
                <w:color w:val="auto"/>
                <w:sz w:val="24"/>
                <w:szCs w:val="24"/>
                <w:highlight w:val="none"/>
              </w:rPr>
            </w:pPr>
          </w:p>
        </w:tc>
        <w:tc>
          <w:tcPr>
            <w:tcW w:w="2552" w:type="dxa"/>
            <w:noWrap w:val="0"/>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noWrap w:val="0"/>
            <w:vAlign w:val="center"/>
          </w:tcPr>
          <w:p>
            <w:pPr>
              <w:pStyle w:val="317"/>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0" w:name="_Toc3654"/>
      <w:bookmarkStart w:id="411" w:name="_Toc26916"/>
      <w:bookmarkStart w:id="412" w:name="_Toc30506"/>
      <w:bookmarkStart w:id="413" w:name="_Toc30158"/>
      <w:bookmarkStart w:id="414"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pPr>
        <w:pStyle w:val="957"/>
        <w:spacing w:before="0" w:beforeAutospacing="0" w:after="0" w:afterAutospacing="0" w:line="360" w:lineRule="auto"/>
        <w:ind w:firstLine="480"/>
        <w:rPr>
          <w:b/>
          <w:color w:val="auto"/>
          <w:highlight w:val="none"/>
        </w:rPr>
      </w:pPr>
      <w:bookmarkStart w:id="415" w:name="_Toc1814"/>
      <w:bookmarkStart w:id="416" w:name="_Toc22618"/>
      <w:bookmarkStart w:id="417" w:name="_Toc10340"/>
      <w:bookmarkStart w:id="418" w:name="_Toc4760"/>
      <w:bookmarkStart w:id="419" w:name="_Toc31421"/>
      <w:bookmarkStart w:id="420" w:name="_Toc8772"/>
      <w:bookmarkStart w:id="421" w:name="_Toc3625"/>
      <w:bookmarkStart w:id="422" w:name="_Toc11108"/>
      <w:r>
        <w:rPr>
          <w:rFonts w:hint="eastAsia"/>
          <w:b/>
          <w:color w:val="auto"/>
          <w:highlight w:val="none"/>
        </w:rPr>
        <w:t>1.4履约保证金</w:t>
      </w:r>
    </w:p>
    <w:p>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是</w:t>
      </w:r>
      <w:r>
        <w:rPr>
          <w:rFonts w:hint="eastAsia"/>
          <w:color w:val="auto"/>
          <w:highlight w:val="none"/>
          <w:u w:val="single"/>
          <w:lang w:val="en-US" w:eastAsia="zh-CN"/>
        </w:rPr>
        <w:t xml:space="preserve"> </w:t>
      </w:r>
      <w:r>
        <w:rPr>
          <w:rFonts w:hint="eastAsia"/>
          <w:color w:val="auto"/>
          <w:highlight w:val="none"/>
        </w:rPr>
        <w:t>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3" w:name="_Toc24662"/>
      <w:bookmarkStart w:id="424" w:name="_Toc8586"/>
      <w:bookmarkStart w:id="425" w:name="_Toc3079"/>
      <w:bookmarkStart w:id="426" w:name="_Toc2375"/>
      <w:bookmarkStart w:id="427" w:name="_Toc5698"/>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8" w:name="_Toc9497"/>
      <w:bookmarkStart w:id="429" w:name="_Toc18683"/>
      <w:bookmarkStart w:id="430" w:name="_Toc32454"/>
      <w:bookmarkStart w:id="431" w:name="_Toc30329"/>
      <w:bookmarkStart w:id="432"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auto"/>
          <w:sz w:val="24"/>
          <w:highlight w:val="none"/>
        </w:rPr>
      </w:pPr>
      <w:bookmarkStart w:id="433" w:name="_Toc28375"/>
      <w:bookmarkStart w:id="434" w:name="_Toc16021"/>
      <w:bookmarkStart w:id="435" w:name="_Toc15583"/>
      <w:r>
        <w:rPr>
          <w:rFonts w:hint="eastAsia" w:ascii="宋体" w:hAnsi="宋体" w:cs="宋体"/>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val="0"/>
          <w:iCs/>
          <w:color w:val="auto"/>
          <w:sz w:val="24"/>
          <w:highlight w:val="none"/>
          <w:u w:val="single"/>
        </w:rPr>
        <w:t xml:space="preserve"> 1.9.2  </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6" w:name="_Toc15322"/>
      <w:bookmarkStart w:id="437" w:name="_Toc11173"/>
      <w:bookmarkStart w:id="438" w:name="_Toc7245"/>
      <w:r>
        <w:rPr>
          <w:rFonts w:hint="eastAsia" w:ascii="宋体" w:hAnsi="宋体" w:cs="宋体"/>
          <w:b/>
          <w:color w:val="auto"/>
          <w:sz w:val="24"/>
          <w:highlight w:val="none"/>
        </w:rPr>
        <w:t>2.0 合同生效</w:t>
      </w:r>
      <w:bookmarkEnd w:id="436"/>
      <w:bookmarkEnd w:id="437"/>
      <w:bookmarkEnd w:id="438"/>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39" w:name="_Toc25079"/>
      <w:bookmarkStart w:id="440" w:name="_Toc5228"/>
      <w:bookmarkStart w:id="441" w:name="_Toc14021"/>
      <w:bookmarkStart w:id="442" w:name="_Toc19680"/>
      <w:bookmarkStart w:id="443" w:name="_Toc31297"/>
      <w:r>
        <w:rPr>
          <w:rFonts w:ascii="宋体" w:hAnsi="宋体"/>
          <w:b/>
          <w:color w:val="auto"/>
          <w:sz w:val="24"/>
          <w:highlight w:val="none"/>
        </w:rPr>
        <w:t>2.1 定义</w:t>
      </w:r>
      <w:bookmarkEnd w:id="439"/>
      <w:bookmarkEnd w:id="440"/>
      <w:bookmarkEnd w:id="441"/>
      <w:bookmarkEnd w:id="442"/>
      <w:bookmarkEnd w:id="443"/>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4" w:name="_Toc31402"/>
      <w:bookmarkStart w:id="445" w:name="_Toc19539"/>
      <w:bookmarkStart w:id="446" w:name="_Toc16752"/>
      <w:bookmarkStart w:id="447" w:name="_Toc23289"/>
      <w:bookmarkStart w:id="448" w:name="_Toc3769"/>
      <w:r>
        <w:rPr>
          <w:rFonts w:ascii="宋体" w:hAnsi="宋体"/>
          <w:b/>
          <w:color w:val="auto"/>
          <w:sz w:val="24"/>
          <w:highlight w:val="none"/>
        </w:rPr>
        <w:t>2.2 技术规范</w:t>
      </w:r>
      <w:bookmarkEnd w:id="444"/>
      <w:bookmarkEnd w:id="445"/>
      <w:bookmarkEnd w:id="446"/>
      <w:bookmarkEnd w:id="447"/>
      <w:bookmarkEnd w:id="44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49" w:name="_Toc13673"/>
      <w:bookmarkStart w:id="450" w:name="_Toc12412"/>
      <w:bookmarkStart w:id="451" w:name="_Toc4133"/>
      <w:bookmarkStart w:id="452" w:name="_Toc27945"/>
      <w:bookmarkStart w:id="453" w:name="_Toc9161"/>
      <w:r>
        <w:rPr>
          <w:rFonts w:ascii="宋体" w:hAnsi="宋体"/>
          <w:b/>
          <w:color w:val="auto"/>
          <w:sz w:val="24"/>
          <w:highlight w:val="none"/>
        </w:rPr>
        <w:t>2.3 知识产权</w:t>
      </w:r>
      <w:bookmarkEnd w:id="449"/>
      <w:bookmarkEnd w:id="450"/>
      <w:bookmarkEnd w:id="451"/>
      <w:bookmarkEnd w:id="452"/>
      <w:bookmarkEnd w:id="453"/>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4" w:name="_Toc22011"/>
      <w:bookmarkStart w:id="455" w:name="_Toc31233"/>
      <w:bookmarkStart w:id="456" w:name="_Toc15447"/>
      <w:bookmarkStart w:id="457" w:name="_Toc26555"/>
      <w:bookmarkStart w:id="458" w:name="_Toc32670"/>
      <w:r>
        <w:rPr>
          <w:rFonts w:ascii="宋体" w:hAnsi="宋体"/>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59" w:name="_Toc16163"/>
      <w:bookmarkStart w:id="460" w:name="_Toc13467"/>
      <w:bookmarkStart w:id="461" w:name="_Toc30507"/>
      <w:bookmarkStart w:id="462" w:name="_Toc13154"/>
      <w:bookmarkStart w:id="463" w:name="_Toc18990"/>
      <w:r>
        <w:rPr>
          <w:rFonts w:ascii="宋体" w:hAnsi="宋体"/>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7" w:name="_Toc42"/>
      <w:bookmarkStart w:id="468" w:name="_Toc23368"/>
      <w:bookmarkStart w:id="469" w:name="_Toc26689"/>
      <w:bookmarkStart w:id="470" w:name="_Toc10663"/>
      <w:bookmarkStart w:id="471" w:name="_Toc21830"/>
      <w:r>
        <w:rPr>
          <w:rFonts w:ascii="宋体" w:hAnsi="宋体"/>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2" w:name="_Toc26633"/>
      <w:bookmarkStart w:id="473" w:name="_Toc14371"/>
      <w:bookmarkStart w:id="474" w:name="_Toc4720"/>
      <w:bookmarkStart w:id="475" w:name="_Toc32494"/>
      <w:bookmarkStart w:id="476" w:name="_Toc25571"/>
      <w:r>
        <w:rPr>
          <w:rFonts w:ascii="宋体" w:hAnsi="宋体"/>
          <w:b/>
          <w:color w:val="auto"/>
          <w:sz w:val="24"/>
          <w:highlight w:val="none"/>
        </w:rPr>
        <w:t>2.11 不可抗力</w:t>
      </w:r>
      <w:bookmarkEnd w:id="472"/>
      <w:bookmarkEnd w:id="473"/>
      <w:bookmarkEnd w:id="474"/>
      <w:bookmarkEnd w:id="475"/>
      <w:bookmarkEnd w:id="476"/>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7" w:name="_Toc23854"/>
      <w:bookmarkStart w:id="478" w:name="_Toc24465"/>
      <w:bookmarkStart w:id="479" w:name="_Toc3638"/>
      <w:bookmarkStart w:id="480" w:name="_Toc25783"/>
      <w:bookmarkStart w:id="481" w:name="_Toc14115"/>
      <w:r>
        <w:rPr>
          <w:rFonts w:ascii="宋体" w:hAnsi="宋体"/>
          <w:b/>
          <w:color w:val="auto"/>
          <w:sz w:val="24"/>
          <w:highlight w:val="none"/>
        </w:rPr>
        <w:t>2.12 税费</w:t>
      </w:r>
      <w:bookmarkEnd w:id="477"/>
      <w:bookmarkEnd w:id="478"/>
      <w:bookmarkEnd w:id="479"/>
      <w:bookmarkEnd w:id="480"/>
      <w:bookmarkEnd w:id="481"/>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2" w:name="_Toc7315"/>
      <w:bookmarkStart w:id="483" w:name="_Toc14814"/>
      <w:bookmarkStart w:id="484" w:name="_Toc30105"/>
      <w:bookmarkStart w:id="485" w:name="_Toc26883"/>
      <w:bookmarkStart w:id="486" w:name="_Toc25525"/>
      <w:r>
        <w:rPr>
          <w:rFonts w:ascii="宋体" w:hAnsi="宋体"/>
          <w:b/>
          <w:color w:val="auto"/>
          <w:sz w:val="24"/>
          <w:highlight w:val="none"/>
        </w:rPr>
        <w:t>2.13 乙方破产</w:t>
      </w:r>
      <w:bookmarkEnd w:id="482"/>
      <w:bookmarkEnd w:id="483"/>
      <w:bookmarkEnd w:id="484"/>
      <w:bookmarkEnd w:id="485"/>
      <w:bookmarkEnd w:id="486"/>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7" w:name="_Toc1123"/>
      <w:bookmarkStart w:id="488" w:name="_Toc23323"/>
      <w:bookmarkStart w:id="489" w:name="_Toc2016"/>
      <w:r>
        <w:rPr>
          <w:rFonts w:ascii="宋体" w:hAnsi="宋体"/>
          <w:b/>
          <w:color w:val="auto"/>
          <w:sz w:val="24"/>
          <w:highlight w:val="none"/>
        </w:rPr>
        <w:t>2.14 合同中止、终止</w:t>
      </w:r>
      <w:bookmarkEnd w:id="487"/>
      <w:bookmarkEnd w:id="488"/>
      <w:bookmarkEnd w:id="489"/>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0" w:name="_Toc14525"/>
      <w:bookmarkStart w:id="491" w:name="_Toc1969"/>
      <w:bookmarkStart w:id="492" w:name="_Toc17363"/>
      <w:r>
        <w:rPr>
          <w:rFonts w:ascii="宋体" w:hAnsi="宋体"/>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3" w:name="_Toc2308"/>
      <w:bookmarkStart w:id="494" w:name="_Toc12666"/>
      <w:bookmarkStart w:id="495" w:name="_Toc25198"/>
      <w:bookmarkStart w:id="496" w:name="_Toc9808"/>
      <w:bookmarkStart w:id="497" w:name="_Toc31892"/>
      <w:r>
        <w:rPr>
          <w:rFonts w:ascii="宋体" w:hAnsi="宋体"/>
          <w:b/>
          <w:color w:val="auto"/>
          <w:sz w:val="24"/>
          <w:highlight w:val="none"/>
        </w:rPr>
        <w:t>2.16 通知和送达</w:t>
      </w:r>
      <w:bookmarkEnd w:id="493"/>
      <w:bookmarkEnd w:id="494"/>
      <w:bookmarkEnd w:id="495"/>
      <w:bookmarkEnd w:id="496"/>
      <w:bookmarkEnd w:id="497"/>
    </w:p>
    <w:p>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pPr>
        <w:spacing w:line="560" w:lineRule="exact"/>
        <w:ind w:firstLine="482" w:firstLineChars="200"/>
        <w:outlineLvl w:val="0"/>
        <w:rPr>
          <w:rFonts w:ascii="宋体" w:hAnsi="宋体"/>
          <w:b/>
          <w:color w:val="auto"/>
          <w:sz w:val="24"/>
          <w:highlight w:val="none"/>
        </w:rPr>
      </w:pPr>
      <w:bookmarkStart w:id="500" w:name="_Toc20808"/>
      <w:bookmarkStart w:id="501" w:name="_Toc12254"/>
      <w:bookmarkStart w:id="502" w:name="_Toc28906"/>
      <w:bookmarkStart w:id="503" w:name="_Toc5063"/>
      <w:bookmarkStart w:id="504"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5" w:name="_Toc30599"/>
      <w:bookmarkStart w:id="506" w:name="_Toc18540"/>
      <w:bookmarkStart w:id="507" w:name="_Toc4355"/>
      <w:r>
        <w:rPr>
          <w:rFonts w:hint="eastAsia" w:ascii="宋体" w:hAnsi="宋体" w:cs="宋体"/>
          <w:b/>
          <w:color w:val="auto"/>
          <w:sz w:val="24"/>
          <w:highlight w:val="none"/>
        </w:rPr>
        <w:t>2.18 计量单位</w:t>
      </w:r>
      <w:bookmarkEnd w:id="505"/>
      <w:bookmarkEnd w:id="506"/>
      <w:bookmarkEnd w:id="5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凭</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出具的月分派人员清单和</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相关负责人签字认可的实际服务数量明细及等额税务发票于次月20日前向</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进行结算。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以支票、汇票、本票或者金融机构、担保机构出具的保函等非现金形式提交。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合同生效以及具备实施条件后7个工作日内支付合同总价的20%。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将分3个月预付款全部扣回。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合同乙方按不超过合同总价金额的1%交纳履约保证金作为合同生效的必要条件；甲方有权在每月结算时，从应付款中扣除（含违约、考核处罚等扣款）因乙方违反本合同所应向甲方支付的违约金以及因乙方原因致使甲方承担的第三方法律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付款方式：按月结，转账方式。</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付款条件：</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凭</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出具的月分派人员清单和</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相关负责人签字认可的实际服务数量明细及等额税务发票于次月20日前向</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进行结算。</w:t>
            </w:r>
          </w:p>
          <w:p>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支付说明：</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在收到</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开具的符合法律法规规定发票后，以转账支付的方式，支付给</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服务费。</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逾期开具发票或开具的发票不符合</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要求的，</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有权延迟付款时间，且该行为不视为违约。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noWrap w:val="0"/>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rPr>
              <w:t>12个月</w:t>
            </w:r>
            <w:r>
              <w:rPr>
                <w:rFonts w:hint="eastAsia" w:ascii="宋体" w:hAnsi="宋体" w:eastAsia="宋体" w:cs="宋体"/>
                <w:color w:val="auto"/>
                <w:kern w:val="0"/>
                <w:sz w:val="24"/>
                <w:szCs w:val="24"/>
                <w:highlight w:val="none"/>
              </w:rPr>
              <w:t>（具体时间按合同签订为准）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杭州西湖风景名胜区灵隐管理处辖区，具体以</w:t>
            </w:r>
            <w:r>
              <w:rPr>
                <w:rFonts w:hint="eastAsia" w:ascii="宋体" w:hAnsi="宋体" w:cs="宋体"/>
                <w:color w:val="auto"/>
                <w:sz w:val="24"/>
                <w:highlight w:val="none"/>
                <w:lang w:eastAsia="zh-CN"/>
              </w:rPr>
              <w:t>甲方</w:t>
            </w:r>
            <w:r>
              <w:rPr>
                <w:rFonts w:hint="eastAsia" w:ascii="宋体" w:hAnsi="宋体" w:cs="宋体"/>
                <w:color w:val="auto"/>
                <w:sz w:val="24"/>
                <w:highlight w:val="none"/>
              </w:rPr>
              <w:t>指定地点为准。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按甲方要求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noWrap w:val="0"/>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noWrap w:val="0"/>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noWrap w:val="0"/>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甲方无正当理由拒收接受服务的，甲方向乙方偿付合同款项百分之五作为违约金。</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甲方无故逾期验收和办理款项支付手续的,甲方应按逾期付款总额每日万分之五向乙方支付违约金。</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乙方须满足甲方提出的</w:t>
            </w:r>
            <w:r>
              <w:rPr>
                <w:rFonts w:hint="eastAsia" w:ascii="宋体" w:hAnsi="宋体" w:eastAsia="宋体" w:cs="宋体"/>
                <w:color w:val="auto"/>
                <w:sz w:val="24"/>
                <w:highlight w:val="none"/>
                <w:lang w:eastAsia="zh-CN"/>
              </w:rPr>
              <w:t>质量标准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按时派遣满足采购人要求的养护人员到达采购人指定地点完成采购人规定的工作任务。</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乙方未能如期提供服务的，对甲方的通知逾期未响应，甲方自行安排人员完成工作，产生的相关费用由乙方承担。乙方超过约定日期10个工作日仍不能提供服务的，甲方可解除本合同。</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对于甲方要求男性60岁以下，女性50岁以下这一条款未能按实履行的，发生一次扣除乙方5000元，发生二次及以上的，甲方可解除本合同。</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提供的服务应确保按时完成</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 xml:space="preserve">规定的工作任务。对达不到要求的，根据实际情况达不到验收合格的，按损失金额进行赔偿。 </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如在服务过程中发生问题，</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项目负责人应在接到</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通知后在1小时内到达项目现场。</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在服务质量保证期内，</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应对出现的质量及安全问题负责并处理解决，并承担一切费用。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在作业过程中，如出现乙方人员迟到早退、聚集聊天、消极怠工、不按甲方工作要求操作、不服从管理等情况，发现一次扣除费用200元，发现二次扣除费用600，发生三次及以上，甲方可解除合同。如出现打架斗殴等对甲方公园景区形象产生恶劣影响的情况，视情况严重程度予以处罚，如情节严重的，甲方有权中止合同，且不支付劳务费用。</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作业过程中，乙方养护人员需做到文明作业，不影响游客游览观赏，不损坏绿地及绿地内设施设备，由于乙方作业造成甲方公园内设施设备损坏的，乙方应照价赔偿。</w:t>
            </w:r>
          </w:p>
          <w:p>
            <w:pPr>
              <w:spacing w:line="360" w:lineRule="auto"/>
              <w:rPr>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如因乙方人员行为造成甲方抄告或者投诉等负面影响的，区级500元/条，市级1000元/条，省级3000元/条，国家级5000元/条，如情节严重，甲方有权终止合同。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noWrap w:val="0"/>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本项目所在地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noWrap w:val="0"/>
            <w:vAlign w:val="center"/>
          </w:tcPr>
          <w:p>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noWrap w:val="0"/>
            <w:vAlign w:val="center"/>
          </w:tcPr>
          <w:p>
            <w:pPr>
              <w:spacing w:line="360" w:lineRule="auto"/>
              <w:ind w:left="16" w:leftChars="0" w:hanging="16"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付款方式：按月结，转账方式。</w:t>
            </w:r>
          </w:p>
          <w:p>
            <w:pPr>
              <w:spacing w:line="360" w:lineRule="auto"/>
              <w:ind w:left="16" w:leftChars="0" w:hanging="16"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付款条件：</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凭</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出具的月分派人员清单和</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相关负责人签字认可的实际服务数量明细及等额税务发票于次月20日前向</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进行结算。</w:t>
            </w:r>
          </w:p>
          <w:p>
            <w:pPr>
              <w:spacing w:line="360" w:lineRule="auto"/>
              <w:ind w:left="16" w:leftChars="0" w:right="-420" w:rightChars="-200" w:hanging="16" w:firstLineChars="0"/>
              <w:rPr>
                <w:rFonts w:ascii="宋体" w:hAnsi="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支付说明：</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在收到</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开具的符合法律法规规定发票后，以转账支付的方式，支付给</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服务费。</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逾期开具发票或开具的发票不符合</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要求的，</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有权延迟付款时间，且该行为不视为违约。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noWrap w:val="0"/>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noWrap w:val="0"/>
            <w:vAlign w:val="top"/>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noWrap w:val="0"/>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乙方指派</w:t>
            </w:r>
            <w:r>
              <w:rPr>
                <w:rFonts w:hint="eastAsia" w:ascii="宋体" w:hAnsi="宋体" w:cs="宋体"/>
                <w:color w:val="auto"/>
                <w:sz w:val="24"/>
                <w:highlight w:val="none"/>
              </w:rPr>
              <w:t>的人员及其施工作业，必须满足</w:t>
            </w:r>
            <w:r>
              <w:rPr>
                <w:rFonts w:hint="eastAsia" w:ascii="宋体" w:hAnsi="宋体" w:cs="宋体"/>
                <w:color w:val="auto"/>
                <w:sz w:val="24"/>
                <w:highlight w:val="none"/>
                <w:lang w:eastAsia="zh-CN"/>
              </w:rPr>
              <w:t>甲方</w:t>
            </w:r>
            <w:r>
              <w:rPr>
                <w:rFonts w:hint="eastAsia" w:ascii="宋体" w:hAnsi="宋体" w:cs="宋体"/>
                <w:color w:val="auto"/>
                <w:sz w:val="24"/>
                <w:highlight w:val="none"/>
              </w:rPr>
              <w:t>的技术要求；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（2）操作质量不合格的，</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应在</w:t>
            </w:r>
            <w:r>
              <w:rPr>
                <w:rFonts w:hint="eastAsia" w:ascii="宋体" w:hAnsi="宋体" w:cs="宋体"/>
                <w:color w:val="auto"/>
                <w:sz w:val="24"/>
                <w:highlight w:val="none"/>
                <w:lang w:eastAsia="zh-CN"/>
              </w:rPr>
              <w:t>甲方</w:t>
            </w:r>
            <w:r>
              <w:rPr>
                <w:rFonts w:hint="eastAsia" w:ascii="宋体" w:hAnsi="宋体" w:cs="宋体"/>
                <w:color w:val="auto"/>
                <w:sz w:val="24"/>
                <w:highlight w:val="none"/>
              </w:rPr>
              <w:t>规定的时间内无偿返工，直至达到质量验收标准合格。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本合同一式四份，甲方、乙方各执二份，并具有同等法律效力。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000" w:type="pct"/>
            <w:gridSpan w:val="2"/>
            <w:tcBorders>
              <w:left w:val="single" w:color="auto" w:sz="4" w:space="0"/>
            </w:tcBorders>
            <w:noWrap w:val="0"/>
            <w:vAlign w:val="top"/>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其他约定：在服务期间，乙方应按甲方要求提供人工数量，如人工数量达不到甲方要求的，甲方自行安排人员完成工作，产生的相关费用由乙方承担。</w:t>
            </w:r>
          </w:p>
        </w:tc>
      </w:tr>
    </w:tbl>
    <w:p>
      <w:pPr>
        <w:rPr>
          <w:color w:val="auto"/>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w:t>
      </w:r>
      <w:r>
        <w:rPr>
          <w:rFonts w:hint="eastAsia" w:ascii="宋体" w:hAnsi="宋体" w:cs="宋体"/>
          <w:color w:val="auto"/>
          <w:sz w:val="24"/>
          <w:highlight w:val="none"/>
          <w:lang w:eastAsia="zh-CN"/>
        </w:rPr>
        <w:t>FYC012305-66</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w:t>
      </w:r>
      <w:r>
        <w:rPr>
          <w:rFonts w:hint="eastAsia" w:ascii="宋体" w:hAnsi="宋体" w:cs="宋体"/>
          <w:color w:val="auto"/>
          <w:sz w:val="24"/>
          <w:highlight w:val="none"/>
          <w:lang w:eastAsia="zh-CN"/>
        </w:rPr>
        <w:t>FYC012305-66</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FYC012305-66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FYC012305-66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FYC012305-66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tbl>
      <w:tblPr>
        <w:tblStyle w:val="62"/>
        <w:tblW w:w="147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09"/>
        <w:gridCol w:w="3420"/>
        <w:gridCol w:w="2550"/>
        <w:gridCol w:w="4695"/>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26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内容</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综合单价/工</w:t>
            </w:r>
          </w:p>
          <w:p>
            <w:pPr>
              <w:snapToGrid w:val="0"/>
              <w:spacing w:line="276"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（含税）</w:t>
            </w:r>
          </w:p>
        </w:tc>
        <w:tc>
          <w:tcPr>
            <w:tcW w:w="255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人工数量</w:t>
            </w:r>
            <w:r>
              <w:rPr>
                <w:rFonts w:hint="eastAsia" w:ascii="宋体" w:hAnsi="宋体" w:eastAsia="宋体" w:cs="宋体"/>
                <w:bCs/>
                <w:color w:val="auto"/>
                <w:sz w:val="24"/>
                <w:szCs w:val="24"/>
                <w:highlight w:val="none"/>
                <w:lang w:eastAsia="zh-CN"/>
              </w:rPr>
              <w:t>（暂定）</w:t>
            </w:r>
          </w:p>
          <w:p>
            <w:pPr>
              <w:snapToGrid w:val="0"/>
              <w:spacing w:line="276"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w:t>
            </w:r>
          </w:p>
        </w:tc>
        <w:tc>
          <w:tcPr>
            <w:tcW w:w="469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小计</w:t>
            </w:r>
          </w:p>
          <w:p>
            <w:pPr>
              <w:snapToGrid w:val="0"/>
              <w:spacing w:line="276"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（元）</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26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男工</w:t>
            </w:r>
          </w:p>
          <w:p>
            <w:pPr>
              <w:snapToGrid w:val="0"/>
              <w:spacing w:line="276" w:lineRule="auto"/>
              <w:jc w:val="center"/>
              <w:rPr>
                <w:rFonts w:hint="eastAsia" w:ascii="宋体" w:hAnsi="宋体" w:eastAsia="宋体" w:cs="宋体"/>
                <w:bCs/>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bCs/>
                <w:color w:val="auto"/>
                <w:sz w:val="24"/>
                <w:szCs w:val="24"/>
                <w:highlight w:val="none"/>
              </w:rPr>
            </w:pPr>
          </w:p>
          <w:p>
            <w:pPr>
              <w:snapToGrid w:val="0"/>
              <w:spacing w:line="276" w:lineRule="auto"/>
              <w:jc w:val="center"/>
              <w:rPr>
                <w:rFonts w:hint="eastAsia" w:ascii="宋体" w:hAnsi="宋体" w:eastAsia="宋体" w:cs="宋体"/>
                <w:bCs/>
                <w:color w:val="auto"/>
                <w:sz w:val="24"/>
                <w:szCs w:val="24"/>
                <w:highlight w:val="none"/>
              </w:rPr>
            </w:pPr>
          </w:p>
        </w:tc>
        <w:tc>
          <w:tcPr>
            <w:tcW w:w="255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4643</w:t>
            </w:r>
          </w:p>
        </w:tc>
        <w:tc>
          <w:tcPr>
            <w:tcW w:w="469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bCs/>
                <w:color w:val="auto"/>
                <w:sz w:val="24"/>
                <w:szCs w:val="24"/>
                <w:highlight w:val="none"/>
              </w:rPr>
            </w:pPr>
          </w:p>
          <w:p>
            <w:pPr>
              <w:snapToGrid w:val="0"/>
              <w:spacing w:line="276" w:lineRule="auto"/>
              <w:jc w:val="center"/>
              <w:rPr>
                <w:rFonts w:hint="eastAsia" w:ascii="宋体" w:hAnsi="宋体" w:eastAsia="宋体" w:cs="宋体"/>
                <w:bCs/>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bCs/>
                <w:color w:val="auto"/>
                <w:sz w:val="24"/>
                <w:szCs w:val="24"/>
                <w:highlight w:val="none"/>
              </w:rPr>
            </w:pPr>
          </w:p>
          <w:p>
            <w:pPr>
              <w:snapToGrid w:val="0"/>
              <w:spacing w:line="276"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26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女工</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center"/>
              <w:rPr>
                <w:rFonts w:hint="eastAsia" w:ascii="宋体" w:hAnsi="宋体" w:eastAsia="宋体" w:cs="宋体"/>
                <w:color w:val="auto"/>
                <w:sz w:val="24"/>
                <w:szCs w:val="24"/>
                <w:highlight w:val="none"/>
              </w:rPr>
            </w:pPr>
          </w:p>
        </w:tc>
        <w:tc>
          <w:tcPr>
            <w:tcW w:w="255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040</w:t>
            </w:r>
          </w:p>
        </w:tc>
        <w:tc>
          <w:tcPr>
            <w:tcW w:w="469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b/>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857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合计：投标总价（元）</w:t>
            </w:r>
          </w:p>
        </w:tc>
        <w:tc>
          <w:tcPr>
            <w:tcW w:w="469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（大写） （按此报价唱标） </w:t>
            </w:r>
          </w:p>
          <w:p>
            <w:pPr>
              <w:snapToGrid w:val="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 xml:space="preserve"> 元。</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b/>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4714" w:type="dxa"/>
            <w:gridSpan w:val="5"/>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项目负责人姓名：</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联系电话：</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注：本项目需落实项目负责人1人，该人员工资及相关成本综合考虑在综合单价中，不必单列。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14714"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注：具体详见“投标报价明细清单”。</w:t>
            </w:r>
          </w:p>
          <w:p>
            <w:pPr>
              <w:snapToGrid w:val="0"/>
              <w:spacing w:before="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供应商承诺的质量标准：</w:t>
            </w:r>
            <w:r>
              <w:rPr>
                <w:rFonts w:hint="eastAsia" w:ascii="宋体" w:hAnsi="宋体" w:eastAsia="宋体" w:cs="宋体"/>
                <w:color w:val="auto"/>
                <w:sz w:val="24"/>
                <w:szCs w:val="24"/>
                <w:highlight w:val="none"/>
                <w:u w:val="single"/>
              </w:rPr>
              <w:t xml:space="preserve">按照采购文件要求 </w:t>
            </w:r>
            <w:r>
              <w:rPr>
                <w:rFonts w:hint="eastAsia" w:ascii="宋体" w:hAnsi="宋体" w:eastAsia="宋体" w:cs="宋体"/>
                <w:color w:val="auto"/>
                <w:sz w:val="24"/>
                <w:szCs w:val="24"/>
                <w:highlight w:val="none"/>
              </w:rPr>
              <w:t xml:space="preserve">     </w:t>
            </w:r>
          </w:p>
          <w:p>
            <w:pPr>
              <w:snapToGrid w:val="0"/>
              <w:spacing w:before="50" w:after="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服务期限：</w:t>
            </w:r>
            <w:r>
              <w:rPr>
                <w:rFonts w:hint="eastAsia" w:ascii="宋体" w:hAnsi="宋体" w:eastAsia="宋体" w:cs="宋体"/>
                <w:color w:val="auto"/>
                <w:sz w:val="24"/>
                <w:szCs w:val="24"/>
                <w:highlight w:val="none"/>
                <w:u w:val="single"/>
                <w:lang w:val="en-US" w:eastAsia="zh-CN"/>
              </w:rPr>
              <w:t>12个月。</w:t>
            </w:r>
          </w:p>
        </w:tc>
      </w:tr>
    </w:tbl>
    <w:p>
      <w:pPr>
        <w:rPr>
          <w:color w:val="auto"/>
          <w:highlight w:val="none"/>
          <w:lang w:val="zh-CN"/>
        </w:rPr>
      </w:pPr>
    </w:p>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投标报价明细清单</w:t>
      </w:r>
    </w:p>
    <w:p>
      <w:pPr>
        <w:rPr>
          <w:rFonts w:hint="eastAsia" w:ascii="宋体" w:hAnsi="宋体" w:eastAsia="宋体" w:cs="宋体"/>
          <w:b/>
          <w:bCs/>
          <w:color w:val="auto"/>
          <w:kern w:val="0"/>
          <w:sz w:val="24"/>
          <w:szCs w:val="24"/>
          <w:highlight w:val="none"/>
        </w:rPr>
      </w:pPr>
    </w:p>
    <w:p>
      <w:pPr>
        <w:spacing w:line="400" w:lineRule="exact"/>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 xml:space="preserve">项目名称：    </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rPr>
        <w:t xml:space="preserve">               项目编号：</w:t>
      </w:r>
      <w:r>
        <w:rPr>
          <w:rFonts w:hint="eastAsia" w:ascii="宋体" w:hAnsi="宋体" w:eastAsia="宋体" w:cs="宋体"/>
          <w:b/>
          <w:bCs/>
          <w:color w:val="auto"/>
          <w:kern w:val="0"/>
          <w:sz w:val="24"/>
          <w:szCs w:val="24"/>
          <w:highlight w:val="none"/>
          <w:u w:val="single"/>
        </w:rPr>
        <w:t xml:space="preserve">      </w:t>
      </w:r>
    </w:p>
    <w:p>
      <w:pPr>
        <w:snapToGrid w:val="0"/>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金额单位：（元）</w:t>
      </w:r>
    </w:p>
    <w:tbl>
      <w:tblPr>
        <w:tblStyle w:val="62"/>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81"/>
        <w:gridCol w:w="1087"/>
        <w:gridCol w:w="893"/>
        <w:gridCol w:w="1080"/>
        <w:gridCol w:w="900"/>
        <w:gridCol w:w="1051"/>
        <w:gridCol w:w="1050"/>
        <w:gridCol w:w="959"/>
        <w:gridCol w:w="80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27" w:type="dxa"/>
            <w:vMerge w:val="restart"/>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1" w:type="dxa"/>
            <w:vMerge w:val="restart"/>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内容名称</w:t>
            </w:r>
          </w:p>
        </w:tc>
        <w:tc>
          <w:tcPr>
            <w:tcW w:w="1087" w:type="dxa"/>
            <w:vMerge w:val="restart"/>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p>
            <w:pPr>
              <w:pStyle w:val="32"/>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w:t>
            </w:r>
          </w:p>
        </w:tc>
        <w:tc>
          <w:tcPr>
            <w:tcW w:w="893" w:type="dxa"/>
            <w:vMerge w:val="restart"/>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080" w:type="dxa"/>
            <w:vMerge w:val="restart"/>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p>
            <w:pPr>
              <w:pStyle w:val="32"/>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5488" w:type="dxa"/>
            <w:gridSpan w:val="6"/>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投标单价的组成（价格单位：元/人民币）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27" w:type="dxa"/>
            <w:vMerge w:val="continue"/>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p>
        </w:tc>
        <w:tc>
          <w:tcPr>
            <w:tcW w:w="1081" w:type="dxa"/>
            <w:vMerge w:val="continue"/>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p>
        </w:tc>
        <w:tc>
          <w:tcPr>
            <w:tcW w:w="1087" w:type="dxa"/>
            <w:vMerge w:val="continue"/>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p>
        </w:tc>
        <w:tc>
          <w:tcPr>
            <w:tcW w:w="893" w:type="dxa"/>
            <w:vMerge w:val="continue"/>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p>
        </w:tc>
        <w:tc>
          <w:tcPr>
            <w:tcW w:w="1080" w:type="dxa"/>
            <w:vMerge w:val="continue"/>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p>
        </w:tc>
        <w:tc>
          <w:tcPr>
            <w:tcW w:w="900" w:type="dxa"/>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051" w:type="dxa"/>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服装费</w:t>
            </w:r>
          </w:p>
        </w:tc>
        <w:tc>
          <w:tcPr>
            <w:tcW w:w="1050" w:type="dxa"/>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农民工工伤保险费</w:t>
            </w:r>
          </w:p>
        </w:tc>
        <w:tc>
          <w:tcPr>
            <w:tcW w:w="959" w:type="dxa"/>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管理费等其他费</w:t>
            </w:r>
          </w:p>
        </w:tc>
        <w:tc>
          <w:tcPr>
            <w:tcW w:w="808" w:type="dxa"/>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w:t>
            </w:r>
          </w:p>
        </w:tc>
        <w:tc>
          <w:tcPr>
            <w:tcW w:w="720" w:type="dxa"/>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827" w:type="dxa"/>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p>
        </w:tc>
        <w:tc>
          <w:tcPr>
            <w:tcW w:w="1081" w:type="dxa"/>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p>
        </w:tc>
        <w:tc>
          <w:tcPr>
            <w:tcW w:w="1087" w:type="dxa"/>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p>
        </w:tc>
        <w:tc>
          <w:tcPr>
            <w:tcW w:w="893" w:type="dxa"/>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w:t>
            </w:r>
          </w:p>
        </w:tc>
        <w:tc>
          <w:tcPr>
            <w:tcW w:w="1080" w:type="dxa"/>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w:t>
            </w:r>
          </w:p>
        </w:tc>
        <w:tc>
          <w:tcPr>
            <w:tcW w:w="900" w:type="dxa"/>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p>
        </w:tc>
        <w:tc>
          <w:tcPr>
            <w:tcW w:w="1051" w:type="dxa"/>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p>
        </w:tc>
        <w:tc>
          <w:tcPr>
            <w:tcW w:w="1050" w:type="dxa"/>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p>
        </w:tc>
        <w:tc>
          <w:tcPr>
            <w:tcW w:w="959" w:type="dxa"/>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p>
        </w:tc>
        <w:tc>
          <w:tcPr>
            <w:tcW w:w="808" w:type="dxa"/>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p>
        </w:tc>
        <w:tc>
          <w:tcPr>
            <w:tcW w:w="720" w:type="dxa"/>
            <w:vAlign w:val="center"/>
          </w:tcPr>
          <w:p>
            <w:pPr>
              <w:pStyle w:val="32"/>
              <w:adjustRightInd w:val="0"/>
              <w:snapToGrid w:val="0"/>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827" w:type="dxa"/>
            <w:vAlign w:val="top"/>
          </w:tcPr>
          <w:p>
            <w:pPr>
              <w:pStyle w:val="32"/>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p>
        </w:tc>
        <w:tc>
          <w:tcPr>
            <w:tcW w:w="1081" w:type="dxa"/>
            <w:vAlign w:val="top"/>
          </w:tcPr>
          <w:p>
            <w:pPr>
              <w:pStyle w:val="32"/>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男工</w:t>
            </w:r>
          </w:p>
        </w:tc>
        <w:tc>
          <w:tcPr>
            <w:tcW w:w="1087" w:type="dxa"/>
            <w:vAlign w:val="top"/>
          </w:tcPr>
          <w:p>
            <w:pPr>
              <w:pStyle w:val="32"/>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893"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1080"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900"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1051"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1050"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959"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808"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720"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827" w:type="dxa"/>
            <w:vAlign w:val="top"/>
          </w:tcPr>
          <w:p>
            <w:pPr>
              <w:pStyle w:val="32"/>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p>
        </w:tc>
        <w:tc>
          <w:tcPr>
            <w:tcW w:w="1081" w:type="dxa"/>
            <w:vAlign w:val="top"/>
          </w:tcPr>
          <w:p>
            <w:pPr>
              <w:pStyle w:val="32"/>
              <w:adjustRightInd w:val="0"/>
              <w:snapToGrid w:val="0"/>
              <w:spacing w:line="400" w:lineRule="exact"/>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女工</w:t>
            </w:r>
          </w:p>
        </w:tc>
        <w:tc>
          <w:tcPr>
            <w:tcW w:w="1087" w:type="dxa"/>
            <w:vAlign w:val="top"/>
          </w:tcPr>
          <w:p>
            <w:pPr>
              <w:pStyle w:val="32"/>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893"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1080"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900"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1051"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1050"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959"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808"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720"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827"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1081"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1980" w:type="dxa"/>
            <w:gridSpan w:val="2"/>
            <w:vAlign w:val="top"/>
          </w:tcPr>
          <w:p>
            <w:pPr>
              <w:pStyle w:val="32"/>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合计（元）</w:t>
            </w:r>
          </w:p>
        </w:tc>
        <w:tc>
          <w:tcPr>
            <w:tcW w:w="1080"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900"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1051"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1050"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959"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808"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c>
          <w:tcPr>
            <w:tcW w:w="720" w:type="dxa"/>
            <w:vAlign w:val="top"/>
          </w:tcPr>
          <w:p>
            <w:pPr>
              <w:pStyle w:val="32"/>
              <w:adjustRightInd w:val="0"/>
              <w:snapToGrid w:val="0"/>
              <w:spacing w:line="400" w:lineRule="exact"/>
              <w:rPr>
                <w:rFonts w:hint="eastAsia" w:ascii="宋体" w:hAnsi="宋体" w:eastAsia="宋体" w:cs="宋体"/>
                <w:color w:val="auto"/>
                <w:sz w:val="24"/>
                <w:szCs w:val="24"/>
                <w:highlight w:val="none"/>
              </w:rPr>
            </w:pPr>
          </w:p>
        </w:tc>
      </w:tr>
    </w:tbl>
    <w:p>
      <w:pPr>
        <w:snapToGrid w:val="0"/>
        <w:spacing w:line="440" w:lineRule="exact"/>
        <w:jc w:val="right"/>
        <w:rPr>
          <w:rFonts w:hint="eastAsia" w:ascii="宋体" w:hAnsi="宋体" w:eastAsia="宋体" w:cs="宋体"/>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附： 1、供应商需按</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填写，行数不够请自行增加</w:t>
      </w:r>
      <w:r>
        <w:rPr>
          <w:rFonts w:hint="eastAsia" w:ascii="宋体" w:hAnsi="宋体" w:eastAsia="宋体" w:cs="宋体"/>
          <w:bCs/>
          <w:color w:val="auto"/>
          <w:sz w:val="24"/>
          <w:szCs w:val="24"/>
          <w:highlight w:val="none"/>
        </w:rPr>
        <w:t>。</w:t>
      </w:r>
    </w:p>
    <w:p>
      <w:pPr>
        <w:spacing w:line="360" w:lineRule="auto"/>
        <w:ind w:left="-2" w:leftChars="-1"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2、供应商所提供的服务必须符合</w:t>
      </w:r>
      <w:r>
        <w:rPr>
          <w:rFonts w:hint="eastAsia" w:ascii="宋体" w:hAnsi="宋体" w:eastAsia="宋体" w:cs="宋体"/>
          <w:color w:val="auto"/>
          <w:sz w:val="24"/>
          <w:szCs w:val="24"/>
          <w:highlight w:val="none"/>
          <w:lang w:eastAsia="zh-CN"/>
        </w:rPr>
        <w:t>采购要求</w:t>
      </w:r>
      <w:r>
        <w:rPr>
          <w:rFonts w:hint="eastAsia" w:ascii="宋体" w:hAnsi="宋体" w:eastAsia="宋体" w:cs="宋体"/>
          <w:color w:val="auto"/>
          <w:sz w:val="24"/>
          <w:szCs w:val="24"/>
          <w:highlight w:val="none"/>
        </w:rPr>
        <w:t>，如有偏离，必须在技术文件中作相应的说明。采购人不接受有负偏离的投标文件。</w:t>
      </w:r>
    </w:p>
    <w:p>
      <w:pPr>
        <w:tabs>
          <w:tab w:val="left" w:pos="8787"/>
        </w:tabs>
        <w:autoSpaceDE w:val="0"/>
        <w:autoSpaceDN w:val="0"/>
        <w:spacing w:line="360" w:lineRule="auto"/>
        <w:ind w:left="2" w:leftChars="1" w:right="290" w:rightChars="0" w:firstLine="4560" w:firstLineChars="190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w:t>
      </w:r>
      <w:r>
        <w:rPr>
          <w:rFonts w:hint="eastAsia" w:ascii="宋体" w:hAnsi="宋体" w:cs="宋体"/>
          <w:color w:val="auto"/>
          <w:sz w:val="24"/>
          <w:highlight w:val="none"/>
          <w:lang w:eastAsia="zh-CN"/>
        </w:rPr>
        <w:t>FYC012305-66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FYC012305-66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FYC012305-66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36110187"/>
    <w:bookmarkStart w:id="517" w:name="_Toc164085800"/>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2673A"/>
    <w:multiLevelType w:val="singleLevel"/>
    <w:tmpl w:val="2FD2673A"/>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NWJiNzY3NDc2ZWZiNzcxZmI4YTAzN2Y3NzMyNT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4DF"/>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82199"/>
    <w:rsid w:val="019F7441"/>
    <w:rsid w:val="01B37585"/>
    <w:rsid w:val="01D55165"/>
    <w:rsid w:val="01DF6BF8"/>
    <w:rsid w:val="01EC2C57"/>
    <w:rsid w:val="02095D19"/>
    <w:rsid w:val="025F0711"/>
    <w:rsid w:val="026B2E25"/>
    <w:rsid w:val="02824D4D"/>
    <w:rsid w:val="02DC4B10"/>
    <w:rsid w:val="02DD76CE"/>
    <w:rsid w:val="02F36323"/>
    <w:rsid w:val="02F5619C"/>
    <w:rsid w:val="030E79C3"/>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54C54"/>
    <w:rsid w:val="10646583"/>
    <w:rsid w:val="107D4B15"/>
    <w:rsid w:val="108A3C80"/>
    <w:rsid w:val="10C26171"/>
    <w:rsid w:val="10F33360"/>
    <w:rsid w:val="10FC16EA"/>
    <w:rsid w:val="110E3E23"/>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6D3E6B"/>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82BAD"/>
    <w:rsid w:val="2C09049E"/>
    <w:rsid w:val="2C0A653C"/>
    <w:rsid w:val="2C191F85"/>
    <w:rsid w:val="2CE82D6F"/>
    <w:rsid w:val="2D343236"/>
    <w:rsid w:val="2D5A445D"/>
    <w:rsid w:val="2DD15014"/>
    <w:rsid w:val="2DF72DE4"/>
    <w:rsid w:val="2E0220AF"/>
    <w:rsid w:val="2E4B082A"/>
    <w:rsid w:val="2E5D4E86"/>
    <w:rsid w:val="2E5D790B"/>
    <w:rsid w:val="2E9A3C18"/>
    <w:rsid w:val="2EBB0FEE"/>
    <w:rsid w:val="2EC63002"/>
    <w:rsid w:val="2EE631C9"/>
    <w:rsid w:val="2F0A6B38"/>
    <w:rsid w:val="2F946CCB"/>
    <w:rsid w:val="2FD25781"/>
    <w:rsid w:val="2FDC745C"/>
    <w:rsid w:val="2FFD7934"/>
    <w:rsid w:val="30733ACD"/>
    <w:rsid w:val="308C3862"/>
    <w:rsid w:val="309379D8"/>
    <w:rsid w:val="30A270F7"/>
    <w:rsid w:val="30DF1478"/>
    <w:rsid w:val="30EC586F"/>
    <w:rsid w:val="314550B7"/>
    <w:rsid w:val="319C6071"/>
    <w:rsid w:val="31AC537E"/>
    <w:rsid w:val="31AF08B2"/>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A16550"/>
    <w:rsid w:val="37EE7094"/>
    <w:rsid w:val="38296C89"/>
    <w:rsid w:val="383002EB"/>
    <w:rsid w:val="38586797"/>
    <w:rsid w:val="38BC0149"/>
    <w:rsid w:val="38D87D1C"/>
    <w:rsid w:val="39636459"/>
    <w:rsid w:val="396B7F6C"/>
    <w:rsid w:val="399A02D2"/>
    <w:rsid w:val="39B417A9"/>
    <w:rsid w:val="39FC5695"/>
    <w:rsid w:val="3A006D8E"/>
    <w:rsid w:val="3A3651E5"/>
    <w:rsid w:val="3A744481"/>
    <w:rsid w:val="3A8C7BEF"/>
    <w:rsid w:val="3A906246"/>
    <w:rsid w:val="3AAE4167"/>
    <w:rsid w:val="3B131EB2"/>
    <w:rsid w:val="3B2349B7"/>
    <w:rsid w:val="3B616CFF"/>
    <w:rsid w:val="3B6259F6"/>
    <w:rsid w:val="3B976654"/>
    <w:rsid w:val="3BAD45E9"/>
    <w:rsid w:val="3BC01EFC"/>
    <w:rsid w:val="3BCA786A"/>
    <w:rsid w:val="3BD31E2F"/>
    <w:rsid w:val="3BF15831"/>
    <w:rsid w:val="3C105946"/>
    <w:rsid w:val="3C471448"/>
    <w:rsid w:val="3C5F759A"/>
    <w:rsid w:val="3C6C525A"/>
    <w:rsid w:val="3CCE23CB"/>
    <w:rsid w:val="3CD17D17"/>
    <w:rsid w:val="3CDC6A94"/>
    <w:rsid w:val="3D3C7F39"/>
    <w:rsid w:val="3D440F09"/>
    <w:rsid w:val="3D4504A0"/>
    <w:rsid w:val="3D5D5667"/>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9972CE"/>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11D76"/>
    <w:rsid w:val="456D3CE4"/>
    <w:rsid w:val="4579042C"/>
    <w:rsid w:val="457F0571"/>
    <w:rsid w:val="45851176"/>
    <w:rsid w:val="45C63B94"/>
    <w:rsid w:val="460E7DA5"/>
    <w:rsid w:val="46422483"/>
    <w:rsid w:val="46445BD8"/>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1B2384"/>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EA5CF0"/>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014FD"/>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5797F"/>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7B120D"/>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46A9C"/>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CC76D1"/>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AE35C9"/>
    <w:rsid w:val="6FD75BF8"/>
    <w:rsid w:val="707723D0"/>
    <w:rsid w:val="709D573F"/>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6A6E7D"/>
    <w:rsid w:val="76826699"/>
    <w:rsid w:val="76C87133"/>
    <w:rsid w:val="76CD08D5"/>
    <w:rsid w:val="76DB4B92"/>
    <w:rsid w:val="76E53424"/>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2"/>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2"/>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2"/>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2"/>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38245</Words>
  <Characters>40442</Characters>
  <Lines>281</Lines>
  <Paragraphs>79</Paragraphs>
  <TotalTime>60</TotalTime>
  <ScaleCrop>false</ScaleCrop>
  <LinksUpToDate>false</LinksUpToDate>
  <CharactersWithSpaces>45924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游客</cp:lastModifiedBy>
  <cp:lastPrinted>2023-04-21T03:05:00Z</cp:lastPrinted>
  <dcterms:modified xsi:type="dcterms:W3CDTF">2023-04-28T10:42:38Z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