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中国（杭州）国际园林博览会园博园概念规划编制</w:t>
      </w:r>
    </w:p>
    <w:p>
      <w:pPr>
        <w:adjustRightInd/>
        <w:spacing w:line="360" w:lineRule="auto"/>
        <w:jc w:val="center"/>
        <w:rPr>
          <w:rFonts w:ascii="宋体" w:hAnsi="宋体" w:cs="宋体"/>
          <w:b/>
          <w:bCs/>
          <w:color w:val="000000" w:themeColor="text1"/>
          <w:sz w:val="48"/>
          <w:szCs w:val="48"/>
          <w:highlight w:val="none"/>
          <w14:textFill>
            <w14:solidFill>
              <w14:schemeClr w14:val="tx1"/>
            </w14:solidFill>
          </w14:textFill>
        </w:rPr>
      </w:pPr>
    </w:p>
    <w:p>
      <w:pPr>
        <w:adjustRightInd/>
        <w:spacing w:line="360" w:lineRule="auto"/>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52"/>
          <w:szCs w:val="52"/>
          <w:highlight w:val="none"/>
          <w:lang w:eastAsia="zh-CN"/>
          <w14:textFill>
            <w14:solidFill>
              <w14:schemeClr w14:val="tx1"/>
            </w14:solidFill>
          </w14:textFill>
        </w:rPr>
        <w:t>采购文件</w:t>
      </w:r>
      <w:r>
        <w:rPr>
          <w:rFonts w:hint="eastAsia" w:ascii="宋体" w:hAnsi="宋体" w:cs="宋体"/>
          <w:b/>
          <w:bCs/>
          <w:color w:val="000000" w:themeColor="text1"/>
          <w:sz w:val="48"/>
          <w:szCs w:val="48"/>
          <w:highlight w:val="none"/>
          <w14:textFill>
            <w14:solidFill>
              <w14:schemeClr w14:val="tx1"/>
            </w14:solidFill>
          </w14:textFill>
        </w:rPr>
        <w:t xml:space="preserve">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ascii="宋体" w:hAnsi="宋体" w:cs="宋体"/>
          <w:color w:val="000000" w:themeColor="text1"/>
          <w:sz w:val="30"/>
          <w:szCs w:val="30"/>
          <w:highlight w:val="none"/>
          <w14:textFill>
            <w14:solidFill>
              <w14:schemeClr w14:val="tx1"/>
            </w14:solidFill>
          </w14:textFill>
        </w:rPr>
        <w:t>LFF2205-06</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杭州市园林文物局</w:t>
      </w:r>
    </w:p>
    <w:p>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浙江泛亚工程咨询有限公司</w:t>
      </w: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二〇二二年〇</w:t>
      </w:r>
      <w:r>
        <w:rPr>
          <w:rFonts w:hint="eastAsia" w:ascii="宋体" w:hAnsi="宋体" w:cs="宋体"/>
          <w:bCs/>
          <w:color w:val="000000" w:themeColor="text1"/>
          <w:sz w:val="32"/>
          <w:szCs w:val="32"/>
          <w:highlight w:val="none"/>
          <w:lang w:val="en-US" w:eastAsia="zh-CN"/>
          <w14:textFill>
            <w14:solidFill>
              <w14:schemeClr w14:val="tx1"/>
            </w14:solidFill>
          </w14:textFill>
        </w:rPr>
        <w:t>七</w:t>
      </w:r>
      <w:r>
        <w:rPr>
          <w:rFonts w:hint="eastAsia" w:ascii="宋体" w:hAnsi="宋体" w:cs="宋体"/>
          <w:bCs/>
          <w:color w:val="000000" w:themeColor="text1"/>
          <w:sz w:val="32"/>
          <w:szCs w:val="32"/>
          <w:highlight w:val="none"/>
          <w14:textFill>
            <w14:solidFill>
              <w14:schemeClr w14:val="tx1"/>
            </w14:solidFill>
          </w14:textFill>
        </w:rPr>
        <w:t>月〇</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日</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第二部分      </w:t>
      </w:r>
      <w:r>
        <w:rPr>
          <w:rFonts w:hint="eastAsia" w:ascii="宋体" w:hAnsi="宋体" w:cs="宋体"/>
          <w:color w:val="000000" w:themeColor="text1"/>
          <w:sz w:val="32"/>
          <w:szCs w:val="32"/>
          <w:highlight w:val="none"/>
          <w:lang w:eastAsia="zh-CN"/>
          <w14:textFill>
            <w14:solidFill>
              <w14:schemeClr w14:val="tx1"/>
            </w14:solidFill>
          </w14:textFill>
        </w:rPr>
        <w:t>供应商</w:t>
      </w:r>
      <w:r>
        <w:rPr>
          <w:rFonts w:hint="eastAsia" w:ascii="宋体" w:hAnsi="宋体" w:cs="宋体"/>
          <w:color w:val="000000" w:themeColor="text1"/>
          <w:sz w:val="32"/>
          <w:szCs w:val="32"/>
          <w:highlight w:val="none"/>
          <w14:textFill>
            <w14:solidFill>
              <w14:schemeClr w14:val="tx1"/>
            </w14:solidFill>
          </w14:textFill>
        </w:rPr>
        <w:t>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中国（杭州）国际园林博览会园博园概念规划编制</w:t>
      </w:r>
      <w:r>
        <w:rPr>
          <w:rFonts w:hint="eastAsia" w:ascii="宋体" w:hAnsi="宋体" w:cs="宋体"/>
          <w:color w:val="000000" w:themeColor="text1"/>
          <w:sz w:val="24"/>
          <w:highlight w:val="none"/>
          <w14:textFill>
            <w14:solidFill>
              <w14:schemeClr w14:val="tx1"/>
            </w14:solidFill>
          </w14:textFill>
        </w:rPr>
        <w:t>招标项目的潜在</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w:t>
      </w:r>
      <w:r>
        <w:rPr>
          <w:rStyle w:val="77"/>
          <w:rFonts w:hint="eastAsia" w:ascii="宋体" w:hAnsi="宋体" w:cs="宋体"/>
          <w:snapToGrid/>
          <w:color w:val="000000" w:themeColor="text1"/>
          <w:kern w:val="2"/>
          <w:sz w:val="24"/>
          <w:szCs w:val="24"/>
          <w:highlight w:val="none"/>
          <w:lang w:eastAsia="zh-CN"/>
          <w14:textFill>
            <w14:solidFill>
              <w14:schemeClr w14:val="tx1"/>
            </w14:solidFill>
          </w14:textFill>
        </w:rPr>
        <w:t>采购文件</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，并于</w:t>
      </w:r>
      <w:r>
        <w:rPr>
          <w:rFonts w:hint="eastAsia" w:ascii="宋体" w:hAnsi="宋体" w:cs="宋体"/>
          <w:color w:val="000000" w:themeColor="text1"/>
          <w:sz w:val="24"/>
          <w:highlight w:val="none"/>
          <w:u w:val="single"/>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ascii="宋体" w:hAnsi="宋体" w:cs="宋体"/>
          <w:color w:val="000000" w:themeColor="text1"/>
          <w:sz w:val="24"/>
          <w:highlight w:val="none"/>
          <w14:textFill>
            <w14:solidFill>
              <w14:schemeClr w14:val="tx1"/>
            </w14:solidFill>
          </w14:textFill>
        </w:rPr>
        <w:t>LFF2205-06</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中国（杭州）国际园林博览会园博园概念规划编制</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highlight w:val="none"/>
          <w:lang w:eastAsia="zh-CN"/>
          <w14:textFill>
            <w14:solidFill>
              <w14:schemeClr w14:val="tx1"/>
            </w14:solidFill>
          </w14:textFill>
        </w:rPr>
        <w:t>1000000.00</w:t>
      </w:r>
    </w:p>
    <w:p>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eastAsia="zh-CN"/>
          <w14:textFill>
            <w14:solidFill>
              <w14:schemeClr w14:val="tx1"/>
            </w14:solidFill>
          </w14:textFill>
        </w:rPr>
        <w:t>1000000.00</w:t>
      </w:r>
    </w:p>
    <w:p>
      <w:pPr>
        <w:pStyle w:val="3"/>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14:textFill>
            <w14:solidFill>
              <w14:schemeClr w14:val="tx1"/>
            </w14:solidFill>
          </w14:textFill>
        </w:rPr>
        <w:t>中国（杭州）国际园林博览会园博园概念规划编制主要内容：根据杭州市申报第十五届中国国际园林博览会的要求，编制中国（杭州）国际园林博览会园博园概念性规划。详见</w:t>
      </w:r>
      <w:r>
        <w:rPr>
          <w:rFonts w:hint="eastAsia" w:hAnsi="宋体" w:cs="宋体"/>
          <w:bCs/>
          <w:snapToGrid/>
          <w:color w:val="000000" w:themeColor="text1"/>
          <w:kern w:val="2"/>
          <w:sz w:val="24"/>
          <w:szCs w:val="24"/>
          <w:highlight w:val="none"/>
          <w:lang w:eastAsia="zh-CN"/>
          <w14:textFill>
            <w14:solidFill>
              <w14:schemeClr w14:val="tx1"/>
            </w14:solidFill>
          </w14:textFill>
        </w:rPr>
        <w:t>采购文件</w:t>
      </w:r>
      <w:r>
        <w:rPr>
          <w:rFonts w:hint="eastAsia" w:hAnsi="宋体" w:cs="宋体"/>
          <w:bCs/>
          <w:snapToGrid/>
          <w:color w:val="000000" w:themeColor="text1"/>
          <w:kern w:val="2"/>
          <w:sz w:val="24"/>
          <w:szCs w:val="24"/>
          <w:highlight w:val="none"/>
          <w14:textFill>
            <w14:solidFill>
              <w14:schemeClr w14:val="tx1"/>
            </w14:solidFill>
          </w14:textFill>
        </w:rPr>
        <w:t>第三部分采购需求。</w:t>
      </w:r>
    </w:p>
    <w:p>
      <w:pPr>
        <w:pStyle w:val="130"/>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合同履约期限：6个月（具体时间以合同签订为准）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本项目（否）接受联合体投标。</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2.落实政府采购政策需满足的资格要求：标项1：供应商为中小企业/小微企业；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3.本项目的特定资格要求：具有风景园林设计</w:t>
      </w:r>
      <w:r>
        <w:rPr>
          <w:rFonts w:hint="eastAsia" w:ascii="宋体" w:hAnsi="宋体" w:cs="宋体"/>
          <w:color w:val="000000" w:themeColor="text1"/>
          <w:sz w:val="24"/>
          <w:highlight w:val="none"/>
          <w14:textFill>
            <w14:solidFill>
              <w14:schemeClr w14:val="tx1"/>
            </w14:solidFill>
          </w14:textFill>
        </w:rPr>
        <w:t>专项甲级资质；</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w:t>
      </w:r>
      <w:r>
        <w:rPr>
          <w:rFonts w:hint="eastAsia" w:ascii="宋体" w:hAnsi="宋体" w:cs="宋体"/>
          <w:b/>
          <w:color w:val="000000" w:themeColor="text1"/>
          <w:sz w:val="24"/>
          <w:highlight w:val="none"/>
          <w:lang w:eastAsia="zh-CN"/>
          <w14:textFill>
            <w14:solidFill>
              <w14:schemeClr w14:val="tx1"/>
            </w14:solidFill>
          </w14:textFill>
        </w:rPr>
        <w:t>采购文件</w:t>
      </w: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2022年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点 </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点 </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使自己的权益受到损害的，可以自获取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之日或者</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公告期限届满之日（公告期限届满后获取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的获取：使用账号登录或者使用CA登录政采云平台；进入“项目采购”应用，在获取采购文件菜单中选择项目，获取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的供应商进行投标活动； ⑥对未按上述方式获取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的供应商对该文件提出的质疑，采购人或采购代理机构将不予处理；⑦不提供</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纸质版；⑧投标文件的传输递交：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在投标截止时间前将加密的投标文件上传至政府采购云平台，还可以在投标截止时间前直接提交或者以邮政快递方式递交备份投标文件1份。备份投标文件的制作、存储、密封详见</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第二部分第15点—“备份投标文件”；⑨投标文件的解密：</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按照平台提示和</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仅提交备份投标文件，未在电子交易平台传输递交投标文件的，投标无效；⑩具体操作指南：详见政采云平台“服务中心-帮助文档-项目采购-操作流程-电子招投标-政府采购项目电子交易管理操作指南-供应商”。（3）</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称：杭州市园林文物局</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址：杭州市解放东路18号市民中心E座14楼</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项目联系人（询问）：袁老师</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w:t>
      </w:r>
      <w:r>
        <w:rPr>
          <w:color w:val="000000" w:themeColor="text1"/>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85254990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陈老师</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ascii="宋体" w:hAnsi="宋体" w:cs="宋体"/>
          <w:color w:val="000000" w:themeColor="text1"/>
          <w:sz w:val="24"/>
          <w:highlight w:val="none"/>
          <w14:textFill>
            <w14:solidFill>
              <w14:schemeClr w14:val="tx1"/>
            </w14:solidFill>
          </w14:textFill>
        </w:rPr>
        <w:t>0571-87170785</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称：浙江泛亚工程咨询有限公司</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址：杭州市天目山路181号天际大厦804</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项目联系人（询问）：李芳芳</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项目联系方式（询问）：13605802875</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质疑联系人：童工</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质疑联系方式：0571-87993215</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称：杭州市财政局政府采购监管处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址：杭州市中河中路152号614办公室</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：厉先生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监督投诉电话：0571-89580456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w:t>
      </w:r>
      <w:r>
        <w:rPr>
          <w:rFonts w:hint="eastAsia" w:ascii="宋体" w:hAnsi="宋体" w:cs="宋体"/>
          <w:b/>
          <w:color w:val="000000" w:themeColor="text1"/>
          <w:sz w:val="36"/>
          <w:szCs w:val="20"/>
          <w:highlight w:val="none"/>
          <w:lang w:eastAsia="zh-CN"/>
          <w14:textFill>
            <w14:solidFill>
              <w14:schemeClr w14:val="tx1"/>
            </w14:solidFill>
          </w14:textFill>
        </w:rPr>
        <w:t>供应商</w:t>
      </w:r>
      <w:r>
        <w:rPr>
          <w:rFonts w:hint="eastAsia" w:ascii="宋体" w:hAnsi="宋体" w:cs="宋体"/>
          <w:b/>
          <w:color w:val="000000" w:themeColor="text1"/>
          <w:sz w:val="36"/>
          <w:szCs w:val="20"/>
          <w:highlight w:val="none"/>
          <w14:textFill>
            <w14:solidFill>
              <w14:schemeClr w14:val="tx1"/>
            </w14:solidFill>
          </w14:textFill>
        </w:rPr>
        <w:t>须知</w:t>
      </w:r>
      <w:bookmarkEnd w:id="9"/>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14:textFill>
                  <w14:solidFill>
                    <w14:schemeClr w14:val="tx1"/>
                  </w14:solidFill>
                </w14:textFill>
              </w:rPr>
              <w:t>中国（杭州）国际园林博览会园博园概念规划编制</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其他未列明行业</w:t>
            </w:r>
            <w:r>
              <w:rPr>
                <w:rFonts w:hint="eastAsia" w:ascii="宋体" w:hAnsi="宋体" w:cs="宋体"/>
                <w:color w:val="000000" w:themeColor="text1"/>
                <w:kern w:val="0"/>
                <w:sz w:val="24"/>
                <w:highlight w:val="none"/>
                <w14:textFill>
                  <w14:solidFill>
                    <w14:schemeClr w14:val="tx1"/>
                  </w14:solidFill>
                </w14:textFill>
              </w:rPr>
              <w:t>；</w:t>
            </w:r>
          </w:p>
          <w:p>
            <w:pPr>
              <w:pStyle w:val="7"/>
              <w:adjustRightInd w:val="0"/>
              <w:ind w:left="0" w:firstLine="0"/>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single"/>
                <w:lang w:val="en-US"/>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8" w:hRule="atLeast"/>
          <w:tblHeader/>
        </w:trPr>
        <w:tc>
          <w:tcPr>
            <w:tcW w:w="629"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第二部分11.1。</w:t>
            </w:r>
          </w:p>
          <w:p>
            <w:pP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highlight w:val="none"/>
                <w14:textFill>
                  <w14:solidFill>
                    <w14:schemeClr w14:val="tx1"/>
                  </w14:solidFill>
                </w14:textFill>
              </w:rPr>
              <w:t>开标一览表（报价表）是报价的唯一载体</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numPr>
                <w:ilvl w:val="0"/>
                <w:numId w:val="1"/>
              </w:numPr>
              <w:spacing w:line="360"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投标报价超过采购文件中规定的预算金额或者最高限价的;</w:t>
            </w:r>
          </w:p>
          <w:p>
            <w:pP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3、</w:t>
            </w:r>
            <w:r>
              <w:rPr>
                <w:rFonts w:hint="eastAsia" w:ascii="宋体" w:hAnsi="宋体" w:cs="宋体"/>
                <w:b/>
                <w:color w:val="000000" w:themeColor="text1"/>
                <w:kern w:val="0"/>
                <w:sz w:val="24"/>
                <w:highlight w:val="none"/>
                <w14:textFill>
                  <w14:solidFill>
                    <w14:schemeClr w14:val="tx1"/>
                  </w14:solidFill>
                </w14:textFill>
              </w:rPr>
              <w:t>报价明显低于其他通过符合性审查</w:t>
            </w:r>
            <w:r>
              <w:rPr>
                <w:rFonts w:hint="eastAsia" w:ascii="宋体" w:hAnsi="宋体" w:cs="宋体"/>
                <w:b/>
                <w:color w:val="000000" w:themeColor="text1"/>
                <w:kern w:val="0"/>
                <w:sz w:val="24"/>
                <w:highlight w:val="none"/>
                <w:lang w:eastAsia="zh-CN"/>
                <w14:textFill>
                  <w14:solidFill>
                    <w14:schemeClr w14:val="tx1"/>
                  </w14:solidFill>
                </w14:textFill>
              </w:rPr>
              <w:t>供应商</w:t>
            </w:r>
            <w:r>
              <w:rPr>
                <w:rFonts w:hint="eastAsia" w:ascii="宋体" w:hAnsi="宋体" w:cs="宋体"/>
                <w:b/>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供应商</w:t>
            </w:r>
            <w:r>
              <w:rPr>
                <w:rFonts w:hint="eastAsia" w:ascii="宋体" w:hAnsi="宋体" w:cs="宋体"/>
                <w:b/>
                <w:color w:val="000000" w:themeColor="text1"/>
                <w:kern w:val="0"/>
                <w:sz w:val="24"/>
                <w:highlight w:val="none"/>
                <w14:textFill>
                  <w14:solidFill>
                    <w14:schemeClr w14:val="tx1"/>
                  </w14:solidFill>
                </w14:textFill>
              </w:rPr>
              <w:t>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vMerge w:val="restart"/>
            <w:tcBorders>
              <w:top w:val="single" w:color="000000" w:sz="8" w:space="0"/>
              <w:left w:val="single" w:color="000000" w:sz="2"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jc w:val="center"/>
              <w:rPr>
                <w:rFonts w:ascii="宋体" w:hAnsi="宋体" w:cs="宋体"/>
                <w:color w:val="000000" w:themeColor="text1"/>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rPr>
                <w:rFonts w:ascii="宋体" w:hAnsi="宋体" w:cs="宋体"/>
                <w:color w:val="000000" w:themeColor="text1"/>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杭州市天目山路181号天际大厦804</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19975256121</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采购人、采购机构不强制或变相强制</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pStyle w:val="4"/>
              <w:tabs>
                <w:tab w:val="left" w:pos="-5"/>
              </w:tabs>
              <w:spacing w:line="360" w:lineRule="auto"/>
              <w:ind w:firstLine="0" w:firstLineChars="0"/>
              <w:jc w:val="center"/>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招标代理</w:t>
            </w:r>
          </w:p>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本项目的采购代理费由中标人支付，按《</w:t>
            </w:r>
            <w:r>
              <w:rPr>
                <w:rFonts w:hint="eastAsia" w:hAnsi="宋体" w:cs="宋体"/>
                <w:color w:val="000000" w:themeColor="text1"/>
                <w:kern w:val="28"/>
                <w:sz w:val="24"/>
                <w:szCs w:val="24"/>
                <w:highlight w:val="none"/>
                <w:lang w:val="zh-CN"/>
                <w14:textFill>
                  <w14:solidFill>
                    <w14:schemeClr w14:val="tx1"/>
                  </w14:solidFill>
                </w14:textFill>
              </w:rPr>
              <w:t>发改价格〔2011〕534号、计价格[2002]1980号</w:t>
            </w:r>
            <w:r>
              <w:rPr>
                <w:rFonts w:hint="eastAsia" w:hAnsi="宋体" w:cs="宋体"/>
                <w:color w:val="000000" w:themeColor="text1"/>
                <w:kern w:val="28"/>
                <w:sz w:val="24"/>
                <w:szCs w:val="24"/>
                <w:highlight w:val="none"/>
                <w14:textFill>
                  <w14:solidFill>
                    <w14:schemeClr w14:val="tx1"/>
                  </w14:solidFill>
                </w14:textFill>
              </w:rPr>
              <w:t>》文件中招标代理服务费收费标准（服务类</w:t>
            </w:r>
            <w:r>
              <w:rPr>
                <w:rFonts w:hint="eastAsia" w:hAnsi="宋体" w:cs="宋体"/>
                <w:color w:val="000000" w:themeColor="text1"/>
                <w:kern w:val="28"/>
                <w:sz w:val="24"/>
                <w:szCs w:val="24"/>
                <w:highlight w:val="none"/>
                <w:lang w:val="zh-CN"/>
                <w14:textFill>
                  <w14:solidFill>
                    <w14:schemeClr w14:val="tx1"/>
                  </w14:solidFill>
                </w14:textFill>
              </w:rPr>
              <w:t>，以中标价为计费基数</w:t>
            </w:r>
            <w:r>
              <w:rPr>
                <w:rFonts w:hint="eastAsia" w:hAnsi="宋体" w:cs="宋体"/>
                <w:color w:val="000000" w:themeColor="text1"/>
                <w:kern w:val="28"/>
                <w:sz w:val="24"/>
                <w:szCs w:val="24"/>
                <w:highlight w:val="none"/>
                <w14:textFill>
                  <w14:solidFill>
                    <w14:schemeClr w14:val="tx1"/>
                  </w14:solidFill>
                </w14:textFill>
              </w:rPr>
              <w:t>）</w:t>
            </w:r>
            <w:r>
              <w:rPr>
                <w:rFonts w:hint="eastAsia" w:hAnsi="宋体" w:cs="宋体"/>
                <w:color w:val="000000" w:themeColor="text1"/>
                <w:kern w:val="28"/>
                <w:sz w:val="24"/>
                <w:szCs w:val="24"/>
                <w:highlight w:val="none"/>
                <w:lang w:val="zh-CN"/>
                <w14:textFill>
                  <w14:solidFill>
                    <w14:schemeClr w14:val="tx1"/>
                  </w14:solidFill>
                </w14:textFill>
              </w:rPr>
              <w:t>计</w:t>
            </w:r>
            <w:r>
              <w:rPr>
                <w:rFonts w:hint="eastAsia" w:hAnsi="宋体" w:cs="宋体"/>
                <w:color w:val="000000" w:themeColor="text1"/>
                <w:kern w:val="28"/>
                <w:sz w:val="24"/>
                <w:szCs w:val="24"/>
                <w:highlight w:val="none"/>
                <w14:textFill>
                  <w14:solidFill>
                    <w14:schemeClr w14:val="tx1"/>
                  </w14:solidFill>
                </w14:textFill>
              </w:rPr>
              <w:t>，</w:t>
            </w:r>
            <w:r>
              <w:rPr>
                <w:rFonts w:hint="eastAsia" w:hAnsi="宋体" w:cs="宋体"/>
                <w:color w:val="000000" w:themeColor="text1"/>
                <w:kern w:val="28"/>
                <w:sz w:val="24"/>
                <w:szCs w:val="24"/>
                <w:highlight w:val="none"/>
                <w:lang w:val="zh-CN"/>
                <w14:textFill>
                  <w14:solidFill>
                    <w14:schemeClr w14:val="tx1"/>
                  </w14:solidFill>
                </w14:textFill>
              </w:rPr>
              <w:t>该费用考虑在总报价中，不必单列。（差额定率累进制,100万以内按1.5%费率,100-500万以内按0.8%费率）</w:t>
            </w:r>
            <w:r>
              <w:rPr>
                <w:rFonts w:hint="eastAsia" w:hAnsi="宋体" w:cs="宋体"/>
                <w:color w:val="000000" w:themeColor="text1"/>
                <w:kern w:val="28"/>
                <w:sz w:val="24"/>
                <w:szCs w:val="24"/>
                <w:highlight w:val="none"/>
                <w14:textFill>
                  <w14:solidFill>
                    <w14:schemeClr w14:val="tx1"/>
                  </w14:solidFill>
                </w14:textFill>
              </w:rPr>
              <w:t>。结算方式及时间为：在领取中标通知书时由中标人一次性向采购代理机构付清。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无</w:t>
            </w:r>
            <w:r>
              <w:rPr>
                <w:rFonts w:hint="eastAsia" w:ascii="宋体" w:hAnsi="宋体" w:cs="宋体"/>
                <w:b/>
                <w:color w:val="000000" w:themeColor="text1"/>
                <w:kern w:val="0"/>
                <w:sz w:val="24"/>
                <w:highlight w:val="none"/>
                <w14:textFill>
                  <w14:solidFill>
                    <w14:schemeClr w14:val="tx1"/>
                  </w14:solidFill>
                </w14:textFill>
              </w:rPr>
              <w:t>。</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br w:type="page"/>
      </w:r>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须按</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未按</w:t>
      </w:r>
      <w:r>
        <w:rPr>
          <w:rFonts w:hint="eastAsia" w:ascii="宋体" w:hAnsi="宋体" w:cs="宋体"/>
          <w:b/>
          <w:color w:val="000000" w:themeColor="text1"/>
          <w:sz w:val="24"/>
          <w:highlight w:val="none"/>
          <w:lang w:eastAsia="zh-CN"/>
          <w14:textFill>
            <w14:solidFill>
              <w14:schemeClr w14:val="tx1"/>
            </w14:solidFill>
          </w14:textFill>
        </w:rPr>
        <w:t>采购文件</w:t>
      </w:r>
      <w:r>
        <w:rPr>
          <w:rFonts w:hint="eastAsia" w:ascii="宋体" w:hAnsi="宋体" w:cs="宋体"/>
          <w:b/>
          <w:color w:val="000000" w:themeColor="text1"/>
          <w:sz w:val="24"/>
          <w:highlight w:val="none"/>
          <w14:textFill>
            <w14:solidFill>
              <w14:schemeClr w14:val="tx1"/>
            </w14:solidFill>
          </w14:textFill>
        </w:rPr>
        <w:t>要求提供国家确定的认证机构出具的、处于有效期之内的节能产品认证证书的，投标无效。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提供的货物、工程或者服务符合下列情形的，享受中小企业扶持政策：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在货物采购项目中，</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格式要求提供《中小企业声明函》，</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4.2供应商质疑</w:t>
      </w:r>
    </w:p>
    <w:p>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hAnsi="宋体" w:cs="宋体"/>
          <w:color w:val="000000" w:themeColor="text1"/>
          <w:sz w:val="24"/>
          <w:highlight w:val="none"/>
          <w:lang w:eastAsia="zh-CN"/>
          <w14:textFill>
            <w14:solidFill>
              <w14:schemeClr w14:val="tx1"/>
            </w14:solidFill>
          </w14:textFill>
        </w:rPr>
        <w:t>采购文件</w:t>
      </w:r>
      <w:r>
        <w:rPr>
          <w:rFonts w:hint="eastAsia" w:hAnsi="宋体" w:cs="宋体"/>
          <w:color w:val="000000" w:themeColor="text1"/>
          <w:sz w:val="24"/>
          <w:highlight w:val="none"/>
          <w14:textFill>
            <w14:solidFill>
              <w14:schemeClr w14:val="tx1"/>
            </w14:solidFill>
          </w14:textFill>
        </w:rPr>
        <w:t>的，可以对该文件提出质疑。</w:t>
      </w:r>
    </w:p>
    <w:p>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w:t>
      </w:r>
      <w:r>
        <w:rPr>
          <w:rFonts w:hint="eastAsia" w:hAnsi="宋体" w:cs="宋体"/>
          <w:color w:val="000000" w:themeColor="text1"/>
          <w:sz w:val="24"/>
          <w:highlight w:val="none"/>
          <w14:textFill>
            <w14:solidFill>
              <w14:schemeClr w14:val="tx1"/>
            </w14:solidFill>
          </w14:textFill>
        </w:rPr>
        <w:t>.2供应商认为</w:t>
      </w:r>
      <w:r>
        <w:rPr>
          <w:rFonts w:hint="eastAsia" w:hAnsi="宋体" w:cs="宋体"/>
          <w:color w:val="000000" w:themeColor="text1"/>
          <w:sz w:val="24"/>
          <w:highlight w:val="none"/>
          <w:lang w:eastAsia="zh-CN"/>
          <w14:textFill>
            <w14:solidFill>
              <w14:schemeClr w14:val="tx1"/>
            </w14:solidFill>
          </w14:textFill>
        </w:rPr>
        <w:t>采购文件</w:t>
      </w:r>
      <w:r>
        <w:rPr>
          <w:rFonts w:hint="eastAsia" w:hAnsi="宋体" w:cs="宋体"/>
          <w:color w:val="000000" w:themeColor="text1"/>
          <w:sz w:val="24"/>
          <w:highlight w:val="none"/>
          <w14:textFill>
            <w14:solidFill>
              <w14:schemeClr w14:val="tx1"/>
            </w14:solidFill>
          </w14:textFill>
        </w:rPr>
        <w:t>、采购过程和中标结果使自己的权益受到损害的，可以在知道或者应知其权益受到损害之日起七个工作日内，以书面形式向采购人或者采购机构提出质疑，否则，采购人或者采购机构不予受理：</w:t>
      </w:r>
    </w:p>
    <w:p>
      <w:pPr>
        <w:pStyle w:val="3"/>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4.2.2.1对</w:t>
      </w:r>
      <w:r>
        <w:rPr>
          <w:rFonts w:hint="eastAsia" w:hAnsi="宋体" w:cs="宋体"/>
          <w:snapToGrid/>
          <w:color w:val="000000" w:themeColor="text1"/>
          <w:kern w:val="2"/>
          <w:sz w:val="24"/>
          <w:highlight w:val="none"/>
          <w:lang w:eastAsia="zh-CN"/>
          <w14:textFill>
            <w14:solidFill>
              <w14:schemeClr w14:val="tx1"/>
            </w14:solidFill>
          </w14:textFill>
        </w:rPr>
        <w:t>采购文件</w:t>
      </w:r>
      <w:r>
        <w:rPr>
          <w:rFonts w:hint="eastAsia" w:hAnsi="宋体" w:cs="宋体"/>
          <w:snapToGrid/>
          <w:color w:val="000000" w:themeColor="text1"/>
          <w:kern w:val="2"/>
          <w:sz w:val="24"/>
          <w:highlight w:val="none"/>
          <w14:textFill>
            <w14:solidFill>
              <w14:schemeClr w14:val="tx1"/>
            </w14:solidFill>
          </w14:textFill>
        </w:rPr>
        <w:t>提出质疑的，质疑期限为供应商获得</w:t>
      </w:r>
      <w:r>
        <w:rPr>
          <w:rFonts w:hint="eastAsia" w:hAnsi="宋体" w:cs="宋体"/>
          <w:snapToGrid/>
          <w:color w:val="000000" w:themeColor="text1"/>
          <w:kern w:val="2"/>
          <w:sz w:val="24"/>
          <w:highlight w:val="none"/>
          <w:lang w:eastAsia="zh-CN"/>
          <w14:textFill>
            <w14:solidFill>
              <w14:schemeClr w14:val="tx1"/>
            </w14:solidFill>
          </w14:textFill>
        </w:rPr>
        <w:t>采购文件</w:t>
      </w:r>
      <w:r>
        <w:rPr>
          <w:rFonts w:hint="eastAsia" w:hAnsi="宋体" w:cs="宋体"/>
          <w:snapToGrid/>
          <w:color w:val="000000" w:themeColor="text1"/>
          <w:kern w:val="2"/>
          <w:sz w:val="24"/>
          <w:highlight w:val="none"/>
          <w14:textFill>
            <w14:solidFill>
              <w14:schemeClr w14:val="tx1"/>
            </w14:solidFill>
          </w14:textFill>
        </w:rPr>
        <w:t>之日或者</w:t>
      </w:r>
      <w:r>
        <w:rPr>
          <w:rFonts w:hint="eastAsia" w:hAnsi="宋体" w:cs="宋体"/>
          <w:snapToGrid/>
          <w:color w:val="000000" w:themeColor="text1"/>
          <w:kern w:val="2"/>
          <w:sz w:val="24"/>
          <w:highlight w:val="none"/>
          <w:lang w:eastAsia="zh-CN"/>
          <w14:textFill>
            <w14:solidFill>
              <w14:schemeClr w14:val="tx1"/>
            </w14:solidFill>
          </w14:textFill>
        </w:rPr>
        <w:t>采购文件</w:t>
      </w:r>
      <w:r>
        <w:rPr>
          <w:rFonts w:hint="eastAsia" w:hAnsi="宋体" w:cs="宋体"/>
          <w:snapToGrid/>
          <w:color w:val="000000" w:themeColor="text1"/>
          <w:kern w:val="2"/>
          <w:sz w:val="24"/>
          <w:highlight w:val="none"/>
          <w14:textFill>
            <w14:solidFill>
              <w14:schemeClr w14:val="tx1"/>
            </w14:solidFill>
          </w14:textFill>
        </w:rPr>
        <w:t>公告期限届满之日起计算。</w:t>
      </w:r>
    </w:p>
    <w:p>
      <w:pPr>
        <w:pStyle w:val="35"/>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4.2.2.2对采购过程提出质疑的，质疑期限为各采购程序环节结束之日起计算。4.2.2.3对采购结果提出质疑的，质疑期限自采购结果公告期限届满之日起计算。</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4.2.3.1供应商的姓名或者名称、地址、邮编、联系人及联系电话；</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4.2.3.2质疑项目的名称、编号；</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4.2.3.3具体、明确的质疑事项和与质疑事项相关的请求；</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4.2.3.4事实依据；</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4.2.3.5必要的法律依据；</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4.2.3.6提出质疑的日期。</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质疑函范本及制作说明详见附件2。</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4.2.4对同一采购程序环节的质疑，供应商须在法定质疑期内一次性提出。</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4.2.6询问或者质疑事项可能影响采购结果的，采购人应当暂停签订合同，已经签订合同的，应当中止履行合同。</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4.3供应商投诉</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4.3.2供应商投诉的事项不得超出已质疑事项的范围，基于质疑答复内容提出的投诉事项除外。</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4.3.3供应商投诉应当有明确的请求和必要的证明材料。</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4.3.5 以联合体形式参加政府采购活动的，其投诉应当由组成联合体的所有供应商共同提出。</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投诉书范本及制作说明详见附件3。</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4.4在线质疑、投诉。</w:t>
      </w:r>
    </w:p>
    <w:p>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w:t>
      </w:r>
      <w:r>
        <w:rPr>
          <w:rFonts w:hint="eastAsia" w:ascii="宋体" w:hAnsi="宋体" w:cs="宋体"/>
          <w:b/>
          <w:color w:val="000000" w:themeColor="text1"/>
          <w:sz w:val="32"/>
          <w:szCs w:val="20"/>
          <w:highlight w:val="none"/>
          <w:lang w:eastAsia="zh-CN"/>
          <w14:textFill>
            <w14:solidFill>
              <w14:schemeClr w14:val="tx1"/>
            </w14:solidFill>
          </w14:textFill>
        </w:rPr>
        <w:t>采购文件</w:t>
      </w:r>
      <w:r>
        <w:rPr>
          <w:rFonts w:hint="eastAsia" w:ascii="宋体" w:hAnsi="宋体" w:cs="宋体"/>
          <w:b/>
          <w:color w:val="000000" w:themeColor="text1"/>
          <w:sz w:val="32"/>
          <w:szCs w:val="20"/>
          <w:highlight w:val="none"/>
          <w14:textFill>
            <w14:solidFill>
              <w14:schemeClr w14:val="tx1"/>
            </w14:solidFill>
          </w14:textFill>
        </w:rPr>
        <w:t>的构成、澄清、修改</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w:t>
      </w:r>
      <w:r>
        <w:rPr>
          <w:rFonts w:hint="eastAsia" w:hAnsi="宋体" w:cs="宋体"/>
          <w:b/>
          <w:color w:val="000000" w:themeColor="text1"/>
          <w:sz w:val="24"/>
          <w:szCs w:val="24"/>
          <w:highlight w:val="none"/>
          <w:lang w:eastAsia="zh-CN"/>
          <w14:textFill>
            <w14:solidFill>
              <w14:schemeClr w14:val="tx1"/>
            </w14:solidFill>
          </w14:textFill>
        </w:rPr>
        <w:t>采购文件</w:t>
      </w:r>
      <w:r>
        <w:rPr>
          <w:rFonts w:hint="eastAsia" w:hAnsi="宋体" w:cs="宋体"/>
          <w:b/>
          <w:color w:val="000000" w:themeColor="text1"/>
          <w:sz w:val="24"/>
          <w:szCs w:val="24"/>
          <w:highlight w:val="none"/>
          <w14:textFill>
            <w14:solidFill>
              <w14:schemeClr w14:val="tx1"/>
            </w14:solidFill>
          </w14:textFill>
        </w:rPr>
        <w:t>的构成</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5.1 </w:t>
      </w:r>
      <w:r>
        <w:rPr>
          <w:rFonts w:hint="eastAsia" w:hAnsi="宋体" w:cs="宋体"/>
          <w:color w:val="000000" w:themeColor="text1"/>
          <w:sz w:val="24"/>
          <w:szCs w:val="24"/>
          <w:highlight w:val="none"/>
          <w:lang w:eastAsia="zh-CN"/>
          <w14:textFill>
            <w14:solidFill>
              <w14:schemeClr w14:val="tx1"/>
            </w14:solidFill>
          </w14:textFill>
        </w:rPr>
        <w:t>采购文件</w:t>
      </w:r>
      <w:r>
        <w:rPr>
          <w:rFonts w:hint="eastAsia" w:hAnsi="宋体" w:cs="宋体"/>
          <w:color w:val="000000" w:themeColor="text1"/>
          <w:sz w:val="24"/>
          <w:szCs w:val="24"/>
          <w:highlight w:val="none"/>
          <w14:textFill>
            <w14:solidFill>
              <w14:schemeClr w14:val="tx1"/>
            </w14:solidFill>
          </w14:textFill>
        </w:rPr>
        <w:t>包括下列文件及附件：</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须知；</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w:t>
      </w:r>
      <w:r>
        <w:rPr>
          <w:rFonts w:hint="eastAsia" w:ascii="宋体" w:hAnsi="宋体" w:cs="宋体"/>
          <w:bCs/>
          <w:color w:val="000000" w:themeColor="text1"/>
          <w:sz w:val="24"/>
          <w:highlight w:val="none"/>
          <w:lang w:eastAsia="zh-CN"/>
          <w14:textFill>
            <w14:solidFill>
              <w14:schemeClr w14:val="tx1"/>
            </w14:solidFill>
          </w14:textFill>
        </w:rPr>
        <w:t>采购文件</w:t>
      </w:r>
      <w:r>
        <w:rPr>
          <w:rFonts w:hint="eastAsia" w:ascii="宋体" w:hAnsi="宋体" w:cs="宋体"/>
          <w:bCs/>
          <w:color w:val="000000" w:themeColor="text1"/>
          <w:sz w:val="24"/>
          <w:highlight w:val="none"/>
          <w14:textFill>
            <w14:solidFill>
              <w14:schemeClr w14:val="tx1"/>
            </w14:solidFill>
          </w14:textFill>
        </w:rPr>
        <w:t>的组成部分</w:t>
      </w:r>
      <w:r>
        <w:rPr>
          <w:rFonts w:hint="eastAsia" w:ascii="宋体" w:hAnsi="宋体" w:cs="宋体"/>
          <w:color w:val="000000" w:themeColor="text1"/>
          <w:sz w:val="24"/>
          <w:highlight w:val="none"/>
          <w14:textFill>
            <w14:solidFill>
              <w14:schemeClr w14:val="tx1"/>
            </w14:solidFill>
          </w14:textFill>
        </w:rPr>
        <w:t>。</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6. </w:t>
      </w:r>
      <w:r>
        <w:rPr>
          <w:rFonts w:hint="eastAsia" w:hAnsi="宋体" w:cs="宋体"/>
          <w:b/>
          <w:color w:val="000000" w:themeColor="text1"/>
          <w:sz w:val="24"/>
          <w:szCs w:val="24"/>
          <w:highlight w:val="none"/>
          <w:lang w:eastAsia="zh-CN"/>
          <w14:textFill>
            <w14:solidFill>
              <w14:schemeClr w14:val="tx1"/>
            </w14:solidFill>
          </w14:textFill>
        </w:rPr>
        <w:t>采购文件</w:t>
      </w:r>
      <w:r>
        <w:rPr>
          <w:rFonts w:hint="eastAsia" w:hAnsi="宋体" w:cs="宋体"/>
          <w:b/>
          <w:color w:val="000000" w:themeColor="text1"/>
          <w:sz w:val="24"/>
          <w:szCs w:val="24"/>
          <w:highlight w:val="none"/>
          <w14:textFill>
            <w14:solidFill>
              <w14:schemeClr w14:val="tx1"/>
            </w14:solidFill>
          </w14:textFill>
        </w:rPr>
        <w:t>的澄清、修改</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，若有问题需要澄清，应于投标截止时间前，以书面形式向采购机构提出。</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采购机构对</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进行澄清或修改的，将同时通过电子交易平台通知已获取</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。依法应当公告的，将按规定公告，同时视情况延长投标截止时间和开标时间。该澄清或者修改的内容为</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的组成部分。</w:t>
      </w:r>
    </w:p>
    <w:p>
      <w:pPr>
        <w:pStyle w:val="25"/>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7. </w:t>
      </w:r>
      <w:r>
        <w:rPr>
          <w:rFonts w:hint="eastAsia" w:hAnsi="宋体" w:cs="宋体"/>
          <w:b/>
          <w:color w:val="000000" w:themeColor="text1"/>
          <w:sz w:val="24"/>
          <w:szCs w:val="24"/>
          <w:highlight w:val="none"/>
          <w:lang w:eastAsia="zh-CN"/>
          <w14:textFill>
            <w14:solidFill>
              <w14:schemeClr w14:val="tx1"/>
            </w14:solidFill>
          </w14:textFill>
        </w:rPr>
        <w:t>采购文件</w:t>
      </w:r>
      <w:r>
        <w:rPr>
          <w:rFonts w:hint="eastAsia" w:hAnsi="宋体" w:cs="宋体"/>
          <w:b/>
          <w:color w:val="000000" w:themeColor="text1"/>
          <w:sz w:val="24"/>
          <w:szCs w:val="24"/>
          <w:highlight w:val="none"/>
          <w14:textFill>
            <w14:solidFill>
              <w14:schemeClr w14:val="tx1"/>
            </w14:solidFill>
          </w14:textFill>
        </w:rPr>
        <w:t>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w:t>
      </w:r>
      <w:r>
        <w:rPr>
          <w:rFonts w:hint="eastAsia" w:ascii="宋体" w:hAnsi="宋体" w:cs="宋体"/>
          <w:snapToGrid w:val="0"/>
          <w:color w:val="000000" w:themeColor="text1"/>
          <w:kern w:val="28"/>
          <w:sz w:val="24"/>
          <w:highlight w:val="none"/>
          <w:lang w:eastAsia="zh-CN"/>
          <w14:textFill>
            <w14:solidFill>
              <w14:schemeClr w14:val="tx1"/>
            </w14:solidFill>
          </w14:textFill>
        </w:rPr>
        <w:t>采购文件</w:t>
      </w:r>
      <w:r>
        <w:rPr>
          <w:rFonts w:hint="eastAsia" w:ascii="宋体" w:hAnsi="宋体" w:cs="宋体"/>
          <w:snapToGrid w:val="0"/>
          <w:color w:val="000000" w:themeColor="text1"/>
          <w:kern w:val="28"/>
          <w:sz w:val="24"/>
          <w:highlight w:val="none"/>
          <w14:textFill>
            <w14:solidFill>
              <w14:schemeClr w14:val="tx1"/>
            </w14:solidFill>
          </w14:textFill>
        </w:rPr>
        <w:t>的时间期限、地点、方式及</w:t>
      </w:r>
      <w:r>
        <w:rPr>
          <w:rFonts w:hint="eastAsia" w:ascii="宋体" w:hAnsi="宋体" w:cs="宋体"/>
          <w:snapToGrid w:val="0"/>
          <w:color w:val="000000" w:themeColor="text1"/>
          <w:kern w:val="28"/>
          <w:sz w:val="24"/>
          <w:highlight w:val="none"/>
          <w:lang w:eastAsia="zh-CN"/>
          <w14:textFill>
            <w14:solidFill>
              <w14:schemeClr w14:val="tx1"/>
            </w14:solidFill>
          </w14:textFill>
        </w:rPr>
        <w:t>采购文件</w:t>
      </w:r>
      <w:r>
        <w:rPr>
          <w:rFonts w:hint="eastAsia" w:ascii="宋体" w:hAnsi="宋体" w:cs="宋体"/>
          <w:snapToGrid w:val="0"/>
          <w:color w:val="000000" w:themeColor="text1"/>
          <w:kern w:val="28"/>
          <w:sz w:val="24"/>
          <w:highlight w:val="none"/>
          <w14:textFill>
            <w14:solidFill>
              <w14:schemeClr w14:val="tx1"/>
            </w14:solidFill>
          </w14:textFill>
        </w:rPr>
        <w:t>售价。</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现场考察或者召开开标前答疑会的，潜在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按第二部分</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须知前附表的规定参加现场考察或者开标前答疑会。</w:t>
      </w:r>
    </w:p>
    <w:p>
      <w:pPr>
        <w:pStyle w:val="35"/>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3"/>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与采购有关的来往通知、函件和文件均应使用中文。</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11.2.3联合协议（本项目不适用）；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11.2.4分包意向协议（本项目不适用）；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提供虚假材料投标的，投标无效。</w:t>
      </w:r>
    </w:p>
    <w:p>
      <w:pPr>
        <w:pStyle w:val="130"/>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供应商在编制投标文件时请按照采购文件第六部分规定的格式进行，混乱的编排导致投标文件被误读或评标委员会查找不到有效文件是供应商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12.2供应商进行电子投标应安装客户端软件—“政采云电子交易客户端”，并按照采购文件和电子交易平台的要求编制并加密投标文件。供应商未按规定加密的投标文件，电子交易平台将拒收并提示。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0"/>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w:t>
      </w:r>
      <w:r>
        <w:rPr>
          <w:rFonts w:hint="eastAsia" w:ascii="宋体" w:hAnsi="宋体" w:cs="宋体"/>
          <w:color w:val="000000" w:themeColor="text1"/>
          <w:szCs w:val="24"/>
          <w:highlight w:val="none"/>
          <w:lang w:eastAsia="zh-CN"/>
          <w14:textFill>
            <w14:solidFill>
              <w14:schemeClr w14:val="tx1"/>
            </w14:solidFill>
          </w14:textFill>
        </w:rPr>
        <w:t>采购文件</w:t>
      </w:r>
      <w:r>
        <w:rPr>
          <w:rFonts w:hint="eastAsia" w:ascii="宋体" w:hAnsi="宋体" w:cs="宋体"/>
          <w:color w:val="000000" w:themeColor="text1"/>
          <w:szCs w:val="24"/>
          <w:highlight w:val="none"/>
          <w14:textFill>
            <w14:solidFill>
              <w14:schemeClr w14:val="tx1"/>
            </w14:solidFill>
          </w14:textFill>
        </w:rPr>
        <w:t>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cs="宋体"/>
          <w:b/>
          <w:color w:val="000000" w:themeColor="text1"/>
          <w:highlight w:val="none"/>
          <w14:textFill>
            <w14:solidFill>
              <w14:schemeClr w14:val="tx1"/>
            </w14:solidFill>
          </w14:textFill>
        </w:rPr>
        <w:t>的投标文件未按照</w:t>
      </w:r>
      <w:r>
        <w:rPr>
          <w:rFonts w:hint="eastAsia" w:ascii="宋体" w:hAnsi="宋体" w:cs="宋体"/>
          <w:b/>
          <w:color w:val="000000" w:themeColor="text1"/>
          <w:highlight w:val="none"/>
          <w:lang w:eastAsia="zh-CN"/>
          <w14:textFill>
            <w14:solidFill>
              <w14:schemeClr w14:val="tx1"/>
            </w14:solidFill>
          </w14:textFill>
        </w:rPr>
        <w:t>采购文件</w:t>
      </w:r>
      <w:r>
        <w:rPr>
          <w:rFonts w:hint="eastAsia" w:ascii="宋体" w:hAnsi="宋体" w:cs="宋体"/>
          <w:b/>
          <w:color w:val="000000" w:themeColor="text1"/>
          <w:highlight w:val="none"/>
          <w14:textFill>
            <w14:solidFill>
              <w14:schemeClr w14:val="tx1"/>
            </w14:solidFill>
          </w14:textFill>
        </w:rPr>
        <w:t>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对投标文件签署、盖章的要求适用于电子签名。</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14.3采购人、采购机构可以视情况延长投标文件提交的截止时间。在上述情况下，采购机构与</w:t>
      </w: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以前在投标截止期方面的全部权利、责任和义务，将适用于延长至新的投标截止期。</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5"/>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但采购人、采购机构不强制或变相强制</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提交备份投标文件。</w:t>
      </w:r>
    </w:p>
    <w:p>
      <w:pPr>
        <w:pStyle w:val="35"/>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lang w:eastAsia="zh-CN"/>
          <w14:textFill>
            <w14:solidFill>
              <w14:schemeClr w14:val="tx1"/>
            </w14:solidFill>
          </w14:textFill>
        </w:rPr>
        <w:t>采购文件</w:t>
      </w:r>
      <w:r>
        <w:rPr>
          <w:rFonts w:hint="eastAsia" w:hAnsi="宋体" w:cs="宋体"/>
          <w:snapToGrid/>
          <w:color w:val="000000" w:themeColor="text1"/>
          <w:sz w:val="24"/>
          <w:szCs w:val="24"/>
          <w:highlight w:val="none"/>
          <w14:textFill>
            <w14:solidFill>
              <w14:schemeClr w14:val="tx1"/>
            </w14:solidFill>
          </w14:textFill>
        </w:rPr>
        <w:t>第二部分</w:t>
      </w:r>
      <w:r>
        <w:rPr>
          <w:rFonts w:hint="eastAsia" w:hAnsi="宋体" w:cs="宋体"/>
          <w:snapToGrid/>
          <w:color w:val="000000" w:themeColor="text1"/>
          <w:sz w:val="24"/>
          <w:szCs w:val="24"/>
          <w:highlight w:val="none"/>
          <w:lang w:eastAsia="zh-CN"/>
          <w14:textFill>
            <w14:solidFill>
              <w14:schemeClr w14:val="tx1"/>
            </w14:solidFill>
          </w14:textFill>
        </w:rPr>
        <w:t>供应商</w:t>
      </w:r>
      <w:r>
        <w:rPr>
          <w:rFonts w:hint="eastAsia" w:hAnsi="宋体" w:cs="宋体"/>
          <w:snapToGrid/>
          <w:color w:val="000000" w:themeColor="text1"/>
          <w:sz w:val="24"/>
          <w:szCs w:val="24"/>
          <w:highlight w:val="none"/>
          <w14:textFill>
            <w14:solidFill>
              <w14:schemeClr w14:val="tx1"/>
            </w14:solidFill>
          </w14:textFill>
        </w:rPr>
        <w:t>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自行负责。</w:t>
      </w:r>
    </w:p>
    <w:p>
      <w:pPr>
        <w:pStyle w:val="35"/>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仅提交备份投标文件，未在电子交易平台传输递交投标文件的，投标无效。</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4"/>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w:t>
      </w:r>
      <w:r>
        <w:rPr>
          <w:rFonts w:hint="eastAsia" w:cs="宋体"/>
          <w:color w:val="000000" w:themeColor="text1"/>
          <w:szCs w:val="21"/>
          <w:highlight w:val="none"/>
          <w:lang w:eastAsia="zh-CN"/>
          <w14:textFill>
            <w14:solidFill>
              <w14:schemeClr w14:val="tx1"/>
            </w14:solidFill>
          </w14:textFill>
        </w:rPr>
        <w:t>采购文件</w:t>
      </w:r>
      <w:r>
        <w:rPr>
          <w:rFonts w:hint="eastAsia" w:cs="宋体"/>
          <w:color w:val="000000" w:themeColor="text1"/>
          <w:szCs w:val="21"/>
          <w:highlight w:val="none"/>
          <w14:textFill>
            <w14:solidFill>
              <w14:schemeClr w14:val="tx1"/>
            </w14:solidFill>
          </w14:textFill>
        </w:rPr>
        <w:t>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lang w:eastAsia="zh-CN"/>
          <w14:textFill>
            <w14:solidFill>
              <w14:schemeClr w14:val="tx1"/>
            </w14:solidFill>
          </w14:textFill>
        </w:rPr>
        <w:t>供应商</w:t>
      </w:r>
      <w:r>
        <w:rPr>
          <w:rFonts w:hint="eastAsia" w:ascii="宋体" w:hAnsi="宋体" w:cs="宋体"/>
          <w:b/>
          <w:color w:val="000000" w:themeColor="text1"/>
          <w:sz w:val="24"/>
          <w:szCs w:val="20"/>
          <w:highlight w:val="none"/>
          <w14:textFill>
            <w14:solidFill>
              <w14:schemeClr w14:val="tx1"/>
            </w14:solidFill>
          </w14:textFill>
        </w:rPr>
        <w:t>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w:t>
      </w:r>
      <w:r>
        <w:rPr>
          <w:rFonts w:hint="eastAsia" w:ascii="宋体" w:hAnsi="宋体" w:cs="宋体"/>
          <w:b/>
          <w:color w:val="000000" w:themeColor="text1"/>
          <w:sz w:val="24"/>
          <w:szCs w:val="21"/>
          <w:highlight w:val="none"/>
          <w:lang w:eastAsia="zh-CN"/>
          <w14:textFill>
            <w14:solidFill>
              <w14:schemeClr w14:val="tx1"/>
            </w14:solidFill>
          </w14:textFill>
        </w:rPr>
        <w:t>采购文件</w:t>
      </w:r>
      <w:r>
        <w:rPr>
          <w:rFonts w:hint="eastAsia" w:ascii="宋体" w:hAnsi="宋体" w:cs="宋体"/>
          <w:b/>
          <w:color w:val="000000" w:themeColor="text1"/>
          <w:sz w:val="24"/>
          <w:szCs w:val="21"/>
          <w:highlight w:val="none"/>
          <w14:textFill>
            <w14:solidFill>
              <w14:schemeClr w14:val="tx1"/>
            </w14:solidFill>
          </w14:textFill>
        </w:rPr>
        <w:t>中载明的投标有效期的，投标无效。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17.3在原定投标有效期满之前，如果出现特殊情况，采购机构可以以书面形式通知</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延长投标有效期。</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同意延长的，不得要求或被允许修改其投标文件，</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拒绝延长的，其投标无效。</w:t>
      </w:r>
    </w:p>
    <w:p>
      <w:pPr>
        <w:pStyle w:val="130"/>
        <w:spacing w:before="0"/>
        <w:ind w:firstLine="643"/>
        <w:rPr>
          <w:rFonts w:ascii="宋体" w:hAnsi="宋体" w:cs="宋体"/>
          <w:b/>
          <w:color w:val="000000" w:themeColor="text1"/>
          <w:sz w:val="32"/>
          <w:highlight w:val="none"/>
          <w14:textFill>
            <w14:solidFill>
              <w14:schemeClr w14:val="tx1"/>
            </w14:solidFill>
          </w14:textFill>
        </w:rPr>
      </w:pPr>
    </w:p>
    <w:p>
      <w:pPr>
        <w:pStyle w:val="130"/>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5"/>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5"/>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18.1采购机构按照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规定的时间通过电子交易平台组织开标，所有</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均应当准时在线参加。</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不足3家的，不得开标。</w:t>
      </w:r>
    </w:p>
    <w:p>
      <w:pPr>
        <w:pStyle w:val="555"/>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按照平台提示和</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的规定在半小时内完成在线解密。</w:t>
      </w:r>
    </w:p>
    <w:p>
      <w:pPr>
        <w:pStyle w:val="555"/>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19.1开标后，采购人或采购机构将依法对</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的资格进行审查。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19.2</w:t>
      </w:r>
      <w:r>
        <w:rPr>
          <w:rFonts w:hint="eastAsia" w:ascii="宋体" w:hAnsi="宋体" w:cs="宋体"/>
          <w:color w:val="000000" w:themeColor="text1"/>
          <w:sz w:val="24"/>
          <w:highlight w:val="none"/>
          <w14:textFill>
            <w14:solidFill>
              <w14:schemeClr w14:val="tx1"/>
            </w14:solidFill>
          </w14:textFill>
        </w:rPr>
        <w:t>采购人或采购机构依据法律法规和</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的规定，对</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的基本资格条件、特定资格条件进行审查。</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19.3</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未按照</w:t>
      </w:r>
      <w:r>
        <w:rPr>
          <w:rFonts w:hint="eastAsia" w:ascii="宋体" w:hAnsi="宋体" w:cs="宋体"/>
          <w:color w:val="000000" w:themeColor="text1"/>
          <w:kern w:val="0"/>
          <w:szCs w:val="24"/>
          <w:highlight w:val="none"/>
          <w:lang w:eastAsia="zh-CN"/>
          <w14:textFill>
            <w14:solidFill>
              <w14:schemeClr w14:val="tx1"/>
            </w14:solidFill>
          </w14:textFill>
        </w:rPr>
        <w:t>采购文件</w:t>
      </w:r>
      <w:r>
        <w:rPr>
          <w:rFonts w:hint="eastAsia" w:ascii="宋体" w:hAnsi="宋体" w:cs="宋体"/>
          <w:color w:val="000000" w:themeColor="text1"/>
          <w:kern w:val="0"/>
          <w:szCs w:val="24"/>
          <w:highlight w:val="none"/>
          <w14:textFill>
            <w14:solidFill>
              <w14:schemeClr w14:val="tx1"/>
            </w14:solidFill>
          </w14:textFill>
        </w:rPr>
        <w:t>要求提供与</w:t>
      </w:r>
      <w:r>
        <w:rPr>
          <w:rFonts w:hint="eastAsia" w:ascii="宋体" w:hAnsi="宋体" w:cs="宋体"/>
          <w:color w:val="000000" w:themeColor="text1"/>
          <w:highlight w:val="none"/>
          <w14:textFill>
            <w14:solidFill>
              <w14:schemeClr w14:val="tx1"/>
            </w14:solidFill>
          </w14:textFill>
        </w:rPr>
        <w:t>基本资格条件、特定资格条件相应的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不具备</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中规定的资格要求，其投标无效。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4对未通过资格审查的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，采购人或采购机构告知其未通过的原因。</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5合格</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不足3家的，不再评标。</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投标截止时间当天的信用记录。</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的信用记录、查询结果经确认后将与采购文件一起存档。</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将被拒绝参与政府采购活动。</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0"/>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和有关规定，履行评标工作职责，并按照评标方法及评分标准，全面衡量各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的响应情况。对实质上响应</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，按照评审因素的量化指标排出推荐中标的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的先后顺序，并按顺序提出授标建议。</w:t>
      </w:r>
      <w:r>
        <w:rPr>
          <w:rFonts w:hint="eastAsia" w:ascii="宋体" w:hAnsi="宋体" w:cs="宋体"/>
          <w:b/>
          <w:color w:val="000000" w:themeColor="text1"/>
          <w:sz w:val="24"/>
          <w:highlight w:val="none"/>
          <w14:textFill>
            <w14:solidFill>
              <w14:schemeClr w14:val="tx1"/>
            </w14:solidFill>
          </w14:textFill>
        </w:rPr>
        <w:t>详见</w:t>
      </w:r>
      <w:r>
        <w:rPr>
          <w:rFonts w:hint="eastAsia" w:ascii="宋体" w:hAnsi="宋体" w:cs="宋体"/>
          <w:b/>
          <w:color w:val="000000" w:themeColor="text1"/>
          <w:sz w:val="24"/>
          <w:highlight w:val="none"/>
          <w:lang w:eastAsia="zh-CN"/>
          <w14:textFill>
            <w14:solidFill>
              <w14:schemeClr w14:val="tx1"/>
            </w14:solidFill>
          </w14:textFill>
        </w:rPr>
        <w:t>采购文件</w:t>
      </w:r>
      <w:r>
        <w:rPr>
          <w:rFonts w:hint="eastAsia" w:ascii="宋体" w:hAnsi="宋体" w:cs="宋体"/>
          <w:b/>
          <w:color w:val="000000" w:themeColor="text1"/>
          <w:sz w:val="24"/>
          <w:highlight w:val="none"/>
          <w14:textFill>
            <w14:solidFill>
              <w14:schemeClr w14:val="tx1"/>
            </w14:solidFill>
          </w14:textFill>
        </w:rPr>
        <w:t>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0"/>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、投标文件等内容通过政府采购电子交易平台在线签订，自动备案。</w:t>
      </w:r>
    </w:p>
    <w:p>
      <w:pPr>
        <w:pStyle w:val="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cs="宋体"/>
          <w:color w:val="000000" w:themeColor="text1"/>
          <w:sz w:val="24"/>
          <w:szCs w:val="20"/>
          <w:highlight w:val="none"/>
          <w:lang w:val="en-US" w:eastAsia="zh-CN"/>
          <w14:textFill>
            <w14:solidFill>
              <w14:schemeClr w14:val="tx1"/>
            </w14:solidFill>
          </w14:textFill>
        </w:rPr>
        <w:t>1</w:t>
      </w:r>
      <w:r>
        <w:rPr>
          <w:rFonts w:hint="eastAsia" w:ascii="宋体" w:hAnsi="宋体" w:cs="宋体"/>
          <w:color w:val="000000" w:themeColor="text1"/>
          <w:sz w:val="24"/>
          <w:szCs w:val="20"/>
          <w:highlight w:val="none"/>
          <w14:textFill>
            <w14:solidFill>
              <w14:schemeClr w14:val="tx1"/>
            </w14:solidFill>
          </w14:textFill>
        </w:rPr>
        <w:t>%；评价总分在90分以下或者暂无评分的，收取履约保证金不得高于合同金额</w:t>
      </w:r>
      <w:r>
        <w:rPr>
          <w:rFonts w:hint="eastAsia" w:ascii="宋体" w:hAnsi="宋体" w:cs="宋体"/>
          <w:color w:val="000000" w:themeColor="text1"/>
          <w:sz w:val="24"/>
          <w:szCs w:val="20"/>
          <w:highlight w:val="none"/>
          <w:lang w:val="en-US" w:eastAsia="zh-CN"/>
          <w14:textFill>
            <w14:solidFill>
              <w14:schemeClr w14:val="tx1"/>
            </w14:solidFill>
          </w14:textFill>
        </w:rPr>
        <w:t>1</w:t>
      </w:r>
      <w:r>
        <w:rPr>
          <w:rFonts w:hint="eastAsia" w:ascii="宋体" w:hAnsi="宋体" w:cs="宋体"/>
          <w:color w:val="000000" w:themeColor="text1"/>
          <w:sz w:val="24"/>
          <w:szCs w:val="20"/>
          <w:highlight w:val="none"/>
          <w14:textFill>
            <w14:solidFill>
              <w14:schemeClr w14:val="tx1"/>
            </w14:solidFill>
          </w14:textFill>
        </w:rPr>
        <w:t>%。</w:t>
      </w:r>
    </w:p>
    <w:p>
      <w:pPr>
        <w:pStyle w:val="7"/>
        <w:ind w:left="0" w:firstLine="480" w:firstLineChars="200"/>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30"/>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b/>
          <w:color w:val="000000" w:themeColor="text1"/>
          <w:szCs w:val="24"/>
          <w:highlight w:val="none"/>
          <w14:textFill>
            <w14:solidFill>
              <w14:schemeClr w14:val="tx1"/>
            </w14:solidFill>
          </w14:textFill>
        </w:rPr>
        <w:t>7.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pPr>
        <w:pStyle w:val="130"/>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29.2采购人可以邀请参加本项目的其他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或者第三方机构参与验收。参与验收的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72990"/>
      <w:bookmarkEnd w:id="15"/>
      <w:bookmarkStart w:id="16" w:name="_Hlt75236011"/>
      <w:bookmarkEnd w:id="16"/>
      <w:bookmarkStart w:id="17" w:name="_Hlt68072998"/>
      <w:bookmarkEnd w:id="17"/>
      <w:bookmarkStart w:id="18" w:name="_Hlt68073093"/>
      <w:bookmarkEnd w:id="18"/>
      <w:bookmarkStart w:id="19" w:name="_Hlt68403820"/>
      <w:bookmarkEnd w:id="19"/>
      <w:bookmarkStart w:id="20" w:name="_Hlt74707468"/>
      <w:bookmarkEnd w:id="20"/>
      <w:bookmarkStart w:id="21" w:name="_Hlt74714665"/>
      <w:bookmarkEnd w:id="21"/>
      <w:bookmarkStart w:id="22" w:name="_Hlt74729768"/>
      <w:bookmarkEnd w:id="22"/>
      <w:bookmarkStart w:id="23" w:name="_Hlt74730295"/>
      <w:bookmarkEnd w:id="23"/>
      <w:bookmarkStart w:id="24" w:name="_Hlt68057669"/>
      <w:bookmarkEnd w:id="24"/>
      <w:bookmarkStart w:id="25" w:name="_Hlt75236101"/>
      <w:bookmarkEnd w:id="25"/>
    </w:p>
    <w:bookmarkEnd w:id="11"/>
    <w:bookmarkEnd w:id="12"/>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bookmarkStart w:id="27" w:name="_Toc257307204"/>
      <w:bookmarkStart w:id="28" w:name="_Toc280686023"/>
      <w:r>
        <w:rPr>
          <w:rFonts w:hint="eastAsia" w:ascii="宋体" w:hAnsi="宋体" w:cs="宋体"/>
          <w:color w:val="000000" w:themeColor="text1"/>
          <w:sz w:val="24"/>
          <w:szCs w:val="21"/>
          <w:highlight w:val="none"/>
          <w14:textFill>
            <w14:solidFill>
              <w14:schemeClr w14:val="tx1"/>
            </w14:solidFill>
          </w14:textFill>
        </w:rPr>
        <w:t>一、项目概况</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1、项目名称：中国（杭州）国际园林博览会园博园概念规划编制</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简要说明：根据杭州市申报第十五届中国国际园林博览会的要求，编制中国（杭州）国际园林博览会园博园概念性规划，包含园博会主题理念、园博园总体规划、分区规划、交通、水韧性、配套设施、植物景观等专项规划、造价估算、及园博园展后利用规划等内容。</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3、预算金额</w:t>
      </w:r>
      <w:r>
        <w:rPr>
          <w:rFonts w:hint="eastAsia" w:ascii="宋体" w:hAnsi="宋体" w:cs="宋体"/>
          <w:color w:val="000000" w:themeColor="text1"/>
          <w:sz w:val="24"/>
          <w:szCs w:val="21"/>
          <w:highlight w:val="none"/>
          <w:lang w:eastAsia="zh-CN"/>
          <w14:textFill>
            <w14:solidFill>
              <w14:schemeClr w14:val="tx1"/>
            </w14:solidFill>
          </w14:textFill>
        </w:rPr>
        <w:t>1000000.00</w:t>
      </w:r>
      <w:r>
        <w:rPr>
          <w:rFonts w:hint="eastAsia" w:ascii="宋体" w:hAnsi="宋体" w:cs="宋体"/>
          <w:color w:val="000000" w:themeColor="text1"/>
          <w:sz w:val="24"/>
          <w:szCs w:val="21"/>
          <w:highlight w:val="none"/>
          <w14:textFill>
            <w14:solidFill>
              <w14:schemeClr w14:val="tx1"/>
            </w14:solidFill>
          </w14:textFill>
        </w:rPr>
        <w:t>元</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4、合同履约期限：6个月（具体时间以合同签订为准）</w:t>
      </w:r>
    </w:p>
    <w:bookmarkEnd w:id="27"/>
    <w:bookmarkEnd w:id="28"/>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二、服务内容及要求</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完成《中国（杭州）国际园林博览会园博园概念性规划》的编制工作。</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1、根据住建部《中国国际园林博览会管理办法》（建城〔2020〕25号），对于园博会申办和筹备的要求、申办报告的要点，分析研究城市特色、参选优势。</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2、充分利用新理念、新方式、新技术，通过生态修复方式进行总体规划。</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3、根据选址场地条件，展园及展馆规划遊循“适用、经济、绿色、美观”的建筑方针，充分利用改造存量建筑。</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4、规划方案要具有特色与创新点，重点展示城市创新、协调、绿色、开放、共享发展的成果。</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5、制定切实可行的展后利用规划。</w:t>
      </w:r>
    </w:p>
    <w:p>
      <w:pPr>
        <w:tabs>
          <w:tab w:val="left" w:pos="0"/>
        </w:tabs>
        <w:snapToGrid w:val="0"/>
        <w:spacing w:line="360" w:lineRule="auto"/>
        <w:ind w:firstLine="480" w:firstLineChars="200"/>
        <w:jc w:val="left"/>
        <w:rPr>
          <w:rFonts w:ascii="宋体" w:hAnsi="宋体" w:cs="宋体" w:eastAsiaTheme="minorEastAsia"/>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6、拟派的项目负责人具有</w:t>
      </w:r>
      <w:r>
        <w:rPr>
          <w:rFonts w:hint="eastAsia" w:cs="宋体" w:asciiTheme="minorEastAsia" w:hAnsiTheme="minorEastAsia" w:eastAsiaTheme="minorEastAsia"/>
          <w:color w:val="000000" w:themeColor="text1"/>
          <w:sz w:val="24"/>
          <w:highlight w:val="none"/>
          <w14:textFill>
            <w14:solidFill>
              <w14:schemeClr w14:val="tx1"/>
            </w14:solidFill>
          </w14:textFill>
        </w:rPr>
        <w:t>风景园林、园林或景观类相关专业及能力的。</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三、进度要求（不包括送审、报批等相关手续时间）</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1、规划编制初稿提交时间：20个工作日（具体按合同签订时间为准）；</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2、规划编制送审稿提交时间：20个工作日（具体按合同签订时间为准）；</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3、规划编制成果稿提交时间：20个工作日（具体按合同签订时间为准）。</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四、编制成果要求</w:t>
      </w:r>
    </w:p>
    <w:p>
      <w:pPr>
        <w:tabs>
          <w:tab w:val="left" w:pos="0"/>
        </w:tabs>
        <w:snapToGrid w:val="0"/>
        <w:spacing w:line="360" w:lineRule="auto"/>
        <w:ind w:firstLine="480"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编制成果包括初稿、送审稿和成果稿等三个阶段成果。初稿提交电子文档1套；送审成果提交1套（装订成A3规格），电子文档1套；最终成果提交6套（装订成A3规格），电子文档（光盘）1套（具体数量根据实际需求有所变动）</w:t>
      </w:r>
      <w:r>
        <w:rPr>
          <w:rFonts w:hint="eastAsia" w:ascii="宋体" w:hAnsi="宋体" w:cs="宋体"/>
          <w:color w:val="000000" w:themeColor="text1"/>
          <w:sz w:val="24"/>
          <w:szCs w:val="21"/>
          <w:highlight w:val="none"/>
          <w14:textFill>
            <w14:solidFill>
              <w14:schemeClr w14:val="tx1"/>
            </w14:solidFill>
          </w14:textFill>
        </w:rPr>
        <w:t>。</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五、验收标准</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按相关国家标准、行业标准和本招标采购文件要求验收。</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六、报价要求、付款方式和条件</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（1）报价要求</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本项目规划费由供应商参考国家、省、市相关收费标准、结合项目实际情况自主报价。</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注：本投标报价中均应包含以下所有的费用：a、研究范围内的所产生的所有费用；</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b.成果在经专家评审过程中所产生的专家费、会务费、文本费。文本资料的份数应满足采购人要求。</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c.除非采购文件另有规定，投标报价是指完成采购文件要求中明确的全部工作内容的报酬，研究成果包括研究</w:t>
      </w:r>
      <w:r>
        <w:rPr>
          <w:rFonts w:ascii="宋体" w:hAnsi="宋体"/>
          <w:color w:val="000000" w:themeColor="text1"/>
          <w:sz w:val="24"/>
          <w:highlight w:val="none"/>
          <w14:textFill>
            <w14:solidFill>
              <w14:schemeClr w14:val="tx1"/>
            </w14:solidFill>
          </w14:textFill>
        </w:rPr>
        <w:t>文本、附件(</w:t>
      </w:r>
      <w:r>
        <w:rPr>
          <w:rFonts w:hint="eastAsia" w:ascii="宋体" w:hAnsi="宋体"/>
          <w:color w:val="000000" w:themeColor="text1"/>
          <w:sz w:val="24"/>
          <w:highlight w:val="none"/>
          <w14:textFill>
            <w14:solidFill>
              <w14:schemeClr w14:val="tx1"/>
            </w14:solidFill>
          </w14:textFill>
        </w:rPr>
        <w:t>研究</w:t>
      </w:r>
      <w:r>
        <w:rPr>
          <w:rFonts w:ascii="宋体" w:hAnsi="宋体"/>
          <w:color w:val="000000" w:themeColor="text1"/>
          <w:sz w:val="24"/>
          <w:highlight w:val="none"/>
          <w14:textFill>
            <w14:solidFill>
              <w14:schemeClr w14:val="tx1"/>
            </w14:solidFill>
          </w14:textFill>
        </w:rPr>
        <w:t>说明、基础资料汇编</w:t>
      </w:r>
      <w:r>
        <w:rPr>
          <w:rFonts w:hint="eastAsia" w:ascii="宋体" w:hAnsi="宋体"/>
          <w:color w:val="000000" w:themeColor="text1"/>
          <w:sz w:val="24"/>
          <w:highlight w:val="none"/>
          <w14:textFill>
            <w14:solidFill>
              <w14:schemeClr w14:val="tx1"/>
            </w14:solidFill>
          </w14:textFill>
        </w:rPr>
        <w:t>等)的编制等所有费用。</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d.供应商在投标过程中发生的其他一切费用，不论中标与否，均由供应商自行承担；</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（2）付款方式和条件</w:t>
      </w:r>
    </w:p>
    <w:tbl>
      <w:tblPr>
        <w:tblStyle w:val="6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8"/>
        <w:gridCol w:w="1998"/>
        <w:gridCol w:w="5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903" w:type="pct"/>
            <w:vAlign w:val="center"/>
          </w:tcPr>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付费阶段</w:t>
            </w:r>
          </w:p>
        </w:tc>
        <w:tc>
          <w:tcPr>
            <w:tcW w:w="1050" w:type="pct"/>
            <w:vAlign w:val="center"/>
          </w:tcPr>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合同价（</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tc>
        <w:tc>
          <w:tcPr>
            <w:tcW w:w="3047" w:type="pct"/>
            <w:vAlign w:val="center"/>
          </w:tcPr>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付费时间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03" w:type="pct"/>
            <w:vAlign w:val="center"/>
          </w:tcPr>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第一次付费</w:t>
            </w:r>
          </w:p>
        </w:tc>
        <w:tc>
          <w:tcPr>
            <w:tcW w:w="1050" w:type="pct"/>
            <w:vAlign w:val="center"/>
          </w:tcPr>
          <w:p>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w:t>
            </w:r>
          </w:p>
        </w:tc>
        <w:tc>
          <w:tcPr>
            <w:tcW w:w="3047" w:type="pct"/>
            <w:vAlign w:val="center"/>
          </w:tcPr>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签订合同后7个工作日内支付</w:t>
            </w:r>
            <w:r>
              <w:rPr>
                <w:rFonts w:ascii="宋体" w:hAnsi="宋体"/>
                <w:color w:val="000000" w:themeColor="text1"/>
                <w:sz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903" w:type="pct"/>
            <w:vAlign w:val="center"/>
          </w:tcPr>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第二次付费</w:t>
            </w:r>
          </w:p>
        </w:tc>
        <w:tc>
          <w:tcPr>
            <w:tcW w:w="1050" w:type="pct"/>
            <w:vAlign w:val="center"/>
          </w:tcPr>
          <w:p>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40</w:t>
            </w:r>
          </w:p>
        </w:tc>
        <w:tc>
          <w:tcPr>
            <w:tcW w:w="3047" w:type="pct"/>
            <w:vAlign w:val="center"/>
          </w:tcPr>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提交规划编制送审稿后，通过专家初评后15个工作日</w:t>
            </w:r>
            <w:r>
              <w:rPr>
                <w:rFonts w:ascii="宋体" w:hAnsi="宋体"/>
                <w:color w:val="000000" w:themeColor="text1"/>
                <w:sz w:val="24"/>
                <w:highlight w:val="none"/>
                <w14:textFill>
                  <w14:solidFill>
                    <w14:schemeClr w14:val="tx1"/>
                  </w14:solidFill>
                </w14:textFill>
              </w:rPr>
              <w:t>内支付。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903" w:type="pct"/>
            <w:vAlign w:val="center"/>
          </w:tcPr>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第三次付费</w:t>
            </w:r>
          </w:p>
        </w:tc>
        <w:tc>
          <w:tcPr>
            <w:tcW w:w="1050" w:type="pct"/>
            <w:vAlign w:val="center"/>
          </w:tcPr>
          <w:p>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w:t>
            </w:r>
          </w:p>
        </w:tc>
        <w:tc>
          <w:tcPr>
            <w:tcW w:w="3047" w:type="pct"/>
            <w:vAlign w:val="center"/>
          </w:tcPr>
          <w:p>
            <w:pPr>
              <w:snapToGrid w:val="0"/>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提交</w:t>
            </w:r>
            <w:r>
              <w:rPr>
                <w:rFonts w:hint="eastAsia" w:ascii="宋体" w:hAnsi="宋体" w:cs="宋体"/>
                <w:color w:val="000000" w:themeColor="text1"/>
                <w:sz w:val="24"/>
                <w:szCs w:val="21"/>
                <w:highlight w:val="none"/>
                <w14:textFill>
                  <w14:solidFill>
                    <w14:schemeClr w14:val="tx1"/>
                  </w14:solidFill>
                </w14:textFill>
              </w:rPr>
              <w:t>规划编制成果稿经通过甲方确认后，</w:t>
            </w:r>
            <w:r>
              <w:rPr>
                <w:rFonts w:ascii="宋体" w:hAnsi="宋体"/>
                <w:color w:val="000000" w:themeColor="text1"/>
                <w:sz w:val="24"/>
                <w:highlight w:val="none"/>
                <w14:textFill>
                  <w14:solidFill>
                    <w14:schemeClr w14:val="tx1"/>
                  </w14:solidFill>
                </w14:textFill>
              </w:rPr>
              <w:t>15个工作日内支付。</w:t>
            </w:r>
          </w:p>
        </w:tc>
      </w:tr>
    </w:tbl>
    <w:p>
      <w:pPr>
        <w:spacing w:line="360" w:lineRule="auto"/>
        <w:ind w:firstLine="480" w:firstLineChars="200"/>
        <w:outlineLvl w:val="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七、履行合同的地点、违约责任、解决争议的方式</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1、履行合同的地点：杭州市</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2、履约合同期限：6个月（具体时间以合同签订为准）</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、履约保证金的收取及退还：乙方在签定合同后7日内向甲方交纳合同</w:t>
      </w:r>
      <w:r>
        <w:rPr>
          <w:rFonts w:hint="eastAsia" w:asciiTheme="minorEastAsia" w:hAnsiTheme="minorEastAsia" w:eastAsiaTheme="minorEastAsia"/>
          <w:color w:val="000000" w:themeColor="text1"/>
          <w:sz w:val="24"/>
          <w:highlight w:val="none"/>
          <w14:textFill>
            <w14:solidFill>
              <w14:schemeClr w14:val="tx1"/>
            </w14:solidFill>
          </w14:textFill>
        </w:rPr>
        <w:t>总价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14:textFill>
            <w14:solidFill>
              <w14:schemeClr w14:val="tx1"/>
            </w14:solidFill>
          </w14:textFill>
        </w:rPr>
        <w:t>履约保证金（履约保函）。履约保证金有效期自合同签定之日起至服务期满后为止。服务期满，乙方服务质量经甲方确认合格后10日内退还（无息）。</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4、履行合同的违约责任</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（1）在合同履行期间，采购人要求终止或解除合同，供应商未开始工作的，不退还采购人已付的定金；已开始规划工作的，采购人应根据供应商已进行的实际工作量，协商支付费用。</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（2）采购人应按本合同规定的金额和时间向供应商支付规划费。每逾期支付一天，应承担支付金额万分之二的逾期违约金。逾期超过十五天以上时，供应商有权暂停履行下阶段工作，并书面通知采购人。</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由于供应商的原因，供应商延误了按本合同规定的规划资料的交付时间，每延误一天，处罚3000元。逾期超过十五天以上时，采购人有权单方面中止或解除合同，供应商应承担本合同约定规划费总额的10%作为违约赔偿金。</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（4）供应商对研究成果资料及文件出现的疏忽或过失无偿负责修改或补充。</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（5）供应商其他责任：供应商出图标准应符合约定的同时应达到采购文件的要求。</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（6）供应商须对规划内容范围内的专业责任负责。</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供应商如不配合对采购人的技术交底、咨询、服务或不配合采购人与相关政府部门的咨询、服务、沟通工作，其主要责任规划人员不能如约到位时（如主要责任规划人因故不能到位，可另行指定委托代理人，并书面经采购人确认），每缺席一次，供应商应承担违约金人民</w:t>
      </w:r>
      <w:r>
        <w:rPr>
          <w:rFonts w:hint="eastAsia" w:ascii="宋体" w:hAnsi="宋体"/>
          <w:color w:val="000000" w:themeColor="text1"/>
          <w:sz w:val="24"/>
          <w:highlight w:val="none"/>
          <w14:textFill>
            <w14:solidFill>
              <w14:schemeClr w14:val="tx1"/>
            </w14:solidFill>
          </w14:textFill>
        </w:rPr>
        <w:t>币2000元</w:t>
      </w:r>
      <w:r>
        <w:rPr>
          <w:rFonts w:hint="eastAsia" w:ascii="宋体" w:hAnsi="宋体"/>
          <w:color w:val="000000" w:themeColor="text1"/>
          <w:sz w:val="24"/>
          <w:highlight w:val="none"/>
          <w14:textFill>
            <w14:solidFill>
              <w14:schemeClr w14:val="tx1"/>
            </w14:solidFill>
          </w14:textFill>
        </w:rPr>
        <w:t>，但采购人应该提前二个工作日通知供应商每次进行咨询、服务、沟通的具体地点和时间，给予供应商必要的准备时间。</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采购人有权要求供应商更换不能胜任本项目规划工作的人员，供应商应当在收到采购人更换规划人员通知书后2个工作日内将符合采购人要求的规划人员更换到位。否则，每延误一天，采购人有权要求供应商承担违约金人民币3000元，直至人员更换到位。</w:t>
      </w:r>
    </w:p>
    <w:p>
      <w:pPr>
        <w:spacing w:line="360" w:lineRule="auto"/>
        <w:ind w:firstLine="480" w:firstLineChars="200"/>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（9）履行合同中解决争议的方式：向本项目所在地人民法院提起诉讼。</w:t>
      </w:r>
    </w:p>
    <w:p>
      <w:pPr>
        <w:snapToGrid w:val="0"/>
        <w:spacing w:line="360" w:lineRule="auto"/>
        <w:ind w:firstLine="480" w:firstLineChars="200"/>
        <w:rPr>
          <w:color w:val="000000" w:themeColor="text1"/>
          <w:sz w:val="24"/>
          <w:highlight w:val="none"/>
          <w14:textFill>
            <w14:solidFill>
              <w14:schemeClr w14:val="tx1"/>
            </w14:solidFill>
          </w14:textFill>
        </w:rPr>
      </w:pPr>
    </w:p>
    <w:p>
      <w:pPr>
        <w:snapToGrid w:val="0"/>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9" w:name="_Toc184313295"/>
      <w:bookmarkEnd w:id="29"/>
      <w:bookmarkStart w:id="30" w:name="_Toc184313238"/>
      <w:bookmarkEnd w:id="30"/>
      <w:bookmarkStart w:id="31" w:name="_Toc184310299"/>
      <w:bookmarkEnd w:id="31"/>
      <w:bookmarkStart w:id="32" w:name="_Toc184313282"/>
      <w:bookmarkEnd w:id="32"/>
      <w:bookmarkStart w:id="33" w:name="_Toc184314450"/>
      <w:bookmarkEnd w:id="33"/>
      <w:bookmarkStart w:id="34" w:name="_Toc184314414"/>
      <w:bookmarkEnd w:id="34"/>
      <w:bookmarkStart w:id="35" w:name="_Toc184314449"/>
      <w:bookmarkEnd w:id="35"/>
      <w:bookmarkStart w:id="36" w:name="_Toc184314421"/>
      <w:bookmarkEnd w:id="36"/>
      <w:bookmarkStart w:id="37" w:name="_Toc184312067"/>
      <w:bookmarkEnd w:id="37"/>
      <w:bookmarkStart w:id="38" w:name="_Toc184312085"/>
      <w:bookmarkEnd w:id="38"/>
      <w:bookmarkStart w:id="39" w:name="_Toc184313277"/>
      <w:bookmarkEnd w:id="39"/>
      <w:bookmarkStart w:id="40" w:name="_Toc184310289"/>
      <w:bookmarkEnd w:id="40"/>
      <w:bookmarkStart w:id="41" w:name="_Toc184312139"/>
      <w:bookmarkEnd w:id="41"/>
      <w:bookmarkStart w:id="42" w:name="_Toc184313244"/>
      <w:bookmarkEnd w:id="42"/>
      <w:bookmarkStart w:id="43" w:name="_Toc184314482"/>
      <w:bookmarkEnd w:id="43"/>
      <w:bookmarkStart w:id="44" w:name="_Toc184313274"/>
      <w:bookmarkEnd w:id="44"/>
      <w:bookmarkStart w:id="45" w:name="_Toc184313262"/>
      <w:bookmarkEnd w:id="45"/>
      <w:bookmarkStart w:id="46" w:name="_Toc184314444"/>
      <w:bookmarkEnd w:id="46"/>
      <w:bookmarkStart w:id="47" w:name="_Toc184314428"/>
      <w:bookmarkEnd w:id="47"/>
      <w:bookmarkStart w:id="48" w:name="_Toc184313306"/>
      <w:bookmarkEnd w:id="48"/>
      <w:bookmarkStart w:id="49" w:name="_Toc184314472"/>
      <w:bookmarkEnd w:id="49"/>
      <w:bookmarkStart w:id="50" w:name="_Toc184312138"/>
      <w:bookmarkEnd w:id="50"/>
      <w:bookmarkStart w:id="51" w:name="_Toc184310283"/>
      <w:bookmarkEnd w:id="51"/>
      <w:bookmarkStart w:id="52" w:name="_Toc184310296"/>
      <w:bookmarkEnd w:id="52"/>
      <w:bookmarkStart w:id="53" w:name="_Toc184314415"/>
      <w:bookmarkEnd w:id="53"/>
      <w:bookmarkStart w:id="54" w:name="_Toc184308100"/>
      <w:bookmarkEnd w:id="54"/>
      <w:bookmarkStart w:id="55" w:name="_Toc184308079"/>
      <w:bookmarkEnd w:id="55"/>
      <w:bookmarkStart w:id="56" w:name="_Toc184312104"/>
      <w:bookmarkEnd w:id="56"/>
      <w:bookmarkStart w:id="57" w:name="_Toc184310272"/>
      <w:bookmarkEnd w:id="57"/>
      <w:bookmarkStart w:id="58" w:name="_Toc184312074"/>
      <w:bookmarkEnd w:id="58"/>
      <w:bookmarkStart w:id="59" w:name="_Toc184312075"/>
      <w:bookmarkEnd w:id="59"/>
      <w:bookmarkStart w:id="60" w:name="_Toc184310312"/>
      <w:bookmarkEnd w:id="60"/>
      <w:bookmarkStart w:id="61" w:name="_Toc184308044"/>
      <w:bookmarkEnd w:id="61"/>
      <w:bookmarkStart w:id="62" w:name="_Toc184310328"/>
      <w:bookmarkEnd w:id="62"/>
      <w:bookmarkStart w:id="63" w:name="_Toc184308066"/>
      <w:bookmarkEnd w:id="63"/>
      <w:bookmarkStart w:id="64" w:name="_Toc184310316"/>
      <w:bookmarkEnd w:id="64"/>
      <w:bookmarkStart w:id="65" w:name="_Toc184308108"/>
      <w:bookmarkEnd w:id="65"/>
      <w:bookmarkStart w:id="66" w:name="_Toc184308041"/>
      <w:bookmarkEnd w:id="66"/>
      <w:bookmarkStart w:id="67" w:name="_Toc184308039"/>
      <w:bookmarkEnd w:id="67"/>
      <w:bookmarkStart w:id="68" w:name="_Toc184310318"/>
      <w:bookmarkEnd w:id="68"/>
      <w:bookmarkStart w:id="69" w:name="_Toc184314460"/>
      <w:bookmarkEnd w:id="69"/>
      <w:bookmarkStart w:id="70" w:name="_Toc184313256"/>
      <w:bookmarkEnd w:id="70"/>
      <w:bookmarkStart w:id="71" w:name="_Toc184313265"/>
      <w:bookmarkEnd w:id="71"/>
      <w:bookmarkStart w:id="72" w:name="_Toc184314462"/>
      <w:bookmarkEnd w:id="72"/>
      <w:bookmarkStart w:id="73" w:name="_Toc184310287"/>
      <w:bookmarkEnd w:id="73"/>
      <w:bookmarkStart w:id="74" w:name="_Toc184314420"/>
      <w:bookmarkEnd w:id="74"/>
      <w:bookmarkStart w:id="75" w:name="_Toc184310323"/>
      <w:bookmarkEnd w:id="75"/>
      <w:bookmarkStart w:id="76" w:name="_Toc184310319"/>
      <w:bookmarkEnd w:id="76"/>
      <w:bookmarkStart w:id="77" w:name="_Toc184312079"/>
      <w:bookmarkEnd w:id="77"/>
      <w:bookmarkStart w:id="78" w:name="_Toc184310284"/>
      <w:bookmarkEnd w:id="78"/>
      <w:bookmarkStart w:id="79" w:name="_Toc184314478"/>
      <w:bookmarkEnd w:id="79"/>
      <w:bookmarkStart w:id="80" w:name="_Toc184308086"/>
      <w:bookmarkEnd w:id="80"/>
      <w:bookmarkStart w:id="81" w:name="_Toc184310297"/>
      <w:bookmarkEnd w:id="81"/>
      <w:bookmarkStart w:id="82" w:name="_Toc184314445"/>
      <w:bookmarkEnd w:id="82"/>
      <w:bookmarkStart w:id="83" w:name="_Toc184312102"/>
      <w:bookmarkEnd w:id="83"/>
      <w:bookmarkStart w:id="84" w:name="_Toc184312099"/>
      <w:bookmarkEnd w:id="84"/>
      <w:bookmarkStart w:id="85" w:name="_Toc184310314"/>
      <w:bookmarkEnd w:id="85"/>
      <w:bookmarkStart w:id="86" w:name="_Toc184308059"/>
      <w:bookmarkEnd w:id="86"/>
      <w:bookmarkStart w:id="87" w:name="_Toc184314418"/>
      <w:bookmarkEnd w:id="87"/>
      <w:bookmarkStart w:id="88" w:name="_Toc184314473"/>
      <w:bookmarkEnd w:id="88"/>
      <w:bookmarkStart w:id="89" w:name="_Toc184313259"/>
      <w:bookmarkEnd w:id="89"/>
      <w:bookmarkStart w:id="90" w:name="_Toc184314461"/>
      <w:bookmarkEnd w:id="90"/>
      <w:bookmarkStart w:id="91" w:name="_Toc184310277"/>
      <w:bookmarkEnd w:id="91"/>
      <w:bookmarkStart w:id="92" w:name="_Toc184313246"/>
      <w:bookmarkEnd w:id="92"/>
      <w:bookmarkStart w:id="93" w:name="_Toc184310285"/>
      <w:bookmarkEnd w:id="93"/>
      <w:bookmarkStart w:id="94" w:name="_Toc184312093"/>
      <w:bookmarkEnd w:id="94"/>
      <w:bookmarkStart w:id="95" w:name="_Toc184312129"/>
      <w:bookmarkEnd w:id="95"/>
      <w:bookmarkStart w:id="96" w:name="_Toc184312089"/>
      <w:bookmarkEnd w:id="96"/>
      <w:bookmarkStart w:id="97" w:name="_Toc184314480"/>
      <w:bookmarkEnd w:id="97"/>
      <w:bookmarkStart w:id="98" w:name="_Toc184312111"/>
      <w:bookmarkEnd w:id="98"/>
      <w:bookmarkStart w:id="99" w:name="_Toc184314431"/>
      <w:bookmarkEnd w:id="99"/>
      <w:bookmarkStart w:id="100" w:name="_Toc184312078"/>
      <w:bookmarkEnd w:id="100"/>
      <w:bookmarkStart w:id="101" w:name="_Toc184314442"/>
      <w:bookmarkEnd w:id="101"/>
      <w:bookmarkStart w:id="102" w:name="_Toc184314457"/>
      <w:bookmarkEnd w:id="102"/>
      <w:bookmarkStart w:id="103" w:name="_Toc184313260"/>
      <w:bookmarkEnd w:id="103"/>
      <w:bookmarkStart w:id="104" w:name="_Toc184314479"/>
      <w:bookmarkEnd w:id="104"/>
      <w:bookmarkStart w:id="105" w:name="_Toc184314411"/>
      <w:bookmarkEnd w:id="105"/>
      <w:bookmarkStart w:id="106" w:name="_Toc184310311"/>
      <w:bookmarkEnd w:id="106"/>
      <w:bookmarkStart w:id="107" w:name="_Toc184314432"/>
      <w:bookmarkEnd w:id="107"/>
      <w:bookmarkStart w:id="108" w:name="_Toc184313264"/>
      <w:bookmarkEnd w:id="108"/>
      <w:bookmarkStart w:id="109" w:name="_Toc184310324"/>
      <w:bookmarkEnd w:id="109"/>
      <w:bookmarkStart w:id="110" w:name="_Toc184308096"/>
      <w:bookmarkEnd w:id="110"/>
      <w:bookmarkStart w:id="111" w:name="_Toc184312073"/>
      <w:bookmarkEnd w:id="111"/>
      <w:bookmarkStart w:id="112" w:name="_Toc184312081"/>
      <w:bookmarkEnd w:id="112"/>
      <w:bookmarkStart w:id="113" w:name="_Toc184313301"/>
      <w:bookmarkEnd w:id="113"/>
      <w:bookmarkStart w:id="114" w:name="_Toc184312086"/>
      <w:bookmarkEnd w:id="114"/>
      <w:bookmarkStart w:id="115" w:name="_Toc184310339"/>
      <w:bookmarkEnd w:id="115"/>
      <w:bookmarkStart w:id="116" w:name="_Toc184313243"/>
      <w:bookmarkEnd w:id="116"/>
      <w:bookmarkStart w:id="117" w:name="_Toc184310342"/>
      <w:bookmarkEnd w:id="117"/>
      <w:bookmarkStart w:id="118" w:name="_Toc184310274"/>
      <w:bookmarkEnd w:id="118"/>
      <w:bookmarkStart w:id="119" w:name="_Toc184308067"/>
      <w:bookmarkEnd w:id="119"/>
      <w:bookmarkStart w:id="120" w:name="_Toc184314416"/>
      <w:bookmarkEnd w:id="120"/>
      <w:bookmarkStart w:id="121" w:name="_Toc184308071"/>
      <w:bookmarkEnd w:id="121"/>
      <w:bookmarkStart w:id="122" w:name="_Toc184314433"/>
      <w:bookmarkEnd w:id="122"/>
      <w:bookmarkStart w:id="123" w:name="_Toc184308091"/>
      <w:bookmarkEnd w:id="123"/>
      <w:bookmarkStart w:id="124" w:name="_Toc184310333"/>
      <w:bookmarkEnd w:id="124"/>
      <w:bookmarkStart w:id="125" w:name="_Toc184312071"/>
      <w:bookmarkEnd w:id="125"/>
      <w:bookmarkStart w:id="126" w:name="_Toc184314417"/>
      <w:bookmarkEnd w:id="126"/>
      <w:bookmarkStart w:id="127" w:name="_Toc184312095"/>
      <w:bookmarkEnd w:id="127"/>
      <w:bookmarkStart w:id="128" w:name="_Toc184313266"/>
      <w:bookmarkEnd w:id="128"/>
      <w:bookmarkStart w:id="129" w:name="_Toc184313245"/>
      <w:bookmarkEnd w:id="129"/>
      <w:bookmarkStart w:id="130" w:name="_Toc184314447"/>
      <w:bookmarkEnd w:id="130"/>
      <w:bookmarkStart w:id="131" w:name="_Toc184313239"/>
      <w:bookmarkEnd w:id="131"/>
      <w:bookmarkStart w:id="132" w:name="_Toc184308094"/>
      <w:bookmarkEnd w:id="132"/>
      <w:bookmarkStart w:id="133" w:name="_Toc184308062"/>
      <w:bookmarkEnd w:id="133"/>
      <w:bookmarkStart w:id="134" w:name="_Toc184310303"/>
      <w:bookmarkEnd w:id="134"/>
      <w:bookmarkStart w:id="135" w:name="_Toc184313272"/>
      <w:bookmarkEnd w:id="135"/>
      <w:bookmarkStart w:id="136" w:name="_Toc184313261"/>
      <w:bookmarkEnd w:id="136"/>
      <w:bookmarkStart w:id="137" w:name="_Toc184312097"/>
      <w:bookmarkEnd w:id="137"/>
      <w:bookmarkStart w:id="138" w:name="_Toc184310344"/>
      <w:bookmarkEnd w:id="138"/>
      <w:bookmarkStart w:id="139" w:name="_Toc184312106"/>
      <w:bookmarkEnd w:id="139"/>
      <w:bookmarkStart w:id="140" w:name="_Toc184308083"/>
      <w:bookmarkEnd w:id="140"/>
      <w:bookmarkStart w:id="141" w:name="_Toc184312127"/>
      <w:bookmarkEnd w:id="141"/>
      <w:bookmarkStart w:id="142" w:name="_Toc184313254"/>
      <w:bookmarkEnd w:id="142"/>
      <w:bookmarkStart w:id="143" w:name="_Toc184308106"/>
      <w:bookmarkEnd w:id="143"/>
      <w:bookmarkStart w:id="144" w:name="_Toc184313267"/>
      <w:bookmarkEnd w:id="144"/>
      <w:bookmarkStart w:id="145" w:name="_Toc184310276"/>
      <w:bookmarkEnd w:id="145"/>
      <w:bookmarkStart w:id="146" w:name="_Toc184312092"/>
      <w:bookmarkEnd w:id="146"/>
      <w:bookmarkStart w:id="147" w:name="_Toc184310279"/>
      <w:bookmarkEnd w:id="147"/>
      <w:bookmarkStart w:id="148" w:name="_Toc184314467"/>
      <w:bookmarkEnd w:id="148"/>
      <w:bookmarkStart w:id="149" w:name="_Toc184310301"/>
      <w:bookmarkEnd w:id="149"/>
      <w:bookmarkStart w:id="150" w:name="_Toc184314438"/>
      <w:bookmarkEnd w:id="150"/>
      <w:bookmarkStart w:id="151" w:name="_Toc184308038"/>
      <w:bookmarkEnd w:id="151"/>
      <w:bookmarkStart w:id="152" w:name="_Toc184314425"/>
      <w:bookmarkEnd w:id="152"/>
      <w:bookmarkStart w:id="153" w:name="_Toc184313294"/>
      <w:bookmarkEnd w:id="153"/>
      <w:bookmarkStart w:id="154" w:name="_Toc184313308"/>
      <w:bookmarkEnd w:id="154"/>
      <w:bookmarkStart w:id="155" w:name="_Toc184308061"/>
      <w:bookmarkEnd w:id="155"/>
      <w:bookmarkStart w:id="156" w:name="_Toc184314474"/>
      <w:bookmarkEnd w:id="156"/>
      <w:bookmarkStart w:id="157" w:name="_Toc184310326"/>
      <w:bookmarkEnd w:id="157"/>
      <w:bookmarkStart w:id="158" w:name="_Toc184308105"/>
      <w:bookmarkEnd w:id="158"/>
      <w:bookmarkStart w:id="159" w:name="_Toc184310290"/>
      <w:bookmarkEnd w:id="159"/>
      <w:bookmarkStart w:id="160" w:name="_Toc184308057"/>
      <w:bookmarkEnd w:id="160"/>
      <w:bookmarkStart w:id="161" w:name="_Toc184312100"/>
      <w:bookmarkEnd w:id="161"/>
      <w:bookmarkStart w:id="162" w:name="_Toc184313257"/>
      <w:bookmarkEnd w:id="162"/>
      <w:bookmarkStart w:id="163" w:name="_Toc184313270"/>
      <w:bookmarkEnd w:id="163"/>
      <w:bookmarkStart w:id="164" w:name="_Toc184313299"/>
      <w:bookmarkEnd w:id="164"/>
      <w:bookmarkStart w:id="165" w:name="_Toc184308043"/>
      <w:bookmarkEnd w:id="165"/>
      <w:bookmarkStart w:id="166" w:name="_Toc184314440"/>
      <w:bookmarkEnd w:id="166"/>
      <w:bookmarkStart w:id="167" w:name="_Toc184310335"/>
      <w:bookmarkEnd w:id="167"/>
      <w:bookmarkStart w:id="168" w:name="_Toc184308075"/>
      <w:bookmarkEnd w:id="168"/>
      <w:bookmarkStart w:id="169" w:name="_Toc184310337"/>
      <w:bookmarkEnd w:id="169"/>
      <w:bookmarkStart w:id="170" w:name="_Toc184312084"/>
      <w:bookmarkEnd w:id="170"/>
      <w:bookmarkStart w:id="171" w:name="_Toc184310291"/>
      <w:bookmarkEnd w:id="171"/>
      <w:bookmarkStart w:id="172" w:name="_Toc184314453"/>
      <w:bookmarkEnd w:id="172"/>
      <w:bookmarkStart w:id="173" w:name="_Toc184310341"/>
      <w:bookmarkEnd w:id="173"/>
      <w:bookmarkStart w:id="174" w:name="_Toc184314463"/>
      <w:bookmarkEnd w:id="174"/>
      <w:bookmarkStart w:id="175" w:name="_Toc184312120"/>
      <w:bookmarkEnd w:id="175"/>
      <w:bookmarkStart w:id="176" w:name="_Toc184314434"/>
      <w:bookmarkEnd w:id="176"/>
      <w:bookmarkStart w:id="177" w:name="_Toc184308042"/>
      <w:bookmarkEnd w:id="177"/>
      <w:bookmarkStart w:id="178" w:name="_Toc184308089"/>
      <w:bookmarkEnd w:id="178"/>
      <w:bookmarkStart w:id="179" w:name="_Toc184314477"/>
      <w:bookmarkEnd w:id="179"/>
      <w:bookmarkStart w:id="180" w:name="_Toc184312082"/>
      <w:bookmarkEnd w:id="180"/>
      <w:bookmarkStart w:id="181" w:name="_Toc184308048"/>
      <w:bookmarkEnd w:id="181"/>
      <w:bookmarkStart w:id="182" w:name="_Toc184313300"/>
      <w:bookmarkEnd w:id="182"/>
      <w:bookmarkStart w:id="183" w:name="_Toc184308081"/>
      <w:bookmarkEnd w:id="183"/>
      <w:bookmarkStart w:id="184" w:name="_Toc184310275"/>
      <w:bookmarkEnd w:id="184"/>
      <w:bookmarkStart w:id="185" w:name="_Toc184314443"/>
      <w:bookmarkEnd w:id="185"/>
      <w:bookmarkStart w:id="186" w:name="_Toc184308055"/>
      <w:bookmarkEnd w:id="186"/>
      <w:bookmarkStart w:id="187" w:name="_Toc184308064"/>
      <w:bookmarkEnd w:id="187"/>
      <w:bookmarkStart w:id="188" w:name="_Toc184312108"/>
      <w:bookmarkEnd w:id="188"/>
      <w:bookmarkStart w:id="189" w:name="_Toc184312068"/>
      <w:bookmarkEnd w:id="189"/>
      <w:bookmarkStart w:id="190" w:name="_Toc184314458"/>
      <w:bookmarkEnd w:id="190"/>
      <w:bookmarkStart w:id="191" w:name="_Toc184308103"/>
      <w:bookmarkEnd w:id="191"/>
      <w:bookmarkStart w:id="192" w:name="_Toc184312123"/>
      <w:bookmarkEnd w:id="192"/>
      <w:bookmarkStart w:id="193" w:name="_Toc184314470"/>
      <w:bookmarkEnd w:id="193"/>
      <w:bookmarkStart w:id="194" w:name="_Toc184308065"/>
      <w:bookmarkEnd w:id="194"/>
      <w:bookmarkStart w:id="195" w:name="_Toc184314419"/>
      <w:bookmarkEnd w:id="195"/>
      <w:bookmarkStart w:id="196" w:name="_Toc184314468"/>
      <w:bookmarkEnd w:id="196"/>
      <w:bookmarkStart w:id="197" w:name="_Toc184310278"/>
      <w:bookmarkEnd w:id="197"/>
      <w:bookmarkStart w:id="198" w:name="_Toc184308090"/>
      <w:bookmarkEnd w:id="198"/>
      <w:bookmarkStart w:id="199" w:name="_Toc184310331"/>
      <w:bookmarkEnd w:id="199"/>
      <w:bookmarkStart w:id="200" w:name="_Toc184312076"/>
      <w:bookmarkEnd w:id="200"/>
      <w:bookmarkStart w:id="201" w:name="_Toc184312112"/>
      <w:bookmarkEnd w:id="201"/>
      <w:bookmarkStart w:id="202" w:name="_Toc184314439"/>
      <w:bookmarkEnd w:id="202"/>
      <w:bookmarkStart w:id="203" w:name="_Toc184312077"/>
      <w:bookmarkEnd w:id="203"/>
      <w:bookmarkStart w:id="204" w:name="_Toc184314459"/>
      <w:bookmarkEnd w:id="204"/>
      <w:bookmarkStart w:id="205" w:name="_Toc184312137"/>
      <w:bookmarkEnd w:id="205"/>
      <w:bookmarkStart w:id="206" w:name="_Toc184312121"/>
      <w:bookmarkEnd w:id="206"/>
      <w:bookmarkStart w:id="207" w:name="_Toc184308040"/>
      <w:bookmarkEnd w:id="207"/>
      <w:bookmarkStart w:id="208" w:name="_Toc184310317"/>
      <w:bookmarkEnd w:id="208"/>
      <w:bookmarkStart w:id="209" w:name="_Toc184313304"/>
      <w:bookmarkEnd w:id="209"/>
      <w:bookmarkStart w:id="210" w:name="_Toc184310273"/>
      <w:bookmarkEnd w:id="210"/>
      <w:bookmarkStart w:id="211" w:name="_Toc184314412"/>
      <w:bookmarkEnd w:id="211"/>
      <w:bookmarkStart w:id="212" w:name="_Toc184308087"/>
      <w:bookmarkEnd w:id="212"/>
      <w:bookmarkStart w:id="213" w:name="_Toc184308085"/>
      <w:bookmarkEnd w:id="213"/>
      <w:bookmarkStart w:id="214" w:name="_Toc184312087"/>
      <w:bookmarkEnd w:id="214"/>
      <w:bookmarkStart w:id="215" w:name="_Toc184312113"/>
      <w:bookmarkEnd w:id="215"/>
      <w:bookmarkStart w:id="216" w:name="_Toc184314423"/>
      <w:bookmarkEnd w:id="216"/>
      <w:bookmarkStart w:id="217" w:name="_Toc184312088"/>
      <w:bookmarkEnd w:id="217"/>
      <w:bookmarkStart w:id="218" w:name="_Toc184310308"/>
      <w:bookmarkEnd w:id="218"/>
      <w:bookmarkStart w:id="219" w:name="_Toc184308049"/>
      <w:bookmarkEnd w:id="219"/>
      <w:bookmarkStart w:id="220" w:name="_Toc184310286"/>
      <w:bookmarkEnd w:id="220"/>
      <w:bookmarkStart w:id="221" w:name="_Toc184312132"/>
      <w:bookmarkEnd w:id="221"/>
      <w:bookmarkStart w:id="222" w:name="_Toc184313273"/>
      <w:bookmarkEnd w:id="222"/>
      <w:bookmarkStart w:id="223" w:name="_Toc184310304"/>
      <w:bookmarkEnd w:id="223"/>
      <w:bookmarkStart w:id="224" w:name="_Toc184312116"/>
      <w:bookmarkEnd w:id="224"/>
      <w:bookmarkStart w:id="225" w:name="_Toc184313241"/>
      <w:bookmarkEnd w:id="225"/>
      <w:bookmarkStart w:id="226" w:name="_Toc184313298"/>
      <w:bookmarkEnd w:id="226"/>
      <w:bookmarkStart w:id="227" w:name="_Toc184308084"/>
      <w:bookmarkEnd w:id="227"/>
      <w:bookmarkStart w:id="228" w:name="_Toc184312096"/>
      <w:bookmarkEnd w:id="228"/>
      <w:bookmarkStart w:id="229" w:name="_Toc184308102"/>
      <w:bookmarkEnd w:id="229"/>
      <w:bookmarkStart w:id="230" w:name="_Toc184308068"/>
      <w:bookmarkEnd w:id="230"/>
      <w:bookmarkStart w:id="231" w:name="_Toc184313287"/>
      <w:bookmarkEnd w:id="231"/>
      <w:bookmarkStart w:id="232" w:name="_Toc184313310"/>
      <w:bookmarkEnd w:id="232"/>
      <w:bookmarkStart w:id="233" w:name="_Toc184308037"/>
      <w:bookmarkEnd w:id="233"/>
      <w:bookmarkStart w:id="234" w:name="_Toc184310325"/>
      <w:bookmarkEnd w:id="234"/>
      <w:bookmarkStart w:id="235" w:name="_Toc184312114"/>
      <w:bookmarkEnd w:id="235"/>
      <w:bookmarkStart w:id="236" w:name="_Toc184314475"/>
      <w:bookmarkEnd w:id="236"/>
      <w:bookmarkStart w:id="237" w:name="_Toc184308088"/>
      <w:bookmarkEnd w:id="237"/>
      <w:bookmarkStart w:id="238" w:name="_Toc184312109"/>
      <w:bookmarkEnd w:id="238"/>
      <w:bookmarkStart w:id="239" w:name="_Toc184308046"/>
      <w:bookmarkEnd w:id="239"/>
      <w:bookmarkStart w:id="240" w:name="_Toc184314465"/>
      <w:bookmarkEnd w:id="240"/>
      <w:bookmarkStart w:id="241" w:name="_Toc184312130"/>
      <w:bookmarkEnd w:id="241"/>
      <w:bookmarkStart w:id="242" w:name="_Toc184312134"/>
      <w:bookmarkEnd w:id="242"/>
      <w:bookmarkStart w:id="243" w:name="_Toc184312094"/>
      <w:bookmarkEnd w:id="243"/>
      <w:bookmarkStart w:id="244" w:name="_Toc184312117"/>
      <w:bookmarkEnd w:id="244"/>
      <w:bookmarkStart w:id="245" w:name="_Toc184310305"/>
      <w:bookmarkEnd w:id="245"/>
      <w:bookmarkStart w:id="246" w:name="_Toc184312136"/>
      <w:bookmarkEnd w:id="246"/>
      <w:bookmarkStart w:id="247" w:name="_Toc184312069"/>
      <w:bookmarkEnd w:id="247"/>
      <w:bookmarkStart w:id="248" w:name="_Toc184314452"/>
      <w:bookmarkEnd w:id="248"/>
      <w:bookmarkStart w:id="249" w:name="_Toc184313248"/>
      <w:bookmarkEnd w:id="249"/>
      <w:bookmarkStart w:id="250" w:name="_Toc184312083"/>
      <w:bookmarkEnd w:id="250"/>
      <w:bookmarkStart w:id="251" w:name="_Toc184314466"/>
      <w:bookmarkEnd w:id="251"/>
      <w:bookmarkStart w:id="252" w:name="_Toc184314476"/>
      <w:bookmarkEnd w:id="252"/>
      <w:bookmarkStart w:id="253" w:name="_Toc184312119"/>
      <w:bookmarkEnd w:id="253"/>
      <w:bookmarkStart w:id="254" w:name="_Toc184314436"/>
      <w:bookmarkEnd w:id="254"/>
      <w:bookmarkStart w:id="255" w:name="_Toc184308099"/>
      <w:bookmarkEnd w:id="255"/>
      <w:bookmarkStart w:id="256" w:name="_Toc184313285"/>
      <w:bookmarkEnd w:id="256"/>
      <w:bookmarkStart w:id="257" w:name="_Toc184310334"/>
      <w:bookmarkEnd w:id="257"/>
      <w:bookmarkStart w:id="258" w:name="_Toc184313251"/>
      <w:bookmarkEnd w:id="258"/>
      <w:bookmarkStart w:id="259" w:name="_Toc184313263"/>
      <w:bookmarkEnd w:id="259"/>
      <w:bookmarkStart w:id="260" w:name="_Toc184310322"/>
      <w:bookmarkEnd w:id="260"/>
      <w:bookmarkStart w:id="261" w:name="_Toc184308051"/>
      <w:bookmarkEnd w:id="261"/>
      <w:bookmarkStart w:id="262" w:name="_Toc184312098"/>
      <w:bookmarkEnd w:id="262"/>
      <w:bookmarkStart w:id="263" w:name="_Toc184308054"/>
      <w:bookmarkEnd w:id="263"/>
      <w:bookmarkStart w:id="264" w:name="_Toc184313303"/>
      <w:bookmarkEnd w:id="264"/>
      <w:bookmarkStart w:id="265" w:name="_Toc184312091"/>
      <w:bookmarkEnd w:id="265"/>
      <w:bookmarkStart w:id="266" w:name="_Toc184313242"/>
      <w:bookmarkEnd w:id="266"/>
      <w:bookmarkStart w:id="267" w:name="_Toc184313281"/>
      <w:bookmarkEnd w:id="267"/>
      <w:bookmarkStart w:id="268" w:name="_Toc184314413"/>
      <w:bookmarkEnd w:id="268"/>
      <w:bookmarkStart w:id="269" w:name="_Toc184314424"/>
      <w:bookmarkEnd w:id="269"/>
      <w:bookmarkStart w:id="270" w:name="_Toc184308104"/>
      <w:bookmarkEnd w:id="270"/>
      <w:bookmarkStart w:id="271" w:name="_Toc184312135"/>
      <w:bookmarkEnd w:id="271"/>
      <w:bookmarkStart w:id="272" w:name="_Toc184313288"/>
      <w:bookmarkEnd w:id="272"/>
      <w:bookmarkStart w:id="273" w:name="_Toc184312072"/>
      <w:bookmarkEnd w:id="273"/>
      <w:bookmarkStart w:id="274" w:name="_Toc184310288"/>
      <w:bookmarkEnd w:id="274"/>
      <w:bookmarkStart w:id="275" w:name="_Toc184310340"/>
      <w:bookmarkEnd w:id="275"/>
      <w:bookmarkStart w:id="276" w:name="_Toc184312125"/>
      <w:bookmarkEnd w:id="276"/>
      <w:bookmarkStart w:id="277" w:name="_Toc184313258"/>
      <w:bookmarkEnd w:id="277"/>
      <w:bookmarkStart w:id="278" w:name="_Toc184314481"/>
      <w:bookmarkEnd w:id="278"/>
      <w:bookmarkStart w:id="279" w:name="_Toc184313247"/>
      <w:bookmarkEnd w:id="279"/>
      <w:bookmarkStart w:id="280" w:name="_Toc184310329"/>
      <w:bookmarkEnd w:id="280"/>
      <w:bookmarkStart w:id="281" w:name="_Toc184308073"/>
      <w:bookmarkEnd w:id="281"/>
      <w:bookmarkStart w:id="282" w:name="_Toc184312126"/>
      <w:bookmarkEnd w:id="282"/>
      <w:bookmarkStart w:id="283" w:name="_Toc184310321"/>
      <w:bookmarkEnd w:id="283"/>
      <w:bookmarkStart w:id="284" w:name="_Toc184310280"/>
      <w:bookmarkEnd w:id="284"/>
      <w:bookmarkStart w:id="285" w:name="_Toc184310294"/>
      <w:bookmarkEnd w:id="285"/>
      <w:bookmarkStart w:id="286" w:name="_Toc184308056"/>
      <w:bookmarkEnd w:id="286"/>
      <w:bookmarkStart w:id="287" w:name="_Toc184314446"/>
      <w:bookmarkEnd w:id="287"/>
      <w:bookmarkStart w:id="288" w:name="_Toc184310338"/>
      <w:bookmarkEnd w:id="288"/>
      <w:bookmarkStart w:id="289" w:name="_Toc184310307"/>
      <w:bookmarkEnd w:id="289"/>
      <w:bookmarkStart w:id="290" w:name="_Toc184308107"/>
      <w:bookmarkEnd w:id="290"/>
      <w:bookmarkStart w:id="291" w:name="_Toc184310315"/>
      <w:bookmarkEnd w:id="291"/>
      <w:bookmarkStart w:id="292" w:name="_Toc184310330"/>
      <w:bookmarkEnd w:id="292"/>
      <w:bookmarkStart w:id="293" w:name="_Toc184312133"/>
      <w:bookmarkEnd w:id="293"/>
      <w:bookmarkStart w:id="294" w:name="_Toc184312131"/>
      <w:bookmarkEnd w:id="294"/>
      <w:bookmarkStart w:id="295" w:name="_Toc184312128"/>
      <w:bookmarkEnd w:id="295"/>
      <w:bookmarkStart w:id="296" w:name="_Toc184314454"/>
      <w:bookmarkEnd w:id="296"/>
      <w:bookmarkStart w:id="297" w:name="_Toc184313290"/>
      <w:bookmarkEnd w:id="297"/>
      <w:bookmarkStart w:id="298" w:name="_Toc184308098"/>
      <w:bookmarkEnd w:id="298"/>
      <w:bookmarkStart w:id="299" w:name="_Toc184314441"/>
      <w:bookmarkEnd w:id="299"/>
      <w:bookmarkStart w:id="300" w:name="_Toc184308077"/>
      <w:bookmarkEnd w:id="300"/>
      <w:bookmarkStart w:id="301" w:name="_Toc184314435"/>
      <w:bookmarkEnd w:id="301"/>
      <w:bookmarkStart w:id="302" w:name="_Toc184313253"/>
      <w:bookmarkEnd w:id="302"/>
      <w:bookmarkStart w:id="303" w:name="_Toc184313280"/>
      <w:bookmarkEnd w:id="303"/>
      <w:bookmarkStart w:id="304" w:name="_Toc184312090"/>
      <w:bookmarkEnd w:id="304"/>
      <w:bookmarkStart w:id="305" w:name="_Toc184312122"/>
      <w:bookmarkEnd w:id="305"/>
      <w:bookmarkStart w:id="306" w:name="_Toc184310309"/>
      <w:bookmarkEnd w:id="306"/>
      <w:bookmarkStart w:id="307" w:name="_Toc184308078"/>
      <w:bookmarkEnd w:id="307"/>
      <w:bookmarkStart w:id="308" w:name="_Toc184308072"/>
      <w:bookmarkEnd w:id="308"/>
      <w:bookmarkStart w:id="309" w:name="_Toc184310336"/>
      <w:bookmarkEnd w:id="309"/>
      <w:bookmarkStart w:id="310" w:name="_Toc184308058"/>
      <w:bookmarkEnd w:id="310"/>
      <w:bookmarkStart w:id="311" w:name="_Toc184308047"/>
      <w:bookmarkEnd w:id="311"/>
      <w:bookmarkStart w:id="312" w:name="_Toc184314427"/>
      <w:bookmarkEnd w:id="312"/>
      <w:bookmarkStart w:id="313" w:name="_Toc184308080"/>
      <w:bookmarkEnd w:id="313"/>
      <w:bookmarkStart w:id="314" w:name="_Toc184313307"/>
      <w:bookmarkEnd w:id="314"/>
      <w:bookmarkStart w:id="315" w:name="_Toc184312118"/>
      <w:bookmarkEnd w:id="315"/>
      <w:bookmarkStart w:id="316" w:name="_Toc184313286"/>
      <w:bookmarkEnd w:id="316"/>
      <w:bookmarkStart w:id="317" w:name="_Toc184313296"/>
      <w:bookmarkEnd w:id="317"/>
      <w:bookmarkStart w:id="318" w:name="_Toc184308092"/>
      <w:bookmarkEnd w:id="318"/>
      <w:bookmarkStart w:id="319" w:name="_Toc184310327"/>
      <w:bookmarkEnd w:id="319"/>
      <w:bookmarkStart w:id="320" w:name="_Toc184310306"/>
      <w:bookmarkEnd w:id="320"/>
      <w:bookmarkStart w:id="321" w:name="_Toc184308097"/>
      <w:bookmarkEnd w:id="321"/>
      <w:bookmarkStart w:id="322" w:name="_Toc184313250"/>
      <w:bookmarkEnd w:id="322"/>
      <w:bookmarkStart w:id="323" w:name="_Toc184314469"/>
      <w:bookmarkEnd w:id="323"/>
      <w:bookmarkStart w:id="324" w:name="_Toc184313291"/>
      <w:bookmarkEnd w:id="324"/>
      <w:bookmarkStart w:id="325" w:name="_Toc184313297"/>
      <w:bookmarkEnd w:id="325"/>
      <w:bookmarkStart w:id="326" w:name="_Toc184308101"/>
      <w:bookmarkEnd w:id="326"/>
      <w:bookmarkStart w:id="327" w:name="_Toc184312124"/>
      <w:bookmarkEnd w:id="327"/>
      <w:bookmarkStart w:id="328" w:name="_Toc184308069"/>
      <w:bookmarkEnd w:id="328"/>
      <w:bookmarkStart w:id="329" w:name="_Toc184310310"/>
      <w:bookmarkEnd w:id="329"/>
      <w:bookmarkStart w:id="330" w:name="_Toc184314456"/>
      <w:bookmarkEnd w:id="330"/>
      <w:bookmarkStart w:id="331" w:name="_Toc184308074"/>
      <w:bookmarkEnd w:id="331"/>
      <w:bookmarkStart w:id="332" w:name="_Toc184308036"/>
      <w:bookmarkEnd w:id="332"/>
      <w:bookmarkStart w:id="333" w:name="_Toc184308076"/>
      <w:bookmarkEnd w:id="333"/>
      <w:bookmarkStart w:id="334" w:name="_Toc184310298"/>
      <w:bookmarkEnd w:id="334"/>
      <w:bookmarkStart w:id="335" w:name="_Toc184313289"/>
      <w:bookmarkEnd w:id="335"/>
      <w:bookmarkStart w:id="336" w:name="_Toc184308095"/>
      <w:bookmarkEnd w:id="336"/>
      <w:bookmarkStart w:id="337" w:name="_Toc184313279"/>
      <w:bookmarkEnd w:id="337"/>
      <w:bookmarkStart w:id="338" w:name="_Toc184313278"/>
      <w:bookmarkEnd w:id="338"/>
      <w:bookmarkStart w:id="339" w:name="_Toc184314437"/>
      <w:bookmarkEnd w:id="339"/>
      <w:bookmarkStart w:id="340" w:name="_Toc184313293"/>
      <w:bookmarkEnd w:id="340"/>
      <w:bookmarkStart w:id="341" w:name="_Toc184310302"/>
      <w:bookmarkEnd w:id="341"/>
      <w:bookmarkStart w:id="342" w:name="_Toc184313309"/>
      <w:bookmarkEnd w:id="342"/>
      <w:bookmarkStart w:id="343" w:name="_Toc184308060"/>
      <w:bookmarkEnd w:id="343"/>
      <w:bookmarkStart w:id="344" w:name="_Toc184312105"/>
      <w:bookmarkEnd w:id="344"/>
      <w:bookmarkStart w:id="345" w:name="_Toc184310300"/>
      <w:bookmarkEnd w:id="345"/>
      <w:bookmarkStart w:id="346" w:name="_Toc184312103"/>
      <w:bookmarkEnd w:id="346"/>
      <w:bookmarkStart w:id="347" w:name="_Toc184310313"/>
      <w:bookmarkEnd w:id="347"/>
      <w:bookmarkStart w:id="348" w:name="_Toc184308093"/>
      <w:bookmarkEnd w:id="348"/>
      <w:bookmarkStart w:id="349" w:name="_Toc184313302"/>
      <w:bookmarkEnd w:id="349"/>
      <w:bookmarkStart w:id="350" w:name="_Toc184310293"/>
      <w:bookmarkEnd w:id="350"/>
      <w:bookmarkStart w:id="351" w:name="_Toc184310332"/>
      <w:bookmarkEnd w:id="351"/>
      <w:bookmarkStart w:id="352" w:name="_Toc184314448"/>
      <w:bookmarkEnd w:id="352"/>
      <w:bookmarkStart w:id="353" w:name="_Toc184314430"/>
      <w:bookmarkEnd w:id="353"/>
      <w:bookmarkStart w:id="354" w:name="_Toc184314426"/>
      <w:bookmarkEnd w:id="354"/>
      <w:bookmarkStart w:id="355" w:name="_Toc184310320"/>
      <w:bookmarkEnd w:id="355"/>
      <w:bookmarkStart w:id="356" w:name="_Toc184314471"/>
      <w:bookmarkEnd w:id="356"/>
      <w:bookmarkStart w:id="357" w:name="_Toc184314422"/>
      <w:bookmarkEnd w:id="357"/>
      <w:bookmarkStart w:id="358" w:name="_Toc184313276"/>
      <w:bookmarkEnd w:id="358"/>
      <w:bookmarkStart w:id="359" w:name="_Toc184310281"/>
      <w:bookmarkEnd w:id="359"/>
      <w:bookmarkStart w:id="360" w:name="_Toc184313268"/>
      <w:bookmarkEnd w:id="360"/>
      <w:bookmarkStart w:id="361" w:name="_Toc184313255"/>
      <w:bookmarkEnd w:id="361"/>
      <w:bookmarkStart w:id="362" w:name="_Toc184313240"/>
      <w:bookmarkEnd w:id="362"/>
      <w:bookmarkStart w:id="363" w:name="_Toc184308070"/>
      <w:bookmarkEnd w:id="363"/>
      <w:bookmarkStart w:id="364" w:name="_Toc184314455"/>
      <w:bookmarkEnd w:id="364"/>
      <w:bookmarkStart w:id="365" w:name="_Toc184308053"/>
      <w:bookmarkEnd w:id="365"/>
      <w:bookmarkStart w:id="366" w:name="_Toc184314429"/>
      <w:bookmarkEnd w:id="366"/>
      <w:bookmarkStart w:id="367" w:name="_Toc184313305"/>
      <w:bookmarkEnd w:id="367"/>
      <w:bookmarkStart w:id="368" w:name="_Toc184310295"/>
      <w:bookmarkEnd w:id="368"/>
      <w:bookmarkStart w:id="369" w:name="_Toc184312070"/>
      <w:bookmarkEnd w:id="369"/>
      <w:bookmarkStart w:id="370" w:name="_Toc184313249"/>
      <w:bookmarkEnd w:id="370"/>
      <w:bookmarkStart w:id="371" w:name="_Toc184314410"/>
      <w:bookmarkEnd w:id="371"/>
      <w:bookmarkStart w:id="372" w:name="_Toc184314464"/>
      <w:bookmarkEnd w:id="372"/>
      <w:bookmarkStart w:id="373" w:name="_Toc184313283"/>
      <w:bookmarkEnd w:id="373"/>
      <w:bookmarkStart w:id="374" w:name="_Toc184312101"/>
      <w:bookmarkEnd w:id="374"/>
      <w:bookmarkStart w:id="375" w:name="_Toc184312110"/>
      <w:bookmarkEnd w:id="375"/>
      <w:bookmarkStart w:id="376" w:name="_Toc184308050"/>
      <w:bookmarkEnd w:id="376"/>
      <w:bookmarkStart w:id="377" w:name="_Toc184313284"/>
      <w:bookmarkEnd w:id="377"/>
      <w:bookmarkStart w:id="378" w:name="_Toc184313269"/>
      <w:bookmarkEnd w:id="378"/>
      <w:bookmarkStart w:id="379" w:name="_Toc184313292"/>
      <w:bookmarkEnd w:id="379"/>
      <w:bookmarkStart w:id="380" w:name="_Toc184313252"/>
      <w:bookmarkEnd w:id="380"/>
      <w:bookmarkStart w:id="381" w:name="_Toc184308082"/>
      <w:bookmarkEnd w:id="381"/>
      <w:bookmarkStart w:id="382" w:name="_Toc184313275"/>
      <w:bookmarkEnd w:id="382"/>
      <w:bookmarkStart w:id="383" w:name="_Toc184312107"/>
      <w:bookmarkEnd w:id="383"/>
      <w:bookmarkStart w:id="384" w:name="_Toc184314451"/>
      <w:bookmarkEnd w:id="384"/>
      <w:bookmarkStart w:id="385" w:name="_Toc184312115"/>
      <w:bookmarkEnd w:id="385"/>
      <w:bookmarkStart w:id="386" w:name="_Toc184310343"/>
      <w:bookmarkEnd w:id="386"/>
      <w:bookmarkStart w:id="387" w:name="_Toc184308063"/>
      <w:bookmarkEnd w:id="387"/>
      <w:bookmarkStart w:id="388" w:name="_Toc184312080"/>
      <w:bookmarkEnd w:id="388"/>
      <w:bookmarkStart w:id="389" w:name="_Toc184308052"/>
      <w:bookmarkEnd w:id="389"/>
      <w:bookmarkStart w:id="390" w:name="_Toc184308045"/>
      <w:bookmarkEnd w:id="390"/>
      <w:bookmarkStart w:id="391" w:name="_Toc184310292"/>
      <w:bookmarkEnd w:id="391"/>
      <w:bookmarkStart w:id="392" w:name="_Toc184310282"/>
      <w:bookmarkEnd w:id="392"/>
      <w:bookmarkStart w:id="393" w:name="_Toc184313271"/>
      <w:bookmarkEnd w:id="393"/>
      <w:r>
        <w:rPr>
          <w:rFonts w:hint="eastAsia" w:ascii="宋体" w:hAnsi="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pPr w:leftFromText="180" w:rightFromText="180" w:vertAnchor="text" w:horzAnchor="page" w:tblpXSpec="center" w:tblpY="126"/>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70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opLinePunct/>
              <w:snapToGrid w:val="0"/>
              <w:spacing w:line="360" w:lineRule="auto"/>
              <w:jc w:val="center"/>
              <w:outlineLvl w:val="0"/>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序号</w:t>
            </w:r>
          </w:p>
        </w:tc>
        <w:tc>
          <w:tcPr>
            <w:tcW w:w="6128" w:type="dxa"/>
            <w:vAlign w:val="center"/>
          </w:tcPr>
          <w:p>
            <w:pPr>
              <w:topLinePunct/>
              <w:snapToGrid w:val="0"/>
              <w:spacing w:line="360" w:lineRule="auto"/>
              <w:jc w:val="center"/>
              <w:outlineLvl w:val="0"/>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评标标准</w:t>
            </w:r>
          </w:p>
        </w:tc>
        <w:tc>
          <w:tcPr>
            <w:tcW w:w="700" w:type="dxa"/>
            <w:vAlign w:val="center"/>
          </w:tcPr>
          <w:p>
            <w:pPr>
              <w:topLinePunct/>
              <w:snapToGrid w:val="0"/>
              <w:spacing w:line="360" w:lineRule="auto"/>
              <w:jc w:val="center"/>
              <w:outlineLvl w:val="0"/>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权重</w:t>
            </w:r>
          </w:p>
        </w:tc>
        <w:tc>
          <w:tcPr>
            <w:tcW w:w="1887" w:type="dxa"/>
            <w:vAlign w:val="center"/>
          </w:tcPr>
          <w:p>
            <w:pPr>
              <w:topLinePunct/>
              <w:snapToGrid w:val="0"/>
              <w:spacing w:line="240" w:lineRule="auto"/>
              <w:jc w:val="center"/>
              <w:outlineLvl w:val="0"/>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投标文件中评标标准相应的商务技术资料目录</w:t>
            </w:r>
            <w:r>
              <w:rPr>
                <w:rFonts w:hint="eastAsia" w:cs="宋体" w:asciiTheme="minorEastAsia" w:hAnsiTheme="minorEastAsia" w:eastAsiaTheme="minorEastAsia"/>
                <w:color w:val="000000" w:themeColor="text1"/>
                <w:sz w:val="24"/>
                <w:highlight w:val="none"/>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opLinePunct/>
              <w:snapToGrid w:val="0"/>
              <w:spacing w:line="360" w:lineRule="auto"/>
              <w:jc w:val="center"/>
              <w:outlineLvl w:val="0"/>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1</w:t>
            </w:r>
          </w:p>
        </w:tc>
        <w:tc>
          <w:tcPr>
            <w:tcW w:w="6128" w:type="dxa"/>
            <w:vAlign w:val="center"/>
          </w:tcPr>
          <w:p>
            <w:pPr>
              <w:topLinePunct/>
              <w:snapToGrid w:val="0"/>
              <w:spacing w:line="360" w:lineRule="auto"/>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供应商自</w:t>
            </w:r>
            <w:r>
              <w:rPr>
                <w:rFonts w:hint="eastAsia" w:cs="宋体" w:asciiTheme="minorEastAsia" w:hAnsiTheme="minorEastAsia" w:eastAsiaTheme="minorEastAsia"/>
                <w:color w:val="000000" w:themeColor="text1"/>
                <w:sz w:val="24"/>
                <w:highlight w:val="none"/>
                <w14:textFill>
                  <w14:solidFill>
                    <w14:schemeClr w14:val="tx1"/>
                  </w14:solidFill>
                </w14:textFill>
              </w:rPr>
              <w:t>2020年1月1日（按合同签订时间为准）以来承担类似</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项目经验的</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，每个</w:t>
            </w:r>
            <w:r>
              <w:rPr>
                <w:rFonts w:hint="eastAsia" w:cs="宋体" w:asciiTheme="minorEastAsia" w:hAnsiTheme="minorEastAsia" w:eastAsiaTheme="minorEastAsia"/>
                <w:color w:val="000000" w:themeColor="text1"/>
                <w:sz w:val="24"/>
                <w:highlight w:val="none"/>
                <w14:textFill>
                  <w14:solidFill>
                    <w14:schemeClr w14:val="tx1"/>
                  </w14:solidFill>
                </w14:textFill>
              </w:rPr>
              <w:t>得0.5分，本项</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最高得</w:t>
            </w: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分</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提供合同复印件，原件备查，采购机构在项目评审直至合同签订、履约期间，有权要求供应商出具投标文件中的合同和或其他反馈资料，予以确认项目的真实性和有效性，如出现与事实不符等情况，将根据有关规定以“提供虚假材料谋取中标（成交）予以处理”]</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 xml:space="preserve"> 0-</w:t>
            </w: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分；</w:t>
            </w:r>
          </w:p>
        </w:tc>
        <w:tc>
          <w:tcPr>
            <w:tcW w:w="700" w:type="dxa"/>
            <w:vAlign w:val="center"/>
          </w:tcPr>
          <w:p>
            <w:pPr>
              <w:topLinePunct/>
              <w:snapToGrid w:val="0"/>
              <w:spacing w:line="360" w:lineRule="auto"/>
              <w:jc w:val="center"/>
              <w:outlineLvl w:val="0"/>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0-1</w:t>
            </w:r>
          </w:p>
        </w:tc>
        <w:tc>
          <w:tcPr>
            <w:tcW w:w="1887"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opLinePunct/>
              <w:snapToGrid w:val="0"/>
              <w:spacing w:line="360" w:lineRule="auto"/>
              <w:jc w:val="center"/>
              <w:outlineLvl w:val="0"/>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2</w:t>
            </w:r>
          </w:p>
        </w:tc>
        <w:tc>
          <w:tcPr>
            <w:tcW w:w="6128" w:type="dxa"/>
            <w:vAlign w:val="center"/>
          </w:tcPr>
          <w:p>
            <w:pPr>
              <w:topLinePunct/>
              <w:snapToGrid w:val="0"/>
              <w:spacing w:line="360" w:lineRule="auto"/>
              <w:outlineLvl w:val="0"/>
              <w:rPr>
                <w:rFonts w:cs="宋体" w:asciiTheme="minorEastAsia" w:hAnsiTheme="minorEastAsia" w:eastAsiaTheme="minorEastAsia"/>
                <w:color w:val="000000" w:themeColor="text1"/>
                <w:sz w:val="24"/>
                <w:highlight w:val="none"/>
                <w:lang w:val="zh-CN"/>
                <w14:textFill>
                  <w14:solidFill>
                    <w14:schemeClr w14:val="tx1"/>
                  </w14:solidFill>
                </w14:textFill>
              </w:rPr>
            </w:pPr>
            <w:r>
              <w:rPr>
                <w:rFonts w:cs="宋体" w:asciiTheme="minorEastAsia" w:hAnsiTheme="minorEastAsia" w:eastAsiaTheme="minorEastAsia"/>
                <w:color w:val="000000" w:themeColor="text1"/>
                <w:sz w:val="24"/>
                <w:highlight w:val="none"/>
                <w:lang w:val="zh-CN"/>
                <w14:textFill>
                  <w14:solidFill>
                    <w14:schemeClr w14:val="tx1"/>
                  </w14:solidFill>
                </w14:textFill>
              </w:rPr>
              <w:t>项目团队：</w:t>
            </w:r>
          </w:p>
          <w:p>
            <w:pPr>
              <w:topLinePunct/>
              <w:snapToGrid w:val="0"/>
              <w:spacing w:line="360" w:lineRule="auto"/>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cs="宋体" w:asciiTheme="minorEastAsia" w:hAnsiTheme="minorEastAsia" w:eastAsiaTheme="minorEastAsia"/>
                <w:color w:val="000000" w:themeColor="text1"/>
                <w:sz w:val="24"/>
                <w:highlight w:val="none"/>
                <w14:textFill>
                  <w14:solidFill>
                    <w14:schemeClr w14:val="tx1"/>
                  </w14:solidFill>
                </w14:textFill>
              </w:rPr>
              <w:t>项目负责人为</w:t>
            </w:r>
            <w:r>
              <w:rPr>
                <w:rFonts w:hint="eastAsia" w:cs="宋体" w:asciiTheme="minorEastAsia" w:hAnsiTheme="minorEastAsia" w:eastAsiaTheme="minorEastAsia"/>
                <w:color w:val="000000" w:themeColor="text1"/>
                <w:sz w:val="24"/>
                <w:highlight w:val="none"/>
                <w14:textFill>
                  <w14:solidFill>
                    <w14:schemeClr w14:val="tx1"/>
                  </w14:solidFill>
                </w14:textFill>
              </w:rPr>
              <w:t>副教授或</w:t>
            </w:r>
            <w:r>
              <w:rPr>
                <w:rFonts w:cs="宋体" w:asciiTheme="minorEastAsia" w:hAnsiTheme="minorEastAsia" w:eastAsiaTheme="minorEastAsia"/>
                <w:color w:val="000000" w:themeColor="text1"/>
                <w:sz w:val="24"/>
                <w:highlight w:val="none"/>
                <w14:textFill>
                  <w14:solidFill>
                    <w14:schemeClr w14:val="tx1"/>
                  </w14:solidFill>
                </w14:textFill>
              </w:rPr>
              <w:t>高级工程师</w:t>
            </w:r>
            <w:r>
              <w:rPr>
                <w:rFonts w:hint="eastAsia" w:cs="宋体" w:asciiTheme="minorEastAsia" w:hAnsiTheme="minorEastAsia" w:eastAsiaTheme="minorEastAsia"/>
                <w:color w:val="000000" w:themeColor="text1"/>
                <w:sz w:val="24"/>
                <w:highlight w:val="none"/>
                <w14:textFill>
                  <w14:solidFill>
                    <w14:schemeClr w14:val="tx1"/>
                  </w14:solidFill>
                </w14:textFill>
              </w:rPr>
              <w:t>（风景园林、园林或景观）</w:t>
            </w:r>
            <w:r>
              <w:rPr>
                <w:rFonts w:cs="宋体" w:asciiTheme="minorEastAsia" w:hAnsiTheme="minorEastAsia" w:eastAsiaTheme="minorEastAsia"/>
                <w:color w:val="000000" w:themeColor="text1"/>
                <w:sz w:val="24"/>
                <w:highlight w:val="none"/>
                <w14:textFill>
                  <w14:solidFill>
                    <w14:schemeClr w14:val="tx1"/>
                  </w14:solidFill>
                </w14:textFill>
              </w:rPr>
              <w:t>的得2分</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为教授或教授级高级工程师职称的得4分。</w:t>
            </w:r>
            <w:r>
              <w:rPr>
                <w:rFonts w:cs="宋体" w:asciiTheme="minorEastAsia" w:hAnsiTheme="minorEastAsia" w:eastAsiaTheme="minorEastAsia"/>
                <w:color w:val="000000" w:themeColor="text1"/>
                <w:sz w:val="24"/>
                <w:highlight w:val="none"/>
                <w14:textFill>
                  <w14:solidFill>
                    <w14:schemeClr w14:val="tx1"/>
                  </w14:solidFill>
                </w14:textFill>
              </w:rPr>
              <w:t>本项</w:t>
            </w:r>
            <w:r>
              <w:rPr>
                <w:rFonts w:cs="宋体" w:asciiTheme="minorEastAsia" w:hAnsiTheme="minorEastAsia" w:eastAsiaTheme="minorEastAsia"/>
                <w:color w:val="000000" w:themeColor="text1"/>
                <w:sz w:val="24"/>
                <w:highlight w:val="none"/>
                <w:lang w:val="zh-CN"/>
                <w14:textFill>
                  <w14:solidFill>
                    <w14:schemeClr w14:val="tx1"/>
                  </w14:solidFill>
                </w14:textFill>
              </w:rPr>
              <w:t>最高得</w:t>
            </w:r>
            <w:r>
              <w:rPr>
                <w:rFonts w:hint="eastAsia" w:cs="宋体" w:asciiTheme="minorEastAsia" w:hAnsiTheme="minorEastAsia" w:eastAsiaTheme="minorEastAsia"/>
                <w:color w:val="000000" w:themeColor="text1"/>
                <w:sz w:val="24"/>
                <w:highlight w:val="none"/>
                <w14:textFill>
                  <w14:solidFill>
                    <w14:schemeClr w14:val="tx1"/>
                  </w14:solidFill>
                </w14:textFill>
              </w:rPr>
              <w:t>4</w:t>
            </w:r>
            <w:r>
              <w:rPr>
                <w:rFonts w:cs="宋体" w:asciiTheme="minorEastAsia" w:hAnsiTheme="minorEastAsia" w:eastAsiaTheme="minorEastAsia"/>
                <w:color w:val="000000" w:themeColor="text1"/>
                <w:sz w:val="24"/>
                <w:highlight w:val="none"/>
                <w:lang w:val="zh-CN"/>
                <w14:textFill>
                  <w14:solidFill>
                    <w14:schemeClr w14:val="tx1"/>
                  </w14:solidFill>
                </w14:textFill>
              </w:rPr>
              <w:t>分</w:t>
            </w:r>
            <w:r>
              <w:rPr>
                <w:rFonts w:cs="宋体" w:asciiTheme="minorEastAsia" w:hAnsiTheme="minorEastAsia" w:eastAsiaTheme="minorEastAsia"/>
                <w:color w:val="000000" w:themeColor="text1"/>
                <w:sz w:val="24"/>
                <w:highlight w:val="none"/>
                <w:lang w:val="zh-CN"/>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（提供相应的证书复印件，复印件和扫描件须加盖公章）</w:t>
            </w:r>
          </w:p>
          <w:p>
            <w:pPr>
              <w:topLinePunct/>
              <w:snapToGrid w:val="0"/>
              <w:spacing w:line="360" w:lineRule="auto"/>
              <w:outlineLvl w:val="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cs="宋体" w:asciiTheme="minorEastAsia" w:hAnsiTheme="minorEastAsia" w:eastAsiaTheme="minorEastAsia"/>
                <w:color w:val="000000" w:themeColor="text1"/>
                <w:sz w:val="24"/>
                <w:highlight w:val="none"/>
                <w14:textFill>
                  <w14:solidFill>
                    <w14:schemeClr w14:val="tx1"/>
                  </w14:solidFill>
                </w14:textFill>
              </w:rPr>
              <w:t>、拟投入的项目组</w:t>
            </w:r>
            <w:r>
              <w:rPr>
                <w:rFonts w:hint="eastAsia" w:cs="宋体" w:asciiTheme="minorEastAsia" w:hAnsiTheme="minorEastAsia" w:eastAsiaTheme="minorEastAsia"/>
                <w:color w:val="000000" w:themeColor="text1"/>
                <w:sz w:val="24"/>
                <w:highlight w:val="none"/>
                <w14:textFill>
                  <w14:solidFill>
                    <w14:schemeClr w14:val="tx1"/>
                  </w14:solidFill>
                </w14:textFill>
              </w:rPr>
              <w:t>成员</w:t>
            </w:r>
            <w:r>
              <w:rPr>
                <w:rFonts w:cs="宋体" w:asciiTheme="minorEastAsia" w:hAnsiTheme="minorEastAsia" w:eastAsiaTheme="minorEastAsia"/>
                <w:color w:val="000000" w:themeColor="text1"/>
                <w:sz w:val="24"/>
                <w:highlight w:val="none"/>
                <w14:textFill>
                  <w14:solidFill>
                    <w14:schemeClr w14:val="tx1"/>
                  </w14:solidFill>
                </w14:textFill>
              </w:rPr>
              <w:t>（不包括项目负责人），具有高级及以上职称的，每1人</w:t>
            </w:r>
            <w:r>
              <w:rPr>
                <w:rFonts w:cs="宋体" w:asciiTheme="minorEastAsia" w:hAnsiTheme="minorEastAsia" w:eastAsiaTheme="minorEastAsia"/>
                <w:color w:val="000000" w:themeColor="text1"/>
                <w:sz w:val="24"/>
                <w:highlight w:val="none"/>
                <w14:textFill>
                  <w14:solidFill>
                    <w14:schemeClr w14:val="tx1"/>
                  </w14:solidFill>
                </w14:textFill>
              </w:rPr>
              <w:t>得</w:t>
            </w:r>
            <w:r>
              <w:rPr>
                <w:rFonts w:hint="eastAsia" w:cs="宋体" w:asciiTheme="minorEastAsia" w:hAnsiTheme="minorEastAsia" w:eastAsiaTheme="minorEastAsia"/>
                <w:color w:val="000000" w:themeColor="text1"/>
                <w:sz w:val="24"/>
                <w:highlight w:val="none"/>
                <w14:textFill>
                  <w14:solidFill>
                    <w14:schemeClr w14:val="tx1"/>
                  </w14:solidFill>
                </w14:textFill>
              </w:rPr>
              <w:t>1.5</w:t>
            </w:r>
            <w:r>
              <w:rPr>
                <w:rFonts w:cs="宋体" w:asciiTheme="minorEastAsia" w:hAnsiTheme="minorEastAsia" w:eastAsiaTheme="minorEastAsia"/>
                <w:color w:val="000000" w:themeColor="text1"/>
                <w:sz w:val="24"/>
                <w:highlight w:val="none"/>
                <w14:textFill>
                  <w14:solidFill>
                    <w14:schemeClr w14:val="tx1"/>
                  </w14:solidFill>
                </w14:textFill>
              </w:rPr>
              <w:t>分</w:t>
            </w:r>
            <w:r>
              <w:rPr>
                <w:rFonts w:cs="宋体" w:asciiTheme="minorEastAsia" w:hAnsiTheme="minorEastAsia" w:eastAsiaTheme="minorEastAsia"/>
                <w:color w:val="000000" w:themeColor="text1"/>
                <w:sz w:val="24"/>
                <w:highlight w:val="none"/>
                <w14:textFill>
                  <w14:solidFill>
                    <w14:schemeClr w14:val="tx1"/>
                  </w14:solidFill>
                </w14:textFill>
              </w:rPr>
              <w:t>，最多得</w:t>
            </w:r>
            <w:r>
              <w:rPr>
                <w:rFonts w:hint="eastAsia" w:cs="宋体" w:asciiTheme="minorEastAsia" w:hAnsiTheme="minorEastAsia" w:eastAsiaTheme="minorEastAsia"/>
                <w:color w:val="000000" w:themeColor="text1"/>
                <w:sz w:val="24"/>
                <w:highlight w:val="none"/>
                <w14:textFill>
                  <w14:solidFill>
                    <w14:schemeClr w14:val="tx1"/>
                  </w14:solidFill>
                </w14:textFill>
              </w:rPr>
              <w:t>9</w:t>
            </w:r>
            <w:r>
              <w:rPr>
                <w:rFonts w:cs="宋体" w:asciiTheme="minorEastAsia" w:hAnsiTheme="minorEastAsia" w:eastAsiaTheme="minorEastAsia"/>
                <w:color w:val="000000" w:themeColor="text1"/>
                <w:sz w:val="24"/>
                <w:highlight w:val="none"/>
                <w14:textFill>
                  <w14:solidFill>
                    <w14:schemeClr w14:val="tx1"/>
                  </w14:solidFill>
                </w14:textFill>
              </w:rPr>
              <w:t>分。（提供相应的证书复印件须加盖公章）</w:t>
            </w:r>
          </w:p>
        </w:tc>
        <w:tc>
          <w:tcPr>
            <w:tcW w:w="700" w:type="dxa"/>
            <w:vAlign w:val="center"/>
          </w:tcPr>
          <w:p>
            <w:pPr>
              <w:topLinePunct/>
              <w:snapToGrid w:val="0"/>
              <w:spacing w:line="360" w:lineRule="auto"/>
              <w:jc w:val="center"/>
              <w:outlineLvl w:val="0"/>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0-</w:t>
            </w:r>
            <w:r>
              <w:rPr>
                <w:rFonts w:hint="eastAsia" w:cs="宋体" w:asciiTheme="minorEastAsia" w:hAnsiTheme="minorEastAsia" w:eastAsiaTheme="minorEastAsia"/>
                <w:bCs/>
                <w:color w:val="000000" w:themeColor="text1"/>
                <w:sz w:val="24"/>
                <w:highlight w:val="none"/>
                <w14:textFill>
                  <w14:solidFill>
                    <w14:schemeClr w14:val="tx1"/>
                  </w14:solidFill>
                </w14:textFill>
              </w:rPr>
              <w:t>13</w:t>
            </w:r>
          </w:p>
        </w:tc>
        <w:tc>
          <w:tcPr>
            <w:tcW w:w="1887"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w:t>
            </w:r>
          </w:p>
        </w:tc>
        <w:tc>
          <w:tcPr>
            <w:tcW w:w="6128" w:type="dxa"/>
            <w:vAlign w:val="center"/>
          </w:tcPr>
          <w:p>
            <w:pPr>
              <w:topLinePunct/>
              <w:snapToGrid w:val="0"/>
              <w:spacing w:line="360" w:lineRule="auto"/>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对本项目理解情况的评审：</w:t>
            </w:r>
          </w:p>
          <w:p>
            <w:pPr>
              <w:topLinePunct/>
              <w:snapToGrid w:val="0"/>
              <w:spacing w:line="360" w:lineRule="auto"/>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1、对园博会申办和筹备的现状进行调查了解的评审：了解全面的得4分，部分了解的得0-3分，否则不得分。</w:t>
            </w:r>
          </w:p>
          <w:p>
            <w:pPr>
              <w:topLinePunct/>
              <w:snapToGrid w:val="0"/>
              <w:spacing w:line="360" w:lineRule="auto"/>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2、对项目任务和目标进行详细解析的评审：解析全面的得4分，部分解析清楚的得0-3分，否则不得分。</w:t>
            </w:r>
          </w:p>
        </w:tc>
        <w:tc>
          <w:tcPr>
            <w:tcW w:w="700" w:type="dxa"/>
            <w:vAlign w:val="center"/>
          </w:tcPr>
          <w:p>
            <w:pPr>
              <w:topLinePunct/>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0-8</w:t>
            </w:r>
          </w:p>
        </w:tc>
        <w:tc>
          <w:tcPr>
            <w:tcW w:w="1887"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w:t>
            </w:r>
          </w:p>
        </w:tc>
        <w:tc>
          <w:tcPr>
            <w:tcW w:w="6128" w:type="dxa"/>
            <w:vAlign w:val="center"/>
          </w:tcPr>
          <w:p>
            <w:pPr>
              <w:topLinePunct/>
              <w:snapToGrid w:val="0"/>
              <w:spacing w:line="360" w:lineRule="auto"/>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本项目技术方案编制实施的重点与难点：</w:t>
            </w:r>
          </w:p>
          <w:p>
            <w:pPr>
              <w:topLinePunct/>
              <w:snapToGrid w:val="0"/>
              <w:spacing w:line="360" w:lineRule="auto"/>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1、分析园博园概念规划的重点和难点：全部合理的得4分，部分合理的得2分，不合理的不得分。</w:t>
            </w:r>
          </w:p>
          <w:p>
            <w:pPr>
              <w:topLinePunct/>
              <w:snapToGrid w:val="0"/>
              <w:spacing w:line="360" w:lineRule="auto"/>
              <w:outlineLvl w:val="0"/>
              <w:rPr>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2、制定合理解决方案和对策：全部合理的得4分，部分合理的得2分，不合理的不得分。</w:t>
            </w:r>
          </w:p>
        </w:tc>
        <w:tc>
          <w:tcPr>
            <w:tcW w:w="700" w:type="dxa"/>
            <w:vAlign w:val="center"/>
          </w:tcPr>
          <w:p>
            <w:pPr>
              <w:topLinePunct/>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0-8</w:t>
            </w:r>
          </w:p>
        </w:tc>
        <w:tc>
          <w:tcPr>
            <w:tcW w:w="1887"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6128" w:type="dxa"/>
            <w:vAlign w:val="center"/>
          </w:tcPr>
          <w:p>
            <w:pPr>
              <w:topLinePunct/>
              <w:snapToGrid w:val="0"/>
              <w:spacing w:line="360" w:lineRule="auto"/>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对园博园概念规划编制方案的评审：</w:t>
            </w:r>
          </w:p>
          <w:p>
            <w:pPr>
              <w:topLinePunct/>
              <w:snapToGrid w:val="0"/>
              <w:spacing w:line="360" w:lineRule="auto"/>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1、根据住建部《中国国际园林博览会管理办法》（建城〔2020〕25号），对</w:t>
            </w:r>
            <w:r>
              <w:rPr>
                <w:rFonts w:hint="eastAsia" w:ascii="宋体" w:hAnsi="宋体" w:cs="宋体"/>
                <w:color w:val="000000" w:themeColor="text1"/>
                <w:sz w:val="24"/>
                <w:highlight w:val="none"/>
                <w14:textFill>
                  <w14:solidFill>
                    <w14:schemeClr w14:val="tx1"/>
                  </w14:solidFill>
                </w14:textFill>
              </w:rPr>
              <w:t>于园博会申办和筹备的要求、申办报告的要点的分析研究的评审。全部合理的得4分，部分合理的得0-3分，不合理的不得分。</w:t>
            </w:r>
          </w:p>
          <w:p>
            <w:pPr>
              <w:topLinePunct/>
              <w:snapToGrid w:val="0"/>
              <w:spacing w:line="360" w:lineRule="auto"/>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2、对申办城市的解读。全部合理的得4分，部分合理的得0-3分，不合理的不得分。</w:t>
            </w:r>
          </w:p>
          <w:p>
            <w:pPr>
              <w:topLinePunct/>
              <w:snapToGrid w:val="0"/>
              <w:spacing w:line="360" w:lineRule="auto"/>
              <w:outlineLvl w:val="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、对场地条件的分析和解读。全部合理的得4分，部分合理的得0-</w:t>
            </w:r>
            <w:r>
              <w:rPr>
                <w:rFonts w:hint="eastAsia" w:ascii="宋体" w:hAnsi="宋体" w:cs="宋体"/>
                <w:color w:val="000000" w:themeColor="text1"/>
                <w:sz w:val="24"/>
                <w:szCs w:val="24"/>
                <w:highlight w:val="none"/>
                <w14:textFill>
                  <w14:solidFill>
                    <w14:schemeClr w14:val="tx1"/>
                  </w14:solidFill>
                </w14:textFill>
              </w:rPr>
              <w:t>3分，不合理的不得分。</w:t>
            </w:r>
          </w:p>
          <w:p>
            <w:pPr>
              <w:topLinePunct/>
              <w:snapToGrid w:val="0"/>
              <w:spacing w:line="360" w:lineRule="auto"/>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4、规划主题目标，准确有亮点得4分，不太准确得0-3分，不准确不得分。</w:t>
            </w:r>
            <w:r>
              <w:rPr>
                <w:rFonts w:ascii="宋体" w:hAnsi="宋体" w:cs="宋体"/>
                <w:color w:val="000000" w:themeColor="text1"/>
                <w:sz w:val="24"/>
                <w:szCs w:val="24"/>
                <w:highlight w:val="none"/>
                <w14:textFill>
                  <w14:solidFill>
                    <w14:schemeClr w14:val="tx1"/>
                  </w14:solidFill>
                </w14:textFill>
              </w:rPr>
              <w:tab/>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5、规划策略，全面合理得4</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分，不太全面得0-3分，否则不得分；相关规划的衔接。全部合理的得4分，部分合理的得0-3分，不合理的不得分。</w:t>
            </w:r>
          </w:p>
          <w:p>
            <w:pPr>
              <w:topLinePunct/>
              <w:snapToGrid w:val="0"/>
              <w:spacing w:line="360" w:lineRule="auto"/>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6、项目的总体布局和空间构想；准确合理得4</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分，不太准确得0-3分，否则不得分。</w:t>
            </w:r>
          </w:p>
          <w:p>
            <w:pPr>
              <w:topLinePunct/>
              <w:snapToGrid w:val="0"/>
              <w:spacing w:line="360" w:lineRule="auto"/>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7、布展规划。创新成熟得4</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分，不太创新得0-3分，否则不得分。</w:t>
            </w:r>
          </w:p>
          <w:p>
            <w:pPr>
              <w:topLinePunct/>
              <w:snapToGrid w:val="0"/>
              <w:spacing w:line="360" w:lineRule="auto"/>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8、游线组织和游览特色。全部</w:t>
            </w:r>
            <w:r>
              <w:rPr>
                <w:rFonts w:hint="eastAsia" w:ascii="宋体" w:hAnsi="宋体" w:cs="宋体"/>
                <w:color w:val="000000" w:themeColor="text1"/>
                <w:sz w:val="24"/>
                <w:highlight w:val="none"/>
                <w14:textFill>
                  <w14:solidFill>
                    <w14:schemeClr w14:val="tx1"/>
                  </w14:solidFill>
                </w14:textFill>
              </w:rPr>
              <w:t>合理的得4</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分，部分合理的得2分，不合理的不得分。</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9、场馆规划的概念思路。全部合理的得4</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分，部分合理的得0-3分，不合理的不得分。</w:t>
            </w:r>
          </w:p>
          <w:p>
            <w:pPr>
              <w:topLinePunct/>
              <w:snapToGrid w:val="0"/>
              <w:spacing w:line="360" w:lineRule="auto"/>
              <w:jc w:val="left"/>
              <w:outlineLvl w:val="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10、植物景观风貌营造。全部合理的得4</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分，部分合理的得0-3分，不合理的不得分。</w:t>
            </w:r>
          </w:p>
          <w:p>
            <w:pPr>
              <w:topLinePunct/>
              <w:snapToGrid w:val="0"/>
              <w:spacing w:line="360" w:lineRule="auto"/>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11、规划方案特色与创新点的评审。全部合理的得4</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分，部分合理的得0-3分，不合理的不得分。</w:t>
            </w:r>
          </w:p>
          <w:p>
            <w:pPr>
              <w:topLinePunct/>
              <w:snapToGrid w:val="0"/>
              <w:spacing w:line="360" w:lineRule="auto"/>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12、制定的展后利用规划是否切实可行的评审。全部合理的得4</w:t>
            </w:r>
            <w:r>
              <w:rPr>
                <w:rFonts w:hint="eastAsia" w:ascii="宋体" w:hAnsi="宋体" w:cs="宋体"/>
                <w:color w:val="000000" w:themeColor="text1"/>
                <w:sz w:val="24"/>
                <w:highlight w:val="none"/>
                <w:lang w:val="en-US" w:eastAsia="zh-CN"/>
                <w14:textFill>
                  <w14:solidFill>
                    <w14:schemeClr w14:val="tx1"/>
                  </w14:solidFill>
                </w14:textFill>
              </w:rPr>
              <w:t>.5</w:t>
            </w:r>
            <w:bookmarkStart w:id="407" w:name="_GoBack"/>
            <w:bookmarkEnd w:id="407"/>
            <w:r>
              <w:rPr>
                <w:rFonts w:hint="eastAsia" w:ascii="宋体" w:hAnsi="宋体" w:cs="宋体"/>
                <w:color w:val="000000" w:themeColor="text1"/>
                <w:sz w:val="24"/>
                <w:highlight w:val="none"/>
                <w14:textFill>
                  <w14:solidFill>
                    <w14:schemeClr w14:val="tx1"/>
                  </w14:solidFill>
                </w14:textFill>
              </w:rPr>
              <w:t>分，部分合理的得0-3分，不合理的不得分。</w:t>
            </w:r>
          </w:p>
        </w:tc>
        <w:tc>
          <w:tcPr>
            <w:tcW w:w="700" w:type="dxa"/>
            <w:vAlign w:val="center"/>
          </w:tcPr>
          <w:p>
            <w:pPr>
              <w:topLinePunct/>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0-52</w:t>
            </w:r>
          </w:p>
        </w:tc>
        <w:tc>
          <w:tcPr>
            <w:tcW w:w="1887"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w:t>
            </w:r>
          </w:p>
        </w:tc>
        <w:tc>
          <w:tcPr>
            <w:tcW w:w="6128" w:type="dxa"/>
            <w:vAlign w:val="center"/>
          </w:tcPr>
          <w:p>
            <w:pPr>
              <w:pStyle w:val="7"/>
              <w:topLinePunct/>
              <w:snapToGrid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对本项目进度安排的评审：</w:t>
            </w:r>
          </w:p>
          <w:p>
            <w:pPr>
              <w:pStyle w:val="7"/>
              <w:keepNext w:val="0"/>
              <w:keepLines w:val="0"/>
              <w:numPr>
                <w:ins w:id="0" w:author="李芳芳-天堂眼" w:date="2022-05-27T16:24:00Z"/>
              </w:numPr>
              <w:topLinePunct/>
              <w:adjustRightInd w:val="0"/>
              <w:snapToGrid w:val="0"/>
              <w:ind w:left="0" w:firstLine="0"/>
              <w:rPr>
                <w:rFonts w:cs="宋体" w:asciiTheme="minorEastAsia" w:hAnsiTheme="minorEastAsia" w:eastAsiaTheme="minorEastAsia"/>
                <w:b w:val="0"/>
                <w:bCs w:val="0"/>
                <w:color w:val="000000" w:themeColor="text1"/>
                <w:sz w:val="24"/>
                <w:szCs w:val="24"/>
                <w:highlight w:val="none"/>
                <w:lang w:val="en-US"/>
                <w14:textFill>
                  <w14:solidFill>
                    <w14:schemeClr w14:val="tx1"/>
                  </w14:solidFill>
                </w14:textFill>
              </w:rPr>
            </w:pPr>
            <w:r>
              <w:rPr>
                <w:rFonts w:hint="eastAsia" w:cs="宋体" w:asciiTheme="minorEastAsia" w:hAnsiTheme="minorEastAsia" w:eastAsiaTheme="minorEastAsia"/>
                <w:b w:val="0"/>
                <w:bCs w:val="0"/>
                <w:color w:val="000000" w:themeColor="text1"/>
                <w:sz w:val="24"/>
                <w:szCs w:val="24"/>
                <w:highlight w:val="none"/>
                <w:lang w:val="en-US"/>
                <w14:textFill>
                  <w14:solidFill>
                    <w14:schemeClr w14:val="tx1"/>
                  </w14:solidFill>
                </w14:textFill>
              </w:rPr>
              <w:t>根据项目的进度要求制定科学合理的进度计划的评审，全部合理可行的得4分，部分合理得2分，否则不得分。</w:t>
            </w:r>
          </w:p>
        </w:tc>
        <w:tc>
          <w:tcPr>
            <w:tcW w:w="700" w:type="dxa"/>
            <w:vAlign w:val="center"/>
          </w:tcPr>
          <w:p>
            <w:pPr>
              <w:topLinePunct/>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0-4</w:t>
            </w:r>
          </w:p>
        </w:tc>
        <w:tc>
          <w:tcPr>
            <w:tcW w:w="1887"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w:t>
            </w:r>
          </w:p>
        </w:tc>
        <w:tc>
          <w:tcPr>
            <w:tcW w:w="6128" w:type="dxa"/>
            <w:vAlign w:val="center"/>
          </w:tcPr>
          <w:p>
            <w:pPr>
              <w:topLinePunct/>
              <w:snapToGrid w:val="0"/>
              <w:spacing w:line="360" w:lineRule="auto"/>
              <w:outlineLvl w:val="0"/>
              <w:rPr>
                <w:rFonts w:cs="宋体" w:asciiTheme="minorEastAsia" w:hAnsiTheme="minorEastAsia" w:eastAsiaTheme="minorEastAsia"/>
                <w:color w:val="000000" w:themeColor="text1"/>
                <w:sz w:val="24"/>
                <w:highlight w:val="none"/>
                <w14:textFill>
                  <w14:solidFill>
                    <w14:schemeClr w14:val="tx1"/>
                  </w14:solidFill>
                </w14:textFill>
              </w:rPr>
            </w:pPr>
            <w:r>
              <w:rPr>
                <w:rStyle w:val="962"/>
                <w:rFonts w:hint="eastAsia" w:cs="宋体" w:asciiTheme="minorEastAsia" w:hAnsiTheme="minorEastAsia" w:eastAsiaTheme="minorEastAsia"/>
                <w:color w:val="000000" w:themeColor="text1"/>
                <w:sz w:val="24"/>
                <w:highlight w:val="none"/>
                <w:lang w:val="zh-CN"/>
                <w14:textFill>
                  <w14:solidFill>
                    <w14:schemeClr w14:val="tx1"/>
                  </w14:solidFill>
                </w14:textFill>
              </w:rPr>
              <w:t>服务承诺：对组织体系、人力资源服务质量等提出服务承诺的评审</w:t>
            </w:r>
            <w:r>
              <w:rPr>
                <w:rFonts w:hint="eastAsia" w:cs="宋体" w:asciiTheme="minorEastAsia" w:hAnsiTheme="minorEastAsia" w:eastAsiaTheme="minorEastAsia"/>
                <w:b w:val="0"/>
                <w:bCs w:val="0"/>
                <w:color w:val="000000" w:themeColor="text1"/>
                <w:sz w:val="24"/>
                <w:szCs w:val="24"/>
                <w:highlight w:val="none"/>
                <w:lang w:val="en-US"/>
                <w14:textFill>
                  <w14:solidFill>
                    <w14:schemeClr w14:val="tx1"/>
                  </w14:solidFill>
                </w14:textFill>
              </w:rPr>
              <w:t>，全部合理可行的得4分，部分合理得</w:t>
            </w:r>
            <w:r>
              <w:rPr>
                <w:rFonts w:hint="eastAsia" w:cs="宋体"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0-</w:t>
            </w:r>
            <w:r>
              <w:rPr>
                <w:rFonts w:hint="eastAsia" w:cs="宋体" w:asciiTheme="minorEastAsia" w:hAnsiTheme="minorEastAsia" w:eastAsiaTheme="minorEastAsia"/>
                <w:b w:val="0"/>
                <w:bCs w:val="0"/>
                <w:color w:val="000000" w:themeColor="text1"/>
                <w:sz w:val="24"/>
                <w:szCs w:val="24"/>
                <w:highlight w:val="none"/>
                <w:lang w:val="en-US"/>
                <w14:textFill>
                  <w14:solidFill>
                    <w14:schemeClr w14:val="tx1"/>
                  </w14:solidFill>
                </w14:textFill>
              </w:rPr>
              <w:t>2分，否则不得分。</w:t>
            </w:r>
          </w:p>
        </w:tc>
        <w:tc>
          <w:tcPr>
            <w:tcW w:w="700" w:type="dxa"/>
            <w:vAlign w:val="center"/>
          </w:tcPr>
          <w:p>
            <w:pPr>
              <w:topLinePunct/>
              <w:snapToGrid w:val="0"/>
              <w:spacing w:line="360" w:lineRule="auto"/>
              <w:jc w:val="cente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0-</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1887"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p>
        </w:tc>
        <w:tc>
          <w:tcPr>
            <w:tcW w:w="6128" w:type="dxa"/>
            <w:vAlign w:val="center"/>
          </w:tcPr>
          <w:p>
            <w:pPr>
              <w:topLinePunct/>
              <w:snapToGrid w:val="0"/>
              <w:spacing w:line="360" w:lineRule="auto"/>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有效投标报价的最低价作为评标基准价，其最低报价为满分；按［投标报价得分=（评标基准价/投标报价</w:t>
            </w:r>
            <w:r>
              <w:rPr>
                <w:rFonts w:hint="eastAsia" w:cs="宋体" w:asciiTheme="minorEastAsia" w:hAnsiTheme="minorEastAsia" w:eastAsiaTheme="minorEastAsia"/>
                <w:color w:val="000000" w:themeColor="text1"/>
                <w:sz w:val="24"/>
                <w:highlight w:val="none"/>
                <w14:textFill>
                  <w14:solidFill>
                    <w14:schemeClr w14:val="tx1"/>
                  </w14:solidFill>
                </w14:textFill>
              </w:rPr>
              <w:t>）*10］</w:t>
            </w:r>
            <w:r>
              <w:rPr>
                <w:rFonts w:hint="eastAsia" w:cs="宋体" w:asciiTheme="minorEastAsia" w:hAnsiTheme="minorEastAsia" w:eastAsiaTheme="minorEastAsia"/>
                <w:color w:val="000000" w:themeColor="text1"/>
                <w:sz w:val="24"/>
                <w:highlight w:val="none"/>
                <w14:textFill>
                  <w14:solidFill>
                    <w14:schemeClr w14:val="tx1"/>
                  </w14:solidFill>
                </w14:textFill>
              </w:rPr>
              <w:t>的计算公式计算。</w:t>
            </w:r>
          </w:p>
          <w:p>
            <w:pPr>
              <w:topLinePunct/>
              <w:snapToGrid w:val="0"/>
              <w:spacing w:line="360" w:lineRule="auto"/>
              <w:outlineLvl w:val="0"/>
              <w:rPr>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本项目专门面向中小企业/小微企业，投标价格不给予价格的扣除。</w:t>
            </w:r>
          </w:p>
        </w:tc>
        <w:tc>
          <w:tcPr>
            <w:tcW w:w="700"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w:t>
            </w:r>
          </w:p>
        </w:tc>
        <w:tc>
          <w:tcPr>
            <w:tcW w:w="1887" w:type="dxa"/>
            <w:vAlign w:val="center"/>
          </w:tcPr>
          <w:p>
            <w:pPr>
              <w:topLinePunct/>
              <w:snapToGrid w:val="0"/>
              <w:spacing w:line="360" w:lineRule="auto"/>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tc>
      </w:tr>
    </w:tbl>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编制投标文件（商务技术文件部分）时，建议按此目录（序号和内容）提供评标标准相应的商务技术资料。 </w:t>
      </w:r>
      <w:r>
        <w:rPr>
          <w:rFonts w:ascii="宋体" w:hAnsi="宋体" w:cs="宋体"/>
          <w:color w:val="000000" w:themeColor="text1"/>
          <w:sz w:val="24"/>
          <w:highlight w:val="none"/>
          <w14:textFill>
            <w14:solidFill>
              <w14:schemeClr w14:val="tx1"/>
            </w14:solidFill>
          </w14:textFill>
        </w:rPr>
        <w:br w:type="page"/>
      </w:r>
    </w:p>
    <w:p>
      <w:pPr>
        <w:snapToGrid w:val="0"/>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的投标文件进行符合性审查，以确定其是否满足</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的实质性要求。不满足</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0"/>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中规定的预算金额或者最高限价的，投标无效。</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的报价明显低于其他通过符合性审查</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不能证明其报价合理性的，评标委员会应当将其作为无效投标处理。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0000" w:themeColor="text1"/>
          <w:kern w:val="0"/>
          <w:szCs w:val="24"/>
          <w:highlight w:val="none"/>
          <w:lang w:val="en-US" w:eastAsia="zh-CN"/>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为排名第一的中标候选人。</w:t>
      </w:r>
    </w:p>
    <w:p>
      <w:pPr>
        <w:spacing w:line="360" w:lineRule="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参加同一合同项下投标的，按一家</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计算，评审后得分最高的同品牌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获得中标人推荐资格；评审得分相同的，采取随机抽取方式确定，其他同品牌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30"/>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w:t>
      </w:r>
      <w:r>
        <w:rPr>
          <w:rFonts w:hint="eastAsia" w:ascii="宋体" w:hAnsi="宋体" w:cs="宋体"/>
          <w:b/>
          <w:color w:val="000000" w:themeColor="text1"/>
          <w:kern w:val="0"/>
          <w:szCs w:val="24"/>
          <w:highlight w:val="none"/>
          <w:lang w:eastAsia="zh-CN"/>
          <w14:textFill>
            <w14:solidFill>
              <w14:schemeClr w14:val="tx1"/>
            </w14:solidFill>
          </w14:textFill>
        </w:rPr>
        <w:t>供应商</w:t>
      </w:r>
      <w:r>
        <w:rPr>
          <w:rFonts w:hint="eastAsia" w:ascii="宋体" w:hAnsi="宋体" w:cs="宋体"/>
          <w:b/>
          <w:color w:val="000000" w:themeColor="text1"/>
          <w:kern w:val="0"/>
          <w:szCs w:val="24"/>
          <w:highlight w:val="none"/>
          <w14:textFill>
            <w14:solidFill>
              <w14:schemeClr w14:val="tx1"/>
            </w14:solidFill>
          </w14:textFill>
        </w:rPr>
        <w:t>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作出必要的澄清、说明或者补正的，评标委员会和</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通过电子交易平台交换数据电文，</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提交澄清、说明或补正的时间不得少于半小时，</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已经明确表示澄清说明或补正完毕的除外。</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的澄清、说明或者补正不得超出投标文件的范围或者改变投标文件的实质性内容。</w:t>
      </w:r>
    </w:p>
    <w:p>
      <w:pPr>
        <w:pStyle w:val="4"/>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不具备</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中规定的资格要求的（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未提供有效的资格文件的，视为</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不具备</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未按</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要求提供国家确定的认证机构出具的、处于有效期之内的节能产品认证证书的；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有恶意串通、妨碍其他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的竞争行为、损害采购人或者其他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仅提交备份投标文件，未在电子交易平台传输递交投标文件的，投标无效；</w:t>
      </w:r>
    </w:p>
    <w:p>
      <w:pPr>
        <w:pStyle w:val="7"/>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采购文件</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w:t>
      </w:r>
      <w:r>
        <w:rPr>
          <w:rFonts w:hint="eastAsia" w:cs="宋体"/>
          <w:color w:val="000000" w:themeColor="text1"/>
          <w:highlight w:val="none"/>
          <w:lang w:eastAsia="zh-CN"/>
          <w14:textFill>
            <w14:solidFill>
              <w14:schemeClr w14:val="tx1"/>
            </w14:solidFill>
          </w14:textFill>
        </w:rPr>
        <w:t>采购文件</w:t>
      </w:r>
      <w:r>
        <w:rPr>
          <w:rFonts w:hint="eastAsia" w:cs="宋体"/>
          <w:color w:val="000000" w:themeColor="text1"/>
          <w:highlight w:val="none"/>
          <w14:textFill>
            <w14:solidFill>
              <w14:schemeClr w14:val="tx1"/>
            </w14:solidFill>
          </w14:textFill>
        </w:rPr>
        <w:t>作实质响应的供应商不足3家的；</w:t>
      </w:r>
    </w:p>
    <w:p>
      <w:pPr>
        <w:pStyle w:val="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w:t>
      </w:r>
      <w:r>
        <w:rPr>
          <w:rFonts w:hint="eastAsia" w:cs="宋体"/>
          <w:color w:val="000000" w:themeColor="text1"/>
          <w:highlight w:val="none"/>
          <w:lang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的报价均超过了采购预算，采购人不能支付的；</w:t>
      </w:r>
    </w:p>
    <w:p>
      <w:pPr>
        <w:pStyle w:val="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废标后，采购机构应当将废标理由通知所有</w:t>
      </w:r>
      <w:r>
        <w:rPr>
          <w:rFonts w:hint="eastAsia" w:cs="宋体"/>
          <w:color w:val="000000" w:themeColor="text1"/>
          <w:highlight w:val="none"/>
          <w:lang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w:t>
      </w:r>
    </w:p>
    <w:p>
      <w:pPr>
        <w:pStyle w:val="4"/>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w:t>
      </w:r>
      <w:r>
        <w:rPr>
          <w:rFonts w:hint="eastAsia" w:cs="宋体"/>
          <w:b/>
          <w:color w:val="000000" w:themeColor="text1"/>
          <w:highlight w:val="none"/>
          <w:lang w:eastAsia="zh-CN"/>
          <w14:textFill>
            <w14:solidFill>
              <w14:schemeClr w14:val="tx1"/>
            </w14:solidFill>
          </w14:textFill>
        </w:rPr>
        <w:t>采购文件</w:t>
      </w:r>
      <w:r>
        <w:rPr>
          <w:rFonts w:hint="eastAsia" w:cs="宋体"/>
          <w:b/>
          <w:color w:val="000000" w:themeColor="text1"/>
          <w:highlight w:val="none"/>
          <w14:textFill>
            <w14:solidFill>
              <w14:schemeClr w14:val="tx1"/>
            </w14:solidFill>
          </w14:textFill>
        </w:rPr>
        <w:t>，重新组织采购活动。</w:t>
      </w:r>
      <w:r>
        <w:rPr>
          <w:rFonts w:hint="eastAsia" w:cs="宋体"/>
          <w:color w:val="000000" w:themeColor="text1"/>
          <w:highlight w:val="none"/>
          <w14:textFill>
            <w14:solidFill>
              <w14:schemeClr w14:val="tx1"/>
            </w14:solidFill>
          </w14:textFill>
        </w:rPr>
        <w:t>评标委员会发现</w:t>
      </w:r>
      <w:r>
        <w:rPr>
          <w:rFonts w:hint="eastAsia" w:cs="宋体"/>
          <w:color w:val="000000" w:themeColor="text1"/>
          <w:highlight w:val="none"/>
          <w:lang w:eastAsia="zh-CN"/>
          <w14:textFill>
            <w14:solidFill>
              <w14:schemeClr w14:val="tx1"/>
            </w14:solidFill>
          </w14:textFill>
        </w:rPr>
        <w:t>采购文件</w:t>
      </w:r>
      <w:r>
        <w:rPr>
          <w:rFonts w:hint="eastAsia" w:cs="宋体"/>
          <w:color w:val="000000" w:themeColor="text1"/>
          <w:highlight w:val="none"/>
          <w14:textFill>
            <w14:solidFill>
              <w14:schemeClr w14:val="tx1"/>
            </w14:solidFill>
          </w14:textFill>
        </w:rPr>
        <w:t>存在歧义、重大缺陷导致评标工作无法进行，或者</w:t>
      </w:r>
      <w:r>
        <w:rPr>
          <w:rFonts w:hint="eastAsia" w:cs="宋体"/>
          <w:color w:val="000000" w:themeColor="text1"/>
          <w:highlight w:val="none"/>
          <w:lang w:eastAsia="zh-CN"/>
          <w14:textFill>
            <w14:solidFill>
              <w14:schemeClr w14:val="tx1"/>
            </w14:solidFill>
          </w14:textFill>
        </w:rPr>
        <w:t>采购文件</w:t>
      </w:r>
      <w:r>
        <w:rPr>
          <w:rFonts w:hint="eastAsia" w:cs="宋体"/>
          <w:color w:val="000000" w:themeColor="text1"/>
          <w:highlight w:val="none"/>
          <w14:textFill>
            <w14:solidFill>
              <w14:schemeClr w14:val="tx1"/>
            </w14:solidFill>
          </w14:textFill>
        </w:rPr>
        <w:t>内容违反国家有关强制性规定的，将停止评标工作，并与采购人、采购机构沟通并作书面记录。采购人、采购机构确认后，将修改</w:t>
      </w:r>
      <w:r>
        <w:rPr>
          <w:rFonts w:hint="eastAsia" w:cs="宋体"/>
          <w:color w:val="000000" w:themeColor="text1"/>
          <w:highlight w:val="none"/>
          <w:lang w:eastAsia="zh-CN"/>
          <w14:textFill>
            <w14:solidFill>
              <w14:schemeClr w14:val="tx1"/>
            </w14:solidFill>
          </w14:textFill>
        </w:rPr>
        <w:t>采购文件</w:t>
      </w:r>
      <w:r>
        <w:rPr>
          <w:rFonts w:hint="eastAsia" w:cs="宋体"/>
          <w:color w:val="000000" w:themeColor="text1"/>
          <w:highlight w:val="none"/>
          <w14:textFill>
            <w14:solidFill>
              <w14:schemeClr w14:val="tx1"/>
            </w14:solidFill>
          </w14:textFill>
        </w:rPr>
        <w:t>，重新组织采购活动。</w:t>
      </w:r>
    </w:p>
    <w:p>
      <w:pPr>
        <w:pStyle w:val="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4"/>
        <w:snapToGrid w:val="0"/>
        <w:spacing w:line="360" w:lineRule="auto"/>
        <w:ind w:firstLine="0" w:firstLineChars="0"/>
        <w:rPr>
          <w:rFonts w:cs="宋体"/>
          <w:color w:val="000000" w:themeColor="text1"/>
          <w:highlight w:val="none"/>
          <w14:textFill>
            <w14:solidFill>
              <w14:schemeClr w14:val="tx1"/>
            </w14:solidFill>
          </w14:textFill>
        </w:rPr>
      </w:pPr>
    </w:p>
    <w:bookmarkEnd w:id="26"/>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4" w:name="第五部分"/>
      <w:bookmarkStart w:id="395" w:name="_Toc86217003"/>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p>
    <w:p>
      <w:pPr>
        <w:pStyle w:val="700"/>
        <w:spacing w:after="0"/>
        <w:ind w:firstLine="482"/>
        <w:jc w:val="center"/>
        <w:rPr>
          <w:rFonts w:ascii="宋体" w:hAnsi="宋体" w:cs="宋体"/>
          <w:b/>
          <w:color w:val="000000" w:themeColor="text1"/>
          <w:szCs w:val="24"/>
          <w:highlight w:val="none"/>
          <w14:textFill>
            <w14:solidFill>
              <w14:schemeClr w14:val="tx1"/>
            </w14:solidFill>
          </w14:textFill>
        </w:rPr>
      </w:pPr>
    </w:p>
    <w:p>
      <w:pPr>
        <w:pStyle w:val="700"/>
        <w:spacing w:after="0"/>
        <w:ind w:left="0" w:leftChars="0"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服务采购合同书</w:t>
      </w:r>
    </w:p>
    <w:p>
      <w:pPr>
        <w:pStyle w:val="700"/>
        <w:spacing w:after="0"/>
        <w:rPr>
          <w:rFonts w:ascii="宋体" w:hAnsi="宋体" w:cs="宋体"/>
          <w:color w:val="000000" w:themeColor="text1"/>
          <w:szCs w:val="24"/>
          <w:highlight w:val="none"/>
          <w14:textFill>
            <w14:solidFill>
              <w14:schemeClr w14:val="tx1"/>
            </w14:solidFill>
          </w14:textFill>
        </w:rPr>
      </w:pPr>
    </w:p>
    <w:p>
      <w:pPr>
        <w:pStyle w:val="700"/>
        <w:spacing w:after="0"/>
        <w:rPr>
          <w:rFonts w:ascii="宋体" w:hAnsi="宋体" w:cs="宋体"/>
          <w:color w:val="000000" w:themeColor="text1"/>
          <w:szCs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pPr>
        <w:pStyle w:val="597"/>
        <w:rPr>
          <w:rFonts w:ascii="宋体" w:hAnsi="宋体" w:eastAsia="宋体" w:cs="宋体"/>
          <w:color w:val="000000" w:themeColor="text1"/>
          <w:szCs w:val="24"/>
          <w:highlight w:val="none"/>
          <w14:textFill>
            <w14:solidFill>
              <w14:schemeClr w14:val="tx1"/>
            </w14:solidFill>
          </w14:textFill>
        </w:rPr>
      </w:pPr>
    </w:p>
    <w:p>
      <w:pPr>
        <w:pStyle w:val="597"/>
        <w:rPr>
          <w:rFonts w:ascii="宋体" w:hAnsi="宋体" w:eastAsia="宋体" w:cs="宋体"/>
          <w:color w:val="000000" w:themeColor="text1"/>
          <w:szCs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autoSpaceDE w:val="0"/>
        <w:autoSpaceDN w:val="0"/>
        <w:spacing w:line="360" w:lineRule="auto"/>
        <w:ind w:firstLine="640"/>
        <w:jc w:val="center"/>
        <w:rPr>
          <w:rFonts w:ascii="宋体" w:hAnsi="宋体" w:cs="宋体"/>
          <w:color w:val="000000" w:themeColor="text1"/>
          <w:sz w:val="24"/>
          <w:highlight w:val="none"/>
          <w14:textFill>
            <w14:solidFill>
              <w14:schemeClr w14:val="tx1"/>
            </w14:solidFill>
          </w14:textFill>
        </w:rPr>
        <w:sectPr>
          <w:headerReference r:id="rId8" w:type="default"/>
          <w:footerReference r:id="rId9" w:type="default"/>
          <w:pgSz w:w="11907" w:h="16840"/>
          <w:pgMar w:top="1304" w:right="1304" w:bottom="1304" w:left="1304" w:header="851" w:footer="851" w:gutter="0"/>
          <w:cols w:space="720" w:num="1"/>
          <w:docGrid w:linePitch="462" w:charSpace="0"/>
        </w:sectPr>
      </w:pPr>
    </w:p>
    <w:p>
      <w:pPr>
        <w:autoSpaceDE w:val="0"/>
        <w:autoSpaceDN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396" w:name="_Toc24059"/>
      <w:bookmarkStart w:id="397" w:name="_Toc2232"/>
      <w:bookmarkStart w:id="398" w:name="_Toc3029"/>
      <w:r>
        <w:rPr>
          <w:rFonts w:hint="eastAsia" w:ascii="宋体" w:hAnsi="宋体" w:cs="宋体"/>
          <w:color w:val="000000" w:themeColor="text1"/>
          <w:sz w:val="24"/>
          <w:highlight w:val="none"/>
          <w14:textFill>
            <w14:solidFill>
              <w14:schemeClr w14:val="tx1"/>
            </w14:solidFill>
          </w14:textFill>
        </w:rPr>
        <w:t>经甲、乙双方充分协商，本着平等互利、诚实信用原则，依据《中华人民共和国民法典》及其它有关法律、法规，双方就甲方委托乙方开展保安服务的相关事宜，签订本合同。</w:t>
      </w:r>
    </w:p>
    <w:bookmarkEnd w:id="396"/>
    <w:bookmarkEnd w:id="397"/>
    <w:bookmarkEnd w:id="398"/>
    <w:p>
      <w:pPr>
        <w:tabs>
          <w:tab w:val="left" w:pos="425"/>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一、项目名称: </w:t>
      </w:r>
      <w:r>
        <w:rPr>
          <w:rFonts w:hint="eastAsia" w:asciiTheme="minorEastAsia" w:hAnsiTheme="minorEastAsia" w:eastAsiaTheme="minorEastAsia"/>
          <w:color w:val="000000" w:themeColor="text1"/>
          <w:sz w:val="24"/>
          <w:highlight w:val="none"/>
          <w:u w:val="single"/>
          <w14:textFill>
            <w14:solidFill>
              <w14:schemeClr w14:val="tx1"/>
            </w14:solidFill>
          </w14:textFill>
        </w:rPr>
        <w:t>中国（杭州）国际园林博览会园博园概念规划编制</w:t>
      </w:r>
    </w:p>
    <w:p>
      <w:pPr>
        <w:tabs>
          <w:tab w:val="left" w:pos="425"/>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w:t>
      </w:r>
      <w:r>
        <w:rPr>
          <w:rFonts w:asciiTheme="minorEastAsia" w:hAnsiTheme="minorEastAsia" w:eastAsiaTheme="minorEastAsia"/>
          <w:color w:val="000000" w:themeColor="text1"/>
          <w:sz w:val="24"/>
          <w:highlight w:val="none"/>
          <w14:textFill>
            <w14:solidFill>
              <w14:schemeClr w14:val="tx1"/>
            </w14:solidFill>
          </w14:textFill>
        </w:rPr>
        <w:t>服务内容：</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（一）项目概况</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根据杭州市申报第十五届中国国际园林博览会的要求，编制中国（杭州）国际园林博览会园博园概念性规划，包含园博会主题理念、园博园总体规划、分区规划、交通、水韧性、配套设施、植物景观等专项规划、造价估算、及园博园展后利用规划等内容。</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（二）服务内容及要求</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完成《中国（杭州）国际园林博览会园博园概念性规划》的编制工作。</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1、根据住建部《中国国际园林博览会管理办法》（建城〔2020〕25号），对于园博会申办和筹备的要求、申办报告的要点，分析研究城市特色、参选优势。</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2、充分利用新理念、新方式、新技术，通过生态修复方式进行总体规划。</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3、根据选址场地条件，展园及展馆规划遊循“适用、经济、绿色、美观”的建筑方针，充分利用改造存量建筑。</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4、规划方案要具有特色与创新点，重点展示城市创新、协调、绿色、开放、共享发展的成果。</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5、制定切实可行的展后利用规划。</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（三）进度要求</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1、规划编制初稿提交时间：2022年   月   日前；</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2、规划编制送审稿提交时间：2022年   月   日前；</w:t>
      </w:r>
    </w:p>
    <w:p>
      <w:pPr>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3、规划编制成果稿提交时间：2022年   月   日前。</w:t>
      </w:r>
    </w:p>
    <w:p>
      <w:pPr>
        <w:tabs>
          <w:tab w:val="left" w:pos="0"/>
        </w:tabs>
        <w:snapToGrid w:val="0"/>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（四）编制成果要求</w:t>
      </w:r>
    </w:p>
    <w:p>
      <w:pPr>
        <w:tabs>
          <w:tab w:val="left" w:pos="0"/>
        </w:tabs>
        <w:snapToGrid w:val="0"/>
        <w:spacing w:line="360" w:lineRule="auto"/>
        <w:ind w:firstLine="480"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编制成果包括初稿、送审稿和成果稿等三个阶段成果。初稿提交电子文档1套；送审成果提交1套（装订成A3规格），电子文档1套；最终成果提交6套（装订成A3规格），电子文档（光盘）1套（具体数量根据实际需求有所变动）</w:t>
      </w:r>
      <w:r>
        <w:rPr>
          <w:rFonts w:hint="eastAsia" w:ascii="宋体" w:hAnsi="宋体" w:cs="宋体"/>
          <w:color w:val="000000" w:themeColor="text1"/>
          <w:sz w:val="24"/>
          <w:szCs w:val="21"/>
          <w:highlight w:val="none"/>
          <w14:textFill>
            <w14:solidFill>
              <w14:schemeClr w14:val="tx1"/>
            </w14:solidFill>
          </w14:textFill>
        </w:rPr>
        <w:t>。</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三、</w:t>
      </w:r>
      <w:r>
        <w:rPr>
          <w:rFonts w:asciiTheme="minorEastAsia" w:hAnsiTheme="minorEastAsia" w:eastAsiaTheme="minorEastAsia"/>
          <w:color w:val="000000" w:themeColor="text1"/>
          <w:sz w:val="24"/>
          <w:highlight w:val="none"/>
          <w14:textFill>
            <w14:solidFill>
              <w14:schemeClr w14:val="tx1"/>
            </w14:solidFill>
          </w14:textFill>
        </w:rPr>
        <w:t>合同金额</w:t>
      </w:r>
    </w:p>
    <w:p>
      <w:pPr>
        <w:tabs>
          <w:tab w:val="left" w:pos="0"/>
          <w:tab w:val="left" w:pos="425"/>
          <w:tab w:val="left" w:pos="540"/>
          <w:tab w:val="left" w:pos="720"/>
          <w:tab w:val="left" w:pos="747"/>
          <w:tab w:val="left" w:pos="840"/>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合同总金额（大写）:</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元)人民币。</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四、</w:t>
      </w:r>
      <w:r>
        <w:rPr>
          <w:rFonts w:asciiTheme="minorEastAsia" w:hAnsiTheme="minorEastAsia" w:eastAsiaTheme="minorEastAsia"/>
          <w:color w:val="000000" w:themeColor="text1"/>
          <w:sz w:val="24"/>
          <w:highlight w:val="none"/>
          <w14:textFill>
            <w14:solidFill>
              <w14:schemeClr w14:val="tx1"/>
            </w14:solidFill>
          </w14:textFill>
        </w:rPr>
        <w:t>服务期限：</w:t>
      </w:r>
      <w:r>
        <w:rPr>
          <w:rFonts w:hint="eastAsia"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年</w:t>
      </w:r>
      <w:r>
        <w:rPr>
          <w:rFonts w:hint="eastAsia"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月</w:t>
      </w:r>
      <w:r>
        <w:rPr>
          <w:rFonts w:hint="eastAsia"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日至</w:t>
      </w:r>
      <w:r>
        <w:rPr>
          <w:rFonts w:hint="eastAsia"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年</w:t>
      </w:r>
      <w:r>
        <w:rPr>
          <w:rFonts w:hint="eastAsia"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月</w:t>
      </w:r>
      <w:r>
        <w:rPr>
          <w:rFonts w:hint="eastAsia"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日</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五、</w:t>
      </w:r>
      <w:r>
        <w:rPr>
          <w:rFonts w:asciiTheme="minorEastAsia" w:hAnsiTheme="minorEastAsia" w:eastAsiaTheme="minorEastAsia"/>
          <w:color w:val="000000" w:themeColor="text1"/>
          <w:sz w:val="24"/>
          <w:highlight w:val="none"/>
          <w14:textFill>
            <w14:solidFill>
              <w14:schemeClr w14:val="tx1"/>
            </w14:solidFill>
          </w14:textFill>
        </w:rPr>
        <w:t>税费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本合同执行中相关的一切税费均由乙方承担。</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六、合同</w:t>
      </w:r>
      <w:r>
        <w:rPr>
          <w:rFonts w:asciiTheme="minorEastAsia" w:hAnsiTheme="minorEastAsia" w:eastAsiaTheme="minorEastAsia"/>
          <w:color w:val="000000" w:themeColor="text1"/>
          <w:sz w:val="24"/>
          <w:highlight w:val="none"/>
          <w14:textFill>
            <w14:solidFill>
              <w14:schemeClr w14:val="tx1"/>
            </w14:solidFill>
          </w14:textFill>
        </w:rPr>
        <w:t>变更</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采购合同履行中，甲方需追加与合同标的相同的货物或者服务的，在不改变合同其他条款的前提下，可以与乙方协商签订补充合同，但所有补充合同的采购金额不得超过原合同采购金额的百分之十。</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当变更只是采购量增减时，按投标报价明细单中的单价</w:t>
      </w:r>
      <w:r>
        <w:rPr>
          <w:rFonts w:hint="eastAsia" w:asciiTheme="minorEastAsia" w:hAnsiTheme="minorEastAsia" w:eastAsiaTheme="minorEastAsia"/>
          <w:color w:val="000000" w:themeColor="text1"/>
          <w:sz w:val="24"/>
          <w:highlight w:val="none"/>
          <w14:textFill>
            <w14:solidFill>
              <w14:schemeClr w14:val="tx1"/>
            </w14:solidFill>
          </w14:textFill>
        </w:rPr>
        <w:t>按实结算</w:t>
      </w:r>
      <w:r>
        <w:rPr>
          <w:rFonts w:asciiTheme="minorEastAsia" w:hAnsiTheme="minorEastAsia" w:eastAsiaTheme="minorEastAsia"/>
          <w:color w:val="000000" w:themeColor="text1"/>
          <w:sz w:val="24"/>
          <w:highlight w:val="none"/>
          <w14:textFill>
            <w14:solidFill>
              <w14:schemeClr w14:val="tx1"/>
            </w14:solidFill>
          </w14:textFill>
        </w:rPr>
        <w:t>。</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七、</w:t>
      </w:r>
      <w:r>
        <w:rPr>
          <w:rFonts w:asciiTheme="minorEastAsia" w:hAnsiTheme="minorEastAsia" w:eastAsiaTheme="minorEastAsia"/>
          <w:color w:val="000000" w:themeColor="text1"/>
          <w:sz w:val="24"/>
          <w:highlight w:val="none"/>
          <w14:textFill>
            <w14:solidFill>
              <w14:schemeClr w14:val="tx1"/>
            </w14:solidFill>
          </w14:textFill>
        </w:rPr>
        <w:t>专利权</w:t>
      </w:r>
      <w:r>
        <w:rPr>
          <w:rFonts w:hint="eastAsia" w:asciiTheme="minorEastAsia" w:hAnsiTheme="minorEastAsia" w:eastAsiaTheme="minorEastAsia"/>
          <w:color w:val="000000" w:themeColor="text1"/>
          <w:sz w:val="24"/>
          <w:highlight w:val="none"/>
          <w14:textFill>
            <w14:solidFill>
              <w14:schemeClr w14:val="tx1"/>
            </w14:solidFill>
          </w14:textFill>
        </w:rPr>
        <w:t>及保密</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乙方应承诺保护甲方在使用合同服务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2、乙方对甲方提供的业务资料、技术资料应严格保密，不得扩散。</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八、</w:t>
      </w:r>
      <w:r>
        <w:rPr>
          <w:rFonts w:asciiTheme="minorEastAsia" w:hAnsiTheme="minorEastAsia" w:eastAsiaTheme="minorEastAsia"/>
          <w:color w:val="000000" w:themeColor="text1"/>
          <w:sz w:val="24"/>
          <w:highlight w:val="none"/>
          <w14:textFill>
            <w14:solidFill>
              <w14:schemeClr w14:val="tx1"/>
            </w14:solidFill>
          </w14:textFill>
        </w:rPr>
        <w:t>验收</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由甲方负责进行验收考核，乙方协助。</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甲方在乙方提供相关服务的过程中，不定期对服务内容和质量进行考核。不达要求者，乙方承担一切损失和费用。</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九、</w:t>
      </w:r>
      <w:r>
        <w:rPr>
          <w:rFonts w:asciiTheme="minorEastAsia" w:hAnsiTheme="minorEastAsia" w:eastAsiaTheme="minorEastAsia"/>
          <w:color w:val="000000" w:themeColor="text1"/>
          <w:sz w:val="24"/>
          <w:highlight w:val="none"/>
          <w14:textFill>
            <w14:solidFill>
              <w14:schemeClr w14:val="tx1"/>
            </w14:solidFill>
          </w14:textFill>
        </w:rPr>
        <w:t>结算原则</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采购文件</w:t>
      </w:r>
      <w:r>
        <w:rPr>
          <w:rFonts w:asciiTheme="minorEastAsia" w:hAnsiTheme="minorEastAsia" w:eastAsiaTheme="minorEastAsia"/>
          <w:color w:val="000000" w:themeColor="text1"/>
          <w:sz w:val="24"/>
          <w:highlight w:val="none"/>
          <w14:textFill>
            <w14:solidFill>
              <w14:schemeClr w14:val="tx1"/>
            </w14:solidFill>
          </w14:textFill>
        </w:rPr>
        <w:t>及其补充文件、投标文件、询标纪要、中标通知书、</w:t>
      </w:r>
      <w:r>
        <w:rPr>
          <w:rFonts w:hint="eastAsia" w:asciiTheme="minorEastAsia" w:hAnsiTheme="minorEastAsia" w:eastAsiaTheme="minorEastAsia"/>
          <w:color w:val="000000" w:themeColor="text1"/>
          <w:sz w:val="24"/>
          <w:highlight w:val="none"/>
          <w14:textFill>
            <w14:solidFill>
              <w14:schemeClr w14:val="tx1"/>
            </w14:solidFill>
          </w14:textFill>
        </w:rPr>
        <w:t>服务</w:t>
      </w:r>
      <w:r>
        <w:rPr>
          <w:rFonts w:asciiTheme="minorEastAsia" w:hAnsiTheme="minorEastAsia" w:eastAsiaTheme="minorEastAsia"/>
          <w:color w:val="000000" w:themeColor="text1"/>
          <w:sz w:val="24"/>
          <w:highlight w:val="none"/>
          <w14:textFill>
            <w14:solidFill>
              <w14:schemeClr w14:val="tx1"/>
            </w14:solidFill>
          </w14:textFill>
        </w:rPr>
        <w:t>合同等作为结算依据；</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中标单价一次性包死，不再调整，经甲方分级审批认可的</w:t>
      </w:r>
      <w:r>
        <w:rPr>
          <w:rFonts w:hint="eastAsia" w:asciiTheme="minorEastAsia" w:hAnsiTheme="minorEastAsia" w:eastAsiaTheme="minorEastAsia"/>
          <w:color w:val="000000" w:themeColor="text1"/>
          <w:sz w:val="24"/>
          <w:highlight w:val="none"/>
          <w14:textFill>
            <w14:solidFill>
              <w14:schemeClr w14:val="tx1"/>
            </w14:solidFill>
          </w14:textFill>
        </w:rPr>
        <w:t>数量</w:t>
      </w:r>
      <w:r>
        <w:rPr>
          <w:rFonts w:asciiTheme="minorEastAsia" w:hAnsiTheme="minorEastAsia" w:eastAsiaTheme="minorEastAsia"/>
          <w:color w:val="000000" w:themeColor="text1"/>
          <w:sz w:val="24"/>
          <w:highlight w:val="none"/>
          <w14:textFill>
            <w14:solidFill>
              <w14:schemeClr w14:val="tx1"/>
            </w14:solidFill>
          </w14:textFill>
        </w:rPr>
        <w:t>增减，在决算时按中标单价和实际数量调整。</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十、</w:t>
      </w:r>
      <w:r>
        <w:rPr>
          <w:rFonts w:asciiTheme="minorEastAsia" w:hAnsiTheme="minorEastAsia" w:eastAsiaTheme="minorEastAsia"/>
          <w:color w:val="000000" w:themeColor="text1"/>
          <w:sz w:val="24"/>
          <w:highlight w:val="none"/>
          <w14:textFill>
            <w14:solidFill>
              <w14:schemeClr w14:val="tx1"/>
            </w14:solidFill>
          </w14:textFill>
        </w:rPr>
        <w:t>付款方式</w:t>
      </w:r>
    </w:p>
    <w:p>
      <w:pPr>
        <w:tabs>
          <w:tab w:val="left" w:pos="425"/>
          <w:tab w:val="left" w:pos="567"/>
        </w:tabs>
        <w:snapToGri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1、乙方在签定合同后7日内向甲方交纳合同</w:t>
      </w:r>
      <w:r>
        <w:rPr>
          <w:rFonts w:hint="eastAsia" w:asciiTheme="minorEastAsia" w:hAnsiTheme="minorEastAsia" w:eastAsiaTheme="minorEastAsia"/>
          <w:bCs/>
          <w:color w:val="000000" w:themeColor="text1"/>
          <w:sz w:val="24"/>
          <w:highlight w:val="none"/>
          <w14:textFill>
            <w14:solidFill>
              <w14:schemeClr w14:val="tx1"/>
            </w14:solidFill>
          </w14:textFill>
        </w:rPr>
        <w:t>总价</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bCs/>
          <w:color w:val="000000" w:themeColor="text1"/>
          <w:sz w:val="24"/>
          <w:highlight w:val="none"/>
          <w14:textFill>
            <w14:solidFill>
              <w14:schemeClr w14:val="tx1"/>
            </w14:solidFill>
          </w14:textFill>
        </w:rPr>
        <w:t>%的</w:t>
      </w:r>
      <w:r>
        <w:rPr>
          <w:rFonts w:hint="eastAsia" w:asciiTheme="minorEastAsia" w:hAnsiTheme="minorEastAsia" w:eastAsiaTheme="minorEastAsia"/>
          <w:bCs/>
          <w:color w:val="000000" w:themeColor="text1"/>
          <w:sz w:val="24"/>
          <w:highlight w:val="none"/>
          <w14:textFill>
            <w14:solidFill>
              <w14:schemeClr w14:val="tx1"/>
            </w14:solidFill>
          </w14:textFill>
        </w:rPr>
        <w:t>履约保证金（履约保函）。履约保证金有效期自合同签定之日起至服务期满后为止。服务期满，乙方服务质量经甲方确认合格后10日内退还（无息）。</w:t>
      </w:r>
    </w:p>
    <w:p>
      <w:pPr>
        <w:tabs>
          <w:tab w:val="left" w:pos="425"/>
          <w:tab w:val="left" w:pos="567"/>
        </w:tabs>
        <w:snapToGrid w:val="0"/>
        <w:spacing w:line="360" w:lineRule="auto"/>
        <w:ind w:firstLine="480" w:firstLineChars="200"/>
        <w:rPr>
          <w:color w:val="000000" w:themeColor="text1"/>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2、支付方式</w:t>
      </w:r>
    </w:p>
    <w:tbl>
      <w:tblPr>
        <w:tblStyle w:val="6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7"/>
        <w:gridCol w:w="1950"/>
        <w:gridCol w:w="5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903" w:type="pct"/>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付费阶段</w:t>
            </w:r>
          </w:p>
        </w:tc>
        <w:tc>
          <w:tcPr>
            <w:tcW w:w="1050" w:type="pct"/>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合同价（</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tc>
        <w:tc>
          <w:tcPr>
            <w:tcW w:w="3047" w:type="pct"/>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付费时间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03" w:type="pct"/>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第一次付费</w:t>
            </w:r>
          </w:p>
        </w:tc>
        <w:tc>
          <w:tcPr>
            <w:tcW w:w="1050" w:type="pct"/>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w:t>
            </w:r>
          </w:p>
        </w:tc>
        <w:tc>
          <w:tcPr>
            <w:tcW w:w="3047" w:type="pct"/>
            <w:vAlign w:val="center"/>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签订合同后7个工作日内支付</w:t>
            </w:r>
            <w:r>
              <w:rPr>
                <w:rFonts w:ascii="宋体" w:hAnsi="宋体"/>
                <w:color w:val="000000" w:themeColor="text1"/>
                <w:sz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903" w:type="pct"/>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第二次付费</w:t>
            </w:r>
          </w:p>
        </w:tc>
        <w:tc>
          <w:tcPr>
            <w:tcW w:w="1050" w:type="pct"/>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40</w:t>
            </w:r>
          </w:p>
        </w:tc>
        <w:tc>
          <w:tcPr>
            <w:tcW w:w="3047" w:type="pct"/>
            <w:vAlign w:val="center"/>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提交规划编制送审稿后，通过专家初评后15个工作日</w:t>
            </w:r>
            <w:r>
              <w:rPr>
                <w:rFonts w:ascii="宋体" w:hAnsi="宋体"/>
                <w:color w:val="000000" w:themeColor="text1"/>
                <w:sz w:val="24"/>
                <w:highlight w:val="none"/>
                <w14:textFill>
                  <w14:solidFill>
                    <w14:schemeClr w14:val="tx1"/>
                  </w14:solidFill>
                </w14:textFill>
              </w:rPr>
              <w:t>内支付。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903" w:type="pct"/>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第三次付费</w:t>
            </w:r>
          </w:p>
        </w:tc>
        <w:tc>
          <w:tcPr>
            <w:tcW w:w="1050" w:type="pct"/>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w:t>
            </w:r>
          </w:p>
        </w:tc>
        <w:tc>
          <w:tcPr>
            <w:tcW w:w="3047" w:type="pct"/>
            <w:vAlign w:val="center"/>
          </w:tcPr>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提交</w:t>
            </w:r>
            <w:r>
              <w:rPr>
                <w:rFonts w:hint="eastAsia" w:ascii="宋体" w:hAnsi="宋体" w:cs="宋体"/>
                <w:color w:val="000000" w:themeColor="text1"/>
                <w:sz w:val="24"/>
                <w:szCs w:val="21"/>
                <w:highlight w:val="none"/>
                <w14:textFill>
                  <w14:solidFill>
                    <w14:schemeClr w14:val="tx1"/>
                  </w14:solidFill>
                </w14:textFill>
              </w:rPr>
              <w:t>规划编制成果稿经通过甲方确认后，</w:t>
            </w:r>
            <w:r>
              <w:rPr>
                <w:rFonts w:ascii="宋体" w:hAnsi="宋体"/>
                <w:color w:val="000000" w:themeColor="text1"/>
                <w:sz w:val="24"/>
                <w:highlight w:val="none"/>
                <w14:textFill>
                  <w14:solidFill>
                    <w14:schemeClr w14:val="tx1"/>
                  </w14:solidFill>
                </w14:textFill>
              </w:rPr>
              <w:t>15个工作日内支付。</w:t>
            </w:r>
          </w:p>
        </w:tc>
      </w:tr>
    </w:tbl>
    <w:p>
      <w:pPr>
        <w:rPr>
          <w:color w:val="000000" w:themeColor="text1"/>
          <w:highlight w:val="none"/>
          <w14:textFill>
            <w14:solidFill>
              <w14:schemeClr w14:val="tx1"/>
            </w14:solidFill>
          </w14:textFill>
        </w:rPr>
      </w:pP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乙方收款账号：</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十一、</w:t>
      </w:r>
      <w:r>
        <w:rPr>
          <w:rFonts w:asciiTheme="minorEastAsia" w:hAnsiTheme="minorEastAsia" w:eastAsiaTheme="minorEastAsia"/>
          <w:color w:val="000000" w:themeColor="text1"/>
          <w:sz w:val="24"/>
          <w:highlight w:val="none"/>
          <w14:textFill>
            <w14:solidFill>
              <w14:schemeClr w14:val="tx1"/>
            </w14:solidFill>
          </w14:textFill>
        </w:rPr>
        <w:t>合同修改与解除</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本合同供需双方的任何一方无权对合同内容进行修改，本合同如需修改，必须达成书面协议，并作为该合同的有效组成部分。</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合同可以经双方协商一致解除，或按照</w:t>
      </w:r>
      <w:bookmarkStart w:id="399" w:name="_Hlk65057183"/>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中华人民共和国民法典</w:t>
      </w:r>
      <w:r>
        <w:rPr>
          <w:rFonts w:asciiTheme="minorEastAsia" w:hAnsiTheme="minorEastAsia" w:eastAsiaTheme="minorEastAsia"/>
          <w:color w:val="000000" w:themeColor="text1"/>
          <w:sz w:val="24"/>
          <w:highlight w:val="none"/>
          <w14:textFill>
            <w14:solidFill>
              <w14:schemeClr w14:val="tx1"/>
            </w14:solidFill>
          </w14:textFill>
        </w:rPr>
        <w:t>》</w:t>
      </w:r>
      <w:bookmarkEnd w:id="399"/>
      <w:r>
        <w:rPr>
          <w:rFonts w:asciiTheme="minorEastAsia" w:hAnsiTheme="minorEastAsia" w:eastAsiaTheme="minorEastAsia"/>
          <w:color w:val="000000" w:themeColor="text1"/>
          <w:sz w:val="24"/>
          <w:highlight w:val="none"/>
          <w14:textFill>
            <w14:solidFill>
              <w14:schemeClr w14:val="tx1"/>
            </w14:solidFill>
          </w14:textFill>
        </w:rPr>
        <w:t>的规定单方解除。</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合同经双方协商解除或因不可抗力解除的，供应商应返还甲方已支付的款项，并按照</w:t>
      </w:r>
      <w:r>
        <w:rPr>
          <w:rFonts w:hint="eastAsia" w:asciiTheme="minorEastAsia" w:hAnsiTheme="minorEastAsia" w:eastAsiaTheme="minorEastAsia"/>
          <w:color w:val="000000" w:themeColor="text1"/>
          <w:sz w:val="24"/>
          <w:highlight w:val="none"/>
          <w14:textFill>
            <w14:solidFill>
              <w14:schemeClr w14:val="tx1"/>
            </w14:solidFill>
          </w14:textFill>
        </w:rPr>
        <w:t>同期银行间同业拆借中心公布的贷款市场报价利率</w:t>
      </w:r>
      <w:r>
        <w:rPr>
          <w:rFonts w:asciiTheme="minorEastAsia" w:hAnsiTheme="minorEastAsia" w:eastAsiaTheme="minorEastAsia"/>
          <w:color w:val="000000" w:themeColor="text1"/>
          <w:sz w:val="24"/>
          <w:highlight w:val="none"/>
          <w14:textFill>
            <w14:solidFill>
              <w14:schemeClr w14:val="tx1"/>
            </w14:solidFill>
          </w14:textFill>
        </w:rPr>
        <w:t>支付利息。</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十二、</w:t>
      </w:r>
      <w:r>
        <w:rPr>
          <w:rFonts w:asciiTheme="minorEastAsia" w:hAnsiTheme="minorEastAsia" w:eastAsiaTheme="minorEastAsia"/>
          <w:color w:val="000000" w:themeColor="text1"/>
          <w:sz w:val="24"/>
          <w:highlight w:val="none"/>
          <w14:textFill>
            <w14:solidFill>
              <w14:schemeClr w14:val="tx1"/>
            </w14:solidFill>
          </w14:textFill>
        </w:rPr>
        <w:t>违约责任</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甲方无正当理由拒绝接受服务的，甲方向乙方偿付合同款项的百分之五作为违约金。</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lang w:val="zh-CN"/>
          <w14:textFill>
            <w14:solidFill>
              <w14:schemeClr w14:val="tx1"/>
            </w14:solidFill>
          </w14:textFill>
        </w:rPr>
        <w:t>甲方无故逾期验收和办理款项支付手续的，甲方应按逾期付款总额每日万分之五向乙方支付违约金</w:t>
      </w: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3、</w:t>
      </w:r>
      <w:r>
        <w:rPr>
          <w:rFonts w:asciiTheme="minorEastAsia" w:hAnsiTheme="minorEastAsia" w:eastAsiaTheme="minorEastAsia"/>
          <w:color w:val="000000" w:themeColor="text1"/>
          <w:sz w:val="24"/>
          <w:highlight w:val="none"/>
          <w:lang w:val="zh-CN"/>
          <w14:textFill>
            <w14:solidFill>
              <w14:schemeClr w14:val="tx1"/>
            </w14:solidFill>
          </w14:textFill>
        </w:rPr>
        <w:t>乙方未能如期提供服务的，每日向甲方支付合同款项的千分之六作为违约金。乙方超过约定日期10个工作日</w:t>
      </w:r>
      <w:r>
        <w:rPr>
          <w:rFonts w:hint="eastAsia" w:asciiTheme="minorEastAsia" w:hAnsiTheme="minorEastAsia" w:eastAsiaTheme="minorEastAsia"/>
          <w:color w:val="000000" w:themeColor="text1"/>
          <w:sz w:val="24"/>
          <w:highlight w:val="none"/>
          <w:lang w:val="zh-CN"/>
          <w14:textFill>
            <w14:solidFill>
              <w14:schemeClr w14:val="tx1"/>
            </w14:solidFill>
          </w14:textFill>
        </w:rPr>
        <w:t>仍</w:t>
      </w:r>
      <w:r>
        <w:rPr>
          <w:rFonts w:asciiTheme="minorEastAsia" w:hAnsiTheme="minorEastAsia" w:eastAsiaTheme="minorEastAsia"/>
          <w:color w:val="000000" w:themeColor="text1"/>
          <w:sz w:val="24"/>
          <w:highlight w:val="none"/>
          <w:lang w:val="zh-CN"/>
          <w14:textFill>
            <w14:solidFill>
              <w14:schemeClr w14:val="tx1"/>
            </w14:solidFill>
          </w14:textFill>
        </w:rPr>
        <w:t>不能提供服务的，甲方可解除本合同。乙方因未能如期提供服务或因其他违约行为导致甲方解除合同的，乙方应向甲方支付合同总值的百分之</w:t>
      </w:r>
      <w:r>
        <w:rPr>
          <w:rFonts w:hint="eastAsia" w:asciiTheme="minorEastAsia" w:hAnsiTheme="minorEastAsia" w:eastAsiaTheme="minorEastAsia"/>
          <w:color w:val="000000" w:themeColor="text1"/>
          <w:sz w:val="24"/>
          <w:highlight w:val="none"/>
          <w:lang w:val="zh-CN"/>
          <w14:textFill>
            <w14:solidFill>
              <w14:schemeClr w14:val="tx1"/>
            </w14:solidFill>
          </w14:textFill>
        </w:rPr>
        <w:t>十</w:t>
      </w:r>
      <w:r>
        <w:rPr>
          <w:rFonts w:asciiTheme="minorEastAsia" w:hAnsiTheme="minorEastAsia" w:eastAsiaTheme="minorEastAsia"/>
          <w:color w:val="000000" w:themeColor="text1"/>
          <w:sz w:val="24"/>
          <w:highlight w:val="none"/>
          <w:lang w:val="zh-CN"/>
          <w14:textFill>
            <w14:solidFill>
              <w14:schemeClr w14:val="tx1"/>
            </w14:solidFill>
          </w14:textFill>
        </w:rPr>
        <w:t>作为违约金，如造成甲方超过违约金的，超出部分由乙方继续承担赔偿责任。</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4、乙方必须在规定期间内完成</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采购文件</w:t>
      </w:r>
      <w:r>
        <w:rPr>
          <w:rFonts w:hint="eastAsia" w:asciiTheme="minorEastAsia" w:hAnsiTheme="minorEastAsia" w:eastAsiaTheme="minorEastAsia"/>
          <w:color w:val="000000" w:themeColor="text1"/>
          <w:sz w:val="24"/>
          <w:highlight w:val="none"/>
          <w14:textFill>
            <w14:solidFill>
              <w14:schemeClr w14:val="tx1"/>
            </w14:solidFill>
          </w14:textFill>
        </w:rPr>
        <w:t>要求和投标文件承诺的服务内容，并通过甲方的验收，否则甲方有权终止合同，并索回全部支付的货款，赔偿延误的损失。</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5、履行本合同的过程中，确因在乙方现有水平和条件下难以克服的技术困难，导致部分或全部失败所造成的损失，风险责任由乙方全部承担。</w:t>
      </w:r>
    </w:p>
    <w:p>
      <w:pPr>
        <w:tabs>
          <w:tab w:val="left" w:pos="425"/>
          <w:tab w:val="left" w:pos="56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十三、</w:t>
      </w:r>
      <w:r>
        <w:rPr>
          <w:rFonts w:asciiTheme="minorEastAsia" w:hAnsiTheme="minorEastAsia" w:eastAsiaTheme="minorEastAsia"/>
          <w:color w:val="000000" w:themeColor="text1"/>
          <w:sz w:val="24"/>
          <w:highlight w:val="none"/>
          <w14:textFill>
            <w14:solidFill>
              <w14:schemeClr w14:val="tx1"/>
            </w14:solidFill>
          </w14:textFill>
        </w:rPr>
        <w:t>争议处理</w:t>
      </w:r>
    </w:p>
    <w:p>
      <w:pPr>
        <w:tabs>
          <w:tab w:val="left" w:pos="425"/>
        </w:tabs>
        <w:snapToGrid w:val="0"/>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1）合同在履行过程中发生争议时，甲方与乙方及时协商解决。协商不成时，提请杭州仲裁委员会根据仲裁规则仲裁。</w:t>
      </w:r>
    </w:p>
    <w:p>
      <w:pPr>
        <w:tabs>
          <w:tab w:val="left" w:pos="425"/>
        </w:tabs>
        <w:snapToGrid w:val="0"/>
        <w:spacing w:line="360" w:lineRule="auto"/>
        <w:ind w:firstLine="480" w:firstLineChars="20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2）对于因违反或终止合同而引起的损失、损害的赔偿，由甲方与乙方友好协商解决，经协商仍未能达成一致的，提交杭州仲裁委员会仲裁。</w:t>
      </w:r>
    </w:p>
    <w:p>
      <w:pPr>
        <w:tabs>
          <w:tab w:val="left" w:pos="425"/>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十四、</w:t>
      </w:r>
      <w:r>
        <w:rPr>
          <w:rFonts w:asciiTheme="minorEastAsia" w:hAnsiTheme="minorEastAsia" w:eastAsiaTheme="minorEastAsia"/>
          <w:color w:val="000000" w:themeColor="text1"/>
          <w:sz w:val="24"/>
          <w:highlight w:val="none"/>
          <w14:textFill>
            <w14:solidFill>
              <w14:schemeClr w14:val="tx1"/>
            </w14:solidFill>
          </w14:textFill>
        </w:rPr>
        <w:t>不可抗力</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不可抗力是指《中华人民共和国</w:t>
      </w:r>
      <w:r>
        <w:rPr>
          <w:rFonts w:hint="eastAsia" w:asciiTheme="minorEastAsia" w:hAnsiTheme="minorEastAsia" w:eastAsiaTheme="minorEastAsia"/>
          <w:color w:val="000000" w:themeColor="text1"/>
          <w:sz w:val="24"/>
          <w:highlight w:val="none"/>
          <w14:textFill>
            <w14:solidFill>
              <w14:schemeClr w14:val="tx1"/>
            </w14:solidFill>
          </w14:textFill>
        </w:rPr>
        <w:t>民法典</w:t>
      </w:r>
      <w:r>
        <w:rPr>
          <w:rFonts w:asciiTheme="minorEastAsia" w:hAnsiTheme="minorEastAsia" w:eastAsiaTheme="minorEastAsia"/>
          <w:color w:val="000000" w:themeColor="text1"/>
          <w:sz w:val="24"/>
          <w:highlight w:val="none"/>
          <w14:textFill>
            <w14:solidFill>
              <w14:schemeClr w14:val="tx1"/>
            </w14:solidFill>
          </w14:textFill>
        </w:rPr>
        <w:t>》所列举的不可抗力。不可抗力一旦发生，证明文件由法律规定部门签署，并由甲、乙双方协商合同逾期履行和继续履行的方法，在此情况下，任何一方不能要求损失赔偿。</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2、受影响的一方应在不可抗力的事故发生后尽快以书面形式通知另一方，并在事故发生后</w:t>
      </w:r>
      <w:r>
        <w:rPr>
          <w:rFonts w:asciiTheme="minorEastAsia" w:hAnsiTheme="minorEastAsia" w:eastAsiaTheme="minorEastAsia"/>
          <w:color w:val="000000" w:themeColor="text1"/>
          <w:sz w:val="24"/>
          <w:highlight w:val="none"/>
          <w14:textFill>
            <w14:solidFill>
              <w14:schemeClr w14:val="tx1"/>
            </w14:solidFill>
          </w14:textFill>
        </w:rPr>
        <w:t>14</w:t>
      </w:r>
      <w:r>
        <w:rPr>
          <w:rFonts w:hint="eastAsia" w:asciiTheme="minorEastAsia" w:hAnsiTheme="minorEastAsia" w:eastAsiaTheme="minorEastAsia"/>
          <w:color w:val="000000" w:themeColor="text1"/>
          <w:sz w:val="24"/>
          <w:highlight w:val="none"/>
          <w14:textFill>
            <w14:solidFill>
              <w14:schemeClr w14:val="tx1"/>
            </w14:solidFill>
          </w14:textFill>
        </w:rPr>
        <w:t>天内，将有关部门出具的证明文件送给另一方。如果不可抗力的持续影响超过</w:t>
      </w:r>
      <w:r>
        <w:rPr>
          <w:rFonts w:asciiTheme="minorEastAsia" w:hAnsiTheme="minorEastAsia" w:eastAsiaTheme="minorEastAsia"/>
          <w:color w:val="000000" w:themeColor="text1"/>
          <w:sz w:val="24"/>
          <w:highlight w:val="none"/>
          <w14:textFill>
            <w14:solidFill>
              <w14:schemeClr w14:val="tx1"/>
            </w14:solidFill>
          </w14:textFill>
        </w:rPr>
        <w:t>10</w:t>
      </w:r>
      <w:r>
        <w:rPr>
          <w:rFonts w:hint="eastAsia" w:asciiTheme="minorEastAsia" w:hAnsiTheme="minorEastAsia" w:eastAsiaTheme="minorEastAsia"/>
          <w:color w:val="000000" w:themeColor="text1"/>
          <w:sz w:val="24"/>
          <w:highlight w:val="none"/>
          <w14:textFill>
            <w14:solidFill>
              <w14:schemeClr w14:val="tx1"/>
            </w14:solidFill>
          </w14:textFill>
        </w:rPr>
        <w:t>周，被影响的一方应通知另一方解决问题。如果另一方未能及时作出回应或在收到前者通知后</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个月内双方未能达成一致意见，被应影响的一方有权取消部分或全部的合同。解除合同后，乙方应返还未完成合同部分的费用。</w:t>
      </w:r>
    </w:p>
    <w:p>
      <w:pPr>
        <w:tabs>
          <w:tab w:val="left" w:pos="425"/>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十五、</w:t>
      </w:r>
      <w:r>
        <w:rPr>
          <w:rFonts w:asciiTheme="minorEastAsia" w:hAnsiTheme="minorEastAsia" w:eastAsiaTheme="minorEastAsia"/>
          <w:color w:val="000000" w:themeColor="text1"/>
          <w:sz w:val="24"/>
          <w:highlight w:val="none"/>
          <w14:textFill>
            <w14:solidFill>
              <w14:schemeClr w14:val="tx1"/>
            </w14:solidFill>
          </w14:textFill>
        </w:rPr>
        <w:t>合同的生效、变更与终止</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本合同由甲、乙双方签字盖章</w:t>
      </w:r>
      <w:r>
        <w:rPr>
          <w:rFonts w:hint="eastAsia" w:asciiTheme="minorEastAsia" w:hAnsiTheme="minorEastAsia" w:eastAsiaTheme="minorEastAsia"/>
          <w:color w:val="000000" w:themeColor="text1"/>
          <w:sz w:val="24"/>
          <w:highlight w:val="none"/>
          <w14:textFill>
            <w14:solidFill>
              <w14:schemeClr w14:val="tx1"/>
            </w14:solidFill>
          </w14:textFill>
        </w:rPr>
        <w:t>后</w:t>
      </w:r>
      <w:r>
        <w:rPr>
          <w:rFonts w:asciiTheme="minorEastAsia" w:hAnsiTheme="minorEastAsia" w:eastAsiaTheme="minorEastAsia"/>
          <w:color w:val="000000" w:themeColor="text1"/>
          <w:sz w:val="24"/>
          <w:highlight w:val="none"/>
          <w14:textFill>
            <w14:solidFill>
              <w14:schemeClr w14:val="tx1"/>
            </w14:solidFill>
          </w14:textFill>
        </w:rPr>
        <w:t>生效。</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合同履行期内甲乙双方均不得随意变更或解除合同。合同若有未尽事宜，需经双方共同协商，订立补充协议，补充协议与本合同有同等法律效力。</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乙方履行义务不符合国家有关规定或者合同约定，甲方可随时以书面形式通知乙方解除合同，并不免除乙方赔偿损失的责任。</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采购文件</w:t>
      </w:r>
      <w:r>
        <w:rPr>
          <w:rFonts w:hint="eastAsia" w:asciiTheme="minorEastAsia" w:hAnsiTheme="minorEastAsia" w:eastAsiaTheme="minorEastAsia"/>
          <w:color w:val="000000" w:themeColor="text1"/>
          <w:sz w:val="24"/>
          <w:highlight w:val="none"/>
          <w14:textFill>
            <w14:solidFill>
              <w14:schemeClr w14:val="tx1"/>
            </w14:solidFill>
          </w14:textFill>
        </w:rPr>
        <w:t>、投标文件及评标过程中形成的文字资料、询标纪要均作为本合同的组成部分，具有同等效力。</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乙方在本合同外通过书面形式或大众媒体方式公开做出的服务承诺，自动成为本合同的组成部分，但其中为用户设定的义务，未经甲方同意的，不成为本合同的组成部分。</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本合同如有未尽事项，由双方协商解决。协商不成的，提请</w:t>
      </w:r>
      <w:r>
        <w:rPr>
          <w:rFonts w:hint="eastAsia" w:asciiTheme="minorEastAsia" w:hAnsiTheme="minorEastAsia" w:eastAsiaTheme="minorEastAsia"/>
          <w:color w:val="000000" w:themeColor="text1"/>
          <w:sz w:val="24"/>
          <w:highlight w:val="none"/>
          <w:lang w:val="zh-CN"/>
          <w14:textFill>
            <w14:solidFill>
              <w14:schemeClr w14:val="tx1"/>
            </w14:solidFill>
          </w14:textFill>
        </w:rPr>
        <w:t>甲方所在地人民法院</w:t>
      </w:r>
      <w:r>
        <w:rPr>
          <w:rFonts w:asciiTheme="minorEastAsia" w:hAnsiTheme="minorEastAsia" w:eastAsiaTheme="minorEastAsia"/>
          <w:color w:val="000000" w:themeColor="text1"/>
          <w:sz w:val="24"/>
          <w:highlight w:val="none"/>
          <w14:textFill>
            <w14:solidFill>
              <w14:schemeClr w14:val="tx1"/>
            </w14:solidFill>
          </w14:textFill>
        </w:rPr>
        <w:t>仲裁。</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本合同一式</w:t>
      </w:r>
      <w:r>
        <w:rPr>
          <w:rFonts w:hint="eastAsia" w:asciiTheme="minorEastAsia" w:hAnsiTheme="minorEastAsia" w:eastAsiaTheme="minorEastAsia"/>
          <w:color w:val="000000" w:themeColor="text1"/>
          <w:sz w:val="24"/>
          <w:highlight w:val="none"/>
          <w14:textFill>
            <w14:solidFill>
              <w14:schemeClr w14:val="tx1"/>
            </w14:solidFill>
          </w14:textFill>
        </w:rPr>
        <w:t>肆</w:t>
      </w:r>
      <w:r>
        <w:rPr>
          <w:rFonts w:asciiTheme="minorEastAsia" w:hAnsiTheme="minorEastAsia" w:eastAsiaTheme="minorEastAsia"/>
          <w:color w:val="000000" w:themeColor="text1"/>
          <w:sz w:val="24"/>
          <w:highlight w:val="none"/>
          <w14:textFill>
            <w14:solidFill>
              <w14:schemeClr w14:val="tx1"/>
            </w14:solidFill>
          </w14:textFill>
        </w:rPr>
        <w:t>份，甲方、乙方各执</w:t>
      </w:r>
      <w:r>
        <w:rPr>
          <w:rFonts w:hint="eastAsia" w:asciiTheme="minorEastAsia" w:hAnsiTheme="minorEastAsia" w:eastAsiaTheme="minorEastAsia"/>
          <w:color w:val="000000" w:themeColor="text1"/>
          <w:sz w:val="24"/>
          <w:highlight w:val="none"/>
          <w14:textFill>
            <w14:solidFill>
              <w14:schemeClr w14:val="tx1"/>
            </w14:solidFill>
          </w14:textFill>
        </w:rPr>
        <w:t>贰</w:t>
      </w:r>
      <w:r>
        <w:rPr>
          <w:rFonts w:asciiTheme="minorEastAsia" w:hAnsiTheme="minorEastAsia" w:eastAsiaTheme="minorEastAsia"/>
          <w:color w:val="000000" w:themeColor="text1"/>
          <w:sz w:val="24"/>
          <w:highlight w:val="none"/>
          <w14:textFill>
            <w14:solidFill>
              <w14:schemeClr w14:val="tx1"/>
            </w14:solidFill>
          </w14:textFill>
        </w:rPr>
        <w:t>份。</w:t>
      </w:r>
    </w:p>
    <w:p>
      <w:pPr>
        <w:tabs>
          <w:tab w:val="left" w:pos="0"/>
          <w:tab w:val="left" w:pos="425"/>
          <w:tab w:val="left" w:pos="540"/>
          <w:tab w:val="left" w:pos="747"/>
        </w:tabs>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适用法律：本合同应按照中华人民共和国的法律进行解释。</w:t>
      </w:r>
    </w:p>
    <w:p>
      <w:pPr>
        <w:tabs>
          <w:tab w:val="left" w:pos="0"/>
          <w:tab w:val="left" w:pos="425"/>
          <w:tab w:val="left" w:pos="540"/>
          <w:tab w:val="left" w:pos="747"/>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甲方（盖章）：                             乙方（盖章）：        </w:t>
      </w:r>
    </w:p>
    <w:p>
      <w:pPr>
        <w:tabs>
          <w:tab w:val="left" w:pos="0"/>
          <w:tab w:val="left" w:pos="425"/>
          <w:tab w:val="left" w:pos="540"/>
          <w:tab w:val="left" w:pos="747"/>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法定代表人或受委托人（签字）：             法定代表人或受委托人（签字）：</w:t>
      </w:r>
    </w:p>
    <w:p>
      <w:pPr>
        <w:tabs>
          <w:tab w:val="left" w:pos="0"/>
          <w:tab w:val="left" w:pos="425"/>
          <w:tab w:val="left" w:pos="540"/>
          <w:tab w:val="left" w:pos="747"/>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                                   联系人：</w:t>
      </w:r>
    </w:p>
    <w:p>
      <w:pPr>
        <w:tabs>
          <w:tab w:val="left" w:pos="0"/>
          <w:tab w:val="left" w:pos="425"/>
          <w:tab w:val="left" w:pos="540"/>
          <w:tab w:val="left" w:pos="747"/>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地址：                                     地址： </w:t>
      </w:r>
    </w:p>
    <w:p>
      <w:pPr>
        <w:tabs>
          <w:tab w:val="left" w:pos="0"/>
          <w:tab w:val="left" w:pos="425"/>
          <w:tab w:val="left" w:pos="540"/>
          <w:tab w:val="left" w:pos="747"/>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                                     电话：</w:t>
      </w:r>
    </w:p>
    <w:p>
      <w:pPr>
        <w:tabs>
          <w:tab w:val="left" w:pos="0"/>
          <w:tab w:val="left" w:pos="425"/>
          <w:tab w:val="left" w:pos="540"/>
          <w:tab w:val="left" w:pos="747"/>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传真：                                     传真：</w:t>
      </w:r>
    </w:p>
    <w:p>
      <w:pPr>
        <w:tabs>
          <w:tab w:val="left" w:pos="0"/>
          <w:tab w:val="left" w:pos="425"/>
          <w:tab w:val="left" w:pos="540"/>
          <w:tab w:val="left" w:pos="747"/>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开户银行：                                 开户银行： </w:t>
      </w:r>
    </w:p>
    <w:p>
      <w:pPr>
        <w:tabs>
          <w:tab w:val="left" w:pos="0"/>
          <w:tab w:val="left" w:pos="425"/>
          <w:tab w:val="left" w:pos="540"/>
          <w:tab w:val="left" w:pos="747"/>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合同签发日期：</w:t>
      </w:r>
    </w:p>
    <w:p>
      <w:pPr>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签约地点：</w:t>
      </w:r>
      <w:r>
        <w:rPr>
          <w:rFonts w:hint="eastAsia" w:ascii="宋体" w:hAnsi="宋体" w:cs="宋体"/>
          <w:b/>
          <w:color w:val="000000" w:themeColor="text1"/>
          <w:sz w:val="36"/>
          <w:szCs w:val="20"/>
          <w:highlight w:val="none"/>
          <w14:textFill>
            <w14:solidFill>
              <w14:schemeClr w14:val="tx1"/>
            </w14:solidFill>
          </w14:textFill>
        </w:rPr>
        <w:br w:type="page"/>
      </w:r>
    </w:p>
    <w:p>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4"/>
      <w:r>
        <w:rPr>
          <w:rFonts w:hint="eastAsia" w:ascii="宋体" w:hAnsi="宋体" w:cs="宋体"/>
          <w:b/>
          <w:color w:val="000000" w:themeColor="text1"/>
          <w:sz w:val="36"/>
          <w:szCs w:val="20"/>
          <w:highlight w:val="none"/>
          <w14:textFill>
            <w14:solidFill>
              <w14:schemeClr w14:val="tx1"/>
            </w14:solidFill>
          </w14:textFill>
        </w:rPr>
        <w:t xml:space="preserve"> </w:t>
      </w:r>
      <w:bookmarkEnd w:id="395"/>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r>
        <w:rPr>
          <w:rFonts w:hint="eastAsia" w:ascii="宋体" w:hAnsi="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w:t>
      </w: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（某分包供应商名称）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（某分包供应商名称），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7"/>
        <w:ind w:left="664" w:leftChars="316" w:firstLine="229" w:firstLineChars="95"/>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七、其他</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供应商名称(电子签名)：</w:t>
      </w:r>
    </w:p>
    <w:p>
      <w:pPr>
        <w:snapToGrid w:val="0"/>
        <w:spacing w:line="360" w:lineRule="auto"/>
        <w:ind w:firstLine="5640" w:firstLineChars="23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（7）投标标的清单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（8）商务技术偏离表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2.2.3联合协议（如果有）；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2.2.4分包意向协议（如果有）；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2.2.7投标标的清单；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2.2.8商务技术偏离表；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 xml:space="preserve">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 xml:space="preserve">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宋体" w:hAnsi="宋体" w:cs="宋体"/>
          <w:b/>
          <w:color w:val="000000" w:themeColor="text1"/>
          <w:sz w:val="30"/>
          <w:szCs w:val="30"/>
          <w:highlight w:val="none"/>
          <w:lang w:eastAsia="zh-CN"/>
          <w14:textFill>
            <w14:solidFill>
              <w14:schemeClr w14:val="tx1"/>
            </w14:solidFill>
          </w14:textFill>
        </w:rPr>
        <w:t>供应商</w:t>
      </w:r>
      <w:r>
        <w:rPr>
          <w:rFonts w:hint="eastAsia" w:ascii="宋体" w:hAnsi="宋体" w:cs="宋体"/>
          <w:b/>
          <w:color w:val="000000" w:themeColor="text1"/>
          <w:sz w:val="30"/>
          <w:szCs w:val="30"/>
          <w:highlight w:val="none"/>
          <w14:textFill>
            <w14:solidFill>
              <w14:schemeClr w14:val="tx1"/>
            </w14:solidFill>
          </w14:textFill>
        </w:rPr>
        <w:t>参加投标）</w:t>
      </w:r>
    </w:p>
    <w:p>
      <w:pPr>
        <w:pStyle w:val="148"/>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8"/>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r>
        <w:rPr>
          <w:rFonts w:hint="eastAsia" w:ascii="宋体" w:hAnsi="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w:t>
      </w:r>
      <w:r>
        <w:rPr>
          <w:rFonts w:hint="eastAsia" w:ascii="宋体" w:hAnsi="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（某分包供应商名称）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（某分包供应商名称），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7"/>
        <w:ind w:left="664" w:leftChars="316" w:firstLine="229" w:firstLineChars="95"/>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七、其他</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（分包供应商名称）提供的货物全部由小微企业制造，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pPr>
        <w:snapToGrid w:val="0"/>
        <w:spacing w:line="360" w:lineRule="auto"/>
        <w:ind w:firstLine="5640" w:firstLineChars="23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p>
    <w:p>
      <w:pPr>
        <w:spacing w:line="360" w:lineRule="auto"/>
        <w:ind w:right="42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要求提供国家确定的认证机构出具的、处于有效期之内的节能产品认证证书。</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pStyle w:val="7"/>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的其它实质性要求。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其它实质性要求相应的材料（“▲” 系指实质性要求条款，</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无其它实质性要求的，无需提供）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w:t>
      </w:r>
      <w:r>
        <w:rPr>
          <w:rFonts w:hint="eastAsia" w:ascii="宋体" w:hAnsi="宋体" w:cs="宋体"/>
          <w:b/>
          <w:color w:val="000000" w:themeColor="text1"/>
          <w:sz w:val="24"/>
          <w:highlight w:val="none"/>
          <w:lang w:eastAsia="zh-CN"/>
          <w14:textFill>
            <w14:solidFill>
              <w14:schemeClr w14:val="tx1"/>
            </w14:solidFill>
          </w14:textFill>
        </w:rPr>
        <w:t>采购文件</w:t>
      </w:r>
      <w:r>
        <w:rPr>
          <w:rFonts w:hint="eastAsia" w:ascii="宋体" w:hAnsi="宋体" w:cs="宋体"/>
          <w:b/>
          <w:color w:val="000000" w:themeColor="text1"/>
          <w:sz w:val="24"/>
          <w:highlight w:val="none"/>
          <w14:textFill>
            <w14:solidFill>
              <w14:schemeClr w14:val="tx1"/>
            </w14:solidFill>
          </w14:textFill>
        </w:rPr>
        <w:t>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保证：除商务技术偏离表列出的偏离外，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九</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规格型号（或具体服务）</w:t>
            </w:r>
          </w:p>
        </w:tc>
        <w:tc>
          <w:tcPr>
            <w:tcW w:w="993"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综合</w:t>
            </w: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小计（元）</w:t>
            </w:r>
          </w:p>
        </w:tc>
        <w:tc>
          <w:tcPr>
            <w:tcW w:w="3119"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w:t>
            </w:r>
            <w:r>
              <w:rPr>
                <w:rFonts w:hint="eastAsia" w:ascii="宋体" w:hAnsi="宋体" w:cs="宋体"/>
                <w:b/>
                <w:color w:val="000000" w:themeColor="text1"/>
                <w:sz w:val="24"/>
                <w:highlight w:val="none"/>
                <w:lang w:eastAsia="zh-CN"/>
                <w14:textFill>
                  <w14:solidFill>
                    <w14:schemeClr w14:val="tx1"/>
                  </w14:solidFill>
                </w14:textFill>
              </w:rPr>
              <w:t>总</w:t>
            </w:r>
            <w:r>
              <w:rPr>
                <w:rFonts w:hint="eastAsia" w:ascii="宋体" w:hAnsi="宋体" w:cs="宋体"/>
                <w:b/>
                <w:color w:val="000000" w:themeColor="text1"/>
                <w:sz w:val="24"/>
                <w:highlight w:val="none"/>
                <w14:textFill>
                  <w14:solidFill>
                    <w14:schemeClr w14:val="tx1"/>
                  </w14:solidFill>
                </w14:textFill>
              </w:rPr>
              <w:t>价（小写）</w:t>
            </w:r>
          </w:p>
        </w:tc>
        <w:tc>
          <w:tcPr>
            <w:tcW w:w="7655" w:type="dxa"/>
            <w:gridSpan w:val="4"/>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w:t>
            </w:r>
            <w:r>
              <w:rPr>
                <w:rFonts w:hint="eastAsia" w:ascii="宋体" w:hAnsi="宋体" w:cs="宋体"/>
                <w:b/>
                <w:color w:val="000000" w:themeColor="text1"/>
                <w:sz w:val="24"/>
                <w:highlight w:val="none"/>
                <w:lang w:eastAsia="zh-CN"/>
                <w14:textFill>
                  <w14:solidFill>
                    <w14:schemeClr w14:val="tx1"/>
                  </w14:solidFill>
                </w14:textFill>
              </w:rPr>
              <w:t>总</w:t>
            </w:r>
            <w:r>
              <w:rPr>
                <w:rFonts w:hint="eastAsia" w:ascii="宋体" w:hAnsi="宋体" w:cs="宋体"/>
                <w:b/>
                <w:color w:val="000000" w:themeColor="text1"/>
                <w:sz w:val="24"/>
                <w:highlight w:val="none"/>
                <w14:textFill>
                  <w14:solidFill>
                    <w14:schemeClr w14:val="tx1"/>
                  </w14:solidFill>
                </w14:textFill>
              </w:rPr>
              <w:t>价（大写）</w:t>
            </w:r>
          </w:p>
        </w:tc>
        <w:tc>
          <w:tcPr>
            <w:tcW w:w="7655" w:type="dxa"/>
            <w:gridSpan w:val="4"/>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1、供应商需按本表格式填写，不得自行更改。</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lang w:val="zh-CN"/>
          <w14:textFill>
            <w14:solidFill>
              <w14:schemeClr w14:val="tx1"/>
            </w14:solidFill>
          </w14:textFill>
        </w:rPr>
        <w:t>5、</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tabs>
          <w:tab w:val="left" w:pos="8085"/>
        </w:tabs>
        <w:spacing w:line="360" w:lineRule="auto"/>
        <w:ind w:firstLine="1285" w:firstLineChars="400"/>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一、适用对象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二、相关信息获取方式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　政府采购信用融资操作流程：</w:t>
      </w:r>
    </w:p>
    <w:p>
      <w:pPr>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（一）线上融资模式：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1.供应商根据合作银行提供的方案，自行选择金融产品，并办理开户等手续；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2.供应商中标后，可通过杭州市政府采购网或“浙里办”测算授信额度；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3.采购合同签订后，供应商在杭州市政府采购网或“浙里办”向合作银行发出融资申请；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4.审批通过后，在线办理放贷手续。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（二）线下融资模式：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2.采购合同签订后，供应商在杭州市政府采购网或“浙里办”向合作银行发出融资申请；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4.审批通过后，合作银行应按照合作备忘录中约定的审批放款期限和优惠利率及时予以放款。</w:t>
      </w:r>
    </w:p>
    <w:p>
      <w:pPr>
        <w:pStyle w:val="7"/>
        <w:numPr>
          <w:ilvl w:val="255"/>
          <w:numId w:val="0"/>
        </w:numPr>
        <w:ind w:firstLine="960" w:firstLineChars="4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（三）杭州e融平台申请融资</w:t>
      </w:r>
    </w:p>
    <w:p>
      <w:pPr>
        <w:pStyle w:val="7"/>
        <w:numPr>
          <w:ilvl w:val="255"/>
          <w:numId w:val="0"/>
        </w:numPr>
        <w:ind w:firstLine="960" w:firstLineChars="4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四、注意事项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000000" w:themeColor="text1"/>
          <w:kern w:val="0"/>
          <w:sz w:val="24"/>
          <w:highlight w:val="none"/>
          <w14:textFill>
            <w14:solidFill>
              <w14:schemeClr w14:val="tx1"/>
            </w14:solidFill>
          </w14:textFill>
        </w:rPr>
      </w:pPr>
    </w:p>
    <w:p>
      <w:pPr>
        <w:pStyle w:val="6"/>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400" w:name="_Toc465665161"/>
      <w:r>
        <w:rPr>
          <w:rFonts w:hint="eastAsia" w:ascii="宋体" w:hAnsi="宋体" w:cs="宋体"/>
          <w:color w:val="000000" w:themeColor="text1"/>
          <w:highlight w:val="none"/>
          <w14:textFill>
            <w14:solidFill>
              <w14:schemeClr w14:val="tx1"/>
            </w14:solidFill>
          </w14:textFill>
        </w:rPr>
        <w:t>附件</w:t>
      </w:r>
      <w:bookmarkEnd w:id="400"/>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01" w:name="OLE_LINK13"/>
      <w:bookmarkStart w:id="402"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01"/>
    <w:bookmarkEnd w:id="402"/>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你方组织的（项目名称）项目【招标编号：（采购编号）】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 xml:space="preserve">法定名称章（印模）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附件5：</w:t>
      </w:r>
      <w:r>
        <w:rPr>
          <w:rFonts w:hint="eastAsia" w:ascii="宋体" w:hAnsi="宋体" w:cs="宋体"/>
          <w:b/>
          <w:color w:val="000000" w:themeColor="text1"/>
          <w:sz w:val="32"/>
          <w:szCs w:val="32"/>
          <w:highlight w:val="none"/>
          <w14:textFill>
            <w14:solidFill>
              <w14:schemeClr w14:val="tx1"/>
            </w14:solidFill>
          </w14:textFill>
        </w:rPr>
        <w:t>中小企业声明函</w:t>
      </w: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中小企业声明函（工程、服务）</w:t>
      </w:r>
    </w:p>
    <w:p>
      <w:pPr>
        <w:spacing w:line="360" w:lineRule="auto"/>
        <w:rPr>
          <w:rFonts w:ascii="宋体" w:hAnsi="宋体" w:cs="宋体"/>
          <w:color w:val="000000" w:themeColor="text1"/>
          <w:highlight w:val="none"/>
          <w14:textFill>
            <w14:solidFill>
              <w14:schemeClr w14:val="tx1"/>
            </w14:solidFill>
          </w14:textFill>
        </w:rPr>
      </w:pP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（单位名称）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第二部分</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提供由省级以上监狱管理局、戒毒管理局（含新疆生产建设兵团）出具的属于监狱企业证明文件的，视同为小型和微型企业。</w:t>
      </w:r>
    </w:p>
    <w:p>
      <w:pPr>
        <w:pStyle w:val="7"/>
        <w:rPr>
          <w:rFonts w:ascii="宋体" w:hAnsi="宋体" w:eastAsia="宋体" w:cs="宋体"/>
          <w:color w:val="000000" w:themeColor="text1"/>
          <w:highlight w:val="none"/>
          <w:lang w:val="en-US"/>
          <w14:textFill>
            <w14:solidFill>
              <w14:schemeClr w14:val="tx1"/>
            </w14:solidFill>
          </w14:textFill>
        </w:rPr>
      </w:pPr>
    </w:p>
    <w:p>
      <w:pPr>
        <w:spacing w:line="360" w:lineRule="auto"/>
        <w:ind w:right="42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Cs/>
          <w:color w:val="000000" w:themeColor="text1"/>
          <w:sz w:val="24"/>
          <w:highlight w:val="none"/>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403" w:name="_Toc131845147"/>
    <w:bookmarkStart w:id="404" w:name="_Toc91899912"/>
    <w:bookmarkStart w:id="405" w:name="_Toc164085800"/>
    <w:bookmarkStart w:id="406" w:name="_Toc36110187"/>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2"/>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4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right" w:pos="8279"/>
        <w:tab w:val="clear" w:pos="8306"/>
      </w:tabs>
      <w:jc w:val="right"/>
    </w:pPr>
    <w:r>
      <w:rPr>
        <w:rFonts w:hint="eastAsia"/>
        <w:lang w:val="zh-CN"/>
      </w:rPr>
      <w:t xml:space="preserve"> </w:t>
    </w:r>
    <w:r>
      <w:tab/>
    </w:r>
    <w:r>
      <w:rPr>
        <w:rFonts w:hint="eastAsia"/>
        <w:lang w:val="zh-CN"/>
      </w:rPr>
      <w:t xml:space="preserve"> </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A1FAE"/>
    <w:multiLevelType w:val="singleLevel"/>
    <w:tmpl w:val="1D1A1FAE"/>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芳芳-天堂眼">
    <w15:presenceInfo w15:providerId="WPS Office" w15:userId="40835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MGJlMDZjZTJjNmExODA2NjMyODUxYjlhZGIyYmUifQ=="/>
  </w:docVars>
  <w:rsids>
    <w:rsidRoot w:val="00172A27"/>
    <w:rsid w:val="00000451"/>
    <w:rsid w:val="0000108B"/>
    <w:rsid w:val="000012F2"/>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D9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26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A4B"/>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565"/>
    <w:rsid w:val="00075B15"/>
    <w:rsid w:val="00075D0E"/>
    <w:rsid w:val="00075F6A"/>
    <w:rsid w:val="00076159"/>
    <w:rsid w:val="0007616C"/>
    <w:rsid w:val="000763B5"/>
    <w:rsid w:val="000763F3"/>
    <w:rsid w:val="000766D2"/>
    <w:rsid w:val="00076801"/>
    <w:rsid w:val="00076E59"/>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E5A"/>
    <w:rsid w:val="000A6753"/>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922"/>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1C"/>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B11"/>
    <w:rsid w:val="00103070"/>
    <w:rsid w:val="00103251"/>
    <w:rsid w:val="00103509"/>
    <w:rsid w:val="001036AB"/>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1D7"/>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933"/>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4AE"/>
    <w:rsid w:val="001E17E3"/>
    <w:rsid w:val="001E2052"/>
    <w:rsid w:val="001E2492"/>
    <w:rsid w:val="001E24E0"/>
    <w:rsid w:val="001E257C"/>
    <w:rsid w:val="001E286C"/>
    <w:rsid w:val="001E2F34"/>
    <w:rsid w:val="001E35EE"/>
    <w:rsid w:val="001E4B2C"/>
    <w:rsid w:val="001E507F"/>
    <w:rsid w:val="001E56C2"/>
    <w:rsid w:val="001E56CB"/>
    <w:rsid w:val="001E59FB"/>
    <w:rsid w:val="001E7F81"/>
    <w:rsid w:val="001F0FD1"/>
    <w:rsid w:val="001F1526"/>
    <w:rsid w:val="001F19D1"/>
    <w:rsid w:val="001F1CB9"/>
    <w:rsid w:val="001F1F18"/>
    <w:rsid w:val="001F2F92"/>
    <w:rsid w:val="001F2FAD"/>
    <w:rsid w:val="001F4A63"/>
    <w:rsid w:val="001F5DA1"/>
    <w:rsid w:val="001F612E"/>
    <w:rsid w:val="001F6A92"/>
    <w:rsid w:val="001F77E8"/>
    <w:rsid w:val="00201A0C"/>
    <w:rsid w:val="00201B0F"/>
    <w:rsid w:val="00201B3A"/>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64"/>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3A5"/>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4C"/>
    <w:rsid w:val="002542F8"/>
    <w:rsid w:val="002543EF"/>
    <w:rsid w:val="00254F2A"/>
    <w:rsid w:val="00255784"/>
    <w:rsid w:val="00255A29"/>
    <w:rsid w:val="0025631F"/>
    <w:rsid w:val="00256986"/>
    <w:rsid w:val="00256D61"/>
    <w:rsid w:val="00256E23"/>
    <w:rsid w:val="00257246"/>
    <w:rsid w:val="00257438"/>
    <w:rsid w:val="00260B6F"/>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1AF"/>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8DF"/>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AE7"/>
    <w:rsid w:val="00303DD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AEC"/>
    <w:rsid w:val="003971A1"/>
    <w:rsid w:val="003A0F6B"/>
    <w:rsid w:val="003A11EE"/>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553"/>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127"/>
    <w:rsid w:val="003F42FF"/>
    <w:rsid w:val="003F4B48"/>
    <w:rsid w:val="003F4DDC"/>
    <w:rsid w:val="003F56B8"/>
    <w:rsid w:val="003F57CB"/>
    <w:rsid w:val="003F5F1A"/>
    <w:rsid w:val="003F6220"/>
    <w:rsid w:val="003F6327"/>
    <w:rsid w:val="003F7425"/>
    <w:rsid w:val="003F765B"/>
    <w:rsid w:val="003F7CB8"/>
    <w:rsid w:val="00400CB4"/>
    <w:rsid w:val="00401386"/>
    <w:rsid w:val="004013E6"/>
    <w:rsid w:val="00401E31"/>
    <w:rsid w:val="00402BBA"/>
    <w:rsid w:val="004035D0"/>
    <w:rsid w:val="0040361D"/>
    <w:rsid w:val="00403795"/>
    <w:rsid w:val="00403C13"/>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747"/>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85D"/>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93"/>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323"/>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A69"/>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242"/>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B06"/>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717"/>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28F"/>
    <w:rsid w:val="0058134C"/>
    <w:rsid w:val="005815CD"/>
    <w:rsid w:val="005827A7"/>
    <w:rsid w:val="00583D43"/>
    <w:rsid w:val="005846C3"/>
    <w:rsid w:val="00584F04"/>
    <w:rsid w:val="0058544C"/>
    <w:rsid w:val="00585623"/>
    <w:rsid w:val="005857F7"/>
    <w:rsid w:val="005865E9"/>
    <w:rsid w:val="005868FD"/>
    <w:rsid w:val="00587506"/>
    <w:rsid w:val="00587D7B"/>
    <w:rsid w:val="005904DB"/>
    <w:rsid w:val="005905ED"/>
    <w:rsid w:val="00590D11"/>
    <w:rsid w:val="00591BA6"/>
    <w:rsid w:val="00592825"/>
    <w:rsid w:val="00594437"/>
    <w:rsid w:val="00594B70"/>
    <w:rsid w:val="00595080"/>
    <w:rsid w:val="005969B4"/>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87B"/>
    <w:rsid w:val="005B1A8A"/>
    <w:rsid w:val="005B1AAB"/>
    <w:rsid w:val="005B2243"/>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2AB"/>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6FD"/>
    <w:rsid w:val="005F3720"/>
    <w:rsid w:val="005F4F00"/>
    <w:rsid w:val="005F54A8"/>
    <w:rsid w:val="005F5506"/>
    <w:rsid w:val="005F5A0D"/>
    <w:rsid w:val="005F60DF"/>
    <w:rsid w:val="005F615B"/>
    <w:rsid w:val="005F61DF"/>
    <w:rsid w:val="005F680A"/>
    <w:rsid w:val="005F6880"/>
    <w:rsid w:val="005F6B3E"/>
    <w:rsid w:val="005F6ED2"/>
    <w:rsid w:val="005F745B"/>
    <w:rsid w:val="005F77F8"/>
    <w:rsid w:val="005F7CA8"/>
    <w:rsid w:val="005F7EF0"/>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23"/>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1DEA"/>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345"/>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3B3"/>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17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012"/>
    <w:rsid w:val="007413EB"/>
    <w:rsid w:val="007413FB"/>
    <w:rsid w:val="00742D32"/>
    <w:rsid w:val="00742E9B"/>
    <w:rsid w:val="007444E6"/>
    <w:rsid w:val="0074592C"/>
    <w:rsid w:val="00745C91"/>
    <w:rsid w:val="00746098"/>
    <w:rsid w:val="00746D58"/>
    <w:rsid w:val="00747578"/>
    <w:rsid w:val="00750D12"/>
    <w:rsid w:val="00751073"/>
    <w:rsid w:val="007515D5"/>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2C3"/>
    <w:rsid w:val="0078638C"/>
    <w:rsid w:val="007869F9"/>
    <w:rsid w:val="00786CBB"/>
    <w:rsid w:val="00786E21"/>
    <w:rsid w:val="0079038E"/>
    <w:rsid w:val="0079098F"/>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9E5"/>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59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BA3"/>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FD2"/>
    <w:rsid w:val="007F1124"/>
    <w:rsid w:val="007F152D"/>
    <w:rsid w:val="007F20C4"/>
    <w:rsid w:val="007F20EE"/>
    <w:rsid w:val="007F23D8"/>
    <w:rsid w:val="007F307A"/>
    <w:rsid w:val="007F30C6"/>
    <w:rsid w:val="007F38FD"/>
    <w:rsid w:val="007F3C18"/>
    <w:rsid w:val="007F4318"/>
    <w:rsid w:val="007F4709"/>
    <w:rsid w:val="007F47DA"/>
    <w:rsid w:val="007F488B"/>
    <w:rsid w:val="007F4E52"/>
    <w:rsid w:val="007F4F84"/>
    <w:rsid w:val="007F5382"/>
    <w:rsid w:val="007F55A4"/>
    <w:rsid w:val="007F5D28"/>
    <w:rsid w:val="007F6260"/>
    <w:rsid w:val="007F682B"/>
    <w:rsid w:val="007F78E8"/>
    <w:rsid w:val="007F7F8F"/>
    <w:rsid w:val="00800509"/>
    <w:rsid w:val="008006AA"/>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0F"/>
    <w:rsid w:val="00812657"/>
    <w:rsid w:val="00812A1A"/>
    <w:rsid w:val="00812DFF"/>
    <w:rsid w:val="0081362F"/>
    <w:rsid w:val="0081383A"/>
    <w:rsid w:val="0081497F"/>
    <w:rsid w:val="00814B90"/>
    <w:rsid w:val="00814FC7"/>
    <w:rsid w:val="0081660C"/>
    <w:rsid w:val="00816DC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781"/>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B11"/>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FB9"/>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286"/>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4F27"/>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C82"/>
    <w:rsid w:val="0093386D"/>
    <w:rsid w:val="00934C8E"/>
    <w:rsid w:val="00935194"/>
    <w:rsid w:val="00936EA5"/>
    <w:rsid w:val="00937114"/>
    <w:rsid w:val="0094015D"/>
    <w:rsid w:val="00940885"/>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BFB"/>
    <w:rsid w:val="009D6D30"/>
    <w:rsid w:val="009D7523"/>
    <w:rsid w:val="009D76B5"/>
    <w:rsid w:val="009D7AF1"/>
    <w:rsid w:val="009D7BC7"/>
    <w:rsid w:val="009D7D62"/>
    <w:rsid w:val="009D7D6C"/>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9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017"/>
    <w:rsid w:val="00A3404D"/>
    <w:rsid w:val="00A341AB"/>
    <w:rsid w:val="00A34290"/>
    <w:rsid w:val="00A355F9"/>
    <w:rsid w:val="00A357D3"/>
    <w:rsid w:val="00A3598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4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0A3"/>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944"/>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0E1"/>
    <w:rsid w:val="00AA4DA9"/>
    <w:rsid w:val="00AA4F6D"/>
    <w:rsid w:val="00AA50CE"/>
    <w:rsid w:val="00AA536B"/>
    <w:rsid w:val="00AA57C9"/>
    <w:rsid w:val="00AA5A5C"/>
    <w:rsid w:val="00AA5A6F"/>
    <w:rsid w:val="00AA634D"/>
    <w:rsid w:val="00AA6A7E"/>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4E5"/>
    <w:rsid w:val="00AB5EB1"/>
    <w:rsid w:val="00AB6003"/>
    <w:rsid w:val="00AB759A"/>
    <w:rsid w:val="00AB7B06"/>
    <w:rsid w:val="00AB7EAA"/>
    <w:rsid w:val="00AC0432"/>
    <w:rsid w:val="00AC0770"/>
    <w:rsid w:val="00AC1087"/>
    <w:rsid w:val="00AC1683"/>
    <w:rsid w:val="00AC1D82"/>
    <w:rsid w:val="00AC2D5F"/>
    <w:rsid w:val="00AC4094"/>
    <w:rsid w:val="00AC42B6"/>
    <w:rsid w:val="00AC4984"/>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431"/>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B3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A25"/>
    <w:rsid w:val="00B24BE9"/>
    <w:rsid w:val="00B2542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25F"/>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B6F"/>
    <w:rsid w:val="00B755B6"/>
    <w:rsid w:val="00B75977"/>
    <w:rsid w:val="00B75A48"/>
    <w:rsid w:val="00B75CC0"/>
    <w:rsid w:val="00B76021"/>
    <w:rsid w:val="00B76FCD"/>
    <w:rsid w:val="00B7764D"/>
    <w:rsid w:val="00B77A03"/>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675"/>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B5"/>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34E"/>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58A"/>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D11"/>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63"/>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21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FE5"/>
    <w:rsid w:val="00CF6707"/>
    <w:rsid w:val="00CF7101"/>
    <w:rsid w:val="00CF7327"/>
    <w:rsid w:val="00CF7385"/>
    <w:rsid w:val="00CF7539"/>
    <w:rsid w:val="00CF75C6"/>
    <w:rsid w:val="00CF7B77"/>
    <w:rsid w:val="00CF7DF5"/>
    <w:rsid w:val="00D001D2"/>
    <w:rsid w:val="00D02A80"/>
    <w:rsid w:val="00D0352D"/>
    <w:rsid w:val="00D038DC"/>
    <w:rsid w:val="00D04CD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FD"/>
    <w:rsid w:val="00D1724E"/>
    <w:rsid w:val="00D17C26"/>
    <w:rsid w:val="00D17E08"/>
    <w:rsid w:val="00D17FB5"/>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B7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1A9"/>
    <w:rsid w:val="00D539DA"/>
    <w:rsid w:val="00D54A50"/>
    <w:rsid w:val="00D54FFD"/>
    <w:rsid w:val="00D5552C"/>
    <w:rsid w:val="00D5556D"/>
    <w:rsid w:val="00D556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84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C84"/>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BE1"/>
    <w:rsid w:val="00DA6EE2"/>
    <w:rsid w:val="00DA718A"/>
    <w:rsid w:val="00DA78CF"/>
    <w:rsid w:val="00DA78D5"/>
    <w:rsid w:val="00DA7A89"/>
    <w:rsid w:val="00DA7BF4"/>
    <w:rsid w:val="00DB052F"/>
    <w:rsid w:val="00DB0E99"/>
    <w:rsid w:val="00DB14D3"/>
    <w:rsid w:val="00DB154B"/>
    <w:rsid w:val="00DB1BDC"/>
    <w:rsid w:val="00DB3490"/>
    <w:rsid w:val="00DB3593"/>
    <w:rsid w:val="00DB440B"/>
    <w:rsid w:val="00DB4426"/>
    <w:rsid w:val="00DB4522"/>
    <w:rsid w:val="00DB4B40"/>
    <w:rsid w:val="00DB4F12"/>
    <w:rsid w:val="00DB4F21"/>
    <w:rsid w:val="00DB4F42"/>
    <w:rsid w:val="00DB540C"/>
    <w:rsid w:val="00DB5E8C"/>
    <w:rsid w:val="00DB6F96"/>
    <w:rsid w:val="00DB71B9"/>
    <w:rsid w:val="00DB7662"/>
    <w:rsid w:val="00DB7E46"/>
    <w:rsid w:val="00DC1395"/>
    <w:rsid w:val="00DC2320"/>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1F0"/>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279"/>
    <w:rsid w:val="00E92C6E"/>
    <w:rsid w:val="00E92D0B"/>
    <w:rsid w:val="00E92FFF"/>
    <w:rsid w:val="00E93195"/>
    <w:rsid w:val="00E9391C"/>
    <w:rsid w:val="00E93D05"/>
    <w:rsid w:val="00E951D8"/>
    <w:rsid w:val="00E95C2A"/>
    <w:rsid w:val="00E961CB"/>
    <w:rsid w:val="00E963BC"/>
    <w:rsid w:val="00E966A6"/>
    <w:rsid w:val="00E96E91"/>
    <w:rsid w:val="00E9751D"/>
    <w:rsid w:val="00E975DF"/>
    <w:rsid w:val="00E97DC6"/>
    <w:rsid w:val="00E97F7A"/>
    <w:rsid w:val="00E97FDF"/>
    <w:rsid w:val="00EA0010"/>
    <w:rsid w:val="00EA0143"/>
    <w:rsid w:val="00EA089B"/>
    <w:rsid w:val="00EA1ACC"/>
    <w:rsid w:val="00EA2E21"/>
    <w:rsid w:val="00EA2EAA"/>
    <w:rsid w:val="00EA380C"/>
    <w:rsid w:val="00EA4607"/>
    <w:rsid w:val="00EA613D"/>
    <w:rsid w:val="00EA6744"/>
    <w:rsid w:val="00EA7143"/>
    <w:rsid w:val="00EA7308"/>
    <w:rsid w:val="00EA7474"/>
    <w:rsid w:val="00EB0164"/>
    <w:rsid w:val="00EB0831"/>
    <w:rsid w:val="00EB089C"/>
    <w:rsid w:val="00EB0AA8"/>
    <w:rsid w:val="00EB0B65"/>
    <w:rsid w:val="00EB0C65"/>
    <w:rsid w:val="00EB1624"/>
    <w:rsid w:val="00EB169F"/>
    <w:rsid w:val="00EB2635"/>
    <w:rsid w:val="00EB2961"/>
    <w:rsid w:val="00EB2E1A"/>
    <w:rsid w:val="00EB2F8A"/>
    <w:rsid w:val="00EB3268"/>
    <w:rsid w:val="00EB3298"/>
    <w:rsid w:val="00EB3410"/>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2D4"/>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E8E"/>
    <w:rsid w:val="00F139C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9D9"/>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A9A"/>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A43"/>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6D0"/>
    <w:rsid w:val="00F71C68"/>
    <w:rsid w:val="00F724E2"/>
    <w:rsid w:val="00F74103"/>
    <w:rsid w:val="00F7410A"/>
    <w:rsid w:val="00F745A4"/>
    <w:rsid w:val="00F74C0C"/>
    <w:rsid w:val="00F758E1"/>
    <w:rsid w:val="00F75BB5"/>
    <w:rsid w:val="00F75FD5"/>
    <w:rsid w:val="00F7604C"/>
    <w:rsid w:val="00F773A9"/>
    <w:rsid w:val="00F8048E"/>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94A"/>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2FD"/>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1AE"/>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856"/>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F5783"/>
    <w:rsid w:val="01D55165"/>
    <w:rsid w:val="01DF6BF8"/>
    <w:rsid w:val="01EC2C57"/>
    <w:rsid w:val="01EF3980"/>
    <w:rsid w:val="025F0711"/>
    <w:rsid w:val="026B2E25"/>
    <w:rsid w:val="0277327E"/>
    <w:rsid w:val="02824D4D"/>
    <w:rsid w:val="02DC4B10"/>
    <w:rsid w:val="02DD76CE"/>
    <w:rsid w:val="02F36323"/>
    <w:rsid w:val="02F5619C"/>
    <w:rsid w:val="0326446A"/>
    <w:rsid w:val="032D5555"/>
    <w:rsid w:val="036634D2"/>
    <w:rsid w:val="03DD35E4"/>
    <w:rsid w:val="03EA2651"/>
    <w:rsid w:val="04076900"/>
    <w:rsid w:val="041A5A3B"/>
    <w:rsid w:val="042311BA"/>
    <w:rsid w:val="042B157A"/>
    <w:rsid w:val="04441226"/>
    <w:rsid w:val="048F763B"/>
    <w:rsid w:val="049F330E"/>
    <w:rsid w:val="04AA775C"/>
    <w:rsid w:val="04AF1889"/>
    <w:rsid w:val="04B156D6"/>
    <w:rsid w:val="04F66F48"/>
    <w:rsid w:val="05251E14"/>
    <w:rsid w:val="05A16594"/>
    <w:rsid w:val="05A7762D"/>
    <w:rsid w:val="060E5941"/>
    <w:rsid w:val="06110FAF"/>
    <w:rsid w:val="06493CA7"/>
    <w:rsid w:val="065A6178"/>
    <w:rsid w:val="066F1CF3"/>
    <w:rsid w:val="06930BB8"/>
    <w:rsid w:val="06954AF6"/>
    <w:rsid w:val="06E4288E"/>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53FC6"/>
    <w:rsid w:val="09C13146"/>
    <w:rsid w:val="09E04166"/>
    <w:rsid w:val="0A1C0718"/>
    <w:rsid w:val="0A3E7710"/>
    <w:rsid w:val="0A5B7E63"/>
    <w:rsid w:val="0AA374A5"/>
    <w:rsid w:val="0AAB7649"/>
    <w:rsid w:val="0ABC5606"/>
    <w:rsid w:val="0AC753F6"/>
    <w:rsid w:val="0B2E25D4"/>
    <w:rsid w:val="0B30404E"/>
    <w:rsid w:val="0B381EF4"/>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037F2"/>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0F261A"/>
    <w:rsid w:val="11266F33"/>
    <w:rsid w:val="118963A1"/>
    <w:rsid w:val="11C6522A"/>
    <w:rsid w:val="11E104CC"/>
    <w:rsid w:val="11E20309"/>
    <w:rsid w:val="120476D8"/>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E34B0"/>
    <w:rsid w:val="146D271E"/>
    <w:rsid w:val="14982588"/>
    <w:rsid w:val="149A5AD9"/>
    <w:rsid w:val="14A7619D"/>
    <w:rsid w:val="150536C3"/>
    <w:rsid w:val="150C1963"/>
    <w:rsid w:val="151447A0"/>
    <w:rsid w:val="154A6454"/>
    <w:rsid w:val="15762120"/>
    <w:rsid w:val="15C47B10"/>
    <w:rsid w:val="16A8729C"/>
    <w:rsid w:val="16B33777"/>
    <w:rsid w:val="16BC121A"/>
    <w:rsid w:val="16BC70A7"/>
    <w:rsid w:val="16C6339E"/>
    <w:rsid w:val="172F2D79"/>
    <w:rsid w:val="17557BEF"/>
    <w:rsid w:val="17D349C1"/>
    <w:rsid w:val="181A30AD"/>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F2272"/>
    <w:rsid w:val="1F5771FF"/>
    <w:rsid w:val="1FE868A9"/>
    <w:rsid w:val="20034907"/>
    <w:rsid w:val="20173E4B"/>
    <w:rsid w:val="202076CF"/>
    <w:rsid w:val="204E48BC"/>
    <w:rsid w:val="208921B3"/>
    <w:rsid w:val="20973DEB"/>
    <w:rsid w:val="20A80DDA"/>
    <w:rsid w:val="20B26522"/>
    <w:rsid w:val="20B44310"/>
    <w:rsid w:val="211116EB"/>
    <w:rsid w:val="2127683B"/>
    <w:rsid w:val="216133FC"/>
    <w:rsid w:val="21A41C3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815FD"/>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F86113"/>
    <w:rsid w:val="27044A29"/>
    <w:rsid w:val="271D34C8"/>
    <w:rsid w:val="276142BF"/>
    <w:rsid w:val="27783712"/>
    <w:rsid w:val="27907362"/>
    <w:rsid w:val="27F256DC"/>
    <w:rsid w:val="28333E1D"/>
    <w:rsid w:val="28454BD6"/>
    <w:rsid w:val="28455253"/>
    <w:rsid w:val="28551971"/>
    <w:rsid w:val="285B1C53"/>
    <w:rsid w:val="289F7086"/>
    <w:rsid w:val="28C32028"/>
    <w:rsid w:val="28CC490F"/>
    <w:rsid w:val="28DE40AA"/>
    <w:rsid w:val="28ED3EC6"/>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950AFD"/>
    <w:rsid w:val="2CBE4005"/>
    <w:rsid w:val="2CE82D6F"/>
    <w:rsid w:val="2D343236"/>
    <w:rsid w:val="2DBF09AB"/>
    <w:rsid w:val="2DD15014"/>
    <w:rsid w:val="2DF72DE4"/>
    <w:rsid w:val="2E0220AF"/>
    <w:rsid w:val="2E4B082A"/>
    <w:rsid w:val="2E5D4E86"/>
    <w:rsid w:val="2E5D790B"/>
    <w:rsid w:val="2E9A3C18"/>
    <w:rsid w:val="2EB72624"/>
    <w:rsid w:val="2EBB0FEE"/>
    <w:rsid w:val="2EC63002"/>
    <w:rsid w:val="2F0A6B38"/>
    <w:rsid w:val="2F1220EC"/>
    <w:rsid w:val="2F946CCB"/>
    <w:rsid w:val="2FD25781"/>
    <w:rsid w:val="2FDC745C"/>
    <w:rsid w:val="2FFD7934"/>
    <w:rsid w:val="30265FBE"/>
    <w:rsid w:val="303010C7"/>
    <w:rsid w:val="30733ACD"/>
    <w:rsid w:val="308C3862"/>
    <w:rsid w:val="309379D8"/>
    <w:rsid w:val="30A270F7"/>
    <w:rsid w:val="30DF1478"/>
    <w:rsid w:val="30EC586F"/>
    <w:rsid w:val="31181CFC"/>
    <w:rsid w:val="31821B16"/>
    <w:rsid w:val="319C6071"/>
    <w:rsid w:val="31AC537E"/>
    <w:rsid w:val="31B5579D"/>
    <w:rsid w:val="31E3679B"/>
    <w:rsid w:val="31E732FD"/>
    <w:rsid w:val="32517576"/>
    <w:rsid w:val="32BE5C2C"/>
    <w:rsid w:val="32FB6478"/>
    <w:rsid w:val="33263B3F"/>
    <w:rsid w:val="336963EB"/>
    <w:rsid w:val="33816EEB"/>
    <w:rsid w:val="33DB773D"/>
    <w:rsid w:val="33EB55CD"/>
    <w:rsid w:val="33EC4C02"/>
    <w:rsid w:val="33FA40FA"/>
    <w:rsid w:val="340D2360"/>
    <w:rsid w:val="3410665D"/>
    <w:rsid w:val="34211214"/>
    <w:rsid w:val="342E63AB"/>
    <w:rsid w:val="34950E68"/>
    <w:rsid w:val="34986E94"/>
    <w:rsid w:val="34AF62C9"/>
    <w:rsid w:val="34CB4388"/>
    <w:rsid w:val="34FA6E12"/>
    <w:rsid w:val="354D7158"/>
    <w:rsid w:val="358D5588"/>
    <w:rsid w:val="35945E0F"/>
    <w:rsid w:val="36252C64"/>
    <w:rsid w:val="363A3B40"/>
    <w:rsid w:val="365302AE"/>
    <w:rsid w:val="36607A0A"/>
    <w:rsid w:val="366E227C"/>
    <w:rsid w:val="366F2E0D"/>
    <w:rsid w:val="367B6A5C"/>
    <w:rsid w:val="36A74ADA"/>
    <w:rsid w:val="36AD60D5"/>
    <w:rsid w:val="36B224F9"/>
    <w:rsid w:val="36EC0CC9"/>
    <w:rsid w:val="370945C1"/>
    <w:rsid w:val="373F410B"/>
    <w:rsid w:val="375D74B7"/>
    <w:rsid w:val="37EE7094"/>
    <w:rsid w:val="38296C89"/>
    <w:rsid w:val="383002EB"/>
    <w:rsid w:val="3851701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55895"/>
    <w:rsid w:val="3D3C7F39"/>
    <w:rsid w:val="3D440F09"/>
    <w:rsid w:val="3D4504A0"/>
    <w:rsid w:val="3D8734BB"/>
    <w:rsid w:val="3D9A11D4"/>
    <w:rsid w:val="3DA16D89"/>
    <w:rsid w:val="3DA364BE"/>
    <w:rsid w:val="3DCB25D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647BE"/>
    <w:rsid w:val="3F95482B"/>
    <w:rsid w:val="3FA30556"/>
    <w:rsid w:val="40055B41"/>
    <w:rsid w:val="4019356B"/>
    <w:rsid w:val="40592157"/>
    <w:rsid w:val="406E1CAE"/>
    <w:rsid w:val="409E1999"/>
    <w:rsid w:val="40A0133A"/>
    <w:rsid w:val="40C31A53"/>
    <w:rsid w:val="40FF545D"/>
    <w:rsid w:val="410067C8"/>
    <w:rsid w:val="418F0D2A"/>
    <w:rsid w:val="41D01505"/>
    <w:rsid w:val="4201486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1514B"/>
    <w:rsid w:val="44DE1391"/>
    <w:rsid w:val="451B225C"/>
    <w:rsid w:val="452410C9"/>
    <w:rsid w:val="45303661"/>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55ED5"/>
    <w:rsid w:val="48B94FF3"/>
    <w:rsid w:val="48E37AAB"/>
    <w:rsid w:val="48FD4B4C"/>
    <w:rsid w:val="490A68E0"/>
    <w:rsid w:val="491055FE"/>
    <w:rsid w:val="495F5B3E"/>
    <w:rsid w:val="496F77D7"/>
    <w:rsid w:val="497654FD"/>
    <w:rsid w:val="49B64211"/>
    <w:rsid w:val="49F6167F"/>
    <w:rsid w:val="4A056E6A"/>
    <w:rsid w:val="4A064FA0"/>
    <w:rsid w:val="4A16615C"/>
    <w:rsid w:val="4A4424D7"/>
    <w:rsid w:val="4AB82D0F"/>
    <w:rsid w:val="4AEB7664"/>
    <w:rsid w:val="4AFD7C19"/>
    <w:rsid w:val="4B0567D1"/>
    <w:rsid w:val="4B236AAE"/>
    <w:rsid w:val="4B642A75"/>
    <w:rsid w:val="4B645E12"/>
    <w:rsid w:val="4B707271"/>
    <w:rsid w:val="4B9739F7"/>
    <w:rsid w:val="4BB40B47"/>
    <w:rsid w:val="4BEE2503"/>
    <w:rsid w:val="4C245A30"/>
    <w:rsid w:val="4CB6685F"/>
    <w:rsid w:val="4CC367FE"/>
    <w:rsid w:val="4D077F3C"/>
    <w:rsid w:val="4D123355"/>
    <w:rsid w:val="4D2A3B31"/>
    <w:rsid w:val="4D312C52"/>
    <w:rsid w:val="4D3A55F0"/>
    <w:rsid w:val="4D905305"/>
    <w:rsid w:val="4D964A72"/>
    <w:rsid w:val="4D9C1254"/>
    <w:rsid w:val="4DA05D99"/>
    <w:rsid w:val="4E793892"/>
    <w:rsid w:val="4E800872"/>
    <w:rsid w:val="4EBD0477"/>
    <w:rsid w:val="4EC569ED"/>
    <w:rsid w:val="4ED50EA1"/>
    <w:rsid w:val="4EEC050C"/>
    <w:rsid w:val="4F104EC3"/>
    <w:rsid w:val="4F4308A5"/>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13037"/>
    <w:rsid w:val="518832C8"/>
    <w:rsid w:val="519D3C50"/>
    <w:rsid w:val="51A0432A"/>
    <w:rsid w:val="51A86090"/>
    <w:rsid w:val="51B7396D"/>
    <w:rsid w:val="522E4CC3"/>
    <w:rsid w:val="5244713B"/>
    <w:rsid w:val="52615633"/>
    <w:rsid w:val="526F4DE4"/>
    <w:rsid w:val="52977FD4"/>
    <w:rsid w:val="52A25790"/>
    <w:rsid w:val="52A96B6F"/>
    <w:rsid w:val="52B45975"/>
    <w:rsid w:val="52C07AA2"/>
    <w:rsid w:val="52D94AA4"/>
    <w:rsid w:val="52EA3A62"/>
    <w:rsid w:val="52F50BB8"/>
    <w:rsid w:val="53097272"/>
    <w:rsid w:val="53544462"/>
    <w:rsid w:val="53582700"/>
    <w:rsid w:val="5397158E"/>
    <w:rsid w:val="53AC0356"/>
    <w:rsid w:val="54013861"/>
    <w:rsid w:val="54487265"/>
    <w:rsid w:val="544D6070"/>
    <w:rsid w:val="54605E1E"/>
    <w:rsid w:val="54A656E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3174F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F53A8"/>
    <w:rsid w:val="5D0C4701"/>
    <w:rsid w:val="5D0F0395"/>
    <w:rsid w:val="5D221076"/>
    <w:rsid w:val="5D397964"/>
    <w:rsid w:val="5D5A391C"/>
    <w:rsid w:val="5D5F10C0"/>
    <w:rsid w:val="5D891B7B"/>
    <w:rsid w:val="5DAD38EE"/>
    <w:rsid w:val="5E006862"/>
    <w:rsid w:val="5E0207B9"/>
    <w:rsid w:val="5E1834A1"/>
    <w:rsid w:val="5E261785"/>
    <w:rsid w:val="5E3653EC"/>
    <w:rsid w:val="5E4A7017"/>
    <w:rsid w:val="5E552BBA"/>
    <w:rsid w:val="5E611C10"/>
    <w:rsid w:val="5E68756F"/>
    <w:rsid w:val="5E6C52B2"/>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34B89"/>
    <w:rsid w:val="60FA2EE8"/>
    <w:rsid w:val="61054A27"/>
    <w:rsid w:val="610A52BC"/>
    <w:rsid w:val="611D2366"/>
    <w:rsid w:val="61421856"/>
    <w:rsid w:val="614B7400"/>
    <w:rsid w:val="615227C4"/>
    <w:rsid w:val="61654E3F"/>
    <w:rsid w:val="6182292A"/>
    <w:rsid w:val="619F7F92"/>
    <w:rsid w:val="61F94C26"/>
    <w:rsid w:val="62000E56"/>
    <w:rsid w:val="624F3E49"/>
    <w:rsid w:val="62632286"/>
    <w:rsid w:val="62885958"/>
    <w:rsid w:val="62BD60D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1461B"/>
    <w:rsid w:val="67E55852"/>
    <w:rsid w:val="67EB1AB4"/>
    <w:rsid w:val="67FA1285"/>
    <w:rsid w:val="68551F4F"/>
    <w:rsid w:val="685F2787"/>
    <w:rsid w:val="687C10C9"/>
    <w:rsid w:val="68840C16"/>
    <w:rsid w:val="68876EFB"/>
    <w:rsid w:val="68884654"/>
    <w:rsid w:val="689F444F"/>
    <w:rsid w:val="68B96DBB"/>
    <w:rsid w:val="68CA2805"/>
    <w:rsid w:val="68E937A3"/>
    <w:rsid w:val="693E15D3"/>
    <w:rsid w:val="69627681"/>
    <w:rsid w:val="6977531D"/>
    <w:rsid w:val="69B47B0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8446C"/>
    <w:rsid w:val="6E5754A9"/>
    <w:rsid w:val="6E8335BD"/>
    <w:rsid w:val="6E8E12EF"/>
    <w:rsid w:val="6E972936"/>
    <w:rsid w:val="6E9C129B"/>
    <w:rsid w:val="6ED446C5"/>
    <w:rsid w:val="6F2A7D94"/>
    <w:rsid w:val="6F8331F1"/>
    <w:rsid w:val="6FAE1A09"/>
    <w:rsid w:val="6FD75BF8"/>
    <w:rsid w:val="6FF4719D"/>
    <w:rsid w:val="702A28D7"/>
    <w:rsid w:val="707723D0"/>
    <w:rsid w:val="70F5661B"/>
    <w:rsid w:val="71360107"/>
    <w:rsid w:val="71361540"/>
    <w:rsid w:val="713B688E"/>
    <w:rsid w:val="71A33C53"/>
    <w:rsid w:val="71D43752"/>
    <w:rsid w:val="71F1796A"/>
    <w:rsid w:val="72154626"/>
    <w:rsid w:val="72262B5D"/>
    <w:rsid w:val="72283FF7"/>
    <w:rsid w:val="722E7212"/>
    <w:rsid w:val="723A0474"/>
    <w:rsid w:val="725923E4"/>
    <w:rsid w:val="727B2DB1"/>
    <w:rsid w:val="72864BF7"/>
    <w:rsid w:val="729023FC"/>
    <w:rsid w:val="73C0646E"/>
    <w:rsid w:val="73E23F99"/>
    <w:rsid w:val="742222F5"/>
    <w:rsid w:val="74476126"/>
    <w:rsid w:val="74706664"/>
    <w:rsid w:val="747F3682"/>
    <w:rsid w:val="749C4185"/>
    <w:rsid w:val="75027B1E"/>
    <w:rsid w:val="75067759"/>
    <w:rsid w:val="75191CD3"/>
    <w:rsid w:val="752E6DCD"/>
    <w:rsid w:val="7551380D"/>
    <w:rsid w:val="75600BE5"/>
    <w:rsid w:val="7564475C"/>
    <w:rsid w:val="75660855"/>
    <w:rsid w:val="7583797F"/>
    <w:rsid w:val="759F1EF2"/>
    <w:rsid w:val="75D20F1D"/>
    <w:rsid w:val="75DA2C18"/>
    <w:rsid w:val="75F54412"/>
    <w:rsid w:val="75F5739D"/>
    <w:rsid w:val="761D08E0"/>
    <w:rsid w:val="765D347C"/>
    <w:rsid w:val="76826699"/>
    <w:rsid w:val="76C87133"/>
    <w:rsid w:val="76CD08D5"/>
    <w:rsid w:val="76DB4B92"/>
    <w:rsid w:val="77052AA4"/>
    <w:rsid w:val="77136511"/>
    <w:rsid w:val="772618AB"/>
    <w:rsid w:val="77340A39"/>
    <w:rsid w:val="77351FD0"/>
    <w:rsid w:val="77472422"/>
    <w:rsid w:val="777F31F2"/>
    <w:rsid w:val="77D1700D"/>
    <w:rsid w:val="77EC04CC"/>
    <w:rsid w:val="77EF51FB"/>
    <w:rsid w:val="77F24A45"/>
    <w:rsid w:val="783B1212"/>
    <w:rsid w:val="78775729"/>
    <w:rsid w:val="78920BD3"/>
    <w:rsid w:val="78A42DB0"/>
    <w:rsid w:val="78A656AB"/>
    <w:rsid w:val="78B2245C"/>
    <w:rsid w:val="78E172CC"/>
    <w:rsid w:val="78EA1D1F"/>
    <w:rsid w:val="7904172F"/>
    <w:rsid w:val="790F7E27"/>
    <w:rsid w:val="792A231A"/>
    <w:rsid w:val="79316829"/>
    <w:rsid w:val="79786438"/>
    <w:rsid w:val="797E66A9"/>
    <w:rsid w:val="798518A4"/>
    <w:rsid w:val="79A97383"/>
    <w:rsid w:val="79E27E8B"/>
    <w:rsid w:val="79F20909"/>
    <w:rsid w:val="79F850CE"/>
    <w:rsid w:val="79FD443C"/>
    <w:rsid w:val="7A1D1975"/>
    <w:rsid w:val="7A3E5150"/>
    <w:rsid w:val="7A4670D6"/>
    <w:rsid w:val="7A534B63"/>
    <w:rsid w:val="7A5A025C"/>
    <w:rsid w:val="7A615382"/>
    <w:rsid w:val="7A67303B"/>
    <w:rsid w:val="7AAB1D04"/>
    <w:rsid w:val="7ABA4368"/>
    <w:rsid w:val="7AD05746"/>
    <w:rsid w:val="7B257FFD"/>
    <w:rsid w:val="7B343476"/>
    <w:rsid w:val="7B5551A9"/>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40B97"/>
    <w:rsid w:val="7D491C6C"/>
    <w:rsid w:val="7D5429C0"/>
    <w:rsid w:val="7D6E6D43"/>
    <w:rsid w:val="7D7B6E68"/>
    <w:rsid w:val="7DB57A34"/>
    <w:rsid w:val="7DE60973"/>
    <w:rsid w:val="7DEF0916"/>
    <w:rsid w:val="7E1E5218"/>
    <w:rsid w:val="7E834226"/>
    <w:rsid w:val="7E9A4E1F"/>
    <w:rsid w:val="7EA7723A"/>
    <w:rsid w:val="7EF56FBB"/>
    <w:rsid w:val="7F0768EB"/>
    <w:rsid w:val="7F143BEC"/>
    <w:rsid w:val="7F301C41"/>
    <w:rsid w:val="7F715AF2"/>
    <w:rsid w:val="7F772355"/>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3"/>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link w:val="192"/>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5"/>
    <w:link w:val="264"/>
    <w:qFormat/>
    <w:uiPriority w:val="0"/>
    <w:pPr>
      <w:spacing w:line="480" w:lineRule="exact"/>
      <w:ind w:firstLine="480" w:firstLineChars="200"/>
    </w:pPr>
    <w:rPr>
      <w:rFonts w:ascii="宋体" w:hAnsi="宋体"/>
      <w:sz w:val="24"/>
    </w:rPr>
  </w:style>
  <w:style w:type="paragraph" w:styleId="5">
    <w:name w:val="envelope return"/>
    <w:basedOn w:val="1"/>
    <w:qFormat/>
    <w:uiPriority w:val="99"/>
    <w:pPr>
      <w:snapToGrid w:val="0"/>
    </w:pPr>
    <w:rPr>
      <w:rFonts w:ascii="Arial" w:hAnsi="Arial" w:cs="Arial"/>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9"/>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3"/>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2"/>
    <w:basedOn w:val="4"/>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6"/>
    <w:qFormat/>
    <w:uiPriority w:val="9"/>
    <w:rPr>
      <w:b/>
      <w:bCs/>
      <w:kern w:val="44"/>
      <w:sz w:val="44"/>
      <w:szCs w:val="4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7"/>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3"/>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3"/>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7"/>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6"/>
    <w:qFormat/>
    <w:uiPriority w:val="0"/>
    <w:pPr>
      <w:tabs>
        <w:tab w:val="left" w:pos="840"/>
      </w:tabs>
      <w:adjustRightInd/>
      <w:ind w:left="840" w:hanging="420"/>
    </w:pPr>
  </w:style>
  <w:style w:type="paragraph" w:customStyle="1" w:styleId="624">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3"/>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6"/>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NormalCharacter"/>
    <w:semiHidden/>
    <w:qFormat/>
    <w:uiPriority w:val="0"/>
  </w:style>
  <w:style w:type="table" w:customStyle="1" w:styleId="963">
    <w:name w:val="网格型7"/>
    <w:basedOn w:val="6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CC37D-FEED-44A5-8758-C5203F9E4F9B}">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31395</Words>
  <Characters>32927</Characters>
  <Lines>293</Lines>
  <Paragraphs>82</Paragraphs>
  <TotalTime>30</TotalTime>
  <ScaleCrop>false</ScaleCrop>
  <LinksUpToDate>false</LinksUpToDate>
  <CharactersWithSpaces>38411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李芳芳-天堂眼</cp:lastModifiedBy>
  <cp:lastPrinted>2021-12-27T03:06:00Z</cp:lastPrinted>
  <dcterms:modified xsi:type="dcterms:W3CDTF">2022-07-05T09:06:47Z</dcterms:modified>
  <dc:title>杭州市市民卡扩大发卡工程</dc:title>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C59AF30D3F86480BA457675AA09EE47F</vt:lpwstr>
  </property>
</Properties>
</file>