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3993E5">
      <w:pPr>
        <w:adjustRightInd/>
        <w:spacing w:line="360" w:lineRule="auto"/>
        <w:jc w:val="both"/>
        <w:rPr>
          <w:rFonts w:hint="eastAsia" w:ascii="仿宋" w:hAnsi="仿宋" w:eastAsia="仿宋" w:cs="仿宋"/>
          <w:b/>
          <w:color w:val="auto"/>
          <w:sz w:val="48"/>
          <w:szCs w:val="48"/>
          <w:highlight w:val="none"/>
        </w:rPr>
      </w:pPr>
    </w:p>
    <w:p w14:paraId="46523425">
      <w:pPr>
        <w:adjustRightInd/>
        <w:spacing w:line="360" w:lineRule="auto"/>
        <w:jc w:val="center"/>
        <w:rPr>
          <w:rFonts w:hint="eastAsia" w:ascii="仿宋" w:hAnsi="仿宋" w:eastAsia="仿宋" w:cs="仿宋"/>
          <w:color w:val="auto"/>
          <w:sz w:val="48"/>
          <w:szCs w:val="48"/>
          <w:lang w:eastAsia="zh-CN"/>
        </w:rPr>
      </w:pPr>
      <w:r>
        <w:rPr>
          <w:rFonts w:hint="eastAsia" w:ascii="仿宋" w:hAnsi="仿宋" w:eastAsia="仿宋" w:cs="仿宋"/>
          <w:color w:val="auto"/>
          <w:sz w:val="48"/>
          <w:szCs w:val="48"/>
          <w:lang w:eastAsia="zh-CN"/>
        </w:rPr>
        <w:t>2025年-2028年南苑街道综合养护项目</w:t>
      </w:r>
      <w:bookmarkStart w:id="522" w:name="_GoBack"/>
      <w:bookmarkEnd w:id="522"/>
    </w:p>
    <w:p w14:paraId="4E58013C">
      <w:pPr>
        <w:adjustRightInd/>
        <w:spacing w:line="360" w:lineRule="auto"/>
        <w:jc w:val="center"/>
        <w:rPr>
          <w:rFonts w:hint="eastAsia" w:ascii="仿宋" w:hAnsi="仿宋" w:eastAsia="仿宋" w:cs="仿宋"/>
          <w:color w:val="auto"/>
          <w:sz w:val="48"/>
          <w:szCs w:val="48"/>
          <w:lang w:eastAsia="zh-CN"/>
        </w:rPr>
      </w:pPr>
      <w:r>
        <w:rPr>
          <w:rFonts w:hint="eastAsia" w:ascii="仿宋" w:hAnsi="仿宋" w:eastAsia="仿宋" w:cs="仿宋"/>
          <w:color w:val="auto"/>
          <w:sz w:val="48"/>
          <w:szCs w:val="48"/>
          <w:lang w:eastAsia="zh-CN"/>
        </w:rPr>
        <w:t>十二标</w:t>
      </w:r>
    </w:p>
    <w:p w14:paraId="113783BC">
      <w:pPr>
        <w:adjustRightInd/>
        <w:spacing w:line="360" w:lineRule="auto"/>
        <w:jc w:val="center"/>
        <w:rPr>
          <w:rFonts w:hint="eastAsia" w:ascii="仿宋" w:hAnsi="仿宋" w:eastAsia="仿宋" w:cs="仿宋"/>
          <w:color w:val="auto"/>
          <w:sz w:val="48"/>
          <w:szCs w:val="48"/>
          <w:lang w:eastAsia="zh-CN"/>
        </w:rPr>
      </w:pPr>
    </w:p>
    <w:p w14:paraId="1D5F228D">
      <w:pPr>
        <w:adjustRightInd/>
        <w:spacing w:line="360" w:lineRule="auto"/>
        <w:jc w:val="center"/>
        <w:rPr>
          <w:rFonts w:hint="eastAsia" w:ascii="仿宋" w:hAnsi="仿宋" w:eastAsia="仿宋" w:cs="仿宋"/>
          <w:color w:val="auto"/>
          <w:sz w:val="48"/>
          <w:szCs w:val="48"/>
          <w:lang w:eastAsia="zh-CN"/>
        </w:rPr>
      </w:pPr>
    </w:p>
    <w:p w14:paraId="75124F9C">
      <w:pPr>
        <w:adjustRightInd/>
        <w:spacing w:line="360" w:lineRule="auto"/>
        <w:jc w:val="center"/>
        <w:rPr>
          <w:rFonts w:hint="eastAsia" w:ascii="仿宋" w:hAnsi="仿宋" w:eastAsia="仿宋" w:cs="仿宋"/>
          <w:color w:val="auto"/>
          <w:sz w:val="48"/>
          <w:szCs w:val="48"/>
          <w:lang w:eastAsia="zh-CN"/>
        </w:rPr>
      </w:pPr>
    </w:p>
    <w:p w14:paraId="7F808CB1">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 xml:space="preserve">招标文件 </w:t>
      </w:r>
    </w:p>
    <w:p w14:paraId="2C8D9204">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1F4C79A8">
      <w:pPr>
        <w:snapToGrid w:val="0"/>
        <w:spacing w:line="360" w:lineRule="auto"/>
        <w:jc w:val="center"/>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编号:ZJWL-2025-01</w:t>
      </w:r>
      <w:r>
        <w:rPr>
          <w:rFonts w:hint="eastAsia" w:ascii="仿宋" w:hAnsi="仿宋" w:eastAsia="仿宋" w:cs="仿宋"/>
          <w:color w:val="auto"/>
          <w:sz w:val="30"/>
          <w:szCs w:val="30"/>
          <w:highlight w:val="none"/>
          <w:lang w:val="en-US" w:eastAsia="zh-CN"/>
        </w:rPr>
        <w:t>5</w:t>
      </w:r>
    </w:p>
    <w:p w14:paraId="5BBD926D">
      <w:pPr>
        <w:adjustRightInd/>
        <w:spacing w:line="360" w:lineRule="auto"/>
        <w:rPr>
          <w:rFonts w:hint="eastAsia" w:ascii="仿宋" w:hAnsi="仿宋" w:eastAsia="仿宋" w:cs="仿宋"/>
          <w:color w:val="auto"/>
          <w:sz w:val="28"/>
          <w:szCs w:val="20"/>
          <w:highlight w:val="none"/>
        </w:rPr>
      </w:pPr>
    </w:p>
    <w:p w14:paraId="5649A9C9">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5BC8996A">
      <w:pPr>
        <w:spacing w:line="360" w:lineRule="auto"/>
        <w:jc w:val="center"/>
        <w:rPr>
          <w:rFonts w:hint="eastAsia" w:ascii="仿宋" w:hAnsi="仿宋" w:eastAsia="仿宋" w:cs="仿宋"/>
          <w:b/>
          <w:color w:val="auto"/>
          <w:sz w:val="44"/>
          <w:szCs w:val="44"/>
          <w:highlight w:val="none"/>
        </w:rPr>
      </w:pPr>
    </w:p>
    <w:p w14:paraId="6854E374">
      <w:pPr>
        <w:spacing w:line="360" w:lineRule="auto"/>
        <w:jc w:val="center"/>
        <w:rPr>
          <w:rFonts w:hint="eastAsia" w:ascii="仿宋" w:hAnsi="仿宋" w:eastAsia="仿宋" w:cs="仿宋"/>
          <w:color w:val="auto"/>
          <w:sz w:val="24"/>
          <w:highlight w:val="none"/>
        </w:rPr>
      </w:pPr>
    </w:p>
    <w:p w14:paraId="46C38D6F">
      <w:pPr>
        <w:spacing w:line="360" w:lineRule="auto"/>
        <w:jc w:val="center"/>
        <w:rPr>
          <w:rFonts w:hint="eastAsia" w:ascii="仿宋" w:hAnsi="仿宋" w:eastAsia="仿宋" w:cs="仿宋"/>
          <w:color w:val="auto"/>
          <w:sz w:val="24"/>
          <w:highlight w:val="none"/>
        </w:rPr>
      </w:pPr>
    </w:p>
    <w:p w14:paraId="72941B48">
      <w:pPr>
        <w:spacing w:line="360" w:lineRule="auto"/>
        <w:rPr>
          <w:rFonts w:hint="eastAsia" w:ascii="仿宋" w:hAnsi="仿宋" w:eastAsia="仿宋" w:cs="仿宋"/>
          <w:color w:val="auto"/>
          <w:sz w:val="32"/>
          <w:szCs w:val="32"/>
          <w:highlight w:val="none"/>
        </w:rPr>
      </w:pPr>
    </w:p>
    <w:p w14:paraId="4F384346">
      <w:pPr>
        <w:snapToGrid w:val="0"/>
        <w:spacing w:line="480" w:lineRule="auto"/>
        <w:jc w:val="center"/>
        <w:rPr>
          <w:rFonts w:hint="eastAsia" w:ascii="仿宋" w:hAnsi="仿宋" w:eastAsia="仿宋" w:cs="仿宋"/>
          <w:color w:val="auto"/>
          <w:sz w:val="32"/>
          <w:szCs w:val="32"/>
          <w:lang w:eastAsia="zh-CN"/>
        </w:rPr>
      </w:pPr>
      <w:r>
        <w:rPr>
          <w:rFonts w:hint="eastAsia" w:ascii="仿宋" w:hAnsi="仿宋" w:eastAsia="仿宋" w:cs="仿宋_GB2312"/>
          <w:color w:val="auto"/>
          <w:sz w:val="32"/>
          <w:szCs w:val="32"/>
        </w:rPr>
        <w:t>采购人：</w:t>
      </w:r>
      <w:r>
        <w:rPr>
          <w:rFonts w:hint="eastAsia" w:ascii="仿宋" w:hAnsi="仿宋" w:eastAsia="仿宋" w:cs="仿宋"/>
          <w:color w:val="auto"/>
          <w:sz w:val="32"/>
          <w:szCs w:val="32"/>
          <w:lang w:eastAsia="zh-CN"/>
        </w:rPr>
        <w:t>杭州市临平区人民政府南苑街道办事处</w:t>
      </w:r>
    </w:p>
    <w:p w14:paraId="7B95E601">
      <w:pPr>
        <w:spacing w:line="480" w:lineRule="auto"/>
        <w:jc w:val="center"/>
        <w:rPr>
          <w:rFonts w:hint="eastAsia" w:ascii="仿宋" w:hAnsi="仿宋" w:eastAsia="仿宋" w:cs="仿宋"/>
          <w:bCs/>
          <w:color w:val="auto"/>
          <w:sz w:val="32"/>
          <w:szCs w:val="32"/>
          <w:lang w:eastAsia="zh-CN"/>
        </w:rPr>
      </w:pPr>
      <w:r>
        <w:rPr>
          <w:rFonts w:hint="eastAsia" w:ascii="仿宋" w:hAnsi="仿宋" w:eastAsia="仿宋" w:cs="仿宋_GB2312"/>
          <w:bCs/>
          <w:color w:val="auto"/>
          <w:sz w:val="32"/>
          <w:szCs w:val="32"/>
        </w:rPr>
        <w:t>采购代理机构：</w:t>
      </w:r>
      <w:r>
        <w:rPr>
          <w:rFonts w:hint="eastAsia" w:ascii="仿宋" w:hAnsi="仿宋" w:eastAsia="仿宋" w:cs="仿宋"/>
          <w:bCs/>
          <w:color w:val="auto"/>
          <w:sz w:val="32"/>
          <w:szCs w:val="32"/>
          <w:lang w:eastAsia="zh-CN"/>
        </w:rPr>
        <w:t>浙江文澜建设管理有限公司</w:t>
      </w:r>
    </w:p>
    <w:p w14:paraId="2B39EBA2">
      <w:pPr>
        <w:snapToGrid w:val="0"/>
        <w:spacing w:line="480" w:lineRule="auto"/>
        <w:jc w:val="center"/>
        <w:rPr>
          <w:rFonts w:hint="eastAsia" w:ascii="仿宋" w:hAnsi="仿宋" w:eastAsia="仿宋" w:cs="仿宋"/>
          <w:bCs/>
          <w:color w:val="auto"/>
          <w:sz w:val="32"/>
          <w:szCs w:val="32"/>
        </w:rPr>
      </w:pPr>
      <w:r>
        <w:rPr>
          <w:rFonts w:hint="eastAsia" w:ascii="仿宋" w:hAnsi="仿宋" w:eastAsia="仿宋" w:cs="仿宋"/>
          <w:bCs/>
          <w:color w:val="auto"/>
          <w:sz w:val="32"/>
          <w:szCs w:val="32"/>
        </w:rPr>
        <w:t>二〇二</w:t>
      </w:r>
      <w:r>
        <w:rPr>
          <w:rFonts w:hint="eastAsia" w:ascii="仿宋" w:hAnsi="仿宋" w:eastAsia="仿宋" w:cs="仿宋"/>
          <w:bCs/>
          <w:color w:val="auto"/>
          <w:sz w:val="32"/>
          <w:szCs w:val="32"/>
          <w:lang w:val="en-US" w:eastAsia="zh-CN"/>
        </w:rPr>
        <w:t>五</w:t>
      </w:r>
      <w:r>
        <w:rPr>
          <w:rFonts w:hint="eastAsia" w:ascii="仿宋" w:hAnsi="仿宋" w:eastAsia="仿宋" w:cs="仿宋"/>
          <w:bCs/>
          <w:color w:val="auto"/>
          <w:sz w:val="32"/>
          <w:szCs w:val="32"/>
        </w:rPr>
        <w:t>年</w:t>
      </w:r>
      <w:r>
        <w:rPr>
          <w:rFonts w:hint="eastAsia" w:ascii="仿宋" w:hAnsi="仿宋" w:eastAsia="仿宋" w:cs="仿宋"/>
          <w:bCs/>
          <w:color w:val="auto"/>
          <w:sz w:val="32"/>
          <w:szCs w:val="32"/>
          <w:lang w:val="en-US" w:eastAsia="zh-CN"/>
        </w:rPr>
        <w:t>六</w:t>
      </w:r>
      <w:r>
        <w:rPr>
          <w:rFonts w:hint="eastAsia" w:ascii="仿宋" w:hAnsi="仿宋" w:eastAsia="仿宋" w:cs="仿宋"/>
          <w:bCs/>
          <w:color w:val="auto"/>
          <w:sz w:val="32"/>
          <w:szCs w:val="32"/>
        </w:rPr>
        <w:t>月</w:t>
      </w:r>
    </w:p>
    <w:p w14:paraId="0875FCC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19A67650">
      <w:pPr>
        <w:pStyle w:val="637"/>
        <w:rPr>
          <w:rFonts w:hint="eastAsia" w:ascii="仿宋" w:hAnsi="仿宋" w:eastAsia="仿宋" w:cs="仿宋"/>
          <w:color w:val="auto"/>
          <w:highlight w:val="none"/>
        </w:rPr>
      </w:pPr>
    </w:p>
    <w:p w14:paraId="6FA1B737">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486412B2">
      <w:pPr>
        <w:spacing w:line="360" w:lineRule="auto"/>
        <w:rPr>
          <w:rFonts w:hint="eastAsia" w:ascii="仿宋" w:hAnsi="仿宋" w:eastAsia="仿宋" w:cs="仿宋"/>
          <w:color w:val="auto"/>
          <w:sz w:val="32"/>
          <w:szCs w:val="32"/>
          <w:highlight w:val="none"/>
        </w:rPr>
      </w:pPr>
    </w:p>
    <w:p w14:paraId="1D3A535C">
      <w:pPr>
        <w:spacing w:line="360" w:lineRule="auto"/>
        <w:rPr>
          <w:rFonts w:hint="eastAsia" w:ascii="仿宋" w:hAnsi="仿宋" w:eastAsia="仿宋" w:cs="仿宋"/>
          <w:color w:val="auto"/>
          <w:sz w:val="32"/>
          <w:szCs w:val="32"/>
          <w:highlight w:val="none"/>
        </w:rPr>
      </w:pPr>
    </w:p>
    <w:p w14:paraId="7BE113A9">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2E973D95">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22203D1A">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66EF074B">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7309CF14">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1F6815E1">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11AB8175">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6E2B1657">
      <w:pPr>
        <w:spacing w:line="360" w:lineRule="auto"/>
        <w:ind w:firstLine="549" w:firstLineChars="229"/>
        <w:rPr>
          <w:rFonts w:hint="eastAsia" w:ascii="仿宋" w:hAnsi="仿宋" w:eastAsia="仿宋" w:cs="仿宋"/>
          <w:color w:val="auto"/>
          <w:sz w:val="24"/>
          <w:highlight w:val="none"/>
        </w:rPr>
      </w:pPr>
    </w:p>
    <w:p w14:paraId="4B655421">
      <w:pPr>
        <w:spacing w:line="360" w:lineRule="auto"/>
        <w:ind w:firstLine="549" w:firstLineChars="229"/>
        <w:rPr>
          <w:rFonts w:hint="eastAsia" w:ascii="仿宋" w:hAnsi="仿宋" w:eastAsia="仿宋" w:cs="仿宋"/>
          <w:color w:val="auto"/>
          <w:sz w:val="24"/>
          <w:highlight w:val="none"/>
        </w:rPr>
      </w:pPr>
    </w:p>
    <w:p w14:paraId="0737F2FF">
      <w:pPr>
        <w:spacing w:line="360" w:lineRule="auto"/>
        <w:ind w:firstLine="549" w:firstLineChars="229"/>
        <w:rPr>
          <w:rFonts w:hint="eastAsia" w:ascii="仿宋" w:hAnsi="仿宋" w:eastAsia="仿宋" w:cs="仿宋"/>
          <w:color w:val="auto"/>
          <w:sz w:val="24"/>
          <w:highlight w:val="none"/>
        </w:rPr>
      </w:pPr>
    </w:p>
    <w:p w14:paraId="0D24148D">
      <w:pPr>
        <w:spacing w:line="360" w:lineRule="auto"/>
        <w:ind w:firstLine="549" w:firstLineChars="229"/>
        <w:rPr>
          <w:rFonts w:hint="eastAsia" w:ascii="仿宋" w:hAnsi="仿宋" w:eastAsia="仿宋" w:cs="仿宋"/>
          <w:color w:val="auto"/>
          <w:sz w:val="24"/>
          <w:highlight w:val="none"/>
        </w:rPr>
      </w:pPr>
    </w:p>
    <w:p w14:paraId="78FDDF64">
      <w:pPr>
        <w:spacing w:line="360" w:lineRule="auto"/>
        <w:ind w:firstLine="549" w:firstLineChars="229"/>
        <w:rPr>
          <w:rFonts w:hint="eastAsia" w:ascii="仿宋" w:hAnsi="仿宋" w:eastAsia="仿宋" w:cs="仿宋"/>
          <w:color w:val="auto"/>
          <w:sz w:val="24"/>
          <w:highlight w:val="none"/>
        </w:rPr>
      </w:pPr>
    </w:p>
    <w:p w14:paraId="0A915DB0">
      <w:pPr>
        <w:spacing w:line="360" w:lineRule="auto"/>
        <w:ind w:firstLine="549" w:firstLineChars="229"/>
        <w:rPr>
          <w:rFonts w:hint="eastAsia" w:ascii="仿宋" w:hAnsi="仿宋" w:eastAsia="仿宋" w:cs="仿宋"/>
          <w:color w:val="auto"/>
          <w:sz w:val="24"/>
          <w:highlight w:val="none"/>
        </w:rPr>
      </w:pPr>
    </w:p>
    <w:p w14:paraId="0B435453">
      <w:pPr>
        <w:spacing w:line="360" w:lineRule="auto"/>
        <w:ind w:firstLine="549" w:firstLineChars="229"/>
        <w:rPr>
          <w:rFonts w:hint="eastAsia" w:ascii="仿宋" w:hAnsi="仿宋" w:eastAsia="仿宋" w:cs="仿宋"/>
          <w:color w:val="auto"/>
          <w:sz w:val="24"/>
          <w:highlight w:val="none"/>
        </w:rPr>
      </w:pPr>
    </w:p>
    <w:p w14:paraId="283CD491">
      <w:pPr>
        <w:spacing w:line="360" w:lineRule="auto"/>
        <w:ind w:firstLine="549" w:firstLineChars="229"/>
        <w:rPr>
          <w:rFonts w:hint="eastAsia" w:ascii="仿宋" w:hAnsi="仿宋" w:eastAsia="仿宋" w:cs="仿宋"/>
          <w:color w:val="auto"/>
          <w:sz w:val="24"/>
          <w:highlight w:val="none"/>
        </w:rPr>
      </w:pPr>
    </w:p>
    <w:p w14:paraId="6721B4C0">
      <w:pPr>
        <w:spacing w:line="360" w:lineRule="auto"/>
        <w:ind w:firstLine="549" w:firstLineChars="229"/>
        <w:rPr>
          <w:rFonts w:hint="eastAsia" w:ascii="仿宋" w:hAnsi="仿宋" w:eastAsia="仿宋" w:cs="仿宋"/>
          <w:color w:val="auto"/>
          <w:sz w:val="24"/>
          <w:highlight w:val="none"/>
        </w:rPr>
      </w:pPr>
    </w:p>
    <w:p w14:paraId="578FE1E8">
      <w:pPr>
        <w:spacing w:line="360" w:lineRule="auto"/>
        <w:ind w:firstLine="549" w:firstLineChars="229"/>
        <w:rPr>
          <w:rFonts w:hint="eastAsia" w:ascii="仿宋" w:hAnsi="仿宋" w:eastAsia="仿宋" w:cs="仿宋"/>
          <w:color w:val="auto"/>
          <w:sz w:val="24"/>
          <w:highlight w:val="none"/>
        </w:rPr>
      </w:pPr>
    </w:p>
    <w:p w14:paraId="38BD0AC8">
      <w:pPr>
        <w:spacing w:line="360" w:lineRule="auto"/>
        <w:ind w:firstLine="549" w:firstLineChars="229"/>
        <w:rPr>
          <w:rFonts w:hint="eastAsia" w:ascii="仿宋" w:hAnsi="仿宋" w:eastAsia="仿宋" w:cs="仿宋"/>
          <w:color w:val="auto"/>
          <w:sz w:val="24"/>
          <w:highlight w:val="none"/>
        </w:rPr>
      </w:pPr>
    </w:p>
    <w:p w14:paraId="0D0F25D2">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14:paraId="26C42557">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77733431">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i w:val="0"/>
          <w:iCs w:val="0"/>
          <w:color w:val="auto"/>
          <w:sz w:val="24"/>
          <w:highlight w:val="none"/>
          <w:u w:val="single"/>
        </w:rPr>
        <w:t>2025年-2028年南苑街道综合养护项目十二标</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https://www.zcygov.cn/）获取（下载）招标文件，并于202</w:t>
      </w:r>
      <w:r>
        <w:rPr>
          <w:rStyle w:val="76"/>
          <w:rFonts w:hint="eastAsia" w:ascii="仿宋" w:hAnsi="仿宋" w:eastAsia="仿宋" w:cs="仿宋"/>
          <w:snapToGrid/>
          <w:color w:val="auto"/>
          <w:kern w:val="2"/>
          <w:sz w:val="24"/>
          <w:szCs w:val="24"/>
          <w:highlight w:val="none"/>
          <w:lang w:val="en-US" w:eastAsia="zh-CN"/>
        </w:rPr>
        <w:t>5</w:t>
      </w:r>
      <w:r>
        <w:rPr>
          <w:rStyle w:val="76"/>
          <w:rFonts w:hint="eastAsia" w:ascii="仿宋" w:hAnsi="仿宋" w:eastAsia="仿宋" w:cs="仿宋"/>
          <w:snapToGrid/>
          <w:color w:val="auto"/>
          <w:kern w:val="2"/>
          <w:sz w:val="24"/>
          <w:szCs w:val="24"/>
          <w:highlight w:val="none"/>
        </w:rPr>
        <w:t>年</w:t>
      </w:r>
      <w:r>
        <w:rPr>
          <w:rStyle w:val="76"/>
          <w:rFonts w:hint="eastAsia" w:ascii="仿宋" w:hAnsi="仿宋" w:eastAsia="仿宋" w:cs="仿宋"/>
          <w:snapToGrid/>
          <w:color w:val="auto"/>
          <w:kern w:val="2"/>
          <w:sz w:val="24"/>
          <w:szCs w:val="24"/>
          <w:highlight w:val="none"/>
          <w:lang w:val="en-US" w:eastAsia="zh-CN"/>
        </w:rPr>
        <w:t>7</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lang w:val="en-US" w:eastAsia="zh-CN"/>
        </w:rPr>
        <w:t>7</w:t>
      </w:r>
      <w:r>
        <w:rPr>
          <w:rStyle w:val="76"/>
          <w:rFonts w:hint="eastAsia" w:ascii="仿宋" w:hAnsi="仿宋" w:eastAsia="仿宋" w:cs="仿宋"/>
          <w:snapToGrid/>
          <w:color w:val="auto"/>
          <w:kern w:val="2"/>
          <w:sz w:val="24"/>
          <w:szCs w:val="24"/>
          <w:highlight w:val="none"/>
        </w:rPr>
        <w:t>日</w:t>
      </w:r>
      <w:r>
        <w:rPr>
          <w:rStyle w:val="76"/>
          <w:rFonts w:hint="eastAsia" w:ascii="仿宋" w:hAnsi="仿宋" w:eastAsia="仿宋" w:cs="仿宋"/>
          <w:snapToGrid/>
          <w:color w:val="auto"/>
          <w:kern w:val="2"/>
          <w:sz w:val="24"/>
          <w:szCs w:val="24"/>
          <w:highlight w:val="none"/>
          <w:lang w:val="en-US" w:eastAsia="zh-CN"/>
        </w:rPr>
        <w:t>14</w:t>
      </w:r>
      <w:r>
        <w:rPr>
          <w:rStyle w:val="76"/>
          <w:rFonts w:hint="eastAsia" w:ascii="仿宋" w:hAnsi="仿宋" w:eastAsia="仿宋" w:cs="仿宋"/>
          <w:snapToGrid/>
          <w:color w:val="auto"/>
          <w:kern w:val="2"/>
          <w:sz w:val="24"/>
          <w:szCs w:val="24"/>
          <w:highlight w:val="none"/>
        </w:rPr>
        <w:t>点</w:t>
      </w:r>
      <w:r>
        <w:rPr>
          <w:rStyle w:val="76"/>
          <w:rFonts w:hint="eastAsia" w:ascii="仿宋" w:hAnsi="仿宋" w:eastAsia="仿宋" w:cs="仿宋"/>
          <w:snapToGrid/>
          <w:color w:val="auto"/>
          <w:kern w:val="2"/>
          <w:sz w:val="24"/>
          <w:szCs w:val="24"/>
          <w:highlight w:val="none"/>
          <w:lang w:val="en-US" w:eastAsia="zh-CN"/>
        </w:rPr>
        <w:t>00</w:t>
      </w:r>
      <w:r>
        <w:rPr>
          <w:rStyle w:val="76"/>
          <w:rFonts w:hint="eastAsia" w:ascii="仿宋" w:hAnsi="仿宋" w:eastAsia="仿宋" w:cs="仿宋"/>
          <w:snapToGrid/>
          <w:color w:val="auto"/>
          <w:kern w:val="2"/>
          <w:sz w:val="24"/>
          <w:szCs w:val="24"/>
          <w:highlight w:val="none"/>
        </w:rPr>
        <w:t>分</w:t>
      </w:r>
      <w:r>
        <w:rPr>
          <w:rStyle w:val="76"/>
          <w:rFonts w:hint="eastAsia" w:ascii="仿宋" w:hAnsi="仿宋" w:eastAsia="仿宋" w:cs="仿宋"/>
          <w:bCs/>
          <w:snapToGrid/>
          <w:color w:val="auto"/>
          <w:kern w:val="2"/>
          <w:sz w:val="24"/>
          <w:szCs w:val="24"/>
          <w:highlight w:val="none"/>
        </w:rPr>
        <w:t>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3FCC9302">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6CAB100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项目编号：ZJWL-2025-015</w:t>
      </w:r>
    </w:p>
    <w:p w14:paraId="0312DF7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项目名称：2025年-2028年南苑街道综合养护项目十二标 </w:t>
      </w:r>
    </w:p>
    <w:p w14:paraId="1C6D4CA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预算金额（元）：6310000</w:t>
      </w:r>
    </w:p>
    <w:p w14:paraId="524783DF">
      <w:pPr>
        <w:spacing w:line="360" w:lineRule="auto"/>
        <w:ind w:firstLine="480"/>
        <w:rPr>
          <w:rFonts w:hint="default" w:ascii="仿宋" w:hAnsi="仿宋" w:eastAsia="仿宋" w:cs="仿宋"/>
          <w:color w:val="auto"/>
          <w:sz w:val="24"/>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lang w:val="en-US" w:eastAsia="zh-CN"/>
        </w:rPr>
        <w:t>6302692.09</w:t>
      </w:r>
    </w:p>
    <w:p w14:paraId="6EC5DB8E">
      <w:pPr>
        <w:pStyle w:val="5"/>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 w:val="0"/>
          <w:bCs/>
          <w:color w:val="auto"/>
          <w:sz w:val="24"/>
          <w:highlight w:val="none"/>
        </w:rPr>
        <w:t>2025年-2028年南苑街道综合养护项目十二标</w:t>
      </w:r>
      <w:r>
        <w:rPr>
          <w:rFonts w:hint="eastAsia" w:ascii="仿宋" w:hAnsi="仿宋" w:eastAsia="仿宋" w:cs="仿宋"/>
          <w:b w:val="0"/>
          <w:bCs/>
          <w:snapToGrid/>
          <w:color w:val="auto"/>
          <w:kern w:val="2"/>
          <w:sz w:val="24"/>
          <w:szCs w:val="24"/>
          <w:highlight w:val="none"/>
        </w:rPr>
        <w:t>主</w:t>
      </w:r>
      <w:r>
        <w:rPr>
          <w:rFonts w:hint="eastAsia" w:ascii="仿宋" w:hAnsi="仿宋" w:eastAsia="仿宋" w:cs="仿宋"/>
          <w:bCs/>
          <w:snapToGrid/>
          <w:color w:val="auto"/>
          <w:kern w:val="2"/>
          <w:sz w:val="24"/>
          <w:szCs w:val="24"/>
          <w:highlight w:val="none"/>
        </w:rPr>
        <w:t>要内容</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14:paraId="0CF83623">
      <w:pPr>
        <w:pStyle w:val="131"/>
        <w:ind w:firstLine="482"/>
        <w:outlineLvl w:val="2"/>
        <w:rPr>
          <w:rFonts w:hint="default" w:ascii="仿宋" w:hAnsi="仿宋" w:eastAsia="仿宋" w:cs="仿宋"/>
          <w:color w:val="auto"/>
          <w:highlight w:val="none"/>
          <w:lang w:val="en-US" w:eastAsia="zh-CN"/>
        </w:rPr>
      </w:pPr>
      <w:r>
        <w:rPr>
          <w:rFonts w:hint="eastAsia" w:ascii="仿宋" w:hAnsi="仿宋" w:eastAsia="仿宋" w:cs="仿宋"/>
          <w:b/>
          <w:color w:val="auto"/>
          <w:highlight w:val="none"/>
        </w:rPr>
        <w:t>合同履约期限</w:t>
      </w:r>
      <w:r>
        <w:rPr>
          <w:rFonts w:hint="eastAsia" w:ascii="仿宋" w:hAnsi="仿宋" w:eastAsia="仿宋" w:cs="仿宋"/>
          <w:b/>
          <w:bCs w:val="0"/>
          <w:color w:val="auto"/>
          <w:highlight w:val="none"/>
        </w:rPr>
        <w:t>：</w:t>
      </w:r>
      <w:r>
        <w:rPr>
          <w:rFonts w:hint="eastAsia" w:ascii="仿宋" w:hAnsi="仿宋" w:eastAsia="仿宋" w:cs="宋体"/>
          <w:b/>
          <w:bCs w:val="0"/>
          <w:color w:val="auto"/>
          <w:szCs w:val="20"/>
          <w:highlight w:val="none"/>
          <w:u w:val="none"/>
        </w:rPr>
        <w:t>自合同签订之日起</w:t>
      </w:r>
      <w:r>
        <w:rPr>
          <w:rFonts w:hint="eastAsia" w:ascii="仿宋" w:hAnsi="仿宋" w:eastAsia="仿宋" w:cs="宋体"/>
          <w:b/>
          <w:bCs w:val="0"/>
          <w:color w:val="auto"/>
          <w:szCs w:val="20"/>
          <w:highlight w:val="none"/>
          <w:u w:val="none"/>
          <w:lang w:val="en-US" w:eastAsia="zh-CN"/>
        </w:rPr>
        <w:t>三</w:t>
      </w:r>
      <w:r>
        <w:rPr>
          <w:rFonts w:hint="eastAsia" w:ascii="仿宋" w:hAnsi="仿宋" w:eastAsia="仿宋" w:cs="宋体"/>
          <w:b/>
          <w:bCs w:val="0"/>
          <w:color w:val="auto"/>
          <w:szCs w:val="20"/>
          <w:highlight w:val="none"/>
          <w:u w:val="none"/>
        </w:rPr>
        <w:t>年，</w:t>
      </w:r>
      <w:r>
        <w:rPr>
          <w:rFonts w:hint="eastAsia" w:ascii="仿宋" w:hAnsi="仿宋" w:eastAsia="仿宋" w:cs="宋体"/>
          <w:b/>
          <w:bCs w:val="0"/>
          <w:color w:val="auto"/>
          <w:szCs w:val="20"/>
          <w:highlight w:val="none"/>
          <w:u w:val="none"/>
          <w:lang w:val="en-US" w:eastAsia="zh-CN"/>
        </w:rPr>
        <w:t>合同一年一签，经甲方考核合格后续签第二年合同，以此类推。</w:t>
      </w:r>
    </w:p>
    <w:p w14:paraId="07281B02">
      <w:pPr>
        <w:pStyle w:val="5"/>
        <w:spacing w:line="360" w:lineRule="auto"/>
        <w:ind w:firstLine="480"/>
        <w:rPr>
          <w:rFonts w:hint="eastAsia" w:ascii="仿宋" w:hAnsi="仿宋" w:eastAsia="仿宋" w:cs="仿宋"/>
          <w:b/>
          <w:color w:val="auto"/>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t xml:space="preserve"> </w:t>
      </w:r>
      <w:sdt>
        <w:sdtPr>
          <w:rPr>
            <w:rFonts w:hint="eastAsia" w:ascii="仿宋" w:hAnsi="仿宋" w:eastAsia="仿宋" w:cs="仿宋"/>
            <w:color w:val="auto"/>
            <w:kern w:val="0"/>
            <w:sz w:val="24"/>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74754820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08B50DB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5FDBAFE8">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07A2EF5">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1F9DEC0D">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7269F9B4">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7D88538E">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597832300"/>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1253AD27">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1445526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服务全部由符合政策要求的中小企业承接，提供中小企业声明函；</w:t>
      </w:r>
    </w:p>
    <w:p w14:paraId="2FFE48BA">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2002746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服务全部由符合政策要求的小微企业承接，提供中小企业声明函；</w:t>
      </w:r>
    </w:p>
    <w:p w14:paraId="2FD4197A">
      <w:pPr>
        <w:rPr>
          <w:rFonts w:hint="eastAsia" w:ascii="仿宋" w:hAnsi="仿宋" w:eastAsia="仿宋" w:cs="仿宋"/>
          <w:color w:val="auto"/>
          <w:highlight w:val="none"/>
        </w:rPr>
      </w:pPr>
    </w:p>
    <w:p w14:paraId="58C41DE8">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9476534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14:paraId="17804FE0">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3E29ACB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p>
    <w:p w14:paraId="4C0D77A1">
      <w:pPr>
        <w:snapToGrid w:val="0"/>
        <w:spacing w:line="360" w:lineRule="auto"/>
        <w:ind w:firstLine="480" w:firstLineChars="200"/>
        <w:rPr>
          <w:rFonts w:hint="eastAsia" w:ascii="仿宋" w:hAnsi="仿宋" w:eastAsia="仿宋" w:cs="仿宋"/>
          <w:color w:val="auto"/>
          <w:sz w:val="24"/>
          <w:highlight w:val="none"/>
          <w:lang w:val="en-US" w:eastAsia="zh-CN"/>
        </w:rPr>
      </w:pPr>
      <w:sdt>
        <w:sdtPr>
          <w:rPr>
            <w:rFonts w:hint="eastAsia" w:ascii="仿宋" w:hAnsi="仿宋" w:eastAsia="仿宋" w:cs="仿宋"/>
            <w:color w:val="auto"/>
            <w:kern w:val="0"/>
            <w:sz w:val="24"/>
            <w:highlight w:val="none"/>
          </w:rPr>
          <w:id w:val="14746646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lang w:val="en-US" w:eastAsia="zh-CN"/>
        </w:rPr>
        <w:t>无。</w:t>
      </w:r>
    </w:p>
    <w:p w14:paraId="54F80419">
      <w:pPr>
        <w:snapToGrid w:val="0"/>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81344519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有特定资格要求：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，该特定条件的法律法规依据：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D0DBA1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086F1345">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b/>
          <w:color w:val="auto"/>
          <w:sz w:val="24"/>
          <w:highlight w:val="none"/>
          <w:u w:val="single"/>
        </w:rPr>
        <w:t>2025年7月7日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0DC67309">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34D5C0F8">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634F2D62">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7F44D63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7FA20757">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b/>
          <w:color w:val="auto"/>
          <w:sz w:val="24"/>
          <w:highlight w:val="none"/>
          <w:u w:val="single"/>
        </w:rPr>
        <w:t>2025年7月7日14点00分00秒</w:t>
      </w:r>
      <w:r>
        <w:rPr>
          <w:rFonts w:hint="eastAsia" w:ascii="仿宋" w:hAnsi="仿宋" w:eastAsia="仿宋" w:cs="仿宋"/>
          <w:color w:val="auto"/>
          <w:sz w:val="24"/>
          <w:highlight w:val="none"/>
        </w:rPr>
        <w:t>（北京时间）</w:t>
      </w:r>
    </w:p>
    <w:p w14:paraId="3790463E">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2B5D577C">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b/>
          <w:color w:val="auto"/>
          <w:sz w:val="24"/>
          <w:highlight w:val="none"/>
          <w:u w:val="single"/>
        </w:rPr>
        <w:t>2025年7月7日14点00分00秒</w:t>
      </w:r>
    </w:p>
    <w:p w14:paraId="0784271B">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54B8770C">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4EE0361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5C8F6F1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02C1E3D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54F1F4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6F83661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6093E08B">
      <w:pPr>
        <w:spacing w:line="360" w:lineRule="auto"/>
        <w:ind w:firstLine="480" w:firstLineChars="200"/>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名    称：</w:t>
      </w:r>
      <w:r>
        <w:rPr>
          <w:rFonts w:hint="eastAsia" w:ascii="仿宋" w:hAnsi="仿宋" w:eastAsia="仿宋" w:cs="宋体"/>
          <w:color w:val="000000" w:themeColor="text1"/>
          <w:sz w:val="24"/>
          <w:highlight w:val="none"/>
          <w:lang w:eastAsia="zh-CN"/>
          <w14:textFill>
            <w14:solidFill>
              <w14:schemeClr w14:val="tx1"/>
            </w14:solidFill>
          </w14:textFill>
        </w:rPr>
        <w:t>杭州市临平区人民政府南苑街道办事处</w:t>
      </w:r>
    </w:p>
    <w:p w14:paraId="58D92572">
      <w:pPr>
        <w:spacing w:line="360" w:lineRule="auto"/>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地    址：杭州市临平区南苑街道人民大道792号 </w:t>
      </w:r>
    </w:p>
    <w:p w14:paraId="07253AE5">
      <w:pPr>
        <w:spacing w:line="360" w:lineRule="auto"/>
        <w:ind w:firstLine="48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传    真： /</w:t>
      </w:r>
    </w:p>
    <w:p w14:paraId="51953622">
      <w:pPr>
        <w:spacing w:line="360" w:lineRule="auto"/>
        <w:ind w:firstLine="480" w:firstLineChars="200"/>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项目联系人（询问）： </w:t>
      </w:r>
      <w:r>
        <w:rPr>
          <w:rFonts w:hint="eastAsia" w:ascii="仿宋" w:hAnsi="仿宋" w:eastAsia="仿宋" w:cs="宋体"/>
          <w:color w:val="000000" w:themeColor="text1"/>
          <w:sz w:val="24"/>
          <w:highlight w:val="none"/>
          <w:lang w:val="en-US" w:eastAsia="zh-CN"/>
          <w14:textFill>
            <w14:solidFill>
              <w14:schemeClr w14:val="tx1"/>
            </w14:solidFill>
          </w14:textFill>
        </w:rPr>
        <w:t>俞工</w:t>
      </w:r>
    </w:p>
    <w:p w14:paraId="60A136EB">
      <w:pPr>
        <w:spacing w:line="360" w:lineRule="auto"/>
        <w:ind w:firstLine="480" w:firstLineChars="200"/>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项目联系方式（询问）：</w:t>
      </w:r>
      <w:r>
        <w:rPr>
          <w:rFonts w:hint="eastAsia" w:ascii="仿宋" w:hAnsi="仿宋" w:eastAsia="仿宋" w:cs="宋体"/>
          <w:color w:val="000000" w:themeColor="text1"/>
          <w:sz w:val="24"/>
          <w:szCs w:val="24"/>
          <w:highlight w:val="none"/>
          <w:lang w:val="en-US" w:eastAsia="zh-CN"/>
          <w14:textFill>
            <w14:solidFill>
              <w14:schemeClr w14:val="tx1"/>
            </w14:solidFill>
          </w14:textFill>
        </w:rPr>
        <w:t>0571-89533694</w:t>
      </w:r>
      <w:r>
        <w:rPr>
          <w:rFonts w:hint="eastAsia" w:ascii="仿宋" w:hAnsi="仿宋" w:eastAsia="仿宋" w:cs="宋体"/>
          <w:color w:val="000000" w:themeColor="text1"/>
          <w:sz w:val="24"/>
          <w:highlight w:val="none"/>
          <w:lang w:val="en-US" w:eastAsia="zh-CN"/>
          <w14:textFill>
            <w14:solidFill>
              <w14:schemeClr w14:val="tx1"/>
            </w14:solidFill>
          </w14:textFill>
        </w:rPr>
        <w:t xml:space="preserve"> </w:t>
      </w:r>
    </w:p>
    <w:p w14:paraId="4DC4E5E4">
      <w:pPr>
        <w:spacing w:line="360" w:lineRule="auto"/>
        <w:ind w:firstLine="480" w:firstLineChars="200"/>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质疑联系人：</w:t>
      </w:r>
      <w:r>
        <w:rPr>
          <w:rFonts w:hint="eastAsia" w:ascii="仿宋" w:hAnsi="仿宋" w:eastAsia="仿宋" w:cs="宋体"/>
          <w:color w:val="000000" w:themeColor="text1"/>
          <w:sz w:val="24"/>
          <w:highlight w:val="none"/>
          <w:lang w:val="en-US" w:eastAsia="zh-CN"/>
          <w14:textFill>
            <w14:solidFill>
              <w14:schemeClr w14:val="tx1"/>
            </w14:solidFill>
          </w14:textFill>
        </w:rPr>
        <w:t>李工</w:t>
      </w:r>
      <w:r>
        <w:rPr>
          <w:rFonts w:hint="eastAsia" w:ascii="仿宋" w:hAnsi="仿宋" w:eastAsia="仿宋" w:cs="宋体"/>
          <w:color w:val="000000" w:themeColor="text1"/>
          <w:sz w:val="24"/>
          <w:highlight w:val="none"/>
          <w14:textFill>
            <w14:solidFill>
              <w14:schemeClr w14:val="tx1"/>
            </w14:solidFill>
          </w14:textFill>
        </w:rPr>
        <w:t xml:space="preserve"> </w:t>
      </w:r>
    </w:p>
    <w:p w14:paraId="204D5B81">
      <w:pPr>
        <w:spacing w:line="360" w:lineRule="auto"/>
        <w:ind w:firstLine="480" w:firstLineChars="200"/>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质疑联系方式：</w:t>
      </w:r>
      <w:r>
        <w:rPr>
          <w:rFonts w:hint="eastAsia" w:ascii="仿宋" w:hAnsi="仿宋" w:eastAsia="仿宋" w:cs="宋体"/>
          <w:color w:val="000000" w:themeColor="text1"/>
          <w:sz w:val="24"/>
          <w:szCs w:val="24"/>
          <w:highlight w:val="none"/>
          <w:lang w:val="en-US" w:eastAsia="zh-CN"/>
          <w14:textFill>
            <w14:solidFill>
              <w14:schemeClr w14:val="tx1"/>
            </w14:solidFill>
          </w14:textFill>
        </w:rPr>
        <w:t>0571-89533694</w:t>
      </w:r>
      <w:r>
        <w:rPr>
          <w:rFonts w:hint="eastAsia" w:ascii="仿宋" w:hAnsi="仿宋" w:eastAsia="仿宋" w:cs="宋体"/>
          <w:color w:val="000000" w:themeColor="text1"/>
          <w:sz w:val="24"/>
          <w:highlight w:val="none"/>
          <w14:textFill>
            <w14:solidFill>
              <w14:schemeClr w14:val="tx1"/>
            </w14:solidFill>
          </w14:textFill>
        </w:rPr>
        <w:t xml:space="preserve"> </w:t>
      </w:r>
    </w:p>
    <w:p w14:paraId="4A6470C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4135ED0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称：浙江文澜建设管理有限公司</w:t>
      </w:r>
    </w:p>
    <w:p w14:paraId="71FF033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址：浙江省杭州市余杭区仓前街道西溪堂商务中心7幢410室</w:t>
      </w:r>
    </w:p>
    <w:p w14:paraId="6615448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    真：/</w:t>
      </w:r>
    </w:p>
    <w:p w14:paraId="39451AC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项目联系人（询问）：吴工</w:t>
      </w:r>
    </w:p>
    <w:p w14:paraId="43A111A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项目联系方式（询问）：13777566373</w:t>
      </w:r>
    </w:p>
    <w:p w14:paraId="11CB439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质疑联系人：</w:t>
      </w:r>
      <w:r>
        <w:rPr>
          <w:rFonts w:hint="eastAsia" w:ascii="仿宋" w:hAnsi="仿宋" w:eastAsia="仿宋" w:cs="仿宋"/>
          <w:color w:val="auto"/>
          <w:sz w:val="24"/>
          <w:szCs w:val="24"/>
          <w:highlight w:val="none"/>
          <w:lang w:val="en-US" w:eastAsia="zh-CN"/>
        </w:rPr>
        <w:t>尹</w:t>
      </w:r>
      <w:r>
        <w:rPr>
          <w:rFonts w:hint="eastAsia" w:ascii="仿宋" w:hAnsi="仿宋" w:eastAsia="仿宋" w:cs="仿宋"/>
          <w:color w:val="auto"/>
          <w:sz w:val="24"/>
          <w:szCs w:val="24"/>
          <w:highlight w:val="none"/>
        </w:rPr>
        <w:t>工</w:t>
      </w:r>
    </w:p>
    <w:p w14:paraId="72DBC3A3">
      <w:pPr>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质疑联系方式：</w:t>
      </w:r>
      <w:r>
        <w:rPr>
          <w:rFonts w:hint="eastAsia" w:ascii="仿宋" w:hAnsi="仿宋" w:eastAsia="仿宋" w:cs="仿宋"/>
          <w:color w:val="auto"/>
          <w:sz w:val="24"/>
          <w:szCs w:val="24"/>
          <w:highlight w:val="none"/>
          <w:lang w:val="en-US" w:eastAsia="zh-CN"/>
        </w:rPr>
        <w:t>18757578895</w:t>
      </w:r>
    </w:p>
    <w:p w14:paraId="13DC31B6">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3.同级政府采购监督管理部门            </w:t>
      </w:r>
    </w:p>
    <w:p w14:paraId="43738538">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名    称：杭州市财政局政府采购监管处 /浙江省政府采购行政裁决服务中心（杭州）</w:t>
      </w:r>
    </w:p>
    <w:p w14:paraId="454ED49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w:t>
      </w:r>
      <w:r>
        <w:rPr>
          <w:rFonts w:hint="eastAsia" w:ascii="仿宋" w:hAnsi="仿宋" w:eastAsia="仿宋" w:cs="仿宋"/>
          <w:i w:val="0"/>
          <w:caps w:val="0"/>
          <w:color w:val="auto"/>
          <w:spacing w:val="0"/>
          <w:sz w:val="24"/>
          <w:szCs w:val="24"/>
          <w:highlight w:val="none"/>
          <w:lang w:eastAsia="zh-CN"/>
        </w:rPr>
        <w:t>杭州市上城区清泰街549号城建综合大楼11楼</w:t>
      </w:r>
      <w:r>
        <w:rPr>
          <w:rFonts w:hint="eastAsia" w:ascii="仿宋" w:hAnsi="仿宋" w:eastAsia="仿宋" w:cs="仿宋"/>
          <w:i w:val="0"/>
          <w:caps w:val="0"/>
          <w:color w:val="auto"/>
          <w:spacing w:val="0"/>
          <w:sz w:val="24"/>
          <w:szCs w:val="24"/>
          <w:highlight w:val="none"/>
        </w:rPr>
        <w:t>（快递仅限ems或顺丰）</w:t>
      </w:r>
    </w:p>
    <w:p w14:paraId="3F8A41B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14:paraId="41121F1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联系人 ：王老师</w:t>
      </w:r>
    </w:p>
    <w:p w14:paraId="0EAF3322">
      <w:pPr>
        <w:spacing w:line="360" w:lineRule="auto"/>
        <w:ind w:firstLine="480"/>
        <w:rPr>
          <w:rFonts w:hint="eastAsia" w:ascii="仿宋" w:hAnsi="仿宋" w:eastAsia="仿宋" w:cs="仿宋"/>
          <w:i w:val="0"/>
          <w:caps w:val="0"/>
          <w:color w:val="auto"/>
          <w:spacing w:val="0"/>
          <w:sz w:val="24"/>
          <w:szCs w:val="24"/>
          <w:highlight w:val="none"/>
          <w:lang w:val="en-US" w:eastAsia="zh-CN"/>
        </w:rPr>
      </w:pPr>
      <w:r>
        <w:rPr>
          <w:rFonts w:hint="eastAsia" w:ascii="仿宋" w:hAnsi="仿宋" w:eastAsia="仿宋" w:cs="仿宋"/>
          <w:color w:val="auto"/>
          <w:sz w:val="24"/>
          <w:highlight w:val="none"/>
        </w:rPr>
        <w:t>监督投诉电话：</w:t>
      </w:r>
      <w:r>
        <w:rPr>
          <w:rFonts w:hint="eastAsia" w:ascii="仿宋" w:hAnsi="仿宋" w:eastAsia="仿宋" w:cs="仿宋"/>
          <w:i w:val="0"/>
          <w:caps w:val="0"/>
          <w:color w:val="auto"/>
          <w:spacing w:val="0"/>
          <w:sz w:val="24"/>
          <w:szCs w:val="24"/>
          <w:highlight w:val="none"/>
        </w:rPr>
        <w:t>0571-87227671</w:t>
      </w:r>
    </w:p>
    <w:p w14:paraId="348C0A64">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6C37A2D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7FA07856">
      <w:pPr>
        <w:adjustRightInd/>
        <w:spacing w:line="360" w:lineRule="auto"/>
        <w:jc w:val="center"/>
        <w:outlineLvl w:val="0"/>
        <w:rPr>
          <w:rFonts w:hint="eastAsia" w:ascii="仿宋" w:hAnsi="仿宋" w:eastAsia="仿宋" w:cs="仿宋"/>
          <w:b/>
          <w:color w:val="auto"/>
          <w:sz w:val="36"/>
          <w:szCs w:val="20"/>
          <w:highlight w:val="none"/>
        </w:rPr>
      </w:pPr>
    </w:p>
    <w:p w14:paraId="114D4A33">
      <w:pPr>
        <w:adjustRightInd/>
        <w:spacing w:line="360" w:lineRule="auto"/>
        <w:jc w:val="center"/>
        <w:outlineLvl w:val="0"/>
        <w:rPr>
          <w:rFonts w:hint="eastAsia" w:ascii="仿宋" w:hAnsi="仿宋" w:eastAsia="仿宋" w:cs="仿宋"/>
          <w:b/>
          <w:color w:val="auto"/>
          <w:sz w:val="36"/>
          <w:szCs w:val="20"/>
          <w:highlight w:val="none"/>
        </w:rPr>
      </w:pPr>
    </w:p>
    <w:p w14:paraId="5B029D3D">
      <w:pPr>
        <w:adjustRightInd/>
        <w:spacing w:line="360" w:lineRule="auto"/>
        <w:jc w:val="center"/>
        <w:outlineLvl w:val="0"/>
        <w:rPr>
          <w:rFonts w:hint="eastAsia" w:ascii="仿宋" w:hAnsi="仿宋" w:eastAsia="仿宋" w:cs="仿宋"/>
          <w:b/>
          <w:color w:val="auto"/>
          <w:sz w:val="36"/>
          <w:szCs w:val="20"/>
          <w:highlight w:val="none"/>
        </w:rPr>
      </w:pPr>
    </w:p>
    <w:p w14:paraId="067F28BB">
      <w:pPr>
        <w:adjustRightInd/>
        <w:spacing w:line="360" w:lineRule="auto"/>
        <w:jc w:val="center"/>
        <w:outlineLvl w:val="0"/>
        <w:rPr>
          <w:rFonts w:hint="eastAsia" w:ascii="仿宋" w:hAnsi="仿宋" w:eastAsia="仿宋" w:cs="仿宋"/>
          <w:b/>
          <w:color w:val="auto"/>
          <w:sz w:val="36"/>
          <w:szCs w:val="20"/>
          <w:highlight w:val="none"/>
        </w:rPr>
      </w:pPr>
    </w:p>
    <w:p w14:paraId="36BCEE3F">
      <w:pPr>
        <w:adjustRightInd/>
        <w:spacing w:line="360" w:lineRule="auto"/>
        <w:jc w:val="center"/>
        <w:outlineLvl w:val="0"/>
        <w:rPr>
          <w:rFonts w:hint="eastAsia" w:ascii="仿宋" w:hAnsi="仿宋" w:eastAsia="仿宋" w:cs="仿宋"/>
          <w:b/>
          <w:color w:val="auto"/>
          <w:sz w:val="36"/>
          <w:szCs w:val="20"/>
          <w:highlight w:val="none"/>
        </w:rPr>
      </w:pPr>
    </w:p>
    <w:p w14:paraId="5630088B">
      <w:pPr>
        <w:adjustRightInd/>
        <w:spacing w:line="360" w:lineRule="auto"/>
        <w:jc w:val="center"/>
        <w:outlineLvl w:val="0"/>
        <w:rPr>
          <w:rFonts w:hint="eastAsia" w:ascii="仿宋" w:hAnsi="仿宋" w:eastAsia="仿宋" w:cs="仿宋"/>
          <w:b/>
          <w:color w:val="auto"/>
          <w:sz w:val="36"/>
          <w:szCs w:val="20"/>
          <w:highlight w:val="none"/>
        </w:rPr>
      </w:pPr>
    </w:p>
    <w:p w14:paraId="35BCBFAA">
      <w:pPr>
        <w:adjustRightInd/>
        <w:spacing w:line="360" w:lineRule="auto"/>
        <w:jc w:val="center"/>
        <w:outlineLvl w:val="0"/>
        <w:rPr>
          <w:rFonts w:hint="eastAsia" w:ascii="仿宋" w:hAnsi="仿宋" w:eastAsia="仿宋" w:cs="仿宋"/>
          <w:b/>
          <w:color w:val="auto"/>
          <w:sz w:val="36"/>
          <w:szCs w:val="20"/>
          <w:highlight w:val="none"/>
        </w:rPr>
      </w:pPr>
    </w:p>
    <w:p w14:paraId="117CA698">
      <w:pPr>
        <w:adjustRightInd/>
        <w:spacing w:line="360" w:lineRule="auto"/>
        <w:jc w:val="center"/>
        <w:outlineLvl w:val="0"/>
        <w:rPr>
          <w:rFonts w:hint="eastAsia" w:ascii="仿宋" w:hAnsi="仿宋" w:eastAsia="仿宋" w:cs="仿宋"/>
          <w:b/>
          <w:color w:val="auto"/>
          <w:sz w:val="36"/>
          <w:szCs w:val="20"/>
          <w:highlight w:val="none"/>
        </w:rPr>
      </w:pPr>
    </w:p>
    <w:p w14:paraId="3CD4CA68">
      <w:pPr>
        <w:adjustRightInd/>
        <w:spacing w:line="360" w:lineRule="auto"/>
        <w:jc w:val="center"/>
        <w:outlineLvl w:val="0"/>
        <w:rPr>
          <w:rFonts w:hint="eastAsia" w:ascii="仿宋" w:hAnsi="仿宋" w:eastAsia="仿宋" w:cs="仿宋"/>
          <w:b/>
          <w:color w:val="auto"/>
          <w:sz w:val="36"/>
          <w:szCs w:val="20"/>
          <w:highlight w:val="none"/>
        </w:rPr>
      </w:pPr>
    </w:p>
    <w:p w14:paraId="6A51116A">
      <w:pPr>
        <w:adjustRightInd/>
        <w:spacing w:line="360" w:lineRule="auto"/>
        <w:jc w:val="center"/>
        <w:outlineLvl w:val="0"/>
        <w:rPr>
          <w:rFonts w:hint="eastAsia" w:ascii="仿宋" w:hAnsi="仿宋" w:eastAsia="仿宋" w:cs="仿宋"/>
          <w:b/>
          <w:color w:val="auto"/>
          <w:sz w:val="36"/>
          <w:szCs w:val="20"/>
          <w:highlight w:val="none"/>
        </w:rPr>
      </w:pPr>
    </w:p>
    <w:p w14:paraId="17D9F817">
      <w:pPr>
        <w:adjustRightInd/>
        <w:spacing w:line="360" w:lineRule="auto"/>
        <w:jc w:val="center"/>
        <w:outlineLvl w:val="0"/>
        <w:rPr>
          <w:rFonts w:hint="eastAsia" w:ascii="仿宋" w:hAnsi="仿宋" w:eastAsia="仿宋" w:cs="仿宋"/>
          <w:b/>
          <w:color w:val="auto"/>
          <w:sz w:val="36"/>
          <w:szCs w:val="20"/>
          <w:highlight w:val="none"/>
        </w:rPr>
      </w:pPr>
    </w:p>
    <w:p w14:paraId="5B5B7670">
      <w:pPr>
        <w:adjustRightInd/>
        <w:spacing w:line="360" w:lineRule="auto"/>
        <w:jc w:val="center"/>
        <w:outlineLvl w:val="0"/>
        <w:rPr>
          <w:rFonts w:hint="eastAsia" w:ascii="仿宋" w:hAnsi="仿宋" w:eastAsia="仿宋" w:cs="仿宋"/>
          <w:b/>
          <w:color w:val="auto"/>
          <w:sz w:val="36"/>
          <w:szCs w:val="20"/>
          <w:highlight w:val="none"/>
        </w:rPr>
      </w:pPr>
    </w:p>
    <w:p w14:paraId="51BD7F8E">
      <w:pPr>
        <w:adjustRightInd/>
        <w:spacing w:line="360" w:lineRule="auto"/>
        <w:jc w:val="center"/>
        <w:outlineLvl w:val="0"/>
        <w:rPr>
          <w:rFonts w:hint="eastAsia" w:ascii="仿宋" w:hAnsi="仿宋" w:eastAsia="仿宋" w:cs="仿宋"/>
          <w:b/>
          <w:color w:val="auto"/>
          <w:sz w:val="36"/>
          <w:szCs w:val="20"/>
          <w:highlight w:val="none"/>
        </w:rPr>
      </w:pPr>
    </w:p>
    <w:p w14:paraId="78820A17">
      <w:pPr>
        <w:adjustRightInd/>
        <w:spacing w:line="360" w:lineRule="auto"/>
        <w:jc w:val="center"/>
        <w:outlineLvl w:val="0"/>
        <w:rPr>
          <w:rFonts w:hint="eastAsia" w:ascii="仿宋" w:hAnsi="仿宋" w:eastAsia="仿宋" w:cs="仿宋"/>
          <w:b/>
          <w:color w:val="auto"/>
          <w:sz w:val="36"/>
          <w:szCs w:val="20"/>
          <w:highlight w:val="none"/>
        </w:rPr>
      </w:pPr>
    </w:p>
    <w:p w14:paraId="6C289CC8">
      <w:pPr>
        <w:adjustRightInd/>
        <w:spacing w:line="360" w:lineRule="auto"/>
        <w:jc w:val="center"/>
        <w:outlineLvl w:val="0"/>
        <w:rPr>
          <w:rFonts w:hint="eastAsia" w:ascii="仿宋" w:hAnsi="仿宋" w:eastAsia="仿宋" w:cs="仿宋"/>
          <w:b/>
          <w:color w:val="auto"/>
          <w:sz w:val="36"/>
          <w:szCs w:val="20"/>
          <w:highlight w:val="none"/>
        </w:rPr>
      </w:pPr>
    </w:p>
    <w:p w14:paraId="08524B78">
      <w:pPr>
        <w:adjustRightInd/>
        <w:spacing w:line="360" w:lineRule="auto"/>
        <w:jc w:val="center"/>
        <w:outlineLvl w:val="0"/>
        <w:rPr>
          <w:rFonts w:hint="eastAsia" w:ascii="仿宋" w:hAnsi="仿宋" w:eastAsia="仿宋" w:cs="仿宋"/>
          <w:b/>
          <w:color w:val="auto"/>
          <w:sz w:val="36"/>
          <w:szCs w:val="20"/>
          <w:highlight w:val="none"/>
        </w:rPr>
      </w:pPr>
    </w:p>
    <w:p w14:paraId="160F34F8">
      <w:pPr>
        <w:adjustRightInd/>
        <w:spacing w:line="360" w:lineRule="auto"/>
        <w:jc w:val="center"/>
        <w:outlineLvl w:val="0"/>
        <w:rPr>
          <w:rFonts w:hint="eastAsia" w:ascii="仿宋" w:hAnsi="仿宋" w:eastAsia="仿宋" w:cs="仿宋"/>
          <w:b/>
          <w:color w:val="auto"/>
          <w:sz w:val="36"/>
          <w:szCs w:val="20"/>
          <w:highlight w:val="none"/>
        </w:rPr>
      </w:pPr>
    </w:p>
    <w:p w14:paraId="4753FAE8">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14:paraId="68601067">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9807" w:type="dxa"/>
        <w:tblInd w:w="-51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55"/>
        <w:gridCol w:w="1807"/>
        <w:gridCol w:w="7145"/>
      </w:tblGrid>
      <w:tr w14:paraId="5129D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855" w:type="dxa"/>
            <w:tcBorders>
              <w:top w:val="single" w:color="auto" w:sz="4" w:space="0"/>
              <w:left w:val="single" w:color="auto" w:sz="4" w:space="0"/>
              <w:bottom w:val="single" w:color="auto" w:sz="4" w:space="0"/>
              <w:right w:val="single" w:color="auto" w:sz="4" w:space="0"/>
            </w:tcBorders>
          </w:tcPr>
          <w:p w14:paraId="37CF1AE6">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07" w:type="dxa"/>
            <w:tcBorders>
              <w:top w:val="single" w:color="000000" w:sz="8" w:space="0"/>
              <w:left w:val="single" w:color="auto" w:sz="4" w:space="0"/>
              <w:bottom w:val="single" w:color="000000" w:sz="8" w:space="0"/>
              <w:right w:val="single" w:color="000000" w:sz="8" w:space="0"/>
            </w:tcBorders>
            <w:vAlign w:val="center"/>
          </w:tcPr>
          <w:p w14:paraId="3BF79A52">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7145" w:type="dxa"/>
            <w:tcBorders>
              <w:top w:val="single" w:color="000000" w:sz="8" w:space="0"/>
              <w:left w:val="single" w:color="000000" w:sz="2" w:space="0"/>
              <w:bottom w:val="single" w:color="000000" w:sz="8" w:space="0"/>
              <w:right w:val="single" w:color="000000" w:sz="8" w:space="0"/>
            </w:tcBorders>
            <w:vAlign w:val="center"/>
          </w:tcPr>
          <w:p w14:paraId="023DC294">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70CFF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55" w:type="dxa"/>
            <w:tcBorders>
              <w:top w:val="single" w:color="auto" w:sz="4" w:space="0"/>
              <w:left w:val="single" w:color="auto" w:sz="4" w:space="0"/>
              <w:bottom w:val="single" w:color="auto" w:sz="4" w:space="0"/>
              <w:right w:val="single" w:color="auto" w:sz="4" w:space="0"/>
            </w:tcBorders>
            <w:vAlign w:val="center"/>
          </w:tcPr>
          <w:p w14:paraId="3C299B4A">
            <w:pPr>
              <w:snapToGrid w:val="0"/>
              <w:spacing w:line="360" w:lineRule="auto"/>
              <w:jc w:val="center"/>
              <w:rPr>
                <w:rFonts w:hint="eastAsia" w:ascii="仿宋" w:hAnsi="仿宋" w:eastAsia="仿宋" w:cs="仿宋"/>
                <w:color w:val="auto"/>
                <w:sz w:val="24"/>
                <w:highlight w:val="none"/>
              </w:rPr>
            </w:pPr>
          </w:p>
          <w:p w14:paraId="6308F356">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07" w:type="dxa"/>
            <w:tcBorders>
              <w:top w:val="single" w:color="000000" w:sz="8" w:space="0"/>
              <w:left w:val="single" w:color="auto" w:sz="4" w:space="0"/>
              <w:bottom w:val="single" w:color="000000" w:sz="8" w:space="0"/>
              <w:right w:val="single" w:color="000000" w:sz="8" w:space="0"/>
            </w:tcBorders>
            <w:vAlign w:val="center"/>
          </w:tcPr>
          <w:p w14:paraId="04E4AB13">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7145" w:type="dxa"/>
            <w:tcBorders>
              <w:top w:val="single" w:color="000000" w:sz="8" w:space="0"/>
              <w:left w:val="single" w:color="000000" w:sz="2" w:space="0"/>
              <w:bottom w:val="single" w:color="000000" w:sz="8" w:space="0"/>
              <w:right w:val="single" w:color="000000" w:sz="8" w:space="0"/>
            </w:tcBorders>
            <w:vAlign w:val="center"/>
          </w:tcPr>
          <w:p w14:paraId="5EEA470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71E2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855" w:type="dxa"/>
            <w:tcBorders>
              <w:top w:val="single" w:color="auto" w:sz="4" w:space="0"/>
              <w:left w:val="single" w:color="auto" w:sz="4" w:space="0"/>
              <w:bottom w:val="single" w:color="auto" w:sz="4" w:space="0"/>
              <w:right w:val="single" w:color="auto" w:sz="4" w:space="0"/>
            </w:tcBorders>
          </w:tcPr>
          <w:p w14:paraId="69A206F5">
            <w:pPr>
              <w:snapToGrid w:val="0"/>
              <w:spacing w:line="360" w:lineRule="auto"/>
              <w:jc w:val="center"/>
              <w:rPr>
                <w:rFonts w:hint="eastAsia" w:ascii="仿宋" w:hAnsi="仿宋" w:eastAsia="仿宋" w:cs="仿宋"/>
                <w:color w:val="auto"/>
                <w:sz w:val="24"/>
                <w:highlight w:val="none"/>
              </w:rPr>
            </w:pPr>
          </w:p>
          <w:p w14:paraId="241F26C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07" w:type="dxa"/>
            <w:tcBorders>
              <w:top w:val="single" w:color="000000" w:sz="8" w:space="0"/>
              <w:left w:val="single" w:color="auto" w:sz="4" w:space="0"/>
              <w:bottom w:val="single" w:color="000000" w:sz="8" w:space="0"/>
              <w:right w:val="single" w:color="000000" w:sz="8" w:space="0"/>
            </w:tcBorders>
            <w:vAlign w:val="center"/>
          </w:tcPr>
          <w:p w14:paraId="56AA107A">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7145" w:type="dxa"/>
            <w:tcBorders>
              <w:top w:val="single" w:color="000000" w:sz="8" w:space="0"/>
              <w:left w:val="single" w:color="000000" w:sz="2" w:space="0"/>
              <w:bottom w:val="single" w:color="000000" w:sz="8" w:space="0"/>
              <w:right w:val="single" w:color="000000" w:sz="8" w:space="0"/>
            </w:tcBorders>
            <w:vAlign w:val="center"/>
          </w:tcPr>
          <w:p w14:paraId="53C3D2C0">
            <w:pPr>
              <w:numPr>
                <w:ilvl w:val="0"/>
                <w:numId w:val="1"/>
              </w:numPr>
              <w:snapToGrid w:val="0"/>
              <w:spacing w:line="360" w:lineRule="auto"/>
              <w:rPr>
                <w:rFonts w:hint="eastAsia" w:ascii="仿宋" w:hAnsi="仿宋" w:eastAsia="仿宋" w:cs="仿宋"/>
                <w:b w:val="0"/>
                <w:bCs/>
                <w:color w:val="auto"/>
                <w:kern w:val="0"/>
                <w:sz w:val="24"/>
                <w:highlight w:val="none"/>
                <w:lang w:eastAsia="zh-CN"/>
              </w:rPr>
            </w:pPr>
            <w:r>
              <w:rPr>
                <w:rFonts w:hint="eastAsia" w:ascii="仿宋" w:hAnsi="仿宋" w:eastAsia="仿宋" w:cs="仿宋"/>
                <w:b w:val="0"/>
                <w:bCs/>
                <w:color w:val="auto"/>
                <w:kern w:val="0"/>
                <w:sz w:val="24"/>
                <w:highlight w:val="none"/>
              </w:rPr>
              <w:t>标的：</w:t>
            </w:r>
            <w:r>
              <w:rPr>
                <w:rFonts w:hint="eastAsia" w:ascii="仿宋" w:hAnsi="仿宋" w:eastAsia="仿宋" w:cs="仿宋"/>
                <w:b w:val="0"/>
                <w:bCs/>
                <w:color w:val="auto"/>
                <w:kern w:val="0"/>
                <w:sz w:val="24"/>
                <w:highlight w:val="none"/>
                <w:u w:val="single"/>
              </w:rPr>
              <w:t>2025年-2028年南苑街道综合养护项目十二标</w:t>
            </w:r>
            <w:r>
              <w:rPr>
                <w:rFonts w:hint="eastAsia" w:ascii="仿宋" w:hAnsi="仿宋" w:eastAsia="仿宋" w:cs="仿宋"/>
                <w:b w:val="0"/>
                <w:bCs/>
                <w:color w:val="auto"/>
                <w:kern w:val="0"/>
                <w:sz w:val="24"/>
                <w:highlight w:val="none"/>
              </w:rPr>
              <w:t>，属于行业：</w:t>
            </w:r>
            <w:r>
              <w:rPr>
                <w:rFonts w:hint="eastAsia" w:ascii="仿宋" w:hAnsi="仿宋" w:eastAsia="仿宋" w:cs="仿宋"/>
                <w:b w:val="0"/>
                <w:bCs/>
                <w:color w:val="auto"/>
                <w:kern w:val="0"/>
                <w:sz w:val="24"/>
                <w:highlight w:val="none"/>
                <w:u w:val="single"/>
              </w:rPr>
              <w:t>其他未列明行业</w:t>
            </w:r>
          </w:p>
          <w:p w14:paraId="62ED6389">
            <w:pPr>
              <w:snapToGrid w:val="0"/>
              <w:rPr>
                <w:rFonts w:hint="eastAsia" w:ascii="仿宋" w:hAnsi="仿宋" w:eastAsia="仿宋" w:cs="仿宋"/>
                <w:color w:val="auto"/>
                <w:highlight w:val="none"/>
                <w:lang w:val="en-US"/>
              </w:rPr>
            </w:pPr>
            <w:r>
              <w:rPr>
                <w:rFonts w:hint="eastAsia" w:ascii="仿宋" w:hAnsi="仿宋" w:eastAsia="仿宋" w:cs="仿宋"/>
                <w:b w:val="0"/>
                <w:bCs/>
                <w:color w:val="auto"/>
                <w:kern w:val="0"/>
                <w:sz w:val="24"/>
                <w:highlight w:val="none"/>
                <w:lang w:val="en-US" w:eastAsia="zh-CN"/>
              </w:rPr>
              <w:t>根据</w:t>
            </w:r>
            <w:r>
              <w:rPr>
                <w:rFonts w:hint="eastAsia" w:ascii="仿宋" w:hAnsi="仿宋" w:eastAsia="仿宋" w:cs="仿宋"/>
                <w:b w:val="0"/>
                <w:bCs/>
                <w:color w:val="auto"/>
                <w:kern w:val="0"/>
                <w:sz w:val="24"/>
                <w:highlight w:val="none"/>
                <w:lang w:eastAsia="zh-CN"/>
              </w:rPr>
              <w:t>《关于印发中小企业划型标准规定的通知》（工信部联企业〔2011〕300）第</w:t>
            </w:r>
            <w:r>
              <w:rPr>
                <w:rFonts w:hint="eastAsia" w:ascii="仿宋" w:hAnsi="仿宋" w:eastAsia="仿宋" w:cs="仿宋"/>
                <w:b w:val="0"/>
                <w:bCs/>
                <w:color w:val="auto"/>
                <w:kern w:val="0"/>
                <w:sz w:val="24"/>
                <w:highlight w:val="none"/>
                <w:lang w:val="en-US" w:eastAsia="zh-CN"/>
              </w:rPr>
              <w:t>四条第</w:t>
            </w:r>
            <w:r>
              <w:rPr>
                <w:rFonts w:hint="eastAsia" w:ascii="仿宋" w:hAnsi="仿宋" w:eastAsia="仿宋" w:cs="仿宋"/>
                <w:b w:val="0"/>
                <w:bCs/>
                <w:color w:val="auto"/>
                <w:kern w:val="0"/>
                <w:sz w:val="24"/>
                <w:highlight w:val="none"/>
                <w:lang w:eastAsia="zh-CN"/>
              </w:rPr>
              <w:t>（</w:t>
            </w:r>
            <w:r>
              <w:rPr>
                <w:rFonts w:hint="eastAsia" w:ascii="仿宋" w:hAnsi="仿宋" w:eastAsia="仿宋" w:cs="仿宋"/>
                <w:b w:val="0"/>
                <w:bCs/>
                <w:color w:val="auto"/>
                <w:kern w:val="0"/>
                <w:sz w:val="24"/>
                <w:highlight w:val="none"/>
                <w:lang w:val="en-US" w:eastAsia="zh-CN"/>
              </w:rPr>
              <w:t>十六</w:t>
            </w:r>
            <w:r>
              <w:rPr>
                <w:rFonts w:hint="eastAsia" w:ascii="仿宋" w:hAnsi="仿宋" w:eastAsia="仿宋" w:cs="仿宋"/>
                <w:b w:val="0"/>
                <w:bCs/>
                <w:color w:val="auto"/>
                <w:kern w:val="0"/>
                <w:sz w:val="24"/>
                <w:highlight w:val="none"/>
                <w:lang w:eastAsia="zh-CN"/>
              </w:rPr>
              <w:t>）</w:t>
            </w:r>
            <w:r>
              <w:rPr>
                <w:rFonts w:hint="eastAsia" w:ascii="仿宋" w:hAnsi="仿宋" w:eastAsia="仿宋" w:cs="仿宋"/>
                <w:b w:val="0"/>
                <w:bCs/>
                <w:color w:val="auto"/>
                <w:kern w:val="0"/>
                <w:sz w:val="24"/>
                <w:highlight w:val="none"/>
                <w:lang w:val="en-US" w:eastAsia="zh-CN"/>
              </w:rPr>
              <w:t>项规定</w:t>
            </w:r>
            <w:r>
              <w:rPr>
                <w:rFonts w:hint="eastAsia" w:ascii="仿宋" w:hAnsi="仿宋" w:eastAsia="仿宋" w:cs="仿宋"/>
                <w:b w:val="0"/>
                <w:bCs/>
                <w:color w:val="auto"/>
                <w:kern w:val="0"/>
                <w:sz w:val="24"/>
                <w:highlight w:val="none"/>
                <w:lang w:eastAsia="zh-CN"/>
              </w:rPr>
              <w:t>：</w:t>
            </w:r>
            <w:r>
              <w:rPr>
                <w:rFonts w:hint="eastAsia" w:ascii="仿宋" w:hAnsi="仿宋" w:eastAsia="仿宋" w:cs="仿宋"/>
                <w:b w:val="0"/>
                <w:bCs/>
                <w:color w:val="auto"/>
                <w:spacing w:val="0"/>
                <w:kern w:val="0"/>
                <w:sz w:val="24"/>
                <w:szCs w:val="24"/>
                <w:highlight w:val="none"/>
              </w:rPr>
              <w:t>其他未列明行业。从业人员300人以下的为中小微型企业。其中，从业人员100人及以上的为中型企业；从业人员10人及以上的为小型企业；从业人员10人以下的为微型企业。</w:t>
            </w:r>
          </w:p>
        </w:tc>
      </w:tr>
      <w:tr w14:paraId="021C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855" w:type="dxa"/>
            <w:tcBorders>
              <w:top w:val="single" w:color="auto" w:sz="4" w:space="0"/>
              <w:left w:val="single" w:color="auto" w:sz="4" w:space="0"/>
              <w:bottom w:val="single" w:color="auto" w:sz="4" w:space="0"/>
              <w:right w:val="single" w:color="auto" w:sz="4" w:space="0"/>
            </w:tcBorders>
          </w:tcPr>
          <w:p w14:paraId="254054B7">
            <w:pPr>
              <w:snapToGrid w:val="0"/>
              <w:spacing w:line="360" w:lineRule="auto"/>
              <w:jc w:val="center"/>
              <w:rPr>
                <w:rFonts w:hint="eastAsia" w:ascii="仿宋" w:hAnsi="仿宋" w:eastAsia="仿宋" w:cs="仿宋"/>
                <w:color w:val="auto"/>
                <w:sz w:val="24"/>
                <w:highlight w:val="none"/>
              </w:rPr>
            </w:pPr>
          </w:p>
          <w:p w14:paraId="7E72046F">
            <w:pPr>
              <w:snapToGrid w:val="0"/>
              <w:spacing w:line="360" w:lineRule="auto"/>
              <w:jc w:val="center"/>
              <w:rPr>
                <w:rFonts w:hint="eastAsia" w:ascii="仿宋" w:hAnsi="仿宋" w:eastAsia="仿宋" w:cs="仿宋"/>
                <w:color w:val="auto"/>
                <w:sz w:val="24"/>
                <w:highlight w:val="none"/>
              </w:rPr>
            </w:pPr>
          </w:p>
          <w:p w14:paraId="73FFBC6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07" w:type="dxa"/>
            <w:tcBorders>
              <w:top w:val="single" w:color="000000" w:sz="8" w:space="0"/>
              <w:left w:val="single" w:color="auto" w:sz="4" w:space="0"/>
              <w:bottom w:val="single" w:color="000000" w:sz="8" w:space="0"/>
              <w:right w:val="single" w:color="000000" w:sz="8" w:space="0"/>
            </w:tcBorders>
            <w:vAlign w:val="center"/>
          </w:tcPr>
          <w:p w14:paraId="586A7D26">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7145" w:type="dxa"/>
            <w:tcBorders>
              <w:top w:val="single" w:color="000000" w:sz="8" w:space="0"/>
              <w:left w:val="single" w:color="000000" w:sz="2" w:space="0"/>
              <w:bottom w:val="single" w:color="000000" w:sz="8" w:space="0"/>
              <w:right w:val="single" w:color="000000" w:sz="8" w:space="0"/>
            </w:tcBorders>
            <w:vAlign w:val="center"/>
          </w:tcPr>
          <w:p w14:paraId="58D6E171">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292530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p w14:paraId="59CFD0C2">
            <w:pPr>
              <w:spacing w:line="360" w:lineRule="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45069696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5E622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855" w:type="dxa"/>
            <w:tcBorders>
              <w:top w:val="single" w:color="auto" w:sz="4" w:space="0"/>
              <w:left w:val="single" w:color="auto" w:sz="4" w:space="0"/>
              <w:bottom w:val="single" w:color="auto" w:sz="4" w:space="0"/>
              <w:right w:val="single" w:color="auto" w:sz="4" w:space="0"/>
            </w:tcBorders>
            <w:vAlign w:val="center"/>
          </w:tcPr>
          <w:p w14:paraId="7D9677A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07" w:type="dxa"/>
            <w:tcBorders>
              <w:top w:val="single" w:color="000000" w:sz="8" w:space="0"/>
              <w:left w:val="single" w:color="auto" w:sz="4" w:space="0"/>
              <w:bottom w:val="single" w:color="000000" w:sz="8" w:space="0"/>
              <w:right w:val="single" w:color="000000" w:sz="8" w:space="0"/>
            </w:tcBorders>
            <w:vAlign w:val="center"/>
          </w:tcPr>
          <w:p w14:paraId="079E4312">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7145" w:type="dxa"/>
            <w:tcBorders>
              <w:top w:val="single" w:color="000000" w:sz="8" w:space="0"/>
              <w:left w:val="single" w:color="000000" w:sz="2" w:space="0"/>
              <w:bottom w:val="single" w:color="000000" w:sz="8" w:space="0"/>
              <w:right w:val="single" w:color="000000" w:sz="8" w:space="0"/>
            </w:tcBorders>
            <w:vAlign w:val="center"/>
          </w:tcPr>
          <w:p w14:paraId="44653F38">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54654123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p>
          <w:p w14:paraId="2FE069BD">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681655650"/>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p w14:paraId="7574827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1F94E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855" w:type="dxa"/>
            <w:tcBorders>
              <w:top w:val="single" w:color="auto" w:sz="4" w:space="0"/>
              <w:left w:val="single" w:color="auto" w:sz="4" w:space="0"/>
              <w:bottom w:val="single" w:color="auto" w:sz="4" w:space="0"/>
              <w:right w:val="single" w:color="auto" w:sz="4" w:space="0"/>
            </w:tcBorders>
          </w:tcPr>
          <w:p w14:paraId="62F8702D">
            <w:pPr>
              <w:snapToGrid w:val="0"/>
              <w:spacing w:line="360" w:lineRule="auto"/>
              <w:jc w:val="center"/>
              <w:rPr>
                <w:rFonts w:hint="eastAsia" w:ascii="仿宋" w:hAnsi="仿宋" w:eastAsia="仿宋" w:cs="仿宋"/>
                <w:color w:val="auto"/>
                <w:sz w:val="24"/>
                <w:highlight w:val="none"/>
              </w:rPr>
            </w:pPr>
          </w:p>
          <w:p w14:paraId="5A407A49">
            <w:pPr>
              <w:snapToGrid w:val="0"/>
              <w:spacing w:line="360" w:lineRule="auto"/>
              <w:jc w:val="center"/>
              <w:rPr>
                <w:rFonts w:hint="eastAsia" w:ascii="仿宋" w:hAnsi="仿宋" w:eastAsia="仿宋" w:cs="仿宋"/>
                <w:color w:val="auto"/>
                <w:sz w:val="24"/>
                <w:highlight w:val="none"/>
              </w:rPr>
            </w:pPr>
          </w:p>
          <w:p w14:paraId="4E3B3BF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07" w:type="dxa"/>
            <w:tcBorders>
              <w:top w:val="single" w:color="000000" w:sz="8" w:space="0"/>
              <w:left w:val="single" w:color="auto" w:sz="4" w:space="0"/>
              <w:bottom w:val="single" w:color="000000" w:sz="8" w:space="0"/>
              <w:right w:val="single" w:color="000000" w:sz="8" w:space="0"/>
            </w:tcBorders>
            <w:vAlign w:val="center"/>
          </w:tcPr>
          <w:p w14:paraId="2F59C2C2">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7145" w:type="dxa"/>
            <w:tcBorders>
              <w:top w:val="single" w:color="000000" w:sz="8" w:space="0"/>
              <w:left w:val="single" w:color="000000" w:sz="2" w:space="0"/>
              <w:bottom w:val="single" w:color="000000" w:sz="8" w:space="0"/>
              <w:right w:val="single" w:color="000000" w:sz="8" w:space="0"/>
            </w:tcBorders>
            <w:vAlign w:val="center"/>
          </w:tcPr>
          <w:p w14:paraId="607723BC">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86549752"/>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6C03CD1E">
            <w:pPr>
              <w:spacing w:line="360" w:lineRule="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38899905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p w14:paraId="478D25F3">
            <w:pPr>
              <w:pStyle w:val="79"/>
              <w:ind w:firstLine="0" w:firstLineChars="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☐C不统一组织，供应商在获取采购文件后，自行至项目现场考察。地点： ，联系人： ，联系方式： 。</w:t>
            </w:r>
          </w:p>
          <w:p w14:paraId="418E5266">
            <w:pPr>
              <w:pStyle w:val="79"/>
              <w:ind w:firstLine="0" w:firstLineChars="0"/>
              <w:rPr>
                <w:rFonts w:hint="eastAsia" w:ascii="仿宋" w:hAnsi="仿宋" w:eastAsia="仿宋" w:cs="仿宋"/>
                <w:color w:val="auto"/>
                <w:highlight w:val="none"/>
              </w:rPr>
            </w:pPr>
          </w:p>
        </w:tc>
      </w:tr>
      <w:tr w14:paraId="47563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855" w:type="dxa"/>
            <w:tcBorders>
              <w:top w:val="single" w:color="auto" w:sz="4" w:space="0"/>
              <w:left w:val="single" w:color="auto" w:sz="4" w:space="0"/>
              <w:bottom w:val="single" w:color="auto" w:sz="4" w:space="0"/>
              <w:right w:val="single" w:color="auto" w:sz="4" w:space="0"/>
            </w:tcBorders>
          </w:tcPr>
          <w:p w14:paraId="40405E14">
            <w:pPr>
              <w:snapToGrid w:val="0"/>
              <w:spacing w:line="360" w:lineRule="auto"/>
              <w:jc w:val="center"/>
              <w:rPr>
                <w:rFonts w:hint="eastAsia" w:ascii="仿宋" w:hAnsi="仿宋" w:eastAsia="仿宋" w:cs="仿宋"/>
                <w:color w:val="auto"/>
                <w:sz w:val="24"/>
                <w:highlight w:val="none"/>
              </w:rPr>
            </w:pPr>
          </w:p>
          <w:p w14:paraId="748F2304">
            <w:pPr>
              <w:snapToGrid w:val="0"/>
              <w:spacing w:line="360" w:lineRule="auto"/>
              <w:jc w:val="center"/>
              <w:rPr>
                <w:rFonts w:hint="eastAsia" w:ascii="仿宋" w:hAnsi="仿宋" w:eastAsia="仿宋" w:cs="仿宋"/>
                <w:color w:val="auto"/>
                <w:sz w:val="24"/>
                <w:highlight w:val="none"/>
              </w:rPr>
            </w:pPr>
          </w:p>
          <w:p w14:paraId="390C1AD1">
            <w:pPr>
              <w:snapToGrid w:val="0"/>
              <w:spacing w:line="360" w:lineRule="auto"/>
              <w:jc w:val="center"/>
              <w:rPr>
                <w:rFonts w:hint="eastAsia" w:ascii="仿宋" w:hAnsi="仿宋" w:eastAsia="仿宋" w:cs="仿宋"/>
                <w:color w:val="auto"/>
                <w:sz w:val="24"/>
                <w:highlight w:val="none"/>
              </w:rPr>
            </w:pPr>
          </w:p>
          <w:p w14:paraId="6E646EC9">
            <w:pPr>
              <w:snapToGrid w:val="0"/>
              <w:spacing w:line="360" w:lineRule="auto"/>
              <w:jc w:val="center"/>
              <w:rPr>
                <w:rFonts w:hint="eastAsia" w:ascii="仿宋" w:hAnsi="仿宋" w:eastAsia="仿宋" w:cs="仿宋"/>
                <w:color w:val="auto"/>
                <w:sz w:val="24"/>
                <w:highlight w:val="none"/>
              </w:rPr>
            </w:pPr>
          </w:p>
          <w:p w14:paraId="266EEE47">
            <w:pPr>
              <w:snapToGrid w:val="0"/>
              <w:spacing w:line="360" w:lineRule="auto"/>
              <w:jc w:val="center"/>
              <w:rPr>
                <w:rFonts w:hint="eastAsia" w:ascii="仿宋" w:hAnsi="仿宋" w:eastAsia="仿宋" w:cs="仿宋"/>
                <w:color w:val="auto"/>
                <w:sz w:val="24"/>
                <w:highlight w:val="none"/>
              </w:rPr>
            </w:pPr>
          </w:p>
          <w:p w14:paraId="5A1660CB">
            <w:pPr>
              <w:snapToGrid w:val="0"/>
              <w:spacing w:line="360" w:lineRule="auto"/>
              <w:jc w:val="center"/>
              <w:rPr>
                <w:rFonts w:hint="eastAsia" w:ascii="仿宋" w:hAnsi="仿宋" w:eastAsia="仿宋" w:cs="仿宋"/>
                <w:color w:val="auto"/>
                <w:sz w:val="24"/>
                <w:highlight w:val="none"/>
              </w:rPr>
            </w:pPr>
          </w:p>
          <w:p w14:paraId="69111327">
            <w:pPr>
              <w:snapToGrid w:val="0"/>
              <w:spacing w:line="360" w:lineRule="auto"/>
              <w:jc w:val="center"/>
              <w:rPr>
                <w:rFonts w:hint="eastAsia" w:ascii="仿宋" w:hAnsi="仿宋" w:eastAsia="仿宋" w:cs="仿宋"/>
                <w:color w:val="auto"/>
                <w:sz w:val="24"/>
                <w:highlight w:val="none"/>
              </w:rPr>
            </w:pPr>
          </w:p>
          <w:p w14:paraId="3E72E277">
            <w:pPr>
              <w:snapToGrid w:val="0"/>
              <w:spacing w:line="360" w:lineRule="auto"/>
              <w:jc w:val="center"/>
              <w:rPr>
                <w:rFonts w:hint="eastAsia" w:ascii="仿宋" w:hAnsi="仿宋" w:eastAsia="仿宋" w:cs="仿宋"/>
                <w:color w:val="auto"/>
                <w:sz w:val="24"/>
                <w:highlight w:val="none"/>
              </w:rPr>
            </w:pPr>
          </w:p>
          <w:p w14:paraId="12D2F995">
            <w:pPr>
              <w:snapToGrid w:val="0"/>
              <w:spacing w:line="360" w:lineRule="auto"/>
              <w:jc w:val="center"/>
              <w:rPr>
                <w:rFonts w:hint="eastAsia" w:ascii="仿宋" w:hAnsi="仿宋" w:eastAsia="仿宋" w:cs="仿宋"/>
                <w:color w:val="auto"/>
                <w:sz w:val="24"/>
                <w:highlight w:val="none"/>
              </w:rPr>
            </w:pPr>
          </w:p>
          <w:p w14:paraId="39258284">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07" w:type="dxa"/>
            <w:tcBorders>
              <w:top w:val="single" w:color="000000" w:sz="8" w:space="0"/>
              <w:left w:val="single" w:color="auto" w:sz="4" w:space="0"/>
              <w:bottom w:val="single" w:color="000000" w:sz="8" w:space="0"/>
              <w:right w:val="single" w:color="000000" w:sz="8" w:space="0"/>
            </w:tcBorders>
            <w:vAlign w:val="center"/>
          </w:tcPr>
          <w:p w14:paraId="34F96D8E">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7145" w:type="dxa"/>
            <w:tcBorders>
              <w:top w:val="single" w:color="000000" w:sz="8" w:space="0"/>
              <w:left w:val="single" w:color="000000" w:sz="2" w:space="0"/>
              <w:bottom w:val="single" w:color="000000" w:sz="8" w:space="0"/>
              <w:right w:val="single" w:color="000000" w:sz="8" w:space="0"/>
            </w:tcBorders>
            <w:vAlign w:val="center"/>
          </w:tcPr>
          <w:p w14:paraId="29A19C74">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98628233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5E0D3FFD">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B要求提供，</w:t>
            </w:r>
          </w:p>
          <w:p w14:paraId="49DE0ED2">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1DE88776">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2AE00BAE">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3216AAEE">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756F488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0A11BDB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将通知未中标人在规定的时间内取回，逾期未取回的，采购人、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不负保管义务；对于中标人提供的样品，采购人将进行保管、封存，并作为履约验收的参考。</w:t>
            </w:r>
          </w:p>
          <w:p w14:paraId="78AD61E6">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tc>
      </w:tr>
      <w:tr w14:paraId="6B10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 w:hRule="atLeast"/>
        </w:trPr>
        <w:tc>
          <w:tcPr>
            <w:tcW w:w="855" w:type="dxa"/>
            <w:tcBorders>
              <w:top w:val="single" w:color="auto" w:sz="4" w:space="0"/>
              <w:left w:val="single" w:color="auto" w:sz="4" w:space="0"/>
              <w:bottom w:val="single" w:color="auto" w:sz="4" w:space="0"/>
              <w:right w:val="single" w:color="auto" w:sz="4" w:space="0"/>
            </w:tcBorders>
          </w:tcPr>
          <w:p w14:paraId="52246244">
            <w:pPr>
              <w:snapToGrid w:val="0"/>
              <w:spacing w:line="360" w:lineRule="auto"/>
              <w:jc w:val="center"/>
              <w:rPr>
                <w:rFonts w:hint="eastAsia" w:ascii="仿宋" w:hAnsi="仿宋" w:eastAsia="仿宋" w:cs="仿宋"/>
                <w:color w:val="auto"/>
                <w:sz w:val="24"/>
                <w:highlight w:val="none"/>
              </w:rPr>
            </w:pPr>
          </w:p>
          <w:p w14:paraId="29FA9A8C">
            <w:pPr>
              <w:snapToGrid w:val="0"/>
              <w:spacing w:line="360" w:lineRule="auto"/>
              <w:jc w:val="center"/>
              <w:rPr>
                <w:rFonts w:hint="eastAsia" w:ascii="仿宋" w:hAnsi="仿宋" w:eastAsia="仿宋" w:cs="仿宋"/>
                <w:color w:val="auto"/>
                <w:sz w:val="24"/>
                <w:highlight w:val="none"/>
              </w:rPr>
            </w:pPr>
          </w:p>
          <w:p w14:paraId="18497155">
            <w:pPr>
              <w:snapToGrid w:val="0"/>
              <w:spacing w:line="360" w:lineRule="auto"/>
              <w:jc w:val="center"/>
              <w:rPr>
                <w:rFonts w:hint="eastAsia" w:ascii="仿宋" w:hAnsi="仿宋" w:eastAsia="仿宋" w:cs="仿宋"/>
                <w:color w:val="auto"/>
                <w:sz w:val="24"/>
                <w:highlight w:val="none"/>
              </w:rPr>
            </w:pPr>
          </w:p>
          <w:p w14:paraId="42DDB8BE">
            <w:pPr>
              <w:snapToGrid w:val="0"/>
              <w:spacing w:line="360" w:lineRule="auto"/>
              <w:jc w:val="center"/>
              <w:rPr>
                <w:rFonts w:hint="eastAsia" w:ascii="仿宋" w:hAnsi="仿宋" w:eastAsia="仿宋" w:cs="仿宋"/>
                <w:color w:val="auto"/>
                <w:sz w:val="24"/>
                <w:highlight w:val="none"/>
              </w:rPr>
            </w:pPr>
          </w:p>
          <w:p w14:paraId="1D875970">
            <w:pPr>
              <w:snapToGrid w:val="0"/>
              <w:spacing w:line="360" w:lineRule="auto"/>
              <w:jc w:val="center"/>
              <w:rPr>
                <w:rFonts w:hint="eastAsia" w:ascii="仿宋" w:hAnsi="仿宋" w:eastAsia="仿宋" w:cs="仿宋"/>
                <w:color w:val="auto"/>
                <w:sz w:val="24"/>
                <w:highlight w:val="none"/>
              </w:rPr>
            </w:pPr>
          </w:p>
          <w:p w14:paraId="0BC922C3">
            <w:pPr>
              <w:snapToGrid w:val="0"/>
              <w:spacing w:line="360" w:lineRule="auto"/>
              <w:jc w:val="center"/>
              <w:rPr>
                <w:rFonts w:hint="eastAsia" w:ascii="仿宋" w:hAnsi="仿宋" w:eastAsia="仿宋" w:cs="仿宋"/>
                <w:color w:val="auto"/>
                <w:sz w:val="24"/>
                <w:highlight w:val="none"/>
              </w:rPr>
            </w:pPr>
          </w:p>
          <w:p w14:paraId="2D356E36">
            <w:pPr>
              <w:snapToGrid w:val="0"/>
              <w:spacing w:line="360" w:lineRule="auto"/>
              <w:jc w:val="center"/>
              <w:rPr>
                <w:rFonts w:hint="eastAsia" w:ascii="仿宋" w:hAnsi="仿宋" w:eastAsia="仿宋" w:cs="仿宋"/>
                <w:color w:val="auto"/>
                <w:sz w:val="24"/>
                <w:highlight w:val="none"/>
              </w:rPr>
            </w:pPr>
          </w:p>
          <w:p w14:paraId="32D3B44A">
            <w:pPr>
              <w:snapToGrid w:val="0"/>
              <w:spacing w:line="360" w:lineRule="auto"/>
              <w:jc w:val="center"/>
              <w:rPr>
                <w:rFonts w:hint="eastAsia" w:ascii="仿宋" w:hAnsi="仿宋" w:eastAsia="仿宋" w:cs="仿宋"/>
                <w:color w:val="auto"/>
                <w:sz w:val="24"/>
                <w:highlight w:val="none"/>
              </w:rPr>
            </w:pPr>
          </w:p>
          <w:p w14:paraId="32C2B9F7">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07" w:type="dxa"/>
            <w:tcBorders>
              <w:top w:val="single" w:color="000000" w:sz="8" w:space="0"/>
              <w:left w:val="single" w:color="auto" w:sz="4" w:space="0"/>
              <w:bottom w:val="single" w:color="000000" w:sz="8" w:space="0"/>
              <w:right w:val="single" w:color="000000" w:sz="8" w:space="0"/>
            </w:tcBorders>
            <w:vAlign w:val="center"/>
          </w:tcPr>
          <w:p w14:paraId="4CE53DDF">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7145" w:type="dxa"/>
            <w:tcBorders>
              <w:top w:val="single" w:color="000000" w:sz="8" w:space="0"/>
              <w:left w:val="single" w:color="000000" w:sz="2" w:space="0"/>
              <w:bottom w:val="single" w:color="000000" w:sz="8" w:space="0"/>
              <w:right w:val="single" w:color="000000" w:sz="8" w:space="0"/>
            </w:tcBorders>
            <w:vAlign w:val="center"/>
          </w:tcPr>
          <w:p w14:paraId="150BEE83">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91410713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65A64D05">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p w14:paraId="012FD38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（1）在评标时安排每个投标人进行方案讲解演示。每个投标人时间不超过</w:t>
            </w:r>
            <w:r>
              <w:rPr>
                <w:rFonts w:hint="eastAsia" w:ascii="仿宋" w:hAnsi="仿宋" w:eastAsia="仿宋" w:cs="仿宋"/>
                <w:color w:val="auto"/>
                <w:kern w:val="0"/>
                <w:sz w:val="24"/>
                <w:highlight w:val="none"/>
                <w:u w:val="single"/>
              </w:rPr>
              <w:t>20</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lang w:val="en-US" w:eastAsia="zh-CN"/>
              </w:rPr>
              <w:t>编制时可根据项目情况进行调整</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rPr>
              <w:t>分钟，讲解次序以投标文件解密时间先后次序为准，讲解演示人员不超过</w:t>
            </w:r>
            <w:r>
              <w:rPr>
                <w:rFonts w:hint="eastAsia" w:ascii="仿宋" w:hAnsi="仿宋" w:eastAsia="仿宋" w:cs="仿宋"/>
                <w:color w:val="auto"/>
                <w:kern w:val="0"/>
                <w:sz w:val="24"/>
                <w:highlight w:val="none"/>
                <w:u w:val="single"/>
              </w:rPr>
              <w:t>3</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lang w:val="en-US" w:eastAsia="zh-CN"/>
              </w:rPr>
              <w:t>编制时可根据项目情况进行调整</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rPr>
              <w:t>人。讲解演示结束后按要求解答评标委员会提问。</w:t>
            </w:r>
          </w:p>
          <w:p w14:paraId="0CAC8707">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（2）方案讲解演示可选择以下其中一种方式：</w:t>
            </w:r>
          </w:p>
          <w:p w14:paraId="6EEF962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14:paraId="76B6E23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方式二：交易中心现场讲解演示。现场讲解地点为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，讲解演示所用电脑等设备由投标人自备。现场讲解演示人员进场时提供讲解人员名单（加盖公章或授权代表签名）及身份证明，否则不得讲解演示。</w:t>
            </w:r>
          </w:p>
          <w:p w14:paraId="552D1C2A">
            <w:pPr>
              <w:snapToGrid w:val="0"/>
              <w:spacing w:line="360" w:lineRule="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401F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855" w:type="dxa"/>
            <w:vMerge w:val="restart"/>
            <w:tcBorders>
              <w:top w:val="single" w:color="auto" w:sz="4" w:space="0"/>
              <w:left w:val="single" w:color="auto" w:sz="4" w:space="0"/>
              <w:right w:val="single" w:color="auto" w:sz="4" w:space="0"/>
            </w:tcBorders>
          </w:tcPr>
          <w:p w14:paraId="0B401F15">
            <w:pPr>
              <w:snapToGrid w:val="0"/>
              <w:spacing w:line="360" w:lineRule="auto"/>
              <w:jc w:val="center"/>
              <w:rPr>
                <w:rFonts w:hint="eastAsia" w:ascii="仿宋" w:hAnsi="仿宋" w:eastAsia="仿宋" w:cs="仿宋"/>
                <w:color w:val="auto"/>
                <w:sz w:val="24"/>
                <w:highlight w:val="none"/>
              </w:rPr>
            </w:pPr>
          </w:p>
          <w:p w14:paraId="6D928564">
            <w:pPr>
              <w:snapToGrid w:val="0"/>
              <w:spacing w:line="360" w:lineRule="auto"/>
              <w:jc w:val="center"/>
              <w:rPr>
                <w:rFonts w:hint="eastAsia" w:ascii="仿宋" w:hAnsi="仿宋" w:eastAsia="仿宋" w:cs="仿宋"/>
                <w:color w:val="auto"/>
                <w:sz w:val="24"/>
                <w:highlight w:val="none"/>
              </w:rPr>
            </w:pPr>
          </w:p>
          <w:p w14:paraId="40B1E496">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07" w:type="dxa"/>
            <w:vMerge w:val="restart"/>
            <w:tcBorders>
              <w:top w:val="single" w:color="000000" w:sz="8" w:space="0"/>
              <w:left w:val="single" w:color="auto" w:sz="4" w:space="0"/>
              <w:right w:val="single" w:color="000000" w:sz="8" w:space="0"/>
            </w:tcBorders>
            <w:vAlign w:val="center"/>
          </w:tcPr>
          <w:p w14:paraId="4DDDB98A">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7145" w:type="dxa"/>
            <w:tcBorders>
              <w:top w:val="single" w:color="000000" w:sz="8" w:space="0"/>
              <w:left w:val="single" w:color="000000" w:sz="2" w:space="0"/>
              <w:bottom w:val="single" w:color="auto" w:sz="4" w:space="0"/>
              <w:right w:val="single" w:color="000000" w:sz="8" w:space="0"/>
            </w:tcBorders>
            <w:vAlign w:val="center"/>
          </w:tcPr>
          <w:p w14:paraId="31715BE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64058F87">
            <w:p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rPr>
        <w:tc>
          <w:tcPr>
            <w:tcW w:w="855" w:type="dxa"/>
            <w:vMerge w:val="continue"/>
            <w:tcBorders>
              <w:left w:val="single" w:color="auto" w:sz="4" w:space="0"/>
              <w:bottom w:val="single" w:color="auto" w:sz="4" w:space="0"/>
              <w:right w:val="single" w:color="auto" w:sz="4" w:space="0"/>
            </w:tcBorders>
          </w:tcPr>
          <w:p w14:paraId="5C7A07D6">
            <w:pPr>
              <w:snapToGrid w:val="0"/>
              <w:spacing w:line="360" w:lineRule="auto"/>
              <w:jc w:val="center"/>
              <w:rPr>
                <w:rFonts w:hint="eastAsia" w:ascii="仿宋" w:hAnsi="仿宋" w:eastAsia="仿宋" w:cs="仿宋"/>
                <w:color w:val="auto"/>
                <w:sz w:val="24"/>
                <w:highlight w:val="none"/>
              </w:rPr>
            </w:pPr>
          </w:p>
        </w:tc>
        <w:tc>
          <w:tcPr>
            <w:tcW w:w="1807" w:type="dxa"/>
            <w:vMerge w:val="continue"/>
            <w:tcBorders>
              <w:left w:val="single" w:color="auto" w:sz="4" w:space="0"/>
              <w:bottom w:val="single" w:color="000000" w:sz="8" w:space="0"/>
              <w:right w:val="single" w:color="000000" w:sz="8" w:space="0"/>
            </w:tcBorders>
            <w:vAlign w:val="center"/>
          </w:tcPr>
          <w:p w14:paraId="4590D7B1">
            <w:pPr>
              <w:snapToGrid w:val="0"/>
              <w:spacing w:line="360" w:lineRule="auto"/>
              <w:jc w:val="center"/>
              <w:rPr>
                <w:rFonts w:hint="eastAsia" w:ascii="仿宋" w:hAnsi="仿宋" w:eastAsia="仿宋" w:cs="仿宋"/>
                <w:b/>
                <w:color w:val="auto"/>
                <w:sz w:val="24"/>
                <w:highlight w:val="none"/>
              </w:rPr>
            </w:pPr>
          </w:p>
        </w:tc>
        <w:tc>
          <w:tcPr>
            <w:tcW w:w="7145" w:type="dxa"/>
            <w:tcBorders>
              <w:top w:val="single" w:color="auto" w:sz="4" w:space="0"/>
              <w:left w:val="single" w:color="000000" w:sz="2" w:space="0"/>
              <w:bottom w:val="single" w:color="000000" w:sz="8" w:space="0"/>
              <w:right w:val="single" w:color="000000" w:sz="8" w:space="0"/>
            </w:tcBorders>
            <w:vAlign w:val="center"/>
          </w:tcPr>
          <w:p w14:paraId="2A08AE2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855" w:type="dxa"/>
            <w:tcBorders>
              <w:top w:val="single" w:color="auto" w:sz="4" w:space="0"/>
              <w:left w:val="single" w:color="000000" w:sz="8" w:space="0"/>
              <w:bottom w:val="single" w:color="auto" w:sz="4" w:space="0"/>
              <w:right w:val="single" w:color="000000" w:sz="2" w:space="0"/>
            </w:tcBorders>
          </w:tcPr>
          <w:p w14:paraId="584C4EC5">
            <w:pPr>
              <w:snapToGrid w:val="0"/>
              <w:spacing w:line="360" w:lineRule="auto"/>
              <w:jc w:val="center"/>
              <w:rPr>
                <w:rFonts w:hint="eastAsia" w:ascii="仿宋" w:hAnsi="仿宋" w:eastAsia="仿宋" w:cs="仿宋"/>
                <w:color w:val="auto"/>
                <w:sz w:val="24"/>
                <w:highlight w:val="none"/>
              </w:rPr>
            </w:pPr>
          </w:p>
          <w:p w14:paraId="38589266">
            <w:pPr>
              <w:snapToGrid w:val="0"/>
              <w:spacing w:line="360" w:lineRule="auto"/>
              <w:jc w:val="center"/>
              <w:rPr>
                <w:rFonts w:hint="eastAsia" w:ascii="仿宋" w:hAnsi="仿宋" w:eastAsia="仿宋" w:cs="仿宋"/>
                <w:color w:val="auto"/>
                <w:sz w:val="24"/>
                <w:highlight w:val="none"/>
              </w:rPr>
            </w:pPr>
          </w:p>
          <w:p w14:paraId="6F751B8C">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07" w:type="dxa"/>
            <w:tcBorders>
              <w:top w:val="single" w:color="000000" w:sz="8" w:space="0"/>
              <w:left w:val="single" w:color="000000" w:sz="2" w:space="0"/>
              <w:bottom w:val="single" w:color="000000" w:sz="8" w:space="0"/>
              <w:right w:val="single" w:color="000000" w:sz="8" w:space="0"/>
            </w:tcBorders>
            <w:vAlign w:val="center"/>
          </w:tcPr>
          <w:p w14:paraId="6A8F3422">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7145" w:type="dxa"/>
            <w:tcBorders>
              <w:top w:val="single" w:color="000000" w:sz="8" w:space="0"/>
              <w:left w:val="single" w:color="000000" w:sz="2" w:space="0"/>
              <w:bottom w:val="single" w:color="000000" w:sz="8" w:space="0"/>
              <w:right w:val="single" w:color="000000" w:sz="8" w:space="0"/>
            </w:tcBorders>
            <w:vAlign w:val="center"/>
          </w:tcPr>
          <w:p w14:paraId="079EFCC3">
            <w:pPr>
              <w:pStyle w:val="79"/>
              <w:snapToGrid w:val="0"/>
              <w:spacing w:line="360" w:lineRule="auto"/>
              <w:ind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79"/>
              <w:jc w:val="both"/>
              <w:rPr>
                <w:rFonts w:hint="eastAsia" w:ascii="仿宋" w:hAnsi="仿宋" w:eastAsia="仿宋" w:cs="仿宋"/>
                <w:color w:val="auto"/>
                <w:kern w:val="2"/>
                <w:sz w:val="24"/>
                <w:szCs w:val="24"/>
                <w:highlight w:val="none"/>
                <w:lang w:val="en-US" w:eastAsia="zh-CN" w:bidi="ar-SA"/>
              </w:rPr>
            </w:pPr>
            <w:sdt>
              <w:sdtPr>
                <w:rPr>
                  <w:rFonts w:hint="eastAsia" w:ascii="仿宋" w:hAnsi="仿宋" w:eastAsia="仿宋" w:cs="仿宋"/>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仿宋" w:hAnsi="仿宋" w:eastAsia="仿宋" w:cs="仿宋"/>
                  <w:color w:val="auto"/>
                  <w:kern w:val="2"/>
                  <w:sz w:val="24"/>
                  <w:szCs w:val="24"/>
                  <w:highlight w:val="none"/>
                  <w:lang w:val="en-US" w:eastAsia="zh-CN" w:bidi="ar-SA"/>
                </w:rPr>
              </w:sdtEndPr>
              <w:sdtContent>
                <w:r>
                  <w:rPr>
                    <w:rFonts w:hint="eastAsia" w:ascii="仿宋" w:hAnsi="仿宋" w:eastAsia="仿宋" w:cs="仿宋"/>
                    <w:color w:val="auto"/>
                    <w:kern w:val="2"/>
                    <w:sz w:val="24"/>
                    <w:szCs w:val="24"/>
                    <w:highlight w:val="none"/>
                    <w:lang w:val="en-US" w:eastAsia="zh-CN" w:bidi="ar-SA"/>
                  </w:rPr>
                  <w:t>☐</w:t>
                </w:r>
              </w:sdtContent>
            </w:sdt>
            <w:r>
              <w:rPr>
                <w:rFonts w:hint="eastAsia" w:ascii="仿宋" w:hAnsi="仿宋" w:eastAsia="仿宋" w:cs="仿宋"/>
                <w:color w:val="auto"/>
                <w:kern w:val="2"/>
                <w:sz w:val="24"/>
                <w:szCs w:val="24"/>
                <w:highlight w:val="none"/>
                <w:lang w:val="en-US" w:eastAsia="zh-CN" w:bidi="ar-SA"/>
              </w:rPr>
              <w:t xml:space="preserve">强制采购。产品：    </w:t>
            </w:r>
          </w:p>
          <w:p w14:paraId="3002CF9E">
            <w:pPr>
              <w:pStyle w:val="79"/>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□优先采购节能产品。产品：   </w:t>
            </w:r>
          </w:p>
          <w:p w14:paraId="76782679">
            <w:pPr>
              <w:pStyle w:val="79"/>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□优先采购环保产品。产品：    </w:t>
            </w:r>
          </w:p>
          <w:p w14:paraId="36C9C289">
            <w:pPr>
              <w:pStyle w:val="79"/>
              <w:jc w:val="both"/>
              <w:rPr>
                <w:rFonts w:hint="eastAsia" w:ascii="仿宋" w:hAnsi="仿宋" w:eastAsia="仿宋" w:cs="仿宋"/>
                <w:color w:val="auto"/>
                <w:highlight w:val="none"/>
              </w:rPr>
            </w:pPr>
            <w:r>
              <w:rPr>
                <w:rFonts w:hint="eastAsia" w:ascii="仿宋" w:hAnsi="仿宋" w:eastAsia="仿宋" w:cs="仿宋"/>
                <w:color w:val="auto"/>
                <w:kern w:val="2"/>
                <w:sz w:val="24"/>
                <w:szCs w:val="24"/>
                <w:highlight w:val="none"/>
                <w:lang w:val="en-US" w:eastAsia="zh-CN" w:bidi="ar-SA"/>
              </w:rPr>
              <w:t>☑无</w:t>
            </w:r>
          </w:p>
        </w:tc>
      </w:tr>
      <w:tr w14:paraId="341A2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855" w:type="dxa"/>
            <w:tcBorders>
              <w:top w:val="single" w:color="auto" w:sz="4" w:space="0"/>
              <w:left w:val="single" w:color="000000" w:sz="8" w:space="0"/>
              <w:bottom w:val="single" w:color="auto" w:sz="4" w:space="0"/>
              <w:right w:val="single" w:color="000000" w:sz="2" w:space="0"/>
            </w:tcBorders>
          </w:tcPr>
          <w:p w14:paraId="3DD6CE36">
            <w:pPr>
              <w:snapToGrid w:val="0"/>
              <w:spacing w:line="360" w:lineRule="auto"/>
              <w:jc w:val="center"/>
              <w:rPr>
                <w:rFonts w:hint="eastAsia" w:ascii="仿宋" w:hAnsi="仿宋" w:eastAsia="仿宋" w:cs="仿宋"/>
                <w:color w:val="auto"/>
                <w:sz w:val="24"/>
                <w:highlight w:val="none"/>
              </w:rPr>
            </w:pPr>
          </w:p>
          <w:p w14:paraId="26731BE1">
            <w:pPr>
              <w:snapToGrid w:val="0"/>
              <w:spacing w:line="360" w:lineRule="auto"/>
              <w:jc w:val="center"/>
              <w:rPr>
                <w:rFonts w:hint="eastAsia" w:ascii="仿宋" w:hAnsi="仿宋" w:eastAsia="仿宋" w:cs="仿宋"/>
                <w:color w:val="auto"/>
                <w:sz w:val="24"/>
                <w:highlight w:val="none"/>
              </w:rPr>
            </w:pPr>
          </w:p>
          <w:p w14:paraId="79F3F4C6">
            <w:pPr>
              <w:snapToGrid w:val="0"/>
              <w:spacing w:line="360" w:lineRule="auto"/>
              <w:jc w:val="center"/>
              <w:rPr>
                <w:rFonts w:hint="eastAsia" w:ascii="仿宋" w:hAnsi="仿宋" w:eastAsia="仿宋" w:cs="仿宋"/>
                <w:color w:val="auto"/>
                <w:sz w:val="24"/>
                <w:highlight w:val="none"/>
              </w:rPr>
            </w:pPr>
          </w:p>
          <w:p w14:paraId="0CC08E98">
            <w:pPr>
              <w:snapToGrid w:val="0"/>
              <w:spacing w:line="360" w:lineRule="auto"/>
              <w:jc w:val="center"/>
              <w:rPr>
                <w:rFonts w:hint="eastAsia" w:ascii="仿宋" w:hAnsi="仿宋" w:eastAsia="仿宋" w:cs="仿宋"/>
                <w:color w:val="auto"/>
                <w:sz w:val="24"/>
                <w:highlight w:val="none"/>
              </w:rPr>
            </w:pPr>
          </w:p>
          <w:p w14:paraId="35826F79">
            <w:pPr>
              <w:snapToGrid w:val="0"/>
              <w:spacing w:line="360" w:lineRule="auto"/>
              <w:jc w:val="center"/>
              <w:rPr>
                <w:rFonts w:hint="eastAsia" w:ascii="仿宋" w:hAnsi="仿宋" w:eastAsia="仿宋" w:cs="仿宋"/>
                <w:color w:val="auto"/>
                <w:sz w:val="24"/>
                <w:highlight w:val="none"/>
              </w:rPr>
            </w:pPr>
          </w:p>
          <w:p w14:paraId="65ED4C9E">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07" w:type="dxa"/>
            <w:tcBorders>
              <w:top w:val="single" w:color="000000" w:sz="8" w:space="0"/>
              <w:left w:val="single" w:color="000000" w:sz="2" w:space="0"/>
              <w:bottom w:val="single" w:color="000000" w:sz="8" w:space="0"/>
              <w:right w:val="single" w:color="000000" w:sz="8" w:space="0"/>
            </w:tcBorders>
            <w:vAlign w:val="center"/>
          </w:tcPr>
          <w:p w14:paraId="00383485">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7145" w:type="dxa"/>
            <w:tcBorders>
              <w:top w:val="single" w:color="000000" w:sz="8" w:space="0"/>
              <w:left w:val="single" w:color="000000" w:sz="2" w:space="0"/>
              <w:bottom w:val="single" w:color="000000" w:sz="8" w:space="0"/>
              <w:right w:val="single" w:color="000000" w:sz="8" w:space="0"/>
            </w:tcBorders>
            <w:vAlign w:val="center"/>
          </w:tcPr>
          <w:p w14:paraId="6C0E6760">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107CE792">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05A1A0FA">
            <w:pPr>
              <w:snapToGrid w:val="0"/>
              <w:spacing w:line="36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04968A37">
            <w:pPr>
              <w:snapToGrid w:val="0"/>
              <w:spacing w:line="360" w:lineRule="auto"/>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02250257">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5289611D">
            <w:pPr>
              <w:spacing w:line="36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0E0D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28" w:hRule="atLeast"/>
        </w:trPr>
        <w:tc>
          <w:tcPr>
            <w:tcW w:w="855" w:type="dxa"/>
            <w:tcBorders>
              <w:top w:val="single" w:color="auto" w:sz="4" w:space="0"/>
              <w:left w:val="single" w:color="000000" w:sz="8" w:space="0"/>
              <w:right w:val="single" w:color="000000" w:sz="2" w:space="0"/>
            </w:tcBorders>
          </w:tcPr>
          <w:p w14:paraId="1128B2D4">
            <w:pPr>
              <w:snapToGrid w:val="0"/>
              <w:spacing w:line="360" w:lineRule="auto"/>
              <w:jc w:val="center"/>
              <w:rPr>
                <w:rFonts w:hint="eastAsia" w:ascii="仿宋" w:hAnsi="仿宋" w:eastAsia="仿宋" w:cs="仿宋"/>
                <w:color w:val="auto"/>
                <w:sz w:val="24"/>
                <w:highlight w:val="none"/>
              </w:rPr>
            </w:pPr>
          </w:p>
          <w:p w14:paraId="508204F4">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07" w:type="dxa"/>
            <w:tcBorders>
              <w:top w:val="single" w:color="000000" w:sz="8" w:space="0"/>
              <w:left w:val="single" w:color="000000" w:sz="2" w:space="0"/>
              <w:right w:val="single" w:color="000000" w:sz="8" w:space="0"/>
            </w:tcBorders>
            <w:vAlign w:val="center"/>
          </w:tcPr>
          <w:p w14:paraId="3D8BAA3D">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7145" w:type="dxa"/>
            <w:tcBorders>
              <w:top w:val="single" w:color="000000" w:sz="8" w:space="0"/>
              <w:left w:val="single" w:color="000000" w:sz="2" w:space="0"/>
              <w:right w:val="single" w:color="000000" w:sz="8" w:space="0"/>
            </w:tcBorders>
            <w:vAlign w:val="center"/>
          </w:tcPr>
          <w:p w14:paraId="204574E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855" w:type="dxa"/>
            <w:tcBorders>
              <w:top w:val="single" w:color="auto" w:sz="4" w:space="0"/>
              <w:left w:val="single" w:color="000000" w:sz="8" w:space="0"/>
              <w:bottom w:val="single" w:color="auto" w:sz="4" w:space="0"/>
              <w:right w:val="single" w:color="000000" w:sz="2" w:space="0"/>
            </w:tcBorders>
            <w:vAlign w:val="center"/>
          </w:tcPr>
          <w:p w14:paraId="03E67B04">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07" w:type="dxa"/>
            <w:tcBorders>
              <w:top w:val="single" w:color="000000" w:sz="8" w:space="0"/>
              <w:left w:val="single" w:color="000000" w:sz="2" w:space="0"/>
              <w:bottom w:val="single" w:color="000000" w:sz="8" w:space="0"/>
              <w:right w:val="single" w:color="000000" w:sz="8" w:space="0"/>
            </w:tcBorders>
            <w:vAlign w:val="center"/>
          </w:tcPr>
          <w:p w14:paraId="4002ED00">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7145" w:type="dxa"/>
            <w:tcBorders>
              <w:top w:val="single" w:color="000000" w:sz="8" w:space="0"/>
              <w:left w:val="single" w:color="000000" w:sz="2" w:space="0"/>
              <w:bottom w:val="single" w:color="000000" w:sz="8" w:space="0"/>
              <w:right w:val="single" w:color="000000" w:sz="8" w:space="0"/>
            </w:tcBorders>
            <w:vAlign w:val="center"/>
          </w:tcPr>
          <w:p w14:paraId="1C4D0354">
            <w:pPr>
              <w:pStyle w:val="34"/>
              <w:spacing w:line="360" w:lineRule="auto"/>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kern w:val="28"/>
                <w:sz w:val="24"/>
                <w:szCs w:val="24"/>
                <w:highlight w:val="none"/>
                <w:u w:val="single"/>
              </w:rPr>
              <w:t>浙江省杭州市余杭区仓前街道西溪堂商务中心7幢410室</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lang w:val="en-US" w:eastAsia="zh-CN"/>
              </w:rPr>
              <w:t>13777566373</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tc>
      </w:tr>
      <w:tr w14:paraId="19046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855" w:type="dxa"/>
            <w:vMerge w:val="restart"/>
            <w:tcBorders>
              <w:top w:val="single" w:color="auto" w:sz="4" w:space="0"/>
              <w:left w:val="single" w:color="000000" w:sz="8" w:space="0"/>
              <w:right w:val="single" w:color="000000" w:sz="2" w:space="0"/>
            </w:tcBorders>
            <w:vAlign w:val="center"/>
          </w:tcPr>
          <w:p w14:paraId="26667A4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07" w:type="dxa"/>
            <w:vMerge w:val="restart"/>
            <w:tcBorders>
              <w:top w:val="single" w:color="000000" w:sz="8" w:space="0"/>
              <w:left w:val="single" w:color="000000" w:sz="2" w:space="0"/>
              <w:right w:val="single" w:color="000000" w:sz="8" w:space="0"/>
            </w:tcBorders>
            <w:vAlign w:val="center"/>
          </w:tcPr>
          <w:p w14:paraId="251E7FA4">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7145" w:type="dxa"/>
            <w:tcBorders>
              <w:top w:val="single" w:color="000000" w:sz="8" w:space="0"/>
              <w:left w:val="single" w:color="000000" w:sz="2" w:space="0"/>
              <w:bottom w:val="single" w:color="000000" w:sz="8" w:space="0"/>
              <w:right w:val="single" w:color="000000" w:sz="8" w:space="0"/>
            </w:tcBorders>
            <w:vAlign w:val="center"/>
          </w:tcPr>
          <w:p w14:paraId="087E5F2E">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560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855" w:type="dxa"/>
            <w:vMerge w:val="continue"/>
            <w:tcBorders>
              <w:left w:val="single" w:color="000000" w:sz="8" w:space="0"/>
              <w:right w:val="single" w:color="000000" w:sz="2" w:space="0"/>
            </w:tcBorders>
          </w:tcPr>
          <w:p w14:paraId="7FF9857B">
            <w:pPr>
              <w:snapToGrid w:val="0"/>
              <w:spacing w:line="360" w:lineRule="auto"/>
              <w:jc w:val="center"/>
              <w:rPr>
                <w:rFonts w:hint="eastAsia" w:ascii="仿宋" w:hAnsi="仿宋" w:eastAsia="仿宋" w:cs="仿宋"/>
                <w:color w:val="auto"/>
                <w:sz w:val="24"/>
                <w:highlight w:val="none"/>
              </w:rPr>
            </w:pPr>
          </w:p>
        </w:tc>
        <w:tc>
          <w:tcPr>
            <w:tcW w:w="1807" w:type="dxa"/>
            <w:vMerge w:val="continue"/>
            <w:tcBorders>
              <w:left w:val="single" w:color="000000" w:sz="2" w:space="0"/>
              <w:right w:val="single" w:color="000000" w:sz="8" w:space="0"/>
            </w:tcBorders>
            <w:vAlign w:val="center"/>
          </w:tcPr>
          <w:p w14:paraId="500B23DB">
            <w:pPr>
              <w:snapToGrid w:val="0"/>
              <w:spacing w:line="360" w:lineRule="auto"/>
              <w:jc w:val="center"/>
              <w:rPr>
                <w:rFonts w:hint="eastAsia" w:ascii="仿宋" w:hAnsi="仿宋" w:eastAsia="仿宋" w:cs="仿宋"/>
                <w:b/>
                <w:color w:val="auto"/>
                <w:sz w:val="24"/>
                <w:highlight w:val="none"/>
              </w:rPr>
            </w:pPr>
          </w:p>
        </w:tc>
        <w:tc>
          <w:tcPr>
            <w:tcW w:w="7145" w:type="dxa"/>
            <w:tcBorders>
              <w:top w:val="single" w:color="000000" w:sz="8" w:space="0"/>
              <w:left w:val="single" w:color="000000" w:sz="2" w:space="0"/>
              <w:bottom w:val="single" w:color="000000" w:sz="8" w:space="0"/>
              <w:right w:val="single" w:color="000000" w:sz="8" w:space="0"/>
            </w:tcBorders>
            <w:vAlign w:val="center"/>
          </w:tcPr>
          <w:p w14:paraId="1456170E">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62113802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snapToGrid w:val="0"/>
                <w:color w:val="auto"/>
                <w:kern w:val="28"/>
                <w:sz w:val="24"/>
                <w:highlight w:val="none"/>
              </w:rPr>
              <w:t>联合体投标的，联合体各方均需按招标文件第四部分评标标准要求提供资信证明文件，否则视为不符合相关要求。</w:t>
            </w:r>
          </w:p>
          <w:p w14:paraId="273E0D79">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1829922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855" w:type="dxa"/>
            <w:tcBorders>
              <w:top w:val="single" w:color="auto" w:sz="4" w:space="0"/>
              <w:left w:val="single" w:color="auto" w:sz="4" w:space="0"/>
              <w:bottom w:val="single" w:color="auto" w:sz="4" w:space="0"/>
              <w:right w:val="single" w:color="000000" w:sz="2" w:space="0"/>
            </w:tcBorders>
          </w:tcPr>
          <w:p w14:paraId="67AD759D">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1807"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 w:eastAsia="zh-CN"/>
              </w:rPr>
              <w:t>中标候选人数量</w:t>
            </w:r>
          </w:p>
        </w:tc>
        <w:tc>
          <w:tcPr>
            <w:tcW w:w="714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仿宋" w:hAnsi="仿宋" w:eastAsia="仿宋" w:cs="仿宋"/>
                <w:color w:val="auto"/>
                <w:kern w:val="0"/>
                <w:sz w:val="24"/>
                <w:highlight w:val="none"/>
                <w:lang w:val="en" w:eastAsia="zh-CN"/>
              </w:rPr>
            </w:pPr>
            <w:r>
              <w:rPr>
                <w:rFonts w:hint="eastAsia" w:ascii="仿宋" w:hAnsi="仿宋" w:eastAsia="仿宋" w:cs="仿宋"/>
                <w:color w:val="auto"/>
                <w:kern w:val="0"/>
                <w:sz w:val="24"/>
                <w:highlight w:val="none"/>
                <w:lang w:val="en" w:eastAsia="zh-CN"/>
              </w:rPr>
              <w:t>本项目推荐的中标候选人数量：</w:t>
            </w:r>
            <w:r>
              <w:rPr>
                <w:rFonts w:hint="eastAsia" w:ascii="仿宋" w:hAnsi="仿宋" w:eastAsia="仿宋" w:cs="仿宋"/>
                <w:color w:val="auto"/>
                <w:kern w:val="0"/>
                <w:sz w:val="24"/>
                <w:highlight w:val="none"/>
                <w:u w:val="single"/>
                <w:lang w:val="en-US" w:eastAsia="zh-CN"/>
              </w:rPr>
              <w:t xml:space="preserve"> 1名 </w:t>
            </w:r>
            <w:r>
              <w:rPr>
                <w:rFonts w:hint="eastAsia" w:ascii="仿宋" w:hAnsi="仿宋" w:eastAsia="仿宋" w:cs="仿宋"/>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855" w:type="dxa"/>
            <w:tcBorders>
              <w:top w:val="single" w:color="auto" w:sz="4" w:space="0"/>
              <w:left w:val="single" w:color="auto" w:sz="4" w:space="0"/>
              <w:bottom w:val="single" w:color="auto" w:sz="4" w:space="0"/>
              <w:right w:val="single" w:color="000000" w:sz="2" w:space="0"/>
            </w:tcBorders>
            <w:vAlign w:val="center"/>
          </w:tcPr>
          <w:p w14:paraId="7D09EDAD">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1807"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bCs w:val="0"/>
                <w:i w:val="0"/>
                <w:iCs w:val="0"/>
                <w:color w:val="auto"/>
                <w:sz w:val="24"/>
                <w:szCs w:val="24"/>
                <w:highlight w:val="none"/>
              </w:rPr>
              <w:t>代理服务费</w:t>
            </w:r>
          </w:p>
        </w:tc>
        <w:tc>
          <w:tcPr>
            <w:tcW w:w="7145" w:type="dxa"/>
            <w:tcBorders>
              <w:top w:val="single" w:color="000000" w:sz="8" w:space="0"/>
              <w:left w:val="single" w:color="auto" w:sz="4" w:space="0"/>
              <w:bottom w:val="single" w:color="000000" w:sz="8" w:space="0"/>
              <w:right w:val="single" w:color="auto" w:sz="4" w:space="0"/>
            </w:tcBorders>
            <w:vAlign w:val="center"/>
          </w:tcPr>
          <w:p w14:paraId="0026FA8F">
            <w:pPr>
              <w:spacing w:line="360" w:lineRule="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 xml:space="preserve">招标服务费：本次代理服务费由中标人支付，代理服务费按照国家计委印发的《招标代理服务收费管理暂行办法》计价格[2002]1980号文件计取，中标人在领取中标通知书前需向招标代理机构支付招标代理服务费，费用包含在总报价中，不单独列项报价。 </w:t>
            </w:r>
          </w:p>
          <w:p w14:paraId="742B3FF7">
            <w:pPr>
              <w:spacing w:line="360" w:lineRule="auto"/>
              <w:rPr>
                <w:rFonts w:hint="eastAsia" w:ascii="仿宋" w:hAnsi="仿宋" w:eastAsia="仿宋" w:cs="仿宋"/>
                <w:i w:val="0"/>
                <w:iCs w:val="0"/>
                <w:color w:val="auto"/>
                <w:kern w:val="0"/>
                <w:sz w:val="24"/>
                <w:szCs w:val="24"/>
                <w:highlight w:val="none"/>
              </w:rPr>
            </w:pPr>
            <w:r>
              <w:rPr>
                <w:rFonts w:hint="eastAsia" w:ascii="宋体" w:hAnsi="宋体" w:eastAsia="宋体" w:cs="宋体"/>
                <w:b/>
                <w:bCs/>
                <w:kern w:val="2"/>
                <w:sz w:val="24"/>
                <w:szCs w:val="24"/>
                <w:highlight w:val="none"/>
                <w:lang w:val="en-US" w:eastAsia="zh-CN" w:bidi="ar-SA"/>
              </w:rPr>
              <w:drawing>
                <wp:anchor distT="0" distB="0" distL="114300" distR="114300" simplePos="0" relativeHeight="251661312" behindDoc="0" locked="0" layoutInCell="1" allowOverlap="1">
                  <wp:simplePos x="0" y="0"/>
                  <wp:positionH relativeFrom="column">
                    <wp:posOffset>337820</wp:posOffset>
                  </wp:positionH>
                  <wp:positionV relativeFrom="paragraph">
                    <wp:posOffset>110490</wp:posOffset>
                  </wp:positionV>
                  <wp:extent cx="3622040" cy="1602105"/>
                  <wp:effectExtent l="0" t="0" r="10160" b="10795"/>
                  <wp:wrapSquare wrapText="bothSides"/>
                  <wp:docPr id="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6"/>
                          <pic:cNvPicPr>
                            <a:picLocks noChangeAspect="1"/>
                          </pic:cNvPicPr>
                        </pic:nvPicPr>
                        <pic:blipFill>
                          <a:blip r:embed="rId26">
                            <a:lum/>
                          </a:blip>
                          <a:stretch>
                            <a:fillRect/>
                          </a:stretch>
                        </pic:blipFill>
                        <pic:spPr>
                          <a:xfrm>
                            <a:off x="0" y="0"/>
                            <a:ext cx="3622040" cy="1602105"/>
                          </a:xfrm>
                          <a:prstGeom prst="rect">
                            <a:avLst/>
                          </a:prstGeom>
                          <a:noFill/>
                          <a:ln>
                            <a:noFill/>
                          </a:ln>
                        </pic:spPr>
                      </pic:pic>
                    </a:graphicData>
                  </a:graphic>
                </wp:anchor>
              </w:drawing>
            </w:r>
          </w:p>
          <w:p w14:paraId="6C23D5D4">
            <w:pPr>
              <w:spacing w:line="360" w:lineRule="auto"/>
              <w:rPr>
                <w:rFonts w:hint="eastAsia" w:ascii="仿宋" w:hAnsi="仿宋" w:eastAsia="仿宋" w:cs="仿宋"/>
                <w:i w:val="0"/>
                <w:iCs w:val="0"/>
                <w:color w:val="auto"/>
                <w:kern w:val="0"/>
                <w:sz w:val="24"/>
                <w:szCs w:val="24"/>
                <w:highlight w:val="none"/>
              </w:rPr>
            </w:pPr>
          </w:p>
          <w:p w14:paraId="37118496">
            <w:pPr>
              <w:spacing w:line="360" w:lineRule="auto"/>
              <w:rPr>
                <w:rFonts w:hint="eastAsia" w:ascii="仿宋" w:hAnsi="仿宋" w:eastAsia="仿宋" w:cs="仿宋"/>
                <w:i w:val="0"/>
                <w:iCs w:val="0"/>
                <w:color w:val="auto"/>
                <w:kern w:val="0"/>
                <w:sz w:val="24"/>
                <w:szCs w:val="24"/>
                <w:highlight w:val="none"/>
              </w:rPr>
            </w:pPr>
          </w:p>
          <w:p w14:paraId="041E9D0A">
            <w:pPr>
              <w:spacing w:line="360" w:lineRule="auto"/>
              <w:rPr>
                <w:rFonts w:hint="eastAsia" w:ascii="仿宋" w:hAnsi="仿宋" w:eastAsia="仿宋" w:cs="仿宋"/>
                <w:i w:val="0"/>
                <w:iCs w:val="0"/>
                <w:color w:val="auto"/>
                <w:kern w:val="0"/>
                <w:sz w:val="24"/>
                <w:szCs w:val="24"/>
                <w:highlight w:val="none"/>
              </w:rPr>
            </w:pPr>
          </w:p>
          <w:p w14:paraId="630C0DDF">
            <w:pPr>
              <w:spacing w:line="360" w:lineRule="auto"/>
              <w:rPr>
                <w:rFonts w:hint="eastAsia" w:ascii="仿宋" w:hAnsi="仿宋" w:eastAsia="仿宋" w:cs="仿宋"/>
                <w:i w:val="0"/>
                <w:iCs w:val="0"/>
                <w:color w:val="auto"/>
                <w:kern w:val="0"/>
                <w:sz w:val="24"/>
                <w:szCs w:val="24"/>
                <w:highlight w:val="none"/>
              </w:rPr>
            </w:pPr>
          </w:p>
          <w:p w14:paraId="4E975889">
            <w:pPr>
              <w:spacing w:line="360" w:lineRule="auto"/>
              <w:rPr>
                <w:rFonts w:hint="eastAsia" w:ascii="仿宋" w:hAnsi="仿宋" w:eastAsia="仿宋" w:cs="仿宋"/>
                <w:color w:val="auto"/>
                <w:kern w:val="0"/>
                <w:sz w:val="24"/>
                <w:highlight w:val="none"/>
                <w:lang w:val="en" w:eastAsia="zh-CN"/>
              </w:rPr>
            </w:pPr>
          </w:p>
        </w:tc>
      </w:tr>
      <w:tr w14:paraId="15147E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855" w:type="dxa"/>
            <w:tcBorders>
              <w:top w:val="single" w:color="auto" w:sz="4" w:space="0"/>
              <w:left w:val="single" w:color="auto" w:sz="4" w:space="0"/>
              <w:bottom w:val="single" w:color="auto" w:sz="4" w:space="0"/>
              <w:right w:val="single" w:color="000000" w:sz="2" w:space="0"/>
            </w:tcBorders>
            <w:vAlign w:val="center"/>
          </w:tcPr>
          <w:p w14:paraId="5BB9E764">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16</w:t>
            </w:r>
          </w:p>
        </w:tc>
        <w:tc>
          <w:tcPr>
            <w:tcW w:w="1807" w:type="dxa"/>
            <w:tcBorders>
              <w:top w:val="single" w:color="auto" w:sz="4" w:space="0"/>
              <w:left w:val="single" w:color="000000" w:sz="2" w:space="0"/>
              <w:bottom w:val="single" w:color="auto" w:sz="4" w:space="0"/>
              <w:right w:val="single" w:color="auto" w:sz="4" w:space="0"/>
            </w:tcBorders>
            <w:vAlign w:val="center"/>
          </w:tcPr>
          <w:p w14:paraId="2B9750A6">
            <w:pPr>
              <w:wordWrap/>
              <w:snapToGrid w:val="0"/>
              <w:spacing w:line="360" w:lineRule="auto"/>
              <w:ind w:left="0" w:leftChars="0" w:firstLine="0" w:firstLineChars="0"/>
              <w:jc w:val="center"/>
              <w:textAlignment w:val="auto"/>
              <w:rPr>
                <w:rFonts w:hint="eastAsia" w:ascii="仿宋" w:hAnsi="仿宋" w:eastAsia="仿宋" w:cs="仿宋"/>
                <w:b/>
                <w:color w:val="auto"/>
                <w:sz w:val="24"/>
                <w:highlight w:val="none"/>
                <w:lang w:val="en" w:eastAsia="zh-CN"/>
              </w:rPr>
            </w:pPr>
            <w:r>
              <w:rPr>
                <w:rFonts w:hint="eastAsia" w:ascii="仿宋" w:hAnsi="仿宋" w:eastAsia="仿宋" w:cs="仿宋"/>
                <w:b/>
                <w:bCs w:val="0"/>
                <w:i w:val="0"/>
                <w:iCs w:val="0"/>
                <w:color w:val="auto"/>
                <w:sz w:val="24"/>
                <w:szCs w:val="24"/>
                <w:highlight w:val="none"/>
                <w:lang w:val="en-US" w:eastAsia="zh-CN"/>
              </w:rPr>
              <w:t>其他说明</w:t>
            </w:r>
          </w:p>
        </w:tc>
        <w:tc>
          <w:tcPr>
            <w:tcW w:w="7145" w:type="dxa"/>
            <w:tcBorders>
              <w:top w:val="single" w:color="000000" w:sz="8" w:space="0"/>
              <w:left w:val="single" w:color="auto" w:sz="4" w:space="0"/>
              <w:bottom w:val="single" w:color="000000" w:sz="8" w:space="0"/>
              <w:right w:val="single" w:color="auto" w:sz="4" w:space="0"/>
            </w:tcBorders>
            <w:vAlign w:val="center"/>
          </w:tcPr>
          <w:p w14:paraId="2E956ACF">
            <w:pPr>
              <w:widowControl/>
              <w:wordWrap/>
              <w:spacing w:line="360" w:lineRule="auto"/>
              <w:ind w:left="0" w:leftChars="0" w:firstLine="0" w:firstLineChars="0"/>
              <w:jc w:val="both"/>
              <w:textAlignment w:val="auto"/>
              <w:rPr>
                <w:rFonts w:hint="eastAsia" w:ascii="仿宋" w:hAnsi="仿宋" w:eastAsia="仿宋" w:cs="仿宋"/>
                <w:color w:val="auto"/>
                <w:kern w:val="0"/>
                <w:sz w:val="24"/>
                <w:highlight w:val="none"/>
                <w:lang w:val="en" w:eastAsia="zh-CN"/>
              </w:rPr>
            </w:pPr>
            <w:r>
              <w:rPr>
                <w:rFonts w:hint="eastAsia" w:ascii="仿宋" w:hAnsi="仿宋" w:eastAsia="仿宋" w:cs="仿宋"/>
                <w:i w:val="0"/>
                <w:iCs w:val="0"/>
                <w:color w:val="auto"/>
                <w:kern w:val="0"/>
                <w:sz w:val="24"/>
                <w:szCs w:val="24"/>
                <w:highlight w:val="none"/>
                <w:lang w:val="en-US" w:eastAsia="zh-CN"/>
              </w:rPr>
              <w:t>1、</w:t>
            </w:r>
            <w:r>
              <w:rPr>
                <w:rFonts w:hint="eastAsia" w:ascii="仿宋" w:hAnsi="仿宋" w:eastAsia="仿宋" w:cs="仿宋"/>
                <w:i w:val="0"/>
                <w:iCs w:val="0"/>
                <w:color w:val="auto"/>
                <w:kern w:val="0"/>
                <w:sz w:val="24"/>
                <w:szCs w:val="24"/>
                <w:highlight w:val="none"/>
              </w:rPr>
              <w:t>中标单位需在领取中标通知书时，提供本项目纸质投标文件（资格文件”、“报价文件”和“商务技术文件”）肆份（正本一份，副本</w:t>
            </w:r>
            <w:r>
              <w:rPr>
                <w:rFonts w:hint="eastAsia" w:ascii="仿宋" w:hAnsi="仿宋" w:eastAsia="仿宋" w:cs="仿宋"/>
                <w:i w:val="0"/>
                <w:iCs w:val="0"/>
                <w:color w:val="auto"/>
                <w:kern w:val="0"/>
                <w:sz w:val="24"/>
                <w:szCs w:val="24"/>
                <w:highlight w:val="none"/>
                <w:lang w:val="en-US" w:eastAsia="zh-CN"/>
              </w:rPr>
              <w:t>四</w:t>
            </w:r>
            <w:r>
              <w:rPr>
                <w:rFonts w:hint="eastAsia" w:ascii="仿宋" w:hAnsi="仿宋" w:eastAsia="仿宋" w:cs="仿宋"/>
                <w:i w:val="0"/>
                <w:iCs w:val="0"/>
                <w:color w:val="auto"/>
                <w:kern w:val="0"/>
                <w:sz w:val="24"/>
                <w:szCs w:val="24"/>
                <w:highlight w:val="none"/>
              </w:rPr>
              <w:t>份）并提供电子投标文件与纸质投标文件内容一致承诺书肆份。</w:t>
            </w:r>
          </w:p>
        </w:tc>
      </w:tr>
      <w:bookmarkEnd w:id="10"/>
    </w:tbl>
    <w:p w14:paraId="75264CA2">
      <w:pPr>
        <w:adjustRightInd/>
        <w:spacing w:line="360" w:lineRule="auto"/>
        <w:jc w:val="center"/>
        <w:outlineLvl w:val="0"/>
        <w:rPr>
          <w:rFonts w:hint="eastAsia" w:ascii="仿宋" w:hAnsi="仿宋" w:eastAsia="仿宋" w:cs="仿宋"/>
          <w:b/>
          <w:color w:val="auto"/>
          <w:sz w:val="32"/>
          <w:szCs w:val="20"/>
          <w:highlight w:val="none"/>
        </w:rPr>
      </w:pPr>
      <w:bookmarkStart w:id="11" w:name="_Toc164416483"/>
      <w:bookmarkStart w:id="12" w:name="第三部分"/>
      <w:r>
        <w:rPr>
          <w:rFonts w:hint="eastAsia" w:ascii="仿宋" w:hAnsi="仿宋" w:eastAsia="仿宋" w:cs="仿宋"/>
          <w:b/>
          <w:color w:val="auto"/>
          <w:sz w:val="32"/>
          <w:szCs w:val="20"/>
          <w:highlight w:val="none"/>
        </w:rPr>
        <w:t>一、总则</w:t>
      </w:r>
    </w:p>
    <w:p w14:paraId="56B79E12">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0B2D25F0">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1874DAD6">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452AA16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07D0D80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”系指招标公告中载明的本项目的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14:paraId="7719B6B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25340D5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0F6878F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指本项目政府采购活动所依托的政府采购云平台（https://www.zcygov.cn/）。</w:t>
      </w:r>
    </w:p>
    <w:p w14:paraId="512A4CF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79F2398D">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174331AF">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134CA64D">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29B8521C">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4D267C7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w:t>
      </w:r>
      <w:r>
        <w:rPr>
          <w:rFonts w:hint="eastAsia" w:ascii="仿宋" w:hAnsi="仿宋" w:eastAsia="仿宋" w:cs="仿宋"/>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仿宋" w:hAnsi="仿宋" w:eastAsia="仿宋" w:cs="仿宋"/>
          <w:color w:val="auto"/>
          <w:sz w:val="24"/>
          <w:highlight w:val="none"/>
        </w:rPr>
        <w:t>。</w:t>
      </w:r>
    </w:p>
    <w:p w14:paraId="0CE3729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42DB100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3.4.1 </w:t>
      </w:r>
      <w:r>
        <w:rPr>
          <w:rFonts w:hint="eastAsia" w:ascii="仿宋" w:hAnsi="仿宋" w:eastAsia="仿宋" w:cs="仿宋"/>
          <w:color w:val="auto"/>
          <w:sz w:val="24"/>
          <w:highlight w:val="none"/>
          <w:lang w:eastAsia="zh-CN"/>
        </w:rPr>
        <w:t>首台套、“制造精品”、“专精特新”等创新产品按规定享受政府采购支持政策</w:t>
      </w:r>
      <w:r>
        <w:rPr>
          <w:rFonts w:hint="eastAsia" w:ascii="仿宋" w:hAnsi="仿宋" w:eastAsia="仿宋" w:cs="仿宋"/>
          <w:color w:val="auto"/>
          <w:sz w:val="24"/>
          <w:highlight w:val="none"/>
        </w:rPr>
        <w:t>。</w:t>
      </w:r>
    </w:p>
    <w:p w14:paraId="3663ABCB">
      <w:pPr>
        <w:pStyle w:val="2"/>
        <w:adjustRightInd w:val="0"/>
        <w:ind w:left="0" w:firstLine="480" w:firstLineChars="200"/>
        <w:rPr>
          <w:rFonts w:hint="eastAsia" w:ascii="仿宋" w:hAnsi="仿宋" w:eastAsia="仿宋" w:cs="仿宋"/>
          <w:color w:val="auto"/>
          <w:highlight w:val="none"/>
          <w:u w:val="none"/>
        </w:rPr>
      </w:pPr>
      <w:r>
        <w:rPr>
          <w:rFonts w:hint="eastAsia" w:ascii="仿宋" w:hAnsi="仿宋" w:eastAsia="仿宋" w:cs="仿宋"/>
          <w:b w:val="0"/>
          <w:bCs w:val="0"/>
          <w:color w:val="auto"/>
          <w:sz w:val="24"/>
          <w:szCs w:val="24"/>
          <w:highlight w:val="none"/>
          <w:u w:val="none"/>
          <w:lang w:val="en-US"/>
        </w:rPr>
        <w:t>3.4.</w:t>
      </w:r>
      <w:r>
        <w:rPr>
          <w:rFonts w:hint="eastAsia" w:ascii="仿宋" w:hAnsi="仿宋" w:eastAsia="仿宋" w:cs="仿宋"/>
          <w:b w:val="0"/>
          <w:bCs w:val="0"/>
          <w:color w:val="auto"/>
          <w:sz w:val="24"/>
          <w:szCs w:val="24"/>
          <w:highlight w:val="none"/>
          <w:u w:val="none"/>
          <w:lang w:val="en-US" w:eastAsia="zh-CN"/>
        </w:rPr>
        <w:t>2</w:t>
      </w:r>
      <w:r>
        <w:rPr>
          <w:rFonts w:hint="eastAsia" w:ascii="仿宋" w:hAnsi="仿宋" w:eastAsia="仿宋" w:cs="仿宋"/>
          <w:b w:val="0"/>
          <w:bCs w:val="0"/>
          <w:color w:val="auto"/>
          <w:sz w:val="24"/>
          <w:szCs w:val="24"/>
          <w:highlight w:val="none"/>
          <w:u w:val="none"/>
          <w:lang w:val="en-US"/>
        </w:rPr>
        <w:t xml:space="preserve"> </w:t>
      </w:r>
      <w:r>
        <w:rPr>
          <w:rFonts w:hint="eastAsia" w:ascii="仿宋" w:hAnsi="仿宋" w:eastAsia="仿宋" w:cs="仿宋"/>
          <w:b w:val="0"/>
          <w:bCs w:val="0"/>
          <w:color w:val="auto"/>
          <w:sz w:val="24"/>
          <w:szCs w:val="24"/>
          <w:highlight w:val="none"/>
          <w:u w:val="none"/>
          <w:lang w:val="en-US" w:eastAsia="zh-CN"/>
        </w:rPr>
        <w:t>采购人应当贯彻落实知识产权保护相关法律法规，</w:t>
      </w:r>
      <w:r>
        <w:rPr>
          <w:rFonts w:hint="eastAsia" w:ascii="仿宋" w:hAnsi="仿宋" w:eastAsia="仿宋" w:cs="仿宋"/>
          <w:b w:val="0"/>
          <w:bCs w:val="0"/>
          <w:color w:val="auto"/>
          <w:sz w:val="24"/>
          <w:szCs w:val="24"/>
          <w:highlight w:val="none"/>
          <w:u w:val="none"/>
          <w:lang w:val="en-US"/>
        </w:rPr>
        <w:t>应当采购使用正版软件。</w:t>
      </w:r>
    </w:p>
    <w:p w14:paraId="3097E85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3EE38953">
      <w:pPr>
        <w:spacing w:line="360" w:lineRule="auto"/>
        <w:ind w:firstLine="240" w:firstLineChars="100"/>
        <w:rPr>
          <w:rFonts w:hint="eastAsia"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询问、质疑、投诉、补偿救济</w:t>
      </w:r>
    </w:p>
    <w:p w14:paraId="6F1AE62F">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6ACB7464">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053F4E11">
      <w:pPr>
        <w:pStyle w:val="3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4DB81FF4">
      <w:pPr>
        <w:pStyle w:val="3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提出质疑，否则，采购人或者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不予受理：</w:t>
      </w:r>
    </w:p>
    <w:p w14:paraId="6521B6BF">
      <w:pPr>
        <w:pStyle w:val="5"/>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14:paraId="593C149A">
      <w:pPr>
        <w:pStyle w:val="34"/>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0C727DD6">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14:paraId="3E3EAF25">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14:paraId="2486A27E">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14:paraId="4D239430">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14:paraId="6C90EC9C">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14:paraId="5D64CD02">
      <w:pPr>
        <w:pStyle w:val="34"/>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35E9E5F8">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13D330D2">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6BAEB4ED">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在质疑回复后5个工作日内，在浙江政府采购网的“其他公告”栏目公开质疑答复，答复内容应当完整。质疑函作为附件上传。</w:t>
      </w:r>
    </w:p>
    <w:p w14:paraId="63F18984">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2680FC7B">
      <w:pPr>
        <w:pStyle w:val="889"/>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14:paraId="3B98A2A9">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的答复不满意或者采购人、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未在规定的时间内作出答复的，可以在答复期满后十五个工作日内向同级政府采购监督管理部门提出投诉。</w:t>
      </w:r>
    </w:p>
    <w:p w14:paraId="0B604195">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245CA2ED">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65D7F310">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700A975D">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4.4.5根据政府采购行政裁决省市区三级联动试点工作安排，杭州市本级</w:t>
      </w:r>
      <w:r>
        <w:rPr>
          <w:rFonts w:hint="eastAsia" w:ascii="仿宋" w:hAnsi="仿宋" w:eastAsia="仿宋" w:cs="仿宋"/>
          <w:color w:val="auto"/>
          <w:highlight w:val="none"/>
          <w:lang w:eastAsia="zh-CN"/>
        </w:rPr>
        <w:t>及各区、县（市）</w:t>
      </w:r>
      <w:r>
        <w:rPr>
          <w:rFonts w:hint="eastAsia" w:ascii="仿宋" w:hAnsi="仿宋" w:eastAsia="仿宋" w:cs="仿宋"/>
          <w:color w:val="auto"/>
          <w:highlight w:val="none"/>
        </w:rPr>
        <w:t>政府采购项目投诉材料可寄送至浙江省政府采购行政裁决服务中心（杭州），地址：</w:t>
      </w:r>
      <w:r>
        <w:rPr>
          <w:rFonts w:hint="eastAsia" w:ascii="仿宋" w:hAnsi="仿宋" w:eastAsia="仿宋" w:cs="仿宋"/>
          <w:i w:val="0"/>
          <w:caps w:val="0"/>
          <w:color w:val="auto"/>
          <w:spacing w:val="0"/>
          <w:sz w:val="24"/>
          <w:szCs w:val="24"/>
          <w:highlight w:val="none"/>
          <w:lang w:eastAsia="zh-CN"/>
        </w:rPr>
        <w:t>杭州市上城区清泰街549号城建综合大楼11楼</w:t>
      </w:r>
      <w:r>
        <w:rPr>
          <w:rFonts w:hint="eastAsia" w:ascii="仿宋" w:hAnsi="仿宋" w:eastAsia="仿宋" w:cs="仿宋"/>
          <w:i w:val="0"/>
          <w:caps w:val="0"/>
          <w:color w:val="auto"/>
          <w:spacing w:val="0"/>
          <w:sz w:val="24"/>
          <w:szCs w:val="24"/>
          <w:highlight w:val="none"/>
        </w:rPr>
        <w:t>（快递仅限ems或顺丰）</w:t>
      </w:r>
      <w:r>
        <w:rPr>
          <w:rFonts w:hint="eastAsia" w:ascii="仿宋" w:hAnsi="仿宋" w:eastAsia="仿宋" w:cs="仿宋"/>
          <w:i w:val="0"/>
          <w:caps w:val="0"/>
          <w:color w:val="auto"/>
          <w:spacing w:val="0"/>
          <w:sz w:val="24"/>
          <w:szCs w:val="24"/>
          <w:highlight w:val="none"/>
          <w:lang w:eastAsia="zh-CN"/>
        </w:rPr>
        <w:t>，</w:t>
      </w:r>
      <w:r>
        <w:rPr>
          <w:rFonts w:hint="eastAsia" w:ascii="仿宋" w:hAnsi="仿宋" w:eastAsia="仿宋" w:cs="仿宋"/>
          <w:color w:val="auto"/>
          <w:highlight w:val="none"/>
        </w:rPr>
        <w:t>收件人：朱女士</w:t>
      </w:r>
      <w:r>
        <w:rPr>
          <w:rFonts w:hint="eastAsia" w:ascii="仿宋" w:hAnsi="仿宋" w:eastAsia="仿宋" w:cs="仿宋"/>
          <w:color w:val="auto"/>
          <w:sz w:val="24"/>
          <w:highlight w:val="none"/>
        </w:rPr>
        <w:t>、王女士</w:t>
      </w:r>
      <w:r>
        <w:rPr>
          <w:rFonts w:hint="eastAsia" w:ascii="仿宋" w:hAnsi="仿宋" w:eastAsia="仿宋" w:cs="仿宋"/>
          <w:color w:val="auto"/>
          <w:highlight w:val="none"/>
        </w:rPr>
        <w:t>，电话：0571-</w:t>
      </w:r>
      <w:r>
        <w:rPr>
          <w:rFonts w:hint="eastAsia" w:ascii="仿宋" w:hAnsi="仿宋" w:eastAsia="仿宋" w:cs="仿宋"/>
          <w:i w:val="0"/>
          <w:caps w:val="0"/>
          <w:color w:val="auto"/>
          <w:spacing w:val="0"/>
          <w:sz w:val="24"/>
          <w:szCs w:val="24"/>
          <w:highlight w:val="none"/>
        </w:rPr>
        <w:t>8</w:t>
      </w:r>
      <w:r>
        <w:rPr>
          <w:rFonts w:hint="eastAsia" w:ascii="仿宋" w:hAnsi="仿宋" w:eastAsia="仿宋" w:cs="仿宋"/>
          <w:i w:val="0"/>
          <w:caps w:val="0"/>
          <w:color w:val="auto"/>
          <w:spacing w:val="0"/>
          <w:sz w:val="24"/>
          <w:szCs w:val="24"/>
          <w:highlight w:val="none"/>
          <w:lang w:val="en-US" w:eastAsia="zh-CN"/>
        </w:rPr>
        <w:t>7227671,0571-87800218</w:t>
      </w:r>
      <w:r>
        <w:rPr>
          <w:rFonts w:hint="eastAsia" w:ascii="仿宋" w:hAnsi="仿宋" w:eastAsia="仿宋" w:cs="仿宋"/>
          <w:color w:val="auto"/>
          <w:highlight w:val="none"/>
        </w:rPr>
        <w:t>。</w:t>
      </w:r>
    </w:p>
    <w:p w14:paraId="712FF852">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4.5 补偿救济</w:t>
      </w:r>
    </w:p>
    <w:p w14:paraId="54AEF823">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采购人因政策变化、规划调整而不履行政府采购合同的，供应商可依据《杭州市涉企补偿救济实施办法（试行）》向采购人提起补偿申请。</w:t>
      </w:r>
    </w:p>
    <w:p w14:paraId="22C34A00">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p>
    <w:p w14:paraId="72BB4CFD">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00B71198">
      <w:pPr>
        <w:pStyle w:val="131"/>
        <w:snapToGrid w:val="0"/>
        <w:spacing w:before="0"/>
        <w:ind w:firstLine="360"/>
        <w:rPr>
          <w:rFonts w:hint="eastAsia" w:ascii="仿宋" w:hAnsi="仿宋" w:eastAsia="仿宋" w:cs="仿宋"/>
          <w:color w:val="auto"/>
          <w:sz w:val="18"/>
          <w:szCs w:val="18"/>
          <w:highlight w:val="none"/>
        </w:rPr>
      </w:pPr>
    </w:p>
    <w:p w14:paraId="60847ABF">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4B83C9F8">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743FBF41">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448832F7">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40208193">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3DECB49D">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7B107D15">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7FEA5162">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4C8291B4">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196C0DD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3455F096">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6177C236">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提出。</w:t>
      </w:r>
    </w:p>
    <w:p w14:paraId="64AD250A">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6.2 </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23"/>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53A42102">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11640B7F">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1FE5694F">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67BCB54C">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04728D9E">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4"/>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617BD70F">
      <w:pPr>
        <w:pStyle w:val="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37DA2D84">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39107709">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699A92E7">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693E5C2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5B3DB473">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03F8D474">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szCs w:val="20"/>
          <w:highlight w:val="none"/>
        </w:rPr>
        <w:t>联合协议（如果有)；</w:t>
      </w:r>
    </w:p>
    <w:p w14:paraId="208560EE">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09013B61">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6AD56734">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3A185A56">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0B74C80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279A3063">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13E7F7DE">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5DDBD84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3B9291F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21A42F8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75AAD2E4">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737ABAA2">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1C3D93F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2BDB0CA6">
      <w:pPr>
        <w:pStyle w:val="2"/>
        <w:snapToGrid w:val="0"/>
        <w:spacing w:line="360" w:lineRule="auto"/>
        <w:ind w:left="0" w:firstLine="960" w:firstLineChars="4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szCs w:val="24"/>
          <w:highlight w:val="none"/>
          <w:lang w:val="en-US"/>
        </w:rPr>
        <w:t>11.3.</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val="en-US"/>
        </w:rPr>
        <w:t xml:space="preserve"> </w:t>
      </w:r>
      <w:r>
        <w:rPr>
          <w:rFonts w:hint="eastAsia" w:ascii="仿宋" w:hAnsi="仿宋" w:eastAsia="仿宋" w:cs="仿宋"/>
          <w:b w:val="0"/>
          <w:bCs w:val="0"/>
          <w:color w:val="auto"/>
          <w:sz w:val="24"/>
          <w:highlight w:val="none"/>
        </w:rPr>
        <w:t>中小企业声明函。</w:t>
      </w:r>
    </w:p>
    <w:p w14:paraId="1DC36947">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768BB57C">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投标人提供虚假材料投标的，投标无效。</w:t>
      </w:r>
    </w:p>
    <w:p w14:paraId="0F02E42D">
      <w:pPr>
        <w:spacing w:line="360" w:lineRule="auto"/>
        <w:ind w:firstLine="720" w:firstLineChars="300"/>
        <w:rPr>
          <w:rFonts w:hint="eastAsia" w:ascii="仿宋" w:hAnsi="仿宋" w:eastAsia="仿宋" w:cs="仿宋"/>
          <w:color w:val="auto"/>
          <w:highlight w:val="none"/>
        </w:rPr>
      </w:pPr>
      <w:r>
        <w:rPr>
          <w:rFonts w:hint="eastAsia" w:ascii="仿宋" w:hAnsi="仿宋" w:eastAsia="仿宋" w:cs="仿宋"/>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131"/>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5599684A">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3B93CB6D">
      <w:pPr>
        <w:pStyle w:val="131"/>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286B4080">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1"/>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348BCF79">
      <w:pPr>
        <w:pStyle w:val="13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45BCDF5B">
      <w:pPr>
        <w:pStyle w:val="131"/>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可以视情况延长投标文件提交的截止时间。在上述情况下，</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与投标人以前在投标截止期方面的全部权利、责任和义务，将适用于延长至新的投标截止期。</w:t>
      </w:r>
    </w:p>
    <w:p w14:paraId="1CFFFBD8">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42A04E0C">
      <w:pPr>
        <w:pStyle w:val="34"/>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p w14:paraId="45B22E94">
      <w:pPr>
        <w:pStyle w:val="34"/>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highlight w:val="none"/>
          <w:lang w:val="en-US" w:eastAsia="zh-CN"/>
        </w:rPr>
        <w:t>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17435F7A">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w:t>
      </w:r>
    </w:p>
    <w:p w14:paraId="343F0A03">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将拒绝接受逾期送达的备份投标文件。邮寄过程中，电子备份投标文件发生泄露、遗失、损坏或延期送达等情况的，由投标人自行负责。</w:t>
      </w:r>
    </w:p>
    <w:p w14:paraId="251A884F">
      <w:pPr>
        <w:pStyle w:val="34"/>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6DB60A0B">
      <w:pPr>
        <w:pStyle w:val="13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074E5FFB">
      <w:pPr>
        <w:pStyle w:val="26"/>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14:paraId="77669CCC">
      <w:pPr>
        <w:pStyle w:val="13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4E78CE15">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159A5936">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0B27342F">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可以以书面形式通知投标人延长投标有效期。投标人同意延长的，不得要求或被允许修改其投标文件，投标人拒绝延长的，其投标无效。</w:t>
      </w:r>
    </w:p>
    <w:p w14:paraId="2B060547">
      <w:pPr>
        <w:pStyle w:val="131"/>
        <w:spacing w:before="0"/>
        <w:ind w:firstLine="643"/>
        <w:rPr>
          <w:rFonts w:hint="eastAsia" w:ascii="仿宋" w:hAnsi="仿宋" w:eastAsia="仿宋" w:cs="仿宋"/>
          <w:b/>
          <w:color w:val="auto"/>
          <w:sz w:val="32"/>
          <w:highlight w:val="none"/>
        </w:rPr>
      </w:pPr>
    </w:p>
    <w:p w14:paraId="25870E80">
      <w:pPr>
        <w:pStyle w:val="131"/>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1D3F69FE">
      <w:pPr>
        <w:pStyle w:val="557"/>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6B6042C8">
      <w:pPr>
        <w:pStyle w:val="557"/>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按照招标文件规定的时间通过电子交易平台组织开标，所有投标人均应当准时在线参加。投标人不足3家的，不得开标。</w:t>
      </w:r>
    </w:p>
    <w:p w14:paraId="75EC8592">
      <w:pPr>
        <w:pStyle w:val="557"/>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依托电子交易平台发起开始解密指令，投标人按照平台提示和招标文件的规定在半小时内完成在线解密。</w:t>
      </w:r>
    </w:p>
    <w:p w14:paraId="2E1B55E9">
      <w:pPr>
        <w:pStyle w:val="557"/>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14:paraId="5023066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sz w:val="24"/>
          <w:highlight w:val="none"/>
        </w:rPr>
        <w:t>采购人或</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依据法律法规和招标文件的规定，对投标人的资格进行审查。</w:t>
      </w:r>
    </w:p>
    <w:p w14:paraId="7ECDA655">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kern w:val="0"/>
          <w:szCs w:val="24"/>
          <w:highlight w:val="none"/>
          <w:lang w:val="en-US" w:eastAsia="zh-CN"/>
        </w:rPr>
        <w:t>2</w:t>
      </w:r>
      <w:r>
        <w:rPr>
          <w:rFonts w:hint="eastAsia" w:ascii="仿宋" w:hAnsi="仿宋" w:eastAsia="仿宋" w:cs="仿宋"/>
          <w:color w:val="auto"/>
          <w:kern w:val="0"/>
          <w:szCs w:val="24"/>
          <w:highlight w:val="none"/>
        </w:rPr>
        <w:t>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58AA200A">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对未通过资格审查的投标人，采购人或</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告知其未通过的原因。</w:t>
      </w:r>
    </w:p>
    <w:p w14:paraId="3869969E">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合格投标人不足3家的，不再评标。</w:t>
      </w:r>
    </w:p>
    <w:p w14:paraId="56CCE8D2">
      <w:pPr>
        <w:pStyle w:val="13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385E7C5D">
      <w:pPr>
        <w:pStyle w:val="13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w:t>
      </w:r>
      <w:r>
        <w:rPr>
          <w:rFonts w:hint="eastAsia" w:ascii="仿宋" w:hAnsi="仿宋" w:eastAsia="仿宋" w:cs="仿宋"/>
          <w:color w:val="auto"/>
          <w:kern w:val="0"/>
          <w:szCs w:val="24"/>
          <w:highlight w:val="none"/>
          <w:lang w:eastAsia="zh-CN"/>
        </w:rPr>
        <w:t>采购代理机构</w:t>
      </w:r>
      <w:r>
        <w:rPr>
          <w:rFonts w:hint="eastAsia" w:ascii="仿宋" w:hAnsi="仿宋" w:eastAsia="仿宋" w:cs="仿宋"/>
          <w:color w:val="auto"/>
          <w:kern w:val="0"/>
          <w:szCs w:val="24"/>
          <w:highlight w:val="none"/>
        </w:rPr>
        <w:t>将在资格审查时通过“信用中国”网站(www.creditchina.gov.cn)、中国政府采购网(www.ccgp.gov.cn)渠道查询投标人接受资格时的信用记录。</w:t>
      </w:r>
    </w:p>
    <w:p w14:paraId="1F25F72F">
      <w:pPr>
        <w:pStyle w:val="13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5987AE4E">
      <w:pPr>
        <w:pStyle w:val="13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3A0A42">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018D73C6">
      <w:pPr>
        <w:pStyle w:val="131"/>
        <w:spacing w:before="0"/>
        <w:ind w:firstLine="0" w:firstLineChars="0"/>
        <w:rPr>
          <w:rFonts w:hint="eastAsia" w:ascii="仿宋" w:hAnsi="仿宋" w:eastAsia="仿宋" w:cs="仿宋"/>
          <w:color w:val="auto"/>
          <w:kern w:val="0"/>
          <w:szCs w:val="24"/>
          <w:highlight w:val="none"/>
        </w:rPr>
      </w:pPr>
    </w:p>
    <w:p w14:paraId="46D47E96">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11FD2421">
      <w:pPr>
        <w:spacing w:line="360" w:lineRule="auto"/>
        <w:rPr>
          <w:rFonts w:hint="eastAsia" w:ascii="仿宋" w:hAnsi="仿宋" w:eastAsia="仿宋" w:cs="仿宋"/>
          <w:b/>
          <w:color w:val="auto"/>
          <w:sz w:val="24"/>
          <w:highlight w:val="none"/>
        </w:rPr>
      </w:pPr>
      <w:bookmarkStart w:id="13"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0DC5F1C0">
      <w:pPr>
        <w:spacing w:line="360" w:lineRule="auto"/>
        <w:rPr>
          <w:rFonts w:hint="eastAsia" w:ascii="仿宋" w:hAnsi="仿宋" w:eastAsia="仿宋" w:cs="仿宋"/>
          <w:b/>
          <w:color w:val="auto"/>
          <w:sz w:val="24"/>
          <w:highlight w:val="none"/>
        </w:rPr>
      </w:pPr>
    </w:p>
    <w:p w14:paraId="53E6E205">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1F2C2BB3">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724C3DA6">
      <w:pPr>
        <w:pStyle w:val="131"/>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仿宋" w:hAnsi="仿宋" w:eastAsia="仿宋" w:cs="仿宋"/>
          <w:color w:val="auto"/>
          <w:szCs w:val="24"/>
          <w:highlight w:val="none"/>
          <w:lang w:val="en-US" w:eastAsia="zh-CN"/>
        </w:rPr>
        <w:t>鼓励</w:t>
      </w:r>
      <w:r>
        <w:rPr>
          <w:rFonts w:hint="eastAsia" w:ascii="仿宋" w:hAnsi="仿宋" w:eastAsia="仿宋" w:cs="仿宋"/>
          <w:color w:val="auto"/>
          <w:szCs w:val="24"/>
          <w:highlight w:val="none"/>
        </w:rPr>
        <w:t>在收到评审报告当天</w:t>
      </w:r>
      <w:r>
        <w:rPr>
          <w:rFonts w:hint="eastAsia" w:ascii="仿宋" w:hAnsi="仿宋" w:eastAsia="仿宋" w:cs="仿宋"/>
          <w:color w:val="auto"/>
          <w:szCs w:val="24"/>
          <w:highlight w:val="none"/>
          <w:lang w:val="en-US" w:eastAsia="zh-CN"/>
        </w:rPr>
        <w:t>在线</w:t>
      </w:r>
      <w:r>
        <w:rPr>
          <w:rFonts w:hint="eastAsia" w:ascii="仿宋" w:hAnsi="仿宋" w:eastAsia="仿宋" w:cs="仿宋"/>
          <w:color w:val="auto"/>
          <w:szCs w:val="24"/>
          <w:highlight w:val="none"/>
        </w:rPr>
        <w:t>确定中标或者成交供应商。中标、成交通知书和中标、成交结果公告应当在规定时间内同时发出。</w:t>
      </w:r>
    </w:p>
    <w:p w14:paraId="5FA0F692">
      <w:pPr>
        <w:pStyle w:val="131"/>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76E71B64">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通过电子交易平台向中标人发出中标通知书，同时编制发布采购结果公告。</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也可以以纸质形式进行中标通知。</w:t>
      </w:r>
    </w:p>
    <w:p w14:paraId="681D7DB4">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color w:val="auto"/>
          <w:sz w:val="24"/>
          <w:highlight w:val="none"/>
        </w:rPr>
        <w:t>资格审查情况、评审专家抽取规则、符合性审查情况、</w:t>
      </w:r>
      <w:bookmarkEnd w:id="14"/>
      <w:r>
        <w:rPr>
          <w:rFonts w:hint="eastAsia" w:ascii="仿宋" w:hAnsi="仿宋" w:eastAsia="仿宋" w:cs="仿宋"/>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618C358E">
      <w:pPr>
        <w:pStyle w:val="131"/>
        <w:adjustRightInd w:val="0"/>
        <w:snapToGrid w:val="0"/>
        <w:spacing w:before="0"/>
        <w:ind w:firstLine="482" w:firstLineChars="200"/>
        <w:rPr>
          <w:rFonts w:hint="eastAsia" w:ascii="仿宋" w:hAnsi="仿宋" w:eastAsia="仿宋" w:cs="仿宋"/>
          <w:bCs/>
          <w:color w:val="auto"/>
          <w:szCs w:val="24"/>
          <w:highlight w:val="none"/>
        </w:rPr>
      </w:pPr>
      <w:r>
        <w:rPr>
          <w:rFonts w:hint="eastAsia" w:ascii="仿宋" w:hAnsi="仿宋" w:eastAsia="仿宋" w:cs="仿宋"/>
          <w:b/>
          <w:color w:val="auto"/>
          <w:szCs w:val="24"/>
          <w:highlight w:val="none"/>
          <w:lang w:val="en-US" w:eastAsia="zh-CN"/>
        </w:rPr>
        <w:t xml:space="preserve">23.4 </w:t>
      </w:r>
      <w:r>
        <w:rPr>
          <w:rFonts w:hint="eastAsia" w:ascii="仿宋" w:hAnsi="仿宋" w:eastAsia="仿宋" w:cs="仿宋"/>
          <w:b w:val="0"/>
          <w:bCs/>
          <w:color w:val="auto"/>
          <w:szCs w:val="24"/>
          <w:highlight w:val="none"/>
        </w:rPr>
        <w:t>由于</w:t>
      </w:r>
      <w:r>
        <w:rPr>
          <w:rFonts w:hint="eastAsia" w:ascii="仿宋" w:hAnsi="仿宋" w:eastAsia="仿宋" w:cs="仿宋"/>
          <w:bCs/>
          <w:color w:val="auto"/>
          <w:szCs w:val="24"/>
          <w:highlight w:val="none"/>
        </w:rPr>
        <w:t>中标、成交供应商原因导致重新采购的，应当承担支付代理费和专家评审费等费用在内的赔偿责任。</w:t>
      </w:r>
    </w:p>
    <w:p w14:paraId="126FDC08">
      <w:pPr>
        <w:pStyle w:val="131"/>
        <w:adjustRightInd w:val="0"/>
        <w:snapToGrid w:val="0"/>
        <w:spacing w:before="0"/>
        <w:ind w:firstLine="480" w:firstLineChars="200"/>
        <w:rPr>
          <w:rFonts w:hint="eastAsia" w:ascii="仿宋" w:hAnsi="仿宋" w:eastAsia="仿宋" w:cs="仿宋"/>
          <w:bCs/>
          <w:color w:val="auto"/>
          <w:szCs w:val="24"/>
          <w:highlight w:val="none"/>
        </w:rPr>
      </w:pPr>
    </w:p>
    <w:p w14:paraId="0F58D648">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3BB7C477">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216AA38D">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6670DD70">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1"/>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6FE73C7B">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1"/>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686FF9F0">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5155207B">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4068AD04">
      <w:pPr>
        <w:pStyle w:val="2"/>
        <w:ind w:left="0" w:firstLine="480" w:firstLineChars="200"/>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仿宋"/>
          <w:b w:val="0"/>
          <w:bCs w:val="0"/>
          <w:snapToGrid w:val="0"/>
          <w:color w:val="auto"/>
          <w:kern w:val="28"/>
          <w:sz w:val="24"/>
          <w:highlight w:val="none"/>
          <w:lang w:val="en-US" w:eastAsia="zh-CN"/>
        </w:rPr>
        <w:t>95763</w:t>
      </w:r>
      <w:r>
        <w:rPr>
          <w:rFonts w:hint="eastAsia" w:ascii="仿宋" w:hAnsi="仿宋" w:eastAsia="仿宋" w:cs="仿宋"/>
          <w:b w:val="0"/>
          <w:bCs w:val="0"/>
          <w:snapToGrid w:val="0"/>
          <w:color w:val="auto"/>
          <w:kern w:val="28"/>
          <w:sz w:val="24"/>
          <w:highlight w:val="none"/>
        </w:rPr>
        <w:t>。</w:t>
      </w:r>
    </w:p>
    <w:p w14:paraId="3C939F7B">
      <w:pPr>
        <w:pStyle w:val="2"/>
        <w:rPr>
          <w:rFonts w:hint="eastAsia" w:ascii="仿宋" w:hAnsi="仿宋" w:eastAsia="仿宋" w:cs="仿宋"/>
          <w:color w:val="auto"/>
          <w:highlight w:val="none"/>
        </w:rPr>
      </w:pPr>
      <w:r>
        <w:rPr>
          <w:rFonts w:hint="eastAsia" w:ascii="仿宋" w:hAnsi="仿宋" w:eastAsia="仿宋" w:cs="仿宋"/>
          <w:b/>
          <w:bCs/>
          <w:color w:val="auto"/>
          <w:sz w:val="24"/>
          <w:szCs w:val="32"/>
          <w:highlight w:val="none"/>
          <w:lang w:val="en-US"/>
        </w:rPr>
        <w:t>27.预付款</w:t>
      </w:r>
    </w:p>
    <w:p w14:paraId="02CAFB67">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eastAsia="仿宋" w:cs="仿宋"/>
          <w:color w:val="auto"/>
          <w:sz w:val="24"/>
          <w:highlight w:val="none"/>
          <w:lang w:val="en-US" w:eastAsia="zh-CN"/>
        </w:rPr>
        <w:t>95763</w:t>
      </w:r>
      <w:r>
        <w:rPr>
          <w:rFonts w:hint="eastAsia" w:ascii="仿宋" w:hAnsi="仿宋" w:eastAsia="仿宋" w:cs="仿宋"/>
          <w:color w:val="auto"/>
          <w:sz w:val="24"/>
          <w:highlight w:val="none"/>
        </w:rPr>
        <w:t>。</w:t>
      </w:r>
    </w:p>
    <w:p w14:paraId="3E18607F">
      <w:pPr>
        <w:rPr>
          <w:rFonts w:hint="eastAsia" w:ascii="仿宋" w:hAnsi="仿宋" w:eastAsia="仿宋" w:cs="仿宋"/>
          <w:color w:val="auto"/>
          <w:highlight w:val="none"/>
        </w:rPr>
      </w:pPr>
    </w:p>
    <w:p w14:paraId="6CF853D2">
      <w:pPr>
        <w:snapToGrid w:val="0"/>
        <w:spacing w:line="360" w:lineRule="auto"/>
        <w:ind w:firstLine="3357" w:firstLineChars="1045"/>
        <w:rPr>
          <w:rFonts w:hint="eastAsia" w:ascii="仿宋" w:hAnsi="仿宋" w:eastAsia="仿宋" w:cs="仿宋"/>
          <w:b/>
          <w:color w:val="auto"/>
          <w:sz w:val="32"/>
          <w:highlight w:val="none"/>
        </w:rPr>
      </w:pPr>
    </w:p>
    <w:p w14:paraId="3C901466">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26658814">
      <w:pPr>
        <w:pStyle w:val="131"/>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rPr>
        <w:t>2</w:t>
      </w:r>
      <w:r>
        <w:rPr>
          <w:rFonts w:hint="eastAsia" w:ascii="仿宋" w:hAnsi="仿宋" w:eastAsia="仿宋" w:cs="仿宋"/>
          <w:b/>
          <w:bCs/>
          <w:color w:val="auto"/>
          <w:sz w:val="24"/>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14:paraId="1B73C079">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3E46E7D4">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47FAC8CC">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5FD1FB31">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0C80746A">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45181751">
      <w:pPr>
        <w:pStyle w:val="131"/>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4F139C">
      <w:pPr>
        <w:tabs>
          <w:tab w:val="left" w:pos="0"/>
        </w:tabs>
        <w:spacing w:line="360" w:lineRule="auto"/>
        <w:ind w:firstLine="480"/>
        <w:rPr>
          <w:rFonts w:hint="eastAsia" w:ascii="仿宋" w:hAnsi="仿宋" w:eastAsia="仿宋" w:cs="仿宋"/>
          <w:color w:val="auto"/>
          <w:sz w:val="24"/>
          <w:highlight w:val="none"/>
        </w:rPr>
      </w:pPr>
    </w:p>
    <w:p w14:paraId="652757CD">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3E32013D">
      <w:pPr>
        <w:pStyle w:val="26"/>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14:paraId="76A3AA3B">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2"/>
        <w:adjustRightInd w:val="0"/>
        <w:snapToGrid w:val="0"/>
        <w:ind w:left="0" w:firstLine="480" w:firstLineChars="200"/>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仿宋" w:hAnsi="仿宋" w:eastAsia="仿宋" w:cs="仿宋"/>
          <w:b w:val="0"/>
          <w:bCs w:val="0"/>
          <w:color w:val="auto"/>
          <w:kern w:val="0"/>
          <w:sz w:val="24"/>
          <w:szCs w:val="24"/>
          <w:highlight w:val="none"/>
          <w:lang w:val="en-US" w:eastAsia="zh-CN"/>
        </w:rPr>
        <w:t>合同管理</w:t>
      </w:r>
      <w:r>
        <w:rPr>
          <w:rFonts w:hint="eastAsia" w:ascii="仿宋" w:hAnsi="仿宋" w:eastAsia="仿宋" w:cs="仿宋"/>
          <w:b w:val="0"/>
          <w:bCs w:val="0"/>
          <w:color w:val="auto"/>
          <w:kern w:val="0"/>
          <w:sz w:val="24"/>
          <w:szCs w:val="24"/>
          <w:highlight w:val="none"/>
          <w:lang w:val="en-US"/>
        </w:rPr>
        <w:t>-支付管理。对于供应商提起在线支付申请的，采购</w:t>
      </w:r>
      <w:r>
        <w:rPr>
          <w:rFonts w:hint="eastAsia" w:ascii="仿宋" w:hAnsi="仿宋" w:eastAsia="仿宋" w:cs="仿宋"/>
          <w:b w:val="0"/>
          <w:bCs w:val="0"/>
          <w:color w:val="auto"/>
          <w:kern w:val="0"/>
          <w:sz w:val="24"/>
          <w:szCs w:val="24"/>
          <w:highlight w:val="none"/>
          <w:lang w:val="en-US" w:eastAsia="zh-CN"/>
        </w:rPr>
        <w:t>人</w:t>
      </w:r>
      <w:r>
        <w:rPr>
          <w:rFonts w:hint="eastAsia" w:ascii="仿宋" w:hAnsi="仿宋" w:eastAsia="仿宋" w:cs="仿宋"/>
          <w:b w:val="0"/>
          <w:bCs w:val="0"/>
          <w:color w:val="auto"/>
          <w:kern w:val="0"/>
          <w:sz w:val="24"/>
          <w:szCs w:val="24"/>
          <w:highlight w:val="none"/>
          <w:lang w:val="en-US"/>
        </w:rPr>
        <w:t>应当</w:t>
      </w:r>
      <w:r>
        <w:rPr>
          <w:rFonts w:hint="eastAsia" w:ascii="仿宋" w:hAnsi="仿宋" w:eastAsia="仿宋" w:cs="仿宋"/>
          <w:b w:val="0"/>
          <w:bCs w:val="0"/>
          <w:color w:val="auto"/>
          <w:kern w:val="0"/>
          <w:sz w:val="24"/>
          <w:szCs w:val="24"/>
          <w:highlight w:val="none"/>
          <w:lang w:val="en-US" w:eastAsia="zh-CN"/>
        </w:rPr>
        <w:t>按规定</w:t>
      </w:r>
      <w:r>
        <w:rPr>
          <w:rFonts w:hint="eastAsia" w:ascii="仿宋" w:hAnsi="仿宋" w:eastAsia="仿宋" w:cs="仿宋"/>
          <w:b w:val="0"/>
          <w:bCs w:val="0"/>
          <w:color w:val="auto"/>
          <w:kern w:val="0"/>
          <w:sz w:val="24"/>
          <w:szCs w:val="24"/>
          <w:highlight w:val="none"/>
          <w:lang w:val="en-US"/>
        </w:rPr>
        <w:t>做好审核并完成支付。</w:t>
      </w:r>
    </w:p>
    <w:p w14:paraId="411DFA42">
      <w:pPr>
        <w:pStyle w:val="80"/>
        <w:rPr>
          <w:rFonts w:hint="eastAsia" w:ascii="仿宋" w:hAnsi="仿宋" w:eastAsia="仿宋" w:cs="仿宋"/>
          <w:color w:val="auto"/>
          <w:highlight w:val="none"/>
        </w:rPr>
      </w:pPr>
    </w:p>
    <w:bookmarkEnd w:id="13"/>
    <w:p w14:paraId="4A7945A2">
      <w:pP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101"/>
      <w:bookmarkEnd w:id="15"/>
      <w:bookmarkStart w:id="16" w:name="_Hlt68057669"/>
      <w:bookmarkEnd w:id="16"/>
      <w:bookmarkStart w:id="17" w:name="_Hlt75236290"/>
      <w:bookmarkEnd w:id="17"/>
      <w:bookmarkStart w:id="18" w:name="_Hlt74729768"/>
      <w:bookmarkEnd w:id="18"/>
      <w:bookmarkStart w:id="19" w:name="_Hlt68073093"/>
      <w:bookmarkEnd w:id="19"/>
      <w:bookmarkStart w:id="20" w:name="_Hlt74730295"/>
      <w:bookmarkEnd w:id="20"/>
      <w:bookmarkStart w:id="21" w:name="_Hlt75236011"/>
      <w:bookmarkEnd w:id="21"/>
      <w:bookmarkStart w:id="22" w:name="_Hlt74707468"/>
      <w:bookmarkEnd w:id="22"/>
      <w:bookmarkStart w:id="23" w:name="_Hlt68072998"/>
      <w:bookmarkEnd w:id="23"/>
      <w:bookmarkStart w:id="24" w:name="_Hlt68403820"/>
      <w:bookmarkEnd w:id="24"/>
      <w:bookmarkStart w:id="25" w:name="_Hlt74714665"/>
      <w:bookmarkEnd w:id="25"/>
      <w:bookmarkStart w:id="26" w:name="_Hlt68072990"/>
      <w:bookmarkEnd w:id="26"/>
    </w:p>
    <w:bookmarkEnd w:id="11"/>
    <w:bookmarkEnd w:id="12"/>
    <w:p w14:paraId="5EB35967">
      <w:pPr>
        <w:spacing w:line="360" w:lineRule="auto"/>
        <w:jc w:val="center"/>
        <w:outlineLvl w:val="0"/>
        <w:rPr>
          <w:rFonts w:hint="eastAsia" w:ascii="仿宋" w:hAnsi="仿宋" w:eastAsia="仿宋" w:cs="仿宋"/>
          <w:b/>
          <w:color w:val="auto"/>
          <w:sz w:val="36"/>
          <w:szCs w:val="36"/>
          <w:highlight w:val="none"/>
        </w:rPr>
      </w:pPr>
      <w:bookmarkStart w:id="27" w:name="第四部分"/>
      <w:r>
        <w:rPr>
          <w:rFonts w:hint="eastAsia" w:ascii="仿宋" w:hAnsi="仿宋" w:eastAsia="仿宋" w:cs="仿宋"/>
          <w:b/>
          <w:color w:val="auto"/>
          <w:sz w:val="36"/>
          <w:szCs w:val="36"/>
          <w:highlight w:val="none"/>
        </w:rPr>
        <w:t>第三部分   采购需求</w:t>
      </w:r>
    </w:p>
    <w:p w14:paraId="7F0708BE">
      <w:pPr>
        <w:spacing w:line="360" w:lineRule="auto"/>
        <w:ind w:firstLine="141" w:firstLineChars="5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一、采购项目概述</w:t>
      </w:r>
    </w:p>
    <w:p w14:paraId="5C0DD8B7">
      <w:pPr>
        <w:spacing w:line="360" w:lineRule="auto"/>
        <w:ind w:firstLine="355" w:firstLineChars="14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本项目为2025年-2028年南苑街道综合养护项目十二标，采购内容主要包括道路保洁、绿化养护、市政、等养护工作。</w:t>
      </w:r>
    </w:p>
    <w:p w14:paraId="4C8F021A">
      <w:pPr>
        <w:numPr>
          <w:ilvl w:val="0"/>
          <w:numId w:val="2"/>
        </w:numPr>
        <w:adjustRightInd/>
        <w:spacing w:line="600" w:lineRule="exac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养护采购清单</w:t>
      </w:r>
    </w:p>
    <w:p w14:paraId="0FBABE3A">
      <w:pPr>
        <w:numPr>
          <w:ilvl w:val="0"/>
          <w:numId w:val="3"/>
        </w:numPr>
        <w:adjustRightInd/>
        <w:spacing w:line="6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本标项按：</w:t>
      </w:r>
      <w:r>
        <w:rPr>
          <w:rFonts w:hint="eastAsia" w:ascii="仿宋" w:hAnsi="仿宋" w:eastAsia="仿宋" w:cs="仿宋"/>
          <w:color w:val="auto"/>
          <w:sz w:val="24"/>
          <w:szCs w:val="24"/>
          <w:highlight w:val="none"/>
          <w:lang w:eastAsia="zh-CN"/>
        </w:rPr>
        <w:t>三类</w:t>
      </w:r>
      <w:r>
        <w:rPr>
          <w:rFonts w:hint="eastAsia" w:ascii="仿宋" w:hAnsi="仿宋" w:eastAsia="仿宋" w:cs="仿宋"/>
          <w:color w:val="auto"/>
          <w:sz w:val="24"/>
          <w:szCs w:val="24"/>
          <w:highlight w:val="none"/>
        </w:rPr>
        <w:t>级道路保洁、</w:t>
      </w:r>
      <w:r>
        <w:rPr>
          <w:rFonts w:hint="eastAsia" w:ascii="仿宋" w:hAnsi="仿宋" w:eastAsia="仿宋" w:cs="仿宋"/>
          <w:color w:val="auto"/>
          <w:sz w:val="24"/>
          <w:szCs w:val="24"/>
          <w:highlight w:val="none"/>
          <w:lang w:eastAsia="zh-CN"/>
        </w:rPr>
        <w:t>三类</w:t>
      </w:r>
      <w:r>
        <w:rPr>
          <w:rFonts w:hint="eastAsia" w:ascii="仿宋" w:hAnsi="仿宋" w:eastAsia="仿宋" w:cs="仿宋"/>
          <w:color w:val="auto"/>
          <w:sz w:val="24"/>
          <w:szCs w:val="24"/>
          <w:highlight w:val="none"/>
        </w:rPr>
        <w:t>级绿地、</w:t>
      </w:r>
      <w:r>
        <w:rPr>
          <w:rFonts w:hint="eastAsia" w:ascii="仿宋" w:hAnsi="仿宋" w:eastAsia="仿宋" w:cs="仿宋"/>
          <w:color w:val="auto"/>
          <w:sz w:val="24"/>
          <w:szCs w:val="24"/>
          <w:highlight w:val="none"/>
          <w:lang w:eastAsia="zh-CN"/>
        </w:rPr>
        <w:t>三类</w:t>
      </w:r>
      <w:r>
        <w:rPr>
          <w:rFonts w:hint="eastAsia" w:ascii="仿宋" w:hAnsi="仿宋" w:eastAsia="仿宋" w:cs="仿宋"/>
          <w:color w:val="auto"/>
          <w:sz w:val="24"/>
          <w:szCs w:val="24"/>
          <w:highlight w:val="none"/>
        </w:rPr>
        <w:t>级市政设施养护标准实施。</w:t>
      </w:r>
    </w:p>
    <w:tbl>
      <w:tblPr>
        <w:tblStyle w:val="62"/>
        <w:tblpPr w:leftFromText="180" w:rightFromText="180" w:vertAnchor="text" w:horzAnchor="page" w:tblpX="1283" w:tblpY="453"/>
        <w:tblOverlap w:val="never"/>
        <w:tblW w:w="99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5"/>
        <w:gridCol w:w="955"/>
        <w:gridCol w:w="1367"/>
        <w:gridCol w:w="1255"/>
        <w:gridCol w:w="1312"/>
        <w:gridCol w:w="1558"/>
        <w:gridCol w:w="1298"/>
        <w:gridCol w:w="1320"/>
      </w:tblGrid>
      <w:tr w14:paraId="53279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7"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2FD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7B5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7EC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起止点</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5AF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道路等级（一二三类）</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425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保洁面积㎡</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CDB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绿化等级</w:t>
            </w:r>
          </w:p>
          <w:p w14:paraId="38DC48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（一二三类）</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E43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绿化面积㎡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2B2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市政面积㎡</w:t>
            </w:r>
          </w:p>
        </w:tc>
      </w:tr>
      <w:tr w14:paraId="036CE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283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AE5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翁万路</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3A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杭浦高速-天万路</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D05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三类</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4ED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9984</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D6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三类</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A89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7A9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9984</w:t>
            </w:r>
          </w:p>
        </w:tc>
      </w:tr>
      <w:tr w14:paraId="166C4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70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E67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羊头坝路东延</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706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临乔路-天万路</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9B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三类</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306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8900</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91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三类</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025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85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8900</w:t>
            </w:r>
          </w:p>
        </w:tc>
      </w:tr>
      <w:tr w14:paraId="28E1A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E26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FD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翁梅街东延</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19D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临乔路-东湖南路</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9B0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三类</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55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21194</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039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三类</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FB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1625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1EA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21194</w:t>
            </w:r>
          </w:p>
        </w:tc>
      </w:tr>
      <w:tr w14:paraId="79679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57F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CED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天万路东延</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282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临乔路-羊头坝港</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0A9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三类</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14A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7912.32</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10C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三类</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9C0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103</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CA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7912.32</w:t>
            </w:r>
          </w:p>
        </w:tc>
      </w:tr>
      <w:tr w14:paraId="28E7E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CEB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099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临乔路</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DE3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鑫业路-杭浦路</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537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三类</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2B2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55734.25</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C7F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三类</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18A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8275.15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CC7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55734.25</w:t>
            </w:r>
          </w:p>
        </w:tc>
      </w:tr>
      <w:tr w14:paraId="65DD8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AB4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679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杭浦辅道</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82D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东湖南路-临乔路</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2E0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四类</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9BD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14774</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6AB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4FB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9EB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r>
      <w:tr w14:paraId="47F80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7"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6B4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960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杭海路</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DFD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下沙酒厂桩号-海宁交界</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C8D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四类</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C01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32975</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32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1C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AE3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32975</w:t>
            </w:r>
          </w:p>
        </w:tc>
      </w:tr>
      <w:tr w14:paraId="2B7D6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ADD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7D6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鑫业路</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808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杭浦高速-临乔路</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D4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三类</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4A6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21877</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A7A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三类</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920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3319</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AD2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21877</w:t>
            </w:r>
          </w:p>
        </w:tc>
      </w:tr>
      <w:tr w14:paraId="693BC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50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BB9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天万路</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7F4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鑫业路-永和路</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E69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三类</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4B3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4745</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9F3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三类</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AB3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185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4745</w:t>
            </w:r>
          </w:p>
        </w:tc>
      </w:tr>
      <w:tr w14:paraId="4EA4C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598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9F4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永和路</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BE2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一号路-万常路</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17F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三类</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729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14709</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70F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三类</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8AB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528</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3D3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14709</w:t>
            </w:r>
          </w:p>
        </w:tc>
      </w:tr>
      <w:tr w14:paraId="0B8A3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7D8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21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万常路</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317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鑫业路-永和路</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358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三类</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317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3917</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942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三类</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77D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3B5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3917</w:t>
            </w:r>
          </w:p>
        </w:tc>
      </w:tr>
      <w:tr w14:paraId="52726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3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E393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90FE">
            <w:pPr>
              <w:jc w:val="center"/>
              <w:rPr>
                <w:rFonts w:hint="eastAsia" w:ascii="仿宋" w:hAnsi="仿宋" w:eastAsia="仿宋" w:cs="仿宋"/>
                <w:i w:val="0"/>
                <w:iCs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8F2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196721.57</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5F8E3">
            <w:pPr>
              <w:jc w:val="center"/>
              <w:rPr>
                <w:rFonts w:hint="eastAsia" w:ascii="仿宋" w:hAnsi="仿宋" w:eastAsia="仿宋" w:cs="仿宋"/>
                <w:i w:val="0"/>
                <w:iCs w:val="0"/>
                <w:color w:val="000000"/>
                <w:sz w:val="24"/>
                <w:szCs w:val="24"/>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0A3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22090.15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89A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181947.57</w:t>
            </w:r>
          </w:p>
        </w:tc>
      </w:tr>
    </w:tbl>
    <w:p w14:paraId="4ED4BFE6">
      <w:pPr>
        <w:pStyle w:val="24"/>
        <w:ind w:left="0" w:leftChars="0" w:firstLine="0" w:firstLineChars="0"/>
        <w:rPr>
          <w:rFonts w:hint="eastAsia" w:ascii="仿宋" w:hAnsi="仿宋" w:eastAsia="仿宋" w:cs="仿宋"/>
          <w:color w:val="auto"/>
          <w:highlight w:val="none"/>
          <w:lang w:val="en-US" w:eastAsia="zh-CN"/>
        </w:rPr>
      </w:pPr>
    </w:p>
    <w:p w14:paraId="68BCA32D">
      <w:pPr>
        <w:numPr>
          <w:ilvl w:val="0"/>
          <w:numId w:val="0"/>
        </w:numPr>
        <w:adjustRightInd/>
        <w:spacing w:line="600" w:lineRule="exact"/>
        <w:rPr>
          <w:rFonts w:hint="eastAsia" w:ascii="仿宋" w:hAnsi="仿宋" w:eastAsia="仿宋" w:cs="仿宋"/>
          <w:b/>
          <w:bCs/>
          <w:color w:val="auto"/>
          <w:sz w:val="28"/>
          <w:szCs w:val="28"/>
          <w:highlight w:val="none"/>
        </w:rPr>
      </w:pPr>
    </w:p>
    <w:p w14:paraId="7585058B">
      <w:pPr>
        <w:numPr>
          <w:ilvl w:val="0"/>
          <w:numId w:val="2"/>
        </w:numPr>
        <w:adjustRightInd/>
        <w:spacing w:line="600" w:lineRule="exac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养护单价最高限价</w:t>
      </w:r>
    </w:p>
    <w:tbl>
      <w:tblPr>
        <w:tblStyle w:val="62"/>
        <w:tblpPr w:leftFromText="180" w:rightFromText="180" w:vertAnchor="text" w:horzAnchor="page" w:tblpX="1388" w:tblpY="462"/>
        <w:tblOverlap w:val="never"/>
        <w:tblW w:w="922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1"/>
        <w:gridCol w:w="1260"/>
        <w:gridCol w:w="810"/>
        <w:gridCol w:w="1770"/>
        <w:gridCol w:w="1935"/>
        <w:gridCol w:w="2745"/>
      </w:tblGrid>
      <w:tr w14:paraId="7F0DB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74F83D">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15F63500">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经费名称</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3D80F781">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单位</w:t>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14:paraId="14CA9CD7">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面积/数量</w:t>
            </w:r>
          </w:p>
        </w:tc>
        <w:tc>
          <w:tcPr>
            <w:tcW w:w="1935" w:type="dxa"/>
            <w:tcBorders>
              <w:top w:val="single" w:color="auto" w:sz="4" w:space="0"/>
              <w:left w:val="single" w:color="auto" w:sz="4" w:space="0"/>
              <w:bottom w:val="single" w:color="auto" w:sz="4" w:space="0"/>
              <w:right w:val="single" w:color="auto" w:sz="4" w:space="0"/>
            </w:tcBorders>
            <w:shd w:val="clear" w:color="auto" w:fill="auto"/>
            <w:vAlign w:val="center"/>
          </w:tcPr>
          <w:p w14:paraId="3396B874">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道路等级</w:t>
            </w:r>
          </w:p>
        </w:tc>
        <w:tc>
          <w:tcPr>
            <w:tcW w:w="2745" w:type="dxa"/>
            <w:tcBorders>
              <w:top w:val="single" w:color="auto" w:sz="4" w:space="0"/>
              <w:left w:val="single" w:color="auto" w:sz="4" w:space="0"/>
              <w:bottom w:val="single" w:color="auto" w:sz="4" w:space="0"/>
              <w:right w:val="single" w:color="auto" w:sz="4" w:space="0"/>
            </w:tcBorders>
            <w:shd w:val="clear" w:color="auto" w:fill="auto"/>
            <w:vAlign w:val="center"/>
          </w:tcPr>
          <w:p w14:paraId="6B3C6C6D">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单项报价最高限价</w:t>
            </w:r>
          </w:p>
        </w:tc>
      </w:tr>
      <w:tr w14:paraId="0C8E3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70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A8C28E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2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3EA62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lang w:val="en-US" w:eastAsia="zh-CN"/>
              </w:rPr>
              <w:t>道路</w:t>
            </w:r>
            <w:r>
              <w:rPr>
                <w:rFonts w:hint="eastAsia" w:ascii="仿宋" w:hAnsi="仿宋" w:eastAsia="仿宋" w:cs="仿宋"/>
                <w:i w:val="0"/>
                <w:iCs w:val="0"/>
                <w:color w:val="auto"/>
                <w:sz w:val="24"/>
                <w:szCs w:val="24"/>
                <w:highlight w:val="none"/>
                <w:u w:val="none"/>
              </w:rPr>
              <w:t>保洁</w:t>
            </w:r>
          </w:p>
        </w:tc>
        <w:tc>
          <w:tcPr>
            <w:tcW w:w="8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D2BDD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5AC10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148972.57</w:t>
            </w:r>
          </w:p>
        </w:tc>
        <w:tc>
          <w:tcPr>
            <w:tcW w:w="1935" w:type="dxa"/>
            <w:tcBorders>
              <w:top w:val="single" w:color="auto" w:sz="4" w:space="0"/>
              <w:left w:val="single" w:color="auto" w:sz="4" w:space="0"/>
              <w:bottom w:val="single" w:color="auto" w:sz="4" w:space="0"/>
              <w:right w:val="single" w:color="auto" w:sz="4" w:space="0"/>
            </w:tcBorders>
            <w:shd w:val="clear" w:color="auto" w:fill="auto"/>
            <w:vAlign w:val="center"/>
          </w:tcPr>
          <w:p w14:paraId="2689425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三类</w:t>
            </w:r>
          </w:p>
        </w:tc>
        <w:tc>
          <w:tcPr>
            <w:tcW w:w="2745" w:type="dxa"/>
            <w:tcBorders>
              <w:top w:val="single" w:color="auto" w:sz="4" w:space="0"/>
              <w:left w:val="single" w:color="auto" w:sz="4" w:space="0"/>
              <w:bottom w:val="single" w:color="auto" w:sz="4" w:space="0"/>
              <w:right w:val="single" w:color="auto" w:sz="4" w:space="0"/>
            </w:tcBorders>
            <w:shd w:val="clear" w:color="auto" w:fill="auto"/>
            <w:vAlign w:val="center"/>
          </w:tcPr>
          <w:p w14:paraId="78ADCBC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最高限价为7.57元/㎡.年</w:t>
            </w:r>
          </w:p>
        </w:tc>
      </w:tr>
      <w:tr w14:paraId="47AA1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trPr>
        <w:tc>
          <w:tcPr>
            <w:tcW w:w="70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CA6D385">
            <w:pPr>
              <w:jc w:val="center"/>
              <w:rPr>
                <w:rFonts w:hint="eastAsia" w:ascii="仿宋" w:hAnsi="仿宋" w:eastAsia="仿宋" w:cs="仿宋"/>
                <w:i w:val="0"/>
                <w:iCs w:val="0"/>
                <w:color w:val="auto"/>
                <w:sz w:val="24"/>
                <w:szCs w:val="24"/>
                <w:highlight w:val="none"/>
                <w:u w:val="none"/>
              </w:rPr>
            </w:pPr>
          </w:p>
        </w:tc>
        <w:tc>
          <w:tcPr>
            <w:tcW w:w="12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E28BE0">
            <w:pPr>
              <w:jc w:val="center"/>
              <w:rPr>
                <w:rFonts w:hint="eastAsia" w:ascii="仿宋" w:hAnsi="仿宋" w:eastAsia="仿宋" w:cs="仿宋"/>
                <w:i w:val="0"/>
                <w:iCs w:val="0"/>
                <w:color w:val="auto"/>
                <w:sz w:val="24"/>
                <w:szCs w:val="24"/>
                <w:highlight w:val="none"/>
                <w:u w:val="none"/>
              </w:rPr>
            </w:pPr>
          </w:p>
        </w:tc>
        <w:tc>
          <w:tcPr>
            <w:tcW w:w="8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58CF56">
            <w:pPr>
              <w:jc w:val="center"/>
              <w:rPr>
                <w:rFonts w:hint="eastAsia" w:ascii="仿宋" w:hAnsi="仿宋" w:eastAsia="仿宋" w:cs="仿宋"/>
                <w:i w:val="0"/>
                <w:iCs w:val="0"/>
                <w:color w:val="auto"/>
                <w:sz w:val="24"/>
                <w:szCs w:val="24"/>
                <w:highlight w:val="none"/>
                <w:u w:val="none"/>
              </w:rPr>
            </w:pP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D22B6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47749</w:t>
            </w:r>
          </w:p>
        </w:tc>
        <w:tc>
          <w:tcPr>
            <w:tcW w:w="1935" w:type="dxa"/>
            <w:tcBorders>
              <w:top w:val="single" w:color="auto" w:sz="4" w:space="0"/>
              <w:left w:val="single" w:color="auto" w:sz="4" w:space="0"/>
              <w:bottom w:val="single" w:color="auto" w:sz="4" w:space="0"/>
              <w:right w:val="single" w:color="auto" w:sz="4" w:space="0"/>
            </w:tcBorders>
            <w:shd w:val="clear" w:color="auto" w:fill="auto"/>
            <w:vAlign w:val="center"/>
          </w:tcPr>
          <w:p w14:paraId="1E0F430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四类</w:t>
            </w:r>
          </w:p>
        </w:tc>
        <w:tc>
          <w:tcPr>
            <w:tcW w:w="2745" w:type="dxa"/>
            <w:tcBorders>
              <w:top w:val="single" w:color="auto" w:sz="4" w:space="0"/>
              <w:left w:val="single" w:color="auto" w:sz="4" w:space="0"/>
              <w:bottom w:val="single" w:color="auto" w:sz="4" w:space="0"/>
              <w:right w:val="single" w:color="auto" w:sz="4" w:space="0"/>
            </w:tcBorders>
            <w:shd w:val="clear" w:color="auto" w:fill="auto"/>
            <w:vAlign w:val="center"/>
          </w:tcPr>
          <w:p w14:paraId="65C162B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最高限价为7.52元/㎡.年</w:t>
            </w:r>
          </w:p>
        </w:tc>
      </w:tr>
      <w:tr w14:paraId="0468B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2C38D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41A1027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rPr>
              <w:t>绿化</w:t>
            </w:r>
            <w:r>
              <w:rPr>
                <w:rFonts w:hint="eastAsia" w:ascii="仿宋" w:hAnsi="仿宋" w:eastAsia="仿宋" w:cs="仿宋"/>
                <w:i w:val="0"/>
                <w:iCs w:val="0"/>
                <w:color w:val="auto"/>
                <w:sz w:val="24"/>
                <w:szCs w:val="24"/>
                <w:highlight w:val="none"/>
                <w:u w:val="none"/>
                <w:lang w:val="en-US" w:eastAsia="zh-CN"/>
              </w:rPr>
              <w:t>养护</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516AE25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B90EF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22090.15</w:t>
            </w:r>
          </w:p>
        </w:tc>
        <w:tc>
          <w:tcPr>
            <w:tcW w:w="1935" w:type="dxa"/>
            <w:tcBorders>
              <w:top w:val="single" w:color="auto" w:sz="4" w:space="0"/>
              <w:left w:val="single" w:color="auto" w:sz="4" w:space="0"/>
              <w:bottom w:val="single" w:color="auto" w:sz="4" w:space="0"/>
              <w:right w:val="single" w:color="auto" w:sz="4" w:space="0"/>
            </w:tcBorders>
            <w:shd w:val="clear" w:color="auto" w:fill="auto"/>
            <w:vAlign w:val="center"/>
          </w:tcPr>
          <w:p w14:paraId="5B56201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三类</w:t>
            </w:r>
          </w:p>
        </w:tc>
        <w:tc>
          <w:tcPr>
            <w:tcW w:w="2745" w:type="dxa"/>
            <w:tcBorders>
              <w:top w:val="single" w:color="auto" w:sz="4" w:space="0"/>
              <w:left w:val="single" w:color="auto" w:sz="4" w:space="0"/>
              <w:bottom w:val="single" w:color="auto" w:sz="4" w:space="0"/>
              <w:right w:val="single" w:color="auto" w:sz="4" w:space="0"/>
            </w:tcBorders>
            <w:shd w:val="clear" w:color="auto" w:fill="auto"/>
            <w:vAlign w:val="center"/>
          </w:tcPr>
          <w:p w14:paraId="339143A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最高限价为3.72元/㎡.年</w:t>
            </w:r>
          </w:p>
        </w:tc>
      </w:tr>
      <w:tr w14:paraId="6D966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90706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68FBDCA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市政</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2077135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3FDBE7">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181947.57</w:t>
            </w:r>
          </w:p>
        </w:tc>
        <w:tc>
          <w:tcPr>
            <w:tcW w:w="1935" w:type="dxa"/>
            <w:tcBorders>
              <w:top w:val="single" w:color="auto" w:sz="4" w:space="0"/>
              <w:left w:val="single" w:color="auto" w:sz="4" w:space="0"/>
              <w:bottom w:val="single" w:color="auto" w:sz="4" w:space="0"/>
              <w:right w:val="single" w:color="auto" w:sz="4" w:space="0"/>
            </w:tcBorders>
            <w:shd w:val="clear" w:color="auto" w:fill="auto"/>
            <w:vAlign w:val="center"/>
          </w:tcPr>
          <w:p w14:paraId="74682AE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w:t>
            </w:r>
          </w:p>
          <w:p w14:paraId="5E04F74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2745" w:type="dxa"/>
            <w:tcBorders>
              <w:top w:val="single" w:color="auto" w:sz="4" w:space="0"/>
              <w:left w:val="single" w:color="auto" w:sz="4" w:space="0"/>
              <w:bottom w:val="single" w:color="auto" w:sz="4" w:space="0"/>
              <w:right w:val="single" w:color="auto" w:sz="4" w:space="0"/>
            </w:tcBorders>
            <w:shd w:val="clear" w:color="auto" w:fill="auto"/>
            <w:vAlign w:val="center"/>
          </w:tcPr>
          <w:p w14:paraId="518DEA7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sz w:val="24"/>
                <w:szCs w:val="24"/>
                <w:highlight w:val="none"/>
                <w:u w:val="none"/>
                <w:lang w:val="en-US"/>
              </w:rPr>
              <w:t>最高限价为</w:t>
            </w:r>
            <w:r>
              <w:rPr>
                <w:rFonts w:hint="eastAsia" w:ascii="仿宋" w:hAnsi="仿宋" w:eastAsia="仿宋" w:cs="仿宋"/>
                <w:i w:val="0"/>
                <w:iCs w:val="0"/>
                <w:color w:val="auto"/>
                <w:sz w:val="24"/>
                <w:szCs w:val="24"/>
                <w:highlight w:val="none"/>
                <w:u w:val="none"/>
                <w:lang w:val="en-US" w:eastAsia="zh-CN"/>
              </w:rPr>
              <w:t>531927.17元/年</w:t>
            </w:r>
            <w:r>
              <w:rPr>
                <w:rFonts w:hint="eastAsia" w:ascii="仿宋" w:hAnsi="仿宋" w:eastAsia="仿宋" w:cs="仿宋"/>
                <w:i w:val="0"/>
                <w:iCs w:val="0"/>
                <w:color w:val="auto"/>
                <w:sz w:val="24"/>
                <w:szCs w:val="24"/>
                <w:highlight w:val="none"/>
                <w:u w:val="none"/>
                <w:lang w:val="en-US"/>
              </w:rPr>
              <w:t>，报价不做竞</w:t>
            </w:r>
            <w:r>
              <w:rPr>
                <w:rFonts w:hint="eastAsia" w:ascii="仿宋" w:hAnsi="仿宋" w:eastAsia="仿宋" w:cs="仿宋"/>
                <w:i w:val="0"/>
                <w:iCs w:val="0"/>
                <w:color w:val="auto"/>
                <w:sz w:val="24"/>
                <w:szCs w:val="24"/>
                <w:highlight w:val="none"/>
                <w:u w:val="none"/>
                <w:lang w:val="en-US"/>
              </w:rPr>
              <w:t>争。</w:t>
            </w:r>
          </w:p>
        </w:tc>
      </w:tr>
    </w:tbl>
    <w:p w14:paraId="2D80E3FE">
      <w:pPr>
        <w:pStyle w:val="23"/>
        <w:rPr>
          <w:rFonts w:hint="eastAsia" w:ascii="仿宋" w:hAnsi="仿宋" w:eastAsia="仿宋" w:cs="仿宋"/>
          <w:color w:val="auto"/>
          <w:highlight w:val="none"/>
        </w:rPr>
      </w:pPr>
    </w:p>
    <w:p w14:paraId="438A494B">
      <w:pPr>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四、最低人员配备要求</w:t>
      </w:r>
    </w:p>
    <w:tbl>
      <w:tblPr>
        <w:tblStyle w:val="62"/>
        <w:tblpPr w:leftFromText="180" w:rightFromText="180" w:vertAnchor="text" w:horzAnchor="page" w:tblpX="1381" w:tblpY="404"/>
        <w:tblOverlap w:val="never"/>
        <w:tblW w:w="92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2243"/>
        <w:gridCol w:w="2724"/>
        <w:gridCol w:w="2756"/>
      </w:tblGrid>
      <w:tr w14:paraId="7DB5A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06" w:type="dxa"/>
          </w:tcPr>
          <w:p w14:paraId="775210CE">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243" w:type="dxa"/>
          </w:tcPr>
          <w:p w14:paraId="660B61F3">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2724" w:type="dxa"/>
          </w:tcPr>
          <w:p w14:paraId="6EF851ED">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面积/数量</w:t>
            </w:r>
          </w:p>
        </w:tc>
        <w:tc>
          <w:tcPr>
            <w:tcW w:w="2756" w:type="dxa"/>
          </w:tcPr>
          <w:p w14:paraId="0313033D">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最低人员配备</w:t>
            </w:r>
          </w:p>
        </w:tc>
      </w:tr>
      <w:tr w14:paraId="27014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06" w:type="dxa"/>
            <w:vAlign w:val="center"/>
          </w:tcPr>
          <w:p w14:paraId="3D0C8240">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243" w:type="dxa"/>
            <w:vAlign w:val="center"/>
          </w:tcPr>
          <w:p w14:paraId="539D49CF">
            <w:pPr>
              <w:keepNext w:val="0"/>
              <w:keepLines w:val="0"/>
              <w:widowControl/>
              <w:suppressLineNumbers w:val="0"/>
              <w:jc w:val="center"/>
              <w:textAlignment w:val="center"/>
              <w:rPr>
                <w:rFonts w:hint="eastAsia" w:ascii="仿宋" w:hAnsi="仿宋" w:eastAsia="仿宋" w:cs="仿宋"/>
                <w:color w:val="auto"/>
                <w:sz w:val="20"/>
                <w:szCs w:val="20"/>
                <w:highlight w:val="none"/>
              </w:rPr>
            </w:pPr>
            <w:r>
              <w:rPr>
                <w:rFonts w:hint="eastAsia" w:ascii="仿宋" w:hAnsi="仿宋" w:eastAsia="仿宋" w:cs="仿宋"/>
                <w:i w:val="0"/>
                <w:iCs w:val="0"/>
                <w:color w:val="auto"/>
                <w:sz w:val="24"/>
                <w:szCs w:val="24"/>
                <w:highlight w:val="none"/>
                <w:u w:val="none"/>
                <w:lang w:val="en-US" w:eastAsia="zh-CN"/>
              </w:rPr>
              <w:t>道路</w:t>
            </w:r>
            <w:r>
              <w:rPr>
                <w:rFonts w:hint="eastAsia" w:ascii="仿宋" w:hAnsi="仿宋" w:eastAsia="仿宋" w:cs="仿宋"/>
                <w:i w:val="0"/>
                <w:iCs w:val="0"/>
                <w:color w:val="auto"/>
                <w:sz w:val="24"/>
                <w:szCs w:val="24"/>
                <w:highlight w:val="none"/>
                <w:u w:val="none"/>
              </w:rPr>
              <w:t>保洁</w:t>
            </w:r>
          </w:p>
        </w:tc>
        <w:tc>
          <w:tcPr>
            <w:tcW w:w="2724" w:type="dxa"/>
            <w:vAlign w:val="center"/>
          </w:tcPr>
          <w:p w14:paraId="06E37A37">
            <w:pPr>
              <w:widowControl/>
              <w:jc w:val="center"/>
              <w:textAlignment w:val="center"/>
              <w:rPr>
                <w:rFonts w:hint="eastAsia" w:ascii="仿宋" w:hAnsi="仿宋" w:eastAsia="仿宋" w:cs="仿宋"/>
                <w:color w:val="auto"/>
                <w:sz w:val="22"/>
                <w:highlight w:val="none"/>
              </w:rPr>
            </w:pPr>
            <w:r>
              <w:rPr>
                <w:rFonts w:hint="eastAsia" w:ascii="仿宋" w:hAnsi="仿宋" w:eastAsia="仿宋" w:cs="仿宋"/>
                <w:color w:val="auto"/>
                <w:kern w:val="0"/>
                <w:sz w:val="24"/>
                <w:szCs w:val="24"/>
                <w:highlight w:val="none"/>
              </w:rPr>
              <w:t>196721.57㎡</w:t>
            </w:r>
          </w:p>
        </w:tc>
        <w:tc>
          <w:tcPr>
            <w:tcW w:w="2756" w:type="dxa"/>
          </w:tcPr>
          <w:p w14:paraId="6597C759">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rPr>
              <w:t>人</w:t>
            </w:r>
          </w:p>
        </w:tc>
      </w:tr>
      <w:tr w14:paraId="45513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06" w:type="dxa"/>
            <w:vAlign w:val="center"/>
          </w:tcPr>
          <w:p w14:paraId="0419CFE1">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2243" w:type="dxa"/>
            <w:vAlign w:val="center"/>
          </w:tcPr>
          <w:p w14:paraId="135D1A61">
            <w:pPr>
              <w:keepNext w:val="0"/>
              <w:keepLines w:val="0"/>
              <w:widowControl/>
              <w:suppressLineNumbers w:val="0"/>
              <w:jc w:val="center"/>
              <w:textAlignment w:val="center"/>
              <w:rPr>
                <w:rFonts w:hint="eastAsia" w:ascii="仿宋" w:hAnsi="仿宋" w:eastAsia="仿宋" w:cs="仿宋"/>
                <w:color w:val="auto"/>
                <w:sz w:val="20"/>
                <w:szCs w:val="20"/>
                <w:highlight w:val="none"/>
              </w:rPr>
            </w:pPr>
            <w:r>
              <w:rPr>
                <w:rFonts w:hint="eastAsia" w:ascii="仿宋" w:hAnsi="仿宋" w:eastAsia="仿宋" w:cs="仿宋"/>
                <w:i w:val="0"/>
                <w:iCs w:val="0"/>
                <w:color w:val="auto"/>
                <w:sz w:val="24"/>
                <w:szCs w:val="24"/>
                <w:highlight w:val="none"/>
                <w:u w:val="none"/>
              </w:rPr>
              <w:t>绿化</w:t>
            </w:r>
            <w:r>
              <w:rPr>
                <w:rFonts w:hint="eastAsia" w:ascii="仿宋" w:hAnsi="仿宋" w:eastAsia="仿宋" w:cs="仿宋"/>
                <w:i w:val="0"/>
                <w:iCs w:val="0"/>
                <w:color w:val="auto"/>
                <w:sz w:val="24"/>
                <w:szCs w:val="24"/>
                <w:highlight w:val="none"/>
                <w:u w:val="none"/>
                <w:lang w:val="en-US" w:eastAsia="zh-CN"/>
              </w:rPr>
              <w:t>养护</w:t>
            </w:r>
          </w:p>
        </w:tc>
        <w:tc>
          <w:tcPr>
            <w:tcW w:w="2724" w:type="dxa"/>
            <w:vAlign w:val="center"/>
          </w:tcPr>
          <w:p w14:paraId="6AE94AEE">
            <w:pPr>
              <w:widowControl/>
              <w:jc w:val="center"/>
              <w:textAlignment w:val="center"/>
              <w:rPr>
                <w:rFonts w:hint="eastAsia" w:ascii="仿宋" w:hAnsi="仿宋" w:eastAsia="仿宋" w:cs="仿宋"/>
                <w:color w:val="auto"/>
                <w:sz w:val="22"/>
                <w:highlight w:val="none"/>
              </w:rPr>
            </w:pPr>
            <w:r>
              <w:rPr>
                <w:rFonts w:hint="eastAsia" w:ascii="仿宋" w:hAnsi="仿宋" w:eastAsia="仿宋" w:cs="仿宋"/>
                <w:color w:val="auto"/>
                <w:sz w:val="24"/>
                <w:szCs w:val="24"/>
                <w:highlight w:val="none"/>
              </w:rPr>
              <w:t>220</w:t>
            </w:r>
            <w:r>
              <w:rPr>
                <w:rFonts w:hint="eastAsia" w:ascii="仿宋" w:hAnsi="仿宋" w:eastAsia="仿宋" w:cs="仿宋"/>
                <w:i w:val="0"/>
                <w:iCs w:val="0"/>
                <w:color w:val="auto"/>
                <w:kern w:val="0"/>
                <w:sz w:val="24"/>
                <w:szCs w:val="24"/>
                <w:highlight w:val="none"/>
                <w:u w:val="none"/>
                <w:lang w:val="en-US" w:eastAsia="zh-CN" w:bidi="ar"/>
              </w:rPr>
              <w:t>90.15</w:t>
            </w:r>
            <w:r>
              <w:rPr>
                <w:rFonts w:hint="eastAsia" w:ascii="仿宋" w:hAnsi="仿宋" w:eastAsia="仿宋" w:cs="仿宋"/>
                <w:color w:val="auto"/>
                <w:sz w:val="24"/>
                <w:szCs w:val="24"/>
                <w:highlight w:val="none"/>
              </w:rPr>
              <w:t>㎡</w:t>
            </w:r>
          </w:p>
        </w:tc>
        <w:tc>
          <w:tcPr>
            <w:tcW w:w="2756" w:type="dxa"/>
          </w:tcPr>
          <w:p w14:paraId="787C69D5">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人</w:t>
            </w:r>
          </w:p>
        </w:tc>
      </w:tr>
      <w:tr w14:paraId="37561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06" w:type="dxa"/>
            <w:vAlign w:val="center"/>
          </w:tcPr>
          <w:p w14:paraId="005D8CB6">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2243" w:type="dxa"/>
            <w:vAlign w:val="center"/>
          </w:tcPr>
          <w:p w14:paraId="11B38CFE">
            <w:pPr>
              <w:keepNext w:val="0"/>
              <w:keepLines w:val="0"/>
              <w:widowControl/>
              <w:suppressLineNumbers w:val="0"/>
              <w:jc w:val="center"/>
              <w:textAlignment w:val="center"/>
              <w:rPr>
                <w:rFonts w:hint="eastAsia" w:ascii="仿宋" w:hAnsi="仿宋" w:eastAsia="仿宋" w:cs="仿宋"/>
                <w:color w:val="auto"/>
                <w:sz w:val="20"/>
                <w:szCs w:val="20"/>
                <w:highlight w:val="none"/>
              </w:rPr>
            </w:pPr>
            <w:r>
              <w:rPr>
                <w:rFonts w:hint="eastAsia" w:ascii="仿宋" w:hAnsi="仿宋" w:eastAsia="仿宋" w:cs="仿宋"/>
                <w:i w:val="0"/>
                <w:iCs w:val="0"/>
                <w:color w:val="auto"/>
                <w:sz w:val="24"/>
                <w:szCs w:val="24"/>
                <w:highlight w:val="none"/>
                <w:u w:val="none"/>
                <w:lang w:val="en-US" w:eastAsia="zh-CN"/>
              </w:rPr>
              <w:t>市政</w:t>
            </w:r>
          </w:p>
        </w:tc>
        <w:tc>
          <w:tcPr>
            <w:tcW w:w="2724" w:type="dxa"/>
            <w:vAlign w:val="center"/>
          </w:tcPr>
          <w:p w14:paraId="739F11A8">
            <w:pPr>
              <w:widowControl/>
              <w:jc w:val="center"/>
              <w:textAlignment w:val="center"/>
              <w:rPr>
                <w:rFonts w:hint="eastAsia" w:ascii="仿宋" w:hAnsi="仿宋" w:eastAsia="仿宋" w:cs="仿宋"/>
                <w:color w:val="auto"/>
                <w:sz w:val="22"/>
                <w:highlight w:val="none"/>
              </w:rPr>
            </w:pPr>
            <w:r>
              <w:rPr>
                <w:rFonts w:hint="eastAsia" w:ascii="仿宋" w:hAnsi="仿宋" w:eastAsia="仿宋" w:cs="仿宋"/>
                <w:color w:val="auto"/>
                <w:sz w:val="24"/>
                <w:szCs w:val="24"/>
                <w:highlight w:val="none"/>
              </w:rPr>
              <w:t>181947.57㎡</w:t>
            </w:r>
          </w:p>
        </w:tc>
        <w:tc>
          <w:tcPr>
            <w:tcW w:w="2756" w:type="dxa"/>
          </w:tcPr>
          <w:p w14:paraId="4C635CBF">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人</w:t>
            </w:r>
          </w:p>
        </w:tc>
      </w:tr>
    </w:tbl>
    <w:p w14:paraId="4FA77957">
      <w:pPr>
        <w:spacing w:line="360" w:lineRule="auto"/>
        <w:rPr>
          <w:rFonts w:hint="eastAsia" w:ascii="仿宋" w:hAnsi="仿宋" w:eastAsia="仿宋" w:cs="仿宋"/>
          <w:b/>
          <w:bCs/>
          <w:color w:val="auto"/>
          <w:sz w:val="28"/>
          <w:szCs w:val="28"/>
          <w:highlight w:val="none"/>
        </w:rPr>
      </w:pPr>
    </w:p>
    <w:p w14:paraId="09224593">
      <w:pPr>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五、投标报价说明</w:t>
      </w:r>
    </w:p>
    <w:p w14:paraId="4729A6F6">
      <w:pPr>
        <w:snapToGrid w:val="0"/>
        <w:spacing w:line="360" w:lineRule="auto"/>
        <w:ind w:firstLine="472" w:firstLineChars="196"/>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投标报价包括三年的综合养护费（道路保洁、绿化养护、市政、等费用）。</w:t>
      </w:r>
    </w:p>
    <w:p w14:paraId="0893DF1C">
      <w:pPr>
        <w:snapToGrid w:val="0"/>
        <w:spacing w:line="360" w:lineRule="auto"/>
        <w:ind w:firstLine="480" w:firstLineChars="200"/>
        <w:jc w:val="left"/>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1、市政费用按暂定价</w:t>
      </w:r>
      <w:r>
        <w:rPr>
          <w:rFonts w:hint="eastAsia" w:ascii="仿宋" w:hAnsi="仿宋" w:eastAsia="仿宋" w:cs="仿宋"/>
          <w:color w:val="auto"/>
          <w:sz w:val="24"/>
          <w:szCs w:val="24"/>
          <w:highlight w:val="none"/>
          <w:lang w:eastAsia="zh-CN"/>
        </w:rPr>
        <w:t>531927.17元/年</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1595781.51</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3年</w:t>
      </w:r>
      <w:r>
        <w:rPr>
          <w:rFonts w:hint="eastAsia" w:ascii="仿宋" w:hAnsi="仿宋" w:eastAsia="仿宋" w:cs="仿宋"/>
          <w:color w:val="auto"/>
          <w:sz w:val="24"/>
          <w:szCs w:val="24"/>
          <w:highlight w:val="none"/>
        </w:rPr>
        <w:t>计入报价，报价不做竞争。</w:t>
      </w:r>
    </w:p>
    <w:p w14:paraId="66DB1284">
      <w:pPr>
        <w:snapToGrid w:val="0"/>
        <w:spacing w:line="360" w:lineRule="auto"/>
        <w:ind w:firstLine="470" w:firstLineChars="19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、道路保洁、绿化养护等费用由供应商自主报价，报价不得超过单价最高限价及本项目最高限价。</w:t>
      </w:r>
    </w:p>
    <w:p w14:paraId="6940348E">
      <w:pPr>
        <w:snapToGrid w:val="0"/>
        <w:spacing w:line="360" w:lineRule="auto"/>
        <w:ind w:firstLine="470" w:firstLineChars="19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、绿化养护费用包括：（1）日常养护费（绿化养护费的70%）、更新改造费（绿化养护费的30%）。</w:t>
      </w:r>
    </w:p>
    <w:p w14:paraId="71228357">
      <w:pPr>
        <w:snapToGrid w:val="0"/>
        <w:spacing w:line="360" w:lineRule="auto"/>
        <w:ind w:firstLine="470" w:firstLineChars="19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.1日常养护费包含：绿化养护人工工资、专项费用（绿化施肥费、绿化浇水费、绿化防病防虫用药费、绿化零星补植费、防台抗雪等应急物资储备费、其他费等费用）；</w:t>
      </w:r>
    </w:p>
    <w:p w14:paraId="22A5DB3E">
      <w:pPr>
        <w:snapToGrid w:val="0"/>
        <w:spacing w:line="360" w:lineRule="auto"/>
        <w:ind w:firstLine="470" w:firstLineChars="19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.1.1</w:t>
      </w:r>
      <w:r>
        <w:rPr>
          <w:rFonts w:hint="eastAsia" w:ascii="仿宋" w:hAnsi="仿宋" w:eastAsia="仿宋" w:cs="仿宋"/>
          <w:b/>
          <w:bCs/>
          <w:color w:val="auto"/>
          <w:sz w:val="24"/>
          <w:szCs w:val="24"/>
          <w:highlight w:val="none"/>
        </w:rPr>
        <w:t>绿化施肥费：</w:t>
      </w:r>
      <w:r>
        <w:rPr>
          <w:rFonts w:hint="eastAsia" w:ascii="仿宋" w:hAnsi="仿宋" w:eastAsia="仿宋" w:cs="仿宋"/>
          <w:color w:val="auto"/>
          <w:sz w:val="24"/>
          <w:szCs w:val="24"/>
          <w:highlight w:val="none"/>
        </w:rPr>
        <w:t>每年施肥不少于2次，平日应及时追肥，确保绿化生长所必需的养分，用有机肥或复合肥0.5kg／㎡；</w:t>
      </w:r>
    </w:p>
    <w:p w14:paraId="0A823CF5">
      <w:pPr>
        <w:snapToGrid w:val="0"/>
        <w:spacing w:line="360" w:lineRule="auto"/>
        <w:ind w:firstLine="470" w:firstLineChars="19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.1.2</w:t>
      </w:r>
      <w:r>
        <w:rPr>
          <w:rFonts w:hint="eastAsia" w:ascii="仿宋" w:hAnsi="仿宋" w:eastAsia="仿宋" w:cs="仿宋"/>
          <w:b/>
          <w:bCs/>
          <w:color w:val="auto"/>
          <w:sz w:val="24"/>
          <w:szCs w:val="24"/>
          <w:highlight w:val="none"/>
        </w:rPr>
        <w:t>绿化浇水费：</w:t>
      </w:r>
      <w:r>
        <w:rPr>
          <w:rFonts w:hint="eastAsia" w:ascii="仿宋" w:hAnsi="仿宋" w:eastAsia="仿宋" w:cs="仿宋"/>
          <w:color w:val="auto"/>
          <w:sz w:val="24"/>
          <w:szCs w:val="24"/>
          <w:highlight w:val="none"/>
        </w:rPr>
        <w:t>养护企业需及时发现、及时补充绿化所需水份。天气炎热时，养护企业应抗旱保绿工作，及时给喜阴植物搭建遮阴网，确保绿化不因缺水死亡，并及时交纳绿化水费；</w:t>
      </w:r>
    </w:p>
    <w:p w14:paraId="056CD597">
      <w:pPr>
        <w:snapToGrid w:val="0"/>
        <w:spacing w:line="360" w:lineRule="auto"/>
        <w:ind w:firstLine="470" w:firstLineChars="19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.1.3</w:t>
      </w:r>
      <w:r>
        <w:rPr>
          <w:rFonts w:hint="eastAsia" w:ascii="仿宋" w:hAnsi="仿宋" w:eastAsia="仿宋" w:cs="仿宋"/>
          <w:b/>
          <w:bCs/>
          <w:color w:val="auto"/>
          <w:sz w:val="24"/>
          <w:szCs w:val="24"/>
          <w:highlight w:val="none"/>
        </w:rPr>
        <w:t>绿化防病防虫用药费：</w:t>
      </w:r>
      <w:r>
        <w:rPr>
          <w:rFonts w:hint="eastAsia" w:ascii="仿宋" w:hAnsi="仿宋" w:eastAsia="仿宋" w:cs="仿宋"/>
          <w:color w:val="auto"/>
          <w:sz w:val="24"/>
          <w:szCs w:val="24"/>
          <w:highlight w:val="none"/>
        </w:rPr>
        <w:t>要求综合防治，以防为主。病虫害危害应控制在以不影响观赏效果的范围之内，其中食叶性害虫危害的叶片，每株不超过5%；刺吸性害虫危害的叶片，每株不超过10%；无蛀干性害虫的活虫、活卵；</w:t>
      </w:r>
    </w:p>
    <w:p w14:paraId="1888BC1D">
      <w:pPr>
        <w:snapToGrid w:val="0"/>
        <w:spacing w:line="360" w:lineRule="auto"/>
        <w:ind w:firstLine="470" w:firstLineChars="19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.1.4</w:t>
      </w:r>
      <w:r>
        <w:rPr>
          <w:rFonts w:hint="eastAsia" w:ascii="仿宋" w:hAnsi="仿宋" w:eastAsia="仿宋" w:cs="仿宋"/>
          <w:b/>
          <w:bCs/>
          <w:color w:val="auto"/>
          <w:sz w:val="24"/>
          <w:szCs w:val="24"/>
          <w:highlight w:val="none"/>
        </w:rPr>
        <w:t>绿化零星补植费：</w:t>
      </w:r>
      <w:r>
        <w:rPr>
          <w:rFonts w:hint="eastAsia" w:ascii="仿宋" w:hAnsi="仿宋" w:eastAsia="仿宋" w:cs="仿宋"/>
          <w:color w:val="auto"/>
          <w:sz w:val="24"/>
          <w:szCs w:val="24"/>
          <w:highlight w:val="none"/>
        </w:rPr>
        <w:t xml:space="preserve">因企业养护不力引起乔木死枯株，或灌木（草坪）枯死株面积在10㎡/处以下，养护企业应无条件进行补植相同品种的苗木； </w:t>
      </w:r>
    </w:p>
    <w:p w14:paraId="773BE7C5">
      <w:pPr>
        <w:snapToGrid w:val="0"/>
        <w:spacing w:line="360" w:lineRule="auto"/>
        <w:ind w:firstLine="470" w:firstLineChars="19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.1.5</w:t>
      </w:r>
      <w:r>
        <w:rPr>
          <w:rFonts w:hint="eastAsia" w:ascii="仿宋" w:hAnsi="仿宋" w:eastAsia="仿宋" w:cs="仿宋"/>
          <w:b/>
          <w:bCs/>
          <w:color w:val="auto"/>
          <w:sz w:val="24"/>
          <w:szCs w:val="24"/>
          <w:highlight w:val="none"/>
        </w:rPr>
        <w:t>防台抗雪应急物资储备费：</w:t>
      </w:r>
      <w:r>
        <w:rPr>
          <w:rFonts w:hint="eastAsia" w:ascii="仿宋" w:hAnsi="仿宋" w:eastAsia="仿宋" w:cs="仿宋"/>
          <w:color w:val="auto"/>
          <w:sz w:val="24"/>
          <w:szCs w:val="24"/>
          <w:highlight w:val="none"/>
        </w:rPr>
        <w:t>绿化养护企业重点做好绿化养护中抗旱遮阴网、防台抗台毛竹和快速支撑钢管、抗雪竹竿等物资储备和响应工作，其中快速支撑钢管只能做为一部分应急物资储备，不是唯一的抗台应急物资。</w:t>
      </w:r>
    </w:p>
    <w:p w14:paraId="07AC5455">
      <w:pPr>
        <w:snapToGrid w:val="0"/>
        <w:spacing w:line="360" w:lineRule="auto"/>
        <w:ind w:firstLine="470" w:firstLineChars="19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.1.6</w:t>
      </w:r>
      <w:r>
        <w:rPr>
          <w:rFonts w:hint="eastAsia" w:ascii="仿宋" w:hAnsi="仿宋" w:eastAsia="仿宋" w:cs="仿宋"/>
          <w:b/>
          <w:bCs/>
          <w:color w:val="auto"/>
          <w:sz w:val="24"/>
          <w:szCs w:val="24"/>
          <w:highlight w:val="none"/>
        </w:rPr>
        <w:t>其他费：</w:t>
      </w:r>
      <w:r>
        <w:rPr>
          <w:rFonts w:hint="eastAsia" w:ascii="仿宋" w:hAnsi="仿宋" w:eastAsia="仿宋" w:cs="仿宋"/>
          <w:color w:val="auto"/>
          <w:sz w:val="24"/>
          <w:szCs w:val="24"/>
          <w:highlight w:val="none"/>
        </w:rPr>
        <w:t>主要是项目实施过程中须由投标单位支付的其他所有费用，如养护期限内采购人直接委托中标单位养护管理的本项目3%以下工程量的公共绿地（含新接收公共绿地）费用、管理费用及税金、合同实施过程中不可预见的费用等。</w:t>
      </w:r>
    </w:p>
    <w:p w14:paraId="4F874B9C">
      <w:pPr>
        <w:snapToGrid w:val="0"/>
        <w:spacing w:line="360" w:lineRule="auto"/>
        <w:ind w:firstLine="470" w:firstLineChars="196"/>
        <w:jc w:val="left"/>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.2</w:t>
      </w:r>
      <w:r>
        <w:rPr>
          <w:rFonts w:hint="eastAsia" w:ascii="仿宋" w:hAnsi="仿宋" w:eastAsia="仿宋" w:cs="仿宋"/>
          <w:b/>
          <w:bCs/>
          <w:color w:val="auto"/>
          <w:sz w:val="24"/>
          <w:szCs w:val="24"/>
          <w:highlight w:val="none"/>
        </w:rPr>
        <w:t>更新改造费（绿化养护费的30%）</w:t>
      </w:r>
      <w:r>
        <w:rPr>
          <w:rFonts w:hint="eastAsia" w:ascii="仿宋" w:hAnsi="仿宋" w:eastAsia="仿宋" w:cs="仿宋"/>
          <w:color w:val="auto"/>
          <w:sz w:val="24"/>
          <w:szCs w:val="24"/>
          <w:highlight w:val="none"/>
        </w:rPr>
        <w:t>包括：本项目绿地50㎡（含）以上的绿地改造、长势不良乔木更换，但日常养护费、养护设备购置及消耗、应急物资（含快速支撑钢管）、零星整改（含修缮公园景观设施、更换灯具配件、常绿草坪播种、养护抄告问题整改）的所需费用不纳入更新改造费。</w:t>
      </w:r>
    </w:p>
    <w:p w14:paraId="3AB604FB">
      <w:pPr>
        <w:numPr>
          <w:ilvl w:val="0"/>
          <w:numId w:val="0"/>
        </w:numPr>
        <w:snapToGrid w:val="0"/>
        <w:spacing w:line="360" w:lineRule="auto"/>
        <w:ind w:firstLine="480" w:firstLineChars="200"/>
        <w:jc w:val="left"/>
        <w:rPr>
          <w:rFonts w:hint="eastAsia" w:ascii="仿宋" w:hAnsi="仿宋" w:eastAsia="仿宋" w:cs="仿宋"/>
          <w:b/>
          <w:bCs/>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4、</w:t>
      </w:r>
      <w:r>
        <w:rPr>
          <w:rFonts w:hint="eastAsia" w:ascii="仿宋" w:hAnsi="仿宋" w:eastAsia="仿宋" w:cs="仿宋"/>
          <w:color w:val="auto"/>
          <w:kern w:val="0"/>
          <w:sz w:val="24"/>
          <w:szCs w:val="24"/>
          <w:highlight w:val="none"/>
        </w:rPr>
        <w:t>根据《杭州市人民政府关于调整市区最低工资标准的通知》（杭政函[2021]69号），项目人员工资不得低于杭州市最低工资标准相关工资要求，日常加班工资按劳动法相关要求另行计算</w:t>
      </w:r>
      <w:r>
        <w:rPr>
          <w:rFonts w:hint="eastAsia" w:ascii="仿宋" w:hAnsi="仿宋" w:eastAsia="仿宋" w:cs="仿宋"/>
          <w:b/>
          <w:bCs/>
          <w:color w:val="auto"/>
          <w:kern w:val="0"/>
          <w:sz w:val="24"/>
          <w:szCs w:val="24"/>
          <w:highlight w:val="none"/>
        </w:rPr>
        <w:t>。</w:t>
      </w:r>
    </w:p>
    <w:p w14:paraId="65AD3075">
      <w:pPr>
        <w:pStyle w:val="23"/>
        <w:numPr>
          <w:ilvl w:val="0"/>
          <w:numId w:val="0"/>
        </w:numPr>
        <w:rPr>
          <w:rFonts w:hint="eastAsia" w:ascii="仿宋" w:hAnsi="仿宋" w:eastAsia="仿宋" w:cs="仿宋"/>
          <w:b/>
          <w:bCs/>
          <w:color w:val="auto"/>
          <w:sz w:val="28"/>
          <w:szCs w:val="28"/>
          <w:highlight w:val="none"/>
        </w:rPr>
      </w:pPr>
      <w:r>
        <w:rPr>
          <w:rFonts w:hint="eastAsia" w:ascii="仿宋" w:hAnsi="仿宋" w:eastAsia="仿宋" w:cs="仿宋"/>
          <w:color w:val="auto"/>
          <w:highlight w:val="none"/>
          <w:lang w:val="en-US" w:eastAsia="zh-CN"/>
        </w:rPr>
        <w:t xml:space="preserve">   </w:t>
      </w:r>
      <w:r>
        <w:rPr>
          <w:rFonts w:hint="eastAsia" w:ascii="仿宋" w:hAnsi="仿宋" w:eastAsia="仿宋" w:cs="仿宋"/>
          <w:b/>
          <w:bCs/>
          <w:color w:val="auto"/>
          <w:highlight w:val="none"/>
          <w:lang w:val="en-US" w:eastAsia="zh-CN"/>
        </w:rPr>
        <w:t xml:space="preserve"> 5、</w:t>
      </w:r>
      <w:r>
        <w:rPr>
          <w:rFonts w:hint="eastAsia" w:ascii="仿宋" w:hAnsi="仿宋" w:eastAsia="仿宋" w:cs="仿宋"/>
          <w:b/>
          <w:bCs/>
          <w:color w:val="auto"/>
          <w:sz w:val="24"/>
          <w:szCs w:val="24"/>
          <w:highlight w:val="none"/>
          <w:lang w:val="en-US" w:eastAsia="zh-CN"/>
        </w:rPr>
        <w:t>按照《杭州市人民政府办公厅关于进一步解决环卫工人实际困难 保障其合法权益的意见》（〔2008〕14号）文件精神，环卫工人工资不得低于文件规定的工资标准，落实职工劳保福利待遇。</w:t>
      </w:r>
    </w:p>
    <w:p w14:paraId="1144ED4C">
      <w:pPr>
        <w:snapToGrid w:val="0"/>
        <w:spacing w:line="360" w:lineRule="auto"/>
        <w:ind w:firstLine="551" w:firstLineChars="196"/>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六、管养标准、考核办法及奖惩制度</w:t>
      </w:r>
    </w:p>
    <w:p w14:paraId="37868079">
      <w:pPr>
        <w:keepNext w:val="0"/>
        <w:keepLines w:val="0"/>
        <w:widowControl/>
        <w:suppressLineNumbers w:val="0"/>
        <w:spacing w:line="360" w:lineRule="auto"/>
        <w:ind w:firstLine="720" w:firstLineChars="3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依据</w:t>
      </w:r>
      <w:r>
        <w:rPr>
          <w:rFonts w:hint="eastAsia" w:ascii="仿宋" w:hAnsi="仿宋" w:eastAsia="仿宋" w:cs="仿宋"/>
          <w:color w:val="auto"/>
          <w:kern w:val="0"/>
          <w:sz w:val="24"/>
          <w:szCs w:val="24"/>
          <w:highlight w:val="none"/>
          <w:lang w:val="en-US" w:eastAsia="zh-CN"/>
        </w:rPr>
        <w:t>临平城组办〔2022〕8 号关于印发《2022 年临平区城市管理工作考核办法》的通知</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临平城组办〔2023〕2号</w:t>
      </w:r>
      <w:r>
        <w:rPr>
          <w:rFonts w:hint="eastAsia" w:ascii="仿宋" w:hAnsi="仿宋" w:eastAsia="仿宋" w:cs="仿宋"/>
          <w:color w:val="auto"/>
          <w:kern w:val="0"/>
          <w:sz w:val="24"/>
          <w:szCs w:val="24"/>
          <w:highlight w:val="none"/>
          <w:lang w:eastAsia="zh-CN"/>
        </w:rPr>
        <w:t>关于</w:t>
      </w:r>
      <w:r>
        <w:rPr>
          <w:rFonts w:hint="eastAsia" w:ascii="仿宋" w:hAnsi="仿宋" w:eastAsia="仿宋" w:cs="仿宋"/>
          <w:color w:val="auto"/>
          <w:kern w:val="0"/>
          <w:sz w:val="24"/>
          <w:szCs w:val="24"/>
          <w:highlight w:val="none"/>
        </w:rPr>
        <w:t>印发《</w:t>
      </w:r>
      <w:r>
        <w:rPr>
          <w:rFonts w:hint="eastAsia" w:ascii="仿宋" w:hAnsi="仿宋" w:eastAsia="仿宋" w:cs="仿宋"/>
          <w:color w:val="auto"/>
          <w:kern w:val="0"/>
          <w:sz w:val="24"/>
          <w:szCs w:val="24"/>
          <w:highlight w:val="none"/>
          <w:lang w:eastAsia="zh-CN"/>
        </w:rPr>
        <w:t>临平</w:t>
      </w:r>
      <w:r>
        <w:rPr>
          <w:rFonts w:hint="eastAsia" w:ascii="仿宋" w:hAnsi="仿宋" w:eastAsia="仿宋" w:cs="仿宋"/>
          <w:color w:val="auto"/>
          <w:kern w:val="0"/>
          <w:sz w:val="24"/>
          <w:szCs w:val="24"/>
          <w:highlight w:val="none"/>
        </w:rPr>
        <w:t>区城市管理范围内洁化、市政亮化、绿化、序化分级分类及考核办法》的通知</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临平城组办〔2022〕9 号关于印发《临平区市政绿化亮灯保洁设施养护 标准》的通知</w:t>
      </w:r>
      <w:r>
        <w:rPr>
          <w:rFonts w:hint="eastAsia" w:ascii="仿宋" w:hAnsi="仿宋" w:eastAsia="仿宋" w:cs="仿宋"/>
          <w:color w:val="auto"/>
          <w:kern w:val="0"/>
          <w:sz w:val="24"/>
          <w:szCs w:val="24"/>
          <w:highlight w:val="none"/>
        </w:rPr>
        <w:t>执行，如上级主管或本区有新文件的，按新文件执行，</w:t>
      </w:r>
      <w:bookmarkStart w:id="28" w:name="_Toc22905_WPSOffice_Level1"/>
      <w:bookmarkStart w:id="29" w:name="_Toc7823_WPSOffice_Level1"/>
      <w:bookmarkStart w:id="30" w:name="_Toc1907_WPSOffice_Level1"/>
      <w:r>
        <w:rPr>
          <w:rFonts w:hint="eastAsia" w:ascii="仿宋" w:hAnsi="仿宋" w:eastAsia="仿宋" w:cs="仿宋"/>
          <w:color w:val="auto"/>
          <w:kern w:val="0"/>
          <w:sz w:val="24"/>
          <w:szCs w:val="24"/>
          <w:highlight w:val="none"/>
        </w:rPr>
        <w:t>综合养护标准</w:t>
      </w:r>
      <w:bookmarkEnd w:id="28"/>
      <w:bookmarkEnd w:id="29"/>
      <w:bookmarkEnd w:id="30"/>
      <w:r>
        <w:rPr>
          <w:rFonts w:hint="eastAsia" w:ascii="仿宋" w:hAnsi="仿宋" w:eastAsia="仿宋" w:cs="仿宋"/>
          <w:color w:val="auto"/>
          <w:kern w:val="0"/>
          <w:sz w:val="24"/>
          <w:szCs w:val="24"/>
          <w:highlight w:val="none"/>
        </w:rPr>
        <w:t>具体如下：</w:t>
      </w:r>
    </w:p>
    <w:p w14:paraId="29D9B249">
      <w:pPr>
        <w:snapToGrid w:val="0"/>
        <w:spacing w:line="360" w:lineRule="auto"/>
        <w:ind w:firstLine="472" w:firstLineChars="196"/>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（一）道路保洁标准、考核办法等</w:t>
      </w:r>
    </w:p>
    <w:p w14:paraId="0590F7F7">
      <w:pPr>
        <w:snapToGrid w:val="0"/>
        <w:spacing w:line="360" w:lineRule="auto"/>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1、道路保洁相关要求</w:t>
      </w:r>
    </w:p>
    <w:p w14:paraId="1814BF3D">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1.1本项目各标项</w:t>
      </w:r>
      <w:r>
        <w:rPr>
          <w:rFonts w:hint="eastAsia" w:ascii="仿宋" w:hAnsi="仿宋" w:eastAsia="仿宋" w:cs="仿宋"/>
          <w:color w:val="auto"/>
          <w:sz w:val="24"/>
          <w:szCs w:val="24"/>
          <w:highlight w:val="none"/>
          <w:lang w:val="zh-CN"/>
        </w:rPr>
        <w:t>人员要求</w:t>
      </w:r>
      <w:r>
        <w:rPr>
          <w:rFonts w:hint="eastAsia" w:ascii="仿宋" w:hAnsi="仿宋" w:eastAsia="仿宋" w:cs="仿宋"/>
          <w:color w:val="auto"/>
          <w:sz w:val="24"/>
          <w:szCs w:val="24"/>
          <w:highlight w:val="none"/>
        </w:rPr>
        <w:t>须符合专职人员基本岗位数量要求</w:t>
      </w:r>
      <w:r>
        <w:rPr>
          <w:rFonts w:hint="eastAsia" w:ascii="仿宋" w:hAnsi="仿宋" w:eastAsia="仿宋" w:cs="仿宋"/>
          <w:color w:val="auto"/>
          <w:sz w:val="24"/>
          <w:szCs w:val="24"/>
          <w:highlight w:val="none"/>
          <w:lang w:val="zh-CN"/>
        </w:rPr>
        <w:t>。</w:t>
      </w:r>
    </w:p>
    <w:p w14:paraId="1B905AD8">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1.1.2供应商应根据项目保洁的实际需要配备相应人员，所需费用应考虑在投标总价中。</w:t>
      </w:r>
    </w:p>
    <w:p w14:paraId="2B8313EA">
      <w:pPr>
        <w:snapToGrid w:val="0"/>
        <w:spacing w:line="360" w:lineRule="auto"/>
        <w:ind w:firstLine="360" w:firstLineChars="1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1.1.3保洁人员在岗要求男性年龄在60周岁以下，女性年龄在55周岁以下；</w:t>
      </w:r>
      <w:r>
        <w:rPr>
          <w:rFonts w:hint="eastAsia" w:ascii="仿宋" w:hAnsi="仿宋" w:eastAsia="仿宋" w:cs="仿宋"/>
          <w:color w:val="auto"/>
          <w:sz w:val="24"/>
          <w:szCs w:val="24"/>
          <w:highlight w:val="none"/>
          <w:lang w:val="zh-CN"/>
        </w:rPr>
        <w:t>按采购人要求完成智慧化管理措施、设施配备。大型活动、节假日、新作业方式调整或未达到管理标准等情况下</w:t>
      </w:r>
      <w:r>
        <w:rPr>
          <w:rFonts w:hint="eastAsia" w:ascii="仿宋" w:hAnsi="仿宋" w:eastAsia="仿宋" w:cs="仿宋"/>
          <w:color w:val="auto"/>
          <w:sz w:val="24"/>
          <w:szCs w:val="24"/>
          <w:highlight w:val="none"/>
        </w:rPr>
        <w:t>应根据实际情况或采购人要求增派保洁人员、保洁设备，以确保清卫保洁质量，</w:t>
      </w:r>
      <w:r>
        <w:rPr>
          <w:rFonts w:hint="eastAsia" w:ascii="仿宋" w:hAnsi="仿宋" w:eastAsia="仿宋" w:cs="仿宋"/>
          <w:color w:val="auto"/>
          <w:sz w:val="24"/>
          <w:szCs w:val="24"/>
          <w:highlight w:val="none"/>
          <w:lang w:val="zh-CN"/>
        </w:rPr>
        <w:t>增</w:t>
      </w:r>
      <w:r>
        <w:rPr>
          <w:rFonts w:hint="eastAsia" w:ascii="仿宋" w:hAnsi="仿宋" w:eastAsia="仿宋" w:cs="仿宋"/>
          <w:color w:val="auto"/>
          <w:sz w:val="24"/>
          <w:szCs w:val="24"/>
          <w:highlight w:val="none"/>
        </w:rPr>
        <w:t>派人员和设备的费用应考虑在投标总报价中。</w:t>
      </w:r>
    </w:p>
    <w:p w14:paraId="10597D77">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1.1.4鼓励供应商根据杭州市劳动和社会保障局、杭州市财政局“关于印发《市区“三类岗位”开发管理办法》的通知”及区政府等相关文件要求，鼓励中标供应商招聘失地失业人员参与本项目服务。</w:t>
      </w:r>
    </w:p>
    <w:p w14:paraId="6AEDD01A">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1.1.5人员用工必须符合《中华人民共和国劳动民法典》等法规的相关规定，如因违法、违规并造成不良后果的，其责任由供应商自行承担。</w:t>
      </w:r>
    </w:p>
    <w:p w14:paraId="0F160DE0">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1.1.6 作业车辆、作业时间应符合属地交警部门要求，并按要求进行报备后实施。</w:t>
      </w:r>
    </w:p>
    <w:p w14:paraId="20A946E2">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1.1.7 供应商提供的设施设备，根据采购人要求统一外观，标识。</w:t>
      </w:r>
    </w:p>
    <w:p w14:paraId="6D53CF1A">
      <w:pPr>
        <w:snapToGrid w:val="0"/>
        <w:spacing w:line="360" w:lineRule="auto"/>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1.2保洁服务内容</w:t>
      </w:r>
    </w:p>
    <w:p w14:paraId="74886B67">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1.2.1本项目涵盖采购文件第三部分采购需求项目概况及要求清单中所有道路的清扫运输、垃圾收集运输、偷倒垃圾清运等服务内容。</w:t>
      </w:r>
    </w:p>
    <w:p w14:paraId="1EACA398">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1.2.2本项目道路中间绿化带含在道路保洁范围内，及道路两侧人行道外建筑物基石边或无建筑物外可视范围内（不少于5米）均包含在保洁范围内。</w:t>
      </w:r>
    </w:p>
    <w:p w14:paraId="0662DEA1">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1.2.3本项目涵盖地铁站（如有）出入口台阶以下周边范围的保洁含在道路保洁范围内。</w:t>
      </w:r>
    </w:p>
    <w:p w14:paraId="7E7D5609">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1.2.4本项目道路所附属的铁路下穿涵洞（如有）、果壳箱、交通隔离栏、路灯杆（2.2米以下部分）、交通信号杆（2.2米以下部分）均属于本项目保洁范围。</w:t>
      </w:r>
    </w:p>
    <w:p w14:paraId="32B47D38">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1.2.5牛皮癣清理：标段范围内道路、围墙、道路沿线设施（含一层建筑立面）等区域的“乱涂”、“乱张贴”等牛皮癣日常清理均属于本项目保洁范围。 </w:t>
      </w:r>
    </w:p>
    <w:p w14:paraId="49187013">
      <w:pPr>
        <w:snapToGrid w:val="0"/>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1.3道路保洁标准</w:t>
      </w:r>
    </w:p>
    <w:p w14:paraId="694BA086">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1.3.1</w:t>
      </w:r>
      <w:r>
        <w:rPr>
          <w:rFonts w:hint="eastAsia" w:ascii="仿宋" w:hAnsi="仿宋" w:eastAsia="仿宋" w:cs="仿宋"/>
          <w:color w:val="auto"/>
          <w:sz w:val="24"/>
          <w:szCs w:val="24"/>
          <w:highlight w:val="none"/>
        </w:rPr>
        <w:t>一类道路保洁标准：①路面无垃圾、无杂物、无积泥、无污渍，人行道无杂草，晴天无积水，道路两侧3米内无废土、垃圾。②人行道板及各类井盖等处缝隙、沟眼无垃圾，无积泥嵌石。③道路绿地、花坛、树圈保洁应与道路保洁同步，做到无杂物、无垃圾。④环卫设施（果壳箱、垃圾桶、垃圾房）设置整齐规范、无破损、歪斜、油漆剥落（或严重褪色）、垃圾满溢，表面清洁无污垢，周围地面无暴露垃圾、污水现象。⑤在规定时间内（夏季上午7点前，其它季节上午7点30分前）完成第一遍普扫，然后进行全天巡回保洁，道路有色垃圾滞留时间不得10分钟。</w:t>
      </w:r>
    </w:p>
    <w:p w14:paraId="47293E1A">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1.3.2</w:t>
      </w:r>
      <w:r>
        <w:rPr>
          <w:rFonts w:hint="eastAsia" w:ascii="仿宋" w:hAnsi="仿宋" w:eastAsia="仿宋" w:cs="仿宋"/>
          <w:color w:val="auto"/>
          <w:sz w:val="24"/>
          <w:szCs w:val="24"/>
          <w:highlight w:val="none"/>
        </w:rPr>
        <w:t>二类道路保洁标准：①路面无垃圾、污渍、积泥较少，人行道无杂草，晴天无积水，道路两侧3米内无垃圾。②人行道板及各类井盖等处缝隙、沟眼无垃圾，无积泥嵌石。③道路绿地、花坛、树圈无杂物、无垃圾。④环卫设施（果壳箱、垃圾桶、垃圾房）设置整齐规范、无破损、歪斜、油漆剥落（或严重褪色）、垃圾满溢，表面清洁无污垢，周围地面无暴露垃圾、污水现象。⑤在规定时间内（夏季上午7点前，其它季节上午7点30分前）完成第一遍普扫，然后进行全天巡回保洁，道路有色垃圾滞留时间不得15分钟。</w:t>
      </w:r>
    </w:p>
    <w:p w14:paraId="1C9F9D95">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1.3.3</w:t>
      </w:r>
      <w:r>
        <w:rPr>
          <w:rFonts w:hint="eastAsia" w:ascii="仿宋" w:hAnsi="仿宋" w:eastAsia="仿宋" w:cs="仿宋"/>
          <w:color w:val="auto"/>
          <w:sz w:val="24"/>
          <w:szCs w:val="24"/>
          <w:highlight w:val="none"/>
        </w:rPr>
        <w:t>三类道路保洁标准：①路面无垃圾、污渍、积泥较少，人行道杂草较少，道路两侧3米内无成堆垃圾。②雨水井沟眼无垃圾，无积泥嵌石。③道路绿地、花坛、树圈内无垃圾。④环卫设施（果壳箱、垃圾桶、垃圾房）设置整齐规范、无破损、歪斜、垃圾满溢，表面清洁无污垢，周围地面无暴露垃圾、污水现象。⑤在规定时间内（夏季上午7点前，其它季节上午7点30分前）完成第一遍普扫，然后进行全天巡回保洁，道路有色垃圾滞留时间不得超过20分钟。</w:t>
      </w:r>
    </w:p>
    <w:p w14:paraId="7BE97FED">
      <w:pPr>
        <w:pStyle w:val="23"/>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lang w:val="en-US" w:eastAsia="zh-CN"/>
        </w:rPr>
        <w:t>1.3.4保洁基本要求</w:t>
      </w:r>
    </w:p>
    <w:p w14:paraId="442937D0">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r>
        <w:rPr>
          <w:rFonts w:hint="eastAsia" w:ascii="仿宋" w:hAnsi="仿宋" w:eastAsia="仿宋" w:cs="仿宋"/>
          <w:color w:val="auto"/>
          <w:sz w:val="24"/>
          <w:szCs w:val="24"/>
          <w:highlight w:val="none"/>
          <w:lang w:val="en-US" w:eastAsia="zh-CN"/>
        </w:rPr>
        <w:t>4.1</w:t>
      </w:r>
      <w:r>
        <w:rPr>
          <w:rFonts w:hint="eastAsia" w:ascii="仿宋" w:hAnsi="仿宋" w:eastAsia="仿宋" w:cs="仿宋"/>
          <w:color w:val="auto"/>
          <w:sz w:val="24"/>
          <w:szCs w:val="24"/>
          <w:highlight w:val="none"/>
        </w:rPr>
        <w:t>应做到文明、清洁、安全和有序，最大限度地减少对环境的污染和对公众生活的影响。</w:t>
      </w:r>
    </w:p>
    <w:p w14:paraId="3E102756">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r>
        <w:rPr>
          <w:rFonts w:hint="eastAsia" w:ascii="仿宋" w:hAnsi="仿宋" w:eastAsia="仿宋" w:cs="仿宋"/>
          <w:color w:val="auto"/>
          <w:sz w:val="24"/>
          <w:szCs w:val="24"/>
          <w:highlight w:val="none"/>
          <w:lang w:val="en-US" w:eastAsia="zh-CN"/>
        </w:rPr>
        <w:t>4.2</w:t>
      </w:r>
      <w:r>
        <w:rPr>
          <w:rFonts w:hint="eastAsia" w:ascii="仿宋" w:hAnsi="仿宋" w:eastAsia="仿宋" w:cs="仿宋"/>
          <w:color w:val="auto"/>
          <w:sz w:val="24"/>
          <w:szCs w:val="24"/>
          <w:highlight w:val="none"/>
        </w:rPr>
        <w:t>合理安排作业计划。清晨或深夜在居民住宅小区或周边道路进行环卫作业时，不得大声喧哗，并应注意控制机具噪音。组织机械化清扫、洒水、清洗作业应避开交通高峰时段（7：00—9：00，16：30—18：30）。</w:t>
      </w:r>
    </w:p>
    <w:p w14:paraId="485837BD">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r>
        <w:rPr>
          <w:rFonts w:hint="eastAsia" w:ascii="仿宋" w:hAnsi="仿宋" w:eastAsia="仿宋" w:cs="仿宋"/>
          <w:color w:val="auto"/>
          <w:sz w:val="24"/>
          <w:szCs w:val="24"/>
          <w:highlight w:val="none"/>
          <w:lang w:val="en-US" w:eastAsia="zh-CN"/>
        </w:rPr>
        <w:t>4.3</w:t>
      </w:r>
      <w:r>
        <w:rPr>
          <w:rFonts w:hint="eastAsia" w:ascii="仿宋" w:hAnsi="仿宋" w:eastAsia="仿宋" w:cs="仿宋"/>
          <w:color w:val="auto"/>
          <w:sz w:val="24"/>
          <w:szCs w:val="24"/>
          <w:highlight w:val="none"/>
        </w:rPr>
        <w:t>下雪及雪后应根据需要，及时进行路面除雪作业 ，消除路面积雪、结冰，为道路交通畅通创造良好通行条件。清雪作业以机械化清雪为主，人工清雪为辅。清理的积雪不得堆放在雨水井口，禁止向道路路面、绿化带、绿地抛撒积雪。</w:t>
      </w:r>
    </w:p>
    <w:p w14:paraId="412BCC3F">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r>
        <w:rPr>
          <w:rFonts w:hint="eastAsia" w:ascii="仿宋" w:hAnsi="仿宋" w:eastAsia="仿宋" w:cs="仿宋"/>
          <w:color w:val="auto"/>
          <w:sz w:val="24"/>
          <w:szCs w:val="24"/>
          <w:highlight w:val="none"/>
          <w:lang w:val="en-US" w:eastAsia="zh-CN"/>
        </w:rPr>
        <w:t>4.4</w:t>
      </w:r>
      <w:r>
        <w:rPr>
          <w:rFonts w:hint="eastAsia" w:ascii="仿宋" w:hAnsi="仿宋" w:eastAsia="仿宋" w:cs="仿宋"/>
          <w:color w:val="auto"/>
          <w:sz w:val="24"/>
          <w:szCs w:val="24"/>
          <w:highlight w:val="none"/>
        </w:rPr>
        <w:t>日常保洁时间内保洁单位需确保保洁范围干净，如有无主垃圾或其它垃圾，应加强监管，及时劝导并清理干净。</w:t>
      </w:r>
    </w:p>
    <w:p w14:paraId="7BAA49F8">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r>
        <w:rPr>
          <w:rFonts w:hint="eastAsia" w:ascii="仿宋" w:hAnsi="仿宋" w:eastAsia="仿宋" w:cs="仿宋"/>
          <w:color w:val="auto"/>
          <w:sz w:val="24"/>
          <w:szCs w:val="24"/>
          <w:highlight w:val="none"/>
          <w:lang w:val="en-US" w:eastAsia="zh-CN"/>
        </w:rPr>
        <w:t>4.5</w:t>
      </w:r>
      <w:r>
        <w:rPr>
          <w:rFonts w:hint="eastAsia" w:ascii="仿宋" w:hAnsi="仿宋" w:eastAsia="仿宋" w:cs="仿宋"/>
          <w:color w:val="auto"/>
          <w:sz w:val="24"/>
          <w:szCs w:val="24"/>
          <w:highlight w:val="none"/>
        </w:rPr>
        <w:t>每辆环卫专用车辆应装有GPS装置，并按采购人要求安装摄像设备及人员的智慧管理等接入采购人指定系统，如GPS装置、摄像设备故障后应及时报修。GPS定位系统或摄像设备以及为本项目服务提供的智慧环卫等（含人员智慧管理）相关费用均由中标单位承担，同时需纳入城管智慧平台，采购人不另支付任何费用。</w:t>
      </w:r>
    </w:p>
    <w:p w14:paraId="0DC382C6">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r>
        <w:rPr>
          <w:rFonts w:hint="eastAsia" w:ascii="仿宋" w:hAnsi="仿宋" w:eastAsia="仿宋" w:cs="仿宋"/>
          <w:color w:val="auto"/>
          <w:sz w:val="24"/>
          <w:szCs w:val="24"/>
          <w:highlight w:val="none"/>
          <w:lang w:val="en-US" w:eastAsia="zh-CN"/>
        </w:rPr>
        <w:t>4.6</w:t>
      </w:r>
      <w:r>
        <w:rPr>
          <w:rFonts w:hint="eastAsia" w:ascii="仿宋" w:hAnsi="仿宋" w:eastAsia="仿宋" w:cs="仿宋"/>
          <w:color w:val="auto"/>
          <w:sz w:val="24"/>
          <w:szCs w:val="24"/>
          <w:highlight w:val="none"/>
        </w:rPr>
        <w:t>人工辅助清扫、清洗机动车道、非机动车道或清洗机动车道交通隔离栏时，应在距清扫点来车方向100M处设置警示标识，使用荧光锥形筒等警示标识围护清扫保洁区域，面向来车方向清扫，注意车辆动态。</w:t>
      </w:r>
    </w:p>
    <w:p w14:paraId="4A488DAC">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r>
        <w:rPr>
          <w:rFonts w:hint="eastAsia" w:ascii="仿宋" w:hAnsi="仿宋" w:eastAsia="仿宋" w:cs="仿宋"/>
          <w:color w:val="auto"/>
          <w:sz w:val="24"/>
          <w:szCs w:val="24"/>
          <w:highlight w:val="none"/>
          <w:lang w:val="en-US" w:eastAsia="zh-CN"/>
        </w:rPr>
        <w:t>4.7</w:t>
      </w:r>
      <w:r>
        <w:rPr>
          <w:rFonts w:hint="eastAsia" w:ascii="仿宋" w:hAnsi="仿宋" w:eastAsia="仿宋" w:cs="仿宋"/>
          <w:color w:val="auto"/>
          <w:sz w:val="24"/>
          <w:szCs w:val="24"/>
          <w:highlight w:val="none"/>
        </w:rPr>
        <w:t>洗扫车、扫路车、洒水车、清洗车车尾应设置荧光标宽标识（或警示灯）。夜间作业时或雨雾天气等能见度较低的天气，必须启用警示灯光。环卫电动作业车辆、保洁车等小型作业车辆车身设置荧光条，车后部或车顶设置警示灯。</w:t>
      </w:r>
    </w:p>
    <w:p w14:paraId="6EDE21A8">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r>
        <w:rPr>
          <w:rFonts w:hint="eastAsia" w:ascii="仿宋" w:hAnsi="仿宋" w:eastAsia="仿宋" w:cs="仿宋"/>
          <w:color w:val="auto"/>
          <w:sz w:val="24"/>
          <w:szCs w:val="24"/>
          <w:highlight w:val="none"/>
          <w:lang w:val="en-US" w:eastAsia="zh-CN"/>
        </w:rPr>
        <w:t>4.8</w:t>
      </w:r>
      <w:r>
        <w:rPr>
          <w:rFonts w:hint="eastAsia" w:ascii="仿宋" w:hAnsi="仿宋" w:eastAsia="仿宋" w:cs="仿宋"/>
          <w:color w:val="auto"/>
          <w:sz w:val="24"/>
          <w:szCs w:val="24"/>
          <w:highlight w:val="none"/>
        </w:rPr>
        <w:t>本项目环卫作业车辆须有固定场所停放，严禁停放在消防通道、公交车站、盲道等影响车辆和行人通行的公共通道。</w:t>
      </w:r>
    </w:p>
    <w:p w14:paraId="48F644F3">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r>
        <w:rPr>
          <w:rFonts w:hint="eastAsia" w:ascii="仿宋" w:hAnsi="仿宋" w:eastAsia="仿宋" w:cs="仿宋"/>
          <w:color w:val="auto"/>
          <w:sz w:val="24"/>
          <w:szCs w:val="24"/>
          <w:highlight w:val="none"/>
          <w:lang w:val="en-US" w:eastAsia="zh-CN"/>
        </w:rPr>
        <w:t>4.9</w:t>
      </w:r>
      <w:r>
        <w:rPr>
          <w:rFonts w:hint="eastAsia" w:ascii="仿宋" w:hAnsi="仿宋" w:eastAsia="仿宋" w:cs="仿宋"/>
          <w:color w:val="auto"/>
          <w:sz w:val="24"/>
          <w:szCs w:val="24"/>
          <w:highlight w:val="none"/>
        </w:rPr>
        <w:t>承诺能及时提供人力、设备、技术等支持。</w:t>
      </w:r>
    </w:p>
    <w:p w14:paraId="3333A3E9">
      <w:pPr>
        <w:snapToGrid w:val="0"/>
        <w:spacing w:line="360" w:lineRule="auto"/>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1.4保洁作业规范 </w:t>
      </w:r>
    </w:p>
    <w:p w14:paraId="2C6D16D2">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1.4.1道路普扫次数和时间</w:t>
      </w:r>
    </w:p>
    <w:p w14:paraId="3AB3E43B">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1.4.1.1一</w:t>
      </w:r>
      <w:r>
        <w:rPr>
          <w:rFonts w:hint="eastAsia" w:ascii="仿宋" w:hAnsi="仿宋" w:eastAsia="仿宋" w:cs="仿宋"/>
          <w:color w:val="auto"/>
          <w:sz w:val="24"/>
          <w:szCs w:val="24"/>
          <w:highlight w:val="none"/>
          <w:lang w:eastAsia="zh-CN"/>
        </w:rPr>
        <w:t>类</w:t>
      </w:r>
      <w:r>
        <w:rPr>
          <w:rFonts w:hint="eastAsia" w:ascii="仿宋" w:hAnsi="仿宋" w:eastAsia="仿宋" w:cs="仿宋"/>
          <w:color w:val="auto"/>
          <w:sz w:val="24"/>
          <w:szCs w:val="24"/>
          <w:highlight w:val="none"/>
        </w:rPr>
        <w:t>道路普扫作业每日不少于3次。</w:t>
      </w:r>
      <w:r>
        <w:rPr>
          <w:rFonts w:hint="eastAsia" w:ascii="仿宋" w:hAnsi="仿宋" w:eastAsia="仿宋" w:cs="仿宋"/>
          <w:color w:val="auto"/>
          <w:sz w:val="24"/>
          <w:szCs w:val="24"/>
          <w:highlight w:val="none"/>
          <w:lang w:eastAsia="zh-CN"/>
        </w:rPr>
        <w:t>二类</w:t>
      </w:r>
      <w:r>
        <w:rPr>
          <w:rFonts w:hint="eastAsia" w:ascii="仿宋" w:hAnsi="仿宋" w:eastAsia="仿宋" w:cs="仿宋"/>
          <w:color w:val="auto"/>
          <w:sz w:val="24"/>
          <w:szCs w:val="24"/>
          <w:highlight w:val="none"/>
        </w:rPr>
        <w:t>道路普扫作业每日不少于</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次</w:t>
      </w:r>
      <w:r>
        <w:rPr>
          <w:rFonts w:hint="eastAsia" w:ascii="仿宋" w:hAnsi="仿宋" w:eastAsia="仿宋" w:cs="仿宋"/>
          <w:color w:val="auto"/>
          <w:sz w:val="24"/>
          <w:szCs w:val="24"/>
          <w:highlight w:val="none"/>
          <w:lang w:eastAsia="zh-CN"/>
        </w:rPr>
        <w:t>，三类</w:t>
      </w:r>
      <w:r>
        <w:rPr>
          <w:rFonts w:hint="eastAsia" w:ascii="仿宋" w:hAnsi="仿宋" w:eastAsia="仿宋" w:cs="仿宋"/>
          <w:color w:val="auto"/>
          <w:sz w:val="24"/>
          <w:szCs w:val="24"/>
          <w:highlight w:val="none"/>
        </w:rPr>
        <w:t>道路普扫作业每日不少于</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夏季（6月—8月）第一次普扫应在6：30前完成，春、秋、冬季（9月—次年5月）在7：00前完成；第二次普扫在13：30前完成；第三次普扫在17：00前完成。</w:t>
      </w:r>
    </w:p>
    <w:p w14:paraId="7BFC5A8F">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1.4.1.2应根据重大活动保障、落叶旺季等因素适时增加每日普扫频次。 </w:t>
      </w:r>
    </w:p>
    <w:p w14:paraId="762080DC">
      <w:pPr>
        <w:snapToGrid w:val="0"/>
        <w:spacing w:line="360" w:lineRule="auto"/>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1.4.2洒水（清洗）</w:t>
      </w:r>
    </w:p>
    <w:p w14:paraId="1E9EEA5C">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1.4.2.1一</w:t>
      </w:r>
      <w:r>
        <w:rPr>
          <w:rFonts w:hint="eastAsia" w:ascii="仿宋" w:hAnsi="仿宋" w:eastAsia="仿宋" w:cs="仿宋"/>
          <w:color w:val="auto"/>
          <w:sz w:val="24"/>
          <w:szCs w:val="24"/>
          <w:highlight w:val="none"/>
          <w:lang w:eastAsia="zh-CN"/>
        </w:rPr>
        <w:t>类</w:t>
      </w:r>
      <w:r>
        <w:rPr>
          <w:rFonts w:hint="eastAsia" w:ascii="仿宋" w:hAnsi="仿宋" w:eastAsia="仿宋" w:cs="仿宋"/>
          <w:color w:val="auto"/>
          <w:sz w:val="24"/>
          <w:szCs w:val="24"/>
          <w:highlight w:val="none"/>
        </w:rPr>
        <w:t>道路作业每日不少于6次，</w:t>
      </w:r>
      <w:r>
        <w:rPr>
          <w:rFonts w:hint="eastAsia" w:ascii="仿宋" w:hAnsi="仿宋" w:eastAsia="仿宋" w:cs="仿宋"/>
          <w:color w:val="auto"/>
          <w:sz w:val="24"/>
          <w:szCs w:val="24"/>
          <w:highlight w:val="none"/>
          <w:lang w:eastAsia="zh-CN"/>
        </w:rPr>
        <w:t>二类</w:t>
      </w:r>
      <w:r>
        <w:rPr>
          <w:rFonts w:hint="eastAsia" w:ascii="仿宋" w:hAnsi="仿宋" w:eastAsia="仿宋" w:cs="仿宋"/>
          <w:color w:val="auto"/>
          <w:sz w:val="24"/>
          <w:szCs w:val="24"/>
          <w:highlight w:val="none"/>
        </w:rPr>
        <w:t>道路作业每日不少于</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次，</w:t>
      </w:r>
      <w:r>
        <w:rPr>
          <w:rFonts w:hint="eastAsia" w:ascii="仿宋" w:hAnsi="仿宋" w:eastAsia="仿宋" w:cs="仿宋"/>
          <w:color w:val="auto"/>
          <w:sz w:val="24"/>
          <w:szCs w:val="24"/>
          <w:highlight w:val="none"/>
          <w:lang w:eastAsia="zh-CN"/>
        </w:rPr>
        <w:t>三类</w:t>
      </w:r>
      <w:r>
        <w:rPr>
          <w:rFonts w:hint="eastAsia" w:ascii="仿宋" w:hAnsi="仿宋" w:eastAsia="仿宋" w:cs="仿宋"/>
          <w:color w:val="auto"/>
          <w:sz w:val="24"/>
          <w:szCs w:val="24"/>
          <w:highlight w:val="none"/>
        </w:rPr>
        <w:t>道路作业每日不少于</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次，洒水车车速不得超过25km/h；清洗时，高压清洗车车速不得超过10km/h；机械化清扫作业。</w:t>
      </w:r>
    </w:p>
    <w:p w14:paraId="48811EE5">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1.4.2.2洒水时，应调整好洒水车水压和水幅，保持车行道全路段路面湿润。途经地铁站、公交站、人行横道等人流量集中的地点应注意放慢车速，避让行人，调整启闭装置，避免将水洒到行人身上。</w:t>
      </w:r>
    </w:p>
    <w:p w14:paraId="26159841">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1.4.2.3晚22时以后，洒水作业时禁止播放洒水提示音乐。中、高考等重要考试期间，洒水车途经考场周边道路时应及时关闭洒水提示音乐，夏季中午时间（12时-14时）适当降低洒水提示音量。</w:t>
      </w:r>
    </w:p>
    <w:p w14:paraId="52984A3F">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1.4.2.4小雨及以下雨量时，按计划保持洒水作业；中雨及以上雨量或雷阵雨期间，暂停道路洒水和清洗作业。</w:t>
      </w:r>
    </w:p>
    <w:p w14:paraId="782E324F">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1.4.2.5春秋季（3月—5月、9月—11月），每日道路洒水频次作为基准遍次，即一级道路每日5次；夏季（6月—8月），在基准频次上每日分别增加1次；冬季（12月—2月），在基准频次上每日分别减少1次。</w:t>
      </w:r>
    </w:p>
    <w:p w14:paraId="0E9E984B">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1.4.2.6气温低于2摄氏度时应停止清洗和洒水。</w:t>
      </w:r>
    </w:p>
    <w:p w14:paraId="3913B11E">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1.4.2.7根据清雪作业应急保障需要，可使用洒水车、清洗车冲刷路面积雪，并使用清雪车、扫路车等专业车辆或人工辅助，及时清除路面积水、积雪。</w:t>
      </w:r>
    </w:p>
    <w:p w14:paraId="44954372">
      <w:pPr>
        <w:snapToGrid w:val="0"/>
        <w:spacing w:line="360" w:lineRule="auto"/>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1.4.3机械化清扫</w:t>
      </w:r>
    </w:p>
    <w:p w14:paraId="0D5EA024">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1.4.3.1机械化清扫范围主要为机动车道，及便于使用机械化装备清洁机动车道的交通隔离栏。</w:t>
      </w:r>
    </w:p>
    <w:p w14:paraId="0715652A">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1.4.3.2清扫车或洗扫车应加足水，根据路面状况调整好扫路车侧刷和吸口，喷雾洁扫无扬尘，在规定时间和路线进行机械化清扫作业。</w:t>
      </w:r>
    </w:p>
    <w:p w14:paraId="1CAC3CDC">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1.4.3.3机械化清扫作业时，扫路车或洗扫车车速不得超过10km/h。</w:t>
      </w:r>
    </w:p>
    <w:p w14:paraId="59A77181">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1.4.3.4清扫时应注意观察路面清扫质量和路面障碍情况，对机械化清扫不能清除的大件垃圾或硬物，在确保作业安全的前提下，及时下车清除。</w:t>
      </w:r>
    </w:p>
    <w:p w14:paraId="72A34855">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1.4.3.5当日清扫结束后，应在指定地点卸空机械化清扫车辆中的垃圾。</w:t>
      </w:r>
    </w:p>
    <w:p w14:paraId="11E170D6">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1.4.3.6机械化清扫车辆所用的扫把丝等消耗品应根据使用状况及时更换。</w:t>
      </w:r>
    </w:p>
    <w:p w14:paraId="0D474BFF">
      <w:pPr>
        <w:snapToGrid w:val="0"/>
        <w:spacing w:line="360" w:lineRule="auto"/>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1.4.4人工普扫</w:t>
      </w:r>
    </w:p>
    <w:p w14:paraId="206E7E29">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1.4.4.1清扫时，在距清扫点适当位置安全警示标识。</w:t>
      </w:r>
    </w:p>
    <w:p w14:paraId="17BE0E7C">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1.4.4.2道路两侧、路面等承包区域内乱涂写招贴，应使用铲刀或高压清洗机具予以清除，对粘附力强的要求用清洗剂刷洗，被清洗或清除后物体表面没有明显残留痕迹，不得采用涂料遮盖等方式简单处理，路面有污染或明显肮脏时要及时冲洗。</w:t>
      </w:r>
    </w:p>
    <w:p w14:paraId="798B5DD7">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1.4.4.3清扫的街面垃圾、沿街果壳箱中的垃圾应密闭化运至指定地点，运输过程不得抛洒滴漏。</w:t>
      </w:r>
    </w:p>
    <w:p w14:paraId="1C29EC72">
      <w:pPr>
        <w:snapToGrid w:val="0"/>
        <w:spacing w:line="360" w:lineRule="auto"/>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1.4.5人工保洁</w:t>
      </w:r>
    </w:p>
    <w:p w14:paraId="7DD8D976">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1.4.5.1普扫结束后，应按照规定的责任保洁区域、保洁时间组织巡回保洁。落实责任保洁区域边界管理，保洁时应向保洁边界以外适当延伸（不少于5米），不留保洁盲区和空白点。</w:t>
      </w:r>
    </w:p>
    <w:p w14:paraId="45D41C0E">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1.4.5.2应定时清运沿街果壳箱中的垃圾，做到垃圾不落地、不积存，日产日清。</w:t>
      </w:r>
    </w:p>
    <w:p w14:paraId="38648290">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1.4.5.3突发性环境卫生污染现场清理时，应严格按照应急处置方案进行保洁，及时消除污染物，恢复路面清洁。</w:t>
      </w:r>
    </w:p>
    <w:p w14:paraId="24871DE0">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1.4.5.4环卫电动专用作业车辆应在非机动车道顺向行驶，不得超载，且行驶速度不得超过20Km/h。</w:t>
      </w:r>
    </w:p>
    <w:p w14:paraId="3A1A12E9">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1.4.5.5保洁作业结束后，作业工具应在规定地点摆放，不得在道路路面、墙角、绿化带、绿地中存放。</w:t>
      </w:r>
    </w:p>
    <w:p w14:paraId="21F8553F">
      <w:pPr>
        <w:snapToGrid w:val="0"/>
        <w:spacing w:line="360" w:lineRule="auto"/>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1.5保洁作业质量要求</w:t>
      </w:r>
    </w:p>
    <w:p w14:paraId="299725A8">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1.5.1清扫应做到“五无五净”。即无垃圾杂物；无积水积泥，无痰迹烟蒂，无果皮纸屑，无土石杂草；路面干净，绿化带和树圈干净，边角侧石干净，雨水井盖沟眼畅通干净，果壳箱等环卫设施干净、路面见本色。</w:t>
      </w:r>
    </w:p>
    <w:p w14:paraId="628C1D2D">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 xml:space="preserve">   1.5.2三化四分相关要求：</w:t>
      </w:r>
      <w:r>
        <w:rPr>
          <w:rFonts w:hint="eastAsia" w:ascii="仿宋" w:hAnsi="仿宋" w:eastAsia="仿宋" w:cs="仿宋"/>
          <w:color w:val="auto"/>
          <w:kern w:val="0"/>
          <w:sz w:val="24"/>
          <w:szCs w:val="24"/>
          <w:highlight w:val="none"/>
        </w:rPr>
        <w:t>本项目的供应商应按照杭州市垃圾分类工作的具体要求，确定生活垃圾分类（易腐垃圾、其他垃圾、可回收物、有害垃圾），并完成保洁范围内四类垃圾的分类、收集以及垃圾的清运工作。</w:t>
      </w:r>
    </w:p>
    <w:p w14:paraId="1FF6CC51">
      <w:pPr>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1.5.3其他要求：   </w:t>
      </w:r>
    </w:p>
    <w:p w14:paraId="7352CAAA">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（1）遇有窨井盖丢失、破损等，承包方必须及时上报采购人。  </w:t>
      </w:r>
    </w:p>
    <w:p w14:paraId="083F2E86">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（2）遇有重大活动或突发事件，及时组织力量做好清扫保洁保障工作。   </w:t>
      </w:r>
    </w:p>
    <w:p w14:paraId="168C266B">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（3）遇有重大活动以及抗台、抗雪等突发事件，必须及时组织力量做好清扫保洁等应急保障工作，按照城市管理保障应急机制要求，保证人员及时到位，并根据应急指令服从统一调配。</w:t>
      </w:r>
    </w:p>
    <w:p w14:paraId="79F5E112">
      <w:pPr>
        <w:snapToGrid w:val="0"/>
        <w:spacing w:line="360" w:lineRule="auto"/>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1.6.管理要求</w:t>
      </w:r>
    </w:p>
    <w:p w14:paraId="24B5B68A">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1.6.1供应商在保洁作业中投入的机械设备、人员配置等必须与投标文件中所承诺的数量规格相符合。加强日常作业质量管理，相关计划及报告按采购人要求准时递交。</w:t>
      </w:r>
    </w:p>
    <w:p w14:paraId="4F089908">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1.6.2规范管理、文明作业、自觉接受采购人及其上级各部门领导的检查和社会监督，对出现的问题要及时整改。</w:t>
      </w:r>
    </w:p>
    <w:p w14:paraId="65563D1B">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1.6.3作业时应严格遵守交通规则、遵守劳动纪律、遵守安全操作规程，作业人员须统一穿戴有反光标识的工作服，佩证上岗。加强日常安全生产管理，确保职工人身安全。如遇各种意外事故发生由中标单位自行负责，并依照法律法规妥善处理（事故情况应在30分钟内及时书面告知采购人）。</w:t>
      </w:r>
    </w:p>
    <w:p w14:paraId="1ABD064C">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1.6.4果壳箱应定期保养保持整洁完好无缺失，承包期间因操作或管理不善造成破损、缺失的，由中标单位承担费用并负责修复或更新（果壳箱更换款式应保持原样，或经采购人同意后调整款式）。</w:t>
      </w:r>
    </w:p>
    <w:p w14:paraId="25B48168">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1.6.5专用作业车辆（含人力三轮车）符合环卫标准化管理要求，外观喷漆及规格符合采购人要求，机动、人力车辆应按时冲洗保养保持外观整洁，无抛洒滴漏、无满溢、无吊挂。</w:t>
      </w:r>
    </w:p>
    <w:p w14:paraId="46FC445D">
      <w:pPr>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1.6.6垃圾应倾倒在指定的垃圾堆放场地，不得焚烧垃圾、树叶，确需垃圾二次转运的应在指定地点进行，不得直接在保洁道路上进行。</w:t>
      </w:r>
    </w:p>
    <w:p w14:paraId="1D181D7D">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1.6.7如遇渣土抛洒污染路面等情况，中标单位应及时上报采购人，并做好照片资料，同时进行道路冲洗清理。   </w:t>
      </w:r>
    </w:p>
    <w:p w14:paraId="68ED4A41">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1.6.8无新闻媒体曝光，对“12345”市长公开电话和有关受理中心及信访处相关问题，处理、回复及时到位。加强管理，确保在国家、省、市、区的各项检查中不失责任分。</w:t>
      </w:r>
    </w:p>
    <w:p w14:paraId="1CEED60C">
      <w:pPr>
        <w:tabs>
          <w:tab w:val="left" w:pos="851"/>
          <w:tab w:val="left" w:pos="993"/>
        </w:tabs>
        <w:snapToGrid w:val="0"/>
        <w:spacing w:line="360" w:lineRule="auto"/>
        <w:ind w:firstLine="482" w:firstLineChars="200"/>
        <w:rPr>
          <w:rFonts w:hint="eastAsia" w:ascii="仿宋" w:hAnsi="仿宋" w:eastAsia="仿宋" w:cs="仿宋"/>
          <w:b/>
          <w:bCs/>
          <w:color w:val="auto"/>
          <w:kern w:val="44"/>
          <w:sz w:val="24"/>
          <w:szCs w:val="24"/>
          <w:highlight w:val="none"/>
        </w:rPr>
      </w:pPr>
      <w:r>
        <w:rPr>
          <w:rFonts w:hint="eastAsia" w:ascii="仿宋" w:hAnsi="仿宋" w:eastAsia="仿宋" w:cs="仿宋"/>
          <w:b/>
          <w:bCs/>
          <w:color w:val="auto"/>
          <w:kern w:val="44"/>
          <w:sz w:val="24"/>
          <w:szCs w:val="24"/>
          <w:highlight w:val="none"/>
        </w:rPr>
        <w:t>2、偷倒垃圾清运要求</w:t>
      </w:r>
    </w:p>
    <w:p w14:paraId="06D74FE9">
      <w:pPr>
        <w:tabs>
          <w:tab w:val="left" w:pos="851"/>
          <w:tab w:val="left" w:pos="993"/>
        </w:tabs>
        <w:snapToGrid w:val="0"/>
        <w:spacing w:line="360" w:lineRule="auto"/>
        <w:ind w:firstLine="480" w:firstLineChars="200"/>
        <w:rPr>
          <w:rFonts w:hint="eastAsia" w:ascii="仿宋" w:hAnsi="仿宋" w:eastAsia="仿宋" w:cs="仿宋"/>
          <w:b/>
          <w:bCs/>
          <w:color w:val="auto"/>
          <w:kern w:val="44"/>
          <w:sz w:val="24"/>
          <w:szCs w:val="24"/>
          <w:highlight w:val="none"/>
        </w:rPr>
      </w:pPr>
      <w:r>
        <w:rPr>
          <w:rFonts w:hint="eastAsia" w:ascii="仿宋" w:hAnsi="仿宋" w:eastAsia="仿宋" w:cs="仿宋"/>
          <w:color w:val="auto"/>
          <w:kern w:val="0"/>
          <w:sz w:val="24"/>
          <w:szCs w:val="24"/>
          <w:highlight w:val="none"/>
        </w:rPr>
        <w:t>2.1服务内容：</w:t>
      </w:r>
      <w:r>
        <w:rPr>
          <w:rFonts w:hint="eastAsia" w:ascii="仿宋" w:hAnsi="仿宋" w:eastAsia="仿宋" w:cs="仿宋"/>
          <w:color w:val="auto"/>
          <w:sz w:val="24"/>
          <w:szCs w:val="24"/>
          <w:highlight w:val="none"/>
        </w:rPr>
        <w:t>主要为本项目各个标段采购人管养范围内偷倒的垃圾清运工作，垃圾运自行处理，相关费包含在本次招标内容中。</w:t>
      </w:r>
    </w:p>
    <w:p w14:paraId="723F9FE2">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2.2具体要求：</w:t>
      </w:r>
    </w:p>
    <w:p w14:paraId="6BB94E46">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（1）在</w:t>
      </w:r>
      <w:r>
        <w:rPr>
          <w:rFonts w:hint="eastAsia" w:ascii="仿宋" w:hAnsi="仿宋" w:eastAsia="仿宋" w:cs="仿宋"/>
          <w:color w:val="auto"/>
          <w:sz w:val="24"/>
          <w:szCs w:val="24"/>
          <w:highlight w:val="none"/>
        </w:rPr>
        <w:t>服务期内，</w:t>
      </w:r>
      <w:r>
        <w:rPr>
          <w:rFonts w:hint="eastAsia" w:ascii="仿宋" w:hAnsi="仿宋" w:eastAsia="仿宋" w:cs="仿宋"/>
          <w:color w:val="auto"/>
          <w:kern w:val="0"/>
          <w:sz w:val="24"/>
          <w:szCs w:val="24"/>
          <w:highlight w:val="none"/>
        </w:rPr>
        <w:t>供应商应加强</w:t>
      </w:r>
      <w:r>
        <w:rPr>
          <w:rFonts w:hint="eastAsia" w:ascii="仿宋" w:hAnsi="仿宋" w:eastAsia="仿宋" w:cs="仿宋"/>
          <w:color w:val="auto"/>
          <w:sz w:val="24"/>
          <w:szCs w:val="24"/>
          <w:highlight w:val="none"/>
        </w:rPr>
        <w:t>所承包范围内防止垃圾偷倒的管理工作。如在所承包范围内发生偷倒，</w:t>
      </w:r>
      <w:r>
        <w:rPr>
          <w:rFonts w:hint="eastAsia" w:ascii="仿宋" w:hAnsi="仿宋" w:eastAsia="仿宋" w:cs="仿宋"/>
          <w:color w:val="auto"/>
          <w:kern w:val="0"/>
          <w:sz w:val="24"/>
          <w:szCs w:val="24"/>
          <w:highlight w:val="none"/>
        </w:rPr>
        <w:t>需完成</w:t>
      </w:r>
      <w:r>
        <w:rPr>
          <w:rFonts w:hint="eastAsia" w:ascii="仿宋" w:hAnsi="仿宋" w:eastAsia="仿宋" w:cs="仿宋"/>
          <w:color w:val="auto"/>
          <w:sz w:val="24"/>
          <w:szCs w:val="24"/>
          <w:highlight w:val="none"/>
        </w:rPr>
        <w:t>偷倒的垃圾清运工作，</w:t>
      </w:r>
      <w:r>
        <w:rPr>
          <w:rFonts w:hint="eastAsia" w:ascii="仿宋" w:hAnsi="仿宋" w:eastAsia="仿宋" w:cs="仿宋"/>
          <w:color w:val="auto"/>
          <w:kern w:val="0"/>
          <w:sz w:val="24"/>
          <w:szCs w:val="24"/>
          <w:highlight w:val="none"/>
        </w:rPr>
        <w:t>垃圾的装车、运输至消纳处置场，因乱倒垃圾不符合相关要求所引发的问题，由供应商承担所有责任及赔偿费用。</w:t>
      </w:r>
    </w:p>
    <w:p w14:paraId="6B9B2D74">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（2）车辆要求：本项目所需的作业车辆应具有有效的道路运输经营许可证，并到采购单位备案。</w:t>
      </w:r>
    </w:p>
    <w:p w14:paraId="6B27D152">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kern w:val="0"/>
          <w:sz w:val="24"/>
          <w:szCs w:val="24"/>
          <w:highlight w:val="none"/>
        </w:rPr>
        <w:t>装运时必须密封整洁，不得沿路抛撒、滴漏。遵守环境卫生作业标准、规范，装运后及时复位，清理作业场地，保持场地周边环境干净整洁；装运时须铺设地垫等设施，防止污染路面，做到车走地净。</w:t>
      </w:r>
    </w:p>
    <w:p w14:paraId="01634A82">
      <w:pPr>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（4）清理的时间要求：</w:t>
      </w:r>
      <w:r>
        <w:rPr>
          <w:rFonts w:hint="eastAsia" w:ascii="仿宋" w:hAnsi="仿宋" w:eastAsia="仿宋" w:cs="仿宋"/>
          <w:color w:val="auto"/>
          <w:kern w:val="0"/>
          <w:sz w:val="24"/>
          <w:szCs w:val="24"/>
          <w:highlight w:val="none"/>
          <w:u w:val="single"/>
        </w:rPr>
        <w:t>2小时之内清理</w:t>
      </w:r>
      <w:r>
        <w:rPr>
          <w:rFonts w:hint="eastAsia" w:ascii="仿宋" w:hAnsi="仿宋" w:eastAsia="仿宋" w:cs="仿宋"/>
          <w:color w:val="auto"/>
          <w:kern w:val="0"/>
          <w:sz w:val="24"/>
          <w:szCs w:val="24"/>
          <w:highlight w:val="none"/>
        </w:rPr>
        <w:t>。</w:t>
      </w:r>
    </w:p>
    <w:p w14:paraId="1A4E2FDA">
      <w:pPr>
        <w:tabs>
          <w:tab w:val="left" w:pos="851"/>
          <w:tab w:val="left" w:pos="993"/>
        </w:tabs>
        <w:snapToGrid w:val="0"/>
        <w:spacing w:line="360" w:lineRule="auto"/>
        <w:ind w:firstLine="482" w:firstLineChars="200"/>
        <w:rPr>
          <w:rFonts w:hint="eastAsia" w:ascii="仿宋" w:hAnsi="仿宋" w:eastAsia="仿宋" w:cs="仿宋"/>
          <w:b/>
          <w:bCs/>
          <w:color w:val="auto"/>
          <w:kern w:val="44"/>
          <w:sz w:val="24"/>
          <w:szCs w:val="24"/>
          <w:highlight w:val="none"/>
        </w:rPr>
      </w:pPr>
      <w:r>
        <w:rPr>
          <w:rFonts w:hint="eastAsia" w:ascii="仿宋" w:hAnsi="仿宋" w:eastAsia="仿宋" w:cs="仿宋"/>
          <w:b/>
          <w:bCs/>
          <w:color w:val="auto"/>
          <w:kern w:val="44"/>
          <w:sz w:val="24"/>
          <w:szCs w:val="24"/>
          <w:highlight w:val="none"/>
        </w:rPr>
        <w:t>3、考核办法</w:t>
      </w:r>
    </w:p>
    <w:p w14:paraId="276EA141">
      <w:pPr>
        <w:tabs>
          <w:tab w:val="left" w:pos="851"/>
          <w:tab w:val="left" w:pos="993"/>
        </w:tabs>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（1）月度检查考核成绩计算</w:t>
      </w:r>
    </w:p>
    <w:p w14:paraId="13F802C7">
      <w:pPr>
        <w:tabs>
          <w:tab w:val="left" w:pos="851"/>
          <w:tab w:val="left" w:pos="993"/>
        </w:tabs>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每个项目的检查考核均按百分制计算，根据现场检查得分计算出每个项目的实际分值。一类道路当月检查3次以上，二类检查2次以上，</w:t>
      </w:r>
      <w:r>
        <w:rPr>
          <w:rFonts w:hint="eastAsia" w:ascii="仿宋" w:hAnsi="仿宋" w:eastAsia="仿宋" w:cs="仿宋"/>
          <w:color w:val="auto"/>
          <w:kern w:val="0"/>
          <w:sz w:val="24"/>
          <w:szCs w:val="24"/>
          <w:highlight w:val="none"/>
          <w:lang w:eastAsia="zh-CN"/>
        </w:rPr>
        <w:t>三</w:t>
      </w:r>
      <w:r>
        <w:rPr>
          <w:rFonts w:hint="eastAsia" w:ascii="仿宋" w:hAnsi="仿宋" w:eastAsia="仿宋" w:cs="仿宋"/>
          <w:color w:val="auto"/>
          <w:kern w:val="0"/>
          <w:sz w:val="24"/>
          <w:szCs w:val="24"/>
          <w:highlight w:val="none"/>
        </w:rPr>
        <w:t>类检查</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次以上</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月度考核得分精确到小数点后一位。</w:t>
      </w:r>
    </w:p>
    <w:p w14:paraId="1EAC06D6">
      <w:pPr>
        <w:tabs>
          <w:tab w:val="left" w:pos="851"/>
          <w:tab w:val="left" w:pos="993"/>
        </w:tabs>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（2）季度、年度考核成绩计算，</w:t>
      </w:r>
    </w:p>
    <w:p w14:paraId="58EC148C">
      <w:pPr>
        <w:tabs>
          <w:tab w:val="left" w:pos="851"/>
          <w:tab w:val="left" w:pos="993"/>
        </w:tabs>
        <w:snapToGrid w:val="0"/>
        <w:spacing w:line="360" w:lineRule="auto"/>
        <w:ind w:firstLine="480" w:firstLineChars="200"/>
        <w:rPr>
          <w:rFonts w:hint="eastAsia" w:ascii="仿宋" w:hAnsi="仿宋" w:eastAsia="仿宋" w:cs="仿宋"/>
          <w:b/>
          <w:bCs/>
          <w:color w:val="auto"/>
          <w:kern w:val="0"/>
          <w:sz w:val="24"/>
          <w:szCs w:val="24"/>
          <w:highlight w:val="none"/>
        </w:rPr>
      </w:pPr>
      <w:r>
        <w:rPr>
          <w:rFonts w:hint="eastAsia" w:ascii="仿宋" w:hAnsi="仿宋" w:eastAsia="仿宋" w:cs="仿宋"/>
          <w:color w:val="auto"/>
          <w:kern w:val="0"/>
          <w:sz w:val="24"/>
          <w:szCs w:val="24"/>
          <w:highlight w:val="none"/>
        </w:rPr>
        <w:t>季度考核=每月度检查考核成绩得分之和÷3。年度考核成绩=每季度检查考核成绩得分之和÷4。</w:t>
      </w:r>
    </w:p>
    <w:p w14:paraId="17ABD4BF">
      <w:pPr>
        <w:tabs>
          <w:tab w:val="left" w:pos="851"/>
          <w:tab w:val="left" w:pos="993"/>
        </w:tabs>
        <w:snapToGrid w:val="0"/>
        <w:spacing w:line="360" w:lineRule="auto"/>
        <w:ind w:firstLine="482" w:firstLineChars="200"/>
        <w:rPr>
          <w:rFonts w:hint="eastAsia" w:ascii="仿宋" w:hAnsi="仿宋" w:eastAsia="仿宋" w:cs="仿宋"/>
          <w:b/>
          <w:bCs/>
          <w:color w:val="auto"/>
          <w:kern w:val="44"/>
          <w:sz w:val="24"/>
          <w:szCs w:val="24"/>
          <w:highlight w:val="none"/>
        </w:rPr>
      </w:pPr>
      <w:r>
        <w:rPr>
          <w:rFonts w:hint="eastAsia" w:ascii="仿宋" w:hAnsi="仿宋" w:eastAsia="仿宋" w:cs="仿宋"/>
          <w:b/>
          <w:bCs/>
          <w:color w:val="auto"/>
          <w:kern w:val="44"/>
          <w:sz w:val="24"/>
          <w:szCs w:val="24"/>
          <w:highlight w:val="none"/>
        </w:rPr>
        <w:t>4、成绩通报以及奖惩措施</w:t>
      </w:r>
    </w:p>
    <w:p w14:paraId="53043013">
      <w:pPr>
        <w:tabs>
          <w:tab w:val="left" w:pos="851"/>
          <w:tab w:val="left" w:pos="993"/>
        </w:tabs>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由采购人进行不定期巡回监督管理与每月考核。</w:t>
      </w:r>
    </w:p>
    <w:p w14:paraId="1B7F4971">
      <w:pPr>
        <w:tabs>
          <w:tab w:val="left" w:pos="851"/>
          <w:tab w:val="left" w:pos="993"/>
        </w:tabs>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每月至少对养护单位考核一次，考核路段都是由招标人现场选定，考核人员由招标单位道路综合考评小组组成，最后成绩通报养护单位；季度得分是取每月考核平均分（上级相关单位对招标单位的养护考核也纳入季度评分范畴），季度（百分制）得分在95分（含）以上的标段为优秀（优胜）单位，95-90分（含）为良好单位，90-85分（含）为达标（合格）单位，85分以下和应急响应中通报批评的为不合格单位。90分以下每少一分，扣去当季养护经费的2%；85分以下每少一分，扣去当季养护经费的4%。</w:t>
      </w:r>
    </w:p>
    <w:p w14:paraId="04040517">
      <w:pPr>
        <w:tabs>
          <w:tab w:val="left" w:pos="851"/>
          <w:tab w:val="left" w:pos="993"/>
        </w:tabs>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年度考核主要依据季度考核成绩进行汇总。</w:t>
      </w:r>
    </w:p>
    <w:p w14:paraId="0E3F4940">
      <w:pPr>
        <w:tabs>
          <w:tab w:val="left" w:pos="851"/>
          <w:tab w:val="left" w:pos="993"/>
        </w:tabs>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年度考核成绩通报：道路保洁管理检查考核年度（四个季度）平均得分在95分（含）以上的标段为优胜（优秀）单位，95-90分（含）为良好单位，90-85分（含）为达标（合格）单位，85分以下和应急响应中通报批评的为不合格单位。</w:t>
      </w:r>
    </w:p>
    <w:p w14:paraId="0075DEF9">
      <w:pPr>
        <w:tabs>
          <w:tab w:val="left" w:pos="851"/>
          <w:tab w:val="left" w:pos="993"/>
        </w:tabs>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市级以上抄告单处罚：市查（杭州市政府以上创建部门、杭州市以上新闻媒体部门等）抄告单，经核实为养护问题及责任的，按照扣除养护款2000元/件，逾期未整改的按照5000元/件扣款；杭州市信访部门中所发反映的养护问题，养护企业首先要及时整改，对保洁问题逾期未整改的按照2000元/件扣款；上述同一问题抄告3次以上不整改的，扣除当季度10-30%日常保洁养护费，影响严重的，终止养护合同。</w:t>
      </w:r>
    </w:p>
    <w:p w14:paraId="5C5C90ED">
      <w:pPr>
        <w:tabs>
          <w:tab w:val="left" w:pos="851"/>
          <w:tab w:val="left" w:pos="993"/>
        </w:tabs>
        <w:snapToGrid w:val="0"/>
        <w:spacing w:line="360" w:lineRule="auto"/>
        <w:ind w:firstLine="480" w:firstLineChars="200"/>
        <w:rPr>
          <w:rFonts w:hint="eastAsia" w:ascii="仿宋" w:hAnsi="仿宋" w:eastAsia="仿宋" w:cs="仿宋"/>
          <w:b/>
          <w:bCs/>
          <w:color w:val="auto"/>
          <w:kern w:val="0"/>
          <w:sz w:val="24"/>
          <w:szCs w:val="24"/>
          <w:highlight w:val="none"/>
        </w:rPr>
      </w:pPr>
      <w:r>
        <w:rPr>
          <w:rFonts w:hint="eastAsia" w:ascii="仿宋" w:hAnsi="仿宋" w:eastAsia="仿宋" w:cs="仿宋"/>
          <w:color w:val="auto"/>
          <w:kern w:val="0"/>
          <w:sz w:val="24"/>
          <w:szCs w:val="24"/>
          <w:highlight w:val="none"/>
        </w:rPr>
        <w:t>区查问题抄告单处罚：区级（区保洁管理部门、区级政府创建部门、区新闻媒体等）抄告问题，经核实为保洁养护问题及责任的，按照扣除养护款1000元/件，逾期未整改的按照4000元/件扣款；招标人、数字城管和信访部门中所发反映的养护问题，养护企业首先要及时整改，对养护问题逾期未整改的按照500元/件扣款；上述同一问题抄告3次以上不整改的，扣除当季度5-20%日常保洁养护费，影响严重的，终止养护合同。</w:t>
      </w:r>
    </w:p>
    <w:p w14:paraId="37074449">
      <w:pPr>
        <w:snapToGrid w:val="0"/>
        <w:spacing w:line="360" w:lineRule="auto"/>
        <w:ind w:firstLine="472" w:firstLineChars="196"/>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（二）</w:t>
      </w:r>
      <w:r>
        <w:rPr>
          <w:rFonts w:hint="eastAsia" w:ascii="仿宋" w:hAnsi="仿宋" w:eastAsia="仿宋" w:cs="仿宋"/>
          <w:b/>
          <w:bCs/>
          <w:color w:val="auto"/>
          <w:sz w:val="24"/>
          <w:szCs w:val="24"/>
          <w:highlight w:val="none"/>
        </w:rPr>
        <w:t>绿化养护</w:t>
      </w:r>
      <w:r>
        <w:rPr>
          <w:rFonts w:hint="eastAsia" w:ascii="仿宋" w:hAnsi="仿宋" w:eastAsia="仿宋" w:cs="仿宋"/>
          <w:b/>
          <w:bCs/>
          <w:color w:val="auto"/>
          <w:kern w:val="0"/>
          <w:sz w:val="24"/>
          <w:szCs w:val="24"/>
          <w:highlight w:val="none"/>
        </w:rPr>
        <w:t>标准、考核办法等</w:t>
      </w:r>
    </w:p>
    <w:p w14:paraId="3AE0D3B6">
      <w:pPr>
        <w:snapToGrid w:val="0"/>
        <w:spacing w:line="360" w:lineRule="auto"/>
        <w:ind w:firstLine="472" w:firstLineChars="196"/>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1、总体标准：</w:t>
      </w:r>
    </w:p>
    <w:p w14:paraId="735FCE6F">
      <w:pPr>
        <w:snapToGrid w:val="0"/>
        <w:spacing w:line="360" w:lineRule="auto"/>
        <w:ind w:firstLine="470" w:firstLineChars="196"/>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①体现植物造景，使植物季相分明，色彩丰富，生长茂盛，与植物生长的各阶段相适应，对植物群落进行合理养护，使植物群落完整，层次丰富。杜绝在绿地中出现黄土露天现象。②行道树和绿地乔木无缺株、死株，补植树品种、胸径、树高一致；树木支撑规范、统一、稳固，无断桩、坏桩，桩位扎缚规范化；树木修剪及时，无徒长枝、病虫枝、过密枝、枯枝、伤损枝；宿根植物及时翻种、断根、间删，无死株；行道树树穴土壤低于侧石，绿地乔木树穴无板结。③绿篱、色块小灌木，无缺株、小道、混种及黄土裸露，补植灌木品种、规格一致；道路色块灌木定期修剪，切边清晰。④草坪生长繁茂、平整，土壤低于园路或侧石；时花花期整齐，色彩效果好。⑤植物灌溉及时，肥力充足。⑥掌握病虫害情况，防治措施有效；树皮开裂或有孔洞及时填补，冬季刷白工作规范到位。⑦园路、铺装地坪平整，无破损、无积水、无淤泥；亭、廊及其它园林建筑保持安全，按时修缮，维护良好；指示牌、禁令牌、宣传牌放置合理，醒目、完善、规范；绿化带侧石、护栏完好，补修材料规格、颜色一致。⑧乔木叶面及色块叶面无严重积尘；树上无杂物和晾晒衣物等情况；绿地内无垃圾、石块、垃圾渣土、果壳、枯枝落叶等杂物；果壳箱清洁完好，箱内垃圾日产日清。⑨管理制度完善，养护管理人员配备到位；养护人员作业规范；管理人员巡查监管到位，无违章占绿情况。⑩有防台、抗雪、抗旱、保绿等应急预案及措施；档案资料完整，巡查记录、病虫害防治记录、绿地概况表等详尽。</w:t>
      </w:r>
    </w:p>
    <w:p w14:paraId="3B2F7DC8">
      <w:pPr>
        <w:snapToGrid w:val="0"/>
        <w:spacing w:line="360" w:lineRule="auto"/>
        <w:ind w:firstLine="472" w:firstLineChars="196"/>
        <w:jc w:val="left"/>
        <w:rPr>
          <w:rFonts w:hint="eastAsia" w:ascii="仿宋" w:hAnsi="仿宋" w:eastAsia="仿宋" w:cs="仿宋"/>
          <w:b/>
          <w:bCs/>
          <w:color w:val="auto"/>
          <w:kern w:val="0"/>
          <w:sz w:val="24"/>
          <w:szCs w:val="24"/>
          <w:highlight w:val="none"/>
        </w:rPr>
      </w:pPr>
    </w:p>
    <w:p w14:paraId="2D8A8771">
      <w:pPr>
        <w:snapToGrid w:val="0"/>
        <w:spacing w:line="360" w:lineRule="auto"/>
        <w:ind w:firstLine="472" w:firstLineChars="196"/>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2、公共绿地具体养护标准</w:t>
      </w:r>
    </w:p>
    <w:p w14:paraId="64FAD113">
      <w:pPr>
        <w:snapToGrid w:val="0"/>
        <w:spacing w:line="360" w:lineRule="auto"/>
        <w:ind w:firstLine="472" w:firstLineChars="196"/>
        <w:jc w:val="lef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 xml:space="preserve"> 一级绿地养护标准</w:t>
      </w:r>
      <w:r>
        <w:rPr>
          <w:rFonts w:hint="eastAsia" w:ascii="仿宋" w:hAnsi="仿宋" w:eastAsia="仿宋" w:cs="仿宋"/>
          <w:color w:val="auto"/>
          <w:kern w:val="0"/>
          <w:sz w:val="24"/>
          <w:szCs w:val="24"/>
          <w:highlight w:val="none"/>
        </w:rPr>
        <w:t>：①植物长势旺盛、树形完美，植株保存率100%，体现景观特色；徒长枝不超过20 cm；色块无窜条（高度大于15 cm）；草坪覆盖率100%，无杂草，定期修剪，草高不得超过8cm，常绿草高不得超过6cm，生长季节不枯黄。②一年施肥不得少于2次，有机肥0.5㎏/㎡、进口复合肥0.075㎏/㎡。③食叶害虫危害的叶片每株（㎡）发生率不超过5%，刺吸性害虫危害的叶片每株（㎡）发生率不超过10%，无蛀干性害虫的活虫、活卵。④绿化设施修缮一年不得少于一次。⑤绿地垃圾15分钟内清理完毕。</w:t>
      </w:r>
    </w:p>
    <w:p w14:paraId="2EC26938">
      <w:pPr>
        <w:snapToGrid w:val="0"/>
        <w:spacing w:line="360" w:lineRule="auto"/>
        <w:ind w:firstLine="472" w:firstLineChars="196"/>
        <w:jc w:val="lef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二级绿地养护标准</w:t>
      </w:r>
      <w:r>
        <w:rPr>
          <w:rFonts w:hint="eastAsia" w:ascii="仿宋" w:hAnsi="仿宋" w:eastAsia="仿宋" w:cs="仿宋"/>
          <w:color w:val="auto"/>
          <w:kern w:val="0"/>
          <w:sz w:val="24"/>
          <w:szCs w:val="24"/>
          <w:highlight w:val="none"/>
        </w:rPr>
        <w:t>：①植物生长势好，树形良好，黄叶、焦叶、卷叶的株数在2%以下，植株保存率100%，体现植物造景；徒长枝不超过20 cm；色块无窜条（高度大于20 cm）；草坪覆盖率大于95%，无大型和缠绕性、攀缘性杂草，零星区域的杂草控制在5cm以下，中心区不得有空秃现象、草高不得超过8cm，常绿草高不得超过6cm。②一年施肥不得少于2次，有机肥0.45㎏/㎡、进口复合肥0.065㎏/㎡。③食叶害虫危害的叶片每株（㎡）发生率不超过10%，刺吸性害虫危害的叶片每株（㎡）发生率不超过15%，蛀干性害虫危害的株数（㎡）在2%以下。④绿化设施修缮一年不得少于一次。⑤绿地垃圾0.5小时内清理完毕。</w:t>
      </w:r>
    </w:p>
    <w:p w14:paraId="2A65152E">
      <w:pPr>
        <w:snapToGrid w:val="0"/>
        <w:spacing w:line="360" w:lineRule="auto"/>
        <w:ind w:firstLine="472" w:firstLineChars="196"/>
        <w:jc w:val="lef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三级绿地养护标准</w:t>
      </w:r>
      <w:r>
        <w:rPr>
          <w:rFonts w:hint="eastAsia" w:ascii="仿宋" w:hAnsi="仿宋" w:eastAsia="仿宋" w:cs="仿宋"/>
          <w:color w:val="auto"/>
          <w:kern w:val="0"/>
          <w:sz w:val="24"/>
          <w:szCs w:val="24"/>
          <w:highlight w:val="none"/>
        </w:rPr>
        <w:t>：①植物生长势一般，黄叶、焦叶、卷叶的株数在10%以下，植株保存率不得少于98%；徒长枝不超过30 cm；色块无窜条（高度大于30 cm）；草坪覆盖率大于90%，无藤类杂草及大型杂草，中心区不得有空秃现象，草高不得超过10cm。②一年施肥不得少于2次，有机肥0.45㎏/㎡、进口复合肥0.060㎏/㎡。③食叶害虫危害的叶片每株（㎡）发生率不超过20%，刺吸性害虫危害的叶片每株（㎡）发生率不超过25%，蛀干性害虫危害的株（㎡）数在5%以下。④绿化设施修缮两年不得少于一次。⑤绿地垃圾1小时内清理完毕。</w:t>
      </w:r>
    </w:p>
    <w:p w14:paraId="604E8A29">
      <w:pPr>
        <w:snapToGrid w:val="0"/>
        <w:spacing w:line="360" w:lineRule="auto"/>
        <w:ind w:firstLine="472" w:firstLineChars="196"/>
        <w:jc w:val="lef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其他绿地养护标准：</w:t>
      </w:r>
      <w:r>
        <w:rPr>
          <w:rFonts w:hint="eastAsia" w:ascii="仿宋" w:hAnsi="仿宋" w:eastAsia="仿宋" w:cs="仿宋"/>
          <w:color w:val="auto"/>
          <w:kern w:val="0"/>
          <w:sz w:val="24"/>
          <w:szCs w:val="24"/>
          <w:highlight w:val="none"/>
        </w:rPr>
        <w:t>①植物生长势一般，黄叶、焦叶、卷叶的株数在15%以下，植株保存率不得少于95%；徒长枝不超过30 cm；色块无窜条（高度大于30 cm）；草坪覆盖率大于85%，无藤类杂草及大型杂草，中心区不得有空秃现象、草高不得超过10cm。②一年施肥不得少于2次，有机肥0.35㎏/㎡、进口复合肥0.055㎏/㎡。③食叶害虫危害的叶片每株（㎡）发生率不超过25%，刺吸性害虫危害的叶片每株（㎡）发生率不超过30%，蛀干性害虫危害的株（㎡）数在10%以下。④绿化设施修缮两年不得少于一次。⑤绿地垃圾2小时内清理完毕。</w:t>
      </w:r>
    </w:p>
    <w:p w14:paraId="5013C426">
      <w:pPr>
        <w:snapToGrid w:val="0"/>
        <w:spacing w:line="360" w:lineRule="auto"/>
        <w:ind w:firstLine="472" w:firstLineChars="196"/>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3、考核办法等</w:t>
      </w:r>
    </w:p>
    <w:p w14:paraId="14485FF3">
      <w:pPr>
        <w:snapToGrid w:val="0"/>
        <w:spacing w:line="360" w:lineRule="auto"/>
        <w:ind w:firstLine="472" w:firstLineChars="196"/>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通过日常检查、专项考核、定期检查、杭州市“双最”考核、年度考核等方式对招标绿地进行养护质量考核及奖惩（以下所涉及到的扣除养护费为日常绿化养护费）。</w:t>
      </w:r>
    </w:p>
    <w:p w14:paraId="263180D4">
      <w:pPr>
        <w:snapToGrid w:val="0"/>
        <w:spacing w:line="360" w:lineRule="auto"/>
        <w:ind w:firstLine="470" w:firstLineChars="196"/>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日常检查是指采购人不定期对城区绿地养护质量情况进行的监督和抽查，同时接受其他政府机构、社会团体、市民群众的监督检查。对管养绿地中发现养护中存在的问题，采购人以《公共绿地养护问题抄告单》、《工作联系单》、新闻媒体、信访件、数字城管等形式向养护企业发出整改，并要求养护企业在规定的时间内完成整改和反馈工作。对市查、区查抄告问题在规定时间不落实整改的，采购人有权扣除一定的养护费进行处罚；对社会影响恶劣、造成重大养护责任事故的，采购人有权单方面终止合同。</w:t>
      </w:r>
    </w:p>
    <w:p w14:paraId="6C1DDF47">
      <w:pPr>
        <w:snapToGrid w:val="0"/>
        <w:spacing w:line="360" w:lineRule="auto"/>
        <w:ind w:firstLine="470" w:firstLineChars="196"/>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①市级以上抄告单处罚：市查（杭州市采购人、杭州市政府以上创建部门、杭州市以上新闻媒体部门等）抄告单，经核实为养护问题及责任的，按照扣除养护款1000元/件，逾期未整改的按照3000元/件扣款；杭州市绿化网和信访部门中所发反映的养护问题，养护企业首先要及时整改，对养护问题逾期未整改的按照1000元/件扣款；上述同一问题抄告3次以上不整改的，扣除当季度10-30%日常绿化养护费，影响严重的，终止养护合同。</w:t>
      </w:r>
    </w:p>
    <w:p w14:paraId="5231A192">
      <w:pPr>
        <w:snapToGrid w:val="0"/>
        <w:spacing w:line="360" w:lineRule="auto"/>
        <w:ind w:firstLine="470" w:firstLineChars="196"/>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②区查问题抄告单处罚：区级（区绿化管理部门、区级政府创建部门、区新闻媒体等）抄告问题，经核实为养护问题及责任的，按照扣除养护款500元/件，逾期未整改的按照2000元/件扣款；采购人、数字城管和信访部门中所发反映的养护问题，养护企业首先要及时整改，对养护问题逾期未整改的按照500元/件扣款；上述同一问题抄告3次以上不整改的，扣除当季度5-20%日常绿化养护费，影响严重的，终止养护合同。</w:t>
      </w:r>
    </w:p>
    <w:p w14:paraId="0069D27B">
      <w:pPr>
        <w:snapToGrid w:val="0"/>
        <w:spacing w:line="360" w:lineRule="auto"/>
        <w:ind w:firstLine="470" w:firstLineChars="196"/>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专项考核是指对日常养护中绿化工人作业在岗率、施肥、浇水、植物修剪、设施维修、补植、病虫害防治、应急响应等大的养护作业工作进行专项考核。对大的养护作业完成不及时、不到位的养护企业，采购人有权扣除一定的养护费进行处罚。</w:t>
      </w:r>
    </w:p>
    <w:p w14:paraId="46129B01">
      <w:pPr>
        <w:snapToGrid w:val="0"/>
        <w:spacing w:line="360" w:lineRule="auto"/>
        <w:ind w:firstLine="470" w:firstLineChars="196"/>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①本绿化标段的养护工人作业没有按照要求配备，采购人有权要求限期整改，逾期未整改的，经巡查发现，绿化养护工人当季作业平均在岗率达不到50%的，采购人应扣除养护企业当季30%日常绿化养护费；养护人员作业平均抽查率在达不到60-80%的，采购人应扣除养护企业当季5-10%日常绿化养护费。养护企业不守承诺、无意不发工人工资、无意克扣工人工资、福利的，造成工人集体上访，影响较坏的，采购人应扣除养护企业当季10-30%日常绿化养护费；不整改、不反省、影响极坏的，终止合同。</w:t>
      </w:r>
    </w:p>
    <w:p w14:paraId="3F8AC990">
      <w:pPr>
        <w:snapToGrid w:val="0"/>
        <w:spacing w:line="360" w:lineRule="auto"/>
        <w:ind w:firstLine="470" w:firstLineChars="196"/>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②绿化施肥每年不少于2次，每次用腐熟豆饼或复合肥0.5kg／㎡，检查发现，施肥率（施肥率=实际施肥量÷核实施肥量）达不到要求的，并逾期未整改的，施肥率达不到50%的，采购人应扣除养护企业当季10%日常绿化养护费；施肥率达不到60-80%的，采购人应扣除养护企业当季2-5%日常绿化养护费。</w:t>
      </w:r>
    </w:p>
    <w:p w14:paraId="4176AC32">
      <w:pPr>
        <w:snapToGrid w:val="0"/>
        <w:spacing w:line="360" w:lineRule="auto"/>
        <w:ind w:firstLine="470" w:firstLineChars="196"/>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③绿化病虫害防治要求综合防治，以防为主。病虫害危害应控制在以不影响观赏效果的范围之内，其中食叶性害虫危害的叶片，每株不超过5%；刺吸性害虫危害的叶片，每株不超过10%；无蛀干性害虫的活虫、活卵。检查病虫害发生率达非常严重的（食叶性害虫危害的叶片，每株超过20%；刺吸性害虫危害的叶片，每株超过40%），扣除当季15%日常绿化养护费；检查病虫害发生率达较为严重的（食叶性害虫危害的叶片，每株超过15%；刺吸性害虫危害的叶片，每株超过30%），扣除当季5%日常绿化养护费；检查病虫害发生率达严重的（食叶性害虫危害的叶片，每株超过5%；刺吸性害虫危害的叶片，每株超过10%），扣除当季2%日常绿化养护费。</w:t>
      </w:r>
    </w:p>
    <w:p w14:paraId="06330806">
      <w:pPr>
        <w:snapToGrid w:val="0"/>
        <w:spacing w:line="360" w:lineRule="auto"/>
        <w:ind w:firstLine="470" w:firstLineChars="196"/>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④绿化浇水：养护企业需及时发现、及时补充绿化所需水份，要求合理浇灌，确保绿化苗木不因缺水而枯死或浇水过多至植物淹死；天气炎热时，养护企业应抗旱保绿工作，及时给喜阴植物搭建遮阴网。因养护企业管养不到位，造成绿地绿植死亡共计达到10㎡（含）以上的，采购人应扣除养护企业当季5-10%日常绿化养护费，并要求立即补植整改。</w:t>
      </w:r>
    </w:p>
    <w:p w14:paraId="27B6044A">
      <w:pPr>
        <w:snapToGrid w:val="0"/>
        <w:spacing w:line="360" w:lineRule="auto"/>
        <w:ind w:firstLine="470" w:firstLineChars="196"/>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⑤应急响应（抗旱、防汛、抗台、抗寒、抗雪、其他养护应急任务等）不到位，通报批评的，采购人应扣除养护企业当季5-20%日常绿化养护费，并定为为不合格企业。</w:t>
      </w:r>
    </w:p>
    <w:p w14:paraId="19CC6025">
      <w:pPr>
        <w:snapToGrid w:val="0"/>
        <w:spacing w:line="360" w:lineRule="auto"/>
        <w:ind w:firstLine="470" w:firstLineChars="196"/>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定期检查是指每季度由采购人负责人牵头，会同其他相关部门人员参加，对城区招标绿地进行养护质量定期检查。定期检查中问题按照《杭州市临平区园林绿化养护管理考核评分细则》进行评分。城区绿地养护质量检查通报每季开展一次，并由采购人予以点评考核及付款情况。</w:t>
      </w:r>
    </w:p>
    <w:p w14:paraId="32345D96">
      <w:pPr>
        <w:snapToGrid w:val="0"/>
        <w:spacing w:line="360" w:lineRule="auto"/>
        <w:ind w:firstLine="470" w:firstLineChars="196"/>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季度检查考核（百分制）得分在95分（含）以上的标段为优秀单位，95-93分（含）为良好（优胜）单位，93-90分（含）为达标（合格）单位，90分以下和应急响应中通报批评的为不合格单位。</w:t>
      </w:r>
    </w:p>
    <w:p w14:paraId="6B7B82F2">
      <w:pPr>
        <w:snapToGrid w:val="0"/>
        <w:spacing w:line="360" w:lineRule="auto"/>
        <w:ind w:firstLine="470" w:firstLineChars="196"/>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4.年度考核主要依据定期考核成绩进行汇总，并对各城区绿地养护质量进行综合评定。年度考评结果由区城管局予以公布。</w:t>
      </w:r>
    </w:p>
    <w:p w14:paraId="1273B096">
      <w:pPr>
        <w:snapToGrid w:val="0"/>
        <w:spacing w:line="360" w:lineRule="auto"/>
        <w:ind w:firstLine="470" w:firstLineChars="196"/>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年度考核成绩通报：招标绿地养护管理检查考核年度（四个季度）平均得分在95分（含）以上的标段为优秀单位，95-93分（含）为良好（优胜）单位，93-90分（含）为达标（合格）单位，90分以下和应急响应中通报批评的为不合格单位。</w:t>
      </w:r>
    </w:p>
    <w:p w14:paraId="32C4827E">
      <w:pPr>
        <w:snapToGrid w:val="0"/>
        <w:spacing w:line="360" w:lineRule="auto"/>
        <w:ind w:firstLine="472" w:firstLineChars="196"/>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（三）</w:t>
      </w:r>
      <w:r>
        <w:rPr>
          <w:rFonts w:hint="eastAsia" w:ascii="仿宋" w:hAnsi="仿宋" w:eastAsia="仿宋" w:cs="仿宋"/>
          <w:b/>
          <w:bCs/>
          <w:color w:val="auto"/>
          <w:sz w:val="24"/>
          <w:szCs w:val="24"/>
          <w:highlight w:val="none"/>
        </w:rPr>
        <w:t>市政养护标准</w:t>
      </w:r>
      <w:r>
        <w:rPr>
          <w:rFonts w:hint="eastAsia" w:ascii="仿宋" w:hAnsi="仿宋" w:eastAsia="仿宋" w:cs="仿宋"/>
          <w:b/>
          <w:bCs/>
          <w:color w:val="auto"/>
          <w:kern w:val="0"/>
          <w:sz w:val="24"/>
          <w:szCs w:val="24"/>
          <w:highlight w:val="none"/>
        </w:rPr>
        <w:t>、考核办法等</w:t>
      </w:r>
    </w:p>
    <w:p w14:paraId="50416B32">
      <w:pPr>
        <w:snapToGrid w:val="0"/>
        <w:spacing w:line="360" w:lineRule="auto"/>
        <w:ind w:firstLine="472" w:firstLineChars="196"/>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1、一级市政养护标准：</w:t>
      </w:r>
    </w:p>
    <w:p w14:paraId="6AFE72C9">
      <w:pPr>
        <w:snapToGrid w:val="0"/>
        <w:spacing w:line="360" w:lineRule="auto"/>
        <w:ind w:firstLine="470" w:firstLineChars="196"/>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①人行道板铺砌平整，牢固稳定，裂缝长度小于1m或宽度小于5mm，下沉或拱起变形小于20mm或面积小于1㎡；无堆积物、障碍物，平侧石整齐稳固，线型顺直；道板铺装材料统一，砌块及平侧石松动破碎面积小于0.1㎡。②沥青及混凝土路面线裂缝宽度小于5mm；网裂、碎裂面积小于0.1㎡；泛油、车辙、沉陷、坑槽、搓板、拥包、剥落、脱皮、烂边、啃边面积小于0.1㎡；雨水检查井、雨水篦子以及其他井盖与道路标高保持一致，误差不大于15mm；窨井盖无缺失、破损、断裂、反盖、错盖等现象；雨天路面临时积水面积每处不超过2m2（积水深度3cm以上）。③路灯及附属设施完好率达99％，外观整洁、安全、完好；按时亮灯熄灯，亮灯率达99％，重大节假日及大型活动期间亮灯率达100%。④排水设施完好，无阻水物，泄水孔、排水管道通畅，积泥深度不超过1/5管径；检查井安全防护网设置到位。⑤桥面平整完好，无裂缝、坑槽、破损；梁板外形整洁，无麻面、变形、开裂、锈蚀、通缝；伸缩缝外形整齐平整牢固无破损、阻塞；支座安全有效整洁，无破损、锈蚀、污秽；墩台墙柱外形齐整，无剥落锈蚀、破损、开裂变形，设置墩台沉降观测点；基础牢固完整，无冲毁冻胀、下沉、位移开裂；栏杆结构牢固无破损；泄水孔、排水管道、落水管无堵塞损坏、残缺脱落；挡墙等基础牢固，无破损、开裂变形；桥名、限重等标志齐全清晰，无缺少、破损。</w:t>
      </w:r>
    </w:p>
    <w:p w14:paraId="7A7B40DE">
      <w:pPr>
        <w:snapToGrid w:val="0"/>
        <w:spacing w:line="360" w:lineRule="auto"/>
        <w:ind w:firstLine="472" w:firstLineChars="196"/>
        <w:jc w:val="lef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二级市政设施养护标准：</w:t>
      </w:r>
      <w:r>
        <w:rPr>
          <w:rFonts w:hint="eastAsia" w:ascii="仿宋" w:hAnsi="仿宋" w:eastAsia="仿宋" w:cs="仿宋"/>
          <w:color w:val="auto"/>
          <w:kern w:val="0"/>
          <w:sz w:val="24"/>
          <w:szCs w:val="24"/>
          <w:highlight w:val="none"/>
        </w:rPr>
        <w:t>①人行道表面平整，砌块无松动，裂缝长度小于1m或宽度小于6mm，下沉或拱起变形小于25mm或面积小于1.5㎡；无堆积物、障碍物，平侧石整齐稳固，线型顺直；道板铺装材料统一，砌块及平侧石松动破碎面积小于0.3㎡。②沥青及混凝土路面线裂缝宽度小于6mm；网裂、碎裂面积小于0.5㎡；泛油、车辙、沉陷、坑槽、搓板、拥包、剥落、脱皮、烂边、啃边面积小于0.5㎡；雨水检查井、雨水篦子以及其他井盖与道路标高保持一致，误差不大于20mm；窨井盖无缺失、破损、断裂、反盖、错盖等现象；雨天路面临时积水面积每处不超过4m2（积水深度3cm以上）。③路灯及附属设施完好率达98％，外观整洁、安全、完好；按时亮灯熄灯，亮灯率达98％，重大节假日及大型活动期间亮灯率达100%。④排水设施完好，无阻水物，泄水孔、排水管道通畅，积泥深度不超过1/5管径。⑤桥面平整完好，无裂缝、坑槽、破损；梁板外形整洁，无麻面、变形、开裂、锈蚀、通缝；伸缩缝外形整齐平整牢固无破损、阻塞；支座安全有效整洁，无破损、锈蚀、污秽；墩台墙柱外形齐整，无剥落锈蚀、破损、开裂变形，设置墩台沉降观测点；基础牢固完整，无冲毁冻胀、下沉、位移开裂；栏杆结构牢固无破损；泄水孔、排水管道、落水管无堵塞损坏、残缺脱落；挡墙等基础牢固，无破损、开裂变形；桥名、限重等标志齐全清晰，无缺少、破损。</w:t>
      </w:r>
    </w:p>
    <w:p w14:paraId="06ED48CC">
      <w:pPr>
        <w:snapToGrid w:val="0"/>
        <w:spacing w:line="360" w:lineRule="auto"/>
        <w:ind w:firstLine="472" w:firstLineChars="196"/>
        <w:jc w:val="lef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三级市政设施养护：</w:t>
      </w:r>
      <w:r>
        <w:rPr>
          <w:rFonts w:hint="eastAsia" w:ascii="仿宋" w:hAnsi="仿宋" w:eastAsia="仿宋" w:cs="仿宋"/>
          <w:color w:val="auto"/>
          <w:kern w:val="0"/>
          <w:sz w:val="24"/>
          <w:szCs w:val="24"/>
          <w:highlight w:val="none"/>
        </w:rPr>
        <w:t>①人行道板表面平整，无积水，裂缝长度小于3m或宽度小于7mm，下沉或拱起变形小于25mm或面积小于2㎡；无堆积物、障碍物，平侧石整齐稳固，线型顺直；道板铺装材料统一，砌块及平侧石松动破碎面积小于0.5㎡。②沥青及混凝土路面线裂缝宽度小于7mm；网裂、碎裂面积小于1㎡；泛油、车辙、沉陷、坑槽、搓板、拥包、剥落、脱皮、烂边、啃边面积小于1㎡；雨水检查井、雨水篦子以及其他井盖与道路标高保持一致，误差不大于20mm；窨井盖无缺失、破损、断裂、反盖、错盖等现象；雨天路面临时积水面积每处不超过6m</w:t>
      </w:r>
      <w:r>
        <w:rPr>
          <w:rFonts w:hint="eastAsia" w:ascii="仿宋" w:hAnsi="仿宋" w:eastAsia="仿宋" w:cs="仿宋"/>
          <w:color w:val="auto"/>
          <w:kern w:val="0"/>
          <w:sz w:val="24"/>
          <w:szCs w:val="24"/>
          <w:highlight w:val="none"/>
          <w:vertAlign w:val="superscript"/>
        </w:rPr>
        <w:t>2</w:t>
      </w:r>
      <w:r>
        <w:rPr>
          <w:rFonts w:hint="eastAsia" w:ascii="仿宋" w:hAnsi="仿宋" w:eastAsia="仿宋" w:cs="仿宋"/>
          <w:color w:val="auto"/>
          <w:kern w:val="0"/>
          <w:sz w:val="24"/>
          <w:szCs w:val="24"/>
          <w:highlight w:val="none"/>
        </w:rPr>
        <w:t>（积水深度5cm以上）。③路灯及附属设施完好率达97％，外观整洁、安全、完好；按时亮灯熄灯，亮灯率达97％，重大节假日及大型活动期间亮灯率达100%。④排水设施完好，无阻水物，泄水孔、排水管道通畅，积泥深度不超过1/3管径。⑤桥面平整完好，无裂缝、坑槽、破损；梁板外形整洁，无麻面、变形、开裂、锈蚀、通缝；伸缩缝外形整齐平整牢固无破损、阻塞；支座安全有效整洁，无破损、锈蚀、污秽；墩台墙柱外形齐整，无剥落锈蚀、破损、开裂变形，设置墩台沉降观测点；基础牢固完整，无冲毁冻胀、下沉、位移开裂；栏杆结构牢固无破损；泄水孔、排水管道、落水管无堵塞损坏、残缺脱落；挡墙等基础牢固，无破损、开裂变形；桥名、限重等标志齐全清晰，无缺少、破损。</w:t>
      </w:r>
    </w:p>
    <w:p w14:paraId="0FEF5E7A">
      <w:pPr>
        <w:snapToGrid w:val="0"/>
        <w:spacing w:line="360" w:lineRule="auto"/>
        <w:ind w:firstLine="472" w:firstLineChars="196"/>
        <w:jc w:val="lef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其他市政设施养护：</w:t>
      </w:r>
      <w:r>
        <w:rPr>
          <w:rFonts w:hint="eastAsia" w:ascii="仿宋" w:hAnsi="仿宋" w:eastAsia="仿宋" w:cs="仿宋"/>
          <w:color w:val="auto"/>
          <w:kern w:val="0"/>
          <w:sz w:val="24"/>
          <w:szCs w:val="24"/>
          <w:highlight w:val="none"/>
        </w:rPr>
        <w:t>参照三级市政设施养护标准实施。</w:t>
      </w:r>
    </w:p>
    <w:p w14:paraId="5886CDEF">
      <w:pPr>
        <w:snapToGrid w:val="0"/>
        <w:spacing w:line="360" w:lineRule="auto"/>
        <w:ind w:firstLine="472" w:firstLineChars="196"/>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2、考核办法及奖惩制度</w:t>
      </w:r>
    </w:p>
    <w:p w14:paraId="561548CF">
      <w:pPr>
        <w:snapToGri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南苑街道市政道路养护设施考核评分细则</w:t>
      </w:r>
    </w:p>
    <w:tbl>
      <w:tblPr>
        <w:tblStyle w:val="62"/>
        <w:tblW w:w="0" w:type="auto"/>
        <w:jc w:val="center"/>
        <w:tblLayout w:type="fixed"/>
        <w:tblCellMar>
          <w:top w:w="0" w:type="dxa"/>
          <w:left w:w="108" w:type="dxa"/>
          <w:bottom w:w="0" w:type="dxa"/>
          <w:right w:w="108" w:type="dxa"/>
        </w:tblCellMar>
      </w:tblPr>
      <w:tblGrid>
        <w:gridCol w:w="828"/>
        <w:gridCol w:w="1460"/>
        <w:gridCol w:w="361"/>
        <w:gridCol w:w="2649"/>
        <w:gridCol w:w="2990"/>
        <w:gridCol w:w="772"/>
      </w:tblGrid>
      <w:tr w14:paraId="24065925">
        <w:tblPrEx>
          <w:tblCellMar>
            <w:top w:w="0" w:type="dxa"/>
            <w:left w:w="108" w:type="dxa"/>
            <w:bottom w:w="0" w:type="dxa"/>
            <w:right w:w="108" w:type="dxa"/>
          </w:tblCellMar>
        </w:tblPrEx>
        <w:trPr>
          <w:trHeight w:val="565"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14:paraId="161EA0F2">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考核   项目</w:t>
            </w:r>
          </w:p>
        </w:tc>
        <w:tc>
          <w:tcPr>
            <w:tcW w:w="1460" w:type="dxa"/>
            <w:tcBorders>
              <w:top w:val="single" w:color="auto" w:sz="4" w:space="0"/>
              <w:left w:val="nil"/>
              <w:bottom w:val="single" w:color="auto" w:sz="4" w:space="0"/>
              <w:right w:val="single" w:color="auto" w:sz="4" w:space="0"/>
            </w:tcBorders>
            <w:noWrap/>
            <w:vAlign w:val="center"/>
          </w:tcPr>
          <w:p w14:paraId="0E45BD04">
            <w:pPr>
              <w:spacing w:line="360" w:lineRule="auto"/>
              <w:jc w:val="center"/>
              <w:rPr>
                <w:rFonts w:hint="eastAsia" w:ascii="仿宋" w:hAnsi="仿宋" w:eastAsia="仿宋" w:cs="仿宋"/>
                <w:color w:val="auto"/>
                <w:kern w:val="0"/>
                <w:sz w:val="24"/>
                <w:szCs w:val="24"/>
                <w:highlight w:val="none"/>
              </w:rPr>
            </w:pPr>
          </w:p>
          <w:p w14:paraId="11417FFB">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考核内容</w:t>
            </w:r>
          </w:p>
        </w:tc>
        <w:tc>
          <w:tcPr>
            <w:tcW w:w="6000" w:type="dxa"/>
            <w:gridSpan w:val="3"/>
            <w:tcBorders>
              <w:top w:val="single" w:color="auto" w:sz="4" w:space="0"/>
              <w:left w:val="nil"/>
              <w:bottom w:val="single" w:color="auto" w:sz="4" w:space="0"/>
              <w:right w:val="single" w:color="auto" w:sz="4" w:space="0"/>
            </w:tcBorders>
            <w:noWrap/>
            <w:vAlign w:val="center"/>
          </w:tcPr>
          <w:p w14:paraId="2F0BED8B">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评分标准</w:t>
            </w:r>
          </w:p>
        </w:tc>
        <w:tc>
          <w:tcPr>
            <w:tcW w:w="772" w:type="dxa"/>
            <w:tcBorders>
              <w:top w:val="single" w:color="auto" w:sz="4" w:space="0"/>
              <w:left w:val="nil"/>
              <w:bottom w:val="single" w:color="auto" w:sz="4" w:space="0"/>
              <w:right w:val="single" w:color="auto" w:sz="4" w:space="0"/>
            </w:tcBorders>
            <w:noWrap/>
            <w:vAlign w:val="center"/>
          </w:tcPr>
          <w:p w14:paraId="004E785F">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考核    </w:t>
            </w:r>
          </w:p>
          <w:p w14:paraId="43E380F6">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分数</w:t>
            </w:r>
          </w:p>
        </w:tc>
      </w:tr>
      <w:tr w14:paraId="331444BF">
        <w:tblPrEx>
          <w:tblCellMar>
            <w:top w:w="0" w:type="dxa"/>
            <w:left w:w="108" w:type="dxa"/>
            <w:bottom w:w="0" w:type="dxa"/>
            <w:right w:w="108" w:type="dxa"/>
          </w:tblCellMar>
        </w:tblPrEx>
        <w:trPr>
          <w:cantSplit/>
          <w:trHeight w:val="1454" w:hRule="atLeast"/>
          <w:jc w:val="center"/>
        </w:trPr>
        <w:tc>
          <w:tcPr>
            <w:tcW w:w="828" w:type="dxa"/>
            <w:vMerge w:val="restart"/>
            <w:tcBorders>
              <w:top w:val="nil"/>
              <w:left w:val="single" w:color="auto" w:sz="4" w:space="0"/>
              <w:bottom w:val="single" w:color="auto" w:sz="4" w:space="0"/>
              <w:right w:val="single" w:color="auto" w:sz="4" w:space="0"/>
            </w:tcBorders>
            <w:noWrap/>
            <w:vAlign w:val="center"/>
          </w:tcPr>
          <w:p w14:paraId="46F62849">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道路    设施</w:t>
            </w:r>
          </w:p>
          <w:p w14:paraId="2A8CD361">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养护</w:t>
            </w:r>
          </w:p>
          <w:p w14:paraId="1F6EEBFE">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60分</w:t>
            </w:r>
          </w:p>
        </w:tc>
        <w:tc>
          <w:tcPr>
            <w:tcW w:w="1460" w:type="dxa"/>
            <w:tcBorders>
              <w:top w:val="single" w:color="auto" w:sz="4" w:space="0"/>
              <w:left w:val="nil"/>
              <w:bottom w:val="single" w:color="auto" w:sz="4" w:space="0"/>
              <w:right w:val="single" w:color="auto" w:sz="4" w:space="0"/>
            </w:tcBorders>
            <w:noWrap/>
            <w:vAlign w:val="center"/>
          </w:tcPr>
          <w:p w14:paraId="377B0174">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路面养护</w:t>
            </w:r>
          </w:p>
        </w:tc>
        <w:tc>
          <w:tcPr>
            <w:tcW w:w="6000" w:type="dxa"/>
            <w:gridSpan w:val="3"/>
            <w:tcBorders>
              <w:top w:val="single" w:color="auto" w:sz="4" w:space="0"/>
              <w:left w:val="nil"/>
              <w:bottom w:val="single" w:color="auto" w:sz="4" w:space="0"/>
              <w:right w:val="single" w:color="auto" w:sz="4" w:space="0"/>
            </w:tcBorders>
            <w:noWrap/>
            <w:vAlign w:val="center"/>
          </w:tcPr>
          <w:p w14:paraId="62AC9F91">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路面裂缝每处扣1分,超出养护标准2倍扣1.5分；路面破损、网裂、接坡每处扣1.5分；1平方米以内坑洞、坑槽每处扣1.5分、超出1平方米扣3分；下沉造成较大面积积水每处扣2分；路面其他病害每处扣1分。</w:t>
            </w:r>
          </w:p>
        </w:tc>
        <w:tc>
          <w:tcPr>
            <w:tcW w:w="772" w:type="dxa"/>
            <w:tcBorders>
              <w:top w:val="single" w:color="auto" w:sz="4" w:space="0"/>
              <w:left w:val="nil"/>
              <w:bottom w:val="single" w:color="auto" w:sz="4" w:space="0"/>
              <w:right w:val="single" w:color="auto" w:sz="4" w:space="0"/>
            </w:tcBorders>
            <w:noWrap/>
            <w:vAlign w:val="center"/>
          </w:tcPr>
          <w:p w14:paraId="21F315F5">
            <w:pPr>
              <w:spacing w:line="360" w:lineRule="auto"/>
              <w:rPr>
                <w:rFonts w:hint="eastAsia" w:ascii="仿宋" w:hAnsi="仿宋" w:eastAsia="仿宋" w:cs="仿宋"/>
                <w:color w:val="auto"/>
                <w:kern w:val="0"/>
                <w:sz w:val="24"/>
                <w:szCs w:val="24"/>
                <w:highlight w:val="none"/>
              </w:rPr>
            </w:pPr>
          </w:p>
        </w:tc>
      </w:tr>
      <w:tr w14:paraId="01CBB9C7">
        <w:tblPrEx>
          <w:tblCellMar>
            <w:top w:w="0" w:type="dxa"/>
            <w:left w:w="108" w:type="dxa"/>
            <w:bottom w:w="0" w:type="dxa"/>
            <w:right w:w="108" w:type="dxa"/>
          </w:tblCellMar>
        </w:tblPrEx>
        <w:trPr>
          <w:cantSplit/>
          <w:trHeight w:val="1388" w:hRule="atLeast"/>
          <w:jc w:val="center"/>
        </w:trPr>
        <w:tc>
          <w:tcPr>
            <w:tcW w:w="828" w:type="dxa"/>
            <w:vMerge w:val="continue"/>
            <w:tcBorders>
              <w:top w:val="nil"/>
              <w:left w:val="single" w:color="auto" w:sz="4" w:space="0"/>
              <w:bottom w:val="single" w:color="auto" w:sz="4" w:space="0"/>
              <w:right w:val="single" w:color="auto" w:sz="4" w:space="0"/>
            </w:tcBorders>
            <w:noWrap/>
            <w:vAlign w:val="center"/>
          </w:tcPr>
          <w:p w14:paraId="2DF9FF7A">
            <w:pPr>
              <w:widowControl/>
              <w:spacing w:line="360" w:lineRule="auto"/>
              <w:jc w:val="left"/>
              <w:rPr>
                <w:rFonts w:hint="eastAsia" w:ascii="仿宋" w:hAnsi="仿宋" w:eastAsia="仿宋" w:cs="仿宋"/>
                <w:color w:val="auto"/>
                <w:kern w:val="0"/>
                <w:sz w:val="24"/>
                <w:szCs w:val="24"/>
                <w:highlight w:val="none"/>
              </w:rPr>
            </w:pPr>
          </w:p>
        </w:tc>
        <w:tc>
          <w:tcPr>
            <w:tcW w:w="1460" w:type="dxa"/>
            <w:tcBorders>
              <w:top w:val="single" w:color="auto" w:sz="4" w:space="0"/>
              <w:left w:val="nil"/>
              <w:bottom w:val="single" w:color="auto" w:sz="4" w:space="0"/>
              <w:right w:val="single" w:color="auto" w:sz="4" w:space="0"/>
            </w:tcBorders>
            <w:noWrap/>
            <w:vAlign w:val="center"/>
          </w:tcPr>
          <w:p w14:paraId="53A01246">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人行道养护</w:t>
            </w:r>
          </w:p>
        </w:tc>
        <w:tc>
          <w:tcPr>
            <w:tcW w:w="6000" w:type="dxa"/>
            <w:gridSpan w:val="3"/>
            <w:tcBorders>
              <w:top w:val="single" w:color="auto" w:sz="4" w:space="0"/>
              <w:left w:val="nil"/>
              <w:bottom w:val="single" w:color="auto" w:sz="4" w:space="0"/>
              <w:right w:val="single" w:color="auto" w:sz="4" w:space="0"/>
            </w:tcBorders>
            <w:noWrap/>
            <w:vAlign w:val="center"/>
          </w:tcPr>
          <w:p w14:paraId="5D1C1F0F">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人行道破损每处扣1分、松动每处扣0.5分，超出养护标准2倍扣1.5分；1平方米以内坑洞、坑槽每处扣1.5分、超出1平方扣3分；平侧石破损每处扣1分；无障碍设施不规范每处扣2分；人行道其他病害每处1分。</w:t>
            </w:r>
          </w:p>
        </w:tc>
        <w:tc>
          <w:tcPr>
            <w:tcW w:w="772" w:type="dxa"/>
            <w:tcBorders>
              <w:top w:val="single" w:color="auto" w:sz="4" w:space="0"/>
              <w:left w:val="nil"/>
              <w:bottom w:val="single" w:color="auto" w:sz="4" w:space="0"/>
              <w:right w:val="single" w:color="auto" w:sz="4" w:space="0"/>
            </w:tcBorders>
            <w:noWrap/>
            <w:vAlign w:val="center"/>
          </w:tcPr>
          <w:p w14:paraId="3299DDF4">
            <w:pPr>
              <w:spacing w:line="360" w:lineRule="auto"/>
              <w:rPr>
                <w:rFonts w:hint="eastAsia" w:ascii="仿宋" w:hAnsi="仿宋" w:eastAsia="仿宋" w:cs="仿宋"/>
                <w:color w:val="auto"/>
                <w:kern w:val="0"/>
                <w:sz w:val="24"/>
                <w:szCs w:val="24"/>
                <w:highlight w:val="none"/>
              </w:rPr>
            </w:pPr>
          </w:p>
        </w:tc>
      </w:tr>
      <w:tr w14:paraId="7DCF40CE">
        <w:tblPrEx>
          <w:tblCellMar>
            <w:top w:w="0" w:type="dxa"/>
            <w:left w:w="108" w:type="dxa"/>
            <w:bottom w:w="0" w:type="dxa"/>
            <w:right w:w="108" w:type="dxa"/>
          </w:tblCellMar>
        </w:tblPrEx>
        <w:trPr>
          <w:cantSplit/>
          <w:trHeight w:val="744" w:hRule="atLeast"/>
          <w:jc w:val="center"/>
        </w:trPr>
        <w:tc>
          <w:tcPr>
            <w:tcW w:w="828" w:type="dxa"/>
            <w:vMerge w:val="continue"/>
            <w:tcBorders>
              <w:top w:val="nil"/>
              <w:left w:val="single" w:color="auto" w:sz="4" w:space="0"/>
              <w:bottom w:val="single" w:color="auto" w:sz="4" w:space="0"/>
              <w:right w:val="single" w:color="auto" w:sz="4" w:space="0"/>
            </w:tcBorders>
            <w:noWrap/>
            <w:vAlign w:val="center"/>
          </w:tcPr>
          <w:p w14:paraId="3C9B4135">
            <w:pPr>
              <w:widowControl/>
              <w:spacing w:line="360" w:lineRule="auto"/>
              <w:jc w:val="left"/>
              <w:rPr>
                <w:rFonts w:hint="eastAsia" w:ascii="仿宋" w:hAnsi="仿宋" w:eastAsia="仿宋" w:cs="仿宋"/>
                <w:color w:val="auto"/>
                <w:kern w:val="0"/>
                <w:sz w:val="24"/>
                <w:szCs w:val="24"/>
                <w:highlight w:val="none"/>
              </w:rPr>
            </w:pPr>
          </w:p>
        </w:tc>
        <w:tc>
          <w:tcPr>
            <w:tcW w:w="1460" w:type="dxa"/>
            <w:tcBorders>
              <w:top w:val="single" w:color="auto" w:sz="4" w:space="0"/>
              <w:left w:val="nil"/>
              <w:bottom w:val="single" w:color="auto" w:sz="4" w:space="0"/>
              <w:right w:val="single" w:color="auto" w:sz="4" w:space="0"/>
            </w:tcBorders>
            <w:noWrap/>
            <w:vAlign w:val="center"/>
          </w:tcPr>
          <w:p w14:paraId="0AA7C1BD">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市政基础设施完整率</w:t>
            </w:r>
          </w:p>
        </w:tc>
        <w:tc>
          <w:tcPr>
            <w:tcW w:w="6000" w:type="dxa"/>
            <w:gridSpan w:val="3"/>
            <w:tcBorders>
              <w:top w:val="single" w:color="auto" w:sz="4" w:space="0"/>
              <w:left w:val="nil"/>
              <w:bottom w:val="single" w:color="auto" w:sz="4" w:space="0"/>
              <w:right w:val="single" w:color="auto" w:sz="4" w:space="0"/>
            </w:tcBorders>
            <w:noWrap/>
            <w:vAlign w:val="center"/>
          </w:tcPr>
          <w:p w14:paraId="65B6FFD9">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道路无人行道设施或人行道成段断缺、未设置无障碍设施等每处扣3-5分。</w:t>
            </w:r>
          </w:p>
        </w:tc>
        <w:tc>
          <w:tcPr>
            <w:tcW w:w="772" w:type="dxa"/>
            <w:tcBorders>
              <w:top w:val="single" w:color="auto" w:sz="4" w:space="0"/>
              <w:left w:val="nil"/>
              <w:bottom w:val="single" w:color="auto" w:sz="4" w:space="0"/>
              <w:right w:val="single" w:color="auto" w:sz="4" w:space="0"/>
            </w:tcBorders>
            <w:noWrap/>
            <w:vAlign w:val="center"/>
          </w:tcPr>
          <w:p w14:paraId="0F042295">
            <w:pPr>
              <w:spacing w:line="360" w:lineRule="auto"/>
              <w:rPr>
                <w:rFonts w:hint="eastAsia" w:ascii="仿宋" w:hAnsi="仿宋" w:eastAsia="仿宋" w:cs="仿宋"/>
                <w:color w:val="auto"/>
                <w:kern w:val="0"/>
                <w:sz w:val="24"/>
                <w:szCs w:val="24"/>
                <w:highlight w:val="none"/>
              </w:rPr>
            </w:pPr>
          </w:p>
        </w:tc>
      </w:tr>
      <w:tr w14:paraId="615A139E">
        <w:tblPrEx>
          <w:tblCellMar>
            <w:top w:w="0" w:type="dxa"/>
            <w:left w:w="108" w:type="dxa"/>
            <w:bottom w:w="0" w:type="dxa"/>
            <w:right w:w="108" w:type="dxa"/>
          </w:tblCellMar>
        </w:tblPrEx>
        <w:trPr>
          <w:cantSplit/>
          <w:trHeight w:val="1023" w:hRule="atLeast"/>
          <w:jc w:val="center"/>
        </w:trPr>
        <w:tc>
          <w:tcPr>
            <w:tcW w:w="828" w:type="dxa"/>
            <w:tcBorders>
              <w:top w:val="nil"/>
              <w:left w:val="single" w:color="auto" w:sz="4" w:space="0"/>
              <w:bottom w:val="single" w:color="auto" w:sz="4" w:space="0"/>
              <w:right w:val="single" w:color="auto" w:sz="4" w:space="0"/>
            </w:tcBorders>
            <w:noWrap/>
            <w:vAlign w:val="center"/>
          </w:tcPr>
          <w:p w14:paraId="60567136">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数字城管案件20分</w:t>
            </w:r>
          </w:p>
        </w:tc>
        <w:tc>
          <w:tcPr>
            <w:tcW w:w="1460" w:type="dxa"/>
            <w:tcBorders>
              <w:top w:val="single" w:color="auto" w:sz="4" w:space="0"/>
              <w:left w:val="nil"/>
              <w:bottom w:val="single" w:color="auto" w:sz="4" w:space="0"/>
              <w:right w:val="single" w:color="auto" w:sz="4" w:space="0"/>
            </w:tcBorders>
            <w:noWrap/>
            <w:vAlign w:val="center"/>
          </w:tcPr>
          <w:p w14:paraId="1347865B">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数字城管案件量</w:t>
            </w:r>
          </w:p>
        </w:tc>
        <w:tc>
          <w:tcPr>
            <w:tcW w:w="6000" w:type="dxa"/>
            <w:gridSpan w:val="3"/>
            <w:tcBorders>
              <w:top w:val="single" w:color="auto" w:sz="4" w:space="0"/>
              <w:left w:val="nil"/>
              <w:bottom w:val="single" w:color="auto" w:sz="4" w:space="0"/>
              <w:right w:val="single" w:color="auto" w:sz="4" w:space="0"/>
            </w:tcBorders>
            <w:noWrap/>
            <w:vAlign w:val="center"/>
          </w:tcPr>
          <w:p w14:paraId="46495A0D">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每月200起案件为基数，201-250扣2分，251-300扣4分，301-350扣6分，每增加50件扣2分，以此类推上限扣20分。</w:t>
            </w:r>
          </w:p>
        </w:tc>
        <w:tc>
          <w:tcPr>
            <w:tcW w:w="772" w:type="dxa"/>
            <w:tcBorders>
              <w:top w:val="single" w:color="auto" w:sz="4" w:space="0"/>
              <w:left w:val="nil"/>
              <w:bottom w:val="single" w:color="auto" w:sz="4" w:space="0"/>
              <w:right w:val="single" w:color="auto" w:sz="4" w:space="0"/>
            </w:tcBorders>
            <w:noWrap/>
            <w:vAlign w:val="center"/>
          </w:tcPr>
          <w:p w14:paraId="565D36A8">
            <w:pPr>
              <w:spacing w:line="360" w:lineRule="auto"/>
              <w:rPr>
                <w:rFonts w:hint="eastAsia" w:ascii="仿宋" w:hAnsi="仿宋" w:eastAsia="仿宋" w:cs="仿宋"/>
                <w:color w:val="auto"/>
                <w:kern w:val="0"/>
                <w:sz w:val="24"/>
                <w:szCs w:val="24"/>
                <w:highlight w:val="none"/>
              </w:rPr>
            </w:pPr>
          </w:p>
        </w:tc>
      </w:tr>
      <w:tr w14:paraId="3192A2D1">
        <w:tblPrEx>
          <w:tblCellMar>
            <w:top w:w="0" w:type="dxa"/>
            <w:left w:w="108" w:type="dxa"/>
            <w:bottom w:w="0" w:type="dxa"/>
            <w:right w:w="108" w:type="dxa"/>
          </w:tblCellMar>
        </w:tblPrEx>
        <w:trPr>
          <w:cantSplit/>
          <w:trHeight w:val="576" w:hRule="atLeast"/>
          <w:jc w:val="center"/>
        </w:trPr>
        <w:tc>
          <w:tcPr>
            <w:tcW w:w="828" w:type="dxa"/>
            <w:vMerge w:val="restart"/>
            <w:tcBorders>
              <w:top w:val="single" w:color="auto" w:sz="4" w:space="0"/>
              <w:left w:val="single" w:color="auto" w:sz="4" w:space="0"/>
              <w:bottom w:val="single" w:color="auto" w:sz="4" w:space="0"/>
              <w:right w:val="single" w:color="auto" w:sz="4" w:space="0"/>
            </w:tcBorders>
            <w:noWrap/>
            <w:vAlign w:val="center"/>
          </w:tcPr>
          <w:p w14:paraId="06F5EF1E">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桥梁设施养护</w:t>
            </w:r>
          </w:p>
          <w:p w14:paraId="32291084">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10分</w:t>
            </w:r>
          </w:p>
        </w:tc>
        <w:tc>
          <w:tcPr>
            <w:tcW w:w="1460" w:type="dxa"/>
            <w:vMerge w:val="restart"/>
            <w:tcBorders>
              <w:top w:val="single" w:color="auto" w:sz="4" w:space="0"/>
              <w:left w:val="single" w:color="auto" w:sz="4" w:space="0"/>
              <w:bottom w:val="single" w:color="auto" w:sz="4" w:space="0"/>
              <w:right w:val="single" w:color="auto" w:sz="4" w:space="0"/>
            </w:tcBorders>
            <w:noWrap/>
            <w:vAlign w:val="center"/>
          </w:tcPr>
          <w:p w14:paraId="69903DEC">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桥梁上（下）部结构、栏杆、排水设施、附属设施养护</w:t>
            </w:r>
          </w:p>
        </w:tc>
        <w:tc>
          <w:tcPr>
            <w:tcW w:w="6000" w:type="dxa"/>
            <w:gridSpan w:val="3"/>
            <w:tcBorders>
              <w:top w:val="single" w:color="auto" w:sz="4" w:space="0"/>
              <w:left w:val="single" w:color="auto" w:sz="4" w:space="0"/>
              <w:bottom w:val="single" w:color="auto" w:sz="4" w:space="0"/>
              <w:right w:val="single" w:color="auto" w:sz="4" w:space="0"/>
            </w:tcBorders>
            <w:noWrap/>
            <w:vAlign w:val="center"/>
          </w:tcPr>
          <w:p w14:paraId="52922C93">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桥面裂缝、坑槽、破损、伸缩缝破损、支座破损锈蚀等每处扣1分。</w:t>
            </w:r>
          </w:p>
        </w:tc>
        <w:tc>
          <w:tcPr>
            <w:tcW w:w="772" w:type="dxa"/>
            <w:tcBorders>
              <w:top w:val="single" w:color="auto" w:sz="4" w:space="0"/>
              <w:left w:val="single" w:color="auto" w:sz="4" w:space="0"/>
              <w:bottom w:val="single" w:color="auto" w:sz="4" w:space="0"/>
              <w:right w:val="single" w:color="auto" w:sz="4" w:space="0"/>
            </w:tcBorders>
            <w:noWrap/>
            <w:vAlign w:val="center"/>
          </w:tcPr>
          <w:p w14:paraId="6F913167">
            <w:pPr>
              <w:spacing w:line="360" w:lineRule="auto"/>
              <w:rPr>
                <w:rFonts w:hint="eastAsia" w:ascii="仿宋" w:hAnsi="仿宋" w:eastAsia="仿宋" w:cs="仿宋"/>
                <w:color w:val="auto"/>
                <w:kern w:val="0"/>
                <w:sz w:val="24"/>
                <w:szCs w:val="24"/>
                <w:highlight w:val="none"/>
              </w:rPr>
            </w:pPr>
          </w:p>
        </w:tc>
      </w:tr>
      <w:tr w14:paraId="19EDC3BE">
        <w:tblPrEx>
          <w:tblCellMar>
            <w:top w:w="0" w:type="dxa"/>
            <w:left w:w="108" w:type="dxa"/>
            <w:bottom w:w="0" w:type="dxa"/>
            <w:right w:w="108" w:type="dxa"/>
          </w:tblCellMar>
        </w:tblPrEx>
        <w:trPr>
          <w:cantSplit/>
          <w:trHeight w:val="455"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14:paraId="3742BD09">
            <w:pPr>
              <w:widowControl/>
              <w:spacing w:line="360" w:lineRule="auto"/>
              <w:jc w:val="left"/>
              <w:rPr>
                <w:rFonts w:hint="eastAsia" w:ascii="仿宋" w:hAnsi="仿宋" w:eastAsia="仿宋" w:cs="仿宋"/>
                <w:color w:val="auto"/>
                <w:kern w:val="0"/>
                <w:sz w:val="24"/>
                <w:szCs w:val="24"/>
                <w:highlight w:val="none"/>
              </w:rPr>
            </w:pPr>
          </w:p>
        </w:tc>
        <w:tc>
          <w:tcPr>
            <w:tcW w:w="1460" w:type="dxa"/>
            <w:vMerge w:val="continue"/>
            <w:tcBorders>
              <w:top w:val="single" w:color="auto" w:sz="4" w:space="0"/>
              <w:left w:val="nil"/>
              <w:bottom w:val="single" w:color="auto" w:sz="4" w:space="0"/>
              <w:right w:val="single" w:color="auto" w:sz="4" w:space="0"/>
            </w:tcBorders>
            <w:noWrap/>
            <w:vAlign w:val="center"/>
          </w:tcPr>
          <w:p w14:paraId="14E3AD64">
            <w:pPr>
              <w:widowControl/>
              <w:spacing w:line="360" w:lineRule="auto"/>
              <w:jc w:val="left"/>
              <w:rPr>
                <w:rFonts w:hint="eastAsia" w:ascii="仿宋" w:hAnsi="仿宋" w:eastAsia="仿宋" w:cs="仿宋"/>
                <w:color w:val="auto"/>
                <w:kern w:val="0"/>
                <w:sz w:val="24"/>
                <w:szCs w:val="24"/>
                <w:highlight w:val="none"/>
              </w:rPr>
            </w:pPr>
          </w:p>
        </w:tc>
        <w:tc>
          <w:tcPr>
            <w:tcW w:w="6000" w:type="dxa"/>
            <w:gridSpan w:val="3"/>
            <w:tcBorders>
              <w:top w:val="single" w:color="auto" w:sz="4" w:space="0"/>
              <w:left w:val="nil"/>
              <w:bottom w:val="single" w:color="auto" w:sz="4" w:space="0"/>
              <w:right w:val="single" w:color="auto" w:sz="4" w:space="0"/>
            </w:tcBorders>
            <w:noWrap/>
            <w:vAlign w:val="center"/>
          </w:tcPr>
          <w:p w14:paraId="16E5A321">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墩台墙柱开裂每处扣0.5分，基础下沉扣0.5分， 基础位移扣1分。</w:t>
            </w:r>
          </w:p>
        </w:tc>
        <w:tc>
          <w:tcPr>
            <w:tcW w:w="772" w:type="dxa"/>
            <w:tcBorders>
              <w:top w:val="single" w:color="auto" w:sz="4" w:space="0"/>
              <w:left w:val="nil"/>
              <w:bottom w:val="single" w:color="auto" w:sz="4" w:space="0"/>
              <w:right w:val="single" w:color="auto" w:sz="4" w:space="0"/>
            </w:tcBorders>
            <w:noWrap/>
            <w:vAlign w:val="center"/>
          </w:tcPr>
          <w:p w14:paraId="1BE01307">
            <w:pPr>
              <w:spacing w:line="360" w:lineRule="auto"/>
              <w:rPr>
                <w:rFonts w:hint="eastAsia" w:ascii="仿宋" w:hAnsi="仿宋" w:eastAsia="仿宋" w:cs="仿宋"/>
                <w:color w:val="auto"/>
                <w:kern w:val="0"/>
                <w:sz w:val="24"/>
                <w:szCs w:val="24"/>
                <w:highlight w:val="none"/>
              </w:rPr>
            </w:pPr>
          </w:p>
        </w:tc>
      </w:tr>
      <w:tr w14:paraId="3969DF0C">
        <w:tblPrEx>
          <w:tblCellMar>
            <w:top w:w="0" w:type="dxa"/>
            <w:left w:w="108" w:type="dxa"/>
            <w:bottom w:w="0" w:type="dxa"/>
            <w:right w:w="108" w:type="dxa"/>
          </w:tblCellMar>
        </w:tblPrEx>
        <w:trPr>
          <w:cantSplit/>
          <w:trHeight w:val="686" w:hRule="atLeast"/>
          <w:jc w:val="center"/>
        </w:trPr>
        <w:tc>
          <w:tcPr>
            <w:tcW w:w="828" w:type="dxa"/>
            <w:vMerge w:val="continue"/>
            <w:tcBorders>
              <w:top w:val="nil"/>
              <w:left w:val="single" w:color="auto" w:sz="4" w:space="0"/>
              <w:bottom w:val="single" w:color="auto" w:sz="4" w:space="0"/>
              <w:right w:val="single" w:color="auto" w:sz="4" w:space="0"/>
            </w:tcBorders>
            <w:noWrap/>
            <w:vAlign w:val="center"/>
          </w:tcPr>
          <w:p w14:paraId="64691F85">
            <w:pPr>
              <w:widowControl/>
              <w:spacing w:line="360" w:lineRule="auto"/>
              <w:jc w:val="left"/>
              <w:rPr>
                <w:rFonts w:hint="eastAsia" w:ascii="仿宋" w:hAnsi="仿宋" w:eastAsia="仿宋" w:cs="仿宋"/>
                <w:color w:val="auto"/>
                <w:kern w:val="0"/>
                <w:sz w:val="24"/>
                <w:szCs w:val="24"/>
                <w:highlight w:val="none"/>
              </w:rPr>
            </w:pPr>
          </w:p>
        </w:tc>
        <w:tc>
          <w:tcPr>
            <w:tcW w:w="1460" w:type="dxa"/>
            <w:vMerge w:val="continue"/>
            <w:tcBorders>
              <w:top w:val="nil"/>
              <w:left w:val="nil"/>
              <w:bottom w:val="single" w:color="auto" w:sz="4" w:space="0"/>
              <w:right w:val="single" w:color="auto" w:sz="4" w:space="0"/>
            </w:tcBorders>
            <w:noWrap/>
            <w:vAlign w:val="center"/>
          </w:tcPr>
          <w:p w14:paraId="5594E854">
            <w:pPr>
              <w:widowControl/>
              <w:spacing w:line="360" w:lineRule="auto"/>
              <w:jc w:val="left"/>
              <w:rPr>
                <w:rFonts w:hint="eastAsia" w:ascii="仿宋" w:hAnsi="仿宋" w:eastAsia="仿宋" w:cs="仿宋"/>
                <w:color w:val="auto"/>
                <w:kern w:val="0"/>
                <w:sz w:val="24"/>
                <w:szCs w:val="24"/>
                <w:highlight w:val="none"/>
              </w:rPr>
            </w:pPr>
          </w:p>
        </w:tc>
        <w:tc>
          <w:tcPr>
            <w:tcW w:w="6000" w:type="dxa"/>
            <w:gridSpan w:val="3"/>
            <w:tcBorders>
              <w:top w:val="single" w:color="auto" w:sz="4" w:space="0"/>
              <w:left w:val="nil"/>
              <w:bottom w:val="single" w:color="auto" w:sz="4" w:space="0"/>
              <w:right w:val="single" w:color="auto" w:sz="4" w:space="0"/>
            </w:tcBorders>
            <w:noWrap/>
            <w:vAlign w:val="center"/>
          </w:tcPr>
          <w:p w14:paraId="1F39E015">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栏杆结构不牢、破损、排水设施破损、堵塞、挡墙损坏开裂每处扣1分，特别严重的扣2分，指示牌破损每处扣1分。</w:t>
            </w:r>
          </w:p>
        </w:tc>
        <w:tc>
          <w:tcPr>
            <w:tcW w:w="772" w:type="dxa"/>
            <w:tcBorders>
              <w:top w:val="single" w:color="auto" w:sz="4" w:space="0"/>
              <w:left w:val="nil"/>
              <w:bottom w:val="single" w:color="auto" w:sz="4" w:space="0"/>
              <w:right w:val="single" w:color="auto" w:sz="4" w:space="0"/>
            </w:tcBorders>
            <w:noWrap/>
            <w:vAlign w:val="center"/>
          </w:tcPr>
          <w:p w14:paraId="2665CFB2">
            <w:pPr>
              <w:spacing w:line="360" w:lineRule="auto"/>
              <w:rPr>
                <w:rFonts w:hint="eastAsia" w:ascii="仿宋" w:hAnsi="仿宋" w:eastAsia="仿宋" w:cs="仿宋"/>
                <w:color w:val="auto"/>
                <w:kern w:val="0"/>
                <w:sz w:val="24"/>
                <w:szCs w:val="24"/>
                <w:highlight w:val="none"/>
              </w:rPr>
            </w:pPr>
          </w:p>
        </w:tc>
      </w:tr>
      <w:tr w14:paraId="7254CB0C">
        <w:tblPrEx>
          <w:tblCellMar>
            <w:top w:w="0" w:type="dxa"/>
            <w:left w:w="108" w:type="dxa"/>
            <w:bottom w:w="0" w:type="dxa"/>
            <w:right w:w="108" w:type="dxa"/>
          </w:tblCellMar>
        </w:tblPrEx>
        <w:trPr>
          <w:trHeight w:val="653" w:hRule="atLeast"/>
          <w:jc w:val="center"/>
        </w:trPr>
        <w:tc>
          <w:tcPr>
            <w:tcW w:w="828" w:type="dxa"/>
            <w:vMerge w:val="restart"/>
            <w:tcBorders>
              <w:top w:val="single" w:color="auto" w:sz="4" w:space="0"/>
              <w:left w:val="single" w:color="auto" w:sz="4" w:space="0"/>
              <w:bottom w:val="single" w:color="auto" w:sz="4" w:space="0"/>
              <w:right w:val="single" w:color="auto" w:sz="4" w:space="0"/>
            </w:tcBorders>
            <w:noWrap/>
            <w:vAlign w:val="center"/>
          </w:tcPr>
          <w:p w14:paraId="5991D2AE">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安全文明施工</w:t>
            </w:r>
          </w:p>
          <w:p w14:paraId="18D076F3">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5分</w:t>
            </w:r>
          </w:p>
        </w:tc>
        <w:tc>
          <w:tcPr>
            <w:tcW w:w="1460" w:type="dxa"/>
            <w:vMerge w:val="restart"/>
            <w:tcBorders>
              <w:top w:val="single" w:color="auto" w:sz="4" w:space="0"/>
              <w:left w:val="single" w:color="auto" w:sz="4" w:space="0"/>
              <w:bottom w:val="single" w:color="auto" w:sz="4" w:space="0"/>
              <w:right w:val="single" w:color="auto" w:sz="4" w:space="0"/>
            </w:tcBorders>
            <w:noWrap/>
            <w:vAlign w:val="center"/>
          </w:tcPr>
          <w:p w14:paraId="7FFFB476">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养护作业</w:t>
            </w:r>
          </w:p>
        </w:tc>
        <w:tc>
          <w:tcPr>
            <w:tcW w:w="6000" w:type="dxa"/>
            <w:gridSpan w:val="3"/>
            <w:tcBorders>
              <w:top w:val="single" w:color="auto" w:sz="4" w:space="0"/>
              <w:left w:val="single" w:color="auto" w:sz="4" w:space="0"/>
              <w:bottom w:val="single" w:color="auto" w:sz="4" w:space="0"/>
              <w:right w:val="single" w:color="auto" w:sz="4" w:space="0"/>
            </w:tcBorders>
            <w:noWrap/>
            <w:vAlign w:val="center"/>
          </w:tcPr>
          <w:p w14:paraId="13D70B99">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发现违章及不规范施工每次扣1分，养护不当存在安全隐患的每处扣2分。</w:t>
            </w:r>
          </w:p>
        </w:tc>
        <w:tc>
          <w:tcPr>
            <w:tcW w:w="772" w:type="dxa"/>
            <w:tcBorders>
              <w:top w:val="single" w:color="auto" w:sz="4" w:space="0"/>
              <w:left w:val="single" w:color="auto" w:sz="4" w:space="0"/>
              <w:bottom w:val="single" w:color="auto" w:sz="4" w:space="0"/>
              <w:right w:val="single" w:color="auto" w:sz="4" w:space="0"/>
            </w:tcBorders>
            <w:noWrap/>
            <w:vAlign w:val="center"/>
          </w:tcPr>
          <w:p w14:paraId="70B74DD7">
            <w:pPr>
              <w:spacing w:line="360" w:lineRule="auto"/>
              <w:rPr>
                <w:rFonts w:hint="eastAsia" w:ascii="仿宋" w:hAnsi="仿宋" w:eastAsia="仿宋" w:cs="仿宋"/>
                <w:color w:val="auto"/>
                <w:kern w:val="0"/>
                <w:sz w:val="24"/>
                <w:szCs w:val="24"/>
                <w:highlight w:val="none"/>
              </w:rPr>
            </w:pPr>
          </w:p>
        </w:tc>
      </w:tr>
      <w:tr w14:paraId="7937E471">
        <w:tblPrEx>
          <w:tblCellMar>
            <w:top w:w="0" w:type="dxa"/>
            <w:left w:w="108" w:type="dxa"/>
            <w:bottom w:w="0" w:type="dxa"/>
            <w:right w:w="108" w:type="dxa"/>
          </w:tblCellMar>
        </w:tblPrEx>
        <w:trPr>
          <w:trHeight w:val="460"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14:paraId="0BA8F4E5">
            <w:pPr>
              <w:widowControl/>
              <w:spacing w:line="360" w:lineRule="auto"/>
              <w:jc w:val="left"/>
              <w:rPr>
                <w:rFonts w:hint="eastAsia" w:ascii="仿宋" w:hAnsi="仿宋" w:eastAsia="仿宋" w:cs="仿宋"/>
                <w:color w:val="auto"/>
                <w:kern w:val="0"/>
                <w:sz w:val="24"/>
                <w:szCs w:val="24"/>
                <w:highlight w:val="none"/>
              </w:rPr>
            </w:pPr>
          </w:p>
        </w:tc>
        <w:tc>
          <w:tcPr>
            <w:tcW w:w="1460" w:type="dxa"/>
            <w:vMerge w:val="continue"/>
            <w:tcBorders>
              <w:top w:val="single" w:color="auto" w:sz="4" w:space="0"/>
              <w:left w:val="single" w:color="auto" w:sz="4" w:space="0"/>
              <w:bottom w:val="single" w:color="auto" w:sz="4" w:space="0"/>
              <w:right w:val="single" w:color="auto" w:sz="4" w:space="0"/>
            </w:tcBorders>
            <w:noWrap/>
            <w:vAlign w:val="center"/>
          </w:tcPr>
          <w:p w14:paraId="0FACD3A4">
            <w:pPr>
              <w:widowControl/>
              <w:spacing w:line="360" w:lineRule="auto"/>
              <w:jc w:val="left"/>
              <w:rPr>
                <w:rFonts w:hint="eastAsia" w:ascii="仿宋" w:hAnsi="仿宋" w:eastAsia="仿宋" w:cs="仿宋"/>
                <w:color w:val="auto"/>
                <w:kern w:val="0"/>
                <w:sz w:val="24"/>
                <w:szCs w:val="24"/>
                <w:highlight w:val="none"/>
              </w:rPr>
            </w:pPr>
          </w:p>
        </w:tc>
        <w:tc>
          <w:tcPr>
            <w:tcW w:w="6000" w:type="dxa"/>
            <w:gridSpan w:val="3"/>
            <w:tcBorders>
              <w:top w:val="single" w:color="auto" w:sz="4" w:space="0"/>
              <w:left w:val="single" w:color="auto" w:sz="4" w:space="0"/>
              <w:bottom w:val="single" w:color="auto" w:sz="4" w:space="0"/>
              <w:right w:val="single" w:color="auto" w:sz="4" w:space="0"/>
            </w:tcBorders>
            <w:noWrap/>
            <w:vAlign w:val="center"/>
          </w:tcPr>
          <w:p w14:paraId="6732F414">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不文明施工，无围护扣1分、围护不到位扣1分、着装不规范扣1分。</w:t>
            </w:r>
          </w:p>
        </w:tc>
        <w:tc>
          <w:tcPr>
            <w:tcW w:w="772" w:type="dxa"/>
            <w:tcBorders>
              <w:top w:val="single" w:color="auto" w:sz="4" w:space="0"/>
              <w:left w:val="single" w:color="auto" w:sz="4" w:space="0"/>
              <w:bottom w:val="single" w:color="auto" w:sz="4" w:space="0"/>
              <w:right w:val="single" w:color="auto" w:sz="4" w:space="0"/>
            </w:tcBorders>
            <w:noWrap/>
            <w:vAlign w:val="center"/>
          </w:tcPr>
          <w:p w14:paraId="53D87ACE">
            <w:pPr>
              <w:spacing w:line="360" w:lineRule="auto"/>
              <w:rPr>
                <w:rFonts w:hint="eastAsia" w:ascii="仿宋" w:hAnsi="仿宋" w:eastAsia="仿宋" w:cs="仿宋"/>
                <w:color w:val="auto"/>
                <w:kern w:val="0"/>
                <w:sz w:val="24"/>
                <w:szCs w:val="24"/>
                <w:highlight w:val="none"/>
              </w:rPr>
            </w:pPr>
          </w:p>
        </w:tc>
      </w:tr>
      <w:tr w14:paraId="69E025E9">
        <w:tblPrEx>
          <w:tblCellMar>
            <w:top w:w="0" w:type="dxa"/>
            <w:left w:w="108" w:type="dxa"/>
            <w:bottom w:w="0" w:type="dxa"/>
            <w:right w:w="108" w:type="dxa"/>
          </w:tblCellMar>
        </w:tblPrEx>
        <w:trPr>
          <w:trHeight w:val="610"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14:paraId="41BF5733">
            <w:pPr>
              <w:widowControl/>
              <w:spacing w:line="360" w:lineRule="auto"/>
              <w:jc w:val="left"/>
              <w:rPr>
                <w:rFonts w:hint="eastAsia" w:ascii="仿宋" w:hAnsi="仿宋" w:eastAsia="仿宋" w:cs="仿宋"/>
                <w:color w:val="auto"/>
                <w:kern w:val="0"/>
                <w:sz w:val="24"/>
                <w:szCs w:val="24"/>
                <w:highlight w:val="none"/>
              </w:rPr>
            </w:pPr>
          </w:p>
        </w:tc>
        <w:tc>
          <w:tcPr>
            <w:tcW w:w="1460" w:type="dxa"/>
            <w:tcBorders>
              <w:top w:val="single" w:color="auto" w:sz="4" w:space="0"/>
              <w:left w:val="single" w:color="auto" w:sz="4" w:space="0"/>
              <w:bottom w:val="single" w:color="auto" w:sz="4" w:space="0"/>
              <w:right w:val="single" w:color="auto" w:sz="4" w:space="0"/>
            </w:tcBorders>
            <w:noWrap/>
            <w:vAlign w:val="center"/>
          </w:tcPr>
          <w:p w14:paraId="219704C7">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监督管理</w:t>
            </w:r>
          </w:p>
        </w:tc>
        <w:tc>
          <w:tcPr>
            <w:tcW w:w="6000" w:type="dxa"/>
            <w:gridSpan w:val="3"/>
            <w:tcBorders>
              <w:top w:val="single" w:color="auto" w:sz="4" w:space="0"/>
              <w:left w:val="single" w:color="auto" w:sz="4" w:space="0"/>
              <w:bottom w:val="single" w:color="auto" w:sz="4" w:space="0"/>
              <w:right w:val="single" w:color="auto" w:sz="4" w:space="0"/>
            </w:tcBorders>
            <w:noWrap/>
            <w:vAlign w:val="center"/>
          </w:tcPr>
          <w:p w14:paraId="5994CEFD">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未经审批私自开挖市政道路或未按市政养护规范要求恢复等每处扣1分。</w:t>
            </w:r>
          </w:p>
        </w:tc>
        <w:tc>
          <w:tcPr>
            <w:tcW w:w="772" w:type="dxa"/>
            <w:tcBorders>
              <w:top w:val="single" w:color="auto" w:sz="4" w:space="0"/>
              <w:left w:val="single" w:color="auto" w:sz="4" w:space="0"/>
              <w:bottom w:val="single" w:color="auto" w:sz="4" w:space="0"/>
              <w:right w:val="single" w:color="auto" w:sz="4" w:space="0"/>
            </w:tcBorders>
            <w:noWrap/>
            <w:vAlign w:val="center"/>
          </w:tcPr>
          <w:p w14:paraId="51C9F01E">
            <w:pPr>
              <w:spacing w:line="360" w:lineRule="auto"/>
              <w:rPr>
                <w:rFonts w:hint="eastAsia" w:ascii="仿宋" w:hAnsi="仿宋" w:eastAsia="仿宋" w:cs="仿宋"/>
                <w:color w:val="auto"/>
                <w:kern w:val="0"/>
                <w:sz w:val="24"/>
                <w:szCs w:val="24"/>
                <w:highlight w:val="none"/>
              </w:rPr>
            </w:pPr>
          </w:p>
        </w:tc>
      </w:tr>
      <w:tr w14:paraId="267F9231">
        <w:tblPrEx>
          <w:tblCellMar>
            <w:top w:w="0" w:type="dxa"/>
            <w:left w:w="108" w:type="dxa"/>
            <w:bottom w:w="0" w:type="dxa"/>
            <w:right w:w="108" w:type="dxa"/>
          </w:tblCellMar>
        </w:tblPrEx>
        <w:trPr>
          <w:cantSplit/>
          <w:trHeight w:val="1795"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14:paraId="02E7703B">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抄告信访处理及台帐检查</w:t>
            </w:r>
          </w:p>
          <w:p w14:paraId="31306D19">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5分</w:t>
            </w:r>
          </w:p>
        </w:tc>
        <w:tc>
          <w:tcPr>
            <w:tcW w:w="7460" w:type="dxa"/>
            <w:gridSpan w:val="4"/>
            <w:tcBorders>
              <w:top w:val="single" w:color="auto" w:sz="4" w:space="0"/>
              <w:left w:val="nil"/>
              <w:bottom w:val="single" w:color="auto" w:sz="4" w:space="0"/>
              <w:right w:val="single" w:color="auto" w:sz="4" w:space="0"/>
            </w:tcBorders>
            <w:noWrap/>
            <w:vAlign w:val="center"/>
          </w:tcPr>
          <w:p w14:paraId="065ADCBC">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1.市查、区查的涉及属地管辖内（包括区直部门管养护面积）所有道路的有责抄告及信访问题每件扣0.5分，二次抄告扣1分 ，三次及以上抄告扣2分；发生区级媒体曝光每件扣2分，被区级领导批示批评的每件扣1分；联系函、抄告单等超时回复或不回复的每次扣1—1.5分。</w:t>
            </w:r>
          </w:p>
          <w:p w14:paraId="39188E3E">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2.市政养护维修工作未按计划完成的和台账资料抽查，以及其他市政管养台帐资料检查未完成、弄虚作假的扣1—3分。</w:t>
            </w:r>
          </w:p>
        </w:tc>
        <w:tc>
          <w:tcPr>
            <w:tcW w:w="772" w:type="dxa"/>
            <w:tcBorders>
              <w:top w:val="single" w:color="auto" w:sz="4" w:space="0"/>
              <w:left w:val="nil"/>
              <w:bottom w:val="single" w:color="auto" w:sz="4" w:space="0"/>
              <w:right w:val="single" w:color="auto" w:sz="4" w:space="0"/>
            </w:tcBorders>
            <w:noWrap/>
            <w:vAlign w:val="center"/>
          </w:tcPr>
          <w:p w14:paraId="4EF1D415">
            <w:pPr>
              <w:spacing w:line="360" w:lineRule="auto"/>
              <w:rPr>
                <w:rFonts w:hint="eastAsia" w:ascii="仿宋" w:hAnsi="仿宋" w:eastAsia="仿宋" w:cs="仿宋"/>
                <w:color w:val="auto"/>
                <w:kern w:val="0"/>
                <w:sz w:val="24"/>
                <w:szCs w:val="24"/>
                <w:highlight w:val="none"/>
              </w:rPr>
            </w:pPr>
          </w:p>
        </w:tc>
      </w:tr>
      <w:tr w14:paraId="7C00C9CB">
        <w:tblPrEx>
          <w:tblCellMar>
            <w:top w:w="0" w:type="dxa"/>
            <w:left w:w="108" w:type="dxa"/>
            <w:bottom w:w="0" w:type="dxa"/>
            <w:right w:w="108" w:type="dxa"/>
          </w:tblCellMar>
        </w:tblPrEx>
        <w:trPr>
          <w:trHeight w:val="430" w:hRule="atLeast"/>
          <w:jc w:val="center"/>
        </w:trPr>
        <w:tc>
          <w:tcPr>
            <w:tcW w:w="2649" w:type="dxa"/>
            <w:gridSpan w:val="3"/>
            <w:tcBorders>
              <w:top w:val="single" w:color="auto" w:sz="4" w:space="0"/>
              <w:left w:val="single" w:color="auto" w:sz="4" w:space="0"/>
              <w:bottom w:val="single" w:color="auto" w:sz="4" w:space="0"/>
              <w:right w:val="single" w:color="auto" w:sz="4" w:space="0"/>
            </w:tcBorders>
            <w:noWrap/>
            <w:vAlign w:val="center"/>
          </w:tcPr>
          <w:p w14:paraId="09E96C47">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考核结果</w:t>
            </w:r>
          </w:p>
        </w:tc>
        <w:tc>
          <w:tcPr>
            <w:tcW w:w="2649" w:type="dxa"/>
            <w:tcBorders>
              <w:top w:val="single" w:color="auto" w:sz="4" w:space="0"/>
              <w:left w:val="single" w:color="auto" w:sz="4" w:space="0"/>
              <w:bottom w:val="single" w:color="auto" w:sz="4" w:space="0"/>
              <w:right w:val="single" w:color="auto" w:sz="4" w:space="0"/>
            </w:tcBorders>
            <w:noWrap/>
            <w:vAlign w:val="center"/>
          </w:tcPr>
          <w:p w14:paraId="25B5E0FA">
            <w:pPr>
              <w:spacing w:line="360" w:lineRule="auto"/>
              <w:rPr>
                <w:rFonts w:hint="eastAsia" w:ascii="仿宋" w:hAnsi="仿宋" w:eastAsia="仿宋" w:cs="仿宋"/>
                <w:color w:val="auto"/>
                <w:kern w:val="0"/>
                <w:sz w:val="24"/>
                <w:szCs w:val="24"/>
                <w:highlight w:val="none"/>
              </w:rPr>
            </w:pPr>
          </w:p>
        </w:tc>
        <w:tc>
          <w:tcPr>
            <w:tcW w:w="2990" w:type="dxa"/>
            <w:tcBorders>
              <w:top w:val="single" w:color="auto" w:sz="4" w:space="0"/>
              <w:left w:val="single" w:color="auto" w:sz="4" w:space="0"/>
              <w:bottom w:val="single" w:color="auto" w:sz="4" w:space="0"/>
              <w:right w:val="single" w:color="auto" w:sz="4" w:space="0"/>
            </w:tcBorders>
            <w:noWrap/>
            <w:vAlign w:val="center"/>
          </w:tcPr>
          <w:p w14:paraId="62F77A26">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合计</w:t>
            </w:r>
          </w:p>
        </w:tc>
        <w:tc>
          <w:tcPr>
            <w:tcW w:w="772" w:type="dxa"/>
            <w:tcBorders>
              <w:top w:val="single" w:color="auto" w:sz="4" w:space="0"/>
              <w:left w:val="nil"/>
              <w:bottom w:val="single" w:color="auto" w:sz="4" w:space="0"/>
              <w:right w:val="single" w:color="auto" w:sz="4" w:space="0"/>
            </w:tcBorders>
            <w:noWrap/>
            <w:vAlign w:val="center"/>
          </w:tcPr>
          <w:p w14:paraId="623DDA89">
            <w:pPr>
              <w:spacing w:line="360" w:lineRule="auto"/>
              <w:rPr>
                <w:rFonts w:hint="eastAsia" w:ascii="仿宋" w:hAnsi="仿宋" w:eastAsia="仿宋" w:cs="仿宋"/>
                <w:color w:val="auto"/>
                <w:kern w:val="0"/>
                <w:sz w:val="24"/>
                <w:szCs w:val="24"/>
                <w:highlight w:val="none"/>
              </w:rPr>
            </w:pPr>
          </w:p>
        </w:tc>
      </w:tr>
      <w:tr w14:paraId="216D8CC5">
        <w:tblPrEx>
          <w:tblCellMar>
            <w:top w:w="0" w:type="dxa"/>
            <w:left w:w="108" w:type="dxa"/>
            <w:bottom w:w="0" w:type="dxa"/>
            <w:right w:w="108" w:type="dxa"/>
          </w:tblCellMar>
        </w:tblPrEx>
        <w:trPr>
          <w:trHeight w:val="856"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14:paraId="1C7F4034">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w:t>
            </w:r>
          </w:p>
        </w:tc>
        <w:tc>
          <w:tcPr>
            <w:tcW w:w="8232" w:type="dxa"/>
            <w:gridSpan w:val="5"/>
            <w:tcBorders>
              <w:top w:val="single" w:color="auto" w:sz="4" w:space="0"/>
              <w:left w:val="nil"/>
              <w:bottom w:val="single" w:color="auto" w:sz="4" w:space="0"/>
              <w:right w:val="single" w:color="auto" w:sz="4" w:space="0"/>
            </w:tcBorders>
            <w:noWrap/>
            <w:vAlign w:val="center"/>
          </w:tcPr>
          <w:p w14:paraId="08A0D0BC">
            <w:pPr>
              <w:numPr>
                <w:ilvl w:val="0"/>
                <w:numId w:val="4"/>
              </w:numPr>
              <w:adjustRightInd/>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未尽事宜（如市、区相关指标任务等市政工作），考核视完成情况加或扣1-3分。</w:t>
            </w:r>
          </w:p>
          <w:p w14:paraId="208D8E7D">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2、考核分值95分以上为优秀，90分至94分为合格，90分以下为不合格。</w:t>
            </w:r>
          </w:p>
        </w:tc>
      </w:tr>
    </w:tbl>
    <w:p w14:paraId="19CD4A66">
      <w:pPr>
        <w:snapToGrid w:val="0"/>
        <w:spacing w:line="360" w:lineRule="auto"/>
        <w:ind w:firstLine="472" w:firstLineChars="196"/>
        <w:jc w:val="left"/>
        <w:rPr>
          <w:rFonts w:hint="eastAsia" w:ascii="仿宋" w:hAnsi="仿宋" w:eastAsia="仿宋" w:cs="仿宋"/>
          <w:b/>
          <w:bCs/>
          <w:color w:val="auto"/>
          <w:kern w:val="0"/>
          <w:sz w:val="24"/>
          <w:szCs w:val="24"/>
          <w:highlight w:val="none"/>
        </w:rPr>
      </w:pPr>
    </w:p>
    <w:p w14:paraId="00B9994A">
      <w:pPr>
        <w:snapToGrid w:val="0"/>
        <w:spacing w:line="360" w:lineRule="auto"/>
        <w:ind w:firstLine="472" w:firstLineChars="196"/>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w:t>
      </w:r>
      <w:r>
        <w:rPr>
          <w:rFonts w:hint="eastAsia" w:ascii="仿宋" w:hAnsi="仿宋" w:eastAsia="仿宋" w:cs="仿宋"/>
          <w:b/>
          <w:bCs/>
          <w:color w:val="auto"/>
          <w:kern w:val="0"/>
          <w:sz w:val="24"/>
          <w:szCs w:val="24"/>
          <w:highlight w:val="none"/>
          <w:lang w:eastAsia="zh-CN"/>
        </w:rPr>
        <w:t>四</w:t>
      </w:r>
      <w:r>
        <w:rPr>
          <w:rFonts w:hint="eastAsia" w:ascii="仿宋" w:hAnsi="仿宋" w:eastAsia="仿宋" w:cs="仿宋"/>
          <w:b/>
          <w:bCs/>
          <w:color w:val="auto"/>
          <w:kern w:val="0"/>
          <w:sz w:val="24"/>
          <w:szCs w:val="24"/>
          <w:highlight w:val="none"/>
        </w:rPr>
        <w:t>）</w:t>
      </w:r>
      <w:r>
        <w:rPr>
          <w:rFonts w:hint="eastAsia" w:ascii="仿宋" w:hAnsi="仿宋" w:eastAsia="仿宋" w:cs="仿宋"/>
          <w:b/>
          <w:bCs/>
          <w:color w:val="auto"/>
          <w:sz w:val="24"/>
          <w:szCs w:val="24"/>
          <w:highlight w:val="none"/>
        </w:rPr>
        <w:t>牛皮癣清理、考核办法</w:t>
      </w:r>
    </w:p>
    <w:p w14:paraId="7A321E4A">
      <w:pPr>
        <w:snapToGrid w:val="0"/>
        <w:spacing w:line="360" w:lineRule="auto"/>
        <w:ind w:firstLine="472" w:firstLineChars="196"/>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1、作业技术标准：</w:t>
      </w:r>
    </w:p>
    <w:p w14:paraId="750CEB9F">
      <w:pPr>
        <w:snapToGrid w:val="0"/>
        <w:spacing w:line="360" w:lineRule="auto"/>
        <w:ind w:firstLine="470" w:firstLineChars="196"/>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（1）、处理非法涂写。作业应注意“色、形、洁、美”，达到“色、形、洁、美”的有机结合，自然、协调。</w:t>
      </w:r>
    </w:p>
    <w:p w14:paraId="4D36E0BC">
      <w:pPr>
        <w:snapToGrid w:val="0"/>
        <w:spacing w:line="360" w:lineRule="auto"/>
        <w:ind w:firstLine="470" w:firstLineChars="196"/>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色：根据不同墙体颜色，将调料调配成相同或相似的颜色，最大限度的将污染处恢复原来色泽；</w:t>
      </w:r>
    </w:p>
    <w:p w14:paraId="077031E1">
      <w:pPr>
        <w:snapToGrid w:val="0"/>
        <w:spacing w:line="360" w:lineRule="auto"/>
        <w:ind w:firstLine="470" w:firstLineChars="196"/>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形：对被污染墙面的清除应有统一覆盖形状（四方形），有完整、清晰的轮廓；</w:t>
      </w:r>
    </w:p>
    <w:p w14:paraId="50DD9D84">
      <w:pPr>
        <w:snapToGrid w:val="0"/>
        <w:spacing w:line="360" w:lineRule="auto"/>
        <w:ind w:firstLine="470" w:firstLineChars="196"/>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洁：清除作业要按照“一刮、二铲、三粉刷”程序操作，使作业墙体达到干净、整洁；</w:t>
      </w:r>
    </w:p>
    <w:p w14:paraId="45C00501">
      <w:pPr>
        <w:snapToGrid w:val="0"/>
        <w:spacing w:line="360" w:lineRule="auto"/>
        <w:ind w:firstLine="470" w:firstLineChars="196"/>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美：要使清除作业墙体在“色、形、洁”上与周边环境相协调。</w:t>
      </w:r>
    </w:p>
    <w:p w14:paraId="26B6DBB8">
      <w:pPr>
        <w:numPr>
          <w:ilvl w:val="0"/>
          <w:numId w:val="5"/>
        </w:numPr>
        <w:snapToGrid w:val="0"/>
        <w:spacing w:line="360" w:lineRule="auto"/>
        <w:ind w:firstLine="470" w:firstLineChars="196"/>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、处理非法招贴广告。清除作业按照“一刮、二铲、三粉刷”要求进行；清除后不出现“残标”，不留粘贴痕迹，尽量不损坏建（构）筑物立面和颜色。</w:t>
      </w:r>
    </w:p>
    <w:p w14:paraId="70105DCB">
      <w:pPr>
        <w:numPr>
          <w:ilvl w:val="0"/>
          <w:numId w:val="0"/>
        </w:numPr>
        <w:snapToGrid w:val="0"/>
        <w:spacing w:line="360" w:lineRule="auto"/>
        <w:jc w:val="left"/>
        <w:rPr>
          <w:rFonts w:hint="eastAsia" w:ascii="仿宋" w:hAnsi="仿宋" w:eastAsia="仿宋" w:cs="仿宋"/>
          <w:color w:val="auto"/>
          <w:kern w:val="0"/>
          <w:sz w:val="24"/>
          <w:szCs w:val="24"/>
          <w:highlight w:val="none"/>
        </w:rPr>
      </w:pPr>
    </w:p>
    <w:p w14:paraId="5ECE33AC">
      <w:pPr>
        <w:snapToGrid w:val="0"/>
        <w:spacing w:line="360" w:lineRule="auto"/>
        <w:ind w:firstLine="472" w:firstLineChars="196"/>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2、作业要求：</w:t>
      </w:r>
    </w:p>
    <w:p w14:paraId="1C5E0CB7">
      <w:pPr>
        <w:snapToGrid w:val="0"/>
        <w:spacing w:line="360" w:lineRule="auto"/>
        <w:ind w:firstLine="470" w:firstLineChars="196"/>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（1）、清洁公司在责任辖区内要实行“四定”管理（定人员、定路段、定责任、定时间）和巡查督查机制，有效控制各类“牛皮癣”的产生。</w:t>
      </w:r>
    </w:p>
    <w:p w14:paraId="177C2C91">
      <w:pPr>
        <w:snapToGrid w:val="0"/>
        <w:spacing w:line="360" w:lineRule="auto"/>
        <w:ind w:firstLine="470" w:firstLineChars="196"/>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（2）、强化清除与监管，每天上午8：00前完成第一遍清除保洁，8：00时以后进行巡回清除保洁，做到即时发现，即时清除，新产生的“牛皮癣”滞留时间不得超过半小时。</w:t>
      </w:r>
    </w:p>
    <w:p w14:paraId="33F71A5C">
      <w:pPr>
        <w:snapToGrid w:val="0"/>
        <w:spacing w:line="360" w:lineRule="auto"/>
        <w:ind w:firstLine="470" w:firstLineChars="196"/>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（3）、清除作业要严格按照作业技术标准操作，无遗漏，无“以癣治癣”现象出现。</w:t>
      </w:r>
    </w:p>
    <w:p w14:paraId="43C8726A">
      <w:pPr>
        <w:snapToGrid w:val="0"/>
        <w:spacing w:line="360" w:lineRule="auto"/>
        <w:ind w:firstLine="470" w:firstLineChars="196"/>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（4）、及时清除作业所产生的垃圾，达到垃圾袋装，集中处理。</w:t>
      </w:r>
    </w:p>
    <w:p w14:paraId="673E9A0E">
      <w:pPr>
        <w:snapToGrid w:val="0"/>
        <w:spacing w:line="360" w:lineRule="auto"/>
        <w:ind w:firstLine="472" w:firstLineChars="196"/>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3、考核办法</w:t>
      </w:r>
    </w:p>
    <w:p w14:paraId="57D3F1E9">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南苑街道牛皮癣清理评分表  </w:t>
      </w:r>
    </w:p>
    <w:tbl>
      <w:tblPr>
        <w:tblStyle w:val="62"/>
        <w:tblW w:w="9705" w:type="dxa"/>
        <w:tblInd w:w="-47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72"/>
        <w:gridCol w:w="7344"/>
        <w:gridCol w:w="769"/>
        <w:gridCol w:w="720"/>
      </w:tblGrid>
      <w:tr w14:paraId="3BAB24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9" w:hRule="atLeast"/>
        </w:trPr>
        <w:tc>
          <w:tcPr>
            <w:tcW w:w="872" w:type="dxa"/>
            <w:tcBorders>
              <w:top w:val="single" w:color="auto" w:sz="4" w:space="0"/>
            </w:tcBorders>
            <w:noWrap/>
            <w:vAlign w:val="center"/>
          </w:tcPr>
          <w:p w14:paraId="2606230B">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7344" w:type="dxa"/>
            <w:tcBorders>
              <w:top w:val="single" w:color="auto" w:sz="4" w:space="0"/>
            </w:tcBorders>
            <w:noWrap/>
            <w:vAlign w:val="center"/>
          </w:tcPr>
          <w:p w14:paraId="045EDBF7">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考核标准</w:t>
            </w:r>
          </w:p>
        </w:tc>
        <w:tc>
          <w:tcPr>
            <w:tcW w:w="769" w:type="dxa"/>
            <w:tcBorders>
              <w:top w:val="single" w:color="auto" w:sz="4" w:space="0"/>
            </w:tcBorders>
            <w:noWrap/>
            <w:vAlign w:val="center"/>
          </w:tcPr>
          <w:p w14:paraId="6EDAC517">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基分</w:t>
            </w:r>
          </w:p>
        </w:tc>
        <w:tc>
          <w:tcPr>
            <w:tcW w:w="720" w:type="dxa"/>
            <w:tcBorders>
              <w:top w:val="single" w:color="auto" w:sz="4" w:space="0"/>
            </w:tcBorders>
            <w:noWrap/>
            <w:vAlign w:val="center"/>
          </w:tcPr>
          <w:p w14:paraId="16E9419F">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得分</w:t>
            </w:r>
          </w:p>
        </w:tc>
      </w:tr>
      <w:tr w14:paraId="526304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9" w:hRule="atLeast"/>
        </w:trPr>
        <w:tc>
          <w:tcPr>
            <w:tcW w:w="872" w:type="dxa"/>
            <w:noWrap/>
            <w:vAlign w:val="center"/>
          </w:tcPr>
          <w:p w14:paraId="40A8C1B2">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7344" w:type="dxa"/>
            <w:noWrap/>
            <w:vAlign w:val="center"/>
          </w:tcPr>
          <w:p w14:paraId="4D176185">
            <w:pPr>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发现在道路两侧50米内有一处张贴涂写末清理的扣1分，在抽查200米道路范围有2处以内每一处扣1分、有2处以上每一处扣2分；新产生“牛皮癣”超过30分钟未淸的每处扣1分</w:t>
            </w:r>
          </w:p>
        </w:tc>
        <w:tc>
          <w:tcPr>
            <w:tcW w:w="769" w:type="dxa"/>
            <w:noWrap/>
            <w:vAlign w:val="center"/>
          </w:tcPr>
          <w:p w14:paraId="5BF26491">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25</w:t>
            </w:r>
          </w:p>
        </w:tc>
        <w:tc>
          <w:tcPr>
            <w:tcW w:w="720" w:type="dxa"/>
            <w:noWrap/>
            <w:vAlign w:val="center"/>
          </w:tcPr>
          <w:p w14:paraId="63DAE4C2">
            <w:pPr>
              <w:spacing w:line="360" w:lineRule="auto"/>
              <w:jc w:val="center"/>
              <w:rPr>
                <w:rFonts w:hint="eastAsia" w:ascii="仿宋" w:hAnsi="仿宋" w:eastAsia="仿宋" w:cs="仿宋"/>
                <w:color w:val="auto"/>
                <w:kern w:val="0"/>
                <w:sz w:val="24"/>
                <w:szCs w:val="24"/>
                <w:highlight w:val="none"/>
              </w:rPr>
            </w:pPr>
          </w:p>
        </w:tc>
      </w:tr>
      <w:tr w14:paraId="3FC834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9" w:hRule="atLeast"/>
        </w:trPr>
        <w:tc>
          <w:tcPr>
            <w:tcW w:w="872" w:type="dxa"/>
            <w:noWrap/>
            <w:vAlign w:val="center"/>
          </w:tcPr>
          <w:p w14:paraId="39B4AA40">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7344" w:type="dxa"/>
            <w:noWrap/>
            <w:vAlign w:val="center"/>
          </w:tcPr>
          <w:p w14:paraId="25D105A5">
            <w:pPr>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在道路两侧各入口处5至10米内发现三处末清理扣1分，超过30分钟未淸除的每处扣1分</w:t>
            </w:r>
          </w:p>
        </w:tc>
        <w:tc>
          <w:tcPr>
            <w:tcW w:w="769" w:type="dxa"/>
            <w:noWrap/>
            <w:vAlign w:val="center"/>
          </w:tcPr>
          <w:p w14:paraId="349D6EEC">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25</w:t>
            </w:r>
          </w:p>
        </w:tc>
        <w:tc>
          <w:tcPr>
            <w:tcW w:w="720" w:type="dxa"/>
            <w:noWrap/>
            <w:vAlign w:val="center"/>
          </w:tcPr>
          <w:p w14:paraId="73410363">
            <w:pPr>
              <w:spacing w:line="360" w:lineRule="auto"/>
              <w:jc w:val="center"/>
              <w:rPr>
                <w:rFonts w:hint="eastAsia" w:ascii="仿宋" w:hAnsi="仿宋" w:eastAsia="仿宋" w:cs="仿宋"/>
                <w:color w:val="auto"/>
                <w:kern w:val="0"/>
                <w:sz w:val="24"/>
                <w:szCs w:val="24"/>
                <w:highlight w:val="none"/>
              </w:rPr>
            </w:pPr>
          </w:p>
        </w:tc>
      </w:tr>
      <w:tr w14:paraId="4E9FF6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9" w:hRule="atLeast"/>
        </w:trPr>
        <w:tc>
          <w:tcPr>
            <w:tcW w:w="872" w:type="dxa"/>
            <w:noWrap/>
            <w:vAlign w:val="center"/>
          </w:tcPr>
          <w:p w14:paraId="4746283F">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7344" w:type="dxa"/>
            <w:noWrap/>
            <w:vAlign w:val="center"/>
          </w:tcPr>
          <w:p w14:paraId="01533561">
            <w:pPr>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以癣治癣每处扣1分</w:t>
            </w:r>
          </w:p>
        </w:tc>
        <w:tc>
          <w:tcPr>
            <w:tcW w:w="769" w:type="dxa"/>
            <w:noWrap/>
            <w:vAlign w:val="center"/>
          </w:tcPr>
          <w:p w14:paraId="747D6F4B">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25</w:t>
            </w:r>
          </w:p>
        </w:tc>
        <w:tc>
          <w:tcPr>
            <w:tcW w:w="720" w:type="dxa"/>
            <w:noWrap/>
            <w:vAlign w:val="center"/>
          </w:tcPr>
          <w:p w14:paraId="6DCFB3E7">
            <w:pPr>
              <w:spacing w:line="360" w:lineRule="auto"/>
              <w:jc w:val="center"/>
              <w:rPr>
                <w:rFonts w:hint="eastAsia" w:ascii="仿宋" w:hAnsi="仿宋" w:eastAsia="仿宋" w:cs="仿宋"/>
                <w:color w:val="auto"/>
                <w:kern w:val="0"/>
                <w:sz w:val="24"/>
                <w:szCs w:val="24"/>
                <w:highlight w:val="none"/>
              </w:rPr>
            </w:pPr>
          </w:p>
        </w:tc>
      </w:tr>
      <w:tr w14:paraId="7374B1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0" w:hRule="atLeast"/>
        </w:trPr>
        <w:tc>
          <w:tcPr>
            <w:tcW w:w="872" w:type="dxa"/>
            <w:noWrap/>
            <w:vAlign w:val="center"/>
          </w:tcPr>
          <w:p w14:paraId="01292F15">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7344" w:type="dxa"/>
            <w:noWrap/>
            <w:vAlign w:val="center"/>
          </w:tcPr>
          <w:p w14:paraId="66935D96">
            <w:pPr>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色彩不一、清理不彻底每处扣2分</w:t>
            </w:r>
          </w:p>
        </w:tc>
        <w:tc>
          <w:tcPr>
            <w:tcW w:w="769" w:type="dxa"/>
            <w:noWrap/>
            <w:vAlign w:val="center"/>
          </w:tcPr>
          <w:p w14:paraId="46035BDF">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25</w:t>
            </w:r>
          </w:p>
        </w:tc>
        <w:tc>
          <w:tcPr>
            <w:tcW w:w="720" w:type="dxa"/>
            <w:noWrap/>
            <w:vAlign w:val="center"/>
          </w:tcPr>
          <w:p w14:paraId="17ADBDAE">
            <w:pPr>
              <w:spacing w:line="360" w:lineRule="auto"/>
              <w:jc w:val="center"/>
              <w:rPr>
                <w:rFonts w:hint="eastAsia" w:ascii="仿宋" w:hAnsi="仿宋" w:eastAsia="仿宋" w:cs="仿宋"/>
                <w:color w:val="auto"/>
                <w:kern w:val="0"/>
                <w:sz w:val="24"/>
                <w:szCs w:val="24"/>
                <w:highlight w:val="none"/>
              </w:rPr>
            </w:pPr>
          </w:p>
        </w:tc>
      </w:tr>
      <w:tr w14:paraId="66274F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0" w:hRule="atLeast"/>
        </w:trPr>
        <w:tc>
          <w:tcPr>
            <w:tcW w:w="872" w:type="dxa"/>
            <w:tcBorders>
              <w:bottom w:val="single" w:color="auto" w:sz="4" w:space="0"/>
            </w:tcBorders>
            <w:noWrap/>
            <w:vAlign w:val="center"/>
          </w:tcPr>
          <w:p w14:paraId="0772EACE">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合计</w:t>
            </w:r>
          </w:p>
        </w:tc>
        <w:tc>
          <w:tcPr>
            <w:tcW w:w="7344" w:type="dxa"/>
            <w:tcBorders>
              <w:bottom w:val="single" w:color="auto" w:sz="4" w:space="0"/>
            </w:tcBorders>
            <w:noWrap/>
            <w:vAlign w:val="center"/>
          </w:tcPr>
          <w:p w14:paraId="4A2D4107">
            <w:pPr>
              <w:spacing w:line="360" w:lineRule="auto"/>
              <w:jc w:val="left"/>
              <w:rPr>
                <w:rFonts w:hint="eastAsia" w:ascii="仿宋" w:hAnsi="仿宋" w:eastAsia="仿宋" w:cs="仿宋"/>
                <w:color w:val="auto"/>
                <w:kern w:val="0"/>
                <w:sz w:val="24"/>
                <w:szCs w:val="24"/>
                <w:highlight w:val="none"/>
              </w:rPr>
            </w:pPr>
          </w:p>
        </w:tc>
        <w:tc>
          <w:tcPr>
            <w:tcW w:w="769" w:type="dxa"/>
            <w:tcBorders>
              <w:bottom w:val="single" w:color="auto" w:sz="4" w:space="0"/>
            </w:tcBorders>
            <w:noWrap/>
            <w:vAlign w:val="center"/>
          </w:tcPr>
          <w:p w14:paraId="1CCD9A79">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w:t>
            </w:r>
          </w:p>
        </w:tc>
        <w:tc>
          <w:tcPr>
            <w:tcW w:w="720" w:type="dxa"/>
            <w:tcBorders>
              <w:bottom w:val="single" w:color="auto" w:sz="4" w:space="0"/>
            </w:tcBorders>
            <w:noWrap/>
            <w:vAlign w:val="center"/>
          </w:tcPr>
          <w:p w14:paraId="4E4F48E0">
            <w:pPr>
              <w:spacing w:line="360" w:lineRule="auto"/>
              <w:jc w:val="center"/>
              <w:rPr>
                <w:rFonts w:hint="eastAsia" w:ascii="仿宋" w:hAnsi="仿宋" w:eastAsia="仿宋" w:cs="仿宋"/>
                <w:color w:val="auto"/>
                <w:kern w:val="0"/>
                <w:sz w:val="24"/>
                <w:szCs w:val="24"/>
                <w:highlight w:val="none"/>
              </w:rPr>
            </w:pPr>
          </w:p>
        </w:tc>
      </w:tr>
    </w:tbl>
    <w:p w14:paraId="7871E728">
      <w:pPr>
        <w:adjustRightInd/>
        <w:spacing w:line="600" w:lineRule="exac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七、服务期</w:t>
      </w:r>
    </w:p>
    <w:p w14:paraId="127F41B7">
      <w:pPr>
        <w:adjustRightInd/>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自合同签订之日起</w:t>
      </w:r>
      <w:r>
        <w:rPr>
          <w:rFonts w:hint="eastAsia" w:ascii="宋体" w:hAnsi="宋体" w:eastAsia="宋体" w:cs="宋体"/>
          <w:b w:val="0"/>
          <w:bCs w:val="0"/>
          <w:color w:val="auto"/>
          <w:sz w:val="24"/>
          <w:szCs w:val="24"/>
          <w:highlight w:val="none"/>
          <w:lang w:val="en-US" w:eastAsia="zh-CN"/>
        </w:rPr>
        <w:t>三</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lang w:val="en-US" w:eastAsia="zh-CN"/>
        </w:rPr>
        <w:t>合同一年一签，经甲方考核合格后续签第二年合同，以此类推。</w:t>
      </w:r>
    </w:p>
    <w:p w14:paraId="78214A37">
      <w:pPr>
        <w:adjustRightInd/>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八、绿化养护更新改造费、市政支付及结算方式</w:t>
      </w:r>
    </w:p>
    <w:p w14:paraId="0D675198">
      <w:pPr>
        <w:widowControl/>
        <w:snapToGrid w:val="0"/>
        <w:spacing w:line="60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绿化养护更新改造费支付方式：工程完工后支付结算价（计算口径套用2018版浙江省现行预算定额及取费规则，最终金额优惠下浮10%）的80%，按改造周期进行结算。剩余20%经审计后30天内按审计价一次性支付工程款余款。（合同期内一年一审计，由采购人统一送审计部门进行审计，并按最终审计价支付。）</w:t>
      </w:r>
    </w:p>
    <w:p w14:paraId="02D04CEB">
      <w:pPr>
        <w:widowControl/>
        <w:snapToGrid w:val="0"/>
        <w:spacing w:line="600" w:lineRule="exact"/>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auto"/>
          <w:kern w:val="0"/>
          <w:sz w:val="24"/>
          <w:szCs w:val="24"/>
          <w:highlight w:val="none"/>
        </w:rPr>
        <w:t>2</w:t>
      </w:r>
      <w:r>
        <w:rPr>
          <w:rFonts w:hint="eastAsia" w:ascii="仿宋" w:hAnsi="仿宋" w:eastAsia="仿宋" w:cs="仿宋"/>
          <w:color w:val="000000" w:themeColor="text1"/>
          <w:kern w:val="0"/>
          <w:sz w:val="24"/>
          <w:szCs w:val="24"/>
          <w:highlight w:val="none"/>
          <w14:textFill>
            <w14:solidFill>
              <w14:schemeClr w14:val="tx1"/>
            </w14:solidFill>
          </w14:textFill>
        </w:rPr>
        <w:t>、市政费用：每一期市政道路修复费用按实结算，计算口径套用（包括套用换算）2018版浙江省现行预算定额及取费规则，最终金额优惠下浮10%，材料价格有信息价的参照开标当期信息价，没有信息价的由承包人进行上报，发包人组织市场询价并进行签证主材价；对不能套用（包括套用换算）的，则由采购人组织市场询价并进行签证单价，取费仅计取农民工工伤保险和税金。</w:t>
      </w:r>
    </w:p>
    <w:p w14:paraId="6A8C4947">
      <w:pPr>
        <w:widowControl/>
        <w:snapToGrid w:val="0"/>
        <w:spacing w:line="60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3、若改造工程中涉及到基本审计费，经采购人审核同意后支付。</w:t>
      </w:r>
    </w:p>
    <w:p w14:paraId="172FB377">
      <w:pPr>
        <w:widowControl/>
        <w:snapToGrid w:val="0"/>
        <w:spacing w:line="60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4、超出综合养护中的更新改造费以及超出部分审计产生的审计费，由供应商承担。</w:t>
      </w:r>
    </w:p>
    <w:p w14:paraId="4262484D">
      <w:pPr>
        <w:adjustRightInd/>
        <w:spacing w:line="600" w:lineRule="exac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九、付款及扣款方式</w:t>
      </w:r>
    </w:p>
    <w:p w14:paraId="62C06270">
      <w:pPr>
        <w:widowControl/>
        <w:snapToGrid w:val="0"/>
        <w:spacing w:line="60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1、甲方对乙方周、月考核扣款（确定为养护范围内发生）：</w:t>
      </w:r>
    </w:p>
    <w:p w14:paraId="5A6680DC">
      <w:pPr>
        <w:widowControl/>
        <w:snapToGrid w:val="0"/>
        <w:spacing w:line="60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①区级件100元一件（含环卫一体化、数字城管、区级行业检查等）</w:t>
      </w:r>
    </w:p>
    <w:p w14:paraId="46BF14DD">
      <w:pPr>
        <w:widowControl/>
        <w:snapToGrid w:val="0"/>
        <w:spacing w:line="60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②市件A类300、B类500、C类800（复核未通过双倍扣款）、如有打分项按1000元一分扣除</w:t>
      </w:r>
    </w:p>
    <w:p w14:paraId="02DEFB3A">
      <w:pPr>
        <w:widowControl/>
        <w:snapToGrid w:val="0"/>
        <w:spacing w:line="60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③媒体曝光1000-3000元</w:t>
      </w:r>
    </w:p>
    <w:p w14:paraId="1F596C71">
      <w:pPr>
        <w:widowControl/>
        <w:snapToGrid w:val="0"/>
        <w:spacing w:line="60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④靓城“红黑榜”及单项通报扣5000元</w:t>
      </w:r>
    </w:p>
    <w:p w14:paraId="7A0F7878">
      <w:pPr>
        <w:widowControl/>
        <w:snapToGrid w:val="0"/>
        <w:spacing w:line="60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⑤区级登报通告后三位（扣10000、8000、6000）</w:t>
      </w:r>
    </w:p>
    <w:p w14:paraId="4AE02221">
      <w:pPr>
        <w:widowControl/>
        <w:numPr>
          <w:ilvl w:val="0"/>
          <w:numId w:val="0"/>
        </w:numPr>
        <w:snapToGrid w:val="0"/>
        <w:spacing w:line="60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付款方式：</w:t>
      </w:r>
    </w:p>
    <w:tbl>
      <w:tblPr>
        <w:tblStyle w:val="62"/>
        <w:tblW w:w="852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383"/>
        <w:gridCol w:w="3330"/>
        <w:gridCol w:w="1943"/>
      </w:tblGrid>
      <w:tr w14:paraId="568E6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1" w:type="dxa"/>
            <w:gridSpan w:val="4"/>
            <w:noWrap/>
            <w:vAlign w:val="center"/>
          </w:tcPr>
          <w:p w14:paraId="08697D13">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付款周期表</w:t>
            </w:r>
          </w:p>
        </w:tc>
      </w:tr>
      <w:tr w14:paraId="333F3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5" w:type="dxa"/>
            <w:noWrap/>
            <w:vAlign w:val="center"/>
          </w:tcPr>
          <w:p w14:paraId="6BB6A938">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2383" w:type="dxa"/>
            <w:noWrap/>
            <w:vAlign w:val="center"/>
          </w:tcPr>
          <w:p w14:paraId="7708A54C">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付款阶段</w:t>
            </w:r>
          </w:p>
        </w:tc>
        <w:tc>
          <w:tcPr>
            <w:tcW w:w="3330" w:type="dxa"/>
            <w:noWrap/>
            <w:vAlign w:val="center"/>
          </w:tcPr>
          <w:p w14:paraId="5065A531">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付款时间</w:t>
            </w:r>
          </w:p>
          <w:p w14:paraId="71A4D4E7">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养护企业进场养护</w:t>
            </w:r>
          </w:p>
        </w:tc>
        <w:tc>
          <w:tcPr>
            <w:tcW w:w="1943" w:type="dxa"/>
            <w:noWrap/>
            <w:vAlign w:val="center"/>
          </w:tcPr>
          <w:p w14:paraId="59DC10BC">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付款比例</w:t>
            </w:r>
          </w:p>
        </w:tc>
      </w:tr>
      <w:tr w14:paraId="22A5D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ign w:val="center"/>
          </w:tcPr>
          <w:p w14:paraId="362DDCB1">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383" w:type="dxa"/>
            <w:noWrap/>
            <w:vAlign w:val="center"/>
          </w:tcPr>
          <w:p w14:paraId="5D86F872">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第一次付款</w:t>
            </w:r>
          </w:p>
        </w:tc>
        <w:tc>
          <w:tcPr>
            <w:tcW w:w="3330" w:type="dxa"/>
            <w:noWrap/>
            <w:vAlign w:val="center"/>
          </w:tcPr>
          <w:p w14:paraId="3ABCD4A1">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2025年7月-10月</w:t>
            </w:r>
          </w:p>
        </w:tc>
        <w:tc>
          <w:tcPr>
            <w:tcW w:w="1943" w:type="dxa"/>
            <w:noWrap/>
            <w:vAlign w:val="center"/>
          </w:tcPr>
          <w:p w14:paraId="6D4D12F5">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第一年25%</w:t>
            </w:r>
          </w:p>
        </w:tc>
      </w:tr>
      <w:tr w14:paraId="5B3E8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ign w:val="center"/>
          </w:tcPr>
          <w:p w14:paraId="0F5F2529">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383" w:type="dxa"/>
            <w:noWrap/>
            <w:vAlign w:val="center"/>
          </w:tcPr>
          <w:p w14:paraId="6839C67A">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第二次付款</w:t>
            </w:r>
          </w:p>
        </w:tc>
        <w:tc>
          <w:tcPr>
            <w:tcW w:w="3330" w:type="dxa"/>
            <w:noWrap/>
            <w:vAlign w:val="center"/>
          </w:tcPr>
          <w:p w14:paraId="73202064">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2025年10月-2026年1月</w:t>
            </w:r>
          </w:p>
        </w:tc>
        <w:tc>
          <w:tcPr>
            <w:tcW w:w="1943" w:type="dxa"/>
            <w:noWrap/>
            <w:vAlign w:val="center"/>
          </w:tcPr>
          <w:p w14:paraId="51FF7EA4">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第一年25%</w:t>
            </w:r>
          </w:p>
        </w:tc>
      </w:tr>
      <w:tr w14:paraId="20F5E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ign w:val="center"/>
          </w:tcPr>
          <w:p w14:paraId="011C3F28">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2383" w:type="dxa"/>
            <w:noWrap/>
            <w:vAlign w:val="center"/>
          </w:tcPr>
          <w:p w14:paraId="70C3EE8D">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第三次付款</w:t>
            </w:r>
          </w:p>
        </w:tc>
        <w:tc>
          <w:tcPr>
            <w:tcW w:w="3330" w:type="dxa"/>
            <w:noWrap/>
            <w:vAlign w:val="center"/>
          </w:tcPr>
          <w:p w14:paraId="76C7B5A7">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2026年1月-4月</w:t>
            </w:r>
          </w:p>
        </w:tc>
        <w:tc>
          <w:tcPr>
            <w:tcW w:w="1943" w:type="dxa"/>
            <w:noWrap/>
            <w:vAlign w:val="center"/>
          </w:tcPr>
          <w:p w14:paraId="4DFB1668">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第一年25%</w:t>
            </w:r>
          </w:p>
        </w:tc>
      </w:tr>
      <w:tr w14:paraId="468A4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ign w:val="center"/>
          </w:tcPr>
          <w:p w14:paraId="03121157">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2383" w:type="dxa"/>
            <w:noWrap/>
            <w:vAlign w:val="center"/>
          </w:tcPr>
          <w:p w14:paraId="30CB8AE7">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第四次付款</w:t>
            </w:r>
          </w:p>
        </w:tc>
        <w:tc>
          <w:tcPr>
            <w:tcW w:w="3330" w:type="dxa"/>
            <w:noWrap/>
            <w:vAlign w:val="center"/>
          </w:tcPr>
          <w:p w14:paraId="60B78374">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2026年4月-7月</w:t>
            </w:r>
          </w:p>
        </w:tc>
        <w:tc>
          <w:tcPr>
            <w:tcW w:w="1943" w:type="dxa"/>
            <w:noWrap/>
            <w:vAlign w:val="center"/>
          </w:tcPr>
          <w:p w14:paraId="4A99A0C1">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第一年25%</w:t>
            </w:r>
          </w:p>
        </w:tc>
      </w:tr>
      <w:tr w14:paraId="3DF2D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1" w:type="dxa"/>
            <w:gridSpan w:val="4"/>
            <w:noWrap/>
            <w:vAlign w:val="center"/>
          </w:tcPr>
          <w:p w14:paraId="4613477C">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改造款一年一审计，结清后支付第二年养护款</w:t>
            </w:r>
          </w:p>
        </w:tc>
      </w:tr>
      <w:tr w14:paraId="6AF8C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ign w:val="center"/>
          </w:tcPr>
          <w:p w14:paraId="09822D1A">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2383" w:type="dxa"/>
            <w:noWrap/>
            <w:vAlign w:val="center"/>
          </w:tcPr>
          <w:p w14:paraId="55A66047">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第五次付款</w:t>
            </w:r>
          </w:p>
        </w:tc>
        <w:tc>
          <w:tcPr>
            <w:tcW w:w="3330" w:type="dxa"/>
            <w:noWrap/>
            <w:vAlign w:val="center"/>
          </w:tcPr>
          <w:p w14:paraId="366CFC96">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2026年7月-10月</w:t>
            </w:r>
          </w:p>
        </w:tc>
        <w:tc>
          <w:tcPr>
            <w:tcW w:w="1943" w:type="dxa"/>
            <w:noWrap/>
            <w:vAlign w:val="center"/>
          </w:tcPr>
          <w:p w14:paraId="6C49489B">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第二年25%</w:t>
            </w:r>
          </w:p>
        </w:tc>
      </w:tr>
      <w:tr w14:paraId="41CBD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ign w:val="center"/>
          </w:tcPr>
          <w:p w14:paraId="109DF1DE">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c>
          <w:tcPr>
            <w:tcW w:w="2383" w:type="dxa"/>
            <w:noWrap/>
            <w:vAlign w:val="center"/>
          </w:tcPr>
          <w:p w14:paraId="116D045A">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第六次付款</w:t>
            </w:r>
          </w:p>
        </w:tc>
        <w:tc>
          <w:tcPr>
            <w:tcW w:w="3330" w:type="dxa"/>
            <w:shd w:val="clear" w:color="auto" w:fill="auto"/>
            <w:noWrap/>
            <w:vAlign w:val="center"/>
          </w:tcPr>
          <w:p w14:paraId="3D44C6AE">
            <w:pPr>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2026年10月-2027年1月</w:t>
            </w:r>
          </w:p>
        </w:tc>
        <w:tc>
          <w:tcPr>
            <w:tcW w:w="1943" w:type="dxa"/>
            <w:noWrap/>
            <w:vAlign w:val="center"/>
          </w:tcPr>
          <w:p w14:paraId="622BE6C0">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第二年25%</w:t>
            </w:r>
          </w:p>
        </w:tc>
      </w:tr>
      <w:tr w14:paraId="6F3A9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ign w:val="center"/>
          </w:tcPr>
          <w:p w14:paraId="70B9BD9B">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p>
        </w:tc>
        <w:tc>
          <w:tcPr>
            <w:tcW w:w="2383" w:type="dxa"/>
            <w:noWrap/>
            <w:vAlign w:val="center"/>
          </w:tcPr>
          <w:p w14:paraId="5863BC0E">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第七次付款</w:t>
            </w:r>
          </w:p>
        </w:tc>
        <w:tc>
          <w:tcPr>
            <w:tcW w:w="3330" w:type="dxa"/>
            <w:noWrap/>
            <w:vAlign w:val="center"/>
          </w:tcPr>
          <w:p w14:paraId="224D48D0">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2027年1月-4月</w:t>
            </w:r>
          </w:p>
        </w:tc>
        <w:tc>
          <w:tcPr>
            <w:tcW w:w="1943" w:type="dxa"/>
            <w:noWrap/>
            <w:vAlign w:val="center"/>
          </w:tcPr>
          <w:p w14:paraId="5A3B8A14">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第二年25%</w:t>
            </w:r>
          </w:p>
        </w:tc>
      </w:tr>
      <w:tr w14:paraId="26DB1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ign w:val="center"/>
          </w:tcPr>
          <w:p w14:paraId="29C2D33B">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w:t>
            </w:r>
          </w:p>
        </w:tc>
        <w:tc>
          <w:tcPr>
            <w:tcW w:w="2383" w:type="dxa"/>
            <w:noWrap/>
            <w:vAlign w:val="center"/>
          </w:tcPr>
          <w:p w14:paraId="423D414D">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第八次付款</w:t>
            </w:r>
          </w:p>
        </w:tc>
        <w:tc>
          <w:tcPr>
            <w:tcW w:w="3330" w:type="dxa"/>
            <w:noWrap/>
            <w:vAlign w:val="center"/>
          </w:tcPr>
          <w:p w14:paraId="5BECC943">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2027年4月-7月</w:t>
            </w:r>
          </w:p>
        </w:tc>
        <w:tc>
          <w:tcPr>
            <w:tcW w:w="1943" w:type="dxa"/>
            <w:noWrap/>
            <w:vAlign w:val="center"/>
          </w:tcPr>
          <w:p w14:paraId="33721772">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第二年25%</w:t>
            </w:r>
          </w:p>
        </w:tc>
      </w:tr>
      <w:tr w14:paraId="27B4F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1" w:type="dxa"/>
            <w:gridSpan w:val="4"/>
            <w:noWrap/>
            <w:vAlign w:val="center"/>
          </w:tcPr>
          <w:p w14:paraId="66D4866F">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改造款一年一审计，结清后支付第三年养护款</w:t>
            </w:r>
          </w:p>
        </w:tc>
      </w:tr>
      <w:tr w14:paraId="7EE31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ign w:val="center"/>
          </w:tcPr>
          <w:p w14:paraId="6C2F136C">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w:t>
            </w:r>
          </w:p>
        </w:tc>
        <w:tc>
          <w:tcPr>
            <w:tcW w:w="2383" w:type="dxa"/>
            <w:noWrap/>
            <w:vAlign w:val="center"/>
          </w:tcPr>
          <w:p w14:paraId="32E66B70">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第九次付款</w:t>
            </w:r>
          </w:p>
        </w:tc>
        <w:tc>
          <w:tcPr>
            <w:tcW w:w="3330" w:type="dxa"/>
            <w:noWrap/>
            <w:vAlign w:val="center"/>
          </w:tcPr>
          <w:p w14:paraId="308FD118">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2027年7月-10月</w:t>
            </w:r>
          </w:p>
        </w:tc>
        <w:tc>
          <w:tcPr>
            <w:tcW w:w="1943" w:type="dxa"/>
            <w:noWrap/>
            <w:vAlign w:val="center"/>
          </w:tcPr>
          <w:p w14:paraId="7F7482E8">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第三年25%</w:t>
            </w:r>
          </w:p>
        </w:tc>
      </w:tr>
      <w:tr w14:paraId="12953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ign w:val="center"/>
          </w:tcPr>
          <w:p w14:paraId="0CEC569F">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2383" w:type="dxa"/>
            <w:noWrap/>
            <w:vAlign w:val="center"/>
          </w:tcPr>
          <w:p w14:paraId="1EC9EAD9">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第十次付款</w:t>
            </w:r>
          </w:p>
        </w:tc>
        <w:tc>
          <w:tcPr>
            <w:tcW w:w="3330" w:type="dxa"/>
            <w:noWrap/>
            <w:vAlign w:val="center"/>
          </w:tcPr>
          <w:p w14:paraId="12599EB6">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2027年10月-2028年1月</w:t>
            </w:r>
          </w:p>
        </w:tc>
        <w:tc>
          <w:tcPr>
            <w:tcW w:w="1943" w:type="dxa"/>
            <w:noWrap/>
            <w:vAlign w:val="center"/>
          </w:tcPr>
          <w:p w14:paraId="03CF3D8D">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第三年25%</w:t>
            </w:r>
          </w:p>
        </w:tc>
      </w:tr>
      <w:tr w14:paraId="5BBB4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ign w:val="center"/>
          </w:tcPr>
          <w:p w14:paraId="17386AF5">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p>
        </w:tc>
        <w:tc>
          <w:tcPr>
            <w:tcW w:w="2383" w:type="dxa"/>
            <w:noWrap/>
            <w:vAlign w:val="center"/>
          </w:tcPr>
          <w:p w14:paraId="00A49AED">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第十一次付款</w:t>
            </w:r>
          </w:p>
        </w:tc>
        <w:tc>
          <w:tcPr>
            <w:tcW w:w="3330" w:type="dxa"/>
            <w:noWrap/>
            <w:vAlign w:val="center"/>
          </w:tcPr>
          <w:p w14:paraId="4AC5CCC8">
            <w:pPr>
              <w:spacing w:line="36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2028年1月-4月</w:t>
            </w:r>
          </w:p>
        </w:tc>
        <w:tc>
          <w:tcPr>
            <w:tcW w:w="1943" w:type="dxa"/>
            <w:noWrap/>
            <w:vAlign w:val="center"/>
          </w:tcPr>
          <w:p w14:paraId="13ECF5E4">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第三年25%</w:t>
            </w:r>
          </w:p>
        </w:tc>
      </w:tr>
      <w:tr w14:paraId="30FC4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ign w:val="center"/>
          </w:tcPr>
          <w:p w14:paraId="4AC54741">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w:t>
            </w:r>
          </w:p>
        </w:tc>
        <w:tc>
          <w:tcPr>
            <w:tcW w:w="2383" w:type="dxa"/>
            <w:noWrap/>
            <w:vAlign w:val="center"/>
          </w:tcPr>
          <w:p w14:paraId="5F7975E3">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第十二次付款</w:t>
            </w:r>
          </w:p>
        </w:tc>
        <w:tc>
          <w:tcPr>
            <w:tcW w:w="3330" w:type="dxa"/>
            <w:noWrap/>
            <w:vAlign w:val="center"/>
          </w:tcPr>
          <w:p w14:paraId="672BF64B">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2028年4月-7月</w:t>
            </w:r>
          </w:p>
        </w:tc>
        <w:tc>
          <w:tcPr>
            <w:tcW w:w="1943" w:type="dxa"/>
            <w:noWrap/>
            <w:vAlign w:val="center"/>
          </w:tcPr>
          <w:p w14:paraId="15959430">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第三年25%</w:t>
            </w:r>
          </w:p>
        </w:tc>
      </w:tr>
      <w:tr w14:paraId="31B27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1" w:type="dxa"/>
            <w:gridSpan w:val="4"/>
            <w:noWrap/>
            <w:vAlign w:val="center"/>
          </w:tcPr>
          <w:p w14:paraId="32B32406">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合同到期后，以审计报告支付改造款余款</w:t>
            </w:r>
          </w:p>
        </w:tc>
      </w:tr>
    </w:tbl>
    <w:p w14:paraId="6C2D38B2">
      <w:pPr>
        <w:adjustRightInd/>
        <w:spacing w:line="600" w:lineRule="exac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十、履约保证金</w:t>
      </w:r>
    </w:p>
    <w:p w14:paraId="148CEE15">
      <w:pPr>
        <w:adjustRightInd/>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在合同签订前，由中标供应商向采购人缴纳中标总额</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履约保证金（以支票、汇票、本票或者金融机构、担保机构出具的保函等非现金形式提交），在合同到期后30天内，经采购人考核合格后退还全部保证金（本履约保证金不计息）。如在合同期限内，采购人因中标供应商原因终止合同的，履约保证金不予归还。在合同期内如因中标供应商养护原因造成采购人损失的，采购人有权酌情扣去一定的履约保证金作为赔偿金，履约保证金不足以赔偿采购人损失的，中标供应商需予以补足。</w:t>
      </w:r>
    </w:p>
    <w:p w14:paraId="4A265148">
      <w:pPr>
        <w:adjustRightInd/>
        <w:spacing w:line="360" w:lineRule="auto"/>
        <w:rPr>
          <w:rFonts w:hint="eastAsia" w:ascii="仿宋" w:hAnsi="仿宋" w:eastAsia="仿宋" w:cs="仿宋"/>
          <w:b/>
          <w:bCs/>
          <w:color w:val="auto"/>
          <w:sz w:val="28"/>
          <w:szCs w:val="28"/>
          <w:highlight w:val="none"/>
        </w:rPr>
      </w:pPr>
    </w:p>
    <w:p w14:paraId="6DF338BD">
      <w:pPr>
        <w:adjustRightInd/>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十一、其他要求</w:t>
      </w:r>
    </w:p>
    <w:p w14:paraId="7D844BDD">
      <w:pPr>
        <w:pStyle w:val="23"/>
        <w:spacing w:line="360" w:lineRule="auto"/>
        <w:ind w:firstLine="240" w:firstLineChars="10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1、乙方在进场养护后1个月内，须向甲方提供一：180套大型乔木快速支撑和180件带扣紧束带，二：毛竹或竹杆300套。以购货发票和甲方入库验收证书为准，否则甲方有权终止合同。</w:t>
      </w:r>
    </w:p>
    <w:p w14:paraId="24D1C4A1">
      <w:pPr>
        <w:adjustRightInd/>
        <w:spacing w:line="360" w:lineRule="auto"/>
        <w:ind w:firstLine="235" w:firstLineChars="98"/>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、中标供应商所提供资料，经查实为虚假材料的，或经发现中标单位转包给其他企业的，或违规有关养护合同约定的，采购人有权不予签订合同或终止合同。</w:t>
      </w:r>
    </w:p>
    <w:p w14:paraId="529BA070">
      <w:pPr>
        <w:rPr>
          <w:rFonts w:hint="eastAsia" w:ascii="仿宋" w:hAnsi="仿宋" w:eastAsia="仿宋" w:cs="仿宋"/>
        </w:rPr>
      </w:pPr>
    </w:p>
    <w:p w14:paraId="5935D84F">
      <w:pPr>
        <w:rPr>
          <w:rFonts w:hint="eastAsia" w:ascii="仿宋" w:hAnsi="仿宋" w:eastAsia="仿宋" w:cs="仿宋"/>
        </w:rPr>
      </w:pPr>
    </w:p>
    <w:p w14:paraId="40CCFE06">
      <w:pPr>
        <w:rPr>
          <w:rFonts w:hint="eastAsia" w:ascii="仿宋" w:hAnsi="仿宋" w:eastAsia="仿宋" w:cs="仿宋"/>
        </w:rPr>
      </w:pPr>
    </w:p>
    <w:p w14:paraId="3B57F818">
      <w:pPr>
        <w:spacing w:line="360" w:lineRule="auto"/>
        <w:ind w:firstLine="181" w:firstLineChars="50"/>
        <w:rPr>
          <w:rFonts w:hint="eastAsia" w:ascii="仿宋" w:hAnsi="仿宋" w:eastAsia="仿宋" w:cs="仿宋"/>
          <w:b/>
          <w:color w:val="auto"/>
          <w:sz w:val="36"/>
          <w:szCs w:val="36"/>
          <w:highlight w:val="none"/>
        </w:rPr>
      </w:pPr>
    </w:p>
    <w:p w14:paraId="16A70E79">
      <w:pPr>
        <w:spacing w:line="360" w:lineRule="auto"/>
        <w:rPr>
          <w:rFonts w:hint="eastAsia" w:ascii="仿宋" w:hAnsi="仿宋" w:eastAsia="仿宋" w:cs="仿宋"/>
          <w:color w:val="auto"/>
          <w:sz w:val="24"/>
          <w:highlight w:val="none"/>
        </w:rPr>
      </w:pPr>
    </w:p>
    <w:p w14:paraId="78FEAA71">
      <w:pPr>
        <w:widowControl/>
        <w:ind w:firstLine="720" w:firstLineChars="300"/>
        <w:jc w:val="left"/>
        <w:rPr>
          <w:rFonts w:hint="eastAsia" w:ascii="仿宋" w:hAnsi="仿宋" w:eastAsia="仿宋" w:cs="仿宋"/>
          <w:bCs/>
          <w:color w:val="auto"/>
          <w:sz w:val="24"/>
          <w:highlight w:val="none"/>
        </w:rPr>
      </w:pPr>
    </w:p>
    <w:p w14:paraId="6D636660">
      <w:pPr>
        <w:rPr>
          <w:rFonts w:hint="eastAsia" w:ascii="仿宋" w:hAnsi="仿宋" w:eastAsia="仿宋" w:cs="仿宋"/>
          <w:snapToGrid w:val="0"/>
          <w:color w:val="auto"/>
          <w:kern w:val="0"/>
          <w:sz w:val="24"/>
          <w:highlight w:val="none"/>
        </w:rPr>
      </w:pPr>
    </w:p>
    <w:p w14:paraId="7D18B210">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36"/>
          <w:szCs w:val="36"/>
          <w:highlight w:val="none"/>
        </w:rPr>
        <w:t xml:space="preserve">第四部分   </w:t>
      </w:r>
      <w:bookmarkStart w:id="31" w:name="_Toc184314473"/>
      <w:bookmarkEnd w:id="31"/>
      <w:bookmarkStart w:id="32" w:name="_Toc184313257"/>
      <w:bookmarkEnd w:id="32"/>
      <w:bookmarkStart w:id="33" w:name="_Toc184314447"/>
      <w:bookmarkEnd w:id="33"/>
      <w:bookmarkStart w:id="34" w:name="_Toc184312118"/>
      <w:bookmarkEnd w:id="34"/>
      <w:bookmarkStart w:id="35" w:name="_Toc184312090"/>
      <w:bookmarkEnd w:id="35"/>
      <w:bookmarkStart w:id="36" w:name="_Toc184310310"/>
      <w:bookmarkEnd w:id="36"/>
      <w:bookmarkStart w:id="37" w:name="_Toc184312115"/>
      <w:bookmarkEnd w:id="37"/>
      <w:bookmarkStart w:id="38" w:name="_Toc184314459"/>
      <w:bookmarkEnd w:id="38"/>
      <w:bookmarkStart w:id="39" w:name="_Toc184310330"/>
      <w:bookmarkEnd w:id="39"/>
      <w:bookmarkStart w:id="40" w:name="_Toc184313273"/>
      <w:bookmarkEnd w:id="40"/>
      <w:bookmarkStart w:id="41" w:name="_Toc184310343"/>
      <w:bookmarkEnd w:id="41"/>
      <w:bookmarkStart w:id="42" w:name="_Toc184308067"/>
      <w:bookmarkEnd w:id="42"/>
      <w:bookmarkStart w:id="43" w:name="_Toc184310274"/>
      <w:bookmarkEnd w:id="43"/>
      <w:bookmarkStart w:id="44" w:name="_Toc184308084"/>
      <w:bookmarkEnd w:id="44"/>
      <w:bookmarkStart w:id="45" w:name="_Toc184313309"/>
      <w:bookmarkEnd w:id="45"/>
      <w:bookmarkStart w:id="46" w:name="_Toc184312091"/>
      <w:bookmarkEnd w:id="46"/>
      <w:bookmarkStart w:id="47" w:name="_Toc184310307"/>
      <w:bookmarkEnd w:id="47"/>
      <w:bookmarkStart w:id="48" w:name="_Toc184314481"/>
      <w:bookmarkEnd w:id="48"/>
      <w:bookmarkStart w:id="49" w:name="_Toc184313281"/>
      <w:bookmarkEnd w:id="49"/>
      <w:bookmarkStart w:id="50" w:name="_Toc184308072"/>
      <w:bookmarkEnd w:id="50"/>
      <w:bookmarkStart w:id="51" w:name="_Toc184312097"/>
      <w:bookmarkEnd w:id="51"/>
      <w:bookmarkStart w:id="52" w:name="_Toc184308075"/>
      <w:bookmarkEnd w:id="52"/>
      <w:bookmarkStart w:id="53" w:name="_Toc184314437"/>
      <w:bookmarkEnd w:id="53"/>
      <w:bookmarkStart w:id="54" w:name="_Toc184310296"/>
      <w:bookmarkEnd w:id="54"/>
      <w:bookmarkStart w:id="55" w:name="_Toc184313249"/>
      <w:bookmarkEnd w:id="55"/>
      <w:bookmarkStart w:id="56" w:name="_Toc184314451"/>
      <w:bookmarkEnd w:id="56"/>
      <w:bookmarkStart w:id="57" w:name="_Toc184313264"/>
      <w:bookmarkEnd w:id="57"/>
      <w:bookmarkStart w:id="58" w:name="_Toc184308106"/>
      <w:bookmarkEnd w:id="58"/>
      <w:bookmarkStart w:id="59" w:name="_Toc184308044"/>
      <w:bookmarkEnd w:id="59"/>
      <w:bookmarkStart w:id="60" w:name="_Toc184313272"/>
      <w:bookmarkEnd w:id="60"/>
      <w:bookmarkStart w:id="61" w:name="_Toc184312129"/>
      <w:bookmarkEnd w:id="61"/>
      <w:bookmarkStart w:id="62" w:name="_Toc184314415"/>
      <w:bookmarkEnd w:id="62"/>
      <w:bookmarkStart w:id="63" w:name="_Toc184314422"/>
      <w:bookmarkEnd w:id="63"/>
      <w:bookmarkStart w:id="64" w:name="_Toc184310334"/>
      <w:bookmarkEnd w:id="64"/>
      <w:bookmarkStart w:id="65" w:name="_Toc184313285"/>
      <w:bookmarkEnd w:id="65"/>
      <w:bookmarkStart w:id="66" w:name="_Toc184308095"/>
      <w:bookmarkEnd w:id="66"/>
      <w:bookmarkStart w:id="67" w:name="_Toc184313250"/>
      <w:bookmarkEnd w:id="67"/>
      <w:bookmarkStart w:id="68" w:name="_Toc184310320"/>
      <w:bookmarkEnd w:id="68"/>
      <w:bookmarkStart w:id="69" w:name="_Toc184308053"/>
      <w:bookmarkEnd w:id="69"/>
      <w:bookmarkStart w:id="70" w:name="_Toc184310284"/>
      <w:bookmarkEnd w:id="70"/>
      <w:bookmarkStart w:id="71" w:name="_Toc184313280"/>
      <w:bookmarkEnd w:id="71"/>
      <w:bookmarkStart w:id="72" w:name="_Toc184308069"/>
      <w:bookmarkEnd w:id="72"/>
      <w:bookmarkStart w:id="73" w:name="_Toc184314424"/>
      <w:bookmarkEnd w:id="73"/>
      <w:bookmarkStart w:id="74" w:name="_Toc184310306"/>
      <w:bookmarkEnd w:id="74"/>
      <w:bookmarkStart w:id="75" w:name="_Toc184314420"/>
      <w:bookmarkEnd w:id="75"/>
      <w:bookmarkStart w:id="76" w:name="_Toc184310287"/>
      <w:bookmarkEnd w:id="76"/>
      <w:bookmarkStart w:id="77" w:name="_Toc184313305"/>
      <w:bookmarkEnd w:id="77"/>
      <w:bookmarkStart w:id="78" w:name="_Toc184310313"/>
      <w:bookmarkEnd w:id="78"/>
      <w:bookmarkStart w:id="79" w:name="_Toc184313268"/>
      <w:bookmarkEnd w:id="79"/>
      <w:bookmarkStart w:id="80" w:name="_Toc184308057"/>
      <w:bookmarkEnd w:id="80"/>
      <w:bookmarkStart w:id="81" w:name="_Toc184313292"/>
      <w:bookmarkEnd w:id="81"/>
      <w:bookmarkStart w:id="82" w:name="_Toc184310281"/>
      <w:bookmarkEnd w:id="82"/>
      <w:bookmarkStart w:id="83" w:name="_Toc184313248"/>
      <w:bookmarkEnd w:id="83"/>
      <w:bookmarkStart w:id="84" w:name="_Toc184312106"/>
      <w:bookmarkEnd w:id="84"/>
      <w:bookmarkStart w:id="85" w:name="_Toc184313256"/>
      <w:bookmarkEnd w:id="85"/>
      <w:bookmarkStart w:id="86" w:name="_Toc184310332"/>
      <w:bookmarkEnd w:id="86"/>
      <w:bookmarkStart w:id="87" w:name="_Toc184312093"/>
      <w:bookmarkEnd w:id="87"/>
      <w:bookmarkStart w:id="88" w:name="_Toc184310322"/>
      <w:bookmarkEnd w:id="88"/>
      <w:bookmarkStart w:id="89" w:name="_Toc184308077"/>
      <w:bookmarkEnd w:id="89"/>
      <w:bookmarkStart w:id="90" w:name="_Toc184314439"/>
      <w:bookmarkEnd w:id="90"/>
      <w:bookmarkStart w:id="91" w:name="_Toc184310308"/>
      <w:bookmarkEnd w:id="91"/>
      <w:bookmarkStart w:id="92" w:name="_Toc184312078"/>
      <w:bookmarkEnd w:id="92"/>
      <w:bookmarkStart w:id="93" w:name="_Toc184308081"/>
      <w:bookmarkEnd w:id="93"/>
      <w:bookmarkStart w:id="94" w:name="_Toc184313302"/>
      <w:bookmarkEnd w:id="94"/>
      <w:bookmarkStart w:id="95" w:name="_Toc184308085"/>
      <w:bookmarkEnd w:id="95"/>
      <w:bookmarkStart w:id="96" w:name="_Toc184308060"/>
      <w:bookmarkEnd w:id="96"/>
      <w:bookmarkStart w:id="97" w:name="_Toc184308086"/>
      <w:bookmarkEnd w:id="97"/>
      <w:bookmarkStart w:id="98" w:name="_Toc184312082"/>
      <w:bookmarkEnd w:id="98"/>
      <w:bookmarkStart w:id="99" w:name="_Toc184312121"/>
      <w:bookmarkEnd w:id="99"/>
      <w:bookmarkStart w:id="100" w:name="_Toc184313297"/>
      <w:bookmarkEnd w:id="100"/>
      <w:bookmarkStart w:id="101" w:name="_Toc184313295"/>
      <w:bookmarkEnd w:id="101"/>
      <w:bookmarkStart w:id="102" w:name="_Toc184308036"/>
      <w:bookmarkEnd w:id="102"/>
      <w:bookmarkStart w:id="103" w:name="_Toc184314425"/>
      <w:bookmarkEnd w:id="103"/>
      <w:bookmarkStart w:id="104" w:name="_Toc184308092"/>
      <w:bookmarkEnd w:id="104"/>
      <w:bookmarkStart w:id="105" w:name="_Toc184312096"/>
      <w:bookmarkEnd w:id="105"/>
      <w:bookmarkStart w:id="106" w:name="_Toc184313244"/>
      <w:bookmarkEnd w:id="106"/>
      <w:bookmarkStart w:id="107" w:name="_Toc184310294"/>
      <w:bookmarkEnd w:id="107"/>
      <w:bookmarkStart w:id="108" w:name="_Toc184308082"/>
      <w:bookmarkEnd w:id="108"/>
      <w:bookmarkStart w:id="109" w:name="_Toc184313267"/>
      <w:bookmarkEnd w:id="109"/>
      <w:bookmarkStart w:id="110" w:name="_Toc184310277"/>
      <w:bookmarkEnd w:id="110"/>
      <w:bookmarkStart w:id="111" w:name="_Toc184310301"/>
      <w:bookmarkEnd w:id="111"/>
      <w:bookmarkStart w:id="112" w:name="_Toc184312123"/>
      <w:bookmarkEnd w:id="112"/>
      <w:bookmarkStart w:id="113" w:name="_Toc184308054"/>
      <w:bookmarkEnd w:id="113"/>
      <w:bookmarkStart w:id="114" w:name="_Toc184312104"/>
      <w:bookmarkEnd w:id="114"/>
      <w:bookmarkStart w:id="115" w:name="_Toc184313290"/>
      <w:bookmarkEnd w:id="115"/>
      <w:bookmarkStart w:id="116" w:name="_Toc184310276"/>
      <w:bookmarkEnd w:id="116"/>
      <w:bookmarkStart w:id="117" w:name="_Toc184312095"/>
      <w:bookmarkEnd w:id="117"/>
      <w:bookmarkStart w:id="118" w:name="_Toc184312112"/>
      <w:bookmarkEnd w:id="118"/>
      <w:bookmarkStart w:id="119" w:name="_Toc184313266"/>
      <w:bookmarkEnd w:id="119"/>
      <w:bookmarkStart w:id="120" w:name="_Toc184312067"/>
      <w:bookmarkEnd w:id="120"/>
      <w:bookmarkStart w:id="121" w:name="_Toc184310321"/>
      <w:bookmarkEnd w:id="121"/>
      <w:bookmarkStart w:id="122" w:name="_Toc184312086"/>
      <w:bookmarkEnd w:id="122"/>
      <w:bookmarkStart w:id="123" w:name="_Toc184313275"/>
      <w:bookmarkEnd w:id="123"/>
      <w:bookmarkStart w:id="124" w:name="_Toc184310300"/>
      <w:bookmarkEnd w:id="124"/>
      <w:bookmarkStart w:id="125" w:name="_Toc184312125"/>
      <w:bookmarkEnd w:id="125"/>
      <w:bookmarkStart w:id="126" w:name="_Toc184312127"/>
      <w:bookmarkEnd w:id="126"/>
      <w:bookmarkStart w:id="127" w:name="_Toc184313306"/>
      <w:bookmarkEnd w:id="127"/>
      <w:bookmarkStart w:id="128" w:name="_Toc184312070"/>
      <w:bookmarkEnd w:id="128"/>
      <w:bookmarkStart w:id="129" w:name="_Toc184313239"/>
      <w:bookmarkEnd w:id="129"/>
      <w:bookmarkStart w:id="130" w:name="_Toc184312069"/>
      <w:bookmarkEnd w:id="130"/>
      <w:bookmarkStart w:id="131" w:name="_Toc184314429"/>
      <w:bookmarkEnd w:id="131"/>
      <w:bookmarkStart w:id="132" w:name="_Toc184312094"/>
      <w:bookmarkEnd w:id="132"/>
      <w:bookmarkStart w:id="133" w:name="_Toc184313303"/>
      <w:bookmarkEnd w:id="133"/>
      <w:bookmarkStart w:id="134" w:name="_Toc184314463"/>
      <w:bookmarkEnd w:id="134"/>
      <w:bookmarkStart w:id="135" w:name="_Toc184314453"/>
      <w:bookmarkEnd w:id="135"/>
      <w:bookmarkStart w:id="136" w:name="_Toc184314456"/>
      <w:bookmarkEnd w:id="136"/>
      <w:bookmarkStart w:id="137" w:name="_Toc184308102"/>
      <w:bookmarkEnd w:id="137"/>
      <w:bookmarkStart w:id="138" w:name="_Toc184308097"/>
      <w:bookmarkEnd w:id="138"/>
      <w:bookmarkStart w:id="139" w:name="_Toc184314467"/>
      <w:bookmarkEnd w:id="139"/>
      <w:bookmarkStart w:id="140" w:name="_Toc184313296"/>
      <w:bookmarkEnd w:id="140"/>
      <w:bookmarkStart w:id="141" w:name="_Toc184314468"/>
      <w:bookmarkEnd w:id="141"/>
      <w:bookmarkStart w:id="142" w:name="_Toc184313242"/>
      <w:bookmarkEnd w:id="142"/>
      <w:bookmarkStart w:id="143" w:name="_Toc184312107"/>
      <w:bookmarkEnd w:id="143"/>
      <w:bookmarkStart w:id="144" w:name="_Toc184310278"/>
      <w:bookmarkEnd w:id="144"/>
      <w:bookmarkStart w:id="145" w:name="_Toc184313261"/>
      <w:bookmarkEnd w:id="145"/>
      <w:bookmarkStart w:id="146" w:name="_Toc184312079"/>
      <w:bookmarkEnd w:id="146"/>
      <w:bookmarkStart w:id="147" w:name="_Toc184310319"/>
      <w:bookmarkEnd w:id="147"/>
      <w:bookmarkStart w:id="148" w:name="_Toc184312105"/>
      <w:bookmarkEnd w:id="148"/>
      <w:bookmarkStart w:id="149" w:name="_Toc184314417"/>
      <w:bookmarkEnd w:id="149"/>
      <w:bookmarkStart w:id="150" w:name="_Toc184313276"/>
      <w:bookmarkEnd w:id="150"/>
      <w:bookmarkStart w:id="151" w:name="_Toc184312110"/>
      <w:bookmarkEnd w:id="151"/>
      <w:bookmarkStart w:id="152" w:name="_Toc184310272"/>
      <w:bookmarkEnd w:id="152"/>
      <w:bookmarkStart w:id="153" w:name="_Toc184308040"/>
      <w:bookmarkEnd w:id="153"/>
      <w:bookmarkStart w:id="154" w:name="_Toc184313300"/>
      <w:bookmarkEnd w:id="154"/>
      <w:bookmarkStart w:id="155" w:name="_Toc184310344"/>
      <w:bookmarkEnd w:id="155"/>
      <w:bookmarkStart w:id="156" w:name="_Toc184312075"/>
      <w:bookmarkEnd w:id="156"/>
      <w:bookmarkStart w:id="157" w:name="_Toc184314419"/>
      <w:bookmarkEnd w:id="157"/>
      <w:bookmarkStart w:id="158" w:name="_Toc184312072"/>
      <w:bookmarkEnd w:id="158"/>
      <w:bookmarkStart w:id="159" w:name="_Toc184310288"/>
      <w:bookmarkEnd w:id="159"/>
      <w:bookmarkStart w:id="160" w:name="_Toc184313274"/>
      <w:bookmarkEnd w:id="160"/>
      <w:bookmarkStart w:id="161" w:name="_Toc184308080"/>
      <w:bookmarkEnd w:id="161"/>
      <w:bookmarkStart w:id="162" w:name="_Toc184312076"/>
      <w:bookmarkEnd w:id="162"/>
      <w:bookmarkStart w:id="163" w:name="_Toc184312137"/>
      <w:bookmarkEnd w:id="163"/>
      <w:bookmarkStart w:id="164" w:name="_Toc184314436"/>
      <w:bookmarkEnd w:id="164"/>
      <w:bookmarkStart w:id="165" w:name="_Toc184314482"/>
      <w:bookmarkEnd w:id="165"/>
      <w:bookmarkStart w:id="166" w:name="_Toc184308046"/>
      <w:bookmarkEnd w:id="166"/>
      <w:bookmarkStart w:id="167" w:name="_Toc184310324"/>
      <w:bookmarkEnd w:id="167"/>
      <w:bookmarkStart w:id="168" w:name="_Toc184314455"/>
      <w:bookmarkEnd w:id="168"/>
      <w:bookmarkStart w:id="169" w:name="_Toc184314445"/>
      <w:bookmarkEnd w:id="169"/>
      <w:bookmarkStart w:id="170" w:name="_Toc184313262"/>
      <w:bookmarkEnd w:id="170"/>
      <w:bookmarkStart w:id="171" w:name="_Toc184314454"/>
      <w:bookmarkEnd w:id="171"/>
      <w:bookmarkStart w:id="172" w:name="_Toc184312103"/>
      <w:bookmarkEnd w:id="172"/>
      <w:bookmarkStart w:id="173" w:name="_Toc184314474"/>
      <w:bookmarkEnd w:id="173"/>
      <w:bookmarkStart w:id="174" w:name="_Toc184313310"/>
      <w:bookmarkEnd w:id="174"/>
      <w:bookmarkStart w:id="175" w:name="_Toc184313245"/>
      <w:bookmarkEnd w:id="175"/>
      <w:bookmarkStart w:id="176" w:name="_Toc184312131"/>
      <w:bookmarkEnd w:id="176"/>
      <w:bookmarkStart w:id="177" w:name="_Toc184313284"/>
      <w:bookmarkEnd w:id="177"/>
      <w:bookmarkStart w:id="178" w:name="_Toc184308074"/>
      <w:bookmarkEnd w:id="178"/>
      <w:bookmarkStart w:id="179" w:name="_Toc184310282"/>
      <w:bookmarkEnd w:id="179"/>
      <w:bookmarkStart w:id="180" w:name="_Toc184313301"/>
      <w:bookmarkEnd w:id="180"/>
      <w:bookmarkStart w:id="181" w:name="_Toc184308087"/>
      <w:bookmarkEnd w:id="181"/>
      <w:bookmarkStart w:id="182" w:name="_Toc184310337"/>
      <w:bookmarkEnd w:id="182"/>
      <w:bookmarkStart w:id="183" w:name="_Toc184313263"/>
      <w:bookmarkEnd w:id="183"/>
      <w:bookmarkStart w:id="184" w:name="_Toc184313265"/>
      <w:bookmarkEnd w:id="184"/>
      <w:bookmarkStart w:id="185" w:name="_Toc184308061"/>
      <w:bookmarkEnd w:id="185"/>
      <w:bookmarkStart w:id="186" w:name="_Toc184314452"/>
      <w:bookmarkEnd w:id="186"/>
      <w:bookmarkStart w:id="187" w:name="_Toc184310326"/>
      <w:bookmarkEnd w:id="187"/>
      <w:bookmarkStart w:id="188" w:name="_Toc184314443"/>
      <w:bookmarkEnd w:id="188"/>
      <w:bookmarkStart w:id="189" w:name="_Toc184314440"/>
      <w:bookmarkEnd w:id="189"/>
      <w:bookmarkStart w:id="190" w:name="_Toc184308096"/>
      <w:bookmarkEnd w:id="190"/>
      <w:bookmarkStart w:id="191" w:name="_Toc184308094"/>
      <w:bookmarkEnd w:id="191"/>
      <w:bookmarkStart w:id="192" w:name="_Toc184313260"/>
      <w:bookmarkEnd w:id="192"/>
      <w:bookmarkStart w:id="193" w:name="_Toc184308045"/>
      <w:bookmarkEnd w:id="193"/>
      <w:bookmarkStart w:id="194" w:name="_Toc184314442"/>
      <w:bookmarkEnd w:id="194"/>
      <w:bookmarkStart w:id="195" w:name="_Toc184312081"/>
      <w:bookmarkEnd w:id="195"/>
      <w:bookmarkStart w:id="196" w:name="_Toc184308103"/>
      <w:bookmarkEnd w:id="196"/>
      <w:bookmarkStart w:id="197" w:name="_Toc184308098"/>
      <w:bookmarkEnd w:id="197"/>
      <w:bookmarkStart w:id="198" w:name="_Toc184312113"/>
      <w:bookmarkEnd w:id="198"/>
      <w:bookmarkStart w:id="199" w:name="_Toc184312120"/>
      <w:bookmarkEnd w:id="199"/>
      <w:bookmarkStart w:id="200" w:name="_Toc184313238"/>
      <w:bookmarkEnd w:id="200"/>
      <w:bookmarkStart w:id="201" w:name="_Toc184310315"/>
      <w:bookmarkEnd w:id="201"/>
      <w:bookmarkStart w:id="202" w:name="_Toc184312074"/>
      <w:bookmarkEnd w:id="202"/>
      <w:bookmarkStart w:id="203" w:name="_Toc184310273"/>
      <w:bookmarkEnd w:id="203"/>
      <w:bookmarkStart w:id="204" w:name="_Toc184312136"/>
      <w:bookmarkEnd w:id="204"/>
      <w:bookmarkStart w:id="205" w:name="_Toc184308073"/>
      <w:bookmarkEnd w:id="205"/>
      <w:bookmarkStart w:id="206" w:name="_Toc184314480"/>
      <w:bookmarkEnd w:id="206"/>
      <w:bookmarkStart w:id="207" w:name="_Toc184314423"/>
      <w:bookmarkEnd w:id="207"/>
      <w:bookmarkStart w:id="208" w:name="_Toc184313294"/>
      <w:bookmarkEnd w:id="208"/>
      <w:bookmarkStart w:id="209" w:name="_Toc184314476"/>
      <w:bookmarkEnd w:id="209"/>
      <w:bookmarkStart w:id="210" w:name="_Toc184313291"/>
      <w:bookmarkEnd w:id="210"/>
      <w:bookmarkStart w:id="211" w:name="_Toc184310309"/>
      <w:bookmarkEnd w:id="211"/>
      <w:bookmarkStart w:id="212" w:name="_Toc184312084"/>
      <w:bookmarkEnd w:id="212"/>
      <w:bookmarkStart w:id="213" w:name="_Toc184313288"/>
      <w:bookmarkEnd w:id="213"/>
      <w:bookmarkStart w:id="214" w:name="_Toc184313271"/>
      <w:bookmarkEnd w:id="214"/>
      <w:bookmarkStart w:id="215" w:name="_Toc184312098"/>
      <w:bookmarkEnd w:id="215"/>
      <w:bookmarkStart w:id="216" w:name="_Toc184310286"/>
      <w:bookmarkEnd w:id="216"/>
      <w:bookmarkStart w:id="217" w:name="_Toc184308059"/>
      <w:bookmarkEnd w:id="217"/>
      <w:bookmarkStart w:id="218" w:name="_Toc184310292"/>
      <w:bookmarkEnd w:id="218"/>
      <w:bookmarkStart w:id="219" w:name="_Toc184312119"/>
      <w:bookmarkEnd w:id="219"/>
      <w:bookmarkStart w:id="220" w:name="_Toc184310312"/>
      <w:bookmarkEnd w:id="220"/>
      <w:bookmarkStart w:id="221" w:name="_Toc184312083"/>
      <w:bookmarkEnd w:id="221"/>
      <w:bookmarkStart w:id="222" w:name="_Toc184310275"/>
      <w:bookmarkEnd w:id="222"/>
      <w:bookmarkStart w:id="223" w:name="_Toc184313299"/>
      <w:bookmarkEnd w:id="223"/>
      <w:bookmarkStart w:id="224" w:name="_Toc184314434"/>
      <w:bookmarkEnd w:id="224"/>
      <w:bookmarkStart w:id="225" w:name="_Toc184314462"/>
      <w:bookmarkEnd w:id="225"/>
      <w:bookmarkStart w:id="226" w:name="_Toc184314430"/>
      <w:bookmarkEnd w:id="226"/>
      <w:bookmarkStart w:id="227" w:name="_Toc184313270"/>
      <w:bookmarkEnd w:id="227"/>
      <w:bookmarkStart w:id="228" w:name="_Toc184312077"/>
      <w:bookmarkEnd w:id="228"/>
      <w:bookmarkStart w:id="229" w:name="_Toc184312126"/>
      <w:bookmarkEnd w:id="229"/>
      <w:bookmarkStart w:id="230" w:name="_Toc184313278"/>
      <w:bookmarkEnd w:id="230"/>
      <w:bookmarkStart w:id="231" w:name="_Toc184314457"/>
      <w:bookmarkEnd w:id="231"/>
      <w:bookmarkStart w:id="232" w:name="_Toc184313279"/>
      <w:bookmarkEnd w:id="232"/>
      <w:bookmarkStart w:id="233" w:name="_Toc184310285"/>
      <w:bookmarkEnd w:id="233"/>
      <w:bookmarkStart w:id="234" w:name="_Toc184308099"/>
      <w:bookmarkEnd w:id="234"/>
      <w:bookmarkStart w:id="235" w:name="_Toc184308041"/>
      <w:bookmarkEnd w:id="235"/>
      <w:bookmarkStart w:id="236" w:name="_Toc184312099"/>
      <w:bookmarkEnd w:id="236"/>
      <w:bookmarkStart w:id="237" w:name="_Toc184310311"/>
      <w:bookmarkEnd w:id="237"/>
      <w:bookmarkStart w:id="238" w:name="_Toc184312108"/>
      <w:bookmarkEnd w:id="238"/>
      <w:bookmarkStart w:id="239" w:name="_Toc184313269"/>
      <w:bookmarkEnd w:id="239"/>
      <w:bookmarkStart w:id="240" w:name="_Toc184314478"/>
      <w:bookmarkEnd w:id="240"/>
      <w:bookmarkStart w:id="241" w:name="_Toc184310341"/>
      <w:bookmarkEnd w:id="241"/>
      <w:bookmarkStart w:id="242" w:name="_Toc184308039"/>
      <w:bookmarkEnd w:id="242"/>
      <w:bookmarkStart w:id="243" w:name="_Toc184312138"/>
      <w:bookmarkEnd w:id="243"/>
      <w:bookmarkStart w:id="244" w:name="_Toc184314458"/>
      <w:bookmarkEnd w:id="244"/>
      <w:bookmarkStart w:id="245" w:name="_Toc184314411"/>
      <w:bookmarkEnd w:id="245"/>
      <w:bookmarkStart w:id="246" w:name="_Toc184308064"/>
      <w:bookmarkEnd w:id="246"/>
      <w:bookmarkStart w:id="247" w:name="_Toc184310304"/>
      <w:bookmarkEnd w:id="247"/>
      <w:bookmarkStart w:id="248" w:name="_Toc184314469"/>
      <w:bookmarkEnd w:id="248"/>
      <w:bookmarkStart w:id="249" w:name="_Toc184312109"/>
      <w:bookmarkEnd w:id="249"/>
      <w:bookmarkStart w:id="250" w:name="_Toc184310295"/>
      <w:bookmarkEnd w:id="250"/>
      <w:bookmarkStart w:id="251" w:name="_Toc184314446"/>
      <w:bookmarkEnd w:id="251"/>
      <w:bookmarkStart w:id="252" w:name="_Toc184310283"/>
      <w:bookmarkEnd w:id="252"/>
      <w:bookmarkStart w:id="253" w:name="_Toc184308071"/>
      <w:bookmarkEnd w:id="253"/>
      <w:bookmarkStart w:id="254" w:name="_Toc184312114"/>
      <w:bookmarkEnd w:id="254"/>
      <w:bookmarkStart w:id="255" w:name="_Toc184313251"/>
      <w:bookmarkEnd w:id="255"/>
      <w:bookmarkStart w:id="256" w:name="_Toc184313259"/>
      <w:bookmarkEnd w:id="256"/>
      <w:bookmarkStart w:id="257" w:name="_Toc184308068"/>
      <w:bookmarkEnd w:id="257"/>
      <w:bookmarkStart w:id="258" w:name="_Toc184314427"/>
      <w:bookmarkEnd w:id="258"/>
      <w:bookmarkStart w:id="259" w:name="_Toc184312087"/>
      <w:bookmarkEnd w:id="259"/>
      <w:bookmarkStart w:id="260" w:name="_Toc184308048"/>
      <w:bookmarkEnd w:id="260"/>
      <w:bookmarkStart w:id="261" w:name="_Toc184313307"/>
      <w:bookmarkEnd w:id="261"/>
      <w:bookmarkStart w:id="262" w:name="_Toc184312088"/>
      <w:bookmarkEnd w:id="262"/>
      <w:bookmarkStart w:id="263" w:name="_Toc184313246"/>
      <w:bookmarkEnd w:id="263"/>
      <w:bookmarkStart w:id="264" w:name="_Toc184314433"/>
      <w:bookmarkEnd w:id="264"/>
      <w:bookmarkStart w:id="265" w:name="_Toc184310335"/>
      <w:bookmarkEnd w:id="265"/>
      <w:bookmarkStart w:id="266" w:name="_Toc184308076"/>
      <w:bookmarkEnd w:id="266"/>
      <w:bookmarkStart w:id="267" w:name="_Toc184314431"/>
      <w:bookmarkEnd w:id="267"/>
      <w:bookmarkStart w:id="268" w:name="_Toc184312101"/>
      <w:bookmarkEnd w:id="268"/>
      <w:bookmarkStart w:id="269" w:name="_Toc184313277"/>
      <w:bookmarkEnd w:id="269"/>
      <w:bookmarkStart w:id="270" w:name="_Toc184308058"/>
      <w:bookmarkEnd w:id="270"/>
      <w:bookmarkStart w:id="271" w:name="_Toc184314470"/>
      <w:bookmarkEnd w:id="271"/>
      <w:bookmarkStart w:id="272" w:name="_Toc184312111"/>
      <w:bookmarkEnd w:id="272"/>
      <w:bookmarkStart w:id="273" w:name="_Toc184314428"/>
      <w:bookmarkEnd w:id="273"/>
      <w:bookmarkStart w:id="274" w:name="_Toc184308042"/>
      <w:bookmarkEnd w:id="274"/>
      <w:bookmarkStart w:id="275" w:name="_Toc184314444"/>
      <w:bookmarkEnd w:id="275"/>
      <w:bookmarkStart w:id="276" w:name="_Toc184310323"/>
      <w:bookmarkEnd w:id="276"/>
      <w:bookmarkStart w:id="277" w:name="_Toc184310331"/>
      <w:bookmarkEnd w:id="277"/>
      <w:bookmarkStart w:id="278" w:name="_Toc184308104"/>
      <w:bookmarkEnd w:id="278"/>
      <w:bookmarkStart w:id="279" w:name="_Toc184308070"/>
      <w:bookmarkEnd w:id="279"/>
      <w:bookmarkStart w:id="280" w:name="_Toc184310293"/>
      <w:bookmarkEnd w:id="280"/>
      <w:bookmarkStart w:id="281" w:name="_Toc184308108"/>
      <w:bookmarkEnd w:id="281"/>
      <w:bookmarkStart w:id="282" w:name="_Toc184310290"/>
      <w:bookmarkEnd w:id="282"/>
      <w:bookmarkStart w:id="283" w:name="_Toc184314475"/>
      <w:bookmarkEnd w:id="283"/>
      <w:bookmarkStart w:id="284" w:name="_Toc184313293"/>
      <w:bookmarkEnd w:id="284"/>
      <w:bookmarkStart w:id="285" w:name="_Toc184312130"/>
      <w:bookmarkEnd w:id="285"/>
      <w:bookmarkStart w:id="286" w:name="_Toc184314412"/>
      <w:bookmarkEnd w:id="286"/>
      <w:bookmarkStart w:id="287" w:name="_Toc184314426"/>
      <w:bookmarkEnd w:id="287"/>
      <w:bookmarkStart w:id="288" w:name="_Toc184314477"/>
      <w:bookmarkEnd w:id="288"/>
      <w:bookmarkStart w:id="289" w:name="_Toc184314448"/>
      <w:bookmarkEnd w:id="289"/>
      <w:bookmarkStart w:id="290" w:name="_Toc184312100"/>
      <w:bookmarkEnd w:id="290"/>
      <w:bookmarkStart w:id="291" w:name="_Toc184314410"/>
      <w:bookmarkEnd w:id="291"/>
      <w:bookmarkStart w:id="292" w:name="_Toc184310279"/>
      <w:bookmarkEnd w:id="292"/>
      <w:bookmarkStart w:id="293" w:name="_Toc184310327"/>
      <w:bookmarkEnd w:id="293"/>
      <w:bookmarkStart w:id="294" w:name="_Toc184314449"/>
      <w:bookmarkEnd w:id="294"/>
      <w:bookmarkStart w:id="295" w:name="_Toc184312134"/>
      <w:bookmarkEnd w:id="295"/>
      <w:bookmarkStart w:id="296" w:name="_Toc184308062"/>
      <w:bookmarkEnd w:id="296"/>
      <w:bookmarkStart w:id="297" w:name="_Toc184314421"/>
      <w:bookmarkEnd w:id="297"/>
      <w:bookmarkStart w:id="298" w:name="_Toc184308088"/>
      <w:bookmarkEnd w:id="298"/>
      <w:bookmarkStart w:id="299" w:name="_Toc184312092"/>
      <w:bookmarkEnd w:id="299"/>
      <w:bookmarkStart w:id="300" w:name="_Toc184312117"/>
      <w:bookmarkEnd w:id="300"/>
      <w:bookmarkStart w:id="301" w:name="_Toc184308055"/>
      <w:bookmarkEnd w:id="301"/>
      <w:bookmarkStart w:id="302" w:name="_Toc184310314"/>
      <w:bookmarkEnd w:id="302"/>
      <w:bookmarkStart w:id="303" w:name="_Toc184314471"/>
      <w:bookmarkEnd w:id="303"/>
      <w:bookmarkStart w:id="304" w:name="_Toc184314466"/>
      <w:bookmarkEnd w:id="304"/>
      <w:bookmarkStart w:id="305" w:name="_Toc184310316"/>
      <w:bookmarkEnd w:id="305"/>
      <w:bookmarkStart w:id="306" w:name="_Toc184314441"/>
      <w:bookmarkEnd w:id="306"/>
      <w:bookmarkStart w:id="307" w:name="_Toc184308105"/>
      <w:bookmarkEnd w:id="307"/>
      <w:bookmarkStart w:id="308" w:name="_Toc184308101"/>
      <w:bookmarkEnd w:id="308"/>
      <w:bookmarkStart w:id="309" w:name="_Toc184312122"/>
      <w:bookmarkEnd w:id="309"/>
      <w:bookmarkStart w:id="310" w:name="_Toc184310329"/>
      <w:bookmarkEnd w:id="310"/>
      <w:bookmarkStart w:id="311" w:name="_Toc184308093"/>
      <w:bookmarkEnd w:id="311"/>
      <w:bookmarkStart w:id="312" w:name="_Toc184310328"/>
      <w:bookmarkEnd w:id="312"/>
      <w:bookmarkStart w:id="313" w:name="_Toc184308100"/>
      <w:bookmarkEnd w:id="313"/>
      <w:bookmarkStart w:id="314" w:name="_Toc184313287"/>
      <w:bookmarkEnd w:id="314"/>
      <w:bookmarkStart w:id="315" w:name="_Toc184312071"/>
      <w:bookmarkEnd w:id="315"/>
      <w:bookmarkStart w:id="316" w:name="_Toc184308078"/>
      <w:bookmarkEnd w:id="316"/>
      <w:bookmarkStart w:id="317" w:name="_Toc184308089"/>
      <w:bookmarkEnd w:id="317"/>
      <w:bookmarkStart w:id="318" w:name="_Toc184308107"/>
      <w:bookmarkEnd w:id="318"/>
      <w:bookmarkStart w:id="319" w:name="_Toc184310291"/>
      <w:bookmarkEnd w:id="319"/>
      <w:bookmarkStart w:id="320" w:name="_Toc184310302"/>
      <w:bookmarkEnd w:id="320"/>
      <w:bookmarkStart w:id="321" w:name="_Toc184313243"/>
      <w:bookmarkEnd w:id="321"/>
      <w:bookmarkStart w:id="322" w:name="_Toc184312139"/>
      <w:bookmarkEnd w:id="322"/>
      <w:bookmarkStart w:id="323" w:name="_Toc184314460"/>
      <w:bookmarkEnd w:id="323"/>
      <w:bookmarkStart w:id="324" w:name="_Toc184310317"/>
      <w:bookmarkEnd w:id="324"/>
      <w:bookmarkStart w:id="325" w:name="_Toc184314461"/>
      <w:bookmarkEnd w:id="325"/>
      <w:bookmarkStart w:id="326" w:name="_Toc184313283"/>
      <w:bookmarkEnd w:id="326"/>
      <w:bookmarkStart w:id="327" w:name="_Toc184313308"/>
      <w:bookmarkEnd w:id="327"/>
      <w:bookmarkStart w:id="328" w:name="_Toc184308065"/>
      <w:bookmarkEnd w:id="328"/>
      <w:bookmarkStart w:id="329" w:name="_Toc184310339"/>
      <w:bookmarkEnd w:id="329"/>
      <w:bookmarkStart w:id="330" w:name="_Toc184310280"/>
      <w:bookmarkEnd w:id="330"/>
      <w:bookmarkStart w:id="331" w:name="_Toc184314465"/>
      <w:bookmarkEnd w:id="331"/>
      <w:bookmarkStart w:id="332" w:name="_Toc184308049"/>
      <w:bookmarkEnd w:id="332"/>
      <w:bookmarkStart w:id="333" w:name="_Toc184313282"/>
      <w:bookmarkEnd w:id="333"/>
      <w:bookmarkStart w:id="334" w:name="_Toc184308083"/>
      <w:bookmarkEnd w:id="334"/>
      <w:bookmarkStart w:id="335" w:name="_Toc184313252"/>
      <w:bookmarkEnd w:id="335"/>
      <w:bookmarkStart w:id="336" w:name="_Toc184310303"/>
      <w:bookmarkEnd w:id="336"/>
      <w:bookmarkStart w:id="337" w:name="_Toc184308056"/>
      <w:bookmarkEnd w:id="337"/>
      <w:bookmarkStart w:id="338" w:name="_Toc184310333"/>
      <w:bookmarkEnd w:id="338"/>
      <w:bookmarkStart w:id="339" w:name="_Toc184308063"/>
      <w:bookmarkEnd w:id="339"/>
      <w:bookmarkStart w:id="340" w:name="_Toc184310342"/>
      <w:bookmarkEnd w:id="340"/>
      <w:bookmarkStart w:id="341" w:name="_Toc184308037"/>
      <w:bookmarkEnd w:id="341"/>
      <w:bookmarkStart w:id="342" w:name="_Toc184314479"/>
      <w:bookmarkEnd w:id="342"/>
      <w:bookmarkStart w:id="343" w:name="_Toc184310289"/>
      <w:bookmarkEnd w:id="343"/>
      <w:bookmarkStart w:id="344" w:name="_Toc184313247"/>
      <w:bookmarkEnd w:id="344"/>
      <w:bookmarkStart w:id="345" w:name="_Toc184308066"/>
      <w:bookmarkEnd w:id="345"/>
      <w:bookmarkStart w:id="346" w:name="_Toc184313286"/>
      <w:bookmarkEnd w:id="346"/>
      <w:bookmarkStart w:id="347" w:name="_Toc184314413"/>
      <w:bookmarkEnd w:id="347"/>
      <w:bookmarkStart w:id="348" w:name="_Toc184312085"/>
      <w:bookmarkEnd w:id="348"/>
      <w:bookmarkStart w:id="349" w:name="_Toc184314472"/>
      <w:bookmarkEnd w:id="349"/>
      <w:bookmarkStart w:id="350" w:name="_Toc184313255"/>
      <w:bookmarkEnd w:id="350"/>
      <w:bookmarkStart w:id="351" w:name="_Toc184314432"/>
      <w:bookmarkEnd w:id="351"/>
      <w:bookmarkStart w:id="352" w:name="_Toc184314416"/>
      <w:bookmarkEnd w:id="352"/>
      <w:bookmarkStart w:id="353" w:name="_Toc184308050"/>
      <w:bookmarkEnd w:id="353"/>
      <w:bookmarkStart w:id="354" w:name="_Toc184308052"/>
      <w:bookmarkEnd w:id="354"/>
      <w:bookmarkStart w:id="355" w:name="_Toc184313289"/>
      <w:bookmarkEnd w:id="355"/>
      <w:bookmarkStart w:id="356" w:name="_Toc184308079"/>
      <w:bookmarkEnd w:id="356"/>
      <w:bookmarkStart w:id="357" w:name="_Toc184308090"/>
      <w:bookmarkEnd w:id="357"/>
      <w:bookmarkStart w:id="358" w:name="_Toc184312089"/>
      <w:bookmarkEnd w:id="358"/>
      <w:bookmarkStart w:id="359" w:name="_Toc184312080"/>
      <w:bookmarkEnd w:id="359"/>
      <w:bookmarkStart w:id="360" w:name="_Toc184312133"/>
      <w:bookmarkEnd w:id="360"/>
      <w:bookmarkStart w:id="361" w:name="_Toc184312128"/>
      <w:bookmarkEnd w:id="361"/>
      <w:bookmarkStart w:id="362" w:name="_Toc184314414"/>
      <w:bookmarkEnd w:id="362"/>
      <w:bookmarkStart w:id="363" w:name="_Toc184313253"/>
      <w:bookmarkEnd w:id="363"/>
      <w:bookmarkStart w:id="364" w:name="_Toc184312124"/>
      <w:bookmarkEnd w:id="364"/>
      <w:bookmarkStart w:id="365" w:name="_Toc184312135"/>
      <w:bookmarkEnd w:id="365"/>
      <w:bookmarkStart w:id="366" w:name="_Toc184310297"/>
      <w:bookmarkEnd w:id="366"/>
      <w:bookmarkStart w:id="367" w:name="_Toc184312132"/>
      <w:bookmarkEnd w:id="367"/>
      <w:bookmarkStart w:id="368" w:name="_Toc184312073"/>
      <w:bookmarkEnd w:id="368"/>
      <w:bookmarkStart w:id="369" w:name="_Toc184310336"/>
      <w:bookmarkEnd w:id="369"/>
      <w:bookmarkStart w:id="370" w:name="_Toc184312102"/>
      <w:bookmarkEnd w:id="370"/>
      <w:bookmarkStart w:id="371" w:name="_Toc184314435"/>
      <w:bookmarkEnd w:id="371"/>
      <w:bookmarkStart w:id="372" w:name="_Toc184313254"/>
      <w:bookmarkEnd w:id="372"/>
      <w:bookmarkStart w:id="373" w:name="_Toc184313304"/>
      <w:bookmarkEnd w:id="373"/>
      <w:bookmarkStart w:id="374" w:name="_Toc184313241"/>
      <w:bookmarkEnd w:id="374"/>
      <w:bookmarkStart w:id="375" w:name="_Toc184310299"/>
      <w:bookmarkEnd w:id="375"/>
      <w:bookmarkStart w:id="376" w:name="_Toc184310305"/>
      <w:bookmarkEnd w:id="376"/>
      <w:bookmarkStart w:id="377" w:name="_Toc184314464"/>
      <w:bookmarkEnd w:id="377"/>
      <w:bookmarkStart w:id="378" w:name="_Toc184313298"/>
      <w:bookmarkEnd w:id="378"/>
      <w:bookmarkStart w:id="379" w:name="_Toc184308038"/>
      <w:bookmarkEnd w:id="379"/>
      <w:bookmarkStart w:id="380" w:name="_Toc184310325"/>
      <w:bookmarkEnd w:id="380"/>
      <w:bookmarkStart w:id="381" w:name="_Toc184308047"/>
      <w:bookmarkEnd w:id="381"/>
      <w:bookmarkStart w:id="382" w:name="_Toc184312116"/>
      <w:bookmarkEnd w:id="382"/>
      <w:bookmarkStart w:id="383" w:name="_Toc184310298"/>
      <w:bookmarkEnd w:id="383"/>
      <w:bookmarkStart w:id="384" w:name="_Toc184314418"/>
      <w:bookmarkEnd w:id="384"/>
      <w:bookmarkStart w:id="385" w:name="_Toc184310340"/>
      <w:bookmarkEnd w:id="385"/>
      <w:bookmarkStart w:id="386" w:name="_Toc184314438"/>
      <w:bookmarkEnd w:id="386"/>
      <w:bookmarkStart w:id="387" w:name="_Toc184308091"/>
      <w:bookmarkEnd w:id="387"/>
      <w:bookmarkStart w:id="388" w:name="_Toc184310318"/>
      <w:bookmarkEnd w:id="388"/>
      <w:bookmarkStart w:id="389" w:name="_Toc184308051"/>
      <w:bookmarkEnd w:id="389"/>
      <w:bookmarkStart w:id="390" w:name="_Toc184310338"/>
      <w:bookmarkEnd w:id="390"/>
      <w:bookmarkStart w:id="391" w:name="_Toc184314450"/>
      <w:bookmarkEnd w:id="391"/>
      <w:bookmarkStart w:id="392" w:name="_Toc184308043"/>
      <w:bookmarkEnd w:id="392"/>
      <w:bookmarkStart w:id="393" w:name="_Toc184312068"/>
      <w:bookmarkEnd w:id="393"/>
      <w:bookmarkStart w:id="394" w:name="_Toc184313240"/>
      <w:bookmarkEnd w:id="394"/>
      <w:bookmarkStart w:id="395" w:name="_Toc184313258"/>
      <w:bookmarkEnd w:id="395"/>
      <w:r>
        <w:rPr>
          <w:rFonts w:hint="eastAsia" w:ascii="仿宋" w:hAnsi="仿宋" w:eastAsia="仿宋" w:cs="仿宋"/>
          <w:b/>
          <w:color w:val="auto"/>
          <w:sz w:val="36"/>
          <w:szCs w:val="36"/>
          <w:highlight w:val="none"/>
        </w:rPr>
        <w:t>评标办法</w:t>
      </w:r>
    </w:p>
    <w:p w14:paraId="42C617D1">
      <w:pPr>
        <w:snapToGrid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评标办法前附表</w:t>
      </w:r>
    </w:p>
    <w:tbl>
      <w:tblPr>
        <w:tblStyle w:val="62"/>
        <w:tblpPr w:leftFromText="180" w:rightFromText="180" w:vertAnchor="text" w:horzAnchor="page" w:tblpX="1031" w:tblpY="126"/>
        <w:tblW w:w="600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7232"/>
        <w:gridCol w:w="780"/>
        <w:gridCol w:w="1372"/>
      </w:tblGrid>
      <w:tr w14:paraId="32623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01" w:type="pct"/>
            <w:vAlign w:val="center"/>
          </w:tcPr>
          <w:p w14:paraId="25731167">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543" w:type="pct"/>
            <w:vAlign w:val="center"/>
          </w:tcPr>
          <w:p w14:paraId="6FDF4C49">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评标标准</w:t>
            </w:r>
          </w:p>
        </w:tc>
        <w:tc>
          <w:tcPr>
            <w:tcW w:w="382" w:type="pct"/>
            <w:vAlign w:val="center"/>
          </w:tcPr>
          <w:p w14:paraId="3F755BBD">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权重</w:t>
            </w:r>
          </w:p>
        </w:tc>
        <w:tc>
          <w:tcPr>
            <w:tcW w:w="672" w:type="pct"/>
          </w:tcPr>
          <w:p w14:paraId="4F4E95FD">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投标文件中评标标准相应的商务技术资料目录 *</w:t>
            </w:r>
          </w:p>
        </w:tc>
      </w:tr>
      <w:tr w14:paraId="3ED21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01" w:type="pct"/>
            <w:vAlign w:val="center"/>
          </w:tcPr>
          <w:p w14:paraId="728CE63B">
            <w:pPr>
              <w:spacing w:line="240" w:lineRule="auto"/>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7232" w:type="dxa"/>
            <w:vAlign w:val="center"/>
          </w:tcPr>
          <w:p w14:paraId="13C9945F">
            <w:pPr>
              <w:spacing w:line="240" w:lineRule="auto"/>
              <w:rPr>
                <w:rFonts w:hint="eastAsia" w:ascii="仿宋" w:hAnsi="仿宋" w:eastAsia="仿宋" w:cs="宋体"/>
                <w:sz w:val="24"/>
              </w:rPr>
            </w:pPr>
            <w:r>
              <w:rPr>
                <w:rFonts w:hint="eastAsia" w:ascii="仿宋" w:hAnsi="仿宋" w:eastAsia="仿宋" w:cs="仿宋_GB2312"/>
                <w:sz w:val="24"/>
                <w:lang w:eastAsia="zh-CN"/>
              </w:rPr>
              <w:t>投标人</w:t>
            </w:r>
            <w:r>
              <w:rPr>
                <w:rFonts w:hint="eastAsia" w:ascii="仿宋" w:hAnsi="仿宋" w:eastAsia="仿宋" w:cs="仿宋_GB2312"/>
                <w:sz w:val="24"/>
              </w:rPr>
              <w:t>通过质量管理体系认证得1分、通过环境管理体系认证得1分、通过职业健康安全管理体系认证的得1分，</w:t>
            </w:r>
            <w:r>
              <w:rPr>
                <w:rFonts w:hint="eastAsia" w:ascii="仿宋" w:hAnsi="仿宋" w:eastAsia="仿宋" w:cs="宋体"/>
                <w:sz w:val="24"/>
                <w:lang w:eastAsia="zh-CN"/>
              </w:rPr>
              <w:t>本项</w:t>
            </w:r>
            <w:r>
              <w:rPr>
                <w:rFonts w:hint="eastAsia" w:ascii="仿宋" w:hAnsi="仿宋" w:eastAsia="仿宋" w:cs="仿宋_GB2312"/>
                <w:sz w:val="24"/>
              </w:rPr>
              <w:t>最高得3分。</w:t>
            </w:r>
            <w:r>
              <w:rPr>
                <w:rFonts w:ascii="仿宋" w:hAnsi="仿宋" w:eastAsia="仿宋" w:cs="宋体"/>
                <w:sz w:val="24"/>
              </w:rPr>
              <w:t xml:space="preserve"> </w:t>
            </w:r>
          </w:p>
          <w:p w14:paraId="59420B26">
            <w:pPr>
              <w:snapToGrid w:val="0"/>
              <w:spacing w:line="240" w:lineRule="auto"/>
              <w:jc w:val="left"/>
              <w:rPr>
                <w:rFonts w:hint="eastAsia" w:ascii="仿宋" w:hAnsi="仿宋" w:eastAsia="仿宋" w:cs="仿宋"/>
                <w:color w:val="auto"/>
                <w:sz w:val="24"/>
                <w:szCs w:val="24"/>
                <w:highlight w:val="none"/>
              </w:rPr>
            </w:pPr>
            <w:r>
              <w:rPr>
                <w:rFonts w:hint="eastAsia" w:ascii="仿宋" w:hAnsi="仿宋" w:eastAsia="仿宋" w:cs="宋体"/>
                <w:b/>
                <w:bCs/>
                <w:sz w:val="24"/>
              </w:rPr>
              <w:t>注：投标文件中提供有效期内的证书</w:t>
            </w:r>
            <w:r>
              <w:rPr>
                <w:rFonts w:hint="eastAsia" w:ascii="仿宋" w:hAnsi="仿宋" w:eastAsia="仿宋" w:cs="仿宋_GB2312"/>
                <w:b/>
                <w:bCs/>
                <w:sz w:val="24"/>
              </w:rPr>
              <w:t>复制件</w:t>
            </w:r>
            <w:r>
              <w:rPr>
                <w:rFonts w:hint="eastAsia" w:ascii="仿宋" w:hAnsi="仿宋" w:eastAsia="仿宋" w:cs="宋体"/>
                <w:b/>
                <w:bCs/>
                <w:sz w:val="24"/>
              </w:rPr>
              <w:t>及全国认证认可信息公共服务平台网站（</w:t>
            </w:r>
            <w:r>
              <w:rPr>
                <w:rFonts w:ascii="仿宋" w:hAnsi="仿宋" w:eastAsia="仿宋" w:cs="宋体"/>
                <w:b/>
                <w:bCs/>
                <w:sz w:val="24"/>
              </w:rPr>
              <w:t>http://www.cnca.gov.cn/</w:t>
            </w:r>
            <w:r>
              <w:rPr>
                <w:rFonts w:hint="eastAsia" w:ascii="仿宋" w:hAnsi="仿宋" w:eastAsia="仿宋" w:cs="宋体"/>
                <w:b/>
                <w:bCs/>
                <w:sz w:val="24"/>
              </w:rPr>
              <w:t>）查询页面截图，否则不得分。</w:t>
            </w:r>
          </w:p>
        </w:tc>
        <w:tc>
          <w:tcPr>
            <w:tcW w:w="780" w:type="dxa"/>
            <w:vAlign w:val="center"/>
          </w:tcPr>
          <w:p w14:paraId="37D86372">
            <w:pPr>
              <w:snapToGrid w:val="0"/>
              <w:spacing w:line="360" w:lineRule="auto"/>
              <w:jc w:val="center"/>
              <w:rPr>
                <w:rFonts w:hint="eastAsia" w:ascii="仿宋" w:hAnsi="仿宋" w:eastAsia="仿宋" w:cs="仿宋"/>
                <w:color w:val="auto"/>
                <w:sz w:val="24"/>
                <w:szCs w:val="24"/>
                <w:highlight w:val="none"/>
                <w:lang w:eastAsia="zh-CN"/>
              </w:rPr>
            </w:pPr>
            <w:r>
              <w:rPr>
                <w:rFonts w:ascii="仿宋" w:hAnsi="仿宋" w:eastAsia="仿宋" w:cs="宋体"/>
                <w:sz w:val="24"/>
              </w:rPr>
              <w:t>3</w:t>
            </w:r>
          </w:p>
        </w:tc>
        <w:tc>
          <w:tcPr>
            <w:tcW w:w="672" w:type="pct"/>
            <w:vAlign w:val="center"/>
          </w:tcPr>
          <w:p w14:paraId="602A72E2">
            <w:pPr>
              <w:spacing w:line="240" w:lineRule="auto"/>
              <w:jc w:val="center"/>
              <w:outlineLvl w:val="0"/>
              <w:rPr>
                <w:rFonts w:hint="eastAsia" w:ascii="仿宋" w:hAnsi="仿宋" w:eastAsia="仿宋" w:cs="仿宋"/>
                <w:color w:val="auto"/>
                <w:sz w:val="24"/>
                <w:szCs w:val="24"/>
                <w:highlight w:val="none"/>
              </w:rPr>
            </w:pPr>
          </w:p>
        </w:tc>
      </w:tr>
      <w:tr w14:paraId="3D41A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01" w:type="pct"/>
            <w:vAlign w:val="center"/>
          </w:tcPr>
          <w:p w14:paraId="6A5E024B">
            <w:pPr>
              <w:spacing w:line="240" w:lineRule="auto"/>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7232" w:type="dxa"/>
            <w:vAlign w:val="center"/>
          </w:tcPr>
          <w:p w14:paraId="5CEDE174">
            <w:pPr>
              <w:spacing w:line="240" w:lineRule="auto"/>
              <w:outlineLvl w:val="0"/>
              <w:rPr>
                <w:rFonts w:hint="eastAsia" w:ascii="仿宋" w:hAnsi="仿宋" w:eastAsia="仿宋" w:cs="宋体"/>
                <w:sz w:val="24"/>
              </w:rPr>
            </w:pPr>
            <w:r>
              <w:rPr>
                <w:rFonts w:hint="eastAsia" w:ascii="仿宋" w:hAnsi="仿宋" w:eastAsia="仿宋" w:cs="宋体"/>
                <w:sz w:val="24"/>
              </w:rPr>
              <w:t>投标人近三年内（自2022年1月1日起至今，以合同签订时间为准）承接过类似综合养护项目，每提供1个业绩得1分，本项最高得1分。</w:t>
            </w:r>
          </w:p>
          <w:p w14:paraId="620BAA14">
            <w:pPr>
              <w:spacing w:line="240" w:lineRule="auto"/>
              <w:outlineLvl w:val="0"/>
              <w:rPr>
                <w:rFonts w:hint="eastAsia" w:ascii="仿宋" w:hAnsi="仿宋" w:eastAsia="仿宋" w:cs="仿宋"/>
                <w:color w:val="auto"/>
                <w:sz w:val="24"/>
                <w:szCs w:val="24"/>
                <w:highlight w:val="none"/>
              </w:rPr>
            </w:pPr>
            <w:r>
              <w:rPr>
                <w:rFonts w:hint="eastAsia" w:ascii="仿宋" w:hAnsi="仿宋" w:eastAsia="仿宋" w:cs="宋体"/>
                <w:b/>
                <w:bCs/>
                <w:sz w:val="24"/>
              </w:rPr>
              <w:t>注：投标文件中提供合同扫描件，否则不得分。</w:t>
            </w:r>
          </w:p>
        </w:tc>
        <w:tc>
          <w:tcPr>
            <w:tcW w:w="780" w:type="dxa"/>
            <w:vAlign w:val="center"/>
          </w:tcPr>
          <w:p w14:paraId="52A75123">
            <w:pPr>
              <w:snapToGrid w:val="0"/>
              <w:spacing w:line="360" w:lineRule="auto"/>
              <w:jc w:val="center"/>
              <w:rPr>
                <w:rFonts w:hint="eastAsia" w:ascii="仿宋" w:hAnsi="仿宋" w:eastAsia="仿宋" w:cs="仿宋"/>
                <w:color w:val="auto"/>
                <w:sz w:val="24"/>
                <w:szCs w:val="24"/>
                <w:highlight w:val="none"/>
              </w:rPr>
            </w:pPr>
            <w:r>
              <w:rPr>
                <w:rFonts w:ascii="仿宋" w:hAnsi="仿宋" w:eastAsia="仿宋" w:cs="宋体"/>
                <w:sz w:val="24"/>
              </w:rPr>
              <w:t>1</w:t>
            </w:r>
          </w:p>
        </w:tc>
        <w:tc>
          <w:tcPr>
            <w:tcW w:w="672" w:type="pct"/>
          </w:tcPr>
          <w:p w14:paraId="20E4E4FF">
            <w:pPr>
              <w:spacing w:line="240" w:lineRule="auto"/>
              <w:outlineLvl w:val="0"/>
              <w:rPr>
                <w:rFonts w:hint="eastAsia" w:ascii="仿宋" w:hAnsi="仿宋" w:eastAsia="仿宋" w:cs="仿宋"/>
                <w:color w:val="auto"/>
                <w:sz w:val="24"/>
                <w:szCs w:val="24"/>
                <w:highlight w:val="none"/>
              </w:rPr>
            </w:pPr>
          </w:p>
        </w:tc>
      </w:tr>
      <w:tr w14:paraId="4E42D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20" w:type="dxa"/>
            <w:vAlign w:val="center"/>
          </w:tcPr>
          <w:p w14:paraId="59B3CF9B">
            <w:pPr>
              <w:spacing w:line="240" w:lineRule="auto"/>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7232" w:type="dxa"/>
            <w:vAlign w:val="center"/>
          </w:tcPr>
          <w:p w14:paraId="676F2AE4">
            <w:pPr>
              <w:spacing w:line="240" w:lineRule="auto"/>
              <w:outlineLvl w:val="0"/>
              <w:rPr>
                <w:rFonts w:hint="eastAsia" w:ascii="仿宋" w:hAnsi="仿宋" w:eastAsia="仿宋"/>
                <w:sz w:val="24"/>
                <w:highlight w:val="none"/>
              </w:rPr>
            </w:pPr>
            <w:r>
              <w:rPr>
                <w:rFonts w:hint="eastAsia" w:ascii="仿宋" w:hAnsi="仿宋" w:eastAsia="仿宋" w:cs="宋体"/>
                <w:sz w:val="24"/>
                <w:highlight w:val="none"/>
              </w:rPr>
              <w:t>拟派本项目技术人员力量情况：</w:t>
            </w:r>
          </w:p>
          <w:p w14:paraId="06C2609C">
            <w:pPr>
              <w:spacing w:line="240" w:lineRule="auto"/>
              <w:outlineLvl w:val="0"/>
              <w:rPr>
                <w:rFonts w:hint="eastAsia" w:ascii="仿宋" w:hAnsi="仿宋" w:eastAsia="仿宋" w:cs="宋体"/>
                <w:sz w:val="24"/>
                <w:highlight w:val="none"/>
              </w:rPr>
            </w:pPr>
            <w:r>
              <w:rPr>
                <w:rFonts w:ascii="仿宋" w:hAnsi="仿宋" w:eastAsia="仿宋" w:cs="宋体"/>
                <w:sz w:val="24"/>
                <w:highlight w:val="none"/>
              </w:rPr>
              <w:t>1</w:t>
            </w:r>
            <w:r>
              <w:rPr>
                <w:rFonts w:hint="eastAsia" w:ascii="仿宋" w:hAnsi="仿宋" w:eastAsia="仿宋" w:cs="宋体"/>
                <w:sz w:val="24"/>
                <w:highlight w:val="none"/>
              </w:rPr>
              <w:t>、项目负责人：具有</w:t>
            </w:r>
            <w:r>
              <w:rPr>
                <w:rFonts w:hint="eastAsia" w:ascii="仿宋" w:hAnsi="仿宋" w:eastAsia="仿宋" w:cs="宋体"/>
                <w:sz w:val="24"/>
                <w:highlight w:val="none"/>
                <w:lang w:val="en-US" w:eastAsia="zh-CN"/>
              </w:rPr>
              <w:t>大专</w:t>
            </w:r>
            <w:r>
              <w:rPr>
                <w:rFonts w:hint="eastAsia" w:ascii="仿宋" w:hAnsi="仿宋" w:eastAsia="仿宋" w:cs="宋体"/>
                <w:sz w:val="24"/>
                <w:highlight w:val="none"/>
              </w:rPr>
              <w:t>及以上学历且具有中级及以上职称证书得3分；</w:t>
            </w:r>
          </w:p>
          <w:p w14:paraId="41B28AA5">
            <w:pPr>
              <w:spacing w:line="240" w:lineRule="auto"/>
              <w:outlineLvl w:val="0"/>
              <w:rPr>
                <w:rFonts w:hint="eastAsia" w:ascii="仿宋" w:hAnsi="仿宋" w:eastAsia="仿宋" w:cs="宋体"/>
                <w:sz w:val="24"/>
                <w:highlight w:val="none"/>
              </w:rPr>
            </w:pPr>
            <w:r>
              <w:rPr>
                <w:rFonts w:hint="eastAsia" w:ascii="仿宋" w:hAnsi="仿宋" w:eastAsia="仿宋" w:cs="宋体"/>
                <w:sz w:val="24"/>
                <w:highlight w:val="none"/>
              </w:rPr>
              <w:t>2、安全员：具有有效的安全员证证书1名（含）以上的得</w:t>
            </w:r>
            <w:r>
              <w:rPr>
                <w:rFonts w:hint="eastAsia" w:ascii="仿宋" w:hAnsi="仿宋" w:eastAsia="仿宋" w:cs="宋体"/>
                <w:sz w:val="24"/>
                <w:highlight w:val="none"/>
                <w:lang w:val="en-US" w:eastAsia="zh-CN"/>
              </w:rPr>
              <w:t>3</w:t>
            </w:r>
            <w:r>
              <w:rPr>
                <w:rFonts w:hint="eastAsia" w:ascii="仿宋" w:hAnsi="仿宋" w:eastAsia="仿宋" w:cs="宋体"/>
                <w:sz w:val="24"/>
                <w:highlight w:val="none"/>
              </w:rPr>
              <w:t>分；</w:t>
            </w:r>
          </w:p>
          <w:p w14:paraId="29BD0603">
            <w:pPr>
              <w:spacing w:line="240" w:lineRule="auto"/>
              <w:outlineLvl w:val="0"/>
              <w:rPr>
                <w:rFonts w:hint="eastAsia" w:ascii="仿宋" w:hAnsi="仿宋" w:eastAsia="仿宋" w:cs="宋体"/>
                <w:sz w:val="24"/>
                <w:highlight w:val="none"/>
                <w:lang w:eastAsia="zh-CN"/>
              </w:rPr>
            </w:pPr>
            <w:r>
              <w:rPr>
                <w:rFonts w:hint="eastAsia" w:ascii="仿宋" w:hAnsi="仿宋" w:eastAsia="仿宋" w:cs="宋体"/>
                <w:sz w:val="24"/>
                <w:highlight w:val="none"/>
                <w:lang w:val="en-US" w:eastAsia="zh-CN"/>
              </w:rPr>
              <w:t>3</w:t>
            </w:r>
            <w:r>
              <w:rPr>
                <w:rFonts w:hint="eastAsia" w:ascii="仿宋" w:hAnsi="仿宋" w:eastAsia="仿宋" w:cs="宋体"/>
                <w:sz w:val="24"/>
                <w:highlight w:val="none"/>
              </w:rPr>
              <w:t>、绿化人员：具有园林绿化工证书每人得2分,本项最高的4分</w:t>
            </w:r>
            <w:r>
              <w:rPr>
                <w:rFonts w:hint="eastAsia" w:ascii="仿宋" w:hAnsi="仿宋" w:eastAsia="仿宋" w:cs="宋体"/>
                <w:sz w:val="24"/>
                <w:highlight w:val="none"/>
                <w:lang w:eastAsia="zh-CN"/>
              </w:rPr>
              <w:t>。</w:t>
            </w:r>
          </w:p>
          <w:p w14:paraId="711FEC5E">
            <w:pPr>
              <w:spacing w:line="240" w:lineRule="auto"/>
              <w:outlineLvl w:val="0"/>
              <w:rPr>
                <w:rFonts w:hint="eastAsia"/>
                <w:highlight w:val="none"/>
                <w:lang w:val="en-US" w:eastAsia="zh-CN"/>
              </w:rPr>
            </w:pPr>
            <w:r>
              <w:rPr>
                <w:rFonts w:hint="eastAsia" w:ascii="仿宋" w:hAnsi="仿宋" w:eastAsia="仿宋" w:cs="宋体"/>
                <w:sz w:val="24"/>
                <w:highlight w:val="none"/>
                <w:lang w:val="en-US" w:eastAsia="zh-CN"/>
              </w:rPr>
              <w:t>4、高处（高大树木）作业人员：具有年检有效特种作业操作证的高处作业，1名（含）以上的得2分。</w:t>
            </w:r>
          </w:p>
          <w:p w14:paraId="061CE685">
            <w:pPr>
              <w:snapToGrid w:val="0"/>
              <w:spacing w:line="240" w:lineRule="auto"/>
              <w:jc w:val="left"/>
              <w:rPr>
                <w:rFonts w:hint="eastAsia" w:ascii="仿宋" w:hAnsi="仿宋" w:eastAsia="仿宋" w:cs="仿宋"/>
                <w:color w:val="auto"/>
                <w:sz w:val="24"/>
                <w:szCs w:val="24"/>
                <w:highlight w:val="none"/>
              </w:rPr>
            </w:pPr>
            <w:r>
              <w:rPr>
                <w:rFonts w:hint="eastAsia" w:ascii="仿宋" w:hAnsi="仿宋" w:eastAsia="仿宋" w:cs="宋体"/>
                <w:b/>
                <w:bCs/>
                <w:sz w:val="24"/>
                <w:highlight w:val="none"/>
              </w:rPr>
              <w:t>投标文件中提供相关证书</w:t>
            </w:r>
            <w:r>
              <w:rPr>
                <w:rFonts w:hint="eastAsia" w:ascii="仿宋" w:hAnsi="仿宋" w:eastAsia="仿宋" w:cs="宋体"/>
                <w:b/>
                <w:bCs/>
                <w:sz w:val="24"/>
                <w:highlight w:val="none"/>
                <w:lang w:val="en-US" w:eastAsia="zh-CN"/>
              </w:rPr>
              <w:t>复印</w:t>
            </w:r>
            <w:r>
              <w:rPr>
                <w:rFonts w:hint="eastAsia" w:ascii="仿宋" w:hAnsi="仿宋" w:eastAsia="仿宋" w:cs="仿宋_GB2312"/>
                <w:b/>
                <w:bCs/>
                <w:sz w:val="24"/>
                <w:highlight w:val="none"/>
              </w:rPr>
              <w:t>件</w:t>
            </w:r>
            <w:r>
              <w:rPr>
                <w:rFonts w:hint="eastAsia" w:ascii="仿宋" w:hAnsi="仿宋" w:eastAsia="仿宋" w:cs="宋体"/>
                <w:b/>
                <w:bCs/>
                <w:sz w:val="24"/>
                <w:highlight w:val="none"/>
              </w:rPr>
              <w:t>、学历需提供相应证书</w:t>
            </w:r>
            <w:r>
              <w:rPr>
                <w:rFonts w:hint="eastAsia" w:ascii="仿宋" w:hAnsi="仿宋" w:eastAsia="仿宋" w:cs="仿宋_GB2312"/>
                <w:b/>
                <w:bCs/>
                <w:sz w:val="24"/>
                <w:highlight w:val="none"/>
              </w:rPr>
              <w:t>复制件</w:t>
            </w:r>
            <w:r>
              <w:rPr>
                <w:rFonts w:hint="eastAsia" w:ascii="仿宋" w:hAnsi="仿宋" w:eastAsia="仿宋" w:cs="宋体"/>
                <w:b/>
                <w:bCs/>
                <w:sz w:val="24"/>
                <w:highlight w:val="none"/>
              </w:rPr>
              <w:t>（2001年以后取得学历证书的</w:t>
            </w:r>
            <w:r>
              <w:rPr>
                <w:rFonts w:hint="eastAsia" w:ascii="仿宋" w:hAnsi="仿宋" w:eastAsia="仿宋" w:cs="宋体"/>
                <w:b/>
                <w:bCs/>
                <w:sz w:val="24"/>
                <w:highlight w:val="none"/>
                <w:lang w:val="en-US" w:eastAsia="zh-CN"/>
              </w:rPr>
              <w:t>可</w:t>
            </w:r>
            <w:r>
              <w:rPr>
                <w:rFonts w:hint="eastAsia" w:ascii="仿宋" w:hAnsi="仿宋" w:eastAsia="仿宋" w:cs="宋体"/>
                <w:b/>
                <w:bCs/>
                <w:sz w:val="24"/>
                <w:highlight w:val="none"/>
              </w:rPr>
              <w:t>提供学信网查询截图）及相关人员在</w:t>
            </w:r>
            <w:r>
              <w:rPr>
                <w:rFonts w:hint="eastAsia" w:ascii="仿宋" w:hAnsi="仿宋" w:eastAsia="仿宋" w:cs="仿宋_GB2312"/>
                <w:b/>
                <w:bCs/>
                <w:sz w:val="24"/>
                <w:highlight w:val="none"/>
              </w:rPr>
              <w:t>投标截止月上溯2个月（含投标截止日当月，共3个月）中任意1个月在</w:t>
            </w:r>
            <w:r>
              <w:rPr>
                <w:rFonts w:hint="eastAsia" w:ascii="仿宋" w:hAnsi="仿宋" w:eastAsia="仿宋" w:cs="仿宋_GB2312"/>
                <w:b/>
                <w:bCs/>
                <w:sz w:val="24"/>
                <w:highlight w:val="none"/>
                <w:lang w:eastAsia="zh-CN"/>
              </w:rPr>
              <w:t>投标人</w:t>
            </w:r>
            <w:r>
              <w:rPr>
                <w:rFonts w:hint="eastAsia" w:ascii="仿宋" w:hAnsi="仿宋" w:eastAsia="仿宋" w:cs="仿宋_GB2312"/>
                <w:b/>
                <w:bCs/>
                <w:sz w:val="24"/>
                <w:highlight w:val="none"/>
              </w:rPr>
              <w:t>单位的社保缴纳证明复制件</w:t>
            </w:r>
            <w:r>
              <w:rPr>
                <w:rFonts w:hint="eastAsia" w:ascii="仿宋" w:hAnsi="仿宋" w:eastAsia="仿宋" w:cs="宋体"/>
                <w:b/>
                <w:bCs/>
                <w:sz w:val="24"/>
                <w:highlight w:val="none"/>
              </w:rPr>
              <w:t>；</w:t>
            </w:r>
            <w:r>
              <w:rPr>
                <w:rFonts w:hint="eastAsia" w:ascii="仿宋" w:hAnsi="仿宋" w:eastAsia="仿宋" w:cs="仿宋"/>
                <w:b/>
                <w:bCs/>
                <w:sz w:val="24"/>
                <w:highlight w:val="none"/>
              </w:rPr>
              <w:t>人员不重复计分。</w:t>
            </w:r>
          </w:p>
        </w:tc>
        <w:tc>
          <w:tcPr>
            <w:tcW w:w="780" w:type="dxa"/>
            <w:vAlign w:val="center"/>
          </w:tcPr>
          <w:p w14:paraId="44F44AB9">
            <w:pPr>
              <w:snapToGrid w:val="0"/>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宋体"/>
                <w:sz w:val="24"/>
                <w:lang w:val="en-US" w:eastAsia="zh-CN"/>
              </w:rPr>
              <w:t>12</w:t>
            </w:r>
          </w:p>
        </w:tc>
        <w:tc>
          <w:tcPr>
            <w:tcW w:w="672" w:type="pct"/>
          </w:tcPr>
          <w:p w14:paraId="11A636A8">
            <w:pPr>
              <w:spacing w:line="240" w:lineRule="auto"/>
              <w:outlineLvl w:val="0"/>
              <w:rPr>
                <w:rFonts w:hint="eastAsia" w:ascii="仿宋" w:hAnsi="仿宋" w:eastAsia="仿宋" w:cs="仿宋"/>
                <w:color w:val="auto"/>
                <w:sz w:val="24"/>
                <w:szCs w:val="24"/>
                <w:highlight w:val="none"/>
              </w:rPr>
            </w:pPr>
          </w:p>
        </w:tc>
      </w:tr>
      <w:tr w14:paraId="460AE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20" w:type="dxa"/>
            <w:vAlign w:val="center"/>
          </w:tcPr>
          <w:p w14:paraId="3560BEC1">
            <w:pPr>
              <w:spacing w:line="240" w:lineRule="auto"/>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7232" w:type="dxa"/>
            <w:vAlign w:val="center"/>
          </w:tcPr>
          <w:p w14:paraId="20C50883">
            <w:pPr>
              <w:spacing w:line="360" w:lineRule="auto"/>
              <w:outlineLvl w:val="0"/>
              <w:rPr>
                <w:rFonts w:hint="eastAsia" w:ascii="仿宋" w:hAnsi="仿宋" w:eastAsia="仿宋"/>
                <w:sz w:val="24"/>
                <w:highlight w:val="none"/>
              </w:rPr>
            </w:pPr>
            <w:r>
              <w:rPr>
                <w:rFonts w:hint="eastAsia" w:ascii="仿宋" w:hAnsi="仿宋" w:eastAsia="仿宋" w:cs="宋体"/>
                <w:sz w:val="24"/>
                <w:highlight w:val="none"/>
              </w:rPr>
              <w:t>拟投入本项目</w:t>
            </w:r>
            <w:r>
              <w:rPr>
                <w:rFonts w:hint="eastAsia" w:ascii="仿宋" w:hAnsi="仿宋" w:eastAsia="仿宋" w:cs="宋体"/>
                <w:sz w:val="24"/>
                <w:highlight w:val="none"/>
                <w:lang w:eastAsia="zh-CN"/>
              </w:rPr>
              <w:t>投标人</w:t>
            </w:r>
            <w:r>
              <w:rPr>
                <w:rFonts w:hint="eastAsia" w:ascii="仿宋" w:hAnsi="仿宋" w:eastAsia="仿宋" w:cs="宋体"/>
                <w:sz w:val="24"/>
                <w:highlight w:val="none"/>
              </w:rPr>
              <w:t>车辆情况（一）：</w:t>
            </w:r>
          </w:p>
          <w:p w14:paraId="00675221">
            <w:pPr>
              <w:spacing w:line="360" w:lineRule="auto"/>
              <w:outlineLvl w:val="0"/>
              <w:rPr>
                <w:rFonts w:hint="eastAsia" w:ascii="仿宋" w:hAnsi="仿宋" w:eastAsia="仿宋"/>
                <w:sz w:val="24"/>
                <w:highlight w:val="none"/>
              </w:rPr>
            </w:pPr>
            <w:r>
              <w:rPr>
                <w:rFonts w:ascii="仿宋" w:hAnsi="仿宋" w:eastAsia="仿宋" w:cs="宋体"/>
                <w:sz w:val="24"/>
                <w:highlight w:val="none"/>
              </w:rPr>
              <w:t>1</w:t>
            </w:r>
            <w:r>
              <w:rPr>
                <w:rFonts w:hint="eastAsia" w:ascii="仿宋" w:hAnsi="仿宋" w:eastAsia="仿宋" w:cs="宋体"/>
                <w:sz w:val="24"/>
                <w:highlight w:val="none"/>
              </w:rPr>
              <w:t>、洒水车</w:t>
            </w:r>
            <w:r>
              <w:rPr>
                <w:rFonts w:ascii="仿宋" w:hAnsi="仿宋" w:eastAsia="仿宋" w:cs="宋体"/>
                <w:sz w:val="24"/>
                <w:highlight w:val="none"/>
              </w:rPr>
              <w:t>/</w:t>
            </w:r>
            <w:r>
              <w:rPr>
                <w:rFonts w:hint="eastAsia" w:ascii="仿宋" w:hAnsi="仿宋" w:eastAsia="仿宋" w:cs="宋体"/>
                <w:sz w:val="24"/>
                <w:highlight w:val="none"/>
              </w:rPr>
              <w:t>清洗车：总质量18吨（含）以上的每辆得</w:t>
            </w:r>
            <w:r>
              <w:rPr>
                <w:rFonts w:hint="eastAsia" w:ascii="仿宋" w:hAnsi="仿宋" w:eastAsia="仿宋" w:cs="宋体"/>
                <w:sz w:val="24"/>
                <w:highlight w:val="none"/>
                <w:lang w:val="en-US" w:eastAsia="zh-CN"/>
              </w:rPr>
              <w:t>3</w:t>
            </w:r>
            <w:r>
              <w:rPr>
                <w:rFonts w:hint="eastAsia" w:ascii="仿宋" w:hAnsi="仿宋" w:eastAsia="仿宋" w:cs="宋体"/>
                <w:sz w:val="24"/>
                <w:highlight w:val="none"/>
              </w:rPr>
              <w:t>分，本项最</w:t>
            </w:r>
            <w:r>
              <w:rPr>
                <w:rFonts w:hint="eastAsia" w:ascii="仿宋" w:hAnsi="仿宋" w:eastAsia="仿宋" w:cs="宋体"/>
                <w:sz w:val="24"/>
                <w:highlight w:val="none"/>
                <w:lang w:eastAsia="zh-CN"/>
              </w:rPr>
              <w:t>高</w:t>
            </w:r>
            <w:r>
              <w:rPr>
                <w:rFonts w:hint="eastAsia" w:ascii="仿宋" w:hAnsi="仿宋" w:eastAsia="仿宋" w:cs="宋体"/>
                <w:sz w:val="24"/>
                <w:highlight w:val="none"/>
              </w:rPr>
              <w:t>得</w:t>
            </w:r>
            <w:r>
              <w:rPr>
                <w:rFonts w:hint="eastAsia" w:ascii="仿宋" w:hAnsi="仿宋" w:eastAsia="仿宋" w:cs="宋体"/>
                <w:sz w:val="24"/>
                <w:highlight w:val="none"/>
                <w:lang w:val="en-US" w:eastAsia="zh-CN"/>
              </w:rPr>
              <w:t>6</w:t>
            </w:r>
            <w:r>
              <w:rPr>
                <w:rFonts w:hint="eastAsia" w:ascii="仿宋" w:hAnsi="仿宋" w:eastAsia="仿宋" w:cs="宋体"/>
                <w:sz w:val="24"/>
                <w:highlight w:val="none"/>
              </w:rPr>
              <w:t>分。</w:t>
            </w:r>
          </w:p>
          <w:p w14:paraId="589F7C1C">
            <w:pPr>
              <w:spacing w:line="360" w:lineRule="auto"/>
              <w:outlineLvl w:val="0"/>
              <w:rPr>
                <w:rFonts w:hint="eastAsia" w:ascii="仿宋" w:hAnsi="仿宋" w:eastAsia="仿宋"/>
                <w:sz w:val="24"/>
                <w:highlight w:val="none"/>
              </w:rPr>
            </w:pPr>
            <w:r>
              <w:rPr>
                <w:rFonts w:ascii="仿宋" w:hAnsi="仿宋" w:eastAsia="仿宋" w:cs="宋体"/>
                <w:sz w:val="24"/>
                <w:highlight w:val="none"/>
              </w:rPr>
              <w:t>2</w:t>
            </w:r>
            <w:r>
              <w:rPr>
                <w:rFonts w:hint="eastAsia" w:ascii="仿宋" w:hAnsi="仿宋" w:eastAsia="仿宋" w:cs="宋体"/>
                <w:sz w:val="24"/>
                <w:highlight w:val="none"/>
              </w:rPr>
              <w:t>、洗扫车</w:t>
            </w:r>
            <w:r>
              <w:rPr>
                <w:rFonts w:ascii="仿宋" w:hAnsi="仿宋" w:eastAsia="仿宋" w:cs="宋体"/>
                <w:sz w:val="24"/>
                <w:highlight w:val="none"/>
              </w:rPr>
              <w:t>/</w:t>
            </w:r>
            <w:r>
              <w:rPr>
                <w:rFonts w:hint="eastAsia" w:ascii="仿宋" w:hAnsi="仿宋" w:eastAsia="仿宋" w:cs="宋体"/>
                <w:sz w:val="24"/>
                <w:highlight w:val="none"/>
              </w:rPr>
              <w:t>三合一洗扫车：总质量</w:t>
            </w:r>
            <w:r>
              <w:rPr>
                <w:rFonts w:ascii="仿宋" w:hAnsi="仿宋" w:eastAsia="仿宋" w:cs="宋体"/>
                <w:sz w:val="24"/>
                <w:highlight w:val="none"/>
              </w:rPr>
              <w:t>18</w:t>
            </w:r>
            <w:r>
              <w:rPr>
                <w:rFonts w:hint="eastAsia" w:ascii="仿宋" w:hAnsi="仿宋" w:eastAsia="仿宋" w:cs="宋体"/>
                <w:sz w:val="24"/>
                <w:highlight w:val="none"/>
              </w:rPr>
              <w:t>吨（含）以上的每辆得</w:t>
            </w:r>
            <w:r>
              <w:rPr>
                <w:rFonts w:hint="eastAsia" w:ascii="仿宋" w:hAnsi="仿宋" w:eastAsia="仿宋" w:cs="宋体"/>
                <w:sz w:val="24"/>
                <w:highlight w:val="none"/>
                <w:lang w:val="en-US" w:eastAsia="zh-CN"/>
              </w:rPr>
              <w:t>4</w:t>
            </w:r>
            <w:r>
              <w:rPr>
                <w:rFonts w:hint="eastAsia" w:ascii="仿宋" w:hAnsi="仿宋" w:eastAsia="仿宋" w:cs="宋体"/>
                <w:sz w:val="24"/>
                <w:highlight w:val="none"/>
              </w:rPr>
              <w:t>分，本项最</w:t>
            </w:r>
            <w:r>
              <w:rPr>
                <w:rFonts w:hint="eastAsia" w:ascii="仿宋" w:hAnsi="仿宋" w:eastAsia="仿宋" w:cs="宋体"/>
                <w:sz w:val="24"/>
                <w:highlight w:val="none"/>
                <w:lang w:eastAsia="zh-CN"/>
              </w:rPr>
              <w:t>高</w:t>
            </w:r>
            <w:r>
              <w:rPr>
                <w:rFonts w:hint="eastAsia" w:ascii="仿宋" w:hAnsi="仿宋" w:eastAsia="仿宋" w:cs="宋体"/>
                <w:sz w:val="24"/>
                <w:highlight w:val="none"/>
              </w:rPr>
              <w:t>得</w:t>
            </w:r>
            <w:r>
              <w:rPr>
                <w:rFonts w:hint="eastAsia" w:ascii="仿宋" w:hAnsi="仿宋" w:eastAsia="仿宋" w:cs="宋体"/>
                <w:sz w:val="24"/>
                <w:highlight w:val="none"/>
                <w:lang w:val="en-US" w:eastAsia="zh-CN"/>
              </w:rPr>
              <w:t>4</w:t>
            </w:r>
            <w:r>
              <w:rPr>
                <w:rFonts w:hint="eastAsia" w:ascii="仿宋" w:hAnsi="仿宋" w:eastAsia="仿宋" w:cs="宋体"/>
                <w:sz w:val="24"/>
                <w:highlight w:val="none"/>
              </w:rPr>
              <w:t>分。</w:t>
            </w:r>
          </w:p>
          <w:p w14:paraId="1B786644">
            <w:pPr>
              <w:spacing w:line="360" w:lineRule="auto"/>
              <w:outlineLvl w:val="0"/>
              <w:rPr>
                <w:rFonts w:hint="eastAsia" w:ascii="仿宋" w:hAnsi="仿宋" w:eastAsia="仿宋"/>
                <w:sz w:val="24"/>
                <w:highlight w:val="none"/>
              </w:rPr>
            </w:pPr>
            <w:r>
              <w:rPr>
                <w:rFonts w:ascii="仿宋" w:hAnsi="仿宋" w:eastAsia="仿宋" w:cs="宋体"/>
                <w:sz w:val="24"/>
                <w:highlight w:val="none"/>
              </w:rPr>
              <w:t>3</w:t>
            </w:r>
            <w:r>
              <w:rPr>
                <w:rFonts w:hint="eastAsia" w:ascii="仿宋" w:hAnsi="仿宋" w:eastAsia="仿宋" w:cs="宋体"/>
                <w:sz w:val="24"/>
                <w:highlight w:val="none"/>
              </w:rPr>
              <w:t>、多功能抑尘车</w:t>
            </w:r>
            <w:r>
              <w:rPr>
                <w:rFonts w:ascii="仿宋" w:hAnsi="仿宋" w:eastAsia="仿宋" w:cs="宋体"/>
                <w:sz w:val="24"/>
                <w:highlight w:val="none"/>
              </w:rPr>
              <w:t>/</w:t>
            </w:r>
            <w:r>
              <w:rPr>
                <w:rFonts w:hint="eastAsia" w:ascii="仿宋" w:hAnsi="仿宋" w:eastAsia="仿宋" w:cs="宋体"/>
                <w:sz w:val="24"/>
                <w:highlight w:val="none"/>
              </w:rPr>
              <w:t>雾炮车：总质量</w:t>
            </w:r>
            <w:r>
              <w:rPr>
                <w:rFonts w:ascii="仿宋" w:hAnsi="仿宋" w:eastAsia="仿宋" w:cs="宋体"/>
                <w:sz w:val="24"/>
                <w:highlight w:val="none"/>
              </w:rPr>
              <w:t>18</w:t>
            </w:r>
            <w:r>
              <w:rPr>
                <w:rFonts w:hint="eastAsia" w:ascii="仿宋" w:hAnsi="仿宋" w:eastAsia="仿宋" w:cs="宋体"/>
                <w:sz w:val="24"/>
                <w:highlight w:val="none"/>
              </w:rPr>
              <w:t>吨（含）以上的每辆得</w:t>
            </w:r>
            <w:r>
              <w:rPr>
                <w:rFonts w:hint="eastAsia" w:ascii="仿宋" w:hAnsi="仿宋" w:eastAsia="仿宋" w:cs="宋体"/>
                <w:sz w:val="24"/>
                <w:highlight w:val="none"/>
                <w:lang w:val="en-US" w:eastAsia="zh-CN"/>
              </w:rPr>
              <w:t>4</w:t>
            </w:r>
            <w:r>
              <w:rPr>
                <w:rFonts w:hint="eastAsia" w:ascii="仿宋" w:hAnsi="仿宋" w:eastAsia="仿宋" w:cs="宋体"/>
                <w:sz w:val="24"/>
                <w:highlight w:val="none"/>
              </w:rPr>
              <w:t>分，</w:t>
            </w:r>
            <w:r>
              <w:rPr>
                <w:rFonts w:hint="eastAsia" w:ascii="仿宋" w:hAnsi="仿宋" w:eastAsia="仿宋" w:cs="宋体"/>
                <w:sz w:val="24"/>
                <w:highlight w:val="none"/>
                <w:lang w:eastAsia="zh-CN"/>
              </w:rPr>
              <w:t>本项</w:t>
            </w:r>
            <w:r>
              <w:rPr>
                <w:rFonts w:hint="eastAsia" w:ascii="仿宋" w:hAnsi="仿宋" w:eastAsia="仿宋" w:cs="宋体"/>
                <w:sz w:val="24"/>
                <w:highlight w:val="none"/>
              </w:rPr>
              <w:t>最</w:t>
            </w:r>
            <w:r>
              <w:rPr>
                <w:rFonts w:hint="eastAsia" w:ascii="仿宋" w:hAnsi="仿宋" w:eastAsia="仿宋" w:cs="宋体"/>
                <w:sz w:val="24"/>
                <w:highlight w:val="none"/>
                <w:lang w:eastAsia="zh-CN"/>
              </w:rPr>
              <w:t>高</w:t>
            </w:r>
            <w:r>
              <w:rPr>
                <w:rFonts w:hint="eastAsia" w:ascii="仿宋" w:hAnsi="仿宋" w:eastAsia="仿宋" w:cs="宋体"/>
                <w:sz w:val="24"/>
                <w:highlight w:val="none"/>
              </w:rPr>
              <w:t>得</w:t>
            </w:r>
            <w:r>
              <w:rPr>
                <w:rFonts w:hint="eastAsia" w:ascii="仿宋" w:hAnsi="仿宋" w:eastAsia="仿宋" w:cs="宋体"/>
                <w:sz w:val="24"/>
                <w:highlight w:val="none"/>
                <w:lang w:val="en-US" w:eastAsia="zh-CN"/>
              </w:rPr>
              <w:t>4</w:t>
            </w:r>
            <w:r>
              <w:rPr>
                <w:rFonts w:hint="eastAsia" w:ascii="仿宋" w:hAnsi="仿宋" w:eastAsia="仿宋" w:cs="宋体"/>
                <w:sz w:val="24"/>
                <w:highlight w:val="none"/>
              </w:rPr>
              <w:t>分。</w:t>
            </w:r>
          </w:p>
          <w:p w14:paraId="42FE06F8">
            <w:pPr>
              <w:spacing w:line="360" w:lineRule="auto"/>
              <w:outlineLvl w:val="0"/>
              <w:rPr>
                <w:rFonts w:hint="eastAsia" w:ascii="仿宋" w:hAnsi="仿宋" w:eastAsia="仿宋"/>
                <w:sz w:val="24"/>
                <w:highlight w:val="none"/>
              </w:rPr>
            </w:pPr>
            <w:r>
              <w:rPr>
                <w:rFonts w:ascii="仿宋" w:hAnsi="仿宋" w:eastAsia="仿宋" w:cs="宋体"/>
                <w:sz w:val="24"/>
                <w:highlight w:val="none"/>
              </w:rPr>
              <w:t>4</w:t>
            </w:r>
            <w:r>
              <w:rPr>
                <w:rFonts w:hint="eastAsia" w:ascii="仿宋" w:hAnsi="仿宋" w:eastAsia="仿宋" w:cs="宋体"/>
                <w:sz w:val="24"/>
                <w:highlight w:val="none"/>
              </w:rPr>
              <w:t>、小型三合一洗扫车：总质量</w:t>
            </w:r>
            <w:r>
              <w:rPr>
                <w:rFonts w:ascii="仿宋" w:hAnsi="仿宋" w:eastAsia="仿宋" w:cs="宋体"/>
                <w:sz w:val="24"/>
                <w:highlight w:val="none"/>
              </w:rPr>
              <w:t>4</w:t>
            </w:r>
            <w:r>
              <w:rPr>
                <w:rFonts w:hint="eastAsia" w:ascii="仿宋" w:hAnsi="仿宋" w:eastAsia="仿宋" w:cs="宋体"/>
                <w:sz w:val="24"/>
                <w:highlight w:val="none"/>
              </w:rPr>
              <w:t>吨（含）以上的每辆得</w:t>
            </w:r>
            <w:r>
              <w:rPr>
                <w:rFonts w:hint="eastAsia" w:ascii="仿宋" w:hAnsi="仿宋" w:eastAsia="仿宋" w:cs="宋体"/>
                <w:sz w:val="24"/>
                <w:highlight w:val="none"/>
                <w:lang w:val="en-US" w:eastAsia="zh-CN"/>
              </w:rPr>
              <w:t>2</w:t>
            </w:r>
            <w:r>
              <w:rPr>
                <w:rFonts w:hint="eastAsia" w:ascii="仿宋" w:hAnsi="仿宋" w:eastAsia="仿宋" w:cs="宋体"/>
                <w:sz w:val="24"/>
                <w:highlight w:val="none"/>
              </w:rPr>
              <w:t>分，</w:t>
            </w:r>
            <w:r>
              <w:rPr>
                <w:rFonts w:hint="eastAsia" w:ascii="仿宋" w:hAnsi="仿宋" w:eastAsia="仿宋" w:cs="宋体"/>
                <w:sz w:val="24"/>
                <w:highlight w:val="none"/>
                <w:lang w:eastAsia="zh-CN"/>
              </w:rPr>
              <w:t>本项</w:t>
            </w:r>
            <w:r>
              <w:rPr>
                <w:rFonts w:hint="eastAsia" w:ascii="仿宋" w:hAnsi="仿宋" w:eastAsia="仿宋" w:cs="宋体"/>
                <w:sz w:val="24"/>
                <w:highlight w:val="none"/>
              </w:rPr>
              <w:t>最</w:t>
            </w:r>
            <w:r>
              <w:rPr>
                <w:rFonts w:hint="eastAsia" w:ascii="仿宋" w:hAnsi="仿宋" w:eastAsia="仿宋" w:cs="宋体"/>
                <w:sz w:val="24"/>
                <w:highlight w:val="none"/>
                <w:lang w:eastAsia="zh-CN"/>
              </w:rPr>
              <w:t>高</w:t>
            </w:r>
            <w:r>
              <w:rPr>
                <w:rFonts w:hint="eastAsia" w:ascii="仿宋" w:hAnsi="仿宋" w:eastAsia="仿宋" w:cs="宋体"/>
                <w:sz w:val="24"/>
                <w:highlight w:val="none"/>
              </w:rPr>
              <w:t>得</w:t>
            </w:r>
            <w:r>
              <w:rPr>
                <w:rFonts w:hint="eastAsia" w:ascii="仿宋" w:hAnsi="仿宋" w:eastAsia="仿宋" w:cs="宋体"/>
                <w:sz w:val="24"/>
                <w:highlight w:val="none"/>
                <w:lang w:val="en-US" w:eastAsia="zh-CN"/>
              </w:rPr>
              <w:t>2</w:t>
            </w:r>
            <w:r>
              <w:rPr>
                <w:rFonts w:hint="eastAsia" w:ascii="仿宋" w:hAnsi="仿宋" w:eastAsia="仿宋" w:cs="宋体"/>
                <w:sz w:val="24"/>
                <w:highlight w:val="none"/>
              </w:rPr>
              <w:t>分。</w:t>
            </w:r>
          </w:p>
          <w:p w14:paraId="430D7980">
            <w:pPr>
              <w:rPr>
                <w:rFonts w:hint="eastAsia" w:ascii="仿宋" w:hAnsi="仿宋" w:eastAsia="仿宋"/>
                <w:sz w:val="24"/>
                <w:highlight w:val="none"/>
              </w:rPr>
            </w:pPr>
            <w:r>
              <w:rPr>
                <w:rFonts w:ascii="仿宋" w:hAnsi="仿宋" w:eastAsia="仿宋" w:cs="宋体"/>
                <w:sz w:val="24"/>
                <w:highlight w:val="none"/>
              </w:rPr>
              <w:t>5</w:t>
            </w:r>
            <w:r>
              <w:rPr>
                <w:rFonts w:hint="eastAsia" w:ascii="仿宋" w:hAnsi="仿宋" w:eastAsia="仿宋" w:cs="宋体"/>
                <w:sz w:val="24"/>
                <w:highlight w:val="none"/>
              </w:rPr>
              <w:t>、压缩式垃圾车：总质量</w:t>
            </w:r>
            <w:r>
              <w:rPr>
                <w:rFonts w:ascii="仿宋" w:hAnsi="仿宋" w:eastAsia="仿宋" w:cs="宋体"/>
                <w:sz w:val="24"/>
                <w:highlight w:val="none"/>
              </w:rPr>
              <w:t>7</w:t>
            </w:r>
            <w:r>
              <w:rPr>
                <w:rFonts w:hint="eastAsia" w:ascii="仿宋" w:hAnsi="仿宋" w:eastAsia="仿宋" w:cs="宋体"/>
                <w:sz w:val="24"/>
                <w:highlight w:val="none"/>
              </w:rPr>
              <w:t>吨（含）以上的每辆得</w:t>
            </w:r>
            <w:r>
              <w:rPr>
                <w:rFonts w:hint="eastAsia" w:ascii="仿宋" w:hAnsi="仿宋" w:eastAsia="仿宋" w:cs="宋体"/>
                <w:sz w:val="24"/>
                <w:highlight w:val="none"/>
                <w:lang w:val="en-US" w:eastAsia="zh-CN"/>
              </w:rPr>
              <w:t>3</w:t>
            </w:r>
            <w:r>
              <w:rPr>
                <w:rFonts w:hint="eastAsia" w:ascii="仿宋" w:hAnsi="仿宋" w:eastAsia="仿宋" w:cs="宋体"/>
                <w:sz w:val="24"/>
                <w:highlight w:val="none"/>
              </w:rPr>
              <w:t>分，</w:t>
            </w:r>
            <w:r>
              <w:rPr>
                <w:rFonts w:hint="eastAsia" w:ascii="仿宋" w:hAnsi="仿宋" w:eastAsia="仿宋" w:cs="宋体"/>
                <w:sz w:val="24"/>
                <w:highlight w:val="none"/>
                <w:lang w:eastAsia="zh-CN"/>
              </w:rPr>
              <w:t>本项</w:t>
            </w:r>
            <w:r>
              <w:rPr>
                <w:rFonts w:hint="eastAsia" w:ascii="仿宋" w:hAnsi="仿宋" w:eastAsia="仿宋" w:cs="宋体"/>
                <w:sz w:val="24"/>
                <w:highlight w:val="none"/>
              </w:rPr>
              <w:t>最</w:t>
            </w:r>
            <w:r>
              <w:rPr>
                <w:rFonts w:hint="eastAsia" w:ascii="仿宋" w:hAnsi="仿宋" w:eastAsia="仿宋" w:cs="宋体"/>
                <w:sz w:val="24"/>
                <w:highlight w:val="none"/>
                <w:lang w:eastAsia="zh-CN"/>
              </w:rPr>
              <w:t>高</w:t>
            </w:r>
            <w:r>
              <w:rPr>
                <w:rFonts w:hint="eastAsia" w:ascii="仿宋" w:hAnsi="仿宋" w:eastAsia="仿宋" w:cs="宋体"/>
                <w:sz w:val="24"/>
                <w:highlight w:val="none"/>
              </w:rPr>
              <w:t>得</w:t>
            </w:r>
            <w:r>
              <w:rPr>
                <w:rFonts w:hint="eastAsia" w:ascii="仿宋" w:hAnsi="仿宋" w:eastAsia="仿宋" w:cs="宋体"/>
                <w:sz w:val="24"/>
                <w:highlight w:val="none"/>
                <w:lang w:val="en-US" w:eastAsia="zh-CN"/>
              </w:rPr>
              <w:t>3</w:t>
            </w:r>
            <w:r>
              <w:rPr>
                <w:rFonts w:hint="eastAsia" w:ascii="仿宋" w:hAnsi="仿宋" w:eastAsia="仿宋" w:cs="宋体"/>
                <w:sz w:val="24"/>
                <w:highlight w:val="none"/>
              </w:rPr>
              <w:t>分。</w:t>
            </w:r>
          </w:p>
          <w:p w14:paraId="419E4789">
            <w:pPr>
              <w:spacing w:line="360" w:lineRule="auto"/>
              <w:outlineLvl w:val="0"/>
              <w:rPr>
                <w:rFonts w:hint="eastAsia" w:ascii="仿宋" w:hAnsi="仿宋" w:eastAsia="仿宋"/>
                <w:sz w:val="24"/>
                <w:highlight w:val="none"/>
              </w:rPr>
            </w:pPr>
            <w:r>
              <w:rPr>
                <w:rFonts w:hint="eastAsia" w:ascii="仿宋" w:hAnsi="仿宋" w:eastAsia="仿宋" w:cs="宋体"/>
                <w:sz w:val="24"/>
                <w:highlight w:val="none"/>
                <w:lang w:val="en-US" w:eastAsia="zh-CN"/>
              </w:rPr>
              <w:t>6</w:t>
            </w:r>
            <w:r>
              <w:rPr>
                <w:rFonts w:hint="eastAsia" w:ascii="仿宋" w:hAnsi="仿宋" w:eastAsia="仿宋" w:cs="宋体"/>
                <w:sz w:val="24"/>
                <w:highlight w:val="none"/>
              </w:rPr>
              <w:t>、上述</w:t>
            </w:r>
            <w:r>
              <w:rPr>
                <w:rFonts w:ascii="仿宋" w:hAnsi="仿宋" w:eastAsia="仿宋" w:cs="宋体"/>
                <w:sz w:val="24"/>
                <w:highlight w:val="none"/>
              </w:rPr>
              <w:t>1-</w:t>
            </w:r>
            <w:r>
              <w:rPr>
                <w:rFonts w:hint="eastAsia" w:ascii="仿宋" w:hAnsi="仿宋" w:eastAsia="仿宋" w:cs="宋体"/>
                <w:sz w:val="24"/>
                <w:highlight w:val="none"/>
                <w:lang w:val="en-US" w:eastAsia="zh-CN"/>
              </w:rPr>
              <w:t>5</w:t>
            </w:r>
            <w:r>
              <w:rPr>
                <w:rFonts w:hint="eastAsia" w:ascii="仿宋" w:hAnsi="仿宋" w:eastAsia="仿宋" w:cs="宋体"/>
                <w:sz w:val="24"/>
                <w:highlight w:val="none"/>
              </w:rPr>
              <w:t>项中，提供的车辆为新能源或天然气车辆达到</w:t>
            </w:r>
            <w:r>
              <w:rPr>
                <w:rFonts w:ascii="仿宋" w:hAnsi="仿宋" w:eastAsia="仿宋" w:cs="宋体"/>
                <w:sz w:val="24"/>
                <w:highlight w:val="none"/>
              </w:rPr>
              <w:t>3</w:t>
            </w:r>
            <w:r>
              <w:rPr>
                <w:rFonts w:hint="eastAsia" w:ascii="仿宋" w:hAnsi="仿宋" w:eastAsia="仿宋" w:cs="宋体"/>
                <w:sz w:val="24"/>
                <w:highlight w:val="none"/>
              </w:rPr>
              <w:t>辆及以上的得</w:t>
            </w:r>
            <w:r>
              <w:rPr>
                <w:rFonts w:hint="eastAsia" w:ascii="仿宋" w:hAnsi="仿宋" w:eastAsia="仿宋" w:cs="宋体"/>
                <w:sz w:val="24"/>
                <w:highlight w:val="none"/>
                <w:lang w:val="en-US" w:eastAsia="zh-CN"/>
              </w:rPr>
              <w:t>5</w:t>
            </w:r>
            <w:r>
              <w:rPr>
                <w:rFonts w:hint="eastAsia" w:ascii="仿宋" w:hAnsi="仿宋" w:eastAsia="仿宋" w:cs="宋体"/>
                <w:sz w:val="24"/>
                <w:highlight w:val="none"/>
              </w:rPr>
              <w:t>分，本项最高得</w:t>
            </w:r>
            <w:r>
              <w:rPr>
                <w:rFonts w:hint="eastAsia" w:ascii="仿宋" w:hAnsi="仿宋" w:eastAsia="仿宋" w:cs="宋体"/>
                <w:sz w:val="24"/>
                <w:highlight w:val="none"/>
                <w:lang w:val="en-US" w:eastAsia="zh-CN"/>
              </w:rPr>
              <w:t>5</w:t>
            </w:r>
            <w:r>
              <w:rPr>
                <w:rFonts w:hint="eastAsia" w:ascii="仿宋" w:hAnsi="仿宋" w:eastAsia="仿宋" w:cs="宋体"/>
                <w:sz w:val="24"/>
                <w:highlight w:val="none"/>
              </w:rPr>
              <w:t>分。</w:t>
            </w:r>
          </w:p>
          <w:p w14:paraId="6B7C20DD">
            <w:pPr>
              <w:snapToGrid w:val="0"/>
              <w:spacing w:line="360" w:lineRule="auto"/>
              <w:jc w:val="left"/>
              <w:rPr>
                <w:rFonts w:hint="eastAsia" w:ascii="仿宋" w:hAnsi="仿宋" w:eastAsia="仿宋" w:cs="宋体"/>
                <w:b/>
                <w:bCs/>
                <w:sz w:val="24"/>
                <w:highlight w:val="none"/>
                <w:lang w:val="en-US" w:eastAsia="zh-CN"/>
              </w:rPr>
            </w:pPr>
            <w:r>
              <w:rPr>
                <w:rFonts w:hint="eastAsia" w:ascii="仿宋" w:hAnsi="仿宋" w:eastAsia="仿宋" w:cs="宋体"/>
                <w:b/>
                <w:bCs/>
                <w:sz w:val="24"/>
                <w:highlight w:val="none"/>
              </w:rPr>
              <w:t>注：</w:t>
            </w:r>
            <w:r>
              <w:rPr>
                <w:rFonts w:hint="eastAsia" w:ascii="仿宋" w:hAnsi="仿宋" w:eastAsia="仿宋" w:cs="宋体"/>
                <w:b/>
                <w:bCs/>
                <w:sz w:val="24"/>
                <w:highlight w:val="none"/>
                <w:lang w:val="en-US" w:eastAsia="zh-CN"/>
              </w:rPr>
              <w:t>按国家规定必须上牌的车辆在投标文件中同时提供车辆行驶证扫描件、购车发票扫描件、车辆登记证扫描件、清晰带有车牌号的正面、斜侧面的照片；如为租赁设备还须另外提供租赁合同（租赁期须≥本项目服务期），复印件或扫描件证明；仅用于本项目的书面承诺书（格式自拟）；缺一不可，否则不得分。</w:t>
            </w:r>
          </w:p>
          <w:p w14:paraId="5907150A">
            <w:pPr>
              <w:snapToGrid w:val="0"/>
              <w:spacing w:line="360" w:lineRule="auto"/>
              <w:jc w:val="left"/>
              <w:rPr>
                <w:rFonts w:hint="eastAsia" w:ascii="仿宋" w:hAnsi="仿宋" w:eastAsia="仿宋" w:cs="宋体"/>
                <w:b/>
                <w:bCs/>
                <w:sz w:val="24"/>
                <w:highlight w:val="none"/>
                <w:lang w:val="en-US" w:eastAsia="zh-CN"/>
              </w:rPr>
            </w:pPr>
            <w:r>
              <w:rPr>
                <w:rFonts w:hint="eastAsia" w:ascii="仿宋" w:hAnsi="仿宋" w:eastAsia="仿宋" w:cs="宋体"/>
                <w:b/>
                <w:bCs/>
                <w:sz w:val="24"/>
                <w:highlight w:val="none"/>
                <w:lang w:val="en-US" w:eastAsia="zh-CN"/>
              </w:rPr>
              <w:t>按国家规定无需上牌的车辆或设备在投标文件中同时提供购买发票扫描件、购买合同扫描件、车辆或设备照片；如为租赁设备还须另外提供租赁合同（租赁期须≥本项目服务期），复印件或扫描件证明；仅用于本项目的书面承诺书（格式自拟）；缺一不可，否则不得分。</w:t>
            </w:r>
          </w:p>
          <w:p w14:paraId="6D6C1F34">
            <w:pPr>
              <w:snapToGrid w:val="0"/>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宋体"/>
                <w:b/>
                <w:bCs/>
                <w:sz w:val="24"/>
                <w:highlight w:val="none"/>
                <w:lang w:val="en-US" w:eastAsia="zh-CN"/>
              </w:rPr>
              <w:t>上述车辆名称不一致，但车辆功能与评分要求功能相同的车辆，可计评分（需车辆厂家或投标人提供有效功能证明材料，未体现其功能的不得分）</w:t>
            </w:r>
            <w:r>
              <w:rPr>
                <w:rFonts w:hint="eastAsia" w:ascii="仿宋" w:hAnsi="仿宋" w:eastAsia="仿宋" w:cs="宋体"/>
                <w:b/>
                <w:bCs/>
                <w:sz w:val="24"/>
                <w:highlight w:val="none"/>
              </w:rPr>
              <w:t>。</w:t>
            </w:r>
          </w:p>
        </w:tc>
        <w:tc>
          <w:tcPr>
            <w:tcW w:w="780" w:type="dxa"/>
            <w:vAlign w:val="center"/>
          </w:tcPr>
          <w:p w14:paraId="5500FB60">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宋体"/>
                <w:sz w:val="24"/>
              </w:rPr>
              <w:t>2</w:t>
            </w:r>
            <w:r>
              <w:rPr>
                <w:rFonts w:hint="eastAsia" w:ascii="仿宋" w:hAnsi="仿宋" w:eastAsia="仿宋" w:cs="宋体"/>
                <w:sz w:val="24"/>
                <w:lang w:val="en-US" w:eastAsia="zh-CN"/>
              </w:rPr>
              <w:t>4</w:t>
            </w:r>
          </w:p>
        </w:tc>
        <w:tc>
          <w:tcPr>
            <w:tcW w:w="672" w:type="pct"/>
          </w:tcPr>
          <w:p w14:paraId="3C504F00">
            <w:pPr>
              <w:spacing w:line="240" w:lineRule="auto"/>
              <w:outlineLvl w:val="0"/>
              <w:rPr>
                <w:rFonts w:hint="eastAsia" w:ascii="仿宋" w:hAnsi="仿宋" w:eastAsia="仿宋" w:cs="仿宋"/>
                <w:color w:val="auto"/>
                <w:sz w:val="24"/>
                <w:szCs w:val="24"/>
                <w:highlight w:val="none"/>
              </w:rPr>
            </w:pPr>
          </w:p>
        </w:tc>
      </w:tr>
      <w:tr w14:paraId="3732B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20" w:type="dxa"/>
            <w:vAlign w:val="center"/>
          </w:tcPr>
          <w:p w14:paraId="53CAD731">
            <w:pPr>
              <w:spacing w:line="240" w:lineRule="auto"/>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7232" w:type="dxa"/>
            <w:vAlign w:val="center"/>
          </w:tcPr>
          <w:p w14:paraId="76B3930E">
            <w:pPr>
              <w:spacing w:line="240" w:lineRule="auto"/>
              <w:outlineLvl w:val="0"/>
              <w:rPr>
                <w:rFonts w:hint="eastAsia" w:ascii="仿宋" w:hAnsi="仿宋" w:eastAsia="仿宋"/>
                <w:sz w:val="24"/>
                <w:highlight w:val="none"/>
              </w:rPr>
            </w:pPr>
            <w:r>
              <w:rPr>
                <w:rFonts w:hint="eastAsia" w:ascii="仿宋" w:hAnsi="仿宋" w:eastAsia="仿宋" w:cs="宋体"/>
                <w:sz w:val="24"/>
                <w:highlight w:val="none"/>
              </w:rPr>
              <w:t>拟投入本项目</w:t>
            </w:r>
            <w:r>
              <w:rPr>
                <w:rFonts w:hint="eastAsia" w:ascii="仿宋" w:hAnsi="仿宋" w:eastAsia="仿宋" w:cs="宋体"/>
                <w:sz w:val="24"/>
                <w:highlight w:val="none"/>
                <w:lang w:eastAsia="zh-CN"/>
              </w:rPr>
              <w:t>投标人</w:t>
            </w:r>
            <w:r>
              <w:rPr>
                <w:rFonts w:hint="eastAsia" w:ascii="仿宋" w:hAnsi="仿宋" w:eastAsia="仿宋" w:cs="宋体"/>
                <w:sz w:val="24"/>
                <w:highlight w:val="none"/>
              </w:rPr>
              <w:t>车辆情况（二）及设备情况：</w:t>
            </w:r>
          </w:p>
          <w:p w14:paraId="1F8353EF">
            <w:pPr>
              <w:numPr>
                <w:ilvl w:val="0"/>
                <w:numId w:val="6"/>
              </w:numPr>
              <w:spacing w:line="240" w:lineRule="auto"/>
              <w:outlineLvl w:val="0"/>
              <w:rPr>
                <w:rFonts w:hint="eastAsia" w:ascii="仿宋" w:hAnsi="仿宋" w:eastAsia="仿宋" w:cs="宋体"/>
                <w:sz w:val="24"/>
                <w:highlight w:val="none"/>
              </w:rPr>
            </w:pPr>
            <w:r>
              <w:rPr>
                <w:rFonts w:hint="eastAsia" w:ascii="仿宋" w:hAnsi="仿宋" w:eastAsia="仿宋" w:cs="宋体"/>
                <w:sz w:val="24"/>
                <w:highlight w:val="none"/>
              </w:rPr>
              <w:t>应急抢险车：（车辆登记证中使用性质必须为工程救险或工程抢险）每辆得</w:t>
            </w:r>
            <w:r>
              <w:rPr>
                <w:rFonts w:ascii="仿宋" w:hAnsi="仿宋" w:eastAsia="仿宋" w:cs="宋体"/>
                <w:sz w:val="24"/>
                <w:highlight w:val="none"/>
              </w:rPr>
              <w:t>2</w:t>
            </w:r>
            <w:r>
              <w:rPr>
                <w:rFonts w:hint="eastAsia" w:ascii="仿宋" w:hAnsi="仿宋" w:eastAsia="仿宋" w:cs="宋体"/>
                <w:sz w:val="24"/>
                <w:highlight w:val="none"/>
              </w:rPr>
              <w:t>分，本项最高得2分。</w:t>
            </w:r>
          </w:p>
          <w:p w14:paraId="21ADBEBA">
            <w:pPr>
              <w:numPr>
                <w:ilvl w:val="0"/>
                <w:numId w:val="0"/>
              </w:numPr>
              <w:spacing w:line="240" w:lineRule="auto"/>
              <w:outlineLvl w:val="0"/>
              <w:rPr>
                <w:rFonts w:hint="eastAsia" w:ascii="仿宋" w:hAnsi="仿宋" w:eastAsia="仿宋" w:cs="宋体"/>
                <w:sz w:val="24"/>
                <w:highlight w:val="none"/>
              </w:rPr>
            </w:pPr>
            <w:r>
              <w:rPr>
                <w:rFonts w:hint="eastAsia" w:ascii="仿宋" w:hAnsi="仿宋" w:eastAsia="仿宋" w:cs="宋体"/>
                <w:kern w:val="2"/>
                <w:sz w:val="24"/>
                <w:szCs w:val="24"/>
                <w:highlight w:val="none"/>
                <w:lang w:val="en-US" w:eastAsia="zh-CN" w:bidi="ar-SA"/>
              </w:rPr>
              <w:t>2、</w:t>
            </w:r>
            <w:r>
              <w:rPr>
                <w:rFonts w:hint="eastAsia" w:ascii="仿宋" w:hAnsi="仿宋" w:eastAsia="仿宋" w:cs="宋体"/>
                <w:sz w:val="24"/>
                <w:highlight w:val="none"/>
              </w:rPr>
              <w:t>电动三轮保洁车：</w:t>
            </w:r>
            <w:r>
              <w:rPr>
                <w:rFonts w:hint="eastAsia" w:ascii="仿宋" w:hAnsi="仿宋" w:eastAsia="仿宋" w:cs="宋体"/>
                <w:sz w:val="24"/>
                <w:highlight w:val="none"/>
                <w:lang w:val="en-US" w:eastAsia="zh-CN"/>
              </w:rPr>
              <w:t>8</w:t>
            </w:r>
            <w:r>
              <w:rPr>
                <w:rFonts w:hint="eastAsia" w:ascii="仿宋" w:hAnsi="仿宋" w:eastAsia="仿宋" w:cs="宋体"/>
                <w:sz w:val="24"/>
                <w:highlight w:val="none"/>
              </w:rPr>
              <w:t>辆及以上得</w:t>
            </w:r>
            <w:r>
              <w:rPr>
                <w:rFonts w:hint="eastAsia" w:ascii="仿宋" w:hAnsi="仿宋" w:eastAsia="仿宋" w:cs="宋体"/>
                <w:sz w:val="24"/>
                <w:highlight w:val="none"/>
                <w:lang w:val="en-US" w:eastAsia="zh-CN"/>
              </w:rPr>
              <w:t>2</w:t>
            </w:r>
            <w:r>
              <w:rPr>
                <w:rFonts w:hint="eastAsia" w:ascii="仿宋" w:hAnsi="仿宋" w:eastAsia="仿宋" w:cs="宋体"/>
                <w:sz w:val="24"/>
                <w:highlight w:val="none"/>
              </w:rPr>
              <w:t>分，否则不得分。</w:t>
            </w:r>
          </w:p>
          <w:p w14:paraId="70C77F37">
            <w:pPr>
              <w:numPr>
                <w:ilvl w:val="0"/>
                <w:numId w:val="0"/>
              </w:numPr>
              <w:spacing w:line="240" w:lineRule="auto"/>
              <w:outlineLvl w:val="0"/>
              <w:rPr>
                <w:rFonts w:hint="eastAsia" w:ascii="仿宋" w:hAnsi="仿宋" w:eastAsia="仿宋"/>
                <w:sz w:val="24"/>
                <w:highlight w:val="none"/>
              </w:rPr>
            </w:pPr>
            <w:r>
              <w:rPr>
                <w:rFonts w:hint="eastAsia" w:ascii="仿宋" w:hAnsi="仿宋" w:eastAsia="仿宋" w:cs="Times New Roman"/>
                <w:kern w:val="2"/>
                <w:sz w:val="24"/>
                <w:szCs w:val="24"/>
                <w:highlight w:val="none"/>
                <w:lang w:val="en-US" w:eastAsia="zh-CN" w:bidi="ar-SA"/>
              </w:rPr>
              <w:t>3、</w:t>
            </w:r>
            <w:r>
              <w:rPr>
                <w:rFonts w:hint="eastAsia" w:ascii="仿宋" w:hAnsi="仿宋" w:eastAsia="仿宋" w:cs="宋体"/>
                <w:sz w:val="24"/>
                <w:highlight w:val="none"/>
              </w:rPr>
              <w:t>电动高压冲洗车：每提供一辆得</w:t>
            </w:r>
            <w:r>
              <w:rPr>
                <w:rFonts w:hint="eastAsia" w:ascii="仿宋" w:hAnsi="仿宋" w:eastAsia="仿宋" w:cs="宋体"/>
                <w:sz w:val="24"/>
                <w:highlight w:val="none"/>
                <w:lang w:val="en-US" w:eastAsia="zh-CN"/>
              </w:rPr>
              <w:t>1</w:t>
            </w:r>
            <w:r>
              <w:rPr>
                <w:rFonts w:hint="eastAsia" w:ascii="仿宋" w:hAnsi="仿宋" w:eastAsia="仿宋" w:cs="宋体"/>
                <w:sz w:val="24"/>
                <w:highlight w:val="none"/>
              </w:rPr>
              <w:t>分，本项最高得</w:t>
            </w:r>
            <w:r>
              <w:rPr>
                <w:rFonts w:hint="eastAsia" w:ascii="仿宋" w:hAnsi="仿宋" w:eastAsia="仿宋" w:cs="宋体"/>
                <w:sz w:val="24"/>
                <w:highlight w:val="none"/>
                <w:lang w:val="en-US" w:eastAsia="zh-CN"/>
              </w:rPr>
              <w:t>2</w:t>
            </w:r>
            <w:r>
              <w:rPr>
                <w:rFonts w:hint="eastAsia" w:ascii="仿宋" w:hAnsi="仿宋" w:eastAsia="仿宋" w:cs="宋体"/>
                <w:sz w:val="24"/>
                <w:highlight w:val="none"/>
              </w:rPr>
              <w:t>分。</w:t>
            </w:r>
          </w:p>
          <w:p w14:paraId="4BB09BA2">
            <w:pPr>
              <w:numPr>
                <w:ilvl w:val="0"/>
                <w:numId w:val="0"/>
              </w:numPr>
              <w:spacing w:line="240" w:lineRule="auto"/>
              <w:outlineLvl w:val="0"/>
              <w:rPr>
                <w:rFonts w:hint="eastAsia" w:ascii="仿宋" w:hAnsi="仿宋" w:eastAsia="仿宋"/>
                <w:sz w:val="24"/>
                <w:highlight w:val="none"/>
              </w:rPr>
            </w:pPr>
            <w:r>
              <w:rPr>
                <w:rFonts w:hint="eastAsia" w:ascii="仿宋" w:hAnsi="仿宋" w:eastAsia="仿宋" w:cs="Times New Roman"/>
                <w:kern w:val="2"/>
                <w:sz w:val="24"/>
                <w:szCs w:val="24"/>
                <w:highlight w:val="none"/>
                <w:lang w:val="en-US" w:eastAsia="zh-CN" w:bidi="ar-SA"/>
              </w:rPr>
              <w:t>4、</w:t>
            </w:r>
            <w:r>
              <w:rPr>
                <w:rFonts w:hint="eastAsia" w:ascii="仿宋" w:hAnsi="仿宋" w:eastAsia="仿宋" w:cs="宋体"/>
                <w:sz w:val="24"/>
                <w:highlight w:val="none"/>
              </w:rPr>
              <w:t>电动护栏清洗车：每辆得</w:t>
            </w:r>
            <w:r>
              <w:rPr>
                <w:rFonts w:ascii="仿宋" w:hAnsi="仿宋" w:eastAsia="仿宋" w:cs="宋体"/>
                <w:sz w:val="24"/>
                <w:highlight w:val="none"/>
              </w:rPr>
              <w:t>2</w:t>
            </w:r>
            <w:r>
              <w:rPr>
                <w:rFonts w:hint="eastAsia" w:ascii="仿宋" w:hAnsi="仿宋" w:eastAsia="仿宋" w:cs="宋体"/>
                <w:sz w:val="24"/>
                <w:highlight w:val="none"/>
              </w:rPr>
              <w:t>分，本项最高得2分。</w:t>
            </w:r>
          </w:p>
          <w:p w14:paraId="79267E4E">
            <w:pPr>
              <w:spacing w:line="240" w:lineRule="auto"/>
              <w:outlineLvl w:val="0"/>
              <w:rPr>
                <w:rFonts w:hint="eastAsia" w:ascii="仿宋" w:hAnsi="仿宋" w:eastAsia="仿宋" w:cs="宋体"/>
                <w:sz w:val="24"/>
                <w:highlight w:val="none"/>
              </w:rPr>
            </w:pPr>
            <w:r>
              <w:rPr>
                <w:rFonts w:hint="eastAsia" w:ascii="仿宋" w:hAnsi="仿宋" w:eastAsia="仿宋" w:cs="宋体"/>
                <w:sz w:val="24"/>
                <w:highlight w:val="none"/>
                <w:lang w:val="en-US" w:eastAsia="zh-CN"/>
              </w:rPr>
              <w:t>5</w:t>
            </w:r>
            <w:r>
              <w:rPr>
                <w:rFonts w:hint="eastAsia" w:ascii="仿宋" w:hAnsi="仿宋" w:eastAsia="仿宋" w:cs="宋体"/>
                <w:sz w:val="24"/>
                <w:highlight w:val="none"/>
              </w:rPr>
              <w:t>、应急推雪、扫雪设备：滑移装载机、加装式铲雪板、加装式滚雪装置、加装式除雪板、铲车等中大型除雪设备，满足其中一个（辆）得2分，本项最高得2分。</w:t>
            </w:r>
          </w:p>
          <w:p w14:paraId="6EF8183E">
            <w:pPr>
              <w:spacing w:line="240" w:lineRule="auto"/>
              <w:outlineLvl w:val="0"/>
              <w:rPr>
                <w:rFonts w:hint="eastAsia" w:ascii="仿宋" w:hAnsi="仿宋" w:eastAsia="仿宋" w:cs="宋体"/>
                <w:sz w:val="24"/>
                <w:highlight w:val="none"/>
              </w:rPr>
            </w:pPr>
            <w:r>
              <w:rPr>
                <w:rFonts w:hint="eastAsia" w:ascii="仿宋" w:hAnsi="仿宋" w:eastAsia="仿宋" w:cs="宋体"/>
                <w:sz w:val="24"/>
                <w:highlight w:val="none"/>
                <w:lang w:val="en-US" w:eastAsia="zh-CN"/>
              </w:rPr>
              <w:t>6</w:t>
            </w:r>
            <w:r>
              <w:rPr>
                <w:rFonts w:hint="eastAsia" w:ascii="仿宋" w:hAnsi="仿宋" w:eastAsia="仿宋" w:cs="宋体"/>
                <w:sz w:val="24"/>
                <w:highlight w:val="none"/>
              </w:rPr>
              <w:t>、电动四轮音乐线（六桶</w:t>
            </w:r>
            <w:r>
              <w:rPr>
                <w:rFonts w:hint="eastAsia" w:ascii="仿宋" w:hAnsi="仿宋" w:eastAsia="仿宋" w:cs="宋体"/>
                <w:sz w:val="24"/>
                <w:highlight w:val="none"/>
                <w:lang w:val="en-US" w:eastAsia="zh-CN"/>
              </w:rPr>
              <w:t>及以上</w:t>
            </w:r>
            <w:r>
              <w:rPr>
                <w:rFonts w:hint="eastAsia" w:ascii="仿宋" w:hAnsi="仿宋" w:eastAsia="仿宋" w:cs="宋体"/>
                <w:sz w:val="24"/>
                <w:highlight w:val="none"/>
              </w:rPr>
              <w:t>车）：每辆得1分，</w:t>
            </w:r>
            <w:r>
              <w:rPr>
                <w:rFonts w:hint="eastAsia" w:ascii="仿宋" w:hAnsi="仿宋" w:eastAsia="仿宋" w:cs="宋体"/>
                <w:sz w:val="24"/>
                <w:highlight w:val="none"/>
                <w:lang w:eastAsia="zh-CN"/>
              </w:rPr>
              <w:t>本项</w:t>
            </w:r>
            <w:r>
              <w:rPr>
                <w:rFonts w:hint="eastAsia" w:ascii="仿宋" w:hAnsi="仿宋" w:eastAsia="仿宋" w:cs="宋体"/>
                <w:sz w:val="24"/>
                <w:highlight w:val="none"/>
              </w:rPr>
              <w:t>最</w:t>
            </w:r>
            <w:r>
              <w:rPr>
                <w:rFonts w:hint="eastAsia" w:ascii="仿宋" w:hAnsi="仿宋" w:eastAsia="仿宋" w:cs="宋体"/>
                <w:sz w:val="24"/>
                <w:highlight w:val="none"/>
                <w:lang w:eastAsia="zh-CN"/>
              </w:rPr>
              <w:t>高</w:t>
            </w:r>
            <w:r>
              <w:rPr>
                <w:rFonts w:hint="eastAsia" w:ascii="仿宋" w:hAnsi="仿宋" w:eastAsia="仿宋" w:cs="宋体"/>
                <w:sz w:val="24"/>
                <w:highlight w:val="none"/>
              </w:rPr>
              <w:t>得2分。</w:t>
            </w:r>
          </w:p>
          <w:p w14:paraId="484CE782">
            <w:pPr>
              <w:spacing w:line="240" w:lineRule="auto"/>
              <w:outlineLvl w:val="0"/>
              <w:rPr>
                <w:rFonts w:hint="eastAsia" w:ascii="仿宋" w:hAnsi="仿宋" w:eastAsia="仿宋" w:cs="宋体"/>
                <w:sz w:val="24"/>
                <w:highlight w:val="none"/>
              </w:rPr>
            </w:pPr>
            <w:r>
              <w:rPr>
                <w:rFonts w:hint="eastAsia" w:ascii="仿宋" w:hAnsi="仿宋" w:eastAsia="仿宋" w:cs="宋体"/>
                <w:sz w:val="24"/>
                <w:highlight w:val="none"/>
                <w:lang w:val="en-US" w:eastAsia="zh-CN"/>
              </w:rPr>
              <w:t>7</w:t>
            </w:r>
            <w:r>
              <w:rPr>
                <w:rFonts w:hint="eastAsia" w:ascii="仿宋" w:hAnsi="仿宋" w:eastAsia="仿宋" w:cs="宋体"/>
                <w:sz w:val="24"/>
                <w:highlight w:val="none"/>
              </w:rPr>
              <w:t>、发电机：每台得</w:t>
            </w:r>
            <w:r>
              <w:rPr>
                <w:rFonts w:hint="eastAsia" w:ascii="仿宋" w:hAnsi="仿宋" w:eastAsia="仿宋" w:cs="宋体"/>
                <w:sz w:val="24"/>
                <w:highlight w:val="none"/>
                <w:lang w:val="en-US" w:eastAsia="zh-CN"/>
              </w:rPr>
              <w:t>1</w:t>
            </w:r>
            <w:r>
              <w:rPr>
                <w:rFonts w:hint="eastAsia" w:ascii="仿宋" w:hAnsi="仿宋" w:eastAsia="仿宋" w:cs="宋体"/>
                <w:sz w:val="24"/>
                <w:highlight w:val="none"/>
              </w:rPr>
              <w:t>分，本项最高得2分。</w:t>
            </w:r>
          </w:p>
          <w:p w14:paraId="23A3FA5E">
            <w:pPr>
              <w:spacing w:line="240" w:lineRule="auto"/>
              <w:outlineLvl w:val="0"/>
              <w:rPr>
                <w:rFonts w:hint="eastAsia" w:ascii="仿宋" w:hAnsi="仿宋" w:eastAsia="仿宋" w:cs="宋体"/>
                <w:sz w:val="24"/>
                <w:highlight w:val="none"/>
              </w:rPr>
            </w:pPr>
            <w:r>
              <w:rPr>
                <w:rFonts w:hint="eastAsia" w:ascii="仿宋" w:hAnsi="仿宋" w:eastAsia="仿宋" w:cs="宋体"/>
                <w:sz w:val="24"/>
                <w:highlight w:val="none"/>
                <w:lang w:val="en-US" w:eastAsia="zh-CN"/>
              </w:rPr>
              <w:t>8</w:t>
            </w:r>
            <w:r>
              <w:rPr>
                <w:rFonts w:hint="eastAsia" w:ascii="仿宋" w:hAnsi="仿宋" w:eastAsia="仿宋" w:cs="宋体"/>
                <w:sz w:val="24"/>
                <w:highlight w:val="none"/>
              </w:rPr>
              <w:t xml:space="preserve">、绿化树枝粉碎机 1 台及以上、鼓风机 </w:t>
            </w:r>
            <w:r>
              <w:rPr>
                <w:rFonts w:hint="eastAsia" w:ascii="仿宋" w:hAnsi="仿宋" w:eastAsia="仿宋" w:cs="宋体"/>
                <w:sz w:val="24"/>
                <w:highlight w:val="none"/>
                <w:lang w:val="en-US" w:eastAsia="zh-CN"/>
              </w:rPr>
              <w:t>2</w:t>
            </w:r>
            <w:r>
              <w:rPr>
                <w:rFonts w:hint="eastAsia" w:ascii="仿宋" w:hAnsi="仿宋" w:eastAsia="仿宋" w:cs="宋体"/>
                <w:sz w:val="24"/>
                <w:highlight w:val="none"/>
              </w:rPr>
              <w:t xml:space="preserve"> 台及以上、绿篱机 </w:t>
            </w:r>
            <w:r>
              <w:rPr>
                <w:rFonts w:hint="eastAsia" w:ascii="仿宋" w:hAnsi="仿宋" w:eastAsia="仿宋" w:cs="宋体"/>
                <w:sz w:val="24"/>
                <w:highlight w:val="none"/>
                <w:lang w:val="en-US" w:eastAsia="zh-CN"/>
              </w:rPr>
              <w:t>2</w:t>
            </w:r>
            <w:r>
              <w:rPr>
                <w:rFonts w:hint="eastAsia" w:ascii="仿宋" w:hAnsi="仿宋" w:eastAsia="仿宋" w:cs="宋体"/>
                <w:sz w:val="24"/>
                <w:highlight w:val="none"/>
              </w:rPr>
              <w:t>台及以上、园林高压喷药机</w:t>
            </w:r>
            <w:r>
              <w:rPr>
                <w:rFonts w:hint="eastAsia" w:ascii="仿宋" w:hAnsi="仿宋" w:eastAsia="仿宋" w:cs="宋体"/>
                <w:sz w:val="24"/>
                <w:highlight w:val="none"/>
                <w:lang w:val="en-US" w:eastAsia="zh-CN"/>
              </w:rPr>
              <w:t>2</w:t>
            </w:r>
            <w:r>
              <w:rPr>
                <w:rFonts w:hint="eastAsia" w:ascii="仿宋" w:hAnsi="仿宋" w:eastAsia="仿宋" w:cs="宋体"/>
                <w:sz w:val="24"/>
                <w:highlight w:val="none"/>
              </w:rPr>
              <w:t>台及以上、割灌机</w:t>
            </w:r>
            <w:r>
              <w:rPr>
                <w:rFonts w:hint="eastAsia" w:ascii="仿宋" w:hAnsi="仿宋" w:eastAsia="仿宋" w:cs="宋体"/>
                <w:sz w:val="24"/>
                <w:highlight w:val="none"/>
                <w:lang w:val="en-US" w:eastAsia="zh-CN"/>
              </w:rPr>
              <w:t>1</w:t>
            </w:r>
            <w:r>
              <w:rPr>
                <w:rFonts w:hint="eastAsia" w:ascii="仿宋" w:hAnsi="仿宋" w:eastAsia="仿宋" w:cs="宋体"/>
                <w:sz w:val="24"/>
                <w:highlight w:val="none"/>
              </w:rPr>
              <w:t>台及以上、抽水水泵</w:t>
            </w:r>
            <w:r>
              <w:rPr>
                <w:rFonts w:hint="eastAsia" w:ascii="仿宋" w:hAnsi="仿宋" w:eastAsia="仿宋" w:cs="宋体"/>
                <w:sz w:val="24"/>
                <w:highlight w:val="none"/>
                <w:lang w:val="en-US" w:eastAsia="zh-CN"/>
              </w:rPr>
              <w:t>2</w:t>
            </w:r>
            <w:r>
              <w:rPr>
                <w:rFonts w:hint="eastAsia" w:ascii="仿宋" w:hAnsi="仿宋" w:eastAsia="仿宋" w:cs="宋体"/>
                <w:sz w:val="24"/>
                <w:highlight w:val="none"/>
              </w:rPr>
              <w:t xml:space="preserve">台及以上，全部具备得 </w:t>
            </w:r>
            <w:r>
              <w:rPr>
                <w:rFonts w:hint="eastAsia" w:ascii="仿宋" w:hAnsi="仿宋" w:eastAsia="仿宋" w:cs="宋体"/>
                <w:sz w:val="24"/>
                <w:highlight w:val="none"/>
                <w:lang w:val="en-US" w:eastAsia="zh-CN"/>
              </w:rPr>
              <w:t>4</w:t>
            </w:r>
            <w:r>
              <w:rPr>
                <w:rFonts w:hint="eastAsia" w:ascii="仿宋" w:hAnsi="仿宋" w:eastAsia="仿宋" w:cs="宋体"/>
                <w:sz w:val="24"/>
                <w:highlight w:val="none"/>
              </w:rPr>
              <w:t>分，少一台扣0.5分，扣完为止，本项最高</w:t>
            </w:r>
            <w:r>
              <w:rPr>
                <w:rFonts w:hint="eastAsia" w:ascii="仿宋" w:hAnsi="仿宋" w:eastAsia="仿宋" w:cs="宋体"/>
                <w:sz w:val="24"/>
                <w:highlight w:val="none"/>
                <w:lang w:eastAsia="zh-CN"/>
              </w:rPr>
              <w:t>得</w:t>
            </w:r>
            <w:r>
              <w:rPr>
                <w:rFonts w:hint="eastAsia" w:ascii="仿宋" w:hAnsi="仿宋" w:eastAsia="仿宋" w:cs="宋体"/>
                <w:sz w:val="24"/>
                <w:highlight w:val="none"/>
                <w:lang w:val="en-US" w:eastAsia="zh-CN"/>
              </w:rPr>
              <w:t>4</w:t>
            </w:r>
            <w:r>
              <w:rPr>
                <w:rFonts w:hint="eastAsia" w:ascii="仿宋" w:hAnsi="仿宋" w:eastAsia="仿宋" w:cs="宋体"/>
                <w:sz w:val="24"/>
                <w:highlight w:val="none"/>
              </w:rPr>
              <w:t>分。</w:t>
            </w:r>
          </w:p>
          <w:p w14:paraId="35112489">
            <w:pPr>
              <w:snapToGrid w:val="0"/>
              <w:spacing w:line="240" w:lineRule="auto"/>
              <w:jc w:val="left"/>
              <w:rPr>
                <w:rFonts w:hint="eastAsia" w:ascii="仿宋" w:hAnsi="仿宋" w:eastAsia="仿宋" w:cs="华文仿宋"/>
                <w:b/>
                <w:bCs/>
                <w:sz w:val="24"/>
                <w:highlight w:val="none"/>
              </w:rPr>
            </w:pPr>
            <w:r>
              <w:rPr>
                <w:rFonts w:hint="eastAsia" w:ascii="仿宋" w:hAnsi="仿宋" w:eastAsia="仿宋" w:cs="华文仿宋"/>
                <w:b/>
                <w:bCs/>
                <w:sz w:val="24"/>
                <w:highlight w:val="none"/>
              </w:rPr>
              <w:t>注：按国家规定必须上牌的车辆在投标文件中同时提供车辆行驶证扫描件、购车发票扫描件、车辆登记证扫描件、清晰带有车牌号的正面、斜侧面的照片；如为租赁设备还须另外提供租赁合同（租赁期须≥本项目服务期），复印件或扫描件证明；仅用于本项目的书面承诺书（格式自拟）；缺一不可，否则不得分。</w:t>
            </w:r>
          </w:p>
          <w:p w14:paraId="19AB7D07">
            <w:pPr>
              <w:snapToGrid w:val="0"/>
              <w:spacing w:line="240" w:lineRule="auto"/>
              <w:jc w:val="left"/>
              <w:rPr>
                <w:rFonts w:hint="eastAsia" w:ascii="仿宋" w:hAnsi="仿宋" w:eastAsia="仿宋" w:cs="华文仿宋"/>
                <w:b/>
                <w:bCs/>
                <w:sz w:val="24"/>
                <w:highlight w:val="none"/>
              </w:rPr>
            </w:pPr>
            <w:r>
              <w:rPr>
                <w:rFonts w:hint="eastAsia" w:ascii="仿宋" w:hAnsi="仿宋" w:eastAsia="仿宋" w:cs="华文仿宋"/>
                <w:b/>
                <w:bCs/>
                <w:sz w:val="24"/>
                <w:highlight w:val="none"/>
              </w:rPr>
              <w:t>按国家规定无需上牌的车辆或设备在投标文件中同时提供购买发票扫描件、购买合同扫描件、车辆或设备照片；如为租赁设备还须另外提供租赁合同（租赁期须≥本项目服务期），复印件或扫描件证明；仅用于本项目的书面承诺书（格式自拟）；缺一不可，否则不得分。</w:t>
            </w:r>
          </w:p>
          <w:p w14:paraId="5E4DEB32">
            <w:pPr>
              <w:snapToGrid w:val="0"/>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华文仿宋"/>
                <w:b/>
                <w:bCs/>
                <w:sz w:val="24"/>
                <w:highlight w:val="none"/>
              </w:rPr>
              <w:t>上述车辆名称不一致，但车辆功能与评分要求功能相同的车辆，可计评分（需车辆厂家或</w:t>
            </w:r>
            <w:r>
              <w:rPr>
                <w:rFonts w:hint="eastAsia" w:ascii="仿宋" w:hAnsi="仿宋" w:eastAsia="仿宋" w:cs="华文仿宋"/>
                <w:b/>
                <w:bCs/>
                <w:sz w:val="24"/>
                <w:highlight w:val="none"/>
                <w:lang w:eastAsia="zh-CN"/>
              </w:rPr>
              <w:t>投标人</w:t>
            </w:r>
            <w:r>
              <w:rPr>
                <w:rFonts w:hint="eastAsia" w:ascii="仿宋" w:hAnsi="仿宋" w:eastAsia="仿宋" w:cs="华文仿宋"/>
                <w:b/>
                <w:bCs/>
                <w:sz w:val="24"/>
                <w:highlight w:val="none"/>
              </w:rPr>
              <w:t>提供有效功能证明材料，未体现其功能的不得分）。</w:t>
            </w:r>
          </w:p>
        </w:tc>
        <w:tc>
          <w:tcPr>
            <w:tcW w:w="780" w:type="dxa"/>
            <w:vAlign w:val="center"/>
          </w:tcPr>
          <w:p w14:paraId="4A123615">
            <w:pPr>
              <w:snapToGrid w:val="0"/>
              <w:spacing w:line="360" w:lineRule="auto"/>
              <w:jc w:val="center"/>
              <w:rPr>
                <w:rFonts w:hint="default" w:ascii="仿宋" w:hAnsi="仿宋" w:eastAsia="仿宋" w:cs="仿宋"/>
                <w:color w:val="auto"/>
                <w:sz w:val="24"/>
                <w:szCs w:val="24"/>
                <w:highlight w:val="none"/>
                <w:lang w:val="en-US" w:eastAsia="zh-CN"/>
              </w:rPr>
            </w:pPr>
            <w:r>
              <w:rPr>
                <w:rFonts w:ascii="仿宋" w:hAnsi="仿宋" w:eastAsia="仿宋" w:cs="宋体"/>
                <w:sz w:val="24"/>
              </w:rPr>
              <w:t>2</w:t>
            </w:r>
            <w:r>
              <w:rPr>
                <w:rFonts w:hint="eastAsia" w:ascii="仿宋" w:hAnsi="仿宋" w:eastAsia="仿宋" w:cs="宋体"/>
                <w:sz w:val="24"/>
                <w:lang w:val="en-US" w:eastAsia="zh-CN"/>
              </w:rPr>
              <w:t>0</w:t>
            </w:r>
          </w:p>
        </w:tc>
        <w:tc>
          <w:tcPr>
            <w:tcW w:w="672" w:type="pct"/>
          </w:tcPr>
          <w:p w14:paraId="52460A8E">
            <w:pPr>
              <w:spacing w:line="240" w:lineRule="auto"/>
              <w:outlineLvl w:val="0"/>
              <w:rPr>
                <w:rFonts w:hint="eastAsia" w:ascii="仿宋" w:hAnsi="仿宋" w:eastAsia="仿宋" w:cs="仿宋"/>
                <w:color w:val="auto"/>
                <w:sz w:val="24"/>
                <w:szCs w:val="24"/>
                <w:highlight w:val="none"/>
              </w:rPr>
            </w:pPr>
          </w:p>
        </w:tc>
      </w:tr>
      <w:tr w14:paraId="6F3AA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20" w:type="dxa"/>
            <w:vAlign w:val="center"/>
          </w:tcPr>
          <w:p w14:paraId="3DB0E0FD">
            <w:pPr>
              <w:spacing w:line="240" w:lineRule="auto"/>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7233" w:type="dxa"/>
            <w:vAlign w:val="center"/>
          </w:tcPr>
          <w:p w14:paraId="393FCB88">
            <w:pPr>
              <w:spacing w:line="240" w:lineRule="auto"/>
              <w:rPr>
                <w:rFonts w:hint="eastAsia" w:ascii="仿宋" w:hAnsi="仿宋" w:eastAsia="仿宋" w:cs="仿宋"/>
                <w:color w:val="auto"/>
                <w:sz w:val="24"/>
                <w:szCs w:val="24"/>
                <w:highlight w:val="none"/>
              </w:rPr>
            </w:pPr>
            <w:r>
              <w:rPr>
                <w:rFonts w:hint="eastAsia" w:ascii="仿宋" w:hAnsi="仿宋" w:eastAsia="仿宋" w:cs="仿宋_GB2312"/>
                <w:sz w:val="24"/>
                <w:lang w:val="en-US" w:eastAsia="zh-CN"/>
              </w:rPr>
              <w:t>投标人对现有综合养护现状了解全面、存在问题的分析到位，符合实际，对本项目养护难点、要点等问题进行调查剖析，调查剖析到位、科学得5分；投标人对现有综合养护现状了解较为全面、存在问题的分析较为到位，对本项目养护难点、要点等问题进行调查剖析，调查剖析较为到位、科学得3分；投标人对现有综合养护现状了解一般、存在问题的分析一般，对本项目养护难点、要点等问题进行调查剖析，调查剖析一般得1分，方案不合理或未提供方案不得分。</w:t>
            </w:r>
          </w:p>
        </w:tc>
        <w:tc>
          <w:tcPr>
            <w:tcW w:w="780" w:type="dxa"/>
            <w:vAlign w:val="center"/>
          </w:tcPr>
          <w:p w14:paraId="10D0D2F4">
            <w:pPr>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sz w:val="24"/>
                <w:lang w:val="en-US" w:eastAsia="zh-CN"/>
              </w:rPr>
              <w:t>5</w:t>
            </w:r>
          </w:p>
        </w:tc>
        <w:tc>
          <w:tcPr>
            <w:tcW w:w="672" w:type="pct"/>
          </w:tcPr>
          <w:p w14:paraId="6597DFC7">
            <w:pPr>
              <w:spacing w:line="240" w:lineRule="auto"/>
              <w:outlineLvl w:val="0"/>
              <w:rPr>
                <w:rFonts w:hint="eastAsia" w:ascii="仿宋" w:hAnsi="仿宋" w:eastAsia="仿宋" w:cs="仿宋"/>
                <w:color w:val="auto"/>
                <w:sz w:val="24"/>
                <w:szCs w:val="24"/>
                <w:highlight w:val="none"/>
              </w:rPr>
            </w:pPr>
          </w:p>
        </w:tc>
      </w:tr>
      <w:tr w14:paraId="756FF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20" w:type="dxa"/>
            <w:vAlign w:val="center"/>
          </w:tcPr>
          <w:p w14:paraId="0D5BBAFF">
            <w:pPr>
              <w:spacing w:line="240" w:lineRule="auto"/>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7233" w:type="dxa"/>
            <w:vAlign w:val="center"/>
          </w:tcPr>
          <w:p w14:paraId="070F316A">
            <w:pPr>
              <w:spacing w:line="240" w:lineRule="auto"/>
              <w:rPr>
                <w:rFonts w:hint="eastAsia" w:ascii="仿宋" w:hAnsi="仿宋" w:eastAsia="仿宋" w:cs="仿宋"/>
                <w:color w:val="auto"/>
                <w:sz w:val="24"/>
                <w:szCs w:val="24"/>
                <w:highlight w:val="none"/>
              </w:rPr>
            </w:pPr>
            <w:r>
              <w:rPr>
                <w:rFonts w:hint="eastAsia" w:ascii="仿宋" w:hAnsi="仿宋" w:eastAsia="仿宋" w:cs="仿宋_GB2312"/>
                <w:sz w:val="24"/>
                <w:lang w:val="en-US" w:eastAsia="zh-CN"/>
              </w:rPr>
              <w:t>投标人针对本项目养护内容（道路保洁、绿化养护、市政）提出克服难点和要点的技术措施，技术措施对策科学、合理、可操作性强得5分；投标人针对本项目养护内容（道路保洁、绿化养护、市政）提出克服难点和要点的技术措施，技术措施对策较为科学、合理、可操作性较好得3分；投标人针对本项目养护内容（道路保洁、绿化养护、市政等）提出克服难点和要点的技术措施，技术措施对策科学性、合理性、可操作性一般得1分，方案不合理或未提供方案不得分。</w:t>
            </w:r>
          </w:p>
        </w:tc>
        <w:tc>
          <w:tcPr>
            <w:tcW w:w="780" w:type="dxa"/>
            <w:vAlign w:val="center"/>
          </w:tcPr>
          <w:p w14:paraId="6F94575A">
            <w:pPr>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sz w:val="24"/>
                <w:lang w:val="en-US" w:eastAsia="zh-CN"/>
              </w:rPr>
              <w:t>5</w:t>
            </w:r>
          </w:p>
        </w:tc>
        <w:tc>
          <w:tcPr>
            <w:tcW w:w="672" w:type="pct"/>
          </w:tcPr>
          <w:p w14:paraId="79D66F19">
            <w:pPr>
              <w:spacing w:line="240" w:lineRule="auto"/>
              <w:outlineLvl w:val="0"/>
              <w:rPr>
                <w:rFonts w:hint="eastAsia" w:ascii="仿宋" w:hAnsi="仿宋" w:eastAsia="仿宋" w:cs="仿宋"/>
                <w:color w:val="auto"/>
                <w:sz w:val="24"/>
                <w:szCs w:val="24"/>
                <w:highlight w:val="none"/>
              </w:rPr>
            </w:pPr>
          </w:p>
        </w:tc>
      </w:tr>
      <w:tr w14:paraId="5C5F9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20" w:type="dxa"/>
            <w:vAlign w:val="center"/>
          </w:tcPr>
          <w:p w14:paraId="06115A5A">
            <w:pPr>
              <w:spacing w:line="240" w:lineRule="auto"/>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7233" w:type="dxa"/>
            <w:vAlign w:val="center"/>
          </w:tcPr>
          <w:p w14:paraId="389C3099">
            <w:pPr>
              <w:spacing w:line="240" w:lineRule="auto"/>
              <w:rPr>
                <w:rFonts w:hint="eastAsia" w:ascii="仿宋" w:hAnsi="仿宋" w:eastAsia="仿宋" w:cs="仿宋"/>
                <w:color w:val="auto"/>
                <w:sz w:val="24"/>
                <w:szCs w:val="24"/>
                <w:highlight w:val="none"/>
              </w:rPr>
            </w:pPr>
            <w:r>
              <w:rPr>
                <w:rFonts w:hint="eastAsia" w:ascii="仿宋" w:hAnsi="仿宋" w:eastAsia="仿宋" w:cs="仿宋_GB2312"/>
                <w:sz w:val="24"/>
                <w:lang w:eastAsia="zh-CN"/>
              </w:rPr>
              <w:t>投标人针对道路保洁组织方案切合本项目采购需求，针对性、操作性强，计划安排科学合理，制定垃圾清理、清运工作方案，并承诺在垃圾清理、清运工作中配备垃圾分类巡查员，协助开展垃圾分类相关工作并建立完善的考核机制得</w:t>
            </w:r>
            <w:r>
              <w:rPr>
                <w:rFonts w:hint="eastAsia" w:ascii="仿宋" w:hAnsi="仿宋" w:eastAsia="仿宋" w:cs="仿宋_GB2312"/>
                <w:sz w:val="24"/>
                <w:lang w:val="en-US" w:eastAsia="zh-CN"/>
              </w:rPr>
              <w:t>5</w:t>
            </w:r>
            <w:r>
              <w:rPr>
                <w:rFonts w:hint="eastAsia" w:ascii="仿宋" w:hAnsi="仿宋" w:eastAsia="仿宋" w:cs="仿宋_GB2312"/>
                <w:sz w:val="24"/>
                <w:lang w:eastAsia="zh-CN"/>
              </w:rPr>
              <w:t>分；投标人针对道路保洁方案较为切合本项目采购需求，针对性、操作性较强，计划安排较为科学合理，制定垃圾清理、清运工作方案，并承诺在垃圾清理、清运工作中配备垃圾分类巡查员，协助开展垃圾分类相关工作并建立较为完善的考核机制得</w:t>
            </w:r>
            <w:r>
              <w:rPr>
                <w:rFonts w:hint="eastAsia" w:ascii="仿宋" w:hAnsi="仿宋" w:eastAsia="仿宋" w:cs="仿宋_GB2312"/>
                <w:sz w:val="24"/>
                <w:lang w:val="en-US" w:eastAsia="zh-CN"/>
              </w:rPr>
              <w:t>3</w:t>
            </w:r>
            <w:r>
              <w:rPr>
                <w:rFonts w:hint="eastAsia" w:ascii="仿宋" w:hAnsi="仿宋" w:eastAsia="仿宋" w:cs="仿宋_GB2312"/>
                <w:sz w:val="24"/>
                <w:lang w:eastAsia="zh-CN"/>
              </w:rPr>
              <w:t>分；投标人针对道路保洁方案与本项目采购需求切合度一般，针对性、操作性一般，计划安排一般，制定垃圾清理、清运工作方案，并承诺在垃圾清理、清运工作中配备垃圾分类巡查员，协助开展垃圾分类相关工作并建立完善的考核机制得1分，方案不合理或未承诺在垃圾清理、清运工作中配备垃圾分类巡查员，协助开展垃圾分类相关工作并建立完善的考核机制或未提供方案不得分。</w:t>
            </w:r>
          </w:p>
        </w:tc>
        <w:tc>
          <w:tcPr>
            <w:tcW w:w="780" w:type="dxa"/>
            <w:vAlign w:val="center"/>
          </w:tcPr>
          <w:p w14:paraId="48D0C539">
            <w:pPr>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_GB2312"/>
                <w:sz w:val="24"/>
                <w:lang w:val="en-US" w:eastAsia="zh-CN"/>
              </w:rPr>
              <w:t>5</w:t>
            </w:r>
          </w:p>
        </w:tc>
        <w:tc>
          <w:tcPr>
            <w:tcW w:w="672" w:type="pct"/>
          </w:tcPr>
          <w:p w14:paraId="4D6E44BE">
            <w:pPr>
              <w:spacing w:line="240" w:lineRule="auto"/>
              <w:outlineLvl w:val="0"/>
              <w:rPr>
                <w:rFonts w:hint="eastAsia" w:ascii="仿宋" w:hAnsi="仿宋" w:eastAsia="仿宋" w:cs="仿宋"/>
                <w:color w:val="auto"/>
                <w:sz w:val="24"/>
                <w:szCs w:val="24"/>
                <w:highlight w:val="none"/>
              </w:rPr>
            </w:pPr>
          </w:p>
        </w:tc>
      </w:tr>
      <w:tr w14:paraId="16FB9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20" w:type="dxa"/>
            <w:vAlign w:val="center"/>
          </w:tcPr>
          <w:p w14:paraId="7BD74BC7">
            <w:pPr>
              <w:spacing w:line="240" w:lineRule="auto"/>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7233" w:type="dxa"/>
            <w:vAlign w:val="center"/>
          </w:tcPr>
          <w:p w14:paraId="71348116">
            <w:pPr>
              <w:spacing w:line="240" w:lineRule="auto"/>
              <w:rPr>
                <w:rFonts w:hint="eastAsia" w:ascii="仿宋" w:hAnsi="仿宋" w:eastAsia="仿宋" w:cs="仿宋"/>
                <w:color w:val="auto"/>
                <w:sz w:val="24"/>
                <w:szCs w:val="24"/>
                <w:highlight w:val="none"/>
              </w:rPr>
            </w:pPr>
            <w:r>
              <w:rPr>
                <w:rFonts w:hint="eastAsia" w:ascii="仿宋" w:hAnsi="仿宋" w:eastAsia="仿宋" w:cs="仿宋_GB2312"/>
                <w:sz w:val="24"/>
                <w:lang w:eastAsia="zh-CN"/>
              </w:rPr>
              <w:t>投标人针对绿化养护组织方案，包括：针对本项目详细的年度养护方案（含绿化区域养护进度表）； 针对本项目的乔灌木松土、浇水、施肥及乔木复壮方案；针对本项目的修剪整形、补植及清理植物剪枝、枯树、绿地垃圾方案；针对本项目的病虫害防治方案；针对本项目的园林补种方案；针对本项目的防风防汛方案；绿化计划、施工、养护等资料管理方案。方案针对本项目的实际情况进行具体制定，抓住重点要点，全面、详细、合理，具有针对性得</w:t>
            </w:r>
            <w:r>
              <w:rPr>
                <w:rFonts w:hint="eastAsia" w:ascii="仿宋" w:hAnsi="仿宋" w:eastAsia="仿宋" w:cs="仿宋_GB2312"/>
                <w:sz w:val="24"/>
                <w:lang w:val="en-US" w:eastAsia="zh-CN"/>
              </w:rPr>
              <w:t>5</w:t>
            </w:r>
            <w:r>
              <w:rPr>
                <w:rFonts w:hint="eastAsia" w:ascii="仿宋" w:hAnsi="仿宋" w:eastAsia="仿宋" w:cs="仿宋_GB2312"/>
                <w:sz w:val="24"/>
                <w:lang w:eastAsia="zh-CN"/>
              </w:rPr>
              <w:t>分；方案针对本项目的实际情况进行具体制定，较为全面、详细、合理，针对性较好得</w:t>
            </w:r>
            <w:r>
              <w:rPr>
                <w:rFonts w:hint="eastAsia" w:ascii="仿宋" w:hAnsi="仿宋" w:eastAsia="仿宋" w:cs="仿宋_GB2312"/>
                <w:sz w:val="24"/>
                <w:lang w:val="en-US" w:eastAsia="zh-CN"/>
              </w:rPr>
              <w:t>3</w:t>
            </w:r>
            <w:r>
              <w:rPr>
                <w:rFonts w:hint="eastAsia" w:ascii="仿宋" w:hAnsi="仿宋" w:eastAsia="仿宋" w:cs="仿宋_GB2312"/>
                <w:sz w:val="24"/>
                <w:lang w:eastAsia="zh-CN"/>
              </w:rPr>
              <w:t>分；方案与本项目的实际情况针对性一般，重点要点表述一般得1分，方案有缺项或不合理或未提供方案不得分。</w:t>
            </w:r>
          </w:p>
        </w:tc>
        <w:tc>
          <w:tcPr>
            <w:tcW w:w="780" w:type="dxa"/>
            <w:vAlign w:val="top"/>
          </w:tcPr>
          <w:p w14:paraId="1094AAEC">
            <w:pPr>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sz w:val="24"/>
                <w:lang w:val="en-US" w:eastAsia="zh-CN"/>
              </w:rPr>
              <w:t>5</w:t>
            </w:r>
          </w:p>
        </w:tc>
        <w:tc>
          <w:tcPr>
            <w:tcW w:w="672" w:type="pct"/>
          </w:tcPr>
          <w:p w14:paraId="1E7E79AC">
            <w:pPr>
              <w:spacing w:line="240" w:lineRule="auto"/>
              <w:outlineLvl w:val="0"/>
              <w:rPr>
                <w:rFonts w:hint="eastAsia" w:ascii="仿宋" w:hAnsi="仿宋" w:eastAsia="仿宋" w:cs="仿宋"/>
                <w:color w:val="auto"/>
                <w:sz w:val="24"/>
                <w:szCs w:val="24"/>
                <w:highlight w:val="none"/>
              </w:rPr>
            </w:pPr>
          </w:p>
        </w:tc>
      </w:tr>
      <w:tr w14:paraId="00DBD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20" w:type="dxa"/>
            <w:vAlign w:val="center"/>
          </w:tcPr>
          <w:p w14:paraId="5B2FA04C">
            <w:pPr>
              <w:spacing w:line="240" w:lineRule="auto"/>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7233" w:type="dxa"/>
            <w:vAlign w:val="center"/>
          </w:tcPr>
          <w:p w14:paraId="31420769">
            <w:pPr>
              <w:spacing w:line="240" w:lineRule="auto"/>
              <w:rPr>
                <w:rFonts w:hint="eastAsia" w:ascii="仿宋" w:hAnsi="仿宋" w:eastAsia="仿宋" w:cs="仿宋"/>
                <w:color w:val="auto"/>
                <w:sz w:val="24"/>
                <w:szCs w:val="24"/>
                <w:highlight w:val="none"/>
              </w:rPr>
            </w:pPr>
            <w:r>
              <w:rPr>
                <w:rFonts w:hint="eastAsia" w:ascii="仿宋" w:hAnsi="仿宋" w:eastAsia="仿宋" w:cs="仿宋_GB2312"/>
                <w:sz w:val="24"/>
                <w:lang w:eastAsia="zh-CN"/>
              </w:rPr>
              <w:t>投标人具有完善的</w:t>
            </w:r>
            <w:r>
              <w:rPr>
                <w:rFonts w:hint="eastAsia" w:ascii="仿宋" w:hAnsi="仿宋" w:eastAsia="仿宋" w:cs="仿宋_GB2312"/>
                <w:sz w:val="24"/>
                <w:lang w:val="en-US" w:eastAsia="zh-CN"/>
              </w:rPr>
              <w:t>自然灾害应急预案（高温干旱、台风内涝、暴雪严寒等），</w:t>
            </w:r>
            <w:r>
              <w:rPr>
                <w:rFonts w:hint="eastAsia" w:ascii="仿宋" w:hAnsi="仿宋" w:eastAsia="仿宋" w:cs="仿宋_GB2312"/>
                <w:sz w:val="24"/>
                <w:lang w:eastAsia="zh-CN"/>
              </w:rPr>
              <w:t>方案科学合理、具有针对性及可操作性、能应急</w:t>
            </w:r>
            <w:r>
              <w:rPr>
                <w:rFonts w:hint="eastAsia" w:ascii="仿宋" w:hAnsi="仿宋" w:eastAsia="仿宋" w:cs="仿宋_GB2312"/>
                <w:sz w:val="24"/>
                <w:lang w:val="en-US" w:eastAsia="zh-CN"/>
              </w:rPr>
              <w:t>自然灾害</w:t>
            </w:r>
            <w:r>
              <w:rPr>
                <w:rFonts w:hint="eastAsia" w:ascii="仿宋" w:hAnsi="仿宋" w:eastAsia="仿宋" w:cs="仿宋_GB2312"/>
                <w:sz w:val="24"/>
                <w:lang w:eastAsia="zh-CN"/>
              </w:rPr>
              <w:t>情况的得</w:t>
            </w:r>
            <w:r>
              <w:rPr>
                <w:rFonts w:hint="eastAsia" w:ascii="仿宋" w:hAnsi="仿宋" w:eastAsia="仿宋" w:cs="仿宋_GB2312"/>
                <w:sz w:val="24"/>
                <w:lang w:val="en-US" w:eastAsia="zh-CN"/>
              </w:rPr>
              <w:t>5</w:t>
            </w:r>
            <w:r>
              <w:rPr>
                <w:rFonts w:hint="eastAsia" w:ascii="仿宋" w:hAnsi="仿宋" w:eastAsia="仿宋" w:cs="仿宋_GB2312"/>
                <w:sz w:val="24"/>
                <w:lang w:eastAsia="zh-CN"/>
              </w:rPr>
              <w:t>分；投标人具有较为完善的</w:t>
            </w:r>
            <w:r>
              <w:rPr>
                <w:rFonts w:hint="eastAsia" w:ascii="仿宋" w:hAnsi="仿宋" w:eastAsia="仿宋" w:cs="仿宋_GB2312"/>
                <w:sz w:val="24"/>
                <w:lang w:val="en-US" w:eastAsia="zh-CN"/>
              </w:rPr>
              <w:t>自然灾害应急预案</w:t>
            </w:r>
            <w:r>
              <w:rPr>
                <w:rFonts w:hint="eastAsia" w:ascii="仿宋" w:hAnsi="仿宋" w:eastAsia="仿宋" w:cs="仿宋_GB2312"/>
                <w:sz w:val="24"/>
                <w:lang w:eastAsia="zh-CN"/>
              </w:rPr>
              <w:t>、方案较为科学合理、针对性及可操作性较好、能较为应急</w:t>
            </w:r>
            <w:r>
              <w:rPr>
                <w:rFonts w:hint="eastAsia" w:ascii="仿宋" w:hAnsi="仿宋" w:eastAsia="仿宋" w:cs="仿宋_GB2312"/>
                <w:sz w:val="24"/>
                <w:lang w:val="en-US" w:eastAsia="zh-CN"/>
              </w:rPr>
              <w:t>自然灾害</w:t>
            </w:r>
            <w:r>
              <w:rPr>
                <w:rFonts w:hint="eastAsia" w:ascii="仿宋" w:hAnsi="仿宋" w:eastAsia="仿宋" w:cs="仿宋_GB2312"/>
                <w:sz w:val="24"/>
                <w:lang w:eastAsia="zh-CN"/>
              </w:rPr>
              <w:t>情况的得</w:t>
            </w:r>
            <w:r>
              <w:rPr>
                <w:rFonts w:hint="eastAsia" w:ascii="仿宋" w:hAnsi="仿宋" w:eastAsia="仿宋" w:cs="仿宋_GB2312"/>
                <w:sz w:val="24"/>
                <w:lang w:val="en-US" w:eastAsia="zh-CN"/>
              </w:rPr>
              <w:t>3</w:t>
            </w:r>
            <w:r>
              <w:rPr>
                <w:rFonts w:hint="eastAsia" w:ascii="仿宋" w:hAnsi="仿宋" w:eastAsia="仿宋" w:cs="仿宋_GB2312"/>
                <w:sz w:val="24"/>
                <w:lang w:eastAsia="zh-CN"/>
              </w:rPr>
              <w:t>分；投标人</w:t>
            </w:r>
            <w:r>
              <w:rPr>
                <w:rFonts w:hint="eastAsia" w:ascii="仿宋" w:hAnsi="仿宋" w:eastAsia="仿宋" w:cs="仿宋_GB2312"/>
                <w:sz w:val="24"/>
                <w:lang w:val="en-US" w:eastAsia="zh-CN"/>
              </w:rPr>
              <w:t>自然灾害应急预案</w:t>
            </w:r>
            <w:r>
              <w:rPr>
                <w:rFonts w:hint="eastAsia" w:ascii="仿宋" w:hAnsi="仿宋" w:eastAsia="仿宋" w:cs="仿宋_GB2312"/>
                <w:sz w:val="24"/>
                <w:lang w:eastAsia="zh-CN"/>
              </w:rPr>
              <w:t>一般，针对性及可操作性一般，对应急</w:t>
            </w:r>
            <w:r>
              <w:rPr>
                <w:rFonts w:hint="eastAsia" w:ascii="仿宋" w:hAnsi="仿宋" w:eastAsia="仿宋" w:cs="仿宋_GB2312"/>
                <w:sz w:val="24"/>
                <w:lang w:val="en-US" w:eastAsia="zh-CN"/>
              </w:rPr>
              <w:t>自然灾害</w:t>
            </w:r>
            <w:r>
              <w:rPr>
                <w:rFonts w:hint="eastAsia" w:ascii="仿宋" w:hAnsi="仿宋" w:eastAsia="仿宋" w:cs="仿宋_GB2312"/>
                <w:sz w:val="24"/>
                <w:lang w:eastAsia="zh-CN"/>
              </w:rPr>
              <w:t>情况一般得</w:t>
            </w:r>
            <w:r>
              <w:rPr>
                <w:rFonts w:hint="eastAsia" w:ascii="仿宋" w:hAnsi="仿宋" w:eastAsia="仿宋" w:cs="仿宋_GB2312"/>
                <w:sz w:val="24"/>
                <w:lang w:val="en-US" w:eastAsia="zh-CN"/>
              </w:rPr>
              <w:t>1</w:t>
            </w:r>
            <w:r>
              <w:rPr>
                <w:rFonts w:hint="eastAsia" w:ascii="仿宋" w:hAnsi="仿宋" w:eastAsia="仿宋" w:cs="仿宋_GB2312"/>
                <w:sz w:val="24"/>
                <w:lang w:eastAsia="zh-CN"/>
              </w:rPr>
              <w:t>分，方案有缺项或不合理或未提供方案不得分。</w:t>
            </w:r>
          </w:p>
        </w:tc>
        <w:tc>
          <w:tcPr>
            <w:tcW w:w="780" w:type="dxa"/>
            <w:vAlign w:val="top"/>
          </w:tcPr>
          <w:p w14:paraId="7C99EA36">
            <w:pPr>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sz w:val="24"/>
                <w:lang w:val="en-US" w:eastAsia="zh-CN"/>
              </w:rPr>
              <w:t>5</w:t>
            </w:r>
          </w:p>
        </w:tc>
        <w:tc>
          <w:tcPr>
            <w:tcW w:w="672" w:type="pct"/>
          </w:tcPr>
          <w:p w14:paraId="394A96E1">
            <w:pPr>
              <w:spacing w:line="240" w:lineRule="auto"/>
              <w:outlineLvl w:val="0"/>
              <w:rPr>
                <w:rFonts w:hint="eastAsia" w:ascii="仿宋" w:hAnsi="仿宋" w:eastAsia="仿宋" w:cs="仿宋"/>
                <w:color w:val="auto"/>
                <w:sz w:val="24"/>
                <w:szCs w:val="24"/>
                <w:highlight w:val="none"/>
              </w:rPr>
            </w:pPr>
          </w:p>
        </w:tc>
      </w:tr>
      <w:tr w14:paraId="48729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20" w:type="dxa"/>
            <w:vAlign w:val="center"/>
          </w:tcPr>
          <w:p w14:paraId="563A0295">
            <w:pPr>
              <w:spacing w:line="240" w:lineRule="auto"/>
              <w:jc w:val="center"/>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7233" w:type="dxa"/>
            <w:vAlign w:val="center"/>
          </w:tcPr>
          <w:p w14:paraId="597E5447">
            <w:pPr>
              <w:spacing w:line="24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_GB2312"/>
                <w:sz w:val="24"/>
                <w:lang w:eastAsia="zh-CN"/>
              </w:rPr>
              <w:t>投标人具有完善的重大活动保障方案，方案科学合理，具有针对性及可操作性，能圆满完成大型活动、节庆假日、创优评优等重大活动保障任务情况的得</w:t>
            </w:r>
            <w:r>
              <w:rPr>
                <w:rFonts w:hint="eastAsia" w:ascii="仿宋" w:hAnsi="仿宋" w:eastAsia="仿宋" w:cs="仿宋_GB2312"/>
                <w:sz w:val="24"/>
                <w:lang w:val="en-US" w:eastAsia="zh-CN"/>
              </w:rPr>
              <w:t>5</w:t>
            </w:r>
            <w:r>
              <w:rPr>
                <w:rFonts w:hint="eastAsia" w:ascii="仿宋" w:hAnsi="仿宋" w:eastAsia="仿宋" w:cs="仿宋_GB2312"/>
                <w:sz w:val="24"/>
                <w:lang w:eastAsia="zh-CN"/>
              </w:rPr>
              <w:t>分；投标人具有较为完善的重大活动保障方案，方案较为科学合理，针对性及可操作性较好，能较为圆满完成大型活动、节庆假日、创优评优等重大活动保障任务情况的得</w:t>
            </w:r>
            <w:r>
              <w:rPr>
                <w:rFonts w:hint="eastAsia" w:ascii="仿宋" w:hAnsi="仿宋" w:eastAsia="仿宋" w:cs="仿宋_GB2312"/>
                <w:sz w:val="24"/>
                <w:lang w:val="en-US" w:eastAsia="zh-CN"/>
              </w:rPr>
              <w:t>3</w:t>
            </w:r>
            <w:r>
              <w:rPr>
                <w:rFonts w:hint="eastAsia" w:ascii="仿宋" w:hAnsi="仿宋" w:eastAsia="仿宋" w:cs="仿宋_GB2312"/>
                <w:sz w:val="24"/>
                <w:lang w:eastAsia="zh-CN"/>
              </w:rPr>
              <w:t>分；投标人重大活动保障方案一般，针对性及可操作性一般，对大型活动、节庆假日、创优评优等重大活动保障任务保障的可靠性一般得1分，方案有缺项或不合理或未提供方案不得分。</w:t>
            </w:r>
          </w:p>
        </w:tc>
        <w:tc>
          <w:tcPr>
            <w:tcW w:w="780" w:type="dxa"/>
            <w:vAlign w:val="top"/>
          </w:tcPr>
          <w:p w14:paraId="1F037AD2">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sz w:val="24"/>
                <w:lang w:val="en-US" w:eastAsia="zh-CN"/>
              </w:rPr>
              <w:t>5</w:t>
            </w:r>
          </w:p>
        </w:tc>
        <w:tc>
          <w:tcPr>
            <w:tcW w:w="672" w:type="pct"/>
            <w:vAlign w:val="center"/>
          </w:tcPr>
          <w:p w14:paraId="4AEA6554">
            <w:pPr>
              <w:spacing w:line="240" w:lineRule="auto"/>
              <w:jc w:val="center"/>
              <w:outlineLvl w:val="0"/>
              <w:rPr>
                <w:rFonts w:hint="eastAsia" w:ascii="仿宋" w:hAnsi="仿宋" w:eastAsia="仿宋" w:cs="仿宋"/>
                <w:color w:val="auto"/>
                <w:sz w:val="24"/>
                <w:szCs w:val="24"/>
                <w:highlight w:val="none"/>
              </w:rPr>
            </w:pPr>
          </w:p>
        </w:tc>
      </w:tr>
      <w:tr w14:paraId="7BC7E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20" w:type="dxa"/>
            <w:vAlign w:val="center"/>
          </w:tcPr>
          <w:p w14:paraId="6B108375">
            <w:pPr>
              <w:spacing w:line="240" w:lineRule="auto"/>
              <w:jc w:val="center"/>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p>
        </w:tc>
        <w:tc>
          <w:tcPr>
            <w:tcW w:w="3543" w:type="pct"/>
            <w:vAlign w:val="top"/>
          </w:tcPr>
          <w:p w14:paraId="3456A9BD">
            <w:pPr>
              <w:widowControl w:val="0"/>
              <w:wordWrap/>
              <w:adjustRightInd w:val="0"/>
              <w:snapToGrid/>
              <w:spacing w:before="0" w:beforeAutospacing="0" w:after="0" w:afterAutospacing="0" w:line="240" w:lineRule="auto"/>
              <w:ind w:left="0" w:right="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有效投标报价的最低价作为评标基准价，其最低报价为满分；按［投标报价得分=（评标基准价/投标报价）*10］的计算公式计算。</w:t>
            </w:r>
          </w:p>
          <w:p w14:paraId="1D35DA78">
            <w:pPr>
              <w:widowControl w:val="0"/>
              <w:wordWrap/>
              <w:adjustRightInd w:val="0"/>
              <w:snapToGrid/>
              <w:spacing w:before="0" w:beforeAutospacing="0" w:after="0" w:afterAutospacing="0" w:line="240" w:lineRule="auto"/>
              <w:ind w:left="0" w:leftChars="0" w:right="0" w:rightChars="0"/>
              <w:textAlignment w:val="auto"/>
              <w:rPr>
                <w:rFonts w:hint="eastAsia"/>
                <w:lang w:val="en-US" w:eastAsia="zh-CN"/>
              </w:rPr>
            </w:pPr>
            <w:r>
              <w:rPr>
                <w:rFonts w:hint="eastAsia" w:ascii="仿宋" w:hAnsi="仿宋" w:eastAsia="仿宋" w:cs="仿宋"/>
                <w:b w:val="0"/>
                <w:bCs w:val="0"/>
                <w:color w:val="auto"/>
                <w:kern w:val="0"/>
                <w:sz w:val="24"/>
                <w:szCs w:val="24"/>
                <w:highlight w:val="none"/>
                <w:lang w:val="en-US" w:eastAsia="zh-CN" w:bidi="ar-SA"/>
              </w:rPr>
              <w:t>评标过程中，不得去掉报价中的最高报价和最低报价。</w:t>
            </w:r>
          </w:p>
        </w:tc>
        <w:tc>
          <w:tcPr>
            <w:tcW w:w="382" w:type="pct"/>
            <w:vAlign w:val="center"/>
          </w:tcPr>
          <w:p w14:paraId="5BA92CC3">
            <w:pPr>
              <w:spacing w:before="0" w:beforeAutospacing="0" w:after="0" w:afterAutospacing="0" w:line="240" w:lineRule="auto"/>
              <w:ind w:left="0" w:leftChars="0" w:right="0" w:rightChars="0"/>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p>
        </w:tc>
        <w:tc>
          <w:tcPr>
            <w:tcW w:w="672" w:type="pct"/>
            <w:vAlign w:val="center"/>
          </w:tcPr>
          <w:p w14:paraId="0FCE35FC">
            <w:pPr>
              <w:spacing w:line="240" w:lineRule="auto"/>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bl>
    <w:p w14:paraId="6CB0A03D">
      <w:pPr>
        <w:rPr>
          <w:rFonts w:hint="eastAsia" w:ascii="仿宋" w:hAnsi="仿宋" w:eastAsia="仿宋" w:cs="仿宋"/>
          <w:color w:val="auto"/>
          <w:highlight w:val="none"/>
        </w:rPr>
      </w:pPr>
    </w:p>
    <w:p w14:paraId="27407E9A">
      <w:pPr>
        <w:snapToGrid w:val="0"/>
        <w:spacing w:line="360" w:lineRule="auto"/>
        <w:rPr>
          <w:rFonts w:hint="eastAsia"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14:paraId="3362E634">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3FF64587">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16DECDE5">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70896402">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72F4DF3D">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67153BC6">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3131978F">
      <w:pPr>
        <w:pStyle w:val="131"/>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49DA3F7B">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639F5E79">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785F5427">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323DAB6B">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1AE627D3">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28748C96">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仿宋"/>
          <w:color w:val="auto"/>
          <w:kern w:val="0"/>
          <w:sz w:val="24"/>
          <w:highlight w:val="none"/>
          <w:lang w:val="en" w:eastAsia="zh-CN"/>
        </w:rPr>
        <w:t>本项目推荐的中标候选人数量：</w:t>
      </w:r>
      <w:r>
        <w:rPr>
          <w:rFonts w:hint="eastAsia" w:ascii="仿宋" w:hAnsi="仿宋" w:eastAsia="仿宋" w:cs="仿宋"/>
          <w:color w:val="auto"/>
          <w:kern w:val="0"/>
          <w:sz w:val="24"/>
          <w:highlight w:val="none"/>
          <w:u w:val="single"/>
          <w:lang w:val="en-US" w:eastAsia="zh-CN"/>
        </w:rPr>
        <w:t>1名</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en" w:eastAsia="zh-CN"/>
        </w:rPr>
        <w:t>。</w:t>
      </w:r>
    </w:p>
    <w:p w14:paraId="1A32EC83">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6CEA2D94">
      <w:pPr>
        <w:pStyle w:val="131"/>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6"/>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513AD5B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5EDF052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21FF4B1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0B4AA01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w:t>
      </w:r>
      <w:r>
        <w:rPr>
          <w:rFonts w:hint="eastAsia" w:ascii="仿宋" w:hAnsi="仿宋" w:eastAsia="仿宋" w:cs="仿宋"/>
          <w:color w:val="auto"/>
          <w:kern w:val="0"/>
          <w:sz w:val="24"/>
          <w:highlight w:val="none"/>
          <w:lang w:val="en-US" w:eastAsia="zh-CN"/>
        </w:rPr>
        <w:t>8</w:t>
      </w:r>
      <w:r>
        <w:rPr>
          <w:rFonts w:hint="eastAsia" w:ascii="仿宋" w:hAnsi="仿宋" w:eastAsia="仿宋" w:cs="仿宋"/>
          <w:color w:val="auto"/>
          <w:kern w:val="0"/>
          <w:sz w:val="24"/>
          <w:highlight w:val="none"/>
        </w:rPr>
        <w:t>投标人对根据修正原则修正后的报价不确认的；</w:t>
      </w:r>
    </w:p>
    <w:p w14:paraId="3AD93D1E">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highlight w:val="none"/>
        </w:rPr>
        <w:t>4.2.</w:t>
      </w: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投标人提供虚假材料投标的；</w:t>
      </w:r>
    </w:p>
    <w:p w14:paraId="48FAF0B8">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w:t>
      </w:r>
      <w:r>
        <w:rPr>
          <w:rFonts w:hint="eastAsia" w:ascii="仿宋" w:hAnsi="仿宋" w:eastAsia="仿宋" w:cs="仿宋"/>
          <w:color w:val="auto"/>
          <w:kern w:val="0"/>
          <w:sz w:val="24"/>
          <w:highlight w:val="none"/>
          <w:lang w:val="en-US" w:eastAsia="zh-CN"/>
        </w:rPr>
        <w:t>0</w:t>
      </w:r>
      <w:r>
        <w:rPr>
          <w:rFonts w:hint="eastAsia" w:ascii="仿宋" w:hAnsi="仿宋" w:eastAsia="仿宋" w:cs="仿宋"/>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投标人仅提交备份投标文件，未在电子交易平台传输递交投标文件的，投标无效；</w:t>
      </w:r>
    </w:p>
    <w:p w14:paraId="7AA3D7B1">
      <w:pPr>
        <w:pStyle w:val="2"/>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w:t>
      </w:r>
      <w:r>
        <w:rPr>
          <w:rFonts w:hint="eastAsia" w:ascii="仿宋" w:hAnsi="仿宋" w:eastAsia="仿宋" w:cs="仿宋"/>
          <w:b w:val="0"/>
          <w:bCs w:val="0"/>
          <w:color w:val="auto"/>
          <w:kern w:val="0"/>
          <w:sz w:val="24"/>
          <w:szCs w:val="24"/>
          <w:highlight w:val="none"/>
          <w:lang w:val="en-US" w:eastAsia="zh-CN"/>
        </w:rPr>
        <w:t>3</w:t>
      </w:r>
      <w:r>
        <w:rPr>
          <w:rFonts w:hint="eastAsia" w:ascii="仿宋" w:hAnsi="仿宋" w:eastAsia="仿宋" w:cs="仿宋"/>
          <w:b w:val="0"/>
          <w:bCs w:val="0"/>
          <w:color w:val="auto"/>
          <w:kern w:val="0"/>
          <w:sz w:val="24"/>
          <w:szCs w:val="24"/>
          <w:highlight w:val="none"/>
          <w:lang w:val="en-US"/>
        </w:rPr>
        <w:t xml:space="preserve"> 投标文件不满足招标文件的其它实质性要求的；</w:t>
      </w:r>
    </w:p>
    <w:p w14:paraId="6663592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法律、法规、规章（适用本市的）及省级以上规范性文件（适用本市的）规定的其他无效情形。</w:t>
      </w:r>
    </w:p>
    <w:p w14:paraId="3D4A9190">
      <w:pPr>
        <w:pStyle w:val="26"/>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037FCDD3">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436BE7F6">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3861788E">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2C8A1F44">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0F20D232">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应当将废标理由通知所有投标人。</w:t>
      </w:r>
    </w:p>
    <w:p w14:paraId="728F5DB1">
      <w:pPr>
        <w:pStyle w:val="26"/>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沟通并作书面记录。采购人、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确认后，将修改招标文件，重新组织采购活动。</w:t>
      </w:r>
    </w:p>
    <w:p w14:paraId="4F2DA9DA">
      <w:pPr>
        <w:pStyle w:val="26"/>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62D94D34">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2169EE18">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0C0B7240">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194896E4">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B06A045">
      <w:pPr>
        <w:pStyle w:val="26"/>
        <w:snapToGrid w:val="0"/>
        <w:spacing w:line="360" w:lineRule="auto"/>
        <w:ind w:firstLine="0" w:firstLineChars="0"/>
        <w:rPr>
          <w:rFonts w:hint="eastAsia" w:ascii="仿宋" w:hAnsi="仿宋" w:eastAsia="仿宋" w:cs="仿宋"/>
          <w:color w:val="auto"/>
          <w:highlight w:val="none"/>
        </w:rPr>
      </w:pPr>
    </w:p>
    <w:bookmarkEnd w:id="27"/>
    <w:p w14:paraId="414513D2">
      <w:pPr>
        <w:spacing w:line="360" w:lineRule="auto"/>
        <w:ind w:left="720" w:leftChars="343" w:firstLine="1084" w:firstLineChars="300"/>
        <w:outlineLvl w:val="0"/>
        <w:rPr>
          <w:rFonts w:hint="eastAsia" w:ascii="仿宋" w:hAnsi="仿宋" w:eastAsia="仿宋" w:cs="仿宋"/>
          <w:b/>
          <w:color w:val="auto"/>
          <w:sz w:val="36"/>
          <w:szCs w:val="36"/>
          <w:highlight w:val="none"/>
        </w:rPr>
      </w:pPr>
      <w:bookmarkStart w:id="396" w:name="第五部分"/>
      <w:bookmarkStart w:id="397" w:name="_Toc86217003"/>
    </w:p>
    <w:p w14:paraId="5F8611A8">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w:t>
      </w:r>
    </w:p>
    <w:p w14:paraId="3436DE59">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6D25ECCD">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2CC431D9">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027BB869">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6D191506">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1100B8C1">
      <w:pPr>
        <w:widowControl/>
        <w:adjustRightInd/>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3CEA968D">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3816F2F6">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570272BE">
      <w:pPr>
        <w:spacing w:line="480" w:lineRule="auto"/>
        <w:jc w:val="center"/>
        <w:rPr>
          <w:rFonts w:hint="eastAsia" w:ascii="仿宋" w:hAnsi="仿宋" w:eastAsia="仿宋" w:cs="仿宋"/>
          <w:b/>
          <w:color w:val="auto"/>
          <w:sz w:val="28"/>
          <w:szCs w:val="28"/>
          <w:highlight w:val="none"/>
        </w:rPr>
      </w:pPr>
    </w:p>
    <w:p w14:paraId="4C9E886F">
      <w:pPr>
        <w:spacing w:line="480" w:lineRule="auto"/>
        <w:jc w:val="center"/>
        <w:rPr>
          <w:rFonts w:hint="eastAsia" w:ascii="仿宋" w:hAnsi="仿宋" w:eastAsia="仿宋" w:cs="仿宋"/>
          <w:b/>
          <w:color w:val="auto"/>
          <w:sz w:val="24"/>
          <w:highlight w:val="none"/>
        </w:rPr>
      </w:pPr>
    </w:p>
    <w:p w14:paraId="6A210C03">
      <w:pPr>
        <w:spacing w:line="480" w:lineRule="auto"/>
        <w:jc w:val="center"/>
        <w:rPr>
          <w:rFonts w:hint="eastAsia" w:ascii="仿宋" w:hAnsi="仿宋" w:eastAsia="仿宋" w:cs="仿宋"/>
          <w:b/>
          <w:color w:val="auto"/>
          <w:sz w:val="24"/>
          <w:highlight w:val="none"/>
        </w:rPr>
      </w:pPr>
    </w:p>
    <w:p w14:paraId="391DF66D">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511C89FD">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4419379D">
      <w:pPr>
        <w:pStyle w:val="702"/>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111642AA">
      <w:pPr>
        <w:spacing w:before="120" w:line="22" w:lineRule="atLeast"/>
        <w:rPr>
          <w:rFonts w:hint="eastAsia" w:ascii="仿宋" w:hAnsi="仿宋" w:eastAsia="仿宋" w:cs="仿宋"/>
          <w:color w:val="auto"/>
          <w:sz w:val="24"/>
          <w:highlight w:val="none"/>
        </w:rPr>
      </w:pPr>
    </w:p>
    <w:p w14:paraId="4EB107E0">
      <w:pPr>
        <w:pStyle w:val="2"/>
        <w:rPr>
          <w:rFonts w:hint="eastAsia" w:ascii="仿宋" w:hAnsi="仿宋" w:eastAsia="仿宋" w:cs="仿宋"/>
          <w:color w:val="auto"/>
          <w:highlight w:val="none"/>
        </w:rPr>
      </w:pPr>
    </w:p>
    <w:p w14:paraId="52C5A054">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6B902B2C">
      <w:pPr>
        <w:pStyle w:val="599"/>
        <w:spacing w:before="120" w:line="22" w:lineRule="atLeast"/>
        <w:rPr>
          <w:rFonts w:hint="eastAsia" w:ascii="仿宋" w:hAnsi="仿宋" w:eastAsia="仿宋" w:cs="仿宋"/>
          <w:color w:val="auto"/>
          <w:szCs w:val="24"/>
          <w:highlight w:val="none"/>
        </w:rPr>
      </w:pPr>
    </w:p>
    <w:p w14:paraId="5912128F">
      <w:pPr>
        <w:pStyle w:val="599"/>
        <w:spacing w:before="120" w:line="22" w:lineRule="atLeast"/>
        <w:rPr>
          <w:rFonts w:hint="eastAsia" w:ascii="仿宋" w:hAnsi="仿宋" w:eastAsia="仿宋" w:cs="仿宋"/>
          <w:color w:val="auto"/>
          <w:szCs w:val="24"/>
          <w:highlight w:val="none"/>
        </w:rPr>
      </w:pPr>
    </w:p>
    <w:p w14:paraId="5FE0C9E3">
      <w:pPr>
        <w:rPr>
          <w:rFonts w:hint="eastAsia" w:ascii="仿宋" w:hAnsi="仿宋" w:eastAsia="仿宋" w:cs="仿宋"/>
          <w:color w:val="auto"/>
          <w:sz w:val="24"/>
          <w:highlight w:val="none"/>
        </w:rPr>
      </w:pPr>
    </w:p>
    <w:p w14:paraId="47A9008A">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0D3D1846">
      <w:pPr>
        <w:spacing w:before="120" w:line="22" w:lineRule="atLeast"/>
        <w:rPr>
          <w:rFonts w:hint="eastAsia" w:ascii="仿宋" w:hAnsi="仿宋" w:eastAsia="仿宋" w:cs="仿宋"/>
          <w:color w:val="auto"/>
          <w:sz w:val="24"/>
          <w:highlight w:val="none"/>
        </w:rPr>
      </w:pPr>
    </w:p>
    <w:p w14:paraId="4F902F54">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15CA71C9">
      <w:pPr>
        <w:spacing w:before="120" w:line="22" w:lineRule="atLeast"/>
        <w:rPr>
          <w:rFonts w:hint="eastAsia" w:ascii="仿宋" w:hAnsi="仿宋" w:eastAsia="仿宋" w:cs="仿宋"/>
          <w:color w:val="auto"/>
          <w:sz w:val="24"/>
          <w:highlight w:val="none"/>
        </w:rPr>
      </w:pPr>
    </w:p>
    <w:p w14:paraId="14015310">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70C1208B">
      <w:pPr>
        <w:spacing w:before="120" w:line="22" w:lineRule="atLeast"/>
        <w:rPr>
          <w:rFonts w:hint="eastAsia" w:ascii="仿宋" w:hAnsi="仿宋" w:eastAsia="仿宋" w:cs="仿宋"/>
          <w:color w:val="auto"/>
          <w:sz w:val="24"/>
          <w:highlight w:val="none"/>
        </w:rPr>
      </w:pPr>
    </w:p>
    <w:p w14:paraId="3A8D1F64">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63FDA7BA">
      <w:pPr>
        <w:widowControl/>
        <w:jc w:val="left"/>
        <w:rPr>
          <w:rFonts w:hint="eastAsia" w:ascii="仿宋" w:hAnsi="仿宋" w:eastAsia="仿宋" w:cs="仿宋"/>
          <w:color w:val="auto"/>
          <w:kern w:val="0"/>
          <w:sz w:val="24"/>
          <w:highlight w:val="none"/>
        </w:rPr>
        <w:sectPr>
          <w:pgSz w:w="11907" w:h="16840"/>
          <w:pgMar w:top="1474" w:right="1814" w:bottom="1474" w:left="1814" w:header="851" w:footer="851" w:gutter="0"/>
          <w:cols w:space="720" w:num="1"/>
        </w:sectPr>
      </w:pPr>
    </w:p>
    <w:p w14:paraId="719C4F9E">
      <w:pPr>
        <w:rPr>
          <w:rFonts w:hint="eastAsia" w:ascii="仿宋" w:hAnsi="仿宋" w:eastAsia="仿宋" w:cs="仿宋"/>
          <w:b/>
          <w:color w:val="auto"/>
          <w:sz w:val="24"/>
          <w:highlight w:val="none"/>
        </w:rPr>
      </w:pPr>
    </w:p>
    <w:p w14:paraId="405B9D1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1822E22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3B2A92E3">
      <w:pPr>
        <w:spacing w:line="560" w:lineRule="exact"/>
        <w:ind w:firstLine="482" w:firstLineChars="200"/>
        <w:outlineLvl w:val="0"/>
        <w:rPr>
          <w:rFonts w:hint="eastAsia" w:ascii="仿宋" w:hAnsi="仿宋" w:eastAsia="仿宋" w:cs="仿宋"/>
          <w:color w:val="auto"/>
          <w:sz w:val="24"/>
          <w:highlight w:val="none"/>
        </w:rPr>
      </w:pPr>
      <w:bookmarkStart w:id="398" w:name="_Toc20421"/>
      <w:bookmarkStart w:id="399" w:name="_Toc22967"/>
      <w:bookmarkStart w:id="400" w:name="_Toc15367"/>
      <w:bookmarkStart w:id="401" w:name="_Toc28855"/>
      <w:bookmarkStart w:id="402" w:name="_Toc19273"/>
      <w:r>
        <w:rPr>
          <w:rFonts w:hint="eastAsia" w:ascii="仿宋" w:hAnsi="仿宋" w:eastAsia="仿宋" w:cs="仿宋"/>
          <w:b/>
          <w:color w:val="auto"/>
          <w:sz w:val="24"/>
          <w:highlight w:val="none"/>
        </w:rPr>
        <w:t>1.1 合同组成部分</w:t>
      </w:r>
      <w:bookmarkEnd w:id="398"/>
      <w:bookmarkEnd w:id="399"/>
      <w:bookmarkEnd w:id="400"/>
      <w:bookmarkEnd w:id="401"/>
      <w:bookmarkEnd w:id="402"/>
    </w:p>
    <w:p w14:paraId="67759D5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79FE5E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2DA0E56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6CE74DF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0C254B5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4DA2D31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03F2DA26">
      <w:pPr>
        <w:spacing w:line="560" w:lineRule="exact"/>
        <w:ind w:firstLine="482" w:firstLineChars="200"/>
        <w:outlineLvl w:val="0"/>
        <w:rPr>
          <w:rFonts w:hint="eastAsia" w:ascii="仿宋" w:hAnsi="仿宋" w:eastAsia="仿宋" w:cs="仿宋"/>
          <w:b/>
          <w:color w:val="auto"/>
          <w:sz w:val="24"/>
          <w:highlight w:val="none"/>
        </w:rPr>
      </w:pPr>
      <w:bookmarkStart w:id="403" w:name="_Toc6773"/>
      <w:bookmarkStart w:id="404" w:name="_Toc18585"/>
      <w:bookmarkStart w:id="405" w:name="_Toc22185"/>
      <w:bookmarkStart w:id="406" w:name="_Toc2918"/>
      <w:bookmarkStart w:id="407" w:name="_Toc6311"/>
      <w:r>
        <w:rPr>
          <w:rFonts w:hint="eastAsia" w:ascii="仿宋" w:hAnsi="仿宋" w:eastAsia="仿宋" w:cs="仿宋"/>
          <w:b/>
          <w:color w:val="auto"/>
          <w:sz w:val="24"/>
          <w:highlight w:val="none"/>
        </w:rPr>
        <w:t>1.2 标的</w:t>
      </w:r>
      <w:bookmarkEnd w:id="403"/>
      <w:bookmarkEnd w:id="404"/>
      <w:bookmarkEnd w:id="405"/>
      <w:bookmarkEnd w:id="406"/>
      <w:bookmarkEnd w:id="407"/>
    </w:p>
    <w:p w14:paraId="06BF8295">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B02B5B6">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4C0E35C">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14:paraId="11D1A823">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3AAC5AD">
      <w:pPr>
        <w:pStyle w:val="96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（是/否）涉及货物。若涉及货物的，则：</w:t>
      </w:r>
    </w:p>
    <w:p w14:paraId="266FDA7A">
      <w:pPr>
        <w:spacing w:line="560" w:lineRule="exact"/>
        <w:ind w:firstLine="480" w:firstLineChars="200"/>
        <w:rPr>
          <w:rFonts w:hint="eastAsia" w:ascii="仿宋" w:hAnsi="仿宋" w:eastAsia="仿宋" w:cs="仿宋"/>
          <w:color w:val="auto"/>
          <w:sz w:val="24"/>
          <w:highlight w:val="none"/>
          <w:u w:val="single"/>
        </w:rPr>
      </w:pPr>
      <w:bookmarkStart w:id="408" w:name="_Toc21124"/>
      <w:bookmarkStart w:id="409" w:name="_Toc13918"/>
      <w:bookmarkStart w:id="410" w:name="_Toc1386"/>
      <w:bookmarkStart w:id="411" w:name="_Toc5635"/>
      <w:bookmarkStart w:id="412" w:name="_Toc4929"/>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BD99C8C">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5AA7CDE">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8DF0FB4">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408"/>
      <w:bookmarkEnd w:id="409"/>
      <w:bookmarkEnd w:id="410"/>
      <w:bookmarkEnd w:id="411"/>
      <w:bookmarkEnd w:id="412"/>
    </w:p>
    <w:p w14:paraId="712B904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443F9F2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2C903D77">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486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1A261B">
            <w:pPr>
              <w:pStyle w:val="320"/>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14:paraId="45766751">
            <w:pPr>
              <w:pStyle w:val="320"/>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38665A0C">
            <w:pPr>
              <w:pStyle w:val="320"/>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4EBE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FD2410">
            <w:pPr>
              <w:pStyle w:val="320"/>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66BDB431">
            <w:pPr>
              <w:pStyle w:val="320"/>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0EC443E3">
            <w:pPr>
              <w:pStyle w:val="320"/>
              <w:spacing w:line="560" w:lineRule="exact"/>
              <w:ind w:firstLine="200"/>
              <w:jc w:val="center"/>
              <w:rPr>
                <w:rFonts w:hint="eastAsia" w:ascii="仿宋" w:hAnsi="仿宋" w:eastAsia="仿宋" w:cs="仿宋"/>
                <w:color w:val="auto"/>
                <w:sz w:val="24"/>
                <w:szCs w:val="24"/>
                <w:highlight w:val="none"/>
              </w:rPr>
            </w:pPr>
          </w:p>
        </w:tc>
      </w:tr>
      <w:tr w14:paraId="5BB0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F8131D">
            <w:pPr>
              <w:pStyle w:val="320"/>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26CA5BD6">
            <w:pPr>
              <w:pStyle w:val="320"/>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0258EB1E">
            <w:pPr>
              <w:pStyle w:val="320"/>
              <w:spacing w:line="560" w:lineRule="exact"/>
              <w:ind w:firstLine="200"/>
              <w:jc w:val="center"/>
              <w:rPr>
                <w:rFonts w:hint="eastAsia" w:ascii="仿宋" w:hAnsi="仿宋" w:eastAsia="仿宋" w:cs="仿宋"/>
                <w:color w:val="auto"/>
                <w:sz w:val="24"/>
                <w:szCs w:val="24"/>
                <w:highlight w:val="none"/>
              </w:rPr>
            </w:pPr>
          </w:p>
        </w:tc>
      </w:tr>
      <w:tr w14:paraId="1EF1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146FB5">
            <w:pPr>
              <w:pStyle w:val="320"/>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637D5711">
            <w:pPr>
              <w:pStyle w:val="320"/>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42D0E712">
            <w:pPr>
              <w:pStyle w:val="320"/>
              <w:spacing w:line="560" w:lineRule="exact"/>
              <w:ind w:firstLine="200"/>
              <w:jc w:val="center"/>
              <w:rPr>
                <w:rFonts w:hint="eastAsia" w:ascii="仿宋" w:hAnsi="仿宋" w:eastAsia="仿宋" w:cs="仿宋"/>
                <w:color w:val="auto"/>
                <w:sz w:val="24"/>
                <w:szCs w:val="24"/>
                <w:highlight w:val="none"/>
              </w:rPr>
            </w:pPr>
          </w:p>
        </w:tc>
      </w:tr>
      <w:tr w14:paraId="4FCD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093970">
            <w:pPr>
              <w:pStyle w:val="320"/>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14D192BB">
            <w:pPr>
              <w:pStyle w:val="320"/>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0E5769EB">
            <w:pPr>
              <w:pStyle w:val="320"/>
              <w:spacing w:line="560" w:lineRule="exact"/>
              <w:ind w:firstLine="200"/>
              <w:jc w:val="center"/>
              <w:rPr>
                <w:rFonts w:hint="eastAsia" w:ascii="仿宋" w:hAnsi="仿宋" w:eastAsia="仿宋" w:cs="仿宋"/>
                <w:color w:val="auto"/>
                <w:sz w:val="24"/>
                <w:szCs w:val="24"/>
                <w:highlight w:val="none"/>
              </w:rPr>
            </w:pPr>
          </w:p>
        </w:tc>
      </w:tr>
      <w:tr w14:paraId="1D61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94A6241">
            <w:pPr>
              <w:pStyle w:val="320"/>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355220FD">
            <w:pPr>
              <w:pStyle w:val="320"/>
              <w:spacing w:line="560" w:lineRule="exact"/>
              <w:ind w:firstLine="200"/>
              <w:jc w:val="center"/>
              <w:rPr>
                <w:rFonts w:hint="eastAsia" w:ascii="仿宋" w:hAnsi="仿宋" w:eastAsia="仿宋" w:cs="仿宋"/>
                <w:color w:val="auto"/>
                <w:sz w:val="24"/>
                <w:szCs w:val="24"/>
                <w:highlight w:val="none"/>
              </w:rPr>
            </w:pPr>
          </w:p>
        </w:tc>
      </w:tr>
    </w:tbl>
    <w:p w14:paraId="0A8B29F3">
      <w:pPr>
        <w:spacing w:line="560" w:lineRule="exact"/>
        <w:ind w:firstLine="480" w:firstLineChars="200"/>
        <w:rPr>
          <w:rFonts w:hint="eastAsia" w:ascii="仿宋" w:hAnsi="仿宋" w:eastAsia="仿宋" w:cs="仿宋"/>
          <w:color w:val="auto"/>
          <w:sz w:val="24"/>
          <w:highlight w:val="none"/>
        </w:rPr>
      </w:pPr>
      <w:bookmarkStart w:id="413" w:name="_Toc26916"/>
      <w:bookmarkStart w:id="414" w:name="_Toc3654"/>
      <w:bookmarkStart w:id="415" w:name="_Toc14993"/>
      <w:bookmarkStart w:id="416" w:name="_Toc30506"/>
      <w:bookmarkStart w:id="417" w:name="_Toc30158"/>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2BFFF984">
      <w:pPr>
        <w:pStyle w:val="2"/>
        <w:rPr>
          <w:rFonts w:hint="eastAsia" w:ascii="仿宋" w:hAnsi="仿宋" w:eastAsia="仿宋" w:cs="仿宋"/>
          <w:color w:val="auto"/>
          <w:highlight w:val="none"/>
          <w:lang w:val="en-US"/>
        </w:rPr>
      </w:pPr>
      <w:r>
        <w:rPr>
          <w:rFonts w:hint="eastAsia" w:ascii="仿宋" w:hAnsi="仿宋" w:eastAsia="仿宋" w:cs="仿宋"/>
          <w:color w:val="auto"/>
          <w:sz w:val="24"/>
          <w:highlight w:val="none"/>
          <w:lang w:val="en-US"/>
        </w:rPr>
        <w:t xml:space="preserve">    </w:t>
      </w:r>
      <w:r>
        <w:rPr>
          <w:rFonts w:hint="eastAsia" w:ascii="仿宋" w:hAnsi="仿宋" w:eastAsia="仿宋" w:cs="仿宋"/>
          <w:b w:val="0"/>
          <w:bCs w:val="0"/>
          <w:color w:val="auto"/>
          <w:sz w:val="24"/>
          <w:highlight w:val="none"/>
          <w:lang w:val="en-US"/>
        </w:rPr>
        <w:t>1.3.3其他计价方式：</w:t>
      </w:r>
      <w:r>
        <w:rPr>
          <w:rFonts w:hint="eastAsia" w:ascii="仿宋" w:hAnsi="仿宋" w:eastAsia="仿宋" w:cs="仿宋"/>
          <w:b w:val="0"/>
          <w:bCs w:val="0"/>
          <w:color w:val="auto"/>
          <w:sz w:val="24"/>
          <w:highlight w:val="none"/>
          <w:u w:val="single"/>
          <w:lang w:val="en-US"/>
        </w:rPr>
        <w:t xml:space="preserve">                   </w:t>
      </w:r>
      <w:r>
        <w:rPr>
          <w:rFonts w:hint="eastAsia" w:ascii="仿宋" w:hAnsi="仿宋" w:eastAsia="仿宋" w:cs="仿宋"/>
          <w:b w:val="0"/>
          <w:bCs w:val="0"/>
          <w:color w:val="auto"/>
          <w:sz w:val="24"/>
          <w:highlight w:val="none"/>
        </w:rPr>
        <w:t>。</w:t>
      </w:r>
    </w:p>
    <w:bookmarkEnd w:id="413"/>
    <w:bookmarkEnd w:id="414"/>
    <w:bookmarkEnd w:id="415"/>
    <w:bookmarkEnd w:id="416"/>
    <w:bookmarkEnd w:id="417"/>
    <w:p w14:paraId="2F5CCC91">
      <w:pPr>
        <w:pStyle w:val="960"/>
        <w:spacing w:before="0" w:beforeAutospacing="0" w:after="0" w:afterAutospacing="0" w:line="360" w:lineRule="auto"/>
        <w:ind w:firstLine="480"/>
        <w:rPr>
          <w:rFonts w:hint="eastAsia" w:ascii="仿宋" w:hAnsi="仿宋" w:eastAsia="仿宋" w:cs="仿宋"/>
          <w:b/>
          <w:color w:val="auto"/>
          <w:highlight w:val="none"/>
        </w:rPr>
      </w:pPr>
      <w:bookmarkStart w:id="418" w:name="_Toc22618"/>
      <w:bookmarkStart w:id="419" w:name="_Toc10340"/>
      <w:bookmarkStart w:id="420" w:name="_Toc1814"/>
      <w:bookmarkStart w:id="421" w:name="_Toc11108"/>
      <w:bookmarkStart w:id="422" w:name="_Toc8772"/>
      <w:bookmarkStart w:id="423" w:name="_Toc4760"/>
      <w:bookmarkStart w:id="424" w:name="_Toc31421"/>
      <w:bookmarkStart w:id="425" w:name="_Toc3625"/>
      <w:r>
        <w:rPr>
          <w:rFonts w:hint="eastAsia" w:ascii="仿宋" w:hAnsi="仿宋" w:eastAsia="仿宋" w:cs="仿宋"/>
          <w:b/>
          <w:color w:val="auto"/>
          <w:highlight w:val="none"/>
        </w:rPr>
        <w:t>1.4履约保证金</w:t>
      </w:r>
    </w:p>
    <w:p w14:paraId="74D47AFB">
      <w:pPr>
        <w:pStyle w:val="96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24C58F22">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07C09E92">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11554AC7">
      <w:pPr>
        <w:pStyle w:val="2"/>
        <w:tabs>
          <w:tab w:val="left" w:pos="0"/>
        </w:tabs>
        <w:spacing w:line="560" w:lineRule="exact"/>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854E4FE">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472C46FA">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418"/>
      <w:bookmarkEnd w:id="419"/>
      <w:bookmarkEnd w:id="420"/>
      <w:r>
        <w:rPr>
          <w:rFonts w:hint="eastAsia" w:ascii="仿宋" w:hAnsi="仿宋" w:eastAsia="仿宋" w:cs="仿宋"/>
          <w:b/>
          <w:color w:val="auto"/>
          <w:sz w:val="24"/>
          <w:highlight w:val="none"/>
        </w:rPr>
        <w:t>预付款</w:t>
      </w:r>
    </w:p>
    <w:p w14:paraId="7C829B0B">
      <w:pPr>
        <w:pStyle w:val="96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318FD5B1">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71C02789">
      <w:pPr>
        <w:pStyle w:val="96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79C41B41">
      <w:pPr>
        <w:pStyle w:val="960"/>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0918A3AE">
      <w:pPr>
        <w:pStyle w:val="960"/>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48C046E0">
      <w:pPr>
        <w:pStyle w:val="96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6B459AA">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FB13205">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421"/>
      <w:bookmarkEnd w:id="422"/>
      <w:bookmarkEnd w:id="423"/>
      <w:bookmarkEnd w:id="424"/>
      <w:bookmarkEnd w:id="425"/>
    </w:p>
    <w:p w14:paraId="15F44DB1">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0ECC6B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55123E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47271F2">
      <w:pPr>
        <w:spacing w:line="560" w:lineRule="exact"/>
        <w:ind w:firstLine="480" w:firstLineChars="200"/>
        <w:outlineLvl w:val="0"/>
        <w:rPr>
          <w:rFonts w:hint="eastAsia" w:ascii="仿宋" w:hAnsi="仿宋" w:eastAsia="仿宋" w:cs="仿宋"/>
          <w:bCs/>
          <w:color w:val="auto"/>
          <w:sz w:val="24"/>
          <w:highlight w:val="none"/>
        </w:rPr>
      </w:pPr>
      <w:bookmarkStart w:id="426" w:name="_Toc8586"/>
      <w:bookmarkStart w:id="427" w:name="_Toc5698"/>
      <w:bookmarkStart w:id="428" w:name="_Toc24662"/>
      <w:bookmarkStart w:id="429" w:name="_Toc2375"/>
      <w:bookmarkStart w:id="430" w:name="_Toc3079"/>
      <w:r>
        <w:rPr>
          <w:rFonts w:hint="eastAsia" w:ascii="仿宋" w:hAnsi="仿宋" w:eastAsia="仿宋" w:cs="仿宋"/>
          <w:bCs/>
          <w:color w:val="auto"/>
          <w:sz w:val="24"/>
          <w:highlight w:val="none"/>
        </w:rPr>
        <w:t>1.7.4若服务涉及货物的，则货物的：</w:t>
      </w:r>
    </w:p>
    <w:p w14:paraId="44E129F3">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4B4086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ECE163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C42C51F">
      <w:pPr>
        <w:spacing w:line="560" w:lineRule="exact"/>
        <w:ind w:firstLine="482" w:firstLineChars="200"/>
        <w:outlineLvl w:val="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426"/>
      <w:bookmarkEnd w:id="427"/>
      <w:bookmarkEnd w:id="428"/>
      <w:bookmarkEnd w:id="429"/>
      <w:bookmarkEnd w:id="430"/>
    </w:p>
    <w:p w14:paraId="6879F76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31284810">
      <w:pPr>
        <w:pStyle w:val="2"/>
        <w:ind w:left="0" w:firstLine="480" w:firstLineChars="2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w:t>
      </w:r>
      <w:r>
        <w:rPr>
          <w:rFonts w:hint="eastAsia" w:ascii="仿宋" w:hAnsi="仿宋" w:eastAsia="仿宋" w:cs="仿宋"/>
          <w:b w:val="0"/>
          <w:bCs w:val="0"/>
          <w:color w:val="auto"/>
          <w:sz w:val="24"/>
          <w:szCs w:val="24"/>
          <w:highlight w:val="none"/>
          <w:lang w:val="en-US"/>
        </w:rPr>
        <w:t xml:space="preserve">5（可根据情况修改） </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451451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767F4200">
      <w:pPr>
        <w:spacing w:line="560" w:lineRule="exact"/>
        <w:ind w:firstLine="480" w:firstLineChars="200"/>
        <w:rPr>
          <w:rFonts w:hint="eastAsia" w:ascii="仿宋" w:hAnsi="仿宋" w:eastAsia="仿宋" w:cs="仿宋"/>
          <w:color w:val="auto"/>
          <w:sz w:val="24"/>
          <w:highlight w:val="none"/>
        </w:rPr>
      </w:pPr>
      <w:bookmarkStart w:id="431" w:name="_Toc9497"/>
      <w:bookmarkStart w:id="432" w:name="_Toc30329"/>
      <w:bookmarkStart w:id="433" w:name="_Toc18683"/>
      <w:bookmarkStart w:id="434" w:name="_Toc32454"/>
      <w:bookmarkStart w:id="435" w:name="_Toc26807"/>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48717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3BBEC2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2EBBB79">
      <w:pPr>
        <w:spacing w:line="560" w:lineRule="exact"/>
        <w:ind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431"/>
    <w:bookmarkEnd w:id="432"/>
    <w:bookmarkEnd w:id="433"/>
    <w:bookmarkEnd w:id="434"/>
    <w:bookmarkEnd w:id="435"/>
    <w:p w14:paraId="1A3040A7">
      <w:pPr>
        <w:spacing w:line="560" w:lineRule="exact"/>
        <w:ind w:firstLine="482" w:firstLineChars="200"/>
        <w:outlineLvl w:val="0"/>
        <w:rPr>
          <w:rFonts w:hint="eastAsia" w:ascii="仿宋" w:hAnsi="仿宋" w:eastAsia="仿宋" w:cs="仿宋"/>
          <w:b/>
          <w:color w:val="auto"/>
          <w:sz w:val="24"/>
          <w:highlight w:val="none"/>
        </w:rPr>
      </w:pPr>
      <w:bookmarkStart w:id="436" w:name="_Toc15583"/>
      <w:bookmarkStart w:id="437" w:name="_Toc16021"/>
      <w:bookmarkStart w:id="438" w:name="_Toc28375"/>
      <w:r>
        <w:rPr>
          <w:rFonts w:hint="eastAsia" w:ascii="仿宋" w:hAnsi="仿宋" w:eastAsia="仿宋" w:cs="仿宋"/>
          <w:b/>
          <w:color w:val="auto"/>
          <w:sz w:val="24"/>
          <w:highlight w:val="none"/>
        </w:rPr>
        <w:t>1.9合同争议的解决</w:t>
      </w:r>
      <w:bookmarkEnd w:id="436"/>
      <w:bookmarkEnd w:id="437"/>
      <w:bookmarkEnd w:id="438"/>
    </w:p>
    <w:p w14:paraId="183DFEDC">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145D6BA8">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27B8F93F">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08261CC6">
      <w:pPr>
        <w:spacing w:line="560" w:lineRule="exact"/>
        <w:ind w:firstLine="482" w:firstLineChars="200"/>
        <w:outlineLvl w:val="0"/>
        <w:rPr>
          <w:rFonts w:hint="eastAsia" w:ascii="仿宋" w:hAnsi="仿宋" w:eastAsia="仿宋" w:cs="仿宋"/>
          <w:b/>
          <w:color w:val="auto"/>
          <w:sz w:val="24"/>
          <w:highlight w:val="none"/>
        </w:rPr>
      </w:pPr>
      <w:bookmarkStart w:id="439" w:name="_Toc11173"/>
      <w:bookmarkStart w:id="440" w:name="_Toc7245"/>
      <w:bookmarkStart w:id="441" w:name="_Toc15322"/>
      <w:r>
        <w:rPr>
          <w:rFonts w:hint="eastAsia" w:ascii="仿宋" w:hAnsi="仿宋" w:eastAsia="仿宋" w:cs="仿宋"/>
          <w:b/>
          <w:color w:val="auto"/>
          <w:sz w:val="24"/>
          <w:highlight w:val="none"/>
        </w:rPr>
        <w:t>2.0 合同生效</w:t>
      </w:r>
      <w:bookmarkEnd w:id="439"/>
      <w:bookmarkEnd w:id="440"/>
      <w:bookmarkEnd w:id="441"/>
    </w:p>
    <w:p w14:paraId="42538665">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22857822">
      <w:pPr>
        <w:autoSpaceDE w:val="0"/>
        <w:autoSpaceDN w:val="0"/>
        <w:spacing w:line="560" w:lineRule="exact"/>
        <w:rPr>
          <w:rFonts w:hint="eastAsia" w:ascii="仿宋" w:hAnsi="仿宋" w:eastAsia="仿宋" w:cs="仿宋"/>
          <w:color w:val="auto"/>
          <w:sz w:val="24"/>
          <w:highlight w:val="none"/>
          <w:lang w:val="zh-CN"/>
        </w:rPr>
      </w:pPr>
    </w:p>
    <w:p w14:paraId="11A8BEBE">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4FD3BEDB">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70145408">
      <w:pPr>
        <w:autoSpaceDE w:val="0"/>
        <w:autoSpaceDN w:val="0"/>
        <w:spacing w:line="560" w:lineRule="exact"/>
        <w:rPr>
          <w:rFonts w:hint="eastAsia" w:ascii="仿宋" w:hAnsi="仿宋" w:eastAsia="仿宋" w:cs="仿宋"/>
          <w:color w:val="auto"/>
          <w:sz w:val="24"/>
          <w:highlight w:val="none"/>
          <w:lang w:val="zh-CN"/>
        </w:rPr>
      </w:pPr>
    </w:p>
    <w:p w14:paraId="69A42A08">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021C1AFC">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0232A8AE">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0A6DB5E4">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10BC833B">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5C9C0BAC">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6A8E6688">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141DE9BA">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009B1849">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5E6BB4B7">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6CA46E1C">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2EB1D20A">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5EE7E088">
      <w:pPr>
        <w:widowControl/>
        <w:spacing w:line="560" w:lineRule="exact"/>
        <w:jc w:val="left"/>
        <w:rPr>
          <w:rFonts w:hint="eastAsia" w:ascii="仿宋" w:hAnsi="仿宋" w:eastAsia="仿宋" w:cs="仿宋"/>
          <w:b/>
          <w:color w:val="auto"/>
          <w:sz w:val="24"/>
          <w:highlight w:val="none"/>
        </w:rPr>
      </w:pPr>
    </w:p>
    <w:p w14:paraId="7FB1AA88">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highlight w:val="none"/>
        </w:rPr>
        <w:br w:type="page"/>
      </w:r>
    </w:p>
    <w:p w14:paraId="33CF01CB">
      <w:pPr>
        <w:pStyle w:val="702"/>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76C82517">
      <w:pPr>
        <w:spacing w:line="560" w:lineRule="exact"/>
        <w:ind w:firstLine="482" w:firstLineChars="200"/>
        <w:outlineLvl w:val="0"/>
        <w:rPr>
          <w:rFonts w:hint="eastAsia" w:ascii="仿宋" w:hAnsi="仿宋" w:eastAsia="仿宋" w:cs="仿宋"/>
          <w:b/>
          <w:color w:val="auto"/>
          <w:sz w:val="24"/>
          <w:highlight w:val="none"/>
        </w:rPr>
      </w:pPr>
      <w:bookmarkStart w:id="442" w:name="_Toc25079"/>
      <w:bookmarkStart w:id="443" w:name="_Toc5228"/>
      <w:bookmarkStart w:id="444" w:name="_Toc31297"/>
      <w:bookmarkStart w:id="445" w:name="_Toc19680"/>
      <w:bookmarkStart w:id="446" w:name="_Toc14021"/>
      <w:r>
        <w:rPr>
          <w:rFonts w:hint="eastAsia" w:ascii="仿宋" w:hAnsi="仿宋" w:eastAsia="仿宋" w:cs="仿宋"/>
          <w:b/>
          <w:color w:val="auto"/>
          <w:sz w:val="24"/>
          <w:highlight w:val="none"/>
        </w:rPr>
        <w:t>2.1 定义</w:t>
      </w:r>
      <w:bookmarkEnd w:id="442"/>
      <w:bookmarkEnd w:id="443"/>
      <w:bookmarkEnd w:id="444"/>
      <w:bookmarkEnd w:id="445"/>
      <w:bookmarkEnd w:id="446"/>
    </w:p>
    <w:p w14:paraId="5A12A24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111B772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19BB149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341A313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46FAA11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14:paraId="63F3154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4426D2C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6B5A301E">
      <w:pPr>
        <w:spacing w:line="560" w:lineRule="exact"/>
        <w:ind w:firstLine="482" w:firstLineChars="200"/>
        <w:outlineLvl w:val="0"/>
        <w:rPr>
          <w:rFonts w:hint="eastAsia" w:ascii="仿宋" w:hAnsi="仿宋" w:eastAsia="仿宋" w:cs="仿宋"/>
          <w:b/>
          <w:color w:val="auto"/>
          <w:sz w:val="24"/>
          <w:highlight w:val="none"/>
        </w:rPr>
      </w:pPr>
      <w:bookmarkStart w:id="447" w:name="_Toc16752"/>
      <w:bookmarkStart w:id="448" w:name="_Toc31402"/>
      <w:bookmarkStart w:id="449" w:name="_Toc3769"/>
      <w:bookmarkStart w:id="450" w:name="_Toc23289"/>
      <w:bookmarkStart w:id="451" w:name="_Toc19539"/>
      <w:r>
        <w:rPr>
          <w:rFonts w:hint="eastAsia" w:ascii="仿宋" w:hAnsi="仿宋" w:eastAsia="仿宋" w:cs="仿宋"/>
          <w:b/>
          <w:color w:val="auto"/>
          <w:sz w:val="24"/>
          <w:highlight w:val="none"/>
        </w:rPr>
        <w:t>2.2 技术规范</w:t>
      </w:r>
      <w:bookmarkEnd w:id="447"/>
      <w:bookmarkEnd w:id="448"/>
      <w:bookmarkEnd w:id="449"/>
      <w:bookmarkEnd w:id="450"/>
      <w:bookmarkEnd w:id="451"/>
    </w:p>
    <w:p w14:paraId="6604161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1F7C15A">
      <w:pPr>
        <w:spacing w:line="560" w:lineRule="exact"/>
        <w:ind w:firstLine="482" w:firstLineChars="200"/>
        <w:outlineLvl w:val="0"/>
        <w:rPr>
          <w:rFonts w:hint="eastAsia" w:ascii="仿宋" w:hAnsi="仿宋" w:eastAsia="仿宋" w:cs="仿宋"/>
          <w:b/>
          <w:color w:val="auto"/>
          <w:sz w:val="24"/>
          <w:highlight w:val="none"/>
        </w:rPr>
      </w:pPr>
      <w:bookmarkStart w:id="452" w:name="_Toc12412"/>
      <w:bookmarkStart w:id="453" w:name="_Toc27945"/>
      <w:bookmarkStart w:id="454" w:name="_Toc13673"/>
      <w:bookmarkStart w:id="455" w:name="_Toc9161"/>
      <w:bookmarkStart w:id="456" w:name="_Toc4133"/>
      <w:r>
        <w:rPr>
          <w:rFonts w:hint="eastAsia" w:ascii="仿宋" w:hAnsi="仿宋" w:eastAsia="仿宋" w:cs="仿宋"/>
          <w:b/>
          <w:color w:val="auto"/>
          <w:sz w:val="24"/>
          <w:highlight w:val="none"/>
        </w:rPr>
        <w:t>2.3 知识产权</w:t>
      </w:r>
      <w:bookmarkEnd w:id="452"/>
      <w:bookmarkEnd w:id="453"/>
      <w:bookmarkEnd w:id="454"/>
      <w:bookmarkEnd w:id="455"/>
      <w:bookmarkEnd w:id="456"/>
    </w:p>
    <w:p w14:paraId="7714C06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575EE48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7E4E11B">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452AE61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467F434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202BEA7A">
      <w:pPr>
        <w:spacing w:line="560" w:lineRule="exact"/>
        <w:ind w:firstLine="482" w:firstLineChars="200"/>
        <w:outlineLvl w:val="0"/>
        <w:rPr>
          <w:rFonts w:hint="eastAsia" w:ascii="仿宋" w:hAnsi="仿宋" w:eastAsia="仿宋" w:cs="仿宋"/>
          <w:b/>
          <w:color w:val="auto"/>
          <w:sz w:val="24"/>
          <w:highlight w:val="none"/>
        </w:rPr>
      </w:pPr>
      <w:bookmarkStart w:id="457" w:name="_Toc32670"/>
      <w:bookmarkStart w:id="458" w:name="_Toc22011"/>
      <w:bookmarkStart w:id="459" w:name="_Toc26555"/>
      <w:bookmarkStart w:id="460" w:name="_Toc31233"/>
      <w:bookmarkStart w:id="461" w:name="_Toc15447"/>
      <w:r>
        <w:rPr>
          <w:rFonts w:hint="eastAsia" w:ascii="仿宋" w:hAnsi="仿宋" w:eastAsia="仿宋" w:cs="仿宋"/>
          <w:b/>
          <w:color w:val="auto"/>
          <w:sz w:val="24"/>
          <w:highlight w:val="none"/>
        </w:rPr>
        <w:t>2.5 结算方式和付款条件</w:t>
      </w:r>
      <w:bookmarkEnd w:id="457"/>
      <w:bookmarkEnd w:id="458"/>
      <w:bookmarkEnd w:id="459"/>
      <w:bookmarkEnd w:id="460"/>
      <w:bookmarkEnd w:id="461"/>
    </w:p>
    <w:p w14:paraId="4529D15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55478F5">
      <w:pPr>
        <w:spacing w:line="560" w:lineRule="exact"/>
        <w:ind w:firstLine="482" w:firstLineChars="200"/>
        <w:outlineLvl w:val="0"/>
        <w:rPr>
          <w:rFonts w:hint="eastAsia" w:ascii="仿宋" w:hAnsi="仿宋" w:eastAsia="仿宋" w:cs="仿宋"/>
          <w:b/>
          <w:color w:val="auto"/>
          <w:sz w:val="24"/>
          <w:highlight w:val="none"/>
        </w:rPr>
      </w:pPr>
      <w:bookmarkStart w:id="462" w:name="_Toc16163"/>
      <w:bookmarkStart w:id="463" w:name="_Toc18990"/>
      <w:bookmarkStart w:id="464" w:name="_Toc13467"/>
      <w:bookmarkStart w:id="465" w:name="_Toc13154"/>
      <w:bookmarkStart w:id="466" w:name="_Toc30507"/>
      <w:r>
        <w:rPr>
          <w:rFonts w:hint="eastAsia" w:ascii="仿宋" w:hAnsi="仿宋" w:eastAsia="仿宋" w:cs="仿宋"/>
          <w:b/>
          <w:color w:val="auto"/>
          <w:sz w:val="24"/>
          <w:highlight w:val="none"/>
        </w:rPr>
        <w:t>2.6 技术资料和保密义务</w:t>
      </w:r>
      <w:bookmarkEnd w:id="462"/>
      <w:bookmarkEnd w:id="463"/>
      <w:bookmarkEnd w:id="464"/>
      <w:bookmarkEnd w:id="465"/>
      <w:bookmarkEnd w:id="466"/>
    </w:p>
    <w:p w14:paraId="623AE50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4D3729D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446500A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DD935D1">
      <w:pPr>
        <w:spacing w:line="560" w:lineRule="exact"/>
        <w:ind w:firstLine="482" w:firstLineChars="200"/>
        <w:outlineLvl w:val="0"/>
        <w:rPr>
          <w:rFonts w:hint="eastAsia" w:ascii="仿宋" w:hAnsi="仿宋" w:eastAsia="仿宋" w:cs="仿宋"/>
          <w:b/>
          <w:color w:val="auto"/>
          <w:sz w:val="24"/>
          <w:highlight w:val="none"/>
        </w:rPr>
      </w:pPr>
      <w:bookmarkStart w:id="467" w:name="_Toc19069"/>
      <w:r>
        <w:rPr>
          <w:rFonts w:hint="eastAsia" w:ascii="仿宋" w:hAnsi="仿宋" w:eastAsia="仿宋" w:cs="仿宋"/>
          <w:b/>
          <w:color w:val="auto"/>
          <w:sz w:val="24"/>
          <w:highlight w:val="none"/>
        </w:rPr>
        <w:t>2.7 质量保证</w:t>
      </w:r>
      <w:bookmarkEnd w:id="467"/>
    </w:p>
    <w:p w14:paraId="02CCDF4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4D4BBF9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7A7AA29E">
      <w:pPr>
        <w:spacing w:line="560" w:lineRule="exact"/>
        <w:ind w:firstLine="482" w:firstLineChars="200"/>
        <w:outlineLvl w:val="0"/>
        <w:rPr>
          <w:rFonts w:hint="eastAsia" w:ascii="仿宋" w:hAnsi="仿宋" w:eastAsia="仿宋" w:cs="仿宋"/>
          <w:b/>
          <w:color w:val="auto"/>
          <w:sz w:val="24"/>
          <w:highlight w:val="none"/>
        </w:rPr>
      </w:pPr>
      <w:bookmarkStart w:id="468" w:name="_Toc22267"/>
      <w:r>
        <w:rPr>
          <w:rFonts w:hint="eastAsia" w:ascii="仿宋" w:hAnsi="仿宋" w:eastAsia="仿宋" w:cs="仿宋"/>
          <w:b/>
          <w:color w:val="auto"/>
          <w:sz w:val="24"/>
          <w:highlight w:val="none"/>
        </w:rPr>
        <w:t>2.8 延迟履行</w:t>
      </w:r>
      <w:bookmarkEnd w:id="468"/>
    </w:p>
    <w:p w14:paraId="7F3961D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534584C3">
      <w:pPr>
        <w:spacing w:line="560" w:lineRule="exact"/>
        <w:ind w:firstLine="482" w:firstLineChars="200"/>
        <w:outlineLvl w:val="0"/>
        <w:rPr>
          <w:rFonts w:hint="eastAsia" w:ascii="仿宋" w:hAnsi="仿宋" w:eastAsia="仿宋" w:cs="仿宋"/>
          <w:b/>
          <w:color w:val="auto"/>
          <w:sz w:val="24"/>
          <w:highlight w:val="none"/>
        </w:rPr>
      </w:pPr>
      <w:bookmarkStart w:id="469" w:name="_Toc10611"/>
      <w:r>
        <w:rPr>
          <w:rFonts w:hint="eastAsia" w:ascii="仿宋" w:hAnsi="仿宋" w:eastAsia="仿宋" w:cs="仿宋"/>
          <w:b/>
          <w:color w:val="auto"/>
          <w:sz w:val="24"/>
          <w:highlight w:val="none"/>
        </w:rPr>
        <w:t>2.9 合同变更</w:t>
      </w:r>
      <w:bookmarkEnd w:id="469"/>
    </w:p>
    <w:p w14:paraId="508ABCA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AA1263B">
      <w:pPr>
        <w:spacing w:line="560" w:lineRule="exact"/>
        <w:ind w:firstLine="482" w:firstLineChars="200"/>
        <w:outlineLvl w:val="0"/>
        <w:rPr>
          <w:rFonts w:hint="eastAsia" w:ascii="仿宋" w:hAnsi="仿宋" w:eastAsia="仿宋" w:cs="仿宋"/>
          <w:b/>
          <w:color w:val="auto"/>
          <w:sz w:val="24"/>
          <w:highlight w:val="none"/>
        </w:rPr>
      </w:pPr>
      <w:bookmarkStart w:id="470" w:name="_Toc26689"/>
      <w:bookmarkStart w:id="471" w:name="_Toc42"/>
      <w:bookmarkStart w:id="472" w:name="_Toc10663"/>
      <w:bookmarkStart w:id="473" w:name="_Toc23368"/>
      <w:bookmarkStart w:id="474" w:name="_Toc21830"/>
      <w:r>
        <w:rPr>
          <w:rFonts w:hint="eastAsia" w:ascii="仿宋" w:hAnsi="仿宋" w:eastAsia="仿宋" w:cs="仿宋"/>
          <w:b/>
          <w:color w:val="auto"/>
          <w:sz w:val="24"/>
          <w:highlight w:val="none"/>
        </w:rPr>
        <w:t>2.10 合同转让和分包</w:t>
      </w:r>
      <w:bookmarkEnd w:id="470"/>
      <w:bookmarkEnd w:id="471"/>
      <w:bookmarkEnd w:id="472"/>
      <w:bookmarkEnd w:id="473"/>
      <w:bookmarkEnd w:id="474"/>
    </w:p>
    <w:p w14:paraId="3FA7DC3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9C69B6B">
      <w:pPr>
        <w:spacing w:line="560" w:lineRule="exact"/>
        <w:ind w:firstLine="482" w:firstLineChars="200"/>
        <w:outlineLvl w:val="0"/>
        <w:rPr>
          <w:rFonts w:hint="eastAsia" w:ascii="仿宋" w:hAnsi="仿宋" w:eastAsia="仿宋" w:cs="仿宋"/>
          <w:b/>
          <w:color w:val="auto"/>
          <w:sz w:val="24"/>
          <w:highlight w:val="none"/>
        </w:rPr>
      </w:pPr>
      <w:bookmarkStart w:id="475" w:name="_Toc25571"/>
      <w:bookmarkStart w:id="476" w:name="_Toc26633"/>
      <w:bookmarkStart w:id="477" w:name="_Toc4720"/>
      <w:bookmarkStart w:id="478" w:name="_Toc14371"/>
      <w:bookmarkStart w:id="479" w:name="_Toc32494"/>
      <w:r>
        <w:rPr>
          <w:rFonts w:hint="eastAsia" w:ascii="仿宋" w:hAnsi="仿宋" w:eastAsia="仿宋" w:cs="仿宋"/>
          <w:b/>
          <w:color w:val="auto"/>
          <w:sz w:val="24"/>
          <w:highlight w:val="none"/>
        </w:rPr>
        <w:t>2.11 不可抗力</w:t>
      </w:r>
      <w:bookmarkEnd w:id="475"/>
      <w:bookmarkEnd w:id="476"/>
      <w:bookmarkEnd w:id="477"/>
      <w:bookmarkEnd w:id="478"/>
      <w:bookmarkEnd w:id="479"/>
    </w:p>
    <w:p w14:paraId="0DF3B5C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64E5262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2372A5A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3ACF4E1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443DE30D">
      <w:pPr>
        <w:spacing w:line="560" w:lineRule="exact"/>
        <w:ind w:firstLine="482" w:firstLineChars="200"/>
        <w:outlineLvl w:val="0"/>
        <w:rPr>
          <w:rFonts w:hint="eastAsia" w:ascii="仿宋" w:hAnsi="仿宋" w:eastAsia="仿宋" w:cs="仿宋"/>
          <w:b/>
          <w:color w:val="auto"/>
          <w:sz w:val="24"/>
          <w:highlight w:val="none"/>
        </w:rPr>
      </w:pPr>
      <w:bookmarkStart w:id="480" w:name="_Toc3638"/>
      <w:bookmarkStart w:id="481" w:name="_Toc25783"/>
      <w:bookmarkStart w:id="482" w:name="_Toc23854"/>
      <w:bookmarkStart w:id="483" w:name="_Toc24465"/>
      <w:bookmarkStart w:id="484" w:name="_Toc14115"/>
      <w:r>
        <w:rPr>
          <w:rFonts w:hint="eastAsia" w:ascii="仿宋" w:hAnsi="仿宋" w:eastAsia="仿宋" w:cs="仿宋"/>
          <w:b/>
          <w:color w:val="auto"/>
          <w:sz w:val="24"/>
          <w:highlight w:val="none"/>
        </w:rPr>
        <w:t>2.12 税费</w:t>
      </w:r>
      <w:bookmarkEnd w:id="480"/>
      <w:bookmarkEnd w:id="481"/>
      <w:bookmarkEnd w:id="482"/>
      <w:bookmarkEnd w:id="483"/>
      <w:bookmarkEnd w:id="484"/>
    </w:p>
    <w:p w14:paraId="17CC4EA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2CC78CAE">
      <w:pPr>
        <w:spacing w:line="560" w:lineRule="exact"/>
        <w:ind w:firstLine="482" w:firstLineChars="200"/>
        <w:outlineLvl w:val="0"/>
        <w:rPr>
          <w:rFonts w:hint="eastAsia" w:ascii="仿宋" w:hAnsi="仿宋" w:eastAsia="仿宋" w:cs="仿宋"/>
          <w:b/>
          <w:color w:val="auto"/>
          <w:sz w:val="24"/>
          <w:highlight w:val="none"/>
        </w:rPr>
      </w:pPr>
      <w:bookmarkStart w:id="485" w:name="_Toc14814"/>
      <w:bookmarkStart w:id="486" w:name="_Toc7315"/>
      <w:bookmarkStart w:id="487" w:name="_Toc26883"/>
      <w:bookmarkStart w:id="488" w:name="_Toc25525"/>
      <w:bookmarkStart w:id="489" w:name="_Toc30105"/>
      <w:r>
        <w:rPr>
          <w:rFonts w:hint="eastAsia" w:ascii="仿宋" w:hAnsi="仿宋" w:eastAsia="仿宋" w:cs="仿宋"/>
          <w:b/>
          <w:color w:val="auto"/>
          <w:sz w:val="24"/>
          <w:highlight w:val="none"/>
        </w:rPr>
        <w:t>2.13 乙方破产</w:t>
      </w:r>
      <w:bookmarkEnd w:id="485"/>
      <w:bookmarkEnd w:id="486"/>
      <w:bookmarkEnd w:id="487"/>
      <w:bookmarkEnd w:id="488"/>
      <w:bookmarkEnd w:id="489"/>
    </w:p>
    <w:p w14:paraId="4470C64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49F8EAE">
      <w:pPr>
        <w:spacing w:line="560" w:lineRule="exact"/>
        <w:ind w:firstLine="482" w:firstLineChars="200"/>
        <w:outlineLvl w:val="0"/>
        <w:rPr>
          <w:rFonts w:hint="eastAsia" w:ascii="仿宋" w:hAnsi="仿宋" w:eastAsia="仿宋" w:cs="仿宋"/>
          <w:b/>
          <w:color w:val="auto"/>
          <w:sz w:val="24"/>
          <w:highlight w:val="none"/>
        </w:rPr>
      </w:pPr>
      <w:bookmarkStart w:id="490" w:name="_Toc23323"/>
      <w:bookmarkStart w:id="491" w:name="_Toc2016"/>
      <w:bookmarkStart w:id="492" w:name="_Toc1123"/>
      <w:r>
        <w:rPr>
          <w:rFonts w:hint="eastAsia" w:ascii="仿宋" w:hAnsi="仿宋" w:eastAsia="仿宋" w:cs="仿宋"/>
          <w:b/>
          <w:color w:val="auto"/>
          <w:sz w:val="24"/>
          <w:highlight w:val="none"/>
        </w:rPr>
        <w:t>2.14 合同中止、终止</w:t>
      </w:r>
      <w:bookmarkEnd w:id="490"/>
      <w:bookmarkEnd w:id="491"/>
      <w:bookmarkEnd w:id="492"/>
    </w:p>
    <w:p w14:paraId="57D1693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2128FFA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0D874C7">
      <w:pPr>
        <w:spacing w:line="560" w:lineRule="exact"/>
        <w:ind w:firstLine="482" w:firstLineChars="200"/>
        <w:outlineLvl w:val="0"/>
        <w:rPr>
          <w:rFonts w:hint="eastAsia" w:ascii="仿宋" w:hAnsi="仿宋" w:eastAsia="仿宋" w:cs="仿宋"/>
          <w:b/>
          <w:color w:val="auto"/>
          <w:sz w:val="24"/>
          <w:highlight w:val="none"/>
        </w:rPr>
      </w:pPr>
      <w:bookmarkStart w:id="493" w:name="_Toc14525"/>
      <w:bookmarkStart w:id="494" w:name="_Toc1969"/>
      <w:bookmarkStart w:id="495" w:name="_Toc17363"/>
      <w:r>
        <w:rPr>
          <w:rFonts w:hint="eastAsia" w:ascii="仿宋" w:hAnsi="仿宋" w:eastAsia="仿宋" w:cs="仿宋"/>
          <w:b/>
          <w:color w:val="auto"/>
          <w:sz w:val="24"/>
          <w:highlight w:val="none"/>
        </w:rPr>
        <w:t>2.15 检验和验收</w:t>
      </w:r>
      <w:bookmarkEnd w:id="493"/>
      <w:bookmarkEnd w:id="494"/>
      <w:bookmarkEnd w:id="495"/>
    </w:p>
    <w:p w14:paraId="10BB3C75">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5985344D">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8EBA98">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6BD20E84">
      <w:pPr>
        <w:spacing w:line="560" w:lineRule="exact"/>
        <w:ind w:firstLine="482" w:firstLineChars="200"/>
        <w:outlineLvl w:val="0"/>
        <w:rPr>
          <w:rFonts w:hint="eastAsia" w:ascii="仿宋" w:hAnsi="仿宋" w:eastAsia="仿宋" w:cs="仿宋"/>
          <w:b/>
          <w:color w:val="auto"/>
          <w:sz w:val="24"/>
          <w:highlight w:val="none"/>
        </w:rPr>
      </w:pPr>
      <w:bookmarkStart w:id="496" w:name="_Toc25198"/>
      <w:bookmarkStart w:id="497" w:name="_Toc12666"/>
      <w:bookmarkStart w:id="498" w:name="_Toc2308"/>
      <w:bookmarkStart w:id="499" w:name="_Toc31892"/>
      <w:bookmarkStart w:id="500" w:name="_Toc9808"/>
      <w:r>
        <w:rPr>
          <w:rFonts w:hint="eastAsia" w:ascii="仿宋" w:hAnsi="仿宋" w:eastAsia="仿宋" w:cs="仿宋"/>
          <w:b/>
          <w:color w:val="auto"/>
          <w:sz w:val="24"/>
          <w:highlight w:val="none"/>
        </w:rPr>
        <w:t>2.16 通知和送达</w:t>
      </w:r>
      <w:bookmarkEnd w:id="496"/>
      <w:bookmarkEnd w:id="497"/>
      <w:bookmarkEnd w:id="498"/>
      <w:bookmarkEnd w:id="499"/>
      <w:bookmarkEnd w:id="500"/>
    </w:p>
    <w:p w14:paraId="2D57AD58">
      <w:pPr>
        <w:spacing w:line="560" w:lineRule="exact"/>
        <w:ind w:firstLine="480" w:firstLineChars="200"/>
        <w:rPr>
          <w:rFonts w:hint="eastAsia" w:ascii="仿宋" w:hAnsi="仿宋" w:eastAsia="仿宋" w:cs="仿宋"/>
          <w:color w:val="auto"/>
          <w:sz w:val="24"/>
          <w:highlight w:val="none"/>
        </w:rPr>
      </w:pPr>
      <w:bookmarkStart w:id="501" w:name="_Toc27674"/>
      <w:bookmarkStart w:id="502" w:name="_Toc18401"/>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5066257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1"/>
      <w:bookmarkEnd w:id="502"/>
    </w:p>
    <w:p w14:paraId="79494EF1">
      <w:pPr>
        <w:spacing w:line="560" w:lineRule="exact"/>
        <w:ind w:firstLine="482" w:firstLineChars="200"/>
        <w:outlineLvl w:val="0"/>
        <w:rPr>
          <w:rFonts w:hint="eastAsia" w:ascii="仿宋" w:hAnsi="仿宋" w:eastAsia="仿宋" w:cs="仿宋"/>
          <w:b/>
          <w:color w:val="auto"/>
          <w:sz w:val="24"/>
          <w:highlight w:val="none"/>
        </w:rPr>
      </w:pPr>
      <w:bookmarkStart w:id="503" w:name="_Toc12254"/>
      <w:bookmarkStart w:id="504" w:name="_Toc20808"/>
      <w:bookmarkStart w:id="505" w:name="_Toc5063"/>
      <w:bookmarkStart w:id="506" w:name="_Toc27644"/>
      <w:bookmarkStart w:id="507" w:name="_Toc28906"/>
      <w:r>
        <w:rPr>
          <w:rFonts w:hint="eastAsia" w:ascii="仿宋" w:hAnsi="仿宋" w:eastAsia="仿宋" w:cs="仿宋"/>
          <w:b/>
          <w:color w:val="auto"/>
          <w:sz w:val="24"/>
          <w:highlight w:val="none"/>
        </w:rPr>
        <w:t>2.17 合同使用的文字和适用的法律</w:t>
      </w:r>
      <w:bookmarkEnd w:id="503"/>
      <w:bookmarkEnd w:id="504"/>
      <w:bookmarkEnd w:id="505"/>
      <w:bookmarkEnd w:id="506"/>
      <w:bookmarkEnd w:id="507"/>
    </w:p>
    <w:p w14:paraId="5285274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64FB86D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5C34B1D7">
      <w:pPr>
        <w:spacing w:line="560" w:lineRule="exact"/>
        <w:ind w:firstLine="482" w:firstLineChars="200"/>
        <w:outlineLvl w:val="0"/>
        <w:rPr>
          <w:rFonts w:hint="eastAsia" w:ascii="仿宋" w:hAnsi="仿宋" w:eastAsia="仿宋" w:cs="仿宋"/>
          <w:b/>
          <w:color w:val="auto"/>
          <w:sz w:val="24"/>
          <w:highlight w:val="none"/>
        </w:rPr>
      </w:pPr>
      <w:bookmarkStart w:id="508" w:name="_Toc30599"/>
      <w:bookmarkStart w:id="509" w:name="_Toc18540"/>
      <w:bookmarkStart w:id="510" w:name="_Toc4355"/>
      <w:r>
        <w:rPr>
          <w:rFonts w:hint="eastAsia" w:ascii="仿宋" w:hAnsi="仿宋" w:eastAsia="仿宋" w:cs="仿宋"/>
          <w:b/>
          <w:color w:val="auto"/>
          <w:sz w:val="24"/>
          <w:highlight w:val="none"/>
        </w:rPr>
        <w:t>2.18 计量单位</w:t>
      </w:r>
      <w:bookmarkEnd w:id="508"/>
      <w:bookmarkEnd w:id="509"/>
      <w:bookmarkEnd w:id="510"/>
    </w:p>
    <w:p w14:paraId="5B9E0A7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728DE446">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3F5AF79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04B681FD">
      <w:pP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color w:val="auto"/>
          <w:kern w:val="0"/>
          <w:highlight w:val="none"/>
        </w:rPr>
        <w:br w:type="page"/>
      </w:r>
      <w:bookmarkStart w:id="511" w:name="_Toc331685784"/>
      <w:r>
        <w:rPr>
          <w:rFonts w:hint="eastAsia" w:ascii="仿宋" w:hAnsi="仿宋" w:eastAsia="仿宋" w:cs="仿宋"/>
          <w:b/>
          <w:color w:val="auto"/>
          <w:sz w:val="24"/>
          <w:highlight w:val="none"/>
        </w:rPr>
        <w:t xml:space="preserve"> </w:t>
      </w:r>
      <w:bookmarkEnd w:id="511"/>
      <w:r>
        <w:rPr>
          <w:rFonts w:hint="eastAsia" w:ascii="仿宋" w:hAnsi="仿宋" w:eastAsia="仿宋" w:cs="仿宋"/>
          <w:b/>
          <w:color w:val="auto"/>
          <w:sz w:val="24"/>
          <w:highlight w:val="none"/>
        </w:rPr>
        <w:t>第三部分  合同专用条款</w:t>
      </w:r>
    </w:p>
    <w:p w14:paraId="1CB856D3">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27FC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7C7522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4464" w:type="pct"/>
            <w:vAlign w:val="center"/>
          </w:tcPr>
          <w:p w14:paraId="4663DC4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65084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C030D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p>
        </w:tc>
        <w:tc>
          <w:tcPr>
            <w:tcW w:w="4464" w:type="pct"/>
            <w:vAlign w:val="center"/>
          </w:tcPr>
          <w:p w14:paraId="304DB868">
            <w:pPr>
              <w:spacing w:line="360" w:lineRule="auto"/>
              <w:rPr>
                <w:rFonts w:hint="eastAsia" w:ascii="仿宋" w:hAnsi="仿宋" w:eastAsia="仿宋" w:cs="仿宋"/>
                <w:color w:val="auto"/>
                <w:sz w:val="24"/>
                <w:highlight w:val="none"/>
              </w:rPr>
            </w:pPr>
          </w:p>
        </w:tc>
      </w:tr>
      <w:tr w14:paraId="5BF81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7ACD7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4464" w:type="pct"/>
            <w:vAlign w:val="center"/>
          </w:tcPr>
          <w:p w14:paraId="7791C121">
            <w:pPr>
              <w:spacing w:line="360" w:lineRule="auto"/>
              <w:rPr>
                <w:rFonts w:hint="eastAsia" w:ascii="仿宋" w:hAnsi="仿宋" w:eastAsia="仿宋" w:cs="仿宋"/>
                <w:color w:val="auto"/>
                <w:sz w:val="24"/>
                <w:highlight w:val="none"/>
              </w:rPr>
            </w:pPr>
          </w:p>
        </w:tc>
      </w:tr>
      <w:tr w14:paraId="47C74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26EBA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4464" w:type="pct"/>
            <w:vAlign w:val="center"/>
          </w:tcPr>
          <w:p w14:paraId="4F7069E5">
            <w:pPr>
              <w:spacing w:line="360" w:lineRule="auto"/>
              <w:rPr>
                <w:rFonts w:hint="eastAsia" w:ascii="仿宋" w:hAnsi="仿宋" w:eastAsia="仿宋" w:cs="仿宋"/>
                <w:color w:val="auto"/>
                <w:sz w:val="24"/>
                <w:highlight w:val="none"/>
              </w:rPr>
            </w:pPr>
          </w:p>
        </w:tc>
      </w:tr>
      <w:tr w14:paraId="0E6D0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E4726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4464" w:type="pct"/>
            <w:vAlign w:val="center"/>
          </w:tcPr>
          <w:p w14:paraId="4AA1D5F3">
            <w:pPr>
              <w:spacing w:line="360" w:lineRule="auto"/>
              <w:rPr>
                <w:rFonts w:hint="eastAsia" w:ascii="仿宋" w:hAnsi="仿宋" w:eastAsia="仿宋" w:cs="仿宋"/>
                <w:color w:val="auto"/>
                <w:sz w:val="24"/>
                <w:highlight w:val="none"/>
              </w:rPr>
            </w:pPr>
          </w:p>
        </w:tc>
      </w:tr>
      <w:tr w14:paraId="2E6EC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E125F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4464" w:type="pct"/>
            <w:vAlign w:val="center"/>
          </w:tcPr>
          <w:p w14:paraId="601A43BA">
            <w:pPr>
              <w:spacing w:line="360" w:lineRule="auto"/>
              <w:rPr>
                <w:rFonts w:hint="eastAsia" w:ascii="仿宋" w:hAnsi="仿宋" w:eastAsia="仿宋" w:cs="仿宋"/>
                <w:color w:val="auto"/>
                <w:sz w:val="24"/>
                <w:highlight w:val="none"/>
              </w:rPr>
            </w:pPr>
          </w:p>
        </w:tc>
      </w:tr>
      <w:tr w14:paraId="331D3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64C22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4464" w:type="pct"/>
            <w:vAlign w:val="center"/>
          </w:tcPr>
          <w:p w14:paraId="31D42319">
            <w:pPr>
              <w:spacing w:line="360" w:lineRule="auto"/>
              <w:rPr>
                <w:rFonts w:hint="eastAsia" w:ascii="仿宋" w:hAnsi="仿宋" w:eastAsia="仿宋" w:cs="仿宋"/>
                <w:color w:val="auto"/>
                <w:sz w:val="24"/>
                <w:highlight w:val="none"/>
              </w:rPr>
            </w:pPr>
          </w:p>
        </w:tc>
      </w:tr>
      <w:tr w14:paraId="4E655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0E260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4464" w:type="pct"/>
            <w:vAlign w:val="center"/>
          </w:tcPr>
          <w:p w14:paraId="5B41A289">
            <w:pPr>
              <w:spacing w:line="360" w:lineRule="auto"/>
              <w:rPr>
                <w:rFonts w:hint="eastAsia" w:ascii="仿宋" w:hAnsi="仿宋" w:eastAsia="仿宋" w:cs="仿宋"/>
                <w:color w:val="auto"/>
                <w:sz w:val="24"/>
                <w:highlight w:val="none"/>
              </w:rPr>
            </w:pPr>
          </w:p>
        </w:tc>
      </w:tr>
      <w:tr w14:paraId="714EA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FCF57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4464" w:type="pct"/>
            <w:vAlign w:val="center"/>
          </w:tcPr>
          <w:p w14:paraId="70E5ED3A">
            <w:pPr>
              <w:spacing w:line="360" w:lineRule="auto"/>
              <w:rPr>
                <w:rFonts w:hint="eastAsia" w:ascii="仿宋" w:hAnsi="仿宋" w:eastAsia="仿宋" w:cs="仿宋"/>
                <w:color w:val="auto"/>
                <w:sz w:val="24"/>
                <w:highlight w:val="none"/>
              </w:rPr>
            </w:pPr>
          </w:p>
        </w:tc>
      </w:tr>
      <w:tr w14:paraId="3DA15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48BFD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4464" w:type="pct"/>
            <w:vAlign w:val="center"/>
          </w:tcPr>
          <w:p w14:paraId="7261FC83">
            <w:pPr>
              <w:spacing w:line="360" w:lineRule="auto"/>
              <w:rPr>
                <w:rFonts w:hint="eastAsia" w:ascii="仿宋" w:hAnsi="仿宋" w:eastAsia="仿宋" w:cs="仿宋"/>
                <w:color w:val="auto"/>
                <w:sz w:val="24"/>
                <w:highlight w:val="none"/>
              </w:rPr>
            </w:pPr>
          </w:p>
        </w:tc>
      </w:tr>
      <w:tr w14:paraId="14752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3FCF7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4464" w:type="pct"/>
            <w:vAlign w:val="center"/>
          </w:tcPr>
          <w:p w14:paraId="6490AB55">
            <w:pPr>
              <w:spacing w:line="360" w:lineRule="auto"/>
              <w:rPr>
                <w:rFonts w:hint="eastAsia" w:ascii="仿宋" w:hAnsi="仿宋" w:eastAsia="仿宋" w:cs="仿宋"/>
                <w:color w:val="auto"/>
                <w:sz w:val="24"/>
                <w:highlight w:val="none"/>
              </w:rPr>
            </w:pPr>
          </w:p>
        </w:tc>
      </w:tr>
      <w:tr w14:paraId="2B554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E332A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4464" w:type="pct"/>
            <w:vAlign w:val="center"/>
          </w:tcPr>
          <w:p w14:paraId="3A43FF54">
            <w:pPr>
              <w:spacing w:line="360" w:lineRule="auto"/>
              <w:rPr>
                <w:rFonts w:hint="eastAsia" w:ascii="仿宋" w:hAnsi="仿宋" w:eastAsia="仿宋" w:cs="仿宋"/>
                <w:color w:val="auto"/>
                <w:sz w:val="24"/>
                <w:highlight w:val="none"/>
              </w:rPr>
            </w:pPr>
          </w:p>
        </w:tc>
      </w:tr>
      <w:tr w14:paraId="72ADA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3FD5F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4464" w:type="pct"/>
            <w:vAlign w:val="center"/>
          </w:tcPr>
          <w:p w14:paraId="24FED585">
            <w:pPr>
              <w:spacing w:line="360" w:lineRule="auto"/>
              <w:rPr>
                <w:rFonts w:hint="eastAsia" w:ascii="仿宋" w:hAnsi="仿宋" w:eastAsia="仿宋" w:cs="仿宋"/>
                <w:color w:val="auto"/>
                <w:sz w:val="24"/>
                <w:highlight w:val="none"/>
              </w:rPr>
            </w:pPr>
          </w:p>
        </w:tc>
      </w:tr>
      <w:tr w14:paraId="134F8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AC32F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1.8.7</w:t>
            </w:r>
          </w:p>
        </w:tc>
        <w:tc>
          <w:tcPr>
            <w:tcW w:w="4464" w:type="pct"/>
            <w:vAlign w:val="center"/>
          </w:tcPr>
          <w:p w14:paraId="475F6F49">
            <w:pPr>
              <w:spacing w:line="360" w:lineRule="auto"/>
              <w:rPr>
                <w:rFonts w:hint="eastAsia" w:ascii="仿宋" w:hAnsi="仿宋" w:eastAsia="仿宋" w:cs="仿宋"/>
                <w:color w:val="auto"/>
                <w:sz w:val="24"/>
                <w:highlight w:val="none"/>
              </w:rPr>
            </w:pPr>
          </w:p>
        </w:tc>
      </w:tr>
      <w:tr w14:paraId="04243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5DE2D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4464" w:type="pct"/>
            <w:vAlign w:val="center"/>
          </w:tcPr>
          <w:p w14:paraId="634980CB">
            <w:pPr>
              <w:spacing w:line="360" w:lineRule="auto"/>
              <w:rPr>
                <w:rFonts w:hint="eastAsia" w:ascii="仿宋" w:hAnsi="仿宋" w:eastAsia="仿宋" w:cs="仿宋"/>
                <w:color w:val="auto"/>
                <w:sz w:val="24"/>
                <w:highlight w:val="none"/>
              </w:rPr>
            </w:pPr>
          </w:p>
        </w:tc>
      </w:tr>
      <w:tr w14:paraId="089F9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8498D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4464" w:type="pct"/>
            <w:vAlign w:val="center"/>
          </w:tcPr>
          <w:p w14:paraId="7D8A34B0">
            <w:pPr>
              <w:spacing w:line="360" w:lineRule="auto"/>
              <w:rPr>
                <w:rFonts w:hint="eastAsia" w:ascii="仿宋" w:hAnsi="仿宋" w:eastAsia="仿宋" w:cs="仿宋"/>
                <w:color w:val="auto"/>
                <w:sz w:val="24"/>
                <w:highlight w:val="none"/>
              </w:rPr>
            </w:pPr>
          </w:p>
        </w:tc>
      </w:tr>
      <w:tr w14:paraId="5E8B6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029D5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4464" w:type="pct"/>
            <w:vAlign w:val="center"/>
          </w:tcPr>
          <w:p w14:paraId="0AE3F9EA">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4F3F6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C2E50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4464" w:type="pct"/>
            <w:vAlign w:val="center"/>
          </w:tcPr>
          <w:p w14:paraId="6761C5ED">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50CCD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5EAFA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4464" w:type="pct"/>
            <w:vAlign w:val="center"/>
          </w:tcPr>
          <w:p w14:paraId="19BAD9B3">
            <w:pPr>
              <w:spacing w:line="360" w:lineRule="auto"/>
              <w:rPr>
                <w:rFonts w:hint="eastAsia" w:ascii="仿宋" w:hAnsi="仿宋" w:eastAsia="仿宋" w:cs="仿宋"/>
                <w:color w:val="auto"/>
                <w:sz w:val="24"/>
                <w:highlight w:val="none"/>
              </w:rPr>
            </w:pPr>
          </w:p>
        </w:tc>
      </w:tr>
      <w:tr w14:paraId="56F07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3D879D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4464" w:type="pct"/>
          </w:tcPr>
          <w:p w14:paraId="5082AFF0">
            <w:pPr>
              <w:spacing w:line="360" w:lineRule="auto"/>
              <w:rPr>
                <w:rFonts w:hint="eastAsia" w:ascii="仿宋" w:hAnsi="仿宋" w:eastAsia="仿宋" w:cs="仿宋"/>
                <w:color w:val="auto"/>
                <w:sz w:val="24"/>
                <w:highlight w:val="none"/>
              </w:rPr>
            </w:pPr>
          </w:p>
        </w:tc>
      </w:tr>
      <w:tr w14:paraId="47D68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A821C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4464" w:type="pct"/>
            <w:vAlign w:val="center"/>
          </w:tcPr>
          <w:p w14:paraId="48C69B9A">
            <w:pPr>
              <w:spacing w:line="360" w:lineRule="auto"/>
              <w:rPr>
                <w:rFonts w:hint="eastAsia" w:ascii="仿宋" w:hAnsi="仿宋" w:eastAsia="仿宋" w:cs="仿宋"/>
                <w:color w:val="auto"/>
                <w:sz w:val="24"/>
                <w:highlight w:val="none"/>
              </w:rPr>
            </w:pPr>
          </w:p>
        </w:tc>
      </w:tr>
      <w:tr w14:paraId="5B0B6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43638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4464" w:type="pct"/>
            <w:vAlign w:val="center"/>
          </w:tcPr>
          <w:p w14:paraId="4B94E58B">
            <w:pPr>
              <w:spacing w:line="360" w:lineRule="auto"/>
              <w:rPr>
                <w:rFonts w:hint="eastAsia" w:ascii="仿宋" w:hAnsi="仿宋" w:eastAsia="仿宋" w:cs="仿宋"/>
                <w:color w:val="auto"/>
                <w:sz w:val="24"/>
                <w:highlight w:val="none"/>
              </w:rPr>
            </w:pPr>
          </w:p>
        </w:tc>
      </w:tr>
      <w:tr w14:paraId="2B81C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F7D2B2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2.19</w:t>
            </w:r>
          </w:p>
        </w:tc>
        <w:tc>
          <w:tcPr>
            <w:tcW w:w="4464" w:type="pct"/>
          </w:tcPr>
          <w:p w14:paraId="43CE10F1">
            <w:pPr>
              <w:spacing w:line="360" w:lineRule="auto"/>
              <w:rPr>
                <w:rFonts w:hint="eastAsia" w:ascii="仿宋" w:hAnsi="仿宋" w:eastAsia="仿宋" w:cs="仿宋"/>
                <w:color w:val="auto"/>
                <w:sz w:val="24"/>
                <w:highlight w:val="none"/>
              </w:rPr>
            </w:pPr>
          </w:p>
        </w:tc>
      </w:tr>
    </w:tbl>
    <w:p w14:paraId="408D6C86">
      <w:pPr>
        <w:spacing w:line="360" w:lineRule="auto"/>
        <w:ind w:left="-420" w:leftChars="-200" w:right="-420" w:rightChars="-200" w:firstLine="480" w:firstLineChars="200"/>
        <w:rPr>
          <w:rFonts w:hint="eastAsia" w:ascii="仿宋" w:hAnsi="仿宋" w:eastAsia="仿宋" w:cs="仿宋"/>
          <w:color w:val="auto"/>
          <w:sz w:val="24"/>
          <w:highlight w:val="none"/>
        </w:rPr>
      </w:pPr>
    </w:p>
    <w:p w14:paraId="1C9D7740">
      <w:pPr>
        <w:rPr>
          <w:rFonts w:hint="eastAsia" w:ascii="仿宋" w:hAnsi="仿宋" w:eastAsia="仿宋" w:cs="仿宋"/>
          <w:b/>
          <w:color w:val="auto"/>
          <w:sz w:val="36"/>
          <w:szCs w:val="20"/>
          <w:highlight w:val="none"/>
        </w:rPr>
      </w:pPr>
    </w:p>
    <w:p w14:paraId="5665EA92">
      <w:pPr>
        <w:pStyle w:val="23"/>
        <w:rPr>
          <w:rFonts w:hint="eastAsia"/>
        </w:rPr>
      </w:pPr>
    </w:p>
    <w:p w14:paraId="5F30D4DC">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6"/>
      <w:r>
        <w:rPr>
          <w:rFonts w:hint="eastAsia" w:ascii="仿宋" w:hAnsi="仿宋" w:eastAsia="仿宋" w:cs="仿宋"/>
          <w:b/>
          <w:color w:val="auto"/>
          <w:sz w:val="36"/>
          <w:szCs w:val="20"/>
          <w:highlight w:val="none"/>
        </w:rPr>
        <w:t xml:space="preserve"> </w:t>
      </w:r>
      <w:bookmarkEnd w:id="397"/>
      <w:r>
        <w:rPr>
          <w:rFonts w:hint="eastAsia" w:ascii="仿宋" w:hAnsi="仿宋" w:eastAsia="仿宋" w:cs="仿宋"/>
          <w:b/>
          <w:color w:val="auto"/>
          <w:sz w:val="36"/>
          <w:szCs w:val="20"/>
          <w:highlight w:val="none"/>
        </w:rPr>
        <w:t>应提交的有关格式范例</w:t>
      </w:r>
    </w:p>
    <w:p w14:paraId="5458760F">
      <w:pPr>
        <w:spacing w:line="360" w:lineRule="auto"/>
        <w:jc w:val="center"/>
        <w:outlineLvl w:val="0"/>
        <w:rPr>
          <w:rFonts w:hint="eastAsia" w:ascii="仿宋" w:hAnsi="仿宋" w:eastAsia="仿宋" w:cs="仿宋"/>
          <w:b/>
          <w:color w:val="auto"/>
          <w:kern w:val="0"/>
          <w:sz w:val="36"/>
          <w:szCs w:val="36"/>
          <w:highlight w:val="none"/>
        </w:rPr>
      </w:pPr>
    </w:p>
    <w:p w14:paraId="72EBEEFA">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0D0571E5">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187950B4">
      <w:pPr>
        <w:spacing w:line="360" w:lineRule="auto"/>
        <w:jc w:val="center"/>
        <w:outlineLvl w:val="0"/>
        <w:rPr>
          <w:rFonts w:hint="eastAsia" w:ascii="仿宋" w:hAnsi="仿宋" w:eastAsia="仿宋" w:cs="仿宋"/>
          <w:b/>
          <w:color w:val="auto"/>
          <w:kern w:val="0"/>
          <w:sz w:val="36"/>
          <w:szCs w:val="36"/>
          <w:highlight w:val="none"/>
        </w:rPr>
      </w:pPr>
    </w:p>
    <w:p w14:paraId="64B2C9C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172B9FDE">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264F99E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573A995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7EB6127A">
      <w:pPr>
        <w:snapToGrid w:val="0"/>
        <w:spacing w:line="360" w:lineRule="auto"/>
        <w:ind w:firstLine="480" w:firstLineChars="200"/>
        <w:rPr>
          <w:rFonts w:hint="eastAsia" w:ascii="仿宋" w:hAnsi="仿宋" w:eastAsia="仿宋" w:cs="仿宋"/>
          <w:color w:val="auto"/>
          <w:sz w:val="24"/>
          <w:highlight w:val="none"/>
        </w:rPr>
      </w:pPr>
    </w:p>
    <w:p w14:paraId="5D7C83D8">
      <w:pPr>
        <w:spacing w:line="360" w:lineRule="auto"/>
        <w:ind w:firstLine="480" w:firstLineChars="200"/>
        <w:rPr>
          <w:rFonts w:hint="eastAsia" w:ascii="仿宋" w:hAnsi="仿宋" w:eastAsia="仿宋" w:cs="仿宋"/>
          <w:color w:val="auto"/>
          <w:sz w:val="24"/>
          <w:highlight w:val="none"/>
        </w:rPr>
      </w:pPr>
    </w:p>
    <w:p w14:paraId="36B3FF27">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1291426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7D94D65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24FCB57A">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290A9EE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21CA2DB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5735218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09E678B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1A2EE76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5AD740B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71E93EB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0E5B82B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4E1C794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53D06016">
      <w:pPr>
        <w:snapToGrid w:val="0"/>
        <w:spacing w:line="360" w:lineRule="auto"/>
        <w:ind w:right="480"/>
        <w:jc w:val="center"/>
        <w:rPr>
          <w:rFonts w:hint="eastAsia" w:ascii="仿宋" w:hAnsi="仿宋" w:eastAsia="仿宋" w:cs="仿宋"/>
          <w:b/>
          <w:color w:val="auto"/>
          <w:kern w:val="0"/>
          <w:sz w:val="32"/>
          <w:szCs w:val="32"/>
          <w:highlight w:val="none"/>
        </w:rPr>
      </w:pPr>
    </w:p>
    <w:p w14:paraId="596ABC37">
      <w:pPr>
        <w:snapToGrid w:val="0"/>
        <w:spacing w:line="360" w:lineRule="auto"/>
        <w:ind w:right="480"/>
        <w:jc w:val="center"/>
        <w:rPr>
          <w:rFonts w:hint="eastAsia" w:ascii="仿宋" w:hAnsi="仿宋" w:eastAsia="仿宋" w:cs="仿宋"/>
          <w:b/>
          <w:color w:val="auto"/>
          <w:kern w:val="0"/>
          <w:sz w:val="32"/>
          <w:szCs w:val="32"/>
          <w:highlight w:val="none"/>
        </w:rPr>
      </w:pPr>
    </w:p>
    <w:p w14:paraId="25E2531B">
      <w:pPr>
        <w:snapToGrid w:val="0"/>
        <w:spacing w:line="360" w:lineRule="auto"/>
        <w:ind w:right="480"/>
        <w:jc w:val="center"/>
        <w:rPr>
          <w:rFonts w:hint="eastAsia" w:ascii="仿宋" w:hAnsi="仿宋" w:eastAsia="仿宋" w:cs="仿宋"/>
          <w:b/>
          <w:color w:val="auto"/>
          <w:kern w:val="0"/>
          <w:sz w:val="32"/>
          <w:szCs w:val="32"/>
          <w:highlight w:val="none"/>
        </w:rPr>
      </w:pPr>
    </w:p>
    <w:p w14:paraId="3D869CA3">
      <w:pPr>
        <w:rPr>
          <w:rFonts w:hint="eastAsia" w:ascii="仿宋" w:hAnsi="仿宋" w:eastAsia="仿宋" w:cs="仿宋"/>
          <w:color w:val="auto"/>
          <w:highlight w:val="none"/>
        </w:rPr>
      </w:pPr>
    </w:p>
    <w:p w14:paraId="1165296D">
      <w:pPr>
        <w:snapToGrid w:val="0"/>
        <w:spacing w:line="360" w:lineRule="auto"/>
        <w:ind w:right="480"/>
        <w:jc w:val="center"/>
        <w:rPr>
          <w:rFonts w:hint="eastAsia" w:ascii="仿宋" w:hAnsi="仿宋" w:eastAsia="仿宋" w:cs="仿宋"/>
          <w:b/>
          <w:color w:val="auto"/>
          <w:kern w:val="0"/>
          <w:sz w:val="32"/>
          <w:szCs w:val="32"/>
          <w:highlight w:val="none"/>
        </w:rPr>
      </w:pPr>
    </w:p>
    <w:p w14:paraId="1EDB7BF2">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7A0A3F4">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39B4CA7B">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hint="eastAsia" w:ascii="仿宋" w:hAnsi="仿宋" w:eastAsia="仿宋" w:cs="仿宋"/>
          <w:b/>
          <w:color w:val="auto"/>
          <w:kern w:val="0"/>
          <w:sz w:val="32"/>
          <w:szCs w:val="32"/>
          <w:highlight w:val="none"/>
        </w:rPr>
      </w:pPr>
    </w:p>
    <w:p w14:paraId="4A04CF9F">
      <w:pPr>
        <w:snapToGrid w:val="0"/>
        <w:spacing w:line="360" w:lineRule="auto"/>
        <w:ind w:right="480"/>
        <w:jc w:val="center"/>
        <w:rPr>
          <w:rFonts w:hint="eastAsia" w:ascii="仿宋" w:hAnsi="仿宋" w:eastAsia="仿宋" w:cs="仿宋"/>
          <w:b/>
          <w:color w:val="auto"/>
          <w:kern w:val="0"/>
          <w:sz w:val="32"/>
          <w:szCs w:val="32"/>
          <w:highlight w:val="none"/>
        </w:rPr>
      </w:pPr>
    </w:p>
    <w:p w14:paraId="261B7AD6">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015717A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1765B399">
      <w:pPr>
        <w:widowControl/>
        <w:spacing w:line="360" w:lineRule="auto"/>
        <w:ind w:firstLine="480"/>
        <w:jc w:val="left"/>
        <w:rPr>
          <w:rFonts w:hint="eastAsia" w:ascii="仿宋" w:hAnsi="仿宋" w:eastAsia="仿宋" w:cs="仿宋"/>
          <w:color w:val="auto"/>
          <w:sz w:val="24"/>
          <w:highlight w:val="none"/>
        </w:rPr>
      </w:pPr>
    </w:p>
    <w:p w14:paraId="678AF036">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06ACD379">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34E24821">
      <w:pPr>
        <w:widowControl/>
        <w:spacing w:line="360" w:lineRule="auto"/>
        <w:ind w:left="150"/>
        <w:jc w:val="center"/>
        <w:rPr>
          <w:rFonts w:hint="eastAsia" w:ascii="仿宋" w:hAnsi="仿宋" w:eastAsia="仿宋" w:cs="仿宋"/>
          <w:b/>
          <w:color w:val="auto"/>
          <w:kern w:val="0"/>
          <w:sz w:val="32"/>
          <w:szCs w:val="32"/>
          <w:highlight w:val="none"/>
        </w:rPr>
      </w:pPr>
    </w:p>
    <w:p w14:paraId="4E66AFB9">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348FD9D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56E3344A">
      <w:pPr>
        <w:rPr>
          <w:rFonts w:hint="eastAsia" w:ascii="仿宋" w:hAnsi="仿宋" w:eastAsia="仿宋" w:cs="仿宋"/>
          <w:color w:val="auto"/>
          <w:highlight w:val="none"/>
        </w:rPr>
      </w:pPr>
    </w:p>
    <w:p w14:paraId="73907B95">
      <w:pPr>
        <w:widowControl/>
        <w:adjustRightInd/>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3C0B4F94">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3A7CF41B">
      <w:pPr>
        <w:spacing w:line="360" w:lineRule="auto"/>
        <w:jc w:val="center"/>
        <w:outlineLvl w:val="0"/>
        <w:rPr>
          <w:rFonts w:hint="eastAsia" w:ascii="仿宋" w:hAnsi="仿宋" w:eastAsia="仿宋" w:cs="仿宋"/>
          <w:b/>
          <w:color w:val="auto"/>
          <w:kern w:val="0"/>
          <w:sz w:val="24"/>
          <w:highlight w:val="none"/>
        </w:rPr>
      </w:pPr>
    </w:p>
    <w:p w14:paraId="64FC89D4">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12DFB595">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69D7F006">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6F6582FD">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4F0A00D1">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7BAD3BDB">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2B50A665">
      <w:pPr>
        <w:snapToGrid w:val="0"/>
        <w:spacing w:line="360" w:lineRule="auto"/>
        <w:jc w:val="center"/>
        <w:rPr>
          <w:rFonts w:hint="eastAsia" w:ascii="仿宋" w:hAnsi="仿宋" w:eastAsia="仿宋" w:cs="仿宋"/>
          <w:b/>
          <w:color w:val="auto"/>
          <w:kern w:val="0"/>
          <w:sz w:val="32"/>
          <w:szCs w:val="32"/>
          <w:highlight w:val="none"/>
          <w:lang w:val="zh-CN"/>
        </w:rPr>
      </w:pPr>
    </w:p>
    <w:p w14:paraId="700BCA6D">
      <w:pPr>
        <w:snapToGrid w:val="0"/>
        <w:spacing w:line="360" w:lineRule="auto"/>
        <w:jc w:val="center"/>
        <w:rPr>
          <w:rFonts w:hint="eastAsia" w:ascii="仿宋" w:hAnsi="仿宋" w:eastAsia="仿宋" w:cs="仿宋"/>
          <w:b/>
          <w:color w:val="auto"/>
          <w:kern w:val="0"/>
          <w:sz w:val="32"/>
          <w:szCs w:val="32"/>
          <w:highlight w:val="none"/>
          <w:lang w:val="zh-CN"/>
        </w:rPr>
      </w:pPr>
    </w:p>
    <w:p w14:paraId="4CABD69D">
      <w:pPr>
        <w:snapToGrid w:val="0"/>
        <w:spacing w:line="360" w:lineRule="auto"/>
        <w:jc w:val="center"/>
        <w:rPr>
          <w:rFonts w:hint="eastAsia" w:ascii="仿宋" w:hAnsi="仿宋" w:eastAsia="仿宋" w:cs="仿宋"/>
          <w:b/>
          <w:color w:val="auto"/>
          <w:kern w:val="0"/>
          <w:sz w:val="32"/>
          <w:szCs w:val="32"/>
          <w:highlight w:val="none"/>
          <w:lang w:val="zh-CN"/>
        </w:rPr>
      </w:pPr>
    </w:p>
    <w:p w14:paraId="69DEAC0D">
      <w:pPr>
        <w:snapToGrid w:val="0"/>
        <w:spacing w:line="360" w:lineRule="auto"/>
        <w:jc w:val="center"/>
        <w:rPr>
          <w:rFonts w:hint="eastAsia" w:ascii="仿宋" w:hAnsi="仿宋" w:eastAsia="仿宋" w:cs="仿宋"/>
          <w:b/>
          <w:color w:val="auto"/>
          <w:kern w:val="0"/>
          <w:sz w:val="32"/>
          <w:szCs w:val="32"/>
          <w:highlight w:val="none"/>
          <w:lang w:val="zh-CN"/>
        </w:rPr>
      </w:pPr>
    </w:p>
    <w:p w14:paraId="6EE7BD80">
      <w:pPr>
        <w:snapToGrid w:val="0"/>
        <w:spacing w:line="360" w:lineRule="auto"/>
        <w:jc w:val="center"/>
        <w:rPr>
          <w:rFonts w:hint="eastAsia" w:ascii="仿宋" w:hAnsi="仿宋" w:eastAsia="仿宋" w:cs="仿宋"/>
          <w:b/>
          <w:color w:val="auto"/>
          <w:kern w:val="0"/>
          <w:sz w:val="32"/>
          <w:szCs w:val="32"/>
          <w:highlight w:val="none"/>
          <w:lang w:val="zh-CN"/>
        </w:rPr>
      </w:pPr>
    </w:p>
    <w:p w14:paraId="48640FED">
      <w:pPr>
        <w:snapToGrid w:val="0"/>
        <w:spacing w:line="360" w:lineRule="auto"/>
        <w:jc w:val="center"/>
        <w:rPr>
          <w:rFonts w:hint="eastAsia" w:ascii="仿宋" w:hAnsi="仿宋" w:eastAsia="仿宋" w:cs="仿宋"/>
          <w:b/>
          <w:color w:val="auto"/>
          <w:kern w:val="0"/>
          <w:sz w:val="32"/>
          <w:szCs w:val="32"/>
          <w:highlight w:val="none"/>
          <w:lang w:val="zh-CN"/>
        </w:rPr>
      </w:pPr>
    </w:p>
    <w:p w14:paraId="7A0083EF">
      <w:pPr>
        <w:snapToGrid w:val="0"/>
        <w:spacing w:line="360" w:lineRule="auto"/>
        <w:jc w:val="center"/>
        <w:rPr>
          <w:rFonts w:hint="eastAsia" w:ascii="仿宋" w:hAnsi="仿宋" w:eastAsia="仿宋" w:cs="仿宋"/>
          <w:b/>
          <w:color w:val="auto"/>
          <w:kern w:val="0"/>
          <w:sz w:val="32"/>
          <w:szCs w:val="32"/>
          <w:highlight w:val="none"/>
          <w:lang w:val="zh-CN"/>
        </w:rPr>
      </w:pPr>
    </w:p>
    <w:p w14:paraId="1F5A04FD">
      <w:pPr>
        <w:snapToGrid w:val="0"/>
        <w:spacing w:line="360" w:lineRule="auto"/>
        <w:jc w:val="center"/>
        <w:rPr>
          <w:rFonts w:hint="eastAsia" w:ascii="仿宋" w:hAnsi="仿宋" w:eastAsia="仿宋" w:cs="仿宋"/>
          <w:b/>
          <w:color w:val="auto"/>
          <w:kern w:val="0"/>
          <w:sz w:val="32"/>
          <w:szCs w:val="32"/>
          <w:highlight w:val="none"/>
          <w:lang w:val="zh-CN"/>
        </w:rPr>
      </w:pPr>
    </w:p>
    <w:p w14:paraId="301C9372">
      <w:pPr>
        <w:snapToGrid w:val="0"/>
        <w:spacing w:line="360" w:lineRule="auto"/>
        <w:jc w:val="center"/>
        <w:rPr>
          <w:rFonts w:hint="eastAsia" w:ascii="仿宋" w:hAnsi="仿宋" w:eastAsia="仿宋" w:cs="仿宋"/>
          <w:b/>
          <w:color w:val="auto"/>
          <w:kern w:val="0"/>
          <w:sz w:val="32"/>
          <w:szCs w:val="32"/>
          <w:highlight w:val="none"/>
          <w:lang w:val="zh-CN"/>
        </w:rPr>
      </w:pPr>
    </w:p>
    <w:p w14:paraId="49FA761E">
      <w:pPr>
        <w:snapToGrid w:val="0"/>
        <w:spacing w:line="360" w:lineRule="auto"/>
        <w:jc w:val="center"/>
        <w:rPr>
          <w:rFonts w:hint="eastAsia" w:ascii="仿宋" w:hAnsi="仿宋" w:eastAsia="仿宋" w:cs="仿宋"/>
          <w:b/>
          <w:color w:val="auto"/>
          <w:kern w:val="0"/>
          <w:sz w:val="32"/>
          <w:szCs w:val="32"/>
          <w:highlight w:val="none"/>
          <w:lang w:val="zh-CN"/>
        </w:rPr>
      </w:pPr>
    </w:p>
    <w:p w14:paraId="0CE6BE45">
      <w:pPr>
        <w:snapToGrid w:val="0"/>
        <w:spacing w:line="360" w:lineRule="auto"/>
        <w:jc w:val="center"/>
        <w:rPr>
          <w:rFonts w:hint="eastAsia" w:ascii="仿宋" w:hAnsi="仿宋" w:eastAsia="仿宋" w:cs="仿宋"/>
          <w:b/>
          <w:color w:val="auto"/>
          <w:kern w:val="0"/>
          <w:sz w:val="32"/>
          <w:szCs w:val="32"/>
          <w:highlight w:val="none"/>
          <w:lang w:val="zh-CN"/>
        </w:rPr>
      </w:pPr>
    </w:p>
    <w:p w14:paraId="0B232C6D">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A8940F2">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38F2DFB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3AB3C4C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468B708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3E0FDCB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39DD7A5E">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734B9DC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48B56DA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512" w:name="_Hlk101257010"/>
      <w:r>
        <w:rPr>
          <w:rFonts w:hint="eastAsia" w:ascii="仿宋" w:hAnsi="仿宋" w:eastAsia="仿宋" w:cs="仿宋"/>
          <w:color w:val="auto"/>
          <w:sz w:val="24"/>
          <w:highlight w:val="none"/>
        </w:rPr>
        <w:t>（如果有)</w:t>
      </w:r>
      <w:bookmarkEnd w:id="512"/>
      <w:r>
        <w:rPr>
          <w:rFonts w:hint="eastAsia" w:ascii="仿宋" w:hAnsi="仿宋" w:eastAsia="仿宋" w:cs="仿宋"/>
          <w:snapToGrid w:val="0"/>
          <w:color w:val="auto"/>
          <w:kern w:val="28"/>
          <w:sz w:val="24"/>
          <w:szCs w:val="20"/>
          <w:highlight w:val="none"/>
        </w:rPr>
        <w:t>；</w:t>
      </w:r>
    </w:p>
    <w:p w14:paraId="2B4EC0C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2891C29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33E6C08F">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5B44AF5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3EB71FB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37A344C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3ACC02E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796B43D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0AC527F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6478F24A">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7C5C4887">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7D30EA5B">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5FBC8E2F">
      <w:pPr>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3197EB3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1ECB695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123A3B99">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47F77DB9">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17CA3A24">
      <w:pPr>
        <w:widowControl w:val="0"/>
        <w:numPr>
          <w:ilvl w:val="0"/>
          <w:numId w:val="0"/>
        </w:numPr>
        <w:ind w:firstLine="480" w:firstLineChars="200"/>
        <w:jc w:val="both"/>
        <w:rPr>
          <w:rFonts w:hint="eastAsia" w:ascii="仿宋" w:hAnsi="仿宋" w:eastAsia="仿宋" w:cs="仿宋"/>
          <w:i w:val="0"/>
          <w:caps w:val="0"/>
          <w:color w:val="auto"/>
          <w:spacing w:val="0"/>
          <w:sz w:val="24"/>
          <w:szCs w:val="24"/>
          <w:highlight w:val="none"/>
          <w:shd w:val="clear" w:color="auto" w:fill="FFFFFF"/>
          <w:lang w:val="en-US" w:eastAsia="zh-CN"/>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对</w:t>
      </w:r>
      <w:r>
        <w:rPr>
          <w:rFonts w:hint="eastAsia" w:ascii="仿宋" w:hAnsi="仿宋" w:eastAsia="仿宋" w:cs="仿宋"/>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EAAA2F7">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62C20BF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625A5284">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38661905">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52E17B7">
      <w:pPr>
        <w:snapToGrid w:val="0"/>
        <w:spacing w:line="360" w:lineRule="auto"/>
        <w:jc w:val="center"/>
        <w:rPr>
          <w:rFonts w:hint="eastAsia" w:ascii="仿宋" w:hAnsi="仿宋" w:eastAsia="仿宋" w:cs="仿宋"/>
          <w:b/>
          <w:color w:val="auto"/>
          <w:kern w:val="0"/>
          <w:sz w:val="32"/>
          <w:szCs w:val="32"/>
          <w:highlight w:val="none"/>
        </w:rPr>
      </w:pPr>
    </w:p>
    <w:p w14:paraId="742E3BA8">
      <w:pPr>
        <w:snapToGrid w:val="0"/>
        <w:spacing w:line="360" w:lineRule="auto"/>
        <w:rPr>
          <w:rFonts w:hint="eastAsia" w:ascii="仿宋" w:hAnsi="仿宋" w:eastAsia="仿宋" w:cs="仿宋"/>
          <w:color w:val="auto"/>
          <w:sz w:val="24"/>
          <w:highlight w:val="none"/>
        </w:rPr>
      </w:pPr>
    </w:p>
    <w:p w14:paraId="2AFDD200">
      <w:pPr>
        <w:jc w:val="both"/>
        <w:rPr>
          <w:rFonts w:hint="eastAsia" w:ascii="仿宋" w:hAnsi="仿宋" w:eastAsia="仿宋" w:cs="仿宋"/>
          <w:b/>
          <w:color w:val="auto"/>
          <w:kern w:val="0"/>
          <w:sz w:val="32"/>
          <w:szCs w:val="32"/>
          <w:highlight w:val="none"/>
        </w:rPr>
      </w:pPr>
    </w:p>
    <w:p w14:paraId="2D183AA5">
      <w:pPr>
        <w:jc w:val="center"/>
        <w:rPr>
          <w:rFonts w:hint="eastAsia" w:ascii="仿宋" w:hAnsi="仿宋" w:eastAsia="仿宋" w:cs="仿宋"/>
          <w:b/>
          <w:color w:val="auto"/>
          <w:kern w:val="0"/>
          <w:sz w:val="32"/>
          <w:szCs w:val="32"/>
          <w:highlight w:val="none"/>
        </w:rPr>
      </w:pPr>
    </w:p>
    <w:p w14:paraId="5D8BB10A">
      <w:pPr>
        <w:jc w:val="center"/>
        <w:rPr>
          <w:rFonts w:hint="eastAsia" w:ascii="仿宋" w:hAnsi="仿宋" w:eastAsia="仿宋" w:cs="仿宋"/>
          <w:b/>
          <w:color w:val="auto"/>
          <w:kern w:val="0"/>
          <w:sz w:val="32"/>
          <w:szCs w:val="32"/>
          <w:highlight w:val="none"/>
        </w:rPr>
      </w:pPr>
    </w:p>
    <w:p w14:paraId="78197527">
      <w:pPr>
        <w:jc w:val="center"/>
        <w:rPr>
          <w:rFonts w:hint="eastAsia" w:ascii="仿宋" w:hAnsi="仿宋" w:eastAsia="仿宋" w:cs="仿宋"/>
          <w:b/>
          <w:color w:val="auto"/>
          <w:kern w:val="0"/>
          <w:sz w:val="32"/>
          <w:szCs w:val="32"/>
          <w:highlight w:val="none"/>
        </w:rPr>
      </w:pPr>
    </w:p>
    <w:p w14:paraId="7CBF5A00">
      <w:pPr>
        <w:jc w:val="center"/>
        <w:rPr>
          <w:rFonts w:hint="eastAsia" w:ascii="仿宋" w:hAnsi="仿宋" w:eastAsia="仿宋" w:cs="仿宋"/>
          <w:b/>
          <w:color w:val="auto"/>
          <w:kern w:val="0"/>
          <w:sz w:val="32"/>
          <w:szCs w:val="32"/>
          <w:highlight w:val="none"/>
        </w:rPr>
      </w:pPr>
    </w:p>
    <w:p w14:paraId="2221EB27">
      <w:pPr>
        <w:jc w:val="center"/>
        <w:rPr>
          <w:rFonts w:hint="eastAsia" w:ascii="仿宋" w:hAnsi="仿宋" w:eastAsia="仿宋" w:cs="仿宋"/>
          <w:b/>
          <w:color w:val="auto"/>
          <w:kern w:val="0"/>
          <w:sz w:val="32"/>
          <w:szCs w:val="32"/>
          <w:highlight w:val="none"/>
        </w:rPr>
      </w:pPr>
    </w:p>
    <w:p w14:paraId="4C1F8EAB">
      <w:pPr>
        <w:jc w:val="center"/>
        <w:rPr>
          <w:rFonts w:hint="eastAsia" w:ascii="仿宋" w:hAnsi="仿宋" w:eastAsia="仿宋" w:cs="仿宋"/>
          <w:b/>
          <w:color w:val="auto"/>
          <w:kern w:val="0"/>
          <w:sz w:val="32"/>
          <w:szCs w:val="32"/>
          <w:highlight w:val="none"/>
        </w:rPr>
      </w:pPr>
    </w:p>
    <w:p w14:paraId="1D30A3E4">
      <w:pPr>
        <w:jc w:val="center"/>
        <w:rPr>
          <w:rFonts w:hint="eastAsia" w:ascii="仿宋" w:hAnsi="仿宋" w:eastAsia="仿宋" w:cs="仿宋"/>
          <w:b/>
          <w:color w:val="auto"/>
          <w:kern w:val="0"/>
          <w:sz w:val="32"/>
          <w:szCs w:val="32"/>
          <w:highlight w:val="none"/>
        </w:rPr>
      </w:pPr>
    </w:p>
    <w:p w14:paraId="1CD0E6AD">
      <w:pPr>
        <w:jc w:val="center"/>
        <w:rPr>
          <w:rFonts w:hint="eastAsia" w:ascii="仿宋" w:hAnsi="仿宋" w:eastAsia="仿宋" w:cs="仿宋"/>
          <w:b/>
          <w:color w:val="auto"/>
          <w:kern w:val="0"/>
          <w:sz w:val="32"/>
          <w:szCs w:val="32"/>
          <w:highlight w:val="none"/>
        </w:rPr>
      </w:pPr>
    </w:p>
    <w:p w14:paraId="25EA4943">
      <w:pPr>
        <w:jc w:val="center"/>
        <w:rPr>
          <w:rFonts w:hint="eastAsia" w:ascii="仿宋" w:hAnsi="仿宋" w:eastAsia="仿宋" w:cs="仿宋"/>
          <w:b/>
          <w:color w:val="auto"/>
          <w:kern w:val="0"/>
          <w:sz w:val="32"/>
          <w:szCs w:val="32"/>
          <w:highlight w:val="none"/>
        </w:rPr>
      </w:pPr>
    </w:p>
    <w:p w14:paraId="4435A295">
      <w:pPr>
        <w:jc w:val="center"/>
        <w:rPr>
          <w:rFonts w:hint="eastAsia" w:ascii="仿宋" w:hAnsi="仿宋" w:eastAsia="仿宋" w:cs="仿宋"/>
          <w:b/>
          <w:color w:val="auto"/>
          <w:kern w:val="0"/>
          <w:sz w:val="32"/>
          <w:szCs w:val="32"/>
          <w:highlight w:val="none"/>
        </w:rPr>
      </w:pPr>
    </w:p>
    <w:p w14:paraId="09EA2B9B">
      <w:pPr>
        <w:jc w:val="center"/>
        <w:rPr>
          <w:rFonts w:hint="eastAsia" w:ascii="仿宋" w:hAnsi="仿宋" w:eastAsia="仿宋" w:cs="仿宋"/>
          <w:b/>
          <w:color w:val="auto"/>
          <w:kern w:val="0"/>
          <w:sz w:val="32"/>
          <w:szCs w:val="32"/>
          <w:highlight w:val="none"/>
        </w:rPr>
      </w:pPr>
    </w:p>
    <w:p w14:paraId="187DA1AB">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42D0F7D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11AA68CA">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16D5DB2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0E4092CD">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70D0523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47BB19B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0D3BE53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33312E0A">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1AA9871A">
      <w:pPr>
        <w:snapToGrid w:val="0"/>
        <w:spacing w:line="360" w:lineRule="auto"/>
        <w:rPr>
          <w:rFonts w:hint="eastAsia" w:ascii="仿宋" w:hAnsi="仿宋" w:eastAsia="仿宋" w:cs="仿宋"/>
          <w:color w:val="auto"/>
          <w:sz w:val="24"/>
          <w:highlight w:val="none"/>
        </w:rPr>
      </w:pPr>
    </w:p>
    <w:p w14:paraId="51D753C0">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2CC0559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0543E492">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3ECCCDB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12A1662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33C79970">
      <w:pPr>
        <w:jc w:val="center"/>
        <w:rPr>
          <w:rFonts w:hint="eastAsia" w:ascii="仿宋" w:hAnsi="仿宋" w:eastAsia="仿宋" w:cs="仿宋"/>
          <w:b/>
          <w:color w:val="auto"/>
          <w:kern w:val="0"/>
          <w:sz w:val="32"/>
          <w:szCs w:val="32"/>
          <w:highlight w:val="none"/>
        </w:rPr>
      </w:pPr>
    </w:p>
    <w:p w14:paraId="0E921CCB">
      <w:pPr>
        <w:rPr>
          <w:rFonts w:hint="eastAsia" w:ascii="仿宋" w:hAnsi="仿宋" w:eastAsia="仿宋" w:cs="仿宋"/>
          <w:color w:val="auto"/>
          <w:highlight w:val="none"/>
        </w:rPr>
      </w:pPr>
    </w:p>
    <w:p w14:paraId="5FBFFFF0">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B8359CD">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0873469">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1640882F">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CC1280D">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12407765">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1905085C">
      <w:pPr>
        <w:pStyle w:val="149"/>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149"/>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746311E0">
            <w:pPr>
              <w:pStyle w:val="149"/>
              <w:adjustRightInd w:val="0"/>
              <w:spacing w:line="360" w:lineRule="auto"/>
              <w:rPr>
                <w:rFonts w:hint="eastAsia" w:ascii="仿宋" w:hAnsi="仿宋" w:eastAsia="仿宋" w:cs="仿宋"/>
                <w:bCs/>
                <w:color w:val="auto"/>
                <w:sz w:val="24"/>
                <w:highlight w:val="none"/>
              </w:rPr>
            </w:pPr>
          </w:p>
        </w:tc>
      </w:tr>
    </w:tbl>
    <w:p w14:paraId="7DC55081">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52E22140">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340906C5">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491D09B">
      <w:pPr>
        <w:jc w:val="center"/>
        <w:rPr>
          <w:rFonts w:hint="eastAsia" w:ascii="仿宋" w:hAnsi="仿宋" w:eastAsia="仿宋" w:cs="仿宋"/>
          <w:b/>
          <w:color w:val="auto"/>
          <w:kern w:val="0"/>
          <w:sz w:val="32"/>
          <w:szCs w:val="32"/>
          <w:highlight w:val="none"/>
        </w:rPr>
      </w:pPr>
    </w:p>
    <w:p w14:paraId="0301EFC9">
      <w:pPr>
        <w:jc w:val="center"/>
        <w:rPr>
          <w:rFonts w:hint="eastAsia" w:ascii="仿宋" w:hAnsi="仿宋" w:eastAsia="仿宋" w:cs="仿宋"/>
          <w:b/>
          <w:color w:val="auto"/>
          <w:kern w:val="0"/>
          <w:sz w:val="32"/>
          <w:szCs w:val="32"/>
          <w:highlight w:val="none"/>
        </w:rPr>
      </w:pPr>
    </w:p>
    <w:p w14:paraId="141B6848">
      <w:pPr>
        <w:jc w:val="center"/>
        <w:rPr>
          <w:rFonts w:hint="eastAsia" w:ascii="仿宋" w:hAnsi="仿宋" w:eastAsia="仿宋" w:cs="仿宋"/>
          <w:b/>
          <w:color w:val="auto"/>
          <w:kern w:val="0"/>
          <w:sz w:val="32"/>
          <w:szCs w:val="32"/>
          <w:highlight w:val="none"/>
        </w:rPr>
      </w:pPr>
    </w:p>
    <w:p w14:paraId="535AF7D7">
      <w:pPr>
        <w:jc w:val="center"/>
        <w:rPr>
          <w:rFonts w:hint="eastAsia" w:ascii="仿宋" w:hAnsi="仿宋" w:eastAsia="仿宋" w:cs="仿宋"/>
          <w:b/>
          <w:color w:val="auto"/>
          <w:kern w:val="0"/>
          <w:sz w:val="32"/>
          <w:szCs w:val="32"/>
          <w:highlight w:val="none"/>
        </w:rPr>
      </w:pPr>
    </w:p>
    <w:p w14:paraId="0A4E2064">
      <w:pPr>
        <w:jc w:val="center"/>
        <w:rPr>
          <w:rFonts w:hint="eastAsia" w:ascii="仿宋" w:hAnsi="仿宋" w:eastAsia="仿宋" w:cs="仿宋"/>
          <w:b/>
          <w:color w:val="auto"/>
          <w:kern w:val="0"/>
          <w:sz w:val="32"/>
          <w:szCs w:val="32"/>
          <w:highlight w:val="none"/>
        </w:rPr>
      </w:pPr>
    </w:p>
    <w:p w14:paraId="0AF779EA">
      <w:pPr>
        <w:jc w:val="center"/>
        <w:rPr>
          <w:rFonts w:hint="eastAsia" w:ascii="仿宋" w:hAnsi="仿宋" w:eastAsia="仿宋" w:cs="仿宋"/>
          <w:b/>
          <w:color w:val="auto"/>
          <w:kern w:val="0"/>
          <w:sz w:val="32"/>
          <w:szCs w:val="32"/>
          <w:highlight w:val="none"/>
        </w:rPr>
      </w:pPr>
    </w:p>
    <w:p w14:paraId="5803F886">
      <w:pPr>
        <w:jc w:val="center"/>
        <w:rPr>
          <w:rFonts w:hint="eastAsia" w:ascii="仿宋" w:hAnsi="仿宋" w:eastAsia="仿宋" w:cs="仿宋"/>
          <w:b/>
          <w:color w:val="auto"/>
          <w:kern w:val="0"/>
          <w:sz w:val="32"/>
          <w:szCs w:val="32"/>
          <w:highlight w:val="none"/>
        </w:rPr>
      </w:pPr>
    </w:p>
    <w:p w14:paraId="35CD2C34">
      <w:pPr>
        <w:jc w:val="center"/>
        <w:rPr>
          <w:rFonts w:hint="eastAsia" w:ascii="仿宋" w:hAnsi="仿宋" w:eastAsia="仿宋" w:cs="仿宋"/>
          <w:b/>
          <w:color w:val="auto"/>
          <w:kern w:val="0"/>
          <w:sz w:val="32"/>
          <w:szCs w:val="32"/>
          <w:highlight w:val="none"/>
        </w:rPr>
      </w:pPr>
    </w:p>
    <w:p w14:paraId="5DB91F40">
      <w:pPr>
        <w:jc w:val="center"/>
        <w:rPr>
          <w:rFonts w:hint="eastAsia" w:ascii="仿宋" w:hAnsi="仿宋" w:eastAsia="仿宋" w:cs="仿宋"/>
          <w:b/>
          <w:color w:val="auto"/>
          <w:kern w:val="0"/>
          <w:sz w:val="32"/>
          <w:szCs w:val="32"/>
          <w:highlight w:val="none"/>
        </w:rPr>
      </w:pPr>
    </w:p>
    <w:p w14:paraId="26A791CB">
      <w:pPr>
        <w:jc w:val="center"/>
        <w:rPr>
          <w:rFonts w:hint="eastAsia" w:ascii="仿宋" w:hAnsi="仿宋" w:eastAsia="仿宋" w:cs="仿宋"/>
          <w:b/>
          <w:color w:val="auto"/>
          <w:kern w:val="0"/>
          <w:sz w:val="32"/>
          <w:szCs w:val="32"/>
          <w:highlight w:val="none"/>
        </w:rPr>
      </w:pPr>
    </w:p>
    <w:p w14:paraId="27658365">
      <w:pPr>
        <w:snapToGrid w:val="0"/>
        <w:spacing w:line="360" w:lineRule="auto"/>
        <w:ind w:right="480"/>
        <w:rPr>
          <w:rFonts w:hint="eastAsia" w:ascii="仿宋" w:hAnsi="仿宋" w:eastAsia="仿宋" w:cs="仿宋"/>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BEE4E76">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4DF96877">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61D607AE">
      <w:pPr>
        <w:snapToGrid w:val="0"/>
        <w:spacing w:line="360" w:lineRule="auto"/>
        <w:rPr>
          <w:rFonts w:hint="eastAsia" w:ascii="仿宋" w:hAnsi="仿宋" w:eastAsia="仿宋" w:cs="仿宋"/>
          <w:color w:val="auto"/>
          <w:kern w:val="0"/>
          <w:sz w:val="24"/>
          <w:highlight w:val="none"/>
        </w:rPr>
      </w:pPr>
    </w:p>
    <w:p w14:paraId="29B4F5CA">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69A1ED46">
      <w:pPr>
        <w:jc w:val="center"/>
        <w:rPr>
          <w:rFonts w:hint="eastAsia"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022759A2">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54D84488">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6F59D139">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3DCCB3A2">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0F93422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23DD204C">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6473C495">
            <w:pPr>
              <w:rPr>
                <w:rFonts w:hint="eastAsia" w:ascii="仿宋" w:hAnsi="仿宋" w:eastAsia="仿宋" w:cs="仿宋"/>
                <w:color w:val="auto"/>
                <w:sz w:val="24"/>
                <w:highlight w:val="none"/>
              </w:rPr>
            </w:pPr>
          </w:p>
          <w:p w14:paraId="2EFD984F">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4D40010C">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69497FC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54FEB1B3">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418A3ED7">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hint="eastAsia" w:ascii="仿宋" w:hAnsi="仿宋" w:eastAsia="仿宋" w:cs="仿宋"/>
                <w:color w:val="auto"/>
                <w:sz w:val="24"/>
                <w:highlight w:val="none"/>
              </w:rPr>
            </w:pPr>
            <w:r>
              <w:rPr>
                <w:rFonts w:hint="eastAsia" w:ascii="仿宋" w:hAnsi="仿宋" w:eastAsia="仿宋" w:cs="仿宋"/>
                <w:b w:val="0"/>
                <w:bCs w:val="0"/>
                <w:color w:val="auto"/>
                <w:sz w:val="24"/>
                <w:highlight w:val="none"/>
                <w:lang w:val="en-US" w:eastAsia="zh-CN"/>
              </w:rPr>
              <w:t>3</w:t>
            </w:r>
          </w:p>
        </w:tc>
        <w:tc>
          <w:tcPr>
            <w:tcW w:w="4991" w:type="dxa"/>
            <w:vAlign w:val="top"/>
          </w:tcPr>
          <w:p w14:paraId="0816E62A">
            <w:pPr>
              <w:spacing w:line="360" w:lineRule="auto"/>
              <w:rPr>
                <w:rFonts w:hint="eastAsia" w:ascii="仿宋" w:hAnsi="仿宋" w:eastAsia="仿宋" w:cs="仿宋"/>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其他实质性要求1：</w:t>
            </w:r>
          </w:p>
        </w:tc>
        <w:tc>
          <w:tcPr>
            <w:tcW w:w="2551" w:type="dxa"/>
            <w:vMerge w:val="restart"/>
            <w:vAlign w:val="center"/>
          </w:tcPr>
          <w:p w14:paraId="5563D5BE">
            <w:pPr>
              <w:rPr>
                <w:rFonts w:hint="eastAsia" w:ascii="仿宋" w:hAnsi="仿宋" w:eastAsia="仿宋" w:cs="仿宋"/>
                <w:color w:val="auto"/>
                <w:sz w:val="24"/>
                <w:highlight w:val="none"/>
              </w:rPr>
            </w:pPr>
            <w:r>
              <w:rPr>
                <w:rFonts w:hint="eastAsia" w:ascii="仿宋" w:hAnsi="仿宋" w:eastAsia="仿宋" w:cs="仿宋"/>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hint="eastAsia" w:ascii="仿宋" w:hAnsi="仿宋" w:eastAsia="仿宋" w:cs="仿宋"/>
                <w:color w:val="auto"/>
                <w:highlight w:val="none"/>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4</w:t>
            </w:r>
          </w:p>
        </w:tc>
        <w:tc>
          <w:tcPr>
            <w:tcW w:w="4991" w:type="dxa"/>
            <w:vAlign w:val="top"/>
          </w:tcPr>
          <w:p w14:paraId="1BD3FA50">
            <w:pPr>
              <w:spacing w:line="360" w:lineRule="auto"/>
              <w:rPr>
                <w:rFonts w:hint="eastAsia" w:ascii="仿宋" w:hAnsi="仿宋" w:eastAsia="仿宋" w:cs="仿宋"/>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仿宋" w:hAnsi="仿宋" w:eastAsia="仿宋" w:cs="仿宋"/>
                <w:b w:val="0"/>
                <w:bCs w:val="0"/>
                <w:color w:val="auto"/>
                <w:sz w:val="24"/>
                <w:highlight w:val="none"/>
                <w:lang w:val="en-US" w:eastAsia="zh-CN"/>
              </w:rPr>
            </w:pPr>
          </w:p>
        </w:tc>
        <w:tc>
          <w:tcPr>
            <w:tcW w:w="1418" w:type="dxa"/>
            <w:vAlign w:val="top"/>
          </w:tcPr>
          <w:p w14:paraId="05C42D45">
            <w:pP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color w:val="auto"/>
                <w:kern w:val="0"/>
                <w:sz w:val="24"/>
                <w:highlight w:val="none"/>
              </w:rPr>
              <w:t>……</w:t>
            </w:r>
          </w:p>
        </w:tc>
        <w:tc>
          <w:tcPr>
            <w:tcW w:w="4991" w:type="dxa"/>
            <w:vAlign w:val="top"/>
          </w:tcPr>
          <w:p w14:paraId="1460D33A">
            <w:pPr>
              <w:spacing w:line="360" w:lineRule="auto"/>
              <w:rPr>
                <w:rFonts w:hint="eastAsia" w:ascii="仿宋" w:hAnsi="仿宋" w:eastAsia="仿宋" w:cs="仿宋"/>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w:t>
            </w:r>
            <w:r>
              <w:rPr>
                <w:rFonts w:hint="eastAsia" w:ascii="仿宋" w:hAnsi="仿宋" w:eastAsia="仿宋" w:cs="仿宋"/>
                <w:color w:val="auto"/>
                <w:kern w:val="0"/>
                <w:sz w:val="24"/>
                <w:highlight w:val="none"/>
              </w:rPr>
              <w:t>……</w:t>
            </w:r>
            <w:r>
              <w:rPr>
                <w:rFonts w:hint="eastAsia" w:ascii="仿宋" w:hAnsi="仿宋" w:eastAsia="仿宋" w:cs="仿宋"/>
                <w:b w:val="0"/>
                <w:bCs w:val="0"/>
                <w:snapToGrid w:val="0"/>
                <w:color w:val="auto"/>
                <w:sz w:val="24"/>
                <w:highlight w:val="none"/>
                <w:lang w:val="en-US" w:eastAsia="zh-CN"/>
              </w:rPr>
              <w:t>：</w:t>
            </w:r>
          </w:p>
        </w:tc>
        <w:tc>
          <w:tcPr>
            <w:tcW w:w="2551" w:type="dxa"/>
            <w:vMerge w:val="continue"/>
            <w:vAlign w:val="center"/>
          </w:tcPr>
          <w:p w14:paraId="5A7E1580">
            <w:pPr>
              <w:rPr>
                <w:rFonts w:hint="eastAsia" w:ascii="仿宋" w:hAnsi="仿宋" w:eastAsia="仿宋" w:cs="仿宋"/>
                <w:b w:val="0"/>
                <w:bCs w:val="0"/>
                <w:color w:val="auto"/>
                <w:sz w:val="24"/>
                <w:highlight w:val="none"/>
                <w:lang w:val="en-US" w:eastAsia="zh-CN"/>
              </w:rPr>
            </w:pPr>
          </w:p>
        </w:tc>
        <w:tc>
          <w:tcPr>
            <w:tcW w:w="1418" w:type="dxa"/>
            <w:vAlign w:val="top"/>
          </w:tcPr>
          <w:p w14:paraId="3228697A">
            <w:pP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bl>
    <w:p w14:paraId="71B70E08">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按本格式和要求提供。</w:t>
      </w:r>
    </w:p>
    <w:p w14:paraId="300760AC">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2、招标文件中实质性要求必须明确响应。</w:t>
      </w:r>
    </w:p>
    <w:p w14:paraId="2469B32C">
      <w:pPr>
        <w:jc w:val="center"/>
        <w:rPr>
          <w:rFonts w:hint="eastAsia" w:ascii="仿宋" w:hAnsi="仿宋" w:eastAsia="仿宋" w:cs="仿宋"/>
          <w:b/>
          <w:color w:val="auto"/>
          <w:kern w:val="0"/>
          <w:sz w:val="32"/>
          <w:szCs w:val="32"/>
          <w:highlight w:val="none"/>
        </w:rPr>
      </w:pPr>
    </w:p>
    <w:p w14:paraId="0C733880">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3F35CECA">
      <w:pPr>
        <w:jc w:val="center"/>
        <w:rPr>
          <w:rFonts w:hint="eastAsia" w:ascii="仿宋" w:hAnsi="仿宋" w:eastAsia="仿宋" w:cs="仿宋"/>
          <w:b/>
          <w:color w:val="auto"/>
          <w:kern w:val="0"/>
          <w:sz w:val="32"/>
          <w:szCs w:val="32"/>
          <w:highlight w:val="none"/>
        </w:rPr>
      </w:pPr>
    </w:p>
    <w:p w14:paraId="07766F4D">
      <w:pPr>
        <w:jc w:val="center"/>
        <w:rPr>
          <w:rFonts w:hint="eastAsia" w:ascii="仿宋" w:hAnsi="仿宋" w:eastAsia="仿宋" w:cs="仿宋"/>
          <w:b/>
          <w:color w:val="auto"/>
          <w:kern w:val="0"/>
          <w:sz w:val="32"/>
          <w:szCs w:val="32"/>
          <w:highlight w:val="none"/>
        </w:rPr>
      </w:pPr>
    </w:p>
    <w:p w14:paraId="3690FD43">
      <w:pPr>
        <w:jc w:val="center"/>
        <w:rPr>
          <w:rFonts w:hint="eastAsia" w:ascii="仿宋" w:hAnsi="仿宋" w:eastAsia="仿宋" w:cs="仿宋"/>
          <w:b/>
          <w:color w:val="auto"/>
          <w:kern w:val="0"/>
          <w:sz w:val="32"/>
          <w:szCs w:val="32"/>
          <w:highlight w:val="none"/>
        </w:rPr>
      </w:pPr>
    </w:p>
    <w:p w14:paraId="7F1941D4">
      <w:pPr>
        <w:jc w:val="center"/>
        <w:rPr>
          <w:rFonts w:hint="eastAsia" w:ascii="仿宋" w:hAnsi="仿宋" w:eastAsia="仿宋" w:cs="仿宋"/>
          <w:b/>
          <w:color w:val="auto"/>
          <w:kern w:val="0"/>
          <w:sz w:val="32"/>
          <w:szCs w:val="32"/>
          <w:highlight w:val="none"/>
        </w:rPr>
      </w:pPr>
    </w:p>
    <w:p w14:paraId="2F2DAB36">
      <w:pPr>
        <w:jc w:val="center"/>
        <w:rPr>
          <w:rFonts w:hint="eastAsia" w:ascii="仿宋" w:hAnsi="仿宋" w:eastAsia="仿宋" w:cs="仿宋"/>
          <w:b/>
          <w:color w:val="auto"/>
          <w:kern w:val="0"/>
          <w:sz w:val="32"/>
          <w:szCs w:val="32"/>
          <w:highlight w:val="none"/>
        </w:rPr>
      </w:pPr>
    </w:p>
    <w:p w14:paraId="4D1E9D70">
      <w:pPr>
        <w:pStyle w:val="2"/>
        <w:rPr>
          <w:rFonts w:hint="eastAsia" w:ascii="仿宋" w:hAnsi="仿宋" w:eastAsia="仿宋" w:cs="仿宋"/>
          <w:b/>
          <w:color w:val="auto"/>
          <w:kern w:val="0"/>
          <w:sz w:val="32"/>
          <w:szCs w:val="32"/>
          <w:highlight w:val="none"/>
        </w:rPr>
      </w:pPr>
    </w:p>
    <w:p w14:paraId="3175E3E9">
      <w:pPr>
        <w:rPr>
          <w:rFonts w:hint="eastAsia"/>
        </w:rPr>
      </w:pPr>
    </w:p>
    <w:p w14:paraId="3835C731">
      <w:pPr>
        <w:jc w:val="center"/>
        <w:rPr>
          <w:rFonts w:hint="eastAsia" w:ascii="仿宋" w:hAnsi="仿宋" w:eastAsia="仿宋" w:cs="仿宋"/>
          <w:b/>
          <w:color w:val="auto"/>
          <w:kern w:val="0"/>
          <w:sz w:val="32"/>
          <w:szCs w:val="32"/>
          <w:highlight w:val="none"/>
        </w:rPr>
      </w:pPr>
    </w:p>
    <w:p w14:paraId="7A8F4978">
      <w:pPr>
        <w:jc w:val="center"/>
        <w:rPr>
          <w:rFonts w:hint="eastAsia" w:ascii="仿宋" w:hAnsi="仿宋" w:eastAsia="仿宋" w:cs="仿宋"/>
          <w:b/>
          <w:color w:val="auto"/>
          <w:kern w:val="0"/>
          <w:sz w:val="32"/>
          <w:szCs w:val="32"/>
          <w:highlight w:val="none"/>
        </w:rPr>
      </w:pPr>
    </w:p>
    <w:p w14:paraId="20BAE25D">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32D1CFBB">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序号</w:t>
            </w:r>
          </w:p>
        </w:tc>
        <w:tc>
          <w:tcPr>
            <w:tcW w:w="5465" w:type="dxa"/>
          </w:tcPr>
          <w:p w14:paraId="7094874F">
            <w:pPr>
              <w:snapToGrid w:val="0"/>
              <w:spacing w:line="36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color w:val="auto"/>
                <w:kern w:val="0"/>
                <w:sz w:val="24"/>
                <w:highlight w:val="none"/>
              </w:rPr>
              <w:t>……</w:t>
            </w:r>
          </w:p>
        </w:tc>
        <w:tc>
          <w:tcPr>
            <w:tcW w:w="5465" w:type="dxa"/>
          </w:tcPr>
          <w:p w14:paraId="0E1A2FB7">
            <w:pPr>
              <w:snapToGrid w:val="0"/>
              <w:spacing w:line="360" w:lineRule="auto"/>
              <w:jc w:val="center"/>
              <w:rPr>
                <w:rFonts w:hint="eastAsia" w:ascii="仿宋" w:hAnsi="仿宋" w:eastAsia="仿宋" w:cs="仿宋"/>
                <w:b w:val="0"/>
                <w:bCs/>
                <w:color w:val="auto"/>
                <w:sz w:val="24"/>
                <w:highlight w:val="none"/>
                <w:vertAlign w:val="baseline"/>
              </w:rPr>
            </w:pPr>
          </w:p>
        </w:tc>
        <w:tc>
          <w:tcPr>
            <w:tcW w:w="3046" w:type="dxa"/>
          </w:tcPr>
          <w:p w14:paraId="5F158C9F">
            <w:pPr>
              <w:snapToGrid/>
              <w:spacing w:line="24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bl>
    <w:p w14:paraId="6B42D008">
      <w:pPr>
        <w:pStyle w:val="79"/>
        <w:rPr>
          <w:rFonts w:hint="eastAsia" w:ascii="仿宋" w:hAnsi="仿宋" w:eastAsia="仿宋" w:cs="仿宋"/>
          <w:color w:val="auto"/>
          <w:highlight w:val="none"/>
        </w:rPr>
      </w:pPr>
    </w:p>
    <w:p w14:paraId="00E0E54A">
      <w:pPr>
        <w:jc w:val="center"/>
        <w:rPr>
          <w:rFonts w:hint="eastAsia" w:ascii="仿宋" w:hAnsi="仿宋" w:eastAsia="仿宋" w:cs="仿宋"/>
          <w:b/>
          <w:color w:val="auto"/>
          <w:kern w:val="0"/>
          <w:sz w:val="32"/>
          <w:szCs w:val="32"/>
          <w:highlight w:val="none"/>
        </w:rPr>
      </w:pPr>
    </w:p>
    <w:p w14:paraId="11A9EEFB">
      <w:pPr>
        <w:jc w:val="center"/>
        <w:rPr>
          <w:rFonts w:hint="eastAsia" w:ascii="仿宋" w:hAnsi="仿宋" w:eastAsia="仿宋" w:cs="仿宋"/>
          <w:b/>
          <w:color w:val="auto"/>
          <w:kern w:val="0"/>
          <w:sz w:val="32"/>
          <w:szCs w:val="32"/>
          <w:highlight w:val="none"/>
        </w:rPr>
      </w:pPr>
    </w:p>
    <w:p w14:paraId="679698A4">
      <w:pPr>
        <w:jc w:val="center"/>
        <w:rPr>
          <w:rFonts w:hint="eastAsia" w:ascii="仿宋" w:hAnsi="仿宋" w:eastAsia="仿宋" w:cs="仿宋"/>
          <w:b/>
          <w:color w:val="auto"/>
          <w:kern w:val="0"/>
          <w:sz w:val="32"/>
          <w:szCs w:val="32"/>
          <w:highlight w:val="none"/>
        </w:rPr>
      </w:pPr>
    </w:p>
    <w:p w14:paraId="17612F2D">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hint="eastAsia" w:ascii="仿宋" w:hAnsi="仿宋" w:eastAsia="仿宋" w:cs="仿宋"/>
                <w:b/>
                <w:color w:val="auto"/>
                <w:sz w:val="24"/>
                <w:highlight w:val="none"/>
              </w:rPr>
            </w:pPr>
          </w:p>
          <w:p w14:paraId="02F51E5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hint="eastAsia" w:ascii="仿宋" w:hAnsi="仿宋" w:eastAsia="仿宋" w:cs="仿宋"/>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hint="eastAsia" w:ascii="仿宋" w:hAnsi="仿宋" w:eastAsia="仿宋" w:cs="仿宋"/>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hint="eastAsia" w:ascii="仿宋" w:hAnsi="仿宋" w:eastAsia="仿宋" w:cs="仿宋"/>
                <w:color w:val="auto"/>
                <w:sz w:val="24"/>
                <w:highlight w:val="none"/>
              </w:rPr>
            </w:pPr>
          </w:p>
        </w:tc>
      </w:tr>
    </w:tbl>
    <w:p w14:paraId="3FAFDB6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3E4EF47">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column"/>
      </w:r>
      <w:r>
        <w:rPr>
          <w:rFonts w:hint="eastAsia" w:ascii="仿宋" w:hAnsi="仿宋" w:eastAsia="仿宋" w:cs="仿宋"/>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180" w:type="dxa"/>
          </w:tcPr>
          <w:p w14:paraId="3B426346">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062" w:type="dxa"/>
          </w:tcPr>
          <w:p w14:paraId="0FA21463">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102" w:type="dxa"/>
          </w:tcPr>
          <w:p w14:paraId="6EABD2B7">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180" w:type="dxa"/>
          </w:tcPr>
          <w:p w14:paraId="6B6935F5">
            <w:pPr>
              <w:jc w:val="center"/>
              <w:rPr>
                <w:rFonts w:hint="eastAsia" w:ascii="仿宋" w:hAnsi="仿宋" w:eastAsia="仿宋" w:cs="仿宋"/>
                <w:b/>
                <w:color w:val="auto"/>
                <w:kern w:val="0"/>
                <w:sz w:val="32"/>
                <w:szCs w:val="32"/>
                <w:highlight w:val="none"/>
              </w:rPr>
            </w:pPr>
          </w:p>
        </w:tc>
        <w:tc>
          <w:tcPr>
            <w:tcW w:w="3062" w:type="dxa"/>
          </w:tcPr>
          <w:p w14:paraId="5FF76456">
            <w:pPr>
              <w:jc w:val="center"/>
              <w:rPr>
                <w:rFonts w:hint="eastAsia" w:ascii="仿宋" w:hAnsi="仿宋" w:eastAsia="仿宋" w:cs="仿宋"/>
                <w:b/>
                <w:color w:val="auto"/>
                <w:kern w:val="0"/>
                <w:sz w:val="32"/>
                <w:szCs w:val="32"/>
                <w:highlight w:val="none"/>
              </w:rPr>
            </w:pPr>
          </w:p>
        </w:tc>
        <w:tc>
          <w:tcPr>
            <w:tcW w:w="1102" w:type="dxa"/>
          </w:tcPr>
          <w:p w14:paraId="277CD6D7">
            <w:pPr>
              <w:jc w:val="center"/>
              <w:rPr>
                <w:rFonts w:hint="eastAsia" w:ascii="仿宋" w:hAnsi="仿宋" w:eastAsia="仿宋" w:cs="仿宋"/>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180" w:type="dxa"/>
          </w:tcPr>
          <w:p w14:paraId="3D96D204">
            <w:pPr>
              <w:jc w:val="center"/>
              <w:rPr>
                <w:rFonts w:hint="eastAsia" w:ascii="仿宋" w:hAnsi="仿宋" w:eastAsia="仿宋" w:cs="仿宋"/>
                <w:b/>
                <w:color w:val="auto"/>
                <w:kern w:val="0"/>
                <w:sz w:val="32"/>
                <w:szCs w:val="32"/>
                <w:highlight w:val="none"/>
              </w:rPr>
            </w:pPr>
          </w:p>
        </w:tc>
        <w:tc>
          <w:tcPr>
            <w:tcW w:w="3062" w:type="dxa"/>
          </w:tcPr>
          <w:p w14:paraId="0A81AFEB">
            <w:pPr>
              <w:jc w:val="center"/>
              <w:rPr>
                <w:rFonts w:hint="eastAsia" w:ascii="仿宋" w:hAnsi="仿宋" w:eastAsia="仿宋" w:cs="仿宋"/>
                <w:b/>
                <w:color w:val="auto"/>
                <w:kern w:val="0"/>
                <w:sz w:val="32"/>
                <w:szCs w:val="32"/>
                <w:highlight w:val="none"/>
              </w:rPr>
            </w:pPr>
          </w:p>
        </w:tc>
        <w:tc>
          <w:tcPr>
            <w:tcW w:w="1102" w:type="dxa"/>
          </w:tcPr>
          <w:p w14:paraId="167149FF">
            <w:pPr>
              <w:jc w:val="center"/>
              <w:rPr>
                <w:rFonts w:hint="eastAsia" w:ascii="仿宋" w:hAnsi="仿宋" w:eastAsia="仿宋" w:cs="仿宋"/>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180" w:type="dxa"/>
          </w:tcPr>
          <w:p w14:paraId="0A4801BD">
            <w:pPr>
              <w:jc w:val="center"/>
              <w:rPr>
                <w:rFonts w:hint="eastAsia" w:ascii="仿宋" w:hAnsi="仿宋" w:eastAsia="仿宋" w:cs="仿宋"/>
                <w:b/>
                <w:color w:val="auto"/>
                <w:kern w:val="0"/>
                <w:sz w:val="32"/>
                <w:szCs w:val="32"/>
                <w:highlight w:val="none"/>
              </w:rPr>
            </w:pPr>
          </w:p>
        </w:tc>
        <w:tc>
          <w:tcPr>
            <w:tcW w:w="3062" w:type="dxa"/>
          </w:tcPr>
          <w:p w14:paraId="25AE5A44">
            <w:pPr>
              <w:jc w:val="center"/>
              <w:rPr>
                <w:rFonts w:hint="eastAsia" w:ascii="仿宋" w:hAnsi="仿宋" w:eastAsia="仿宋" w:cs="仿宋"/>
                <w:b/>
                <w:color w:val="auto"/>
                <w:kern w:val="0"/>
                <w:sz w:val="32"/>
                <w:szCs w:val="32"/>
                <w:highlight w:val="none"/>
              </w:rPr>
            </w:pPr>
          </w:p>
        </w:tc>
        <w:tc>
          <w:tcPr>
            <w:tcW w:w="1102" w:type="dxa"/>
          </w:tcPr>
          <w:p w14:paraId="62B49A7F">
            <w:pPr>
              <w:jc w:val="center"/>
              <w:rPr>
                <w:rFonts w:hint="eastAsia" w:ascii="仿宋" w:hAnsi="仿宋" w:eastAsia="仿宋" w:cs="仿宋"/>
                <w:b/>
                <w:color w:val="auto"/>
                <w:kern w:val="0"/>
                <w:sz w:val="32"/>
                <w:szCs w:val="32"/>
                <w:highlight w:val="none"/>
              </w:rPr>
            </w:pPr>
          </w:p>
        </w:tc>
      </w:tr>
    </w:tbl>
    <w:p w14:paraId="64B7359B">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60B2AAAA">
      <w:pPr>
        <w:jc w:val="center"/>
        <w:rPr>
          <w:rFonts w:hint="eastAsia" w:ascii="仿宋" w:hAnsi="仿宋" w:eastAsia="仿宋" w:cs="仿宋"/>
          <w:b/>
          <w:color w:val="auto"/>
          <w:kern w:val="0"/>
          <w:sz w:val="32"/>
          <w:szCs w:val="32"/>
          <w:highlight w:val="none"/>
        </w:rPr>
      </w:pPr>
    </w:p>
    <w:p w14:paraId="710C0A52">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按本格式和要求提供。</w:t>
      </w:r>
    </w:p>
    <w:p w14:paraId="2728D80C">
      <w:pPr>
        <w:spacing w:line="360" w:lineRule="auto"/>
        <w:ind w:right="42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hint="eastAsia" w:ascii="仿宋" w:hAnsi="仿宋" w:eastAsia="仿宋" w:cs="仿宋"/>
          <w:b/>
          <w:bCs/>
          <w:color w:val="auto"/>
          <w:sz w:val="32"/>
          <w:szCs w:val="32"/>
          <w:highlight w:val="none"/>
        </w:rPr>
      </w:pPr>
    </w:p>
    <w:p w14:paraId="7042B3A7">
      <w:pPr>
        <w:ind w:firstLine="1911" w:firstLineChars="595"/>
        <w:rPr>
          <w:rFonts w:hint="eastAsia" w:ascii="仿宋" w:hAnsi="仿宋" w:eastAsia="仿宋" w:cs="仿宋"/>
          <w:b/>
          <w:bCs/>
          <w:color w:val="auto"/>
          <w:sz w:val="32"/>
          <w:szCs w:val="32"/>
          <w:highlight w:val="none"/>
        </w:rPr>
      </w:pPr>
    </w:p>
    <w:p w14:paraId="21094B72">
      <w:pPr>
        <w:ind w:firstLine="1911" w:firstLineChars="595"/>
        <w:rPr>
          <w:rFonts w:hint="eastAsia" w:ascii="仿宋" w:hAnsi="仿宋" w:eastAsia="仿宋" w:cs="仿宋"/>
          <w:b/>
          <w:bCs/>
          <w:color w:val="auto"/>
          <w:sz w:val="32"/>
          <w:szCs w:val="32"/>
          <w:highlight w:val="none"/>
        </w:rPr>
      </w:pPr>
    </w:p>
    <w:p w14:paraId="1B6858A7">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7EE6DE81">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2619FD1C">
      <w:pPr>
        <w:snapToGrid w:val="0"/>
        <w:spacing w:line="360" w:lineRule="auto"/>
        <w:rPr>
          <w:rFonts w:hint="eastAsia" w:ascii="仿宋" w:hAnsi="仿宋" w:eastAsia="仿宋" w:cs="仿宋"/>
          <w:color w:val="auto"/>
          <w:sz w:val="24"/>
          <w:highlight w:val="none"/>
        </w:rPr>
      </w:pPr>
    </w:p>
    <w:p w14:paraId="796BC50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B677287">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6C9BAC21">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7B62DA4E">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hint="eastAsia" w:ascii="仿宋" w:hAnsi="仿宋" w:eastAsia="仿宋" w:cs="仿宋"/>
          <w:color w:val="auto"/>
          <w:kern w:val="0"/>
          <w:sz w:val="24"/>
          <w:highlight w:val="none"/>
          <w:lang w:val="zh-CN"/>
        </w:rPr>
      </w:pPr>
    </w:p>
    <w:p w14:paraId="39195F20">
      <w:pPr>
        <w:autoSpaceDE w:val="0"/>
        <w:autoSpaceDN w:val="0"/>
        <w:spacing w:line="360" w:lineRule="auto"/>
        <w:ind w:left="2"/>
        <w:jc w:val="left"/>
        <w:rPr>
          <w:rFonts w:hint="eastAsia" w:ascii="仿宋" w:hAnsi="仿宋" w:eastAsia="仿宋" w:cs="仿宋"/>
          <w:color w:val="auto"/>
          <w:kern w:val="0"/>
          <w:sz w:val="24"/>
          <w:highlight w:val="none"/>
          <w:lang w:val="zh-CN"/>
        </w:rPr>
      </w:pPr>
    </w:p>
    <w:p w14:paraId="70CBF0ED">
      <w:pPr>
        <w:autoSpaceDE w:val="0"/>
        <w:autoSpaceDN w:val="0"/>
        <w:spacing w:line="360" w:lineRule="auto"/>
        <w:ind w:left="2"/>
        <w:jc w:val="left"/>
        <w:rPr>
          <w:rFonts w:hint="eastAsia" w:ascii="仿宋" w:hAnsi="仿宋" w:eastAsia="仿宋" w:cs="仿宋"/>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20166966">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45F93B45">
      <w:pPr>
        <w:spacing w:line="360" w:lineRule="auto"/>
        <w:jc w:val="center"/>
        <w:rPr>
          <w:rFonts w:hint="eastAsia" w:ascii="仿宋" w:hAnsi="仿宋" w:eastAsia="仿宋" w:cs="仿宋"/>
          <w:b/>
          <w:bCs/>
          <w:color w:val="auto"/>
          <w:sz w:val="24"/>
          <w:highlight w:val="none"/>
        </w:rPr>
      </w:pPr>
    </w:p>
    <w:p w14:paraId="05C77EC0">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C0B7333">
      <w:pPr>
        <w:spacing w:line="360" w:lineRule="auto"/>
        <w:jc w:val="center"/>
        <w:rPr>
          <w:rFonts w:hint="eastAsia"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3D24CB3">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160063E8">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02FAB4E6">
      <w:pPr>
        <w:spacing w:line="360" w:lineRule="auto"/>
        <w:jc w:val="center"/>
        <w:outlineLvl w:val="0"/>
        <w:rPr>
          <w:rFonts w:hint="eastAsia" w:ascii="仿宋" w:hAnsi="仿宋" w:eastAsia="仿宋" w:cs="仿宋"/>
          <w:b/>
          <w:color w:val="auto"/>
          <w:kern w:val="0"/>
          <w:sz w:val="36"/>
          <w:szCs w:val="36"/>
          <w:highlight w:val="none"/>
        </w:rPr>
      </w:pPr>
    </w:p>
    <w:p w14:paraId="48200F11">
      <w:pPr>
        <w:numPr>
          <w:ilvl w:val="0"/>
          <w:numId w:val="7"/>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开标一览表（报价表）………………………………………………………（页码）</w:t>
      </w:r>
    </w:p>
    <w:p w14:paraId="7AB07CC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）中小企业声明函………………………………………………………………（页码）</w:t>
      </w:r>
    </w:p>
    <w:p w14:paraId="4374C50A">
      <w:pPr>
        <w:pStyle w:val="80"/>
        <w:rPr>
          <w:rFonts w:hint="eastAsia" w:ascii="仿宋" w:hAnsi="仿宋" w:eastAsia="仿宋" w:cs="仿宋"/>
          <w:color w:val="auto"/>
          <w:highlight w:val="none"/>
        </w:rPr>
      </w:pPr>
    </w:p>
    <w:p w14:paraId="4DA9F2CD">
      <w:pPr>
        <w:pStyle w:val="80"/>
        <w:rPr>
          <w:rFonts w:hint="eastAsia" w:ascii="仿宋" w:hAnsi="仿宋" w:eastAsia="仿宋" w:cs="仿宋"/>
          <w:color w:val="auto"/>
          <w:highlight w:val="none"/>
        </w:rPr>
      </w:pPr>
    </w:p>
    <w:p w14:paraId="0FBB4570">
      <w:pPr>
        <w:snapToGrid w:val="0"/>
        <w:spacing w:line="360" w:lineRule="auto"/>
        <w:ind w:right="480"/>
        <w:jc w:val="center"/>
        <w:rPr>
          <w:rFonts w:hint="eastAsia" w:ascii="仿宋" w:hAnsi="仿宋" w:eastAsia="仿宋" w:cs="仿宋"/>
          <w:b/>
          <w:color w:val="auto"/>
          <w:kern w:val="0"/>
          <w:sz w:val="32"/>
          <w:szCs w:val="32"/>
          <w:highlight w:val="none"/>
        </w:rPr>
      </w:pPr>
    </w:p>
    <w:p w14:paraId="5AFFDCF3">
      <w:pPr>
        <w:snapToGrid w:val="0"/>
        <w:spacing w:line="360" w:lineRule="auto"/>
        <w:ind w:right="480"/>
        <w:jc w:val="center"/>
        <w:rPr>
          <w:rFonts w:hint="eastAsia" w:ascii="仿宋" w:hAnsi="仿宋" w:eastAsia="仿宋" w:cs="仿宋"/>
          <w:b/>
          <w:color w:val="auto"/>
          <w:kern w:val="0"/>
          <w:sz w:val="32"/>
          <w:szCs w:val="32"/>
          <w:highlight w:val="none"/>
        </w:rPr>
      </w:pPr>
    </w:p>
    <w:p w14:paraId="10A7AAE1">
      <w:pPr>
        <w:snapToGrid w:val="0"/>
        <w:spacing w:line="360" w:lineRule="auto"/>
        <w:ind w:right="480"/>
        <w:jc w:val="center"/>
        <w:rPr>
          <w:rFonts w:hint="eastAsia" w:ascii="仿宋" w:hAnsi="仿宋" w:eastAsia="仿宋" w:cs="仿宋"/>
          <w:b/>
          <w:color w:val="auto"/>
          <w:kern w:val="0"/>
          <w:sz w:val="32"/>
          <w:szCs w:val="32"/>
          <w:highlight w:val="none"/>
        </w:rPr>
      </w:pPr>
    </w:p>
    <w:p w14:paraId="3FB0E389">
      <w:pPr>
        <w:snapToGrid w:val="0"/>
        <w:spacing w:line="360" w:lineRule="auto"/>
        <w:ind w:right="480"/>
        <w:jc w:val="center"/>
        <w:rPr>
          <w:rFonts w:hint="eastAsia" w:ascii="仿宋" w:hAnsi="仿宋" w:eastAsia="仿宋" w:cs="仿宋"/>
          <w:b/>
          <w:color w:val="auto"/>
          <w:kern w:val="0"/>
          <w:sz w:val="32"/>
          <w:szCs w:val="32"/>
          <w:highlight w:val="none"/>
        </w:rPr>
      </w:pPr>
    </w:p>
    <w:p w14:paraId="115027FA">
      <w:pPr>
        <w:snapToGrid w:val="0"/>
        <w:spacing w:line="360" w:lineRule="auto"/>
        <w:ind w:right="480"/>
        <w:jc w:val="center"/>
        <w:rPr>
          <w:rFonts w:hint="eastAsia" w:ascii="仿宋" w:hAnsi="仿宋" w:eastAsia="仿宋" w:cs="仿宋"/>
          <w:b/>
          <w:color w:val="auto"/>
          <w:kern w:val="0"/>
          <w:sz w:val="32"/>
          <w:szCs w:val="32"/>
          <w:highlight w:val="none"/>
        </w:rPr>
      </w:pPr>
    </w:p>
    <w:p w14:paraId="337961BC">
      <w:pPr>
        <w:snapToGrid w:val="0"/>
        <w:spacing w:line="360" w:lineRule="auto"/>
        <w:ind w:right="480"/>
        <w:jc w:val="center"/>
        <w:rPr>
          <w:rFonts w:hint="eastAsia" w:ascii="仿宋" w:hAnsi="仿宋" w:eastAsia="仿宋" w:cs="仿宋"/>
          <w:b/>
          <w:color w:val="auto"/>
          <w:kern w:val="0"/>
          <w:sz w:val="32"/>
          <w:szCs w:val="32"/>
          <w:highlight w:val="none"/>
        </w:rPr>
      </w:pPr>
    </w:p>
    <w:p w14:paraId="7141EA06">
      <w:pPr>
        <w:snapToGrid w:val="0"/>
        <w:spacing w:line="360" w:lineRule="auto"/>
        <w:ind w:right="480"/>
        <w:jc w:val="center"/>
        <w:rPr>
          <w:rFonts w:hint="eastAsia" w:ascii="仿宋" w:hAnsi="仿宋" w:eastAsia="仿宋" w:cs="仿宋"/>
          <w:b/>
          <w:color w:val="auto"/>
          <w:kern w:val="0"/>
          <w:sz w:val="32"/>
          <w:szCs w:val="32"/>
          <w:highlight w:val="none"/>
        </w:rPr>
      </w:pPr>
    </w:p>
    <w:p w14:paraId="66E8FD50">
      <w:pPr>
        <w:snapToGrid w:val="0"/>
        <w:spacing w:line="360" w:lineRule="auto"/>
        <w:ind w:right="480"/>
        <w:jc w:val="center"/>
        <w:rPr>
          <w:rFonts w:hint="eastAsia" w:ascii="仿宋" w:hAnsi="仿宋" w:eastAsia="仿宋" w:cs="仿宋"/>
          <w:b/>
          <w:color w:val="auto"/>
          <w:kern w:val="0"/>
          <w:sz w:val="32"/>
          <w:szCs w:val="32"/>
          <w:highlight w:val="none"/>
        </w:rPr>
      </w:pPr>
    </w:p>
    <w:p w14:paraId="50F160CE">
      <w:pPr>
        <w:snapToGrid w:val="0"/>
        <w:spacing w:line="360" w:lineRule="auto"/>
        <w:ind w:right="480"/>
        <w:jc w:val="center"/>
        <w:rPr>
          <w:rFonts w:hint="eastAsia" w:ascii="仿宋" w:hAnsi="仿宋" w:eastAsia="仿宋" w:cs="仿宋"/>
          <w:b/>
          <w:color w:val="auto"/>
          <w:kern w:val="0"/>
          <w:sz w:val="32"/>
          <w:szCs w:val="32"/>
          <w:highlight w:val="none"/>
        </w:rPr>
      </w:pPr>
    </w:p>
    <w:p w14:paraId="4A58B3F0">
      <w:pPr>
        <w:snapToGrid w:val="0"/>
        <w:spacing w:line="360" w:lineRule="auto"/>
        <w:ind w:right="480"/>
        <w:jc w:val="center"/>
        <w:rPr>
          <w:rFonts w:hint="eastAsia" w:ascii="仿宋" w:hAnsi="仿宋" w:eastAsia="仿宋" w:cs="仿宋"/>
          <w:b/>
          <w:color w:val="auto"/>
          <w:kern w:val="0"/>
          <w:sz w:val="32"/>
          <w:szCs w:val="32"/>
          <w:highlight w:val="none"/>
        </w:rPr>
      </w:pPr>
    </w:p>
    <w:p w14:paraId="4E57D7EE">
      <w:pPr>
        <w:snapToGrid w:val="0"/>
        <w:spacing w:line="360" w:lineRule="auto"/>
        <w:ind w:right="480"/>
        <w:jc w:val="center"/>
        <w:rPr>
          <w:rFonts w:hint="eastAsia" w:ascii="仿宋" w:hAnsi="仿宋" w:eastAsia="仿宋" w:cs="仿宋"/>
          <w:b/>
          <w:color w:val="auto"/>
          <w:kern w:val="0"/>
          <w:sz w:val="32"/>
          <w:szCs w:val="32"/>
          <w:highlight w:val="none"/>
        </w:rPr>
      </w:pPr>
    </w:p>
    <w:p w14:paraId="5FBC9E6B">
      <w:pPr>
        <w:snapToGrid w:val="0"/>
        <w:spacing w:line="360" w:lineRule="auto"/>
        <w:ind w:right="480"/>
        <w:jc w:val="center"/>
        <w:rPr>
          <w:rFonts w:hint="eastAsia" w:ascii="仿宋" w:hAnsi="仿宋" w:eastAsia="仿宋" w:cs="仿宋"/>
          <w:b/>
          <w:color w:val="auto"/>
          <w:kern w:val="0"/>
          <w:sz w:val="32"/>
          <w:szCs w:val="32"/>
          <w:highlight w:val="none"/>
        </w:rPr>
      </w:pPr>
    </w:p>
    <w:p w14:paraId="7F821D76">
      <w:pPr>
        <w:snapToGrid w:val="0"/>
        <w:spacing w:line="360" w:lineRule="auto"/>
        <w:ind w:right="480"/>
        <w:jc w:val="center"/>
        <w:rPr>
          <w:rFonts w:hint="eastAsia" w:ascii="仿宋" w:hAnsi="仿宋" w:eastAsia="仿宋" w:cs="仿宋"/>
          <w:b/>
          <w:color w:val="auto"/>
          <w:kern w:val="0"/>
          <w:sz w:val="32"/>
          <w:szCs w:val="32"/>
          <w:highlight w:val="none"/>
        </w:rPr>
      </w:pPr>
    </w:p>
    <w:p w14:paraId="242935C1">
      <w:pPr>
        <w:snapToGrid w:val="0"/>
        <w:spacing w:line="360" w:lineRule="auto"/>
        <w:ind w:right="480"/>
        <w:jc w:val="center"/>
        <w:rPr>
          <w:rFonts w:hint="eastAsia" w:ascii="仿宋" w:hAnsi="仿宋" w:eastAsia="仿宋" w:cs="仿宋"/>
          <w:b/>
          <w:color w:val="auto"/>
          <w:kern w:val="0"/>
          <w:sz w:val="32"/>
          <w:szCs w:val="32"/>
          <w:highlight w:val="none"/>
        </w:rPr>
      </w:pPr>
    </w:p>
    <w:p w14:paraId="09307FF9">
      <w:pPr>
        <w:snapToGrid w:val="0"/>
        <w:spacing w:line="360" w:lineRule="auto"/>
        <w:ind w:right="480"/>
        <w:jc w:val="center"/>
        <w:rPr>
          <w:rFonts w:hint="eastAsia" w:ascii="仿宋" w:hAnsi="仿宋" w:eastAsia="仿宋" w:cs="仿宋"/>
          <w:b/>
          <w:color w:val="auto"/>
          <w:kern w:val="0"/>
          <w:sz w:val="32"/>
          <w:szCs w:val="32"/>
          <w:highlight w:val="none"/>
        </w:rPr>
      </w:pPr>
    </w:p>
    <w:p w14:paraId="54E69E0A">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1B9D219">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0B6C821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430172B6">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12B5C6DC">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14845" w:type="dxa"/>
        <w:tblInd w:w="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398"/>
        <w:gridCol w:w="1458"/>
        <w:gridCol w:w="1638"/>
        <w:gridCol w:w="2431"/>
        <w:gridCol w:w="1680"/>
        <w:gridCol w:w="1800"/>
        <w:gridCol w:w="1755"/>
        <w:gridCol w:w="1890"/>
      </w:tblGrid>
      <w:tr w14:paraId="643CF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95" w:type="dxa"/>
            <w:vAlign w:val="center"/>
          </w:tcPr>
          <w:p w14:paraId="7C3741D4">
            <w:pPr>
              <w:spacing w:line="24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398" w:type="dxa"/>
            <w:vAlign w:val="center"/>
          </w:tcPr>
          <w:p w14:paraId="5166F1D6">
            <w:pPr>
              <w:spacing w:line="24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名称</w:t>
            </w:r>
          </w:p>
        </w:tc>
        <w:tc>
          <w:tcPr>
            <w:tcW w:w="1458" w:type="dxa"/>
          </w:tcPr>
          <w:p w14:paraId="75C16F5B">
            <w:pPr>
              <w:spacing w:line="240" w:lineRule="auto"/>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面积</w:t>
            </w:r>
            <w:r>
              <w:rPr>
                <w:rFonts w:hint="eastAsia" w:ascii="仿宋" w:hAnsi="仿宋" w:eastAsia="仿宋" w:cs="仿宋"/>
                <w:b/>
                <w:bCs/>
                <w:color w:val="auto"/>
                <w:sz w:val="24"/>
                <w:szCs w:val="24"/>
                <w:highlight w:val="none"/>
                <w:lang w:val="en-US" w:eastAsia="zh-CN"/>
              </w:rPr>
              <w:t>(㎡)</w:t>
            </w:r>
          </w:p>
        </w:tc>
        <w:tc>
          <w:tcPr>
            <w:tcW w:w="1638" w:type="dxa"/>
            <w:vAlign w:val="center"/>
          </w:tcPr>
          <w:p w14:paraId="14FD0431">
            <w:pPr>
              <w:spacing w:line="24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道路等级</w:t>
            </w:r>
          </w:p>
        </w:tc>
        <w:tc>
          <w:tcPr>
            <w:tcW w:w="2431" w:type="dxa"/>
            <w:vAlign w:val="center"/>
          </w:tcPr>
          <w:p w14:paraId="78B53146">
            <w:pPr>
              <w:spacing w:line="24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单价</w:t>
            </w:r>
          </w:p>
        </w:tc>
        <w:tc>
          <w:tcPr>
            <w:tcW w:w="1680" w:type="dxa"/>
            <w:vAlign w:val="center"/>
          </w:tcPr>
          <w:p w14:paraId="045173F5">
            <w:pPr>
              <w:spacing w:line="24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1年报价</w:t>
            </w:r>
          </w:p>
        </w:tc>
        <w:tc>
          <w:tcPr>
            <w:tcW w:w="1800" w:type="dxa"/>
            <w:vAlign w:val="center"/>
          </w:tcPr>
          <w:p w14:paraId="11548928">
            <w:pPr>
              <w:spacing w:line="24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3年报价</w:t>
            </w:r>
          </w:p>
        </w:tc>
        <w:tc>
          <w:tcPr>
            <w:tcW w:w="1755" w:type="dxa"/>
            <w:vAlign w:val="center"/>
          </w:tcPr>
          <w:p w14:paraId="249D2A72">
            <w:pPr>
              <w:spacing w:line="24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服务要求（年限）及备注</w:t>
            </w:r>
          </w:p>
        </w:tc>
        <w:tc>
          <w:tcPr>
            <w:tcW w:w="1890" w:type="dxa"/>
            <w:vAlign w:val="center"/>
          </w:tcPr>
          <w:p w14:paraId="6A31A79A">
            <w:pPr>
              <w:spacing w:line="240" w:lineRule="auto"/>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备注</w:t>
            </w:r>
          </w:p>
        </w:tc>
      </w:tr>
      <w:tr w14:paraId="12737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795" w:type="dxa"/>
            <w:vMerge w:val="restart"/>
            <w:vAlign w:val="center"/>
          </w:tcPr>
          <w:p w14:paraId="78DF5B98">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398" w:type="dxa"/>
            <w:vMerge w:val="restart"/>
            <w:vAlign w:val="center"/>
          </w:tcPr>
          <w:p w14:paraId="3122377C">
            <w:pPr>
              <w:widowControl/>
              <w:jc w:val="center"/>
              <w:textAlignment w:val="center"/>
              <w:rPr>
                <w:rFonts w:hint="eastAsia" w:ascii="仿宋" w:hAnsi="仿宋" w:eastAsia="仿宋" w:cs="仿宋"/>
                <w:color w:val="FF0000"/>
                <w:sz w:val="24"/>
                <w:szCs w:val="24"/>
                <w:highlight w:val="yellow"/>
                <w:lang w:eastAsia="zh-CN"/>
              </w:rPr>
            </w:pPr>
            <w:r>
              <w:rPr>
                <w:rFonts w:hint="eastAsia" w:ascii="仿宋" w:hAnsi="仿宋" w:eastAsia="仿宋" w:cs="仿宋"/>
                <w:i w:val="0"/>
                <w:iCs w:val="0"/>
                <w:color w:val="auto"/>
                <w:sz w:val="24"/>
                <w:szCs w:val="24"/>
                <w:highlight w:val="none"/>
                <w:u w:val="none"/>
                <w:lang w:val="en-US" w:eastAsia="zh-CN"/>
              </w:rPr>
              <w:t>道路</w:t>
            </w:r>
            <w:r>
              <w:rPr>
                <w:rFonts w:hint="eastAsia" w:ascii="仿宋" w:hAnsi="仿宋" w:eastAsia="仿宋" w:cs="仿宋"/>
                <w:i w:val="0"/>
                <w:iCs w:val="0"/>
                <w:color w:val="auto"/>
                <w:sz w:val="24"/>
                <w:szCs w:val="24"/>
                <w:highlight w:val="none"/>
                <w:u w:val="none"/>
              </w:rPr>
              <w:t>保洁</w:t>
            </w:r>
          </w:p>
        </w:tc>
        <w:tc>
          <w:tcPr>
            <w:tcW w:w="1458" w:type="dxa"/>
            <w:vAlign w:val="center"/>
          </w:tcPr>
          <w:p w14:paraId="45D0103B">
            <w:pPr>
              <w:keepNext w:val="0"/>
              <w:keepLines w:val="0"/>
              <w:widowControl/>
              <w:suppressLineNumbers w:val="0"/>
              <w:jc w:val="right"/>
              <w:textAlignment w:val="center"/>
              <w:rPr>
                <w:rFonts w:hint="eastAsia" w:ascii="仿宋" w:hAnsi="仿宋" w:eastAsia="仿宋" w:cs="仿宋"/>
                <w:color w:val="FF0000"/>
                <w:sz w:val="24"/>
                <w:szCs w:val="24"/>
                <w:highlight w:val="yellow"/>
                <w:lang w:eastAsia="zh-CN"/>
              </w:rPr>
            </w:pPr>
            <w:r>
              <w:rPr>
                <w:rFonts w:hint="eastAsia" w:ascii="仿宋" w:hAnsi="仿宋" w:eastAsia="仿宋" w:cs="仿宋"/>
                <w:i w:val="0"/>
                <w:iCs w:val="0"/>
                <w:color w:val="000000"/>
                <w:kern w:val="0"/>
                <w:sz w:val="24"/>
                <w:szCs w:val="24"/>
                <w:u w:val="none"/>
                <w:lang w:val="en-US" w:eastAsia="zh-CN" w:bidi="ar"/>
              </w:rPr>
              <w:t>148972.57</w:t>
            </w:r>
          </w:p>
        </w:tc>
        <w:tc>
          <w:tcPr>
            <w:tcW w:w="1638" w:type="dxa"/>
            <w:vAlign w:val="center"/>
          </w:tcPr>
          <w:p w14:paraId="5EFB0D87">
            <w:pPr>
              <w:keepNext w:val="0"/>
              <w:keepLines w:val="0"/>
              <w:widowControl/>
              <w:suppressLineNumbers w:val="0"/>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i w:val="0"/>
                <w:iCs w:val="0"/>
                <w:color w:val="auto"/>
                <w:kern w:val="0"/>
                <w:sz w:val="24"/>
                <w:szCs w:val="24"/>
                <w:highlight w:val="none"/>
                <w:u w:val="none"/>
                <w:lang w:val="en-US" w:eastAsia="zh-CN" w:bidi="ar"/>
              </w:rPr>
              <w:t>三类</w:t>
            </w:r>
          </w:p>
        </w:tc>
        <w:tc>
          <w:tcPr>
            <w:tcW w:w="2431" w:type="dxa"/>
            <w:vAlign w:val="center"/>
          </w:tcPr>
          <w:p w14:paraId="430237CF">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元/平方米·年</w:t>
            </w:r>
          </w:p>
        </w:tc>
        <w:tc>
          <w:tcPr>
            <w:tcW w:w="1680" w:type="dxa"/>
            <w:vAlign w:val="center"/>
          </w:tcPr>
          <w:p w14:paraId="1C37105C">
            <w:pPr>
              <w:spacing w:line="360" w:lineRule="auto"/>
              <w:jc w:val="center"/>
              <w:rPr>
                <w:rFonts w:hint="eastAsia" w:ascii="仿宋" w:hAnsi="仿宋" w:eastAsia="仿宋" w:cs="仿宋"/>
                <w:color w:val="auto"/>
                <w:sz w:val="24"/>
                <w:szCs w:val="24"/>
                <w:highlight w:val="none"/>
              </w:rPr>
            </w:pPr>
          </w:p>
        </w:tc>
        <w:tc>
          <w:tcPr>
            <w:tcW w:w="1800" w:type="dxa"/>
            <w:vAlign w:val="center"/>
          </w:tcPr>
          <w:p w14:paraId="0DBABCC3">
            <w:pPr>
              <w:spacing w:line="360" w:lineRule="auto"/>
              <w:jc w:val="center"/>
              <w:rPr>
                <w:rFonts w:hint="eastAsia" w:ascii="仿宋" w:hAnsi="仿宋" w:eastAsia="仿宋" w:cs="仿宋"/>
                <w:color w:val="auto"/>
                <w:sz w:val="24"/>
                <w:szCs w:val="24"/>
                <w:highlight w:val="none"/>
              </w:rPr>
            </w:pPr>
          </w:p>
        </w:tc>
        <w:tc>
          <w:tcPr>
            <w:tcW w:w="1755" w:type="dxa"/>
            <w:vMerge w:val="restart"/>
            <w:vAlign w:val="center"/>
          </w:tcPr>
          <w:p w14:paraId="3DC2A2FE">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3年</w:t>
            </w:r>
          </w:p>
        </w:tc>
        <w:tc>
          <w:tcPr>
            <w:tcW w:w="1890" w:type="dxa"/>
            <w:vAlign w:val="center"/>
          </w:tcPr>
          <w:p w14:paraId="4B051F41">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最高限价为7.57元/㎡.年</w:t>
            </w:r>
          </w:p>
        </w:tc>
      </w:tr>
      <w:tr w14:paraId="0E0FC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95" w:type="dxa"/>
            <w:vMerge w:val="continue"/>
            <w:vAlign w:val="center"/>
          </w:tcPr>
          <w:p w14:paraId="1CE5F6FF">
            <w:pPr>
              <w:spacing w:line="360" w:lineRule="auto"/>
              <w:jc w:val="center"/>
              <w:rPr>
                <w:rFonts w:hint="eastAsia" w:ascii="仿宋" w:hAnsi="仿宋" w:eastAsia="仿宋" w:cs="仿宋"/>
                <w:color w:val="auto"/>
                <w:sz w:val="24"/>
                <w:szCs w:val="24"/>
                <w:highlight w:val="none"/>
              </w:rPr>
            </w:pPr>
          </w:p>
        </w:tc>
        <w:tc>
          <w:tcPr>
            <w:tcW w:w="1398" w:type="dxa"/>
            <w:vMerge w:val="continue"/>
            <w:vAlign w:val="center"/>
          </w:tcPr>
          <w:p w14:paraId="43116262">
            <w:pPr>
              <w:widowControl/>
              <w:jc w:val="center"/>
              <w:textAlignment w:val="center"/>
              <w:rPr>
                <w:rFonts w:hint="eastAsia" w:ascii="仿宋" w:hAnsi="仿宋" w:eastAsia="仿宋" w:cs="仿宋"/>
                <w:color w:val="FF0000"/>
                <w:sz w:val="24"/>
                <w:szCs w:val="24"/>
                <w:highlight w:val="yellow"/>
                <w:lang w:eastAsia="zh-CN"/>
              </w:rPr>
            </w:pPr>
          </w:p>
        </w:tc>
        <w:tc>
          <w:tcPr>
            <w:tcW w:w="1458" w:type="dxa"/>
            <w:vAlign w:val="center"/>
          </w:tcPr>
          <w:p w14:paraId="29F3F498">
            <w:pPr>
              <w:keepNext w:val="0"/>
              <w:keepLines w:val="0"/>
              <w:widowControl/>
              <w:suppressLineNumbers w:val="0"/>
              <w:jc w:val="center"/>
              <w:textAlignment w:val="center"/>
              <w:rPr>
                <w:rFonts w:hint="eastAsia" w:ascii="仿宋" w:hAnsi="仿宋" w:eastAsia="仿宋" w:cs="仿宋"/>
                <w:color w:val="FF0000"/>
                <w:sz w:val="24"/>
                <w:szCs w:val="24"/>
                <w:highlight w:val="yellow"/>
                <w:lang w:eastAsia="zh-CN"/>
              </w:rPr>
            </w:pPr>
            <w:r>
              <w:rPr>
                <w:rFonts w:hint="eastAsia" w:ascii="仿宋" w:hAnsi="仿宋" w:eastAsia="仿宋" w:cs="仿宋"/>
                <w:i w:val="0"/>
                <w:iCs w:val="0"/>
                <w:color w:val="000000"/>
                <w:kern w:val="0"/>
                <w:sz w:val="24"/>
                <w:szCs w:val="24"/>
                <w:u w:val="none"/>
                <w:lang w:val="en-US" w:eastAsia="zh-CN" w:bidi="ar"/>
              </w:rPr>
              <w:t>47749</w:t>
            </w:r>
          </w:p>
        </w:tc>
        <w:tc>
          <w:tcPr>
            <w:tcW w:w="1638" w:type="dxa"/>
            <w:vAlign w:val="center"/>
          </w:tcPr>
          <w:p w14:paraId="4486EB09">
            <w:pPr>
              <w:keepNext w:val="0"/>
              <w:keepLines w:val="0"/>
              <w:widowControl/>
              <w:suppressLineNumbers w:val="0"/>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i w:val="0"/>
                <w:iCs w:val="0"/>
                <w:color w:val="auto"/>
                <w:kern w:val="0"/>
                <w:sz w:val="24"/>
                <w:szCs w:val="24"/>
                <w:highlight w:val="none"/>
                <w:u w:val="none"/>
                <w:lang w:val="en-US" w:eastAsia="zh-CN" w:bidi="ar"/>
              </w:rPr>
              <w:t>四类</w:t>
            </w:r>
          </w:p>
        </w:tc>
        <w:tc>
          <w:tcPr>
            <w:tcW w:w="2431" w:type="dxa"/>
            <w:vAlign w:val="center"/>
          </w:tcPr>
          <w:p w14:paraId="113CCA90">
            <w:pPr>
              <w:snapToGrid w:val="0"/>
              <w:spacing w:line="360" w:lineRule="auto"/>
              <w:jc w:val="cente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元/平方米·年</w:t>
            </w:r>
          </w:p>
        </w:tc>
        <w:tc>
          <w:tcPr>
            <w:tcW w:w="1680" w:type="dxa"/>
            <w:vAlign w:val="center"/>
          </w:tcPr>
          <w:p w14:paraId="7C09148B">
            <w:pPr>
              <w:spacing w:line="360" w:lineRule="auto"/>
              <w:jc w:val="center"/>
              <w:rPr>
                <w:rFonts w:hint="eastAsia" w:ascii="仿宋" w:hAnsi="仿宋" w:eastAsia="仿宋" w:cs="仿宋"/>
                <w:color w:val="auto"/>
                <w:sz w:val="24"/>
                <w:szCs w:val="24"/>
                <w:highlight w:val="none"/>
              </w:rPr>
            </w:pPr>
          </w:p>
        </w:tc>
        <w:tc>
          <w:tcPr>
            <w:tcW w:w="1800" w:type="dxa"/>
            <w:vAlign w:val="center"/>
          </w:tcPr>
          <w:p w14:paraId="38009CA9">
            <w:pPr>
              <w:spacing w:line="360" w:lineRule="auto"/>
              <w:jc w:val="center"/>
              <w:rPr>
                <w:rFonts w:hint="eastAsia" w:ascii="仿宋" w:hAnsi="仿宋" w:eastAsia="仿宋" w:cs="仿宋"/>
                <w:color w:val="auto"/>
                <w:sz w:val="24"/>
                <w:szCs w:val="24"/>
                <w:highlight w:val="none"/>
              </w:rPr>
            </w:pPr>
          </w:p>
        </w:tc>
        <w:tc>
          <w:tcPr>
            <w:tcW w:w="1755" w:type="dxa"/>
            <w:vMerge w:val="continue"/>
            <w:vAlign w:val="center"/>
          </w:tcPr>
          <w:p w14:paraId="606AA359">
            <w:pPr>
              <w:spacing w:line="360" w:lineRule="auto"/>
              <w:jc w:val="center"/>
              <w:rPr>
                <w:rFonts w:hint="eastAsia" w:ascii="仿宋" w:hAnsi="仿宋" w:eastAsia="仿宋" w:cs="仿宋"/>
                <w:color w:val="auto"/>
                <w:sz w:val="24"/>
                <w:szCs w:val="24"/>
                <w:highlight w:val="none"/>
              </w:rPr>
            </w:pPr>
          </w:p>
        </w:tc>
        <w:tc>
          <w:tcPr>
            <w:tcW w:w="1890" w:type="dxa"/>
            <w:vAlign w:val="center"/>
          </w:tcPr>
          <w:p w14:paraId="4B19A915">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最高限价为7.52元/㎡.年</w:t>
            </w:r>
          </w:p>
        </w:tc>
      </w:tr>
      <w:tr w14:paraId="51B6B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795" w:type="dxa"/>
            <w:vAlign w:val="center"/>
          </w:tcPr>
          <w:p w14:paraId="68CF0131">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398" w:type="dxa"/>
            <w:vAlign w:val="center"/>
          </w:tcPr>
          <w:p w14:paraId="5887CB53">
            <w:pPr>
              <w:widowControl/>
              <w:jc w:val="center"/>
              <w:textAlignment w:val="center"/>
              <w:rPr>
                <w:rFonts w:hint="eastAsia" w:ascii="仿宋" w:hAnsi="仿宋" w:eastAsia="仿宋" w:cs="仿宋"/>
                <w:color w:val="FF0000"/>
                <w:sz w:val="24"/>
                <w:szCs w:val="24"/>
                <w:highlight w:val="yellow"/>
              </w:rPr>
            </w:pPr>
            <w:r>
              <w:rPr>
                <w:rFonts w:hint="eastAsia" w:ascii="仿宋" w:hAnsi="仿宋" w:eastAsia="仿宋" w:cs="仿宋"/>
                <w:i w:val="0"/>
                <w:iCs w:val="0"/>
                <w:color w:val="auto"/>
                <w:sz w:val="24"/>
                <w:szCs w:val="24"/>
                <w:highlight w:val="none"/>
                <w:u w:val="none"/>
              </w:rPr>
              <w:t>绿化</w:t>
            </w:r>
            <w:r>
              <w:rPr>
                <w:rFonts w:hint="eastAsia" w:ascii="仿宋" w:hAnsi="仿宋" w:eastAsia="仿宋" w:cs="仿宋"/>
                <w:i w:val="0"/>
                <w:iCs w:val="0"/>
                <w:color w:val="auto"/>
                <w:sz w:val="24"/>
                <w:szCs w:val="24"/>
                <w:highlight w:val="none"/>
                <w:u w:val="none"/>
                <w:lang w:val="en-US" w:eastAsia="zh-CN"/>
              </w:rPr>
              <w:t>养护</w:t>
            </w:r>
          </w:p>
        </w:tc>
        <w:tc>
          <w:tcPr>
            <w:tcW w:w="1458" w:type="dxa"/>
            <w:vAlign w:val="center"/>
          </w:tcPr>
          <w:p w14:paraId="6F512E98">
            <w:pPr>
              <w:keepNext w:val="0"/>
              <w:keepLines w:val="0"/>
              <w:widowControl/>
              <w:suppressLineNumbers w:val="0"/>
              <w:jc w:val="center"/>
              <w:textAlignment w:val="center"/>
              <w:rPr>
                <w:rFonts w:hint="eastAsia" w:ascii="仿宋" w:hAnsi="仿宋" w:eastAsia="仿宋" w:cs="仿宋"/>
                <w:color w:val="FF0000"/>
                <w:sz w:val="24"/>
                <w:szCs w:val="24"/>
                <w:highlight w:val="yellow"/>
              </w:rPr>
            </w:pPr>
            <w:r>
              <w:rPr>
                <w:rFonts w:hint="eastAsia" w:ascii="仿宋" w:hAnsi="仿宋" w:eastAsia="仿宋" w:cs="仿宋"/>
                <w:i w:val="0"/>
                <w:iCs w:val="0"/>
                <w:color w:val="auto"/>
                <w:sz w:val="24"/>
                <w:szCs w:val="24"/>
                <w:highlight w:val="none"/>
                <w:u w:val="none"/>
              </w:rPr>
              <w:t>22090.15</w:t>
            </w:r>
          </w:p>
        </w:tc>
        <w:tc>
          <w:tcPr>
            <w:tcW w:w="1638" w:type="dxa"/>
            <w:vAlign w:val="center"/>
          </w:tcPr>
          <w:p w14:paraId="6ED4D8BE">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三类</w:t>
            </w:r>
          </w:p>
        </w:tc>
        <w:tc>
          <w:tcPr>
            <w:tcW w:w="2431" w:type="dxa"/>
            <w:vAlign w:val="center"/>
          </w:tcPr>
          <w:p w14:paraId="661139CE">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元/平方米·年</w:t>
            </w:r>
          </w:p>
        </w:tc>
        <w:tc>
          <w:tcPr>
            <w:tcW w:w="1680" w:type="dxa"/>
            <w:vAlign w:val="center"/>
          </w:tcPr>
          <w:p w14:paraId="456ECA1E">
            <w:pPr>
              <w:spacing w:line="360" w:lineRule="auto"/>
              <w:jc w:val="center"/>
              <w:rPr>
                <w:rFonts w:hint="eastAsia" w:ascii="仿宋" w:hAnsi="仿宋" w:eastAsia="仿宋" w:cs="仿宋"/>
                <w:color w:val="auto"/>
                <w:sz w:val="24"/>
                <w:szCs w:val="24"/>
                <w:highlight w:val="none"/>
              </w:rPr>
            </w:pPr>
          </w:p>
        </w:tc>
        <w:tc>
          <w:tcPr>
            <w:tcW w:w="1800" w:type="dxa"/>
            <w:vAlign w:val="center"/>
          </w:tcPr>
          <w:p w14:paraId="571FF893">
            <w:pPr>
              <w:spacing w:line="360" w:lineRule="auto"/>
              <w:jc w:val="center"/>
              <w:rPr>
                <w:rFonts w:hint="eastAsia" w:ascii="仿宋" w:hAnsi="仿宋" w:eastAsia="仿宋" w:cs="仿宋"/>
                <w:color w:val="auto"/>
                <w:sz w:val="24"/>
                <w:szCs w:val="24"/>
                <w:highlight w:val="none"/>
              </w:rPr>
            </w:pPr>
          </w:p>
        </w:tc>
        <w:tc>
          <w:tcPr>
            <w:tcW w:w="1755" w:type="dxa"/>
            <w:vAlign w:val="center"/>
          </w:tcPr>
          <w:p w14:paraId="20FF18D9">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3年，绿化养护报价中：日常养护费占70%，更新改造费占30%</w:t>
            </w:r>
          </w:p>
        </w:tc>
        <w:tc>
          <w:tcPr>
            <w:tcW w:w="1890" w:type="dxa"/>
            <w:vAlign w:val="center"/>
          </w:tcPr>
          <w:p w14:paraId="1E6C8AD5">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最高限价为3.72元/㎡.年</w:t>
            </w:r>
          </w:p>
        </w:tc>
      </w:tr>
      <w:tr w14:paraId="63A13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795" w:type="dxa"/>
            <w:vAlign w:val="center"/>
          </w:tcPr>
          <w:p w14:paraId="7E30287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398" w:type="dxa"/>
            <w:vAlign w:val="center"/>
          </w:tcPr>
          <w:p w14:paraId="42B1B274">
            <w:pPr>
              <w:widowControl/>
              <w:jc w:val="center"/>
              <w:textAlignment w:val="center"/>
              <w:rPr>
                <w:rFonts w:hint="eastAsia" w:ascii="仿宋" w:hAnsi="仿宋" w:eastAsia="仿宋" w:cs="仿宋"/>
                <w:color w:val="FF0000"/>
                <w:sz w:val="24"/>
                <w:szCs w:val="24"/>
                <w:highlight w:val="yellow"/>
              </w:rPr>
            </w:pPr>
            <w:r>
              <w:rPr>
                <w:rFonts w:hint="eastAsia" w:ascii="仿宋" w:hAnsi="仿宋" w:eastAsia="仿宋" w:cs="仿宋"/>
                <w:i w:val="0"/>
                <w:iCs w:val="0"/>
                <w:color w:val="auto"/>
                <w:sz w:val="24"/>
                <w:szCs w:val="24"/>
                <w:highlight w:val="none"/>
                <w:u w:val="none"/>
                <w:lang w:val="en-US" w:eastAsia="zh-CN"/>
              </w:rPr>
              <w:t>市政</w:t>
            </w:r>
          </w:p>
        </w:tc>
        <w:tc>
          <w:tcPr>
            <w:tcW w:w="1458" w:type="dxa"/>
            <w:vAlign w:val="center"/>
          </w:tcPr>
          <w:p w14:paraId="170D37F9">
            <w:pPr>
              <w:keepNext w:val="0"/>
              <w:keepLines w:val="0"/>
              <w:widowControl/>
              <w:suppressLineNumbers w:val="0"/>
              <w:jc w:val="center"/>
              <w:textAlignment w:val="center"/>
              <w:rPr>
                <w:rFonts w:hint="eastAsia" w:ascii="仿宋" w:hAnsi="仿宋" w:eastAsia="仿宋" w:cs="仿宋"/>
                <w:color w:val="FF0000"/>
                <w:sz w:val="24"/>
                <w:szCs w:val="24"/>
                <w:highlight w:val="yellow"/>
              </w:rPr>
            </w:pPr>
            <w:r>
              <w:rPr>
                <w:rFonts w:hint="eastAsia" w:ascii="仿宋" w:hAnsi="仿宋" w:eastAsia="仿宋" w:cs="仿宋"/>
                <w:color w:val="auto"/>
                <w:sz w:val="24"/>
                <w:szCs w:val="24"/>
                <w:highlight w:val="none"/>
              </w:rPr>
              <w:t>181947.57</w:t>
            </w:r>
          </w:p>
        </w:tc>
        <w:tc>
          <w:tcPr>
            <w:tcW w:w="1638" w:type="dxa"/>
            <w:vAlign w:val="center"/>
          </w:tcPr>
          <w:p w14:paraId="3CC540AF">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2431" w:type="dxa"/>
            <w:vAlign w:val="center"/>
          </w:tcPr>
          <w:p w14:paraId="428F1935">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w:t>
            </w:r>
          </w:p>
        </w:tc>
        <w:tc>
          <w:tcPr>
            <w:tcW w:w="1680" w:type="dxa"/>
            <w:vAlign w:val="center"/>
          </w:tcPr>
          <w:p w14:paraId="31C0AB3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531927.17元</w:t>
            </w:r>
          </w:p>
        </w:tc>
        <w:tc>
          <w:tcPr>
            <w:tcW w:w="1800" w:type="dxa"/>
            <w:vAlign w:val="center"/>
          </w:tcPr>
          <w:p w14:paraId="475DC07C">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1595781.51</w:t>
            </w:r>
            <w:r>
              <w:rPr>
                <w:rFonts w:hint="eastAsia" w:ascii="仿宋" w:hAnsi="仿宋" w:eastAsia="仿宋" w:cs="仿宋"/>
                <w:color w:val="auto"/>
                <w:sz w:val="24"/>
                <w:szCs w:val="24"/>
                <w:highlight w:val="none"/>
              </w:rPr>
              <w:t>元</w:t>
            </w:r>
          </w:p>
        </w:tc>
        <w:tc>
          <w:tcPr>
            <w:tcW w:w="1755" w:type="dxa"/>
            <w:vAlign w:val="center"/>
          </w:tcPr>
          <w:p w14:paraId="0FE1AEC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3年，▲不作竞争性报价。</w:t>
            </w:r>
          </w:p>
        </w:tc>
        <w:tc>
          <w:tcPr>
            <w:tcW w:w="1890" w:type="dxa"/>
            <w:vAlign w:val="center"/>
          </w:tcPr>
          <w:p w14:paraId="4893989D">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sz w:val="24"/>
                <w:szCs w:val="24"/>
                <w:highlight w:val="none"/>
                <w:u w:val="none"/>
                <w:lang w:val="en-US"/>
              </w:rPr>
              <w:t>最高限价为</w:t>
            </w:r>
            <w:r>
              <w:rPr>
                <w:rFonts w:hint="eastAsia" w:ascii="仿宋" w:hAnsi="仿宋" w:eastAsia="仿宋" w:cs="仿宋"/>
                <w:color w:val="auto"/>
                <w:sz w:val="24"/>
                <w:szCs w:val="24"/>
                <w:highlight w:val="none"/>
              </w:rPr>
              <w:t>531927.17</w:t>
            </w:r>
            <w:r>
              <w:rPr>
                <w:rFonts w:hint="eastAsia" w:ascii="仿宋" w:hAnsi="仿宋" w:eastAsia="仿宋" w:cs="仿宋"/>
                <w:i w:val="0"/>
                <w:iCs w:val="0"/>
                <w:color w:val="auto"/>
                <w:sz w:val="24"/>
                <w:szCs w:val="24"/>
                <w:highlight w:val="none"/>
                <w:u w:val="none"/>
                <w:lang w:val="en-US" w:eastAsia="zh-CN"/>
              </w:rPr>
              <w:t>元/年</w:t>
            </w:r>
            <w:r>
              <w:rPr>
                <w:rFonts w:hint="eastAsia" w:ascii="仿宋" w:hAnsi="仿宋" w:eastAsia="仿宋" w:cs="仿宋"/>
                <w:i w:val="0"/>
                <w:iCs w:val="0"/>
                <w:color w:val="auto"/>
                <w:sz w:val="24"/>
                <w:szCs w:val="24"/>
                <w:highlight w:val="none"/>
                <w:u w:val="none"/>
                <w:lang w:val="en-US"/>
              </w:rPr>
              <w:t>，报价不做竞争。</w:t>
            </w:r>
          </w:p>
        </w:tc>
      </w:tr>
      <w:tr w14:paraId="4D9C7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289" w:type="dxa"/>
            <w:gridSpan w:val="4"/>
            <w:vAlign w:val="center"/>
          </w:tcPr>
          <w:p w14:paraId="64036726">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投标报价（1+2+3）（小写）</w:t>
            </w:r>
          </w:p>
        </w:tc>
        <w:tc>
          <w:tcPr>
            <w:tcW w:w="7666" w:type="dxa"/>
            <w:gridSpan w:val="4"/>
            <w:vAlign w:val="center"/>
          </w:tcPr>
          <w:p w14:paraId="2F9993C4">
            <w:pPr>
              <w:spacing w:line="360" w:lineRule="auto"/>
              <w:jc w:val="center"/>
              <w:rPr>
                <w:rFonts w:hint="eastAsia" w:ascii="仿宋" w:hAnsi="仿宋" w:eastAsia="仿宋" w:cs="仿宋"/>
                <w:color w:val="auto"/>
                <w:sz w:val="24"/>
                <w:szCs w:val="24"/>
                <w:highlight w:val="none"/>
              </w:rPr>
            </w:pPr>
          </w:p>
        </w:tc>
        <w:tc>
          <w:tcPr>
            <w:tcW w:w="1890" w:type="dxa"/>
            <w:vAlign w:val="center"/>
          </w:tcPr>
          <w:p w14:paraId="12974F2B">
            <w:pPr>
              <w:spacing w:line="360" w:lineRule="auto"/>
              <w:jc w:val="center"/>
              <w:rPr>
                <w:rFonts w:hint="eastAsia" w:ascii="仿宋" w:hAnsi="仿宋" w:eastAsia="仿宋" w:cs="仿宋"/>
                <w:color w:val="auto"/>
                <w:sz w:val="24"/>
                <w:szCs w:val="24"/>
                <w:highlight w:val="none"/>
              </w:rPr>
            </w:pPr>
          </w:p>
        </w:tc>
      </w:tr>
      <w:tr w14:paraId="1DC16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289" w:type="dxa"/>
            <w:gridSpan w:val="4"/>
            <w:vAlign w:val="center"/>
          </w:tcPr>
          <w:p w14:paraId="46AC1C11">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投标报价（大写）</w:t>
            </w:r>
          </w:p>
        </w:tc>
        <w:tc>
          <w:tcPr>
            <w:tcW w:w="7666" w:type="dxa"/>
            <w:gridSpan w:val="4"/>
            <w:vAlign w:val="center"/>
          </w:tcPr>
          <w:p w14:paraId="24D2DDFC">
            <w:pPr>
              <w:spacing w:line="360" w:lineRule="auto"/>
              <w:jc w:val="center"/>
              <w:rPr>
                <w:rFonts w:hint="eastAsia" w:ascii="仿宋" w:hAnsi="仿宋" w:eastAsia="仿宋" w:cs="仿宋"/>
                <w:color w:val="auto"/>
                <w:sz w:val="24"/>
                <w:szCs w:val="24"/>
                <w:highlight w:val="none"/>
              </w:rPr>
            </w:pPr>
          </w:p>
        </w:tc>
        <w:tc>
          <w:tcPr>
            <w:tcW w:w="1890" w:type="dxa"/>
            <w:vAlign w:val="center"/>
          </w:tcPr>
          <w:p w14:paraId="458B4792">
            <w:pPr>
              <w:spacing w:line="360" w:lineRule="auto"/>
              <w:jc w:val="center"/>
              <w:rPr>
                <w:rFonts w:hint="eastAsia" w:ascii="仿宋" w:hAnsi="仿宋" w:eastAsia="仿宋" w:cs="仿宋"/>
                <w:color w:val="auto"/>
                <w:sz w:val="24"/>
                <w:szCs w:val="24"/>
                <w:highlight w:val="none"/>
              </w:rPr>
            </w:pPr>
          </w:p>
        </w:tc>
      </w:tr>
    </w:tbl>
    <w:p w14:paraId="2799E488">
      <w:pPr>
        <w:pStyle w:val="23"/>
        <w:rPr>
          <w:rFonts w:hint="eastAsia"/>
          <w:lang w:val="zh-CN"/>
        </w:rPr>
      </w:pPr>
    </w:p>
    <w:p w14:paraId="6805EFDA">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2605B0E4">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7F9435C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仿宋" w:hAnsi="仿宋" w:eastAsia="仿宋" w:cs="仿宋"/>
          <w:color w:val="auto"/>
          <w:spacing w:val="0"/>
          <w:kern w:val="0"/>
          <w:sz w:val="24"/>
          <w:szCs w:val="24"/>
          <w:highlight w:val="none"/>
        </w:rPr>
        <w:t>总价</w:t>
      </w:r>
      <w:r>
        <w:rPr>
          <w:rFonts w:hint="eastAsia" w:ascii="仿宋" w:hAnsi="仿宋" w:eastAsia="仿宋" w:cs="仿宋"/>
          <w:color w:val="auto"/>
          <w:spacing w:val="0"/>
          <w:kern w:val="0"/>
          <w:sz w:val="24"/>
          <w:szCs w:val="24"/>
          <w:highlight w:val="none"/>
          <w:lang w:eastAsia="zh-CN"/>
        </w:rPr>
        <w:t>不为零</w:t>
      </w:r>
      <w:r>
        <w:rPr>
          <w:rFonts w:hint="eastAsia" w:ascii="仿宋" w:hAnsi="仿宋" w:eastAsia="仿宋" w:cs="仿宋"/>
          <w:color w:val="auto"/>
          <w:spacing w:val="0"/>
          <w:kern w:val="0"/>
          <w:sz w:val="24"/>
          <w:szCs w:val="24"/>
          <w:highlight w:val="none"/>
        </w:rPr>
        <w:t>，</w:t>
      </w:r>
      <w:r>
        <w:rPr>
          <w:rFonts w:hint="eastAsia" w:ascii="仿宋" w:hAnsi="仿宋" w:eastAsia="仿宋" w:cs="仿宋"/>
          <w:color w:val="auto"/>
          <w:spacing w:val="0"/>
          <w:kern w:val="0"/>
          <w:sz w:val="24"/>
          <w:szCs w:val="24"/>
          <w:highlight w:val="none"/>
          <w:lang w:eastAsia="zh-CN"/>
        </w:rPr>
        <w:t>部分</w:t>
      </w:r>
      <w:r>
        <w:rPr>
          <w:rFonts w:hint="eastAsia" w:ascii="仿宋" w:hAnsi="仿宋" w:eastAsia="仿宋" w:cs="仿宋"/>
          <w:color w:val="auto"/>
          <w:spacing w:val="0"/>
          <w:kern w:val="0"/>
          <w:sz w:val="24"/>
          <w:szCs w:val="24"/>
          <w:highlight w:val="none"/>
        </w:rPr>
        <w:t>产品、服务单价为零的，视作已包含在总价中</w:t>
      </w:r>
      <w:r>
        <w:rPr>
          <w:rFonts w:hint="eastAsia" w:ascii="仿宋" w:hAnsi="仿宋" w:eastAsia="仿宋" w:cs="仿宋"/>
          <w:color w:val="auto"/>
          <w:spacing w:val="0"/>
          <w:kern w:val="0"/>
          <w:sz w:val="24"/>
          <w:szCs w:val="24"/>
          <w:highlight w:val="none"/>
          <w:lang w:eastAsia="zh-CN"/>
        </w:rPr>
        <w:t>。</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4A378867">
      <w:pPr>
        <w:snapToGrid w:val="0"/>
        <w:spacing w:line="360" w:lineRule="auto"/>
        <w:ind w:firstLine="480" w:firstLineChars="200"/>
        <w:jc w:val="left"/>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710CB9A">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2E2BF48B">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995715E">
      <w:pPr>
        <w:pStyle w:val="693"/>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lang w:val="en-US" w:eastAsia="zh-CN"/>
        </w:rPr>
        <w:t>二、</w:t>
      </w:r>
      <w:r>
        <w:rPr>
          <w:rFonts w:hint="eastAsia" w:ascii="仿宋" w:hAnsi="仿宋" w:eastAsia="仿宋" w:cs="仿宋"/>
          <w:color w:val="auto"/>
          <w:sz w:val="32"/>
          <w:szCs w:val="32"/>
          <w:highlight w:val="none"/>
        </w:rPr>
        <w:t>中小企业声明函（如果有）</w:t>
      </w:r>
    </w:p>
    <w:p w14:paraId="7CC9C277">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0EB77924">
      <w:pPr>
        <w:pStyle w:val="80"/>
        <w:rPr>
          <w:rFonts w:hint="eastAsia" w:ascii="仿宋" w:hAnsi="仿宋" w:eastAsia="仿宋" w:cs="仿宋"/>
          <w:b/>
          <w:color w:val="auto"/>
          <w:sz w:val="24"/>
          <w:highlight w:val="none"/>
        </w:rPr>
      </w:pPr>
    </w:p>
    <w:p w14:paraId="1AA2EA6C">
      <w:pPr>
        <w:pStyle w:val="80"/>
        <w:rPr>
          <w:rFonts w:hint="eastAsia" w:ascii="仿宋" w:hAnsi="仿宋" w:eastAsia="仿宋" w:cs="仿宋"/>
          <w:b/>
          <w:color w:val="auto"/>
          <w:sz w:val="24"/>
          <w:highlight w:val="none"/>
        </w:rPr>
      </w:pPr>
    </w:p>
    <w:p w14:paraId="4AF87534">
      <w:pPr>
        <w:pStyle w:val="693"/>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14:paraId="33D4F674">
      <w:pPr>
        <w:spacing w:line="360" w:lineRule="auto"/>
        <w:ind w:right="420" w:firstLine="3614" w:firstLineChars="1000"/>
        <w:rPr>
          <w:rFonts w:hint="eastAsia" w:ascii="仿宋" w:hAnsi="仿宋" w:eastAsia="仿宋" w:cs="仿宋"/>
          <w:b/>
          <w:color w:val="auto"/>
          <w:kern w:val="0"/>
          <w:sz w:val="36"/>
          <w:szCs w:val="36"/>
          <w:highlight w:val="none"/>
        </w:rPr>
      </w:pPr>
    </w:p>
    <w:p w14:paraId="6BAC30FB">
      <w:pPr>
        <w:spacing w:line="360" w:lineRule="auto"/>
        <w:ind w:right="420" w:firstLine="3614" w:firstLineChars="1000"/>
        <w:rPr>
          <w:rFonts w:hint="eastAsia" w:ascii="仿宋" w:hAnsi="仿宋" w:eastAsia="仿宋" w:cs="仿宋"/>
          <w:b/>
          <w:color w:val="auto"/>
          <w:kern w:val="0"/>
          <w:sz w:val="36"/>
          <w:szCs w:val="36"/>
          <w:highlight w:val="none"/>
        </w:rPr>
      </w:pPr>
    </w:p>
    <w:p w14:paraId="43FD64A7">
      <w:pPr>
        <w:spacing w:line="360" w:lineRule="auto"/>
        <w:ind w:right="420" w:firstLine="3614" w:firstLineChars="1000"/>
        <w:rPr>
          <w:rFonts w:hint="eastAsia" w:ascii="仿宋" w:hAnsi="仿宋" w:eastAsia="仿宋" w:cs="仿宋"/>
          <w:b/>
          <w:color w:val="auto"/>
          <w:kern w:val="0"/>
          <w:sz w:val="36"/>
          <w:szCs w:val="36"/>
          <w:highlight w:val="none"/>
        </w:rPr>
      </w:pPr>
    </w:p>
    <w:p w14:paraId="461772AE">
      <w:pPr>
        <w:spacing w:line="360" w:lineRule="auto"/>
        <w:ind w:right="420" w:firstLine="3614" w:firstLineChars="1000"/>
        <w:rPr>
          <w:rFonts w:hint="eastAsia" w:ascii="仿宋" w:hAnsi="仿宋" w:eastAsia="仿宋" w:cs="仿宋"/>
          <w:b/>
          <w:color w:val="auto"/>
          <w:kern w:val="0"/>
          <w:sz w:val="36"/>
          <w:szCs w:val="36"/>
          <w:highlight w:val="none"/>
        </w:rPr>
      </w:pPr>
    </w:p>
    <w:p w14:paraId="79020EB4">
      <w:pPr>
        <w:spacing w:line="360" w:lineRule="auto"/>
        <w:ind w:right="420" w:firstLine="3614" w:firstLineChars="1000"/>
        <w:rPr>
          <w:rFonts w:hint="eastAsia" w:ascii="仿宋" w:hAnsi="仿宋" w:eastAsia="仿宋" w:cs="仿宋"/>
          <w:b/>
          <w:color w:val="auto"/>
          <w:kern w:val="0"/>
          <w:sz w:val="36"/>
          <w:szCs w:val="36"/>
          <w:highlight w:val="none"/>
        </w:rPr>
      </w:pPr>
    </w:p>
    <w:p w14:paraId="03609E24">
      <w:pPr>
        <w:spacing w:line="360" w:lineRule="auto"/>
        <w:ind w:right="420" w:firstLine="3614" w:firstLineChars="1000"/>
        <w:rPr>
          <w:rFonts w:hint="eastAsia" w:ascii="仿宋" w:hAnsi="仿宋" w:eastAsia="仿宋" w:cs="仿宋"/>
          <w:b/>
          <w:color w:val="auto"/>
          <w:kern w:val="0"/>
          <w:sz w:val="36"/>
          <w:szCs w:val="36"/>
          <w:highlight w:val="none"/>
        </w:rPr>
      </w:pPr>
    </w:p>
    <w:p w14:paraId="707D7CE0">
      <w:pPr>
        <w:spacing w:line="360" w:lineRule="auto"/>
        <w:ind w:right="420" w:firstLine="3614" w:firstLineChars="1000"/>
        <w:rPr>
          <w:rFonts w:hint="eastAsia" w:ascii="仿宋" w:hAnsi="仿宋" w:eastAsia="仿宋" w:cs="仿宋"/>
          <w:b/>
          <w:color w:val="auto"/>
          <w:kern w:val="0"/>
          <w:sz w:val="36"/>
          <w:szCs w:val="36"/>
          <w:highlight w:val="none"/>
        </w:rPr>
      </w:pPr>
    </w:p>
    <w:p w14:paraId="2FED25A0">
      <w:pPr>
        <w:spacing w:line="360" w:lineRule="auto"/>
        <w:ind w:right="420" w:firstLine="3614" w:firstLineChars="1000"/>
        <w:rPr>
          <w:rFonts w:hint="eastAsia" w:ascii="仿宋" w:hAnsi="仿宋" w:eastAsia="仿宋" w:cs="仿宋"/>
          <w:b/>
          <w:color w:val="auto"/>
          <w:kern w:val="0"/>
          <w:sz w:val="36"/>
          <w:szCs w:val="36"/>
          <w:highlight w:val="none"/>
        </w:rPr>
      </w:pPr>
    </w:p>
    <w:p w14:paraId="144D7808">
      <w:pPr>
        <w:spacing w:line="360" w:lineRule="auto"/>
        <w:ind w:right="420" w:firstLine="3614" w:firstLineChars="1000"/>
        <w:rPr>
          <w:rFonts w:hint="eastAsia" w:ascii="仿宋" w:hAnsi="仿宋" w:eastAsia="仿宋" w:cs="仿宋"/>
          <w:b/>
          <w:color w:val="auto"/>
          <w:kern w:val="0"/>
          <w:sz w:val="36"/>
          <w:szCs w:val="36"/>
          <w:highlight w:val="none"/>
        </w:rPr>
      </w:pPr>
    </w:p>
    <w:p w14:paraId="3D92A257">
      <w:pPr>
        <w:spacing w:line="360" w:lineRule="auto"/>
        <w:ind w:right="420" w:firstLine="3614" w:firstLineChars="1000"/>
        <w:rPr>
          <w:rFonts w:hint="eastAsia" w:ascii="仿宋" w:hAnsi="仿宋" w:eastAsia="仿宋" w:cs="仿宋"/>
          <w:b/>
          <w:color w:val="auto"/>
          <w:kern w:val="0"/>
          <w:sz w:val="36"/>
          <w:szCs w:val="36"/>
          <w:highlight w:val="none"/>
        </w:rPr>
      </w:pPr>
    </w:p>
    <w:p w14:paraId="1F93F3A9">
      <w:pPr>
        <w:spacing w:line="360" w:lineRule="auto"/>
        <w:ind w:right="420" w:firstLine="3614" w:firstLineChars="1000"/>
        <w:rPr>
          <w:rFonts w:hint="eastAsia" w:ascii="仿宋" w:hAnsi="仿宋" w:eastAsia="仿宋" w:cs="仿宋"/>
          <w:b/>
          <w:color w:val="auto"/>
          <w:kern w:val="0"/>
          <w:sz w:val="36"/>
          <w:szCs w:val="36"/>
          <w:highlight w:val="none"/>
        </w:rPr>
      </w:pPr>
    </w:p>
    <w:p w14:paraId="4F8F70F7">
      <w:pPr>
        <w:spacing w:line="360" w:lineRule="auto"/>
        <w:ind w:right="420" w:firstLine="3614" w:firstLineChars="1000"/>
        <w:rPr>
          <w:rFonts w:hint="eastAsia" w:ascii="仿宋" w:hAnsi="仿宋" w:eastAsia="仿宋" w:cs="仿宋"/>
          <w:b/>
          <w:color w:val="auto"/>
          <w:kern w:val="0"/>
          <w:sz w:val="36"/>
          <w:szCs w:val="36"/>
          <w:highlight w:val="none"/>
        </w:rPr>
      </w:pPr>
    </w:p>
    <w:p w14:paraId="4B15FB6C">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p>
    <w:p w14:paraId="3E614CA6">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265346D3">
      <w:pPr>
        <w:spacing w:line="360" w:lineRule="auto"/>
        <w:jc w:val="center"/>
        <w:rPr>
          <w:rFonts w:hint="eastAsia" w:ascii="仿宋" w:hAnsi="仿宋" w:eastAsia="仿宋" w:cs="仿宋"/>
          <w:b/>
          <w:color w:val="auto"/>
          <w:spacing w:val="6"/>
          <w:sz w:val="32"/>
          <w:szCs w:val="32"/>
          <w:highlight w:val="none"/>
        </w:rPr>
      </w:pPr>
      <w:bookmarkStart w:id="513" w:name="OLE_LINK14"/>
      <w:bookmarkStart w:id="514" w:name="OLE_LINK13"/>
      <w:r>
        <w:rPr>
          <w:rFonts w:hint="eastAsia" w:ascii="仿宋" w:hAnsi="仿宋" w:eastAsia="仿宋" w:cs="仿宋"/>
          <w:b/>
          <w:color w:val="auto"/>
          <w:spacing w:val="6"/>
          <w:sz w:val="32"/>
          <w:szCs w:val="32"/>
          <w:highlight w:val="none"/>
        </w:rPr>
        <w:t>残疾人福利性单位声明函</w:t>
      </w:r>
    </w:p>
    <w:bookmarkEnd w:id="513"/>
    <w:bookmarkEnd w:id="514"/>
    <w:p w14:paraId="644B776E">
      <w:pPr>
        <w:spacing w:line="360" w:lineRule="auto"/>
        <w:rPr>
          <w:rFonts w:hint="eastAsia" w:ascii="仿宋" w:hAnsi="仿宋" w:eastAsia="仿宋" w:cs="仿宋"/>
          <w:b/>
          <w:color w:val="auto"/>
          <w:spacing w:val="6"/>
          <w:sz w:val="30"/>
          <w:szCs w:val="30"/>
          <w:highlight w:val="none"/>
        </w:rPr>
      </w:pPr>
    </w:p>
    <w:p w14:paraId="7296717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2B8D15C4">
      <w:pPr>
        <w:spacing w:line="360" w:lineRule="auto"/>
        <w:ind w:firstLine="480" w:firstLineChars="200"/>
        <w:rPr>
          <w:rFonts w:hint="eastAsia" w:ascii="仿宋" w:hAnsi="仿宋" w:eastAsia="仿宋" w:cs="仿宋"/>
          <w:color w:val="auto"/>
          <w:sz w:val="24"/>
          <w:highlight w:val="none"/>
        </w:rPr>
      </w:pPr>
    </w:p>
    <w:p w14:paraId="4A4E7005">
      <w:pPr>
        <w:spacing w:line="360" w:lineRule="auto"/>
        <w:ind w:firstLine="480" w:firstLineChars="200"/>
        <w:rPr>
          <w:rFonts w:hint="eastAsia" w:ascii="仿宋" w:hAnsi="仿宋" w:eastAsia="仿宋" w:cs="仿宋"/>
          <w:color w:val="auto"/>
          <w:sz w:val="24"/>
          <w:highlight w:val="none"/>
        </w:rPr>
      </w:pPr>
    </w:p>
    <w:p w14:paraId="7A378528">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3AD4830B">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168F2440">
      <w:pPr>
        <w:spacing w:line="360" w:lineRule="auto"/>
        <w:ind w:firstLine="480" w:firstLineChars="200"/>
        <w:rPr>
          <w:rFonts w:hint="eastAsia" w:ascii="仿宋" w:hAnsi="仿宋" w:eastAsia="仿宋" w:cs="仿宋"/>
          <w:color w:val="auto"/>
          <w:sz w:val="24"/>
          <w:highlight w:val="none"/>
        </w:rPr>
      </w:pPr>
    </w:p>
    <w:p w14:paraId="51EDB0FD">
      <w:pPr>
        <w:spacing w:line="360" w:lineRule="auto"/>
        <w:ind w:firstLine="420" w:firstLineChars="200"/>
        <w:rPr>
          <w:rFonts w:hint="eastAsia" w:ascii="仿宋" w:hAnsi="仿宋" w:eastAsia="仿宋" w:cs="仿宋"/>
          <w:color w:val="auto"/>
          <w:highlight w:val="none"/>
        </w:rPr>
      </w:pPr>
    </w:p>
    <w:p w14:paraId="1AFE5B6B">
      <w:pPr>
        <w:spacing w:line="360" w:lineRule="auto"/>
        <w:ind w:firstLine="420" w:firstLineChars="200"/>
        <w:rPr>
          <w:rFonts w:hint="eastAsia" w:ascii="仿宋" w:hAnsi="仿宋" w:eastAsia="仿宋" w:cs="仿宋"/>
          <w:color w:val="auto"/>
          <w:highlight w:val="none"/>
        </w:rPr>
      </w:pPr>
    </w:p>
    <w:p w14:paraId="2C136107">
      <w:pPr>
        <w:spacing w:line="360" w:lineRule="auto"/>
        <w:ind w:firstLine="420" w:firstLineChars="200"/>
        <w:rPr>
          <w:rFonts w:hint="eastAsia" w:ascii="仿宋" w:hAnsi="仿宋" w:eastAsia="仿宋" w:cs="仿宋"/>
          <w:color w:val="auto"/>
          <w:highlight w:val="none"/>
        </w:rPr>
      </w:pPr>
    </w:p>
    <w:p w14:paraId="14B97413">
      <w:pPr>
        <w:spacing w:line="360" w:lineRule="auto"/>
        <w:ind w:firstLine="420" w:firstLineChars="200"/>
        <w:rPr>
          <w:rFonts w:hint="eastAsia" w:ascii="仿宋" w:hAnsi="仿宋" w:eastAsia="仿宋" w:cs="仿宋"/>
          <w:color w:val="auto"/>
          <w:highlight w:val="none"/>
        </w:rPr>
      </w:pPr>
    </w:p>
    <w:p w14:paraId="76D967EC">
      <w:pPr>
        <w:pStyle w:val="23"/>
        <w:rPr>
          <w:rFonts w:hint="eastAsia" w:ascii="仿宋" w:hAnsi="仿宋" w:eastAsia="仿宋" w:cs="仿宋"/>
          <w:color w:val="auto"/>
          <w:highlight w:val="none"/>
        </w:rPr>
      </w:pPr>
    </w:p>
    <w:p w14:paraId="2B3B9B40">
      <w:pPr>
        <w:pStyle w:val="24"/>
        <w:rPr>
          <w:rFonts w:hint="eastAsia" w:ascii="仿宋" w:hAnsi="仿宋" w:eastAsia="仿宋" w:cs="仿宋"/>
          <w:color w:val="auto"/>
          <w:highlight w:val="none"/>
        </w:rPr>
      </w:pPr>
    </w:p>
    <w:p w14:paraId="7FB62237">
      <w:pPr>
        <w:pStyle w:val="25"/>
        <w:rPr>
          <w:rFonts w:hint="eastAsia"/>
        </w:rPr>
      </w:pPr>
    </w:p>
    <w:p w14:paraId="4165D934">
      <w:pPr>
        <w:spacing w:line="360" w:lineRule="auto"/>
        <w:rPr>
          <w:rFonts w:hint="eastAsia" w:ascii="仿宋" w:hAnsi="仿宋" w:eastAsia="仿宋" w:cs="仿宋"/>
          <w:b/>
          <w:color w:val="auto"/>
          <w:sz w:val="24"/>
          <w:highlight w:val="none"/>
        </w:rPr>
      </w:pPr>
    </w:p>
    <w:p w14:paraId="575CC771">
      <w:pPr>
        <w:spacing w:line="360" w:lineRule="auto"/>
        <w:rPr>
          <w:rFonts w:hint="eastAsia" w:ascii="仿宋" w:hAnsi="仿宋" w:eastAsia="仿宋" w:cs="仿宋"/>
          <w:b/>
          <w:color w:val="auto"/>
          <w:sz w:val="24"/>
          <w:highlight w:val="none"/>
        </w:rPr>
      </w:pPr>
    </w:p>
    <w:p w14:paraId="2D596182">
      <w:pPr>
        <w:spacing w:line="360" w:lineRule="auto"/>
        <w:rPr>
          <w:rFonts w:hint="eastAsia" w:ascii="仿宋" w:hAnsi="仿宋" w:eastAsia="仿宋" w:cs="仿宋"/>
          <w:b/>
          <w:color w:val="auto"/>
          <w:sz w:val="24"/>
          <w:highlight w:val="none"/>
        </w:rPr>
      </w:pPr>
    </w:p>
    <w:p w14:paraId="444EDB10">
      <w:pPr>
        <w:spacing w:line="360" w:lineRule="auto"/>
        <w:rPr>
          <w:rFonts w:hint="eastAsia" w:ascii="仿宋" w:hAnsi="仿宋" w:eastAsia="仿宋" w:cs="仿宋"/>
          <w:b/>
          <w:color w:val="auto"/>
          <w:sz w:val="24"/>
          <w:highlight w:val="none"/>
        </w:rPr>
      </w:pPr>
    </w:p>
    <w:p w14:paraId="73E8755E">
      <w:pPr>
        <w:spacing w:line="360" w:lineRule="auto"/>
        <w:rPr>
          <w:rFonts w:hint="eastAsia" w:ascii="仿宋" w:hAnsi="仿宋" w:eastAsia="仿宋" w:cs="仿宋"/>
          <w:b/>
          <w:color w:val="auto"/>
          <w:sz w:val="24"/>
          <w:highlight w:val="none"/>
        </w:rPr>
      </w:pPr>
    </w:p>
    <w:p w14:paraId="698BDF1A">
      <w:pPr>
        <w:spacing w:line="360" w:lineRule="auto"/>
        <w:rPr>
          <w:rFonts w:hint="eastAsia" w:ascii="仿宋" w:hAnsi="仿宋" w:eastAsia="仿宋" w:cs="仿宋"/>
          <w:b/>
          <w:color w:val="auto"/>
          <w:sz w:val="24"/>
          <w:highlight w:val="none"/>
        </w:rPr>
      </w:pPr>
    </w:p>
    <w:p w14:paraId="2F37603A">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18D593ED">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5F7A74C7">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01C8B7A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6F26DF9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2FD45BF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A7F616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230B3E5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43974D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40E521CD">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3398990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4096133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0B70377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0AF79AB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0555B4C6">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50CB08D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7E2D813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7A2A15E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199D5F5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1ECE2B5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F67283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76740CE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056DB144">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672CF13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6322068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2F4FDC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6A5FC3F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17FE1AF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796C3DA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1861F87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hint="eastAsia" w:ascii="仿宋" w:hAnsi="仿宋" w:eastAsia="仿宋" w:cs="仿宋"/>
          <w:color w:val="auto"/>
          <w:sz w:val="30"/>
          <w:szCs w:val="30"/>
          <w:highlight w:val="none"/>
        </w:rPr>
      </w:pPr>
    </w:p>
    <w:p w14:paraId="7DD96783">
      <w:pPr>
        <w:spacing w:line="360" w:lineRule="auto"/>
        <w:jc w:val="center"/>
        <w:rPr>
          <w:rFonts w:hint="eastAsia" w:ascii="仿宋" w:hAnsi="仿宋" w:eastAsia="仿宋" w:cs="仿宋"/>
          <w:b/>
          <w:color w:val="auto"/>
          <w:spacing w:val="6"/>
          <w:sz w:val="32"/>
          <w:szCs w:val="32"/>
          <w:highlight w:val="none"/>
        </w:rPr>
      </w:pPr>
    </w:p>
    <w:p w14:paraId="4796C07D">
      <w:pPr>
        <w:spacing w:line="360" w:lineRule="auto"/>
        <w:jc w:val="center"/>
        <w:rPr>
          <w:rFonts w:hint="eastAsia" w:ascii="仿宋" w:hAnsi="仿宋" w:eastAsia="仿宋" w:cs="仿宋"/>
          <w:b/>
          <w:color w:val="auto"/>
          <w:spacing w:val="6"/>
          <w:sz w:val="32"/>
          <w:szCs w:val="32"/>
          <w:highlight w:val="none"/>
        </w:rPr>
      </w:pPr>
    </w:p>
    <w:p w14:paraId="34ABC162">
      <w:pPr>
        <w:spacing w:line="360" w:lineRule="auto"/>
        <w:jc w:val="center"/>
        <w:rPr>
          <w:rFonts w:hint="eastAsia" w:ascii="仿宋" w:hAnsi="仿宋" w:eastAsia="仿宋" w:cs="仿宋"/>
          <w:b/>
          <w:color w:val="auto"/>
          <w:spacing w:val="6"/>
          <w:sz w:val="32"/>
          <w:szCs w:val="32"/>
          <w:highlight w:val="none"/>
        </w:rPr>
      </w:pPr>
    </w:p>
    <w:p w14:paraId="7EADAACE">
      <w:pPr>
        <w:spacing w:line="360" w:lineRule="auto"/>
        <w:jc w:val="center"/>
        <w:rPr>
          <w:rFonts w:hint="eastAsia" w:ascii="仿宋" w:hAnsi="仿宋" w:eastAsia="仿宋" w:cs="仿宋"/>
          <w:b/>
          <w:color w:val="auto"/>
          <w:spacing w:val="6"/>
          <w:sz w:val="32"/>
          <w:szCs w:val="32"/>
          <w:highlight w:val="none"/>
        </w:rPr>
      </w:pPr>
    </w:p>
    <w:p w14:paraId="3FE6DAAA">
      <w:pPr>
        <w:spacing w:line="360" w:lineRule="auto"/>
        <w:jc w:val="center"/>
        <w:rPr>
          <w:rFonts w:hint="eastAsia" w:ascii="仿宋" w:hAnsi="仿宋" w:eastAsia="仿宋" w:cs="仿宋"/>
          <w:b/>
          <w:color w:val="auto"/>
          <w:spacing w:val="6"/>
          <w:sz w:val="32"/>
          <w:szCs w:val="32"/>
          <w:highlight w:val="none"/>
        </w:rPr>
      </w:pPr>
    </w:p>
    <w:p w14:paraId="01224C28">
      <w:pPr>
        <w:spacing w:line="360" w:lineRule="auto"/>
        <w:jc w:val="center"/>
        <w:rPr>
          <w:rFonts w:hint="eastAsia" w:ascii="仿宋" w:hAnsi="仿宋" w:eastAsia="仿宋" w:cs="仿宋"/>
          <w:b/>
          <w:color w:val="auto"/>
          <w:spacing w:val="6"/>
          <w:sz w:val="32"/>
          <w:szCs w:val="32"/>
          <w:highlight w:val="none"/>
        </w:rPr>
      </w:pPr>
    </w:p>
    <w:p w14:paraId="3FAC232D">
      <w:pPr>
        <w:spacing w:line="360" w:lineRule="auto"/>
        <w:jc w:val="center"/>
        <w:rPr>
          <w:rFonts w:hint="eastAsia" w:ascii="仿宋" w:hAnsi="仿宋" w:eastAsia="仿宋" w:cs="仿宋"/>
          <w:b/>
          <w:color w:val="auto"/>
          <w:spacing w:val="6"/>
          <w:sz w:val="32"/>
          <w:szCs w:val="32"/>
          <w:highlight w:val="none"/>
        </w:rPr>
      </w:pPr>
    </w:p>
    <w:p w14:paraId="009CB44F">
      <w:pPr>
        <w:spacing w:line="360" w:lineRule="auto"/>
        <w:jc w:val="center"/>
        <w:rPr>
          <w:rFonts w:hint="eastAsia" w:ascii="仿宋" w:hAnsi="仿宋" w:eastAsia="仿宋" w:cs="仿宋"/>
          <w:b/>
          <w:color w:val="auto"/>
          <w:spacing w:val="6"/>
          <w:sz w:val="32"/>
          <w:szCs w:val="32"/>
          <w:highlight w:val="none"/>
        </w:rPr>
      </w:pPr>
    </w:p>
    <w:p w14:paraId="668EFC3D">
      <w:pPr>
        <w:spacing w:line="360" w:lineRule="auto"/>
        <w:jc w:val="center"/>
        <w:rPr>
          <w:rFonts w:hint="eastAsia" w:ascii="仿宋" w:hAnsi="仿宋" w:eastAsia="仿宋" w:cs="仿宋"/>
          <w:b/>
          <w:color w:val="auto"/>
          <w:spacing w:val="6"/>
          <w:sz w:val="32"/>
          <w:szCs w:val="32"/>
          <w:highlight w:val="none"/>
        </w:rPr>
      </w:pPr>
    </w:p>
    <w:p w14:paraId="0F78ED7D">
      <w:pPr>
        <w:spacing w:line="360" w:lineRule="auto"/>
        <w:jc w:val="left"/>
        <w:rPr>
          <w:rFonts w:hint="eastAsia" w:ascii="仿宋" w:hAnsi="仿宋" w:eastAsia="仿宋" w:cs="仿宋"/>
          <w:b/>
          <w:color w:val="auto"/>
          <w:spacing w:val="6"/>
          <w:sz w:val="32"/>
          <w:szCs w:val="32"/>
          <w:highlight w:val="none"/>
        </w:rPr>
      </w:pPr>
    </w:p>
    <w:p w14:paraId="389C1EA1">
      <w:pPr>
        <w:spacing w:line="360" w:lineRule="auto"/>
        <w:jc w:val="left"/>
        <w:rPr>
          <w:rFonts w:hint="eastAsia" w:ascii="仿宋" w:hAnsi="仿宋" w:eastAsia="仿宋" w:cs="仿宋"/>
          <w:b/>
          <w:color w:val="auto"/>
          <w:spacing w:val="6"/>
          <w:sz w:val="32"/>
          <w:szCs w:val="32"/>
          <w:highlight w:val="none"/>
        </w:rPr>
      </w:pPr>
    </w:p>
    <w:p w14:paraId="5EC140F6">
      <w:pPr>
        <w:pStyle w:val="23"/>
        <w:rPr>
          <w:rFonts w:hint="eastAsia" w:ascii="仿宋" w:hAnsi="仿宋" w:eastAsia="仿宋" w:cs="仿宋"/>
          <w:b/>
          <w:color w:val="auto"/>
          <w:spacing w:val="6"/>
          <w:sz w:val="32"/>
          <w:szCs w:val="32"/>
          <w:highlight w:val="none"/>
        </w:rPr>
      </w:pPr>
    </w:p>
    <w:p w14:paraId="1AC9749F">
      <w:pPr>
        <w:pStyle w:val="24"/>
        <w:rPr>
          <w:rFonts w:hint="eastAsia" w:ascii="仿宋" w:hAnsi="仿宋" w:eastAsia="仿宋" w:cs="仿宋"/>
          <w:b/>
          <w:color w:val="auto"/>
          <w:spacing w:val="6"/>
          <w:sz w:val="32"/>
          <w:szCs w:val="32"/>
          <w:highlight w:val="none"/>
        </w:rPr>
      </w:pPr>
    </w:p>
    <w:p w14:paraId="0FB6EE70">
      <w:pPr>
        <w:pStyle w:val="25"/>
        <w:rPr>
          <w:rFonts w:hint="eastAsia" w:ascii="仿宋" w:hAnsi="仿宋" w:eastAsia="仿宋" w:cs="仿宋"/>
          <w:b/>
          <w:color w:val="auto"/>
          <w:spacing w:val="6"/>
          <w:sz w:val="32"/>
          <w:szCs w:val="32"/>
          <w:highlight w:val="none"/>
        </w:rPr>
      </w:pPr>
    </w:p>
    <w:p w14:paraId="2FB30375">
      <w:pPr>
        <w:rPr>
          <w:rFonts w:hint="eastAsia" w:ascii="仿宋" w:hAnsi="仿宋" w:eastAsia="仿宋" w:cs="仿宋"/>
          <w:b/>
          <w:color w:val="auto"/>
          <w:spacing w:val="6"/>
          <w:sz w:val="32"/>
          <w:szCs w:val="32"/>
          <w:highlight w:val="none"/>
        </w:rPr>
      </w:pPr>
    </w:p>
    <w:p w14:paraId="4AABCD80">
      <w:pPr>
        <w:pStyle w:val="23"/>
        <w:rPr>
          <w:rFonts w:hint="eastAsia"/>
        </w:rPr>
      </w:pPr>
    </w:p>
    <w:p w14:paraId="42853BF6">
      <w:pPr>
        <w:spacing w:line="360" w:lineRule="auto"/>
        <w:jc w:val="left"/>
        <w:rPr>
          <w:rFonts w:hint="eastAsia" w:ascii="仿宋" w:hAnsi="仿宋" w:eastAsia="仿宋" w:cs="仿宋"/>
          <w:b/>
          <w:color w:val="auto"/>
          <w:spacing w:val="6"/>
          <w:sz w:val="32"/>
          <w:szCs w:val="32"/>
          <w:highlight w:val="none"/>
        </w:rPr>
      </w:pPr>
    </w:p>
    <w:p w14:paraId="4D8C628D">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7E4EDDD9">
      <w:pPr>
        <w:spacing w:line="360" w:lineRule="auto"/>
        <w:jc w:val="center"/>
        <w:rPr>
          <w:rFonts w:hint="eastAsia" w:ascii="仿宋" w:hAnsi="仿宋" w:eastAsia="仿宋" w:cs="仿宋"/>
          <w:b/>
          <w:color w:val="auto"/>
          <w:sz w:val="24"/>
          <w:highlight w:val="none"/>
        </w:rPr>
      </w:pPr>
    </w:p>
    <w:p w14:paraId="05942B32">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12C493C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2A0C500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48D014B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6483F6B">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9375B93">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5F7162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97F4AE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3D5C1F5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134F98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86B2A0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61D544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584F4C2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7AE9790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C22ABC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12A238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F8F3DD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13C5949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0683C5D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0CDFC2D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235188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409F927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2401EE8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30C3B54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6D848F90">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7F68C9D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2BD79D4">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561A843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2D566C3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6D162C8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39ED69F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A5AD91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491A149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DC5E9F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109CAD8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43F69D3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1E25155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4B99AD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5BB97F2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68CC0B1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52555B6A">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4849861E">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hint="eastAsia" w:ascii="仿宋" w:hAnsi="仿宋" w:eastAsia="仿宋" w:cs="仿宋"/>
          <w:b/>
          <w:color w:val="auto"/>
          <w:spacing w:val="6"/>
          <w:sz w:val="32"/>
          <w:szCs w:val="32"/>
          <w:highlight w:val="none"/>
        </w:rPr>
      </w:pPr>
    </w:p>
    <w:p w14:paraId="4C65DFE0">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40E7C7AE">
      <w:pPr>
        <w:spacing w:line="360" w:lineRule="auto"/>
        <w:rPr>
          <w:rFonts w:hint="eastAsia" w:ascii="仿宋" w:hAnsi="仿宋" w:eastAsia="仿宋" w:cs="仿宋"/>
          <w:color w:val="auto"/>
          <w:sz w:val="24"/>
          <w:highlight w:val="none"/>
          <w:u w:val="single"/>
        </w:rPr>
      </w:pPr>
    </w:p>
    <w:p w14:paraId="79E9365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2693B94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7BCC1A51">
      <w:pPr>
        <w:spacing w:line="360" w:lineRule="auto"/>
        <w:ind w:firstLine="494"/>
        <w:rPr>
          <w:rFonts w:hint="eastAsia" w:ascii="仿宋" w:hAnsi="仿宋" w:eastAsia="仿宋" w:cs="仿宋"/>
          <w:color w:val="auto"/>
          <w:sz w:val="24"/>
          <w:highlight w:val="none"/>
        </w:rPr>
      </w:pPr>
    </w:p>
    <w:p w14:paraId="729DC0D8">
      <w:pPr>
        <w:spacing w:line="360" w:lineRule="auto"/>
        <w:ind w:firstLine="494"/>
        <w:rPr>
          <w:rFonts w:hint="eastAsia" w:ascii="仿宋" w:hAnsi="仿宋" w:eastAsia="仿宋" w:cs="仿宋"/>
          <w:color w:val="auto"/>
          <w:sz w:val="24"/>
          <w:highlight w:val="none"/>
        </w:rPr>
      </w:pPr>
    </w:p>
    <w:p w14:paraId="579D2806">
      <w:pPr>
        <w:spacing w:line="360" w:lineRule="auto"/>
        <w:ind w:firstLine="494"/>
        <w:rPr>
          <w:rFonts w:hint="eastAsia" w:ascii="仿宋" w:hAnsi="仿宋" w:eastAsia="仿宋" w:cs="仿宋"/>
          <w:color w:val="auto"/>
          <w:sz w:val="24"/>
          <w:highlight w:val="none"/>
        </w:rPr>
      </w:pPr>
    </w:p>
    <w:p w14:paraId="69143BA4">
      <w:pPr>
        <w:spacing w:line="360" w:lineRule="auto"/>
        <w:ind w:firstLine="494"/>
        <w:rPr>
          <w:rFonts w:hint="eastAsia" w:ascii="仿宋" w:hAnsi="仿宋" w:eastAsia="仿宋" w:cs="仿宋"/>
          <w:color w:val="auto"/>
          <w:sz w:val="24"/>
          <w:highlight w:val="none"/>
        </w:rPr>
      </w:pPr>
    </w:p>
    <w:p w14:paraId="06F85905">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3EEA8048">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71B2A1E3">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2E1BDE0F">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74574D01">
      <w:pPr>
        <w:autoSpaceDE w:val="0"/>
        <w:autoSpaceDN w:val="0"/>
        <w:jc w:val="center"/>
        <w:rPr>
          <w:rFonts w:hint="eastAsia" w:ascii="仿宋" w:hAnsi="仿宋" w:eastAsia="仿宋" w:cs="仿宋"/>
          <w:b/>
          <w:color w:val="auto"/>
          <w:spacing w:val="6"/>
          <w:sz w:val="32"/>
          <w:szCs w:val="32"/>
          <w:highlight w:val="none"/>
        </w:rPr>
      </w:pPr>
    </w:p>
    <w:p w14:paraId="12472987">
      <w:pPr>
        <w:autoSpaceDE w:val="0"/>
        <w:autoSpaceDN w:val="0"/>
        <w:jc w:val="center"/>
        <w:rPr>
          <w:rFonts w:hint="eastAsia" w:ascii="仿宋" w:hAnsi="仿宋" w:eastAsia="仿宋" w:cs="仿宋"/>
          <w:b/>
          <w:color w:val="auto"/>
          <w:spacing w:val="6"/>
          <w:sz w:val="32"/>
          <w:szCs w:val="32"/>
          <w:highlight w:val="none"/>
        </w:rPr>
      </w:pPr>
    </w:p>
    <w:p w14:paraId="40952730">
      <w:pPr>
        <w:autoSpaceDE w:val="0"/>
        <w:autoSpaceDN w:val="0"/>
        <w:jc w:val="center"/>
        <w:rPr>
          <w:rFonts w:hint="eastAsia" w:ascii="仿宋" w:hAnsi="仿宋" w:eastAsia="仿宋" w:cs="仿宋"/>
          <w:b/>
          <w:color w:val="auto"/>
          <w:spacing w:val="6"/>
          <w:sz w:val="32"/>
          <w:szCs w:val="32"/>
          <w:highlight w:val="none"/>
        </w:rPr>
      </w:pPr>
    </w:p>
    <w:p w14:paraId="14C0A765">
      <w:pPr>
        <w:autoSpaceDE w:val="0"/>
        <w:autoSpaceDN w:val="0"/>
        <w:jc w:val="center"/>
        <w:rPr>
          <w:rFonts w:hint="eastAsia" w:ascii="仿宋" w:hAnsi="仿宋" w:eastAsia="仿宋" w:cs="仿宋"/>
          <w:b/>
          <w:color w:val="auto"/>
          <w:spacing w:val="6"/>
          <w:sz w:val="32"/>
          <w:szCs w:val="32"/>
          <w:highlight w:val="none"/>
        </w:rPr>
      </w:pPr>
    </w:p>
    <w:p w14:paraId="03F6D7F9">
      <w:pPr>
        <w:autoSpaceDE w:val="0"/>
        <w:autoSpaceDN w:val="0"/>
        <w:jc w:val="center"/>
        <w:rPr>
          <w:rFonts w:hint="eastAsia" w:ascii="仿宋" w:hAnsi="仿宋" w:eastAsia="仿宋" w:cs="仿宋"/>
          <w:b/>
          <w:color w:val="auto"/>
          <w:spacing w:val="6"/>
          <w:sz w:val="32"/>
          <w:szCs w:val="32"/>
          <w:highlight w:val="none"/>
        </w:rPr>
      </w:pPr>
    </w:p>
    <w:p w14:paraId="4D557FCA">
      <w:pPr>
        <w:autoSpaceDE w:val="0"/>
        <w:autoSpaceDN w:val="0"/>
        <w:jc w:val="center"/>
        <w:rPr>
          <w:rFonts w:hint="eastAsia" w:ascii="仿宋" w:hAnsi="仿宋" w:eastAsia="仿宋" w:cs="仿宋"/>
          <w:b/>
          <w:color w:val="auto"/>
          <w:spacing w:val="6"/>
          <w:sz w:val="32"/>
          <w:szCs w:val="32"/>
          <w:highlight w:val="none"/>
        </w:rPr>
      </w:pPr>
    </w:p>
    <w:p w14:paraId="747D5734">
      <w:pPr>
        <w:autoSpaceDE w:val="0"/>
        <w:autoSpaceDN w:val="0"/>
        <w:jc w:val="center"/>
        <w:rPr>
          <w:rFonts w:hint="eastAsia" w:ascii="仿宋" w:hAnsi="仿宋" w:eastAsia="仿宋" w:cs="仿宋"/>
          <w:b/>
          <w:color w:val="auto"/>
          <w:spacing w:val="6"/>
          <w:sz w:val="32"/>
          <w:szCs w:val="32"/>
          <w:highlight w:val="none"/>
        </w:rPr>
      </w:pPr>
    </w:p>
    <w:p w14:paraId="6CFA4C0C">
      <w:pPr>
        <w:autoSpaceDE w:val="0"/>
        <w:autoSpaceDN w:val="0"/>
        <w:jc w:val="center"/>
        <w:rPr>
          <w:rFonts w:hint="eastAsia" w:ascii="仿宋" w:hAnsi="仿宋" w:eastAsia="仿宋" w:cs="仿宋"/>
          <w:b/>
          <w:color w:val="auto"/>
          <w:spacing w:val="6"/>
          <w:sz w:val="32"/>
          <w:szCs w:val="32"/>
          <w:highlight w:val="none"/>
        </w:rPr>
      </w:pPr>
    </w:p>
    <w:p w14:paraId="7C945D75">
      <w:pPr>
        <w:autoSpaceDE w:val="0"/>
        <w:autoSpaceDN w:val="0"/>
        <w:jc w:val="center"/>
        <w:rPr>
          <w:rFonts w:hint="eastAsia" w:ascii="仿宋" w:hAnsi="仿宋" w:eastAsia="仿宋" w:cs="仿宋"/>
          <w:b/>
          <w:color w:val="auto"/>
          <w:spacing w:val="6"/>
          <w:sz w:val="32"/>
          <w:szCs w:val="32"/>
          <w:highlight w:val="none"/>
        </w:rPr>
      </w:pPr>
    </w:p>
    <w:p w14:paraId="1473A348">
      <w:pPr>
        <w:autoSpaceDE w:val="0"/>
        <w:autoSpaceDN w:val="0"/>
        <w:jc w:val="center"/>
        <w:rPr>
          <w:rFonts w:hint="eastAsia" w:ascii="仿宋" w:hAnsi="仿宋" w:eastAsia="仿宋" w:cs="仿宋"/>
          <w:b/>
          <w:color w:val="auto"/>
          <w:spacing w:val="6"/>
          <w:sz w:val="32"/>
          <w:szCs w:val="32"/>
          <w:highlight w:val="none"/>
        </w:rPr>
      </w:pPr>
    </w:p>
    <w:p w14:paraId="053887FC">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04B866BD">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35B55ED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0A863C4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28D94B9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208BA09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1FC5BA9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7B2B33C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26ACD955">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515" w:name="_Hlk101131882"/>
      <w:r>
        <w:rPr>
          <w:rFonts w:hint="eastAsia" w:ascii="仿宋" w:hAnsi="仿宋" w:eastAsia="仿宋" w:cs="仿宋"/>
          <w:color w:val="auto"/>
          <w:kern w:val="0"/>
          <w:sz w:val="24"/>
          <w:highlight w:val="none"/>
          <w:u w:val="single"/>
        </w:rPr>
        <w:t>联合体成员X,……</w:t>
      </w:r>
      <w:bookmarkEnd w:id="515"/>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516"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516"/>
      <w:r>
        <w:rPr>
          <w:rFonts w:hint="eastAsia" w:ascii="仿宋" w:hAnsi="仿宋" w:eastAsia="仿宋" w:cs="仿宋"/>
          <w:b/>
          <w:color w:val="auto"/>
          <w:kern w:val="0"/>
          <w:sz w:val="24"/>
          <w:highlight w:val="none"/>
          <w:lang w:val="zh-CN"/>
        </w:rPr>
        <w:t>）</w:t>
      </w:r>
    </w:p>
    <w:p w14:paraId="7A45B8E6">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17"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517"/>
    </w:p>
    <w:p w14:paraId="334C48E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36092FD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E9F89D8">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A8ECFA8">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4C6BEB53">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2F7A1982">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7719768">
      <w:pPr>
        <w:autoSpaceDE w:val="0"/>
        <w:autoSpaceDN w:val="0"/>
        <w:jc w:val="center"/>
        <w:rPr>
          <w:rFonts w:hint="eastAsia" w:ascii="仿宋" w:hAnsi="仿宋" w:eastAsia="仿宋" w:cs="仿宋"/>
          <w:b/>
          <w:color w:val="auto"/>
          <w:spacing w:val="6"/>
          <w:sz w:val="32"/>
          <w:szCs w:val="32"/>
          <w:highlight w:val="none"/>
        </w:rPr>
      </w:pPr>
    </w:p>
    <w:p w14:paraId="1D0A103C">
      <w:pPr>
        <w:autoSpaceDE w:val="0"/>
        <w:autoSpaceDN w:val="0"/>
        <w:jc w:val="center"/>
        <w:rPr>
          <w:rFonts w:hint="eastAsia" w:ascii="仿宋" w:hAnsi="仿宋" w:eastAsia="仿宋" w:cs="仿宋"/>
          <w:b/>
          <w:color w:val="auto"/>
          <w:spacing w:val="6"/>
          <w:sz w:val="32"/>
          <w:szCs w:val="32"/>
          <w:highlight w:val="none"/>
        </w:rPr>
      </w:pPr>
    </w:p>
    <w:p w14:paraId="4BFB4091">
      <w:pPr>
        <w:autoSpaceDE w:val="0"/>
        <w:autoSpaceDN w:val="0"/>
        <w:jc w:val="center"/>
        <w:rPr>
          <w:rFonts w:hint="eastAsia" w:ascii="仿宋" w:hAnsi="仿宋" w:eastAsia="仿宋" w:cs="仿宋"/>
          <w:b/>
          <w:color w:val="auto"/>
          <w:spacing w:val="6"/>
          <w:sz w:val="32"/>
          <w:szCs w:val="32"/>
          <w:highlight w:val="none"/>
        </w:rPr>
      </w:pPr>
    </w:p>
    <w:p w14:paraId="07EB33BF">
      <w:pPr>
        <w:autoSpaceDE w:val="0"/>
        <w:autoSpaceDN w:val="0"/>
        <w:jc w:val="center"/>
        <w:rPr>
          <w:rFonts w:hint="eastAsia" w:ascii="仿宋" w:hAnsi="仿宋" w:eastAsia="仿宋" w:cs="仿宋"/>
          <w:b/>
          <w:color w:val="auto"/>
          <w:spacing w:val="6"/>
          <w:sz w:val="32"/>
          <w:szCs w:val="32"/>
          <w:highlight w:val="none"/>
        </w:rPr>
      </w:pPr>
    </w:p>
    <w:p w14:paraId="3E4B59CC">
      <w:pPr>
        <w:autoSpaceDE w:val="0"/>
        <w:autoSpaceDN w:val="0"/>
        <w:jc w:val="both"/>
        <w:rPr>
          <w:rFonts w:hint="eastAsia" w:ascii="仿宋" w:hAnsi="仿宋" w:eastAsia="仿宋" w:cs="仿宋"/>
          <w:b/>
          <w:color w:val="auto"/>
          <w:spacing w:val="6"/>
          <w:sz w:val="32"/>
          <w:szCs w:val="32"/>
          <w:highlight w:val="none"/>
        </w:rPr>
      </w:pPr>
    </w:p>
    <w:p w14:paraId="73B76741">
      <w:pPr>
        <w:autoSpaceDE w:val="0"/>
        <w:autoSpaceDN w:val="0"/>
        <w:jc w:val="center"/>
        <w:rPr>
          <w:rFonts w:hint="eastAsia" w:ascii="仿宋" w:hAnsi="仿宋" w:eastAsia="仿宋" w:cs="仿宋"/>
          <w:b/>
          <w:color w:val="auto"/>
          <w:spacing w:val="6"/>
          <w:sz w:val="32"/>
          <w:szCs w:val="32"/>
          <w:highlight w:val="none"/>
        </w:rPr>
      </w:pPr>
    </w:p>
    <w:p w14:paraId="1EA60D8D">
      <w:pPr>
        <w:snapToGrid w:val="0"/>
        <w:spacing w:line="360" w:lineRule="auto"/>
        <w:ind w:firstLine="3666"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333EFB72">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709C11F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22C20F5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2FE9092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w:t>
      </w:r>
      <w:r>
        <w:rPr>
          <w:rFonts w:hint="eastAsia" w:ascii="仿宋" w:hAnsi="仿宋" w:eastAsia="仿宋" w:cs="仿宋"/>
          <w:color w:val="auto"/>
          <w:kern w:val="0"/>
          <w:sz w:val="24"/>
          <w:highlight w:val="none"/>
          <w:u w:val="single"/>
          <w:lang w:val="en-US" w:eastAsia="zh-CN"/>
        </w:rPr>
        <w:t>1</w:t>
      </w:r>
      <w:r>
        <w:rPr>
          <w:rFonts w:hint="eastAsia" w:ascii="仿宋" w:hAnsi="仿宋" w:eastAsia="仿宋" w:cs="仿宋"/>
          <w:color w:val="auto"/>
          <w:kern w:val="0"/>
          <w:sz w:val="24"/>
          <w:highlight w:val="none"/>
          <w:u w:val="single"/>
        </w:rPr>
        <w:t>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189F2810">
      <w:pPr>
        <w:pStyle w:val="2"/>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65C0A31C">
      <w:pPr>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1A539FB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1976068F">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4E445DCC">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269F484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665E13DA">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4C49757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0BAF6A9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4BA321E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4898118E">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46C7DE37">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738A792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22C288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3F55D7B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5E4058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30754BB1">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05EF4018">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24585DD8">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0DA9AED3">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F1296C7">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E2AAACD">
      <w:pPr>
        <w:autoSpaceDE w:val="0"/>
        <w:autoSpaceDN w:val="0"/>
        <w:jc w:val="center"/>
        <w:rPr>
          <w:rFonts w:hint="eastAsia" w:ascii="仿宋" w:hAnsi="仿宋" w:eastAsia="仿宋" w:cs="仿宋"/>
          <w:b/>
          <w:color w:val="auto"/>
          <w:spacing w:val="6"/>
          <w:sz w:val="32"/>
          <w:szCs w:val="32"/>
          <w:highlight w:val="none"/>
        </w:rPr>
      </w:pPr>
    </w:p>
    <w:p w14:paraId="74F7FF62">
      <w:pPr>
        <w:autoSpaceDE w:val="0"/>
        <w:autoSpaceDN w:val="0"/>
        <w:jc w:val="center"/>
        <w:rPr>
          <w:rFonts w:hint="eastAsia" w:ascii="仿宋" w:hAnsi="仿宋" w:eastAsia="仿宋" w:cs="仿宋"/>
          <w:b/>
          <w:color w:val="auto"/>
          <w:spacing w:val="6"/>
          <w:sz w:val="32"/>
          <w:szCs w:val="32"/>
          <w:highlight w:val="none"/>
        </w:rPr>
      </w:pPr>
    </w:p>
    <w:p w14:paraId="4DFAA739">
      <w:pPr>
        <w:autoSpaceDE w:val="0"/>
        <w:autoSpaceDN w:val="0"/>
        <w:jc w:val="center"/>
        <w:rPr>
          <w:rFonts w:hint="eastAsia" w:ascii="仿宋" w:hAnsi="仿宋" w:eastAsia="仿宋" w:cs="仿宋"/>
          <w:b/>
          <w:color w:val="auto"/>
          <w:spacing w:val="6"/>
          <w:sz w:val="32"/>
          <w:szCs w:val="32"/>
          <w:highlight w:val="none"/>
        </w:rPr>
      </w:pPr>
    </w:p>
    <w:p w14:paraId="408E553A">
      <w:pPr>
        <w:autoSpaceDE w:val="0"/>
        <w:autoSpaceDN w:val="0"/>
        <w:jc w:val="center"/>
        <w:rPr>
          <w:rFonts w:hint="eastAsia" w:ascii="仿宋" w:hAnsi="仿宋" w:eastAsia="仿宋" w:cs="仿宋"/>
          <w:b/>
          <w:color w:val="auto"/>
          <w:spacing w:val="6"/>
          <w:sz w:val="32"/>
          <w:szCs w:val="32"/>
          <w:highlight w:val="none"/>
        </w:rPr>
      </w:pPr>
    </w:p>
    <w:p w14:paraId="2DE2B4CE">
      <w:pPr>
        <w:autoSpaceDE w:val="0"/>
        <w:autoSpaceDN w:val="0"/>
        <w:jc w:val="center"/>
        <w:rPr>
          <w:rFonts w:hint="eastAsia" w:ascii="仿宋" w:hAnsi="仿宋" w:eastAsia="仿宋" w:cs="仿宋"/>
          <w:b/>
          <w:color w:val="auto"/>
          <w:spacing w:val="6"/>
          <w:sz w:val="32"/>
          <w:szCs w:val="32"/>
          <w:highlight w:val="none"/>
        </w:rPr>
      </w:pPr>
    </w:p>
    <w:p w14:paraId="6190F582">
      <w:pPr>
        <w:autoSpaceDE w:val="0"/>
        <w:autoSpaceDN w:val="0"/>
        <w:jc w:val="center"/>
        <w:rPr>
          <w:rFonts w:hint="eastAsia" w:ascii="仿宋" w:hAnsi="仿宋" w:eastAsia="仿宋" w:cs="仿宋"/>
          <w:b/>
          <w:color w:val="auto"/>
          <w:spacing w:val="6"/>
          <w:sz w:val="32"/>
          <w:szCs w:val="32"/>
          <w:highlight w:val="none"/>
        </w:rPr>
      </w:pPr>
    </w:p>
    <w:p w14:paraId="7F2EB0FB">
      <w:pPr>
        <w:autoSpaceDE w:val="0"/>
        <w:autoSpaceDN w:val="0"/>
        <w:jc w:val="center"/>
        <w:rPr>
          <w:rFonts w:hint="eastAsia" w:ascii="仿宋" w:hAnsi="仿宋" w:eastAsia="仿宋" w:cs="仿宋"/>
          <w:b/>
          <w:color w:val="auto"/>
          <w:spacing w:val="6"/>
          <w:sz w:val="32"/>
          <w:szCs w:val="32"/>
          <w:highlight w:val="none"/>
        </w:rPr>
      </w:pPr>
    </w:p>
    <w:p w14:paraId="585299B3">
      <w:pPr>
        <w:autoSpaceDE w:val="0"/>
        <w:autoSpaceDN w:val="0"/>
        <w:jc w:val="center"/>
        <w:rPr>
          <w:rFonts w:hint="eastAsia" w:ascii="仿宋" w:hAnsi="仿宋" w:eastAsia="仿宋" w:cs="仿宋"/>
          <w:b/>
          <w:color w:val="auto"/>
          <w:spacing w:val="6"/>
          <w:sz w:val="32"/>
          <w:szCs w:val="32"/>
          <w:highlight w:val="none"/>
        </w:rPr>
      </w:pPr>
    </w:p>
    <w:p w14:paraId="00522C4A">
      <w:pPr>
        <w:autoSpaceDE w:val="0"/>
        <w:autoSpaceDN w:val="0"/>
        <w:jc w:val="center"/>
        <w:rPr>
          <w:rFonts w:hint="eastAsia" w:ascii="仿宋" w:hAnsi="仿宋" w:eastAsia="仿宋" w:cs="仿宋"/>
          <w:b/>
          <w:color w:val="auto"/>
          <w:spacing w:val="6"/>
          <w:sz w:val="32"/>
          <w:szCs w:val="32"/>
          <w:highlight w:val="none"/>
        </w:rPr>
      </w:pPr>
    </w:p>
    <w:p w14:paraId="65AC4E53">
      <w:pPr>
        <w:autoSpaceDE w:val="0"/>
        <w:autoSpaceDN w:val="0"/>
        <w:jc w:val="center"/>
        <w:rPr>
          <w:rFonts w:hint="eastAsia" w:ascii="仿宋" w:hAnsi="仿宋" w:eastAsia="仿宋" w:cs="仿宋"/>
          <w:b/>
          <w:color w:val="auto"/>
          <w:spacing w:val="6"/>
          <w:sz w:val="32"/>
          <w:szCs w:val="32"/>
          <w:highlight w:val="none"/>
        </w:rPr>
      </w:pPr>
    </w:p>
    <w:p w14:paraId="55C5B575">
      <w:pPr>
        <w:autoSpaceDE w:val="0"/>
        <w:autoSpaceDN w:val="0"/>
        <w:jc w:val="center"/>
        <w:rPr>
          <w:rFonts w:hint="eastAsia" w:ascii="仿宋" w:hAnsi="仿宋" w:eastAsia="仿宋" w:cs="仿宋"/>
          <w:b/>
          <w:color w:val="auto"/>
          <w:spacing w:val="6"/>
          <w:sz w:val="32"/>
          <w:szCs w:val="32"/>
          <w:highlight w:val="none"/>
        </w:rPr>
      </w:pPr>
    </w:p>
    <w:p w14:paraId="7F218967">
      <w:pPr>
        <w:autoSpaceDE w:val="0"/>
        <w:autoSpaceDN w:val="0"/>
        <w:jc w:val="center"/>
        <w:rPr>
          <w:rFonts w:hint="eastAsia" w:ascii="仿宋" w:hAnsi="仿宋" w:eastAsia="仿宋" w:cs="仿宋"/>
          <w:b/>
          <w:color w:val="auto"/>
          <w:spacing w:val="6"/>
          <w:sz w:val="32"/>
          <w:szCs w:val="32"/>
          <w:highlight w:val="none"/>
        </w:rPr>
      </w:pPr>
    </w:p>
    <w:p w14:paraId="63873989">
      <w:pPr>
        <w:autoSpaceDE w:val="0"/>
        <w:autoSpaceDN w:val="0"/>
        <w:jc w:val="center"/>
        <w:rPr>
          <w:rFonts w:hint="eastAsia" w:ascii="仿宋" w:hAnsi="仿宋" w:eastAsia="仿宋" w:cs="仿宋"/>
          <w:b/>
          <w:color w:val="auto"/>
          <w:spacing w:val="6"/>
          <w:sz w:val="32"/>
          <w:szCs w:val="32"/>
          <w:highlight w:val="none"/>
        </w:rPr>
      </w:pPr>
    </w:p>
    <w:p w14:paraId="1D522C2B">
      <w:pPr>
        <w:autoSpaceDE w:val="0"/>
        <w:autoSpaceDN w:val="0"/>
        <w:jc w:val="center"/>
        <w:rPr>
          <w:rFonts w:hint="eastAsia" w:ascii="仿宋" w:hAnsi="仿宋" w:eastAsia="仿宋" w:cs="仿宋"/>
          <w:b/>
          <w:color w:val="auto"/>
          <w:spacing w:val="6"/>
          <w:sz w:val="32"/>
          <w:szCs w:val="32"/>
          <w:highlight w:val="none"/>
        </w:rPr>
      </w:pPr>
    </w:p>
    <w:p w14:paraId="6ABD8BD9">
      <w:pPr>
        <w:autoSpaceDE w:val="0"/>
        <w:autoSpaceDN w:val="0"/>
        <w:jc w:val="center"/>
        <w:rPr>
          <w:rFonts w:hint="eastAsia" w:ascii="仿宋" w:hAnsi="仿宋" w:eastAsia="仿宋" w:cs="仿宋"/>
          <w:b/>
          <w:color w:val="auto"/>
          <w:spacing w:val="6"/>
          <w:sz w:val="32"/>
          <w:szCs w:val="32"/>
          <w:highlight w:val="none"/>
        </w:rPr>
      </w:pPr>
    </w:p>
    <w:p w14:paraId="1C5DE10B">
      <w:pPr>
        <w:autoSpaceDE w:val="0"/>
        <w:autoSpaceDN w:val="0"/>
        <w:jc w:val="center"/>
        <w:rPr>
          <w:rFonts w:hint="eastAsia" w:ascii="仿宋" w:hAnsi="仿宋" w:eastAsia="仿宋" w:cs="仿宋"/>
          <w:b/>
          <w:color w:val="auto"/>
          <w:spacing w:val="6"/>
          <w:sz w:val="32"/>
          <w:szCs w:val="32"/>
          <w:highlight w:val="none"/>
        </w:rPr>
      </w:pPr>
    </w:p>
    <w:p w14:paraId="3CDFE3AD">
      <w:pPr>
        <w:autoSpaceDE w:val="0"/>
        <w:autoSpaceDN w:val="0"/>
        <w:jc w:val="center"/>
        <w:rPr>
          <w:rFonts w:hint="eastAsia" w:ascii="仿宋" w:hAnsi="仿宋" w:eastAsia="仿宋" w:cs="仿宋"/>
          <w:b/>
          <w:color w:val="auto"/>
          <w:spacing w:val="6"/>
          <w:sz w:val="32"/>
          <w:szCs w:val="32"/>
          <w:highlight w:val="none"/>
        </w:rPr>
      </w:pPr>
    </w:p>
    <w:p w14:paraId="626765C5">
      <w:pPr>
        <w:autoSpaceDE w:val="0"/>
        <w:autoSpaceDN w:val="0"/>
        <w:jc w:val="center"/>
        <w:rPr>
          <w:rFonts w:hint="eastAsia" w:ascii="仿宋" w:hAnsi="仿宋" w:eastAsia="仿宋" w:cs="仿宋"/>
          <w:b/>
          <w:color w:val="auto"/>
          <w:spacing w:val="6"/>
          <w:sz w:val="32"/>
          <w:szCs w:val="32"/>
          <w:highlight w:val="none"/>
        </w:rPr>
      </w:pPr>
    </w:p>
    <w:p w14:paraId="62DC7B18">
      <w:pPr>
        <w:autoSpaceDE w:val="0"/>
        <w:autoSpaceDN w:val="0"/>
        <w:jc w:val="center"/>
        <w:rPr>
          <w:rFonts w:hint="eastAsia" w:ascii="仿宋" w:hAnsi="仿宋" w:eastAsia="仿宋" w:cs="仿宋"/>
          <w:b/>
          <w:color w:val="auto"/>
          <w:spacing w:val="6"/>
          <w:sz w:val="32"/>
          <w:szCs w:val="32"/>
          <w:highlight w:val="none"/>
        </w:rPr>
      </w:pPr>
    </w:p>
    <w:p w14:paraId="7E935FAA">
      <w:pPr>
        <w:autoSpaceDE w:val="0"/>
        <w:autoSpaceDN w:val="0"/>
        <w:jc w:val="center"/>
        <w:rPr>
          <w:rFonts w:hint="eastAsia" w:ascii="仿宋" w:hAnsi="仿宋" w:eastAsia="仿宋" w:cs="仿宋"/>
          <w:b/>
          <w:color w:val="auto"/>
          <w:spacing w:val="6"/>
          <w:sz w:val="32"/>
          <w:szCs w:val="32"/>
          <w:highlight w:val="none"/>
        </w:rPr>
      </w:pPr>
    </w:p>
    <w:p w14:paraId="2F87DDD6">
      <w:pPr>
        <w:pStyle w:val="23"/>
        <w:rPr>
          <w:rFonts w:hint="eastAsia" w:ascii="仿宋" w:hAnsi="仿宋" w:eastAsia="仿宋" w:cs="仿宋"/>
          <w:b/>
          <w:color w:val="auto"/>
          <w:spacing w:val="6"/>
          <w:sz w:val="32"/>
          <w:szCs w:val="32"/>
          <w:highlight w:val="none"/>
        </w:rPr>
      </w:pPr>
    </w:p>
    <w:p w14:paraId="1B95A91E">
      <w:pPr>
        <w:pStyle w:val="24"/>
        <w:rPr>
          <w:rFonts w:hint="eastAsia" w:ascii="仿宋" w:hAnsi="仿宋" w:eastAsia="仿宋" w:cs="仿宋"/>
          <w:b/>
          <w:color w:val="auto"/>
          <w:spacing w:val="6"/>
          <w:sz w:val="32"/>
          <w:szCs w:val="32"/>
          <w:highlight w:val="none"/>
        </w:rPr>
      </w:pPr>
    </w:p>
    <w:p w14:paraId="3E3B8250">
      <w:pPr>
        <w:pStyle w:val="25"/>
        <w:rPr>
          <w:rFonts w:hint="eastAsia" w:ascii="仿宋" w:hAnsi="仿宋" w:eastAsia="仿宋" w:cs="仿宋"/>
          <w:b/>
          <w:color w:val="auto"/>
          <w:spacing w:val="6"/>
          <w:sz w:val="32"/>
          <w:szCs w:val="32"/>
          <w:highlight w:val="none"/>
        </w:rPr>
      </w:pPr>
    </w:p>
    <w:p w14:paraId="38C3F88B">
      <w:pPr>
        <w:rPr>
          <w:rFonts w:hint="eastAsia" w:ascii="仿宋" w:hAnsi="仿宋" w:eastAsia="仿宋" w:cs="仿宋"/>
          <w:b/>
          <w:color w:val="auto"/>
          <w:spacing w:val="6"/>
          <w:sz w:val="32"/>
          <w:szCs w:val="32"/>
          <w:highlight w:val="none"/>
        </w:rPr>
      </w:pPr>
    </w:p>
    <w:p w14:paraId="5402581E">
      <w:pPr>
        <w:pStyle w:val="23"/>
        <w:rPr>
          <w:rFonts w:hint="eastAsia" w:ascii="仿宋" w:hAnsi="仿宋" w:eastAsia="仿宋" w:cs="仿宋"/>
          <w:b/>
          <w:color w:val="auto"/>
          <w:spacing w:val="6"/>
          <w:sz w:val="32"/>
          <w:szCs w:val="32"/>
          <w:highlight w:val="none"/>
        </w:rPr>
      </w:pPr>
    </w:p>
    <w:p w14:paraId="427D56F6">
      <w:pPr>
        <w:pStyle w:val="24"/>
        <w:rPr>
          <w:rFonts w:hint="eastAsia"/>
        </w:rPr>
      </w:pPr>
    </w:p>
    <w:p w14:paraId="6CC22D28">
      <w:pPr>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附件7：中小企业声明函</w:t>
      </w:r>
    </w:p>
    <w:p w14:paraId="4C891253">
      <w:pPr>
        <w:spacing w:line="360" w:lineRule="auto"/>
        <w:jc w:val="center"/>
        <w:rPr>
          <w:rFonts w:hint="eastAsia" w:ascii="仿宋" w:hAnsi="仿宋" w:eastAsia="仿宋" w:cs="仿宋"/>
          <w:color w:val="auto"/>
          <w:sz w:val="24"/>
          <w:highlight w:val="none"/>
          <w:u w:val="single"/>
        </w:rPr>
      </w:pPr>
    </w:p>
    <w:p w14:paraId="0E7047D3">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50CC7A42">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1528A284">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2D59F55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28B6AB1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6B534DF5">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2C5C628B">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70056AB9">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eastAsia="zh-CN"/>
        </w:rPr>
        <w:t>：①</w:t>
      </w:r>
      <w:r>
        <w:rPr>
          <w:rFonts w:hint="eastAsia" w:ascii="仿宋" w:hAnsi="仿宋" w:eastAsia="仿宋" w:cs="仿宋"/>
          <w:color w:val="auto"/>
          <w:sz w:val="24"/>
          <w:highlight w:val="none"/>
        </w:rPr>
        <w:t>从业人员、营业收入、资产总额填报上一年度数据，无上一年度数据的新成立企业可不填报</w:t>
      </w:r>
      <w:r>
        <w:rPr>
          <w:rFonts w:hint="eastAsia" w:ascii="仿宋" w:hAnsi="仿宋" w:eastAsia="仿宋" w:cs="仿宋"/>
          <w:color w:val="auto"/>
          <w:sz w:val="24"/>
          <w:highlight w:val="none"/>
          <w:lang w:eastAsia="zh-CN"/>
        </w:rPr>
        <w:t>。②</w:t>
      </w:r>
      <w:r>
        <w:rPr>
          <w:rFonts w:hint="eastAsia" w:ascii="仿宋" w:hAnsi="仿宋" w:eastAsia="仿宋" w:cs="仿宋"/>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Vrinda">
    <w:altName w:val="Segoe UI Symbol"/>
    <w:panose1 w:val="020B0502040204020203"/>
    <w:charset w:val="00"/>
    <w:family w:val="auto"/>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华文仿宋">
    <w:altName w:val="仿宋"/>
    <w:panose1 w:val="02010600040101010101"/>
    <w:charset w:val="86"/>
    <w:family w:val="auto"/>
    <w:pitch w:val="default"/>
    <w:sig w:usb0="00000000" w:usb1="00000000" w:usb2="00000000" w:usb3="00000000" w:csb0="0004009F" w:csb1="DFD70000"/>
  </w:font>
  <w:font w:name="Sitka Text">
    <w:panose1 w:val="02000505000000020004"/>
    <w:charset w:val="00"/>
    <w:family w:val="auto"/>
    <w:pitch w:val="default"/>
    <w:sig w:usb0="A00002EF" w:usb1="4000204B" w:usb2="00000000" w:usb3="00000000" w:csb0="2000019F" w:csb1="0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41"/>
      <w:framePr w:wrap="around" w:vAnchor="text" w:hAnchor="margin" w:xAlign="right" w:y="1"/>
      <w:rPr>
        <w:rStyle w:val="72"/>
      </w:rPr>
    </w:pPr>
    <w:r>
      <w:fldChar w:fldCharType="begin"/>
    </w:r>
    <w:r>
      <w:rPr>
        <w:rStyle w:val="72"/>
      </w:rPr>
      <w:instrText xml:space="preserve">PAGE  </w:instrText>
    </w:r>
    <w:r>
      <w:fldChar w:fldCharType="end"/>
    </w:r>
  </w:p>
  <w:p w14:paraId="65FC6C0A">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8" w:name="_Toc91899912"/>
    <w:bookmarkStart w:id="519" w:name="_Toc36110187"/>
    <w:bookmarkStart w:id="520" w:name="_Toc131845147"/>
    <w:bookmarkStart w:id="521" w:name="_Toc164085800"/>
    <w:r>
      <w:rPr>
        <w:rFonts w:hint="eastAsia" w:ascii="仿宋_GB2312" w:eastAsia="仿宋_GB2312"/>
        <w:kern w:val="0"/>
        <w:szCs w:val="21"/>
      </w:rPr>
      <w:t xml:space="preserve"> 页</w:t>
    </w:r>
    <w:bookmarkEnd w:id="518"/>
    <w:bookmarkEnd w:id="519"/>
    <w:bookmarkEnd w:id="520"/>
    <w:bookmarkEnd w:id="52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41"/>
      <w:framePr w:wrap="around" w:vAnchor="text" w:hAnchor="margin" w:xAlign="right" w:y="1"/>
      <w:rPr>
        <w:rStyle w:val="72"/>
      </w:rPr>
    </w:pPr>
    <w:r>
      <w:fldChar w:fldCharType="begin"/>
    </w:r>
    <w:r>
      <w:rPr>
        <w:rStyle w:val="72"/>
      </w:rPr>
      <w:instrText xml:space="preserve">PAGE  </w:instrText>
    </w:r>
    <w:r>
      <w:fldChar w:fldCharType="end"/>
    </w:r>
  </w:p>
  <w:p w14:paraId="5E0900AF">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CF4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2"/>
      <w:pBdr>
        <w:bottom w:val="single" w:color="auto" w:sz="6" w:space="4"/>
      </w:pBdr>
      <w:jc w:val="right"/>
    </w:pPr>
    <w:r>
      <w:t></w:t>
    </w:r>
    <w:r>
      <w:rPr>
        <w:rFonts w:hint="eastAsia"/>
      </w:rPr>
      <w:t xml:space="preserve">             </w:t>
    </w:r>
    <w:r>
      <w:t>杭州市政府采购公开招标文件</w:t>
    </w:r>
  </w:p>
  <w:p w14:paraId="5E97806E">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2"/>
      <w:rPr>
        <w:rFonts w:ascii="仿宋_GB2312" w:eastAsia="仿宋_GB2312"/>
        <w:b/>
        <w:i/>
        <w:u w:val="single"/>
      </w:rPr>
    </w:pPr>
    <w:r>
      <w:t></w:t>
    </w:r>
    <w:r>
      <w:rPr>
        <w:rFonts w:hint="eastAsia"/>
      </w:rPr>
      <w:t xml:space="preserve">                                                  </w:t>
    </w:r>
    <w:r>
      <w:t xml:space="preserve">             杭州市政府采购公开招标文件</w:t>
    </w:r>
  </w:p>
  <w:p w14:paraId="7DC11C7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2"/>
    </w:pPr>
    <w:r>
      <w:t></w:t>
    </w:r>
    <w:r>
      <w:rPr>
        <w:rFonts w:hint="eastAsia"/>
      </w:rPr>
      <w:t xml:space="preserve">         </w:t>
    </w:r>
  </w:p>
  <w:p w14:paraId="6F97612A">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2"/>
      <w:rPr>
        <w:rFonts w:ascii="仿宋_GB2312" w:eastAsia="仿宋_GB2312"/>
        <w:b/>
        <w:i/>
        <w:u w:val="single"/>
      </w:rPr>
    </w:pPr>
    <w:r>
      <w:t></w:t>
    </w:r>
    <w:r>
      <w:rPr>
        <w:rFonts w:hint="eastAsia"/>
      </w:rPr>
      <w:t xml:space="preserve">                                                  </w:t>
    </w:r>
    <w:r>
      <w:t>杭州市政府采购公开招标文件</w:t>
    </w:r>
  </w:p>
  <w:p w14:paraId="4E6D3F4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2"/>
      <w:jc w:val="right"/>
      <w:rPr>
        <w:rFonts w:ascii="仿宋_GB2312" w:eastAsia="仿宋_GB2312"/>
        <w:b/>
        <w:i/>
        <w:u w:val="single"/>
      </w:rPr>
    </w:pPr>
    <w:r>
      <w:rPr>
        <w:rFonts w:hint="eastAsia"/>
      </w:rPr>
      <w:t xml:space="preserve">                                  </w:t>
    </w:r>
    <w:r>
      <w:t>杭州市政府采购公开招标文件</w:t>
    </w:r>
  </w:p>
  <w:p w14:paraId="6EB7AF3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417F05"/>
    <w:multiLevelType w:val="singleLevel"/>
    <w:tmpl w:val="B9417F05"/>
    <w:lvl w:ilvl="0" w:tentative="0">
      <w:start w:val="2"/>
      <w:numFmt w:val="chineseCounting"/>
      <w:suff w:val="nothing"/>
      <w:lvlText w:val="%1、"/>
      <w:lvlJc w:val="left"/>
      <w:rPr>
        <w:rFonts w:hint="eastAsia" w:cs="Times New Roman"/>
      </w:rPr>
    </w:lvl>
  </w:abstractNum>
  <w:abstractNum w:abstractNumId="1">
    <w:nsid w:val="E751464C"/>
    <w:multiLevelType w:val="singleLevel"/>
    <w:tmpl w:val="E751464C"/>
    <w:lvl w:ilvl="0" w:tentative="0">
      <w:start w:val="1"/>
      <w:numFmt w:val="decimal"/>
      <w:suff w:val="nothing"/>
      <w:lvlText w:val="（%1）"/>
      <w:lvlJc w:val="left"/>
    </w:lvl>
  </w:abstractNum>
  <w:abstractNum w:abstractNumId="2">
    <w:nsid w:val="EA39B616"/>
    <w:multiLevelType w:val="singleLevel"/>
    <w:tmpl w:val="EA39B616"/>
    <w:lvl w:ilvl="0" w:tentative="0">
      <w:start w:val="2"/>
      <w:numFmt w:val="decimal"/>
      <w:suff w:val="nothing"/>
      <w:lvlText w:val="（%1）"/>
      <w:lvlJc w:val="left"/>
    </w:lvl>
  </w:abstractNum>
  <w:abstractNum w:abstractNumId="3">
    <w:nsid w:val="41892D21"/>
    <w:multiLevelType w:val="singleLevel"/>
    <w:tmpl w:val="41892D21"/>
    <w:lvl w:ilvl="0" w:tentative="0">
      <w:start w:val="1"/>
      <w:numFmt w:val="decimal"/>
      <w:suff w:val="nothing"/>
      <w:lvlText w:val="（%1）"/>
      <w:lvlJc w:val="left"/>
    </w:lvl>
  </w:abstractNum>
  <w:abstractNum w:abstractNumId="4">
    <w:nsid w:val="49EAD43F"/>
    <w:multiLevelType w:val="singleLevel"/>
    <w:tmpl w:val="49EAD43F"/>
    <w:lvl w:ilvl="0" w:tentative="0">
      <w:start w:val="1"/>
      <w:numFmt w:val="decimal"/>
      <w:suff w:val="nothing"/>
      <w:lvlText w:val="%1、"/>
      <w:lvlJc w:val="left"/>
    </w:lvl>
  </w:abstractNum>
  <w:abstractNum w:abstractNumId="5">
    <w:nsid w:val="50760D19"/>
    <w:multiLevelType w:val="multilevel"/>
    <w:tmpl w:val="50760D19"/>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6">
    <w:nsid w:val="75883EDF"/>
    <w:multiLevelType w:val="multilevel"/>
    <w:tmpl w:val="75883EDF"/>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
  </w:num>
  <w:num w:numId="2">
    <w:abstractNumId w:val="0"/>
  </w:num>
  <w:num w:numId="3">
    <w:abstractNumId w:val="6"/>
  </w:num>
  <w:num w:numId="4">
    <w:abstractNumId w:val="5"/>
    <w:lvlOverride w:ilvl="0">
      <w:startOverride w:val="1"/>
    </w:lvlOverride>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7480D"/>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BE63D5"/>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6078E8"/>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ECC0C13"/>
    <w:rsid w:val="2F0A6B38"/>
    <w:rsid w:val="2F946CCB"/>
    <w:rsid w:val="2FD25781"/>
    <w:rsid w:val="2FDC745C"/>
    <w:rsid w:val="2FFD7934"/>
    <w:rsid w:val="302636D0"/>
    <w:rsid w:val="30733ACD"/>
    <w:rsid w:val="308C3862"/>
    <w:rsid w:val="309379D8"/>
    <w:rsid w:val="30A270F7"/>
    <w:rsid w:val="30DF1478"/>
    <w:rsid w:val="30EC586F"/>
    <w:rsid w:val="310402C4"/>
    <w:rsid w:val="314550B7"/>
    <w:rsid w:val="319C6071"/>
    <w:rsid w:val="31AC537E"/>
    <w:rsid w:val="31E3679B"/>
    <w:rsid w:val="31E732FD"/>
    <w:rsid w:val="32517576"/>
    <w:rsid w:val="328553BC"/>
    <w:rsid w:val="328A2561"/>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DE3A17"/>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60BAB"/>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497C59"/>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3D0AF9"/>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BD38B8"/>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D142BE"/>
    <w:rsid w:val="5CE05DEF"/>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AA70A5"/>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0F5C61"/>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6E6ED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8A04EC"/>
    <w:rsid w:val="729023FC"/>
    <w:rsid w:val="73A72CA3"/>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8FC55B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74B8C"/>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C143DB"/>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1"/>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2"/>
    <w:basedOn w:val="26"/>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2"/>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7"/>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93</Pages>
  <Words>15675</Words>
  <Characters>16991</Characters>
  <Lines>281</Lines>
  <Paragraphs>79</Paragraphs>
  <TotalTime>29</TotalTime>
  <ScaleCrop>false</ScaleCrop>
  <LinksUpToDate>false</LinksUpToDate>
  <CharactersWithSpaces>17436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戚彬</cp:lastModifiedBy>
  <cp:lastPrinted>2021-12-28T03:06:00Z</cp:lastPrinted>
  <dcterms:modified xsi:type="dcterms:W3CDTF">2025-06-13T05:49:35Z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B84BAFE70D19433DAEF71908959269E7_13</vt:lpwstr>
  </property>
  <property fmtid="{D5CDD505-2E9C-101B-9397-08002B2CF9AE}" pid="5" name="KSOTemplateDocerSaveRecord">
    <vt:lpwstr>eyJoZGlkIjoiYjM2MDhkNTI4YjhiMzBmNzY1MGU1MDVhNzdmZGY0OGIiLCJ1c2VySWQiOiIxMzM2MjcxOTE5In0=</vt:lpwstr>
  </property>
</Properties>
</file>