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t>乔司街道老茶馆运营服务采购项目</w:t>
      </w: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pPr>
        <w:snapToGrid w:val="0"/>
        <w:spacing w:line="360" w:lineRule="auto"/>
        <w:jc w:val="center"/>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编号:</w:t>
      </w:r>
      <w:r>
        <w:rPr>
          <w:rFonts w:hint="eastAsia" w:ascii="仿宋" w:hAnsi="仿宋" w:eastAsia="仿宋" w:cs="仿宋"/>
          <w:color w:val="auto"/>
          <w:sz w:val="32"/>
          <w:szCs w:val="32"/>
          <w:highlight w:val="none"/>
          <w:lang w:val="en-US" w:eastAsia="zh-CN"/>
        </w:rPr>
        <w:t xml:space="preserve">  TYZFCG-2024-002</w:t>
      </w:r>
    </w:p>
    <w:p>
      <w:pPr>
        <w:adjustRightInd/>
        <w:spacing w:line="360" w:lineRule="auto"/>
        <w:rPr>
          <w:rFonts w:hint="eastAsia" w:ascii="仿宋" w:hAnsi="仿宋" w:eastAsia="仿宋" w:cs="仿宋"/>
          <w:color w:val="auto"/>
          <w:sz w:val="28"/>
          <w:szCs w:val="20"/>
          <w:highlight w:val="none"/>
        </w:rPr>
      </w:pPr>
    </w:p>
    <w:p>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hint="eastAsia" w:ascii="仿宋" w:hAnsi="仿宋" w:eastAsia="仿宋" w:cs="仿宋"/>
          <w:b/>
          <w:color w:val="auto"/>
          <w:sz w:val="44"/>
          <w:szCs w:val="44"/>
          <w:highlight w:val="none"/>
        </w:rPr>
      </w:pP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32"/>
          <w:szCs w:val="32"/>
          <w:highlight w:val="none"/>
        </w:rPr>
      </w:pPr>
    </w:p>
    <w:p>
      <w:pPr>
        <w:snapToGrid w:val="0"/>
        <w:spacing w:line="360" w:lineRule="auto"/>
        <w:jc w:val="center"/>
        <w:rPr>
          <w:rFonts w:hint="eastAsia" w:ascii="仿宋" w:hAnsi="仿宋" w:eastAsia="仿宋" w:cs="仿宋"/>
          <w:b/>
          <w:bCs/>
          <w:color w:val="auto"/>
          <w:sz w:val="32"/>
          <w:szCs w:val="32"/>
          <w:highlight w:val="none"/>
          <w:lang w:eastAsia="zh-CN"/>
        </w:rPr>
      </w:pPr>
    </w:p>
    <w:p>
      <w:pPr>
        <w:snapToGrid w:val="0"/>
        <w:spacing w:line="360" w:lineRule="auto"/>
        <w:jc w:val="center"/>
        <w:rPr>
          <w:rFonts w:hint="eastAsia" w:ascii="仿宋" w:hAnsi="仿宋" w:eastAsia="仿宋" w:cs="仿宋"/>
          <w:b/>
          <w:bCs/>
          <w:color w:val="auto"/>
          <w:sz w:val="32"/>
          <w:szCs w:val="32"/>
          <w:highlight w:val="none"/>
          <w:lang w:eastAsia="zh-CN"/>
        </w:rPr>
      </w:pPr>
    </w:p>
    <w:p>
      <w:pPr>
        <w:snapToGrid w:val="0"/>
        <w:spacing w:line="360" w:lineRule="auto"/>
        <w:jc w:val="center"/>
        <w:rPr>
          <w:rFonts w:hint="eastAsia" w:ascii="仿宋" w:hAnsi="仿宋" w:eastAsia="仿宋" w:cs="仿宋"/>
          <w:b/>
          <w:bCs/>
          <w:color w:val="auto"/>
          <w:sz w:val="32"/>
          <w:szCs w:val="32"/>
          <w:highlight w:val="none"/>
          <w:lang w:eastAsia="zh-CN"/>
        </w:rPr>
      </w:pPr>
    </w:p>
    <w:p>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：杭州市临平区人民政府乔司街道办事处</w:t>
      </w:r>
    </w:p>
    <w:p>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color w:val="auto"/>
          <w:sz w:val="32"/>
          <w:szCs w:val="32"/>
          <w:highlight w:val="none"/>
          <w:lang w:eastAsia="zh-CN"/>
        </w:rPr>
        <w:t>：杭州添越工程咨询有限公司</w:t>
      </w:r>
    </w:p>
    <w:p>
      <w:pPr>
        <w:snapToGrid w:val="0"/>
        <w:spacing w:line="360" w:lineRule="auto"/>
        <w:jc w:val="center"/>
        <w:rPr>
          <w:rFonts w:hint="eastAsia" w:ascii="仿宋" w:hAnsi="仿宋" w:eastAsia="仿宋" w:cs="仿宋"/>
          <w:b w:val="0"/>
          <w:bCs w:val="0"/>
          <w:color w:val="auto"/>
          <w:sz w:val="32"/>
          <w:szCs w:val="32"/>
          <w:highlight w:val="none"/>
        </w:rPr>
      </w:pPr>
      <w:r>
        <w:rPr>
          <w:rFonts w:hint="eastAsia" w:ascii="仿宋" w:hAnsi="仿宋" w:eastAsia="仿宋" w:cs="仿宋"/>
          <w:b w:val="0"/>
          <w:bCs w:val="0"/>
          <w:color w:val="auto"/>
          <w:sz w:val="32"/>
          <w:szCs w:val="32"/>
          <w:highlight w:val="none"/>
        </w:rPr>
        <w:t>二〇二</w:t>
      </w:r>
      <w:r>
        <w:rPr>
          <w:rFonts w:hint="eastAsia" w:ascii="仿宋" w:hAnsi="仿宋" w:eastAsia="仿宋" w:cs="仿宋"/>
          <w:b w:val="0"/>
          <w:bCs w:val="0"/>
          <w:color w:val="auto"/>
          <w:sz w:val="32"/>
          <w:szCs w:val="32"/>
          <w:highlight w:val="none"/>
          <w:lang w:val="en-US" w:eastAsia="zh-CN"/>
        </w:rPr>
        <w:t>四</w:t>
      </w:r>
      <w:r>
        <w:rPr>
          <w:rFonts w:hint="eastAsia" w:ascii="仿宋" w:hAnsi="仿宋" w:eastAsia="仿宋" w:cs="仿宋"/>
          <w:b w:val="0"/>
          <w:bCs w:val="0"/>
          <w:color w:val="auto"/>
          <w:sz w:val="32"/>
          <w:szCs w:val="32"/>
          <w:highlight w:val="none"/>
        </w:rPr>
        <w:t>年</w:t>
      </w:r>
      <w:r>
        <w:rPr>
          <w:rFonts w:hint="eastAsia" w:ascii="仿宋" w:hAnsi="仿宋" w:eastAsia="仿宋" w:cs="仿宋"/>
          <w:b w:val="0"/>
          <w:bCs w:val="0"/>
          <w:color w:val="auto"/>
          <w:sz w:val="32"/>
          <w:szCs w:val="32"/>
          <w:highlight w:val="none"/>
          <w:lang w:val="en-US" w:eastAsia="zh-CN"/>
        </w:rPr>
        <w:t>二</w:t>
      </w:r>
      <w:r>
        <w:rPr>
          <w:rFonts w:hint="eastAsia" w:ascii="仿宋" w:hAnsi="仿宋" w:eastAsia="仿宋" w:cs="仿宋"/>
          <w:b w:val="0"/>
          <w:bCs w:val="0"/>
          <w:color w:val="auto"/>
          <w:sz w:val="32"/>
          <w:szCs w:val="32"/>
          <w:highlight w:val="none"/>
        </w:rPr>
        <w:t>月</w:t>
      </w:r>
    </w:p>
    <w:p>
      <w:pPr>
        <w:pStyle w:val="637"/>
        <w:rPr>
          <w:color w:val="auto"/>
          <w:highlight w:val="none"/>
        </w:rPr>
      </w:pPr>
    </w:p>
    <w:p>
      <w:pPr>
        <w:spacing w:line="360" w:lineRule="auto"/>
        <w:jc w:val="center"/>
        <w:rPr>
          <w:rFonts w:hint="eastAsia" w:ascii="宋体" w:hAnsi="宋体" w:cs="宋体"/>
          <w:b/>
          <w:color w:val="auto"/>
          <w:sz w:val="48"/>
          <w:szCs w:val="48"/>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729822"/>
      <w:bookmarkEnd w:id="3"/>
      <w:bookmarkStart w:id="4" w:name="_Hlt74707423"/>
      <w:bookmarkEnd w:id="4"/>
      <w:bookmarkStart w:id="5" w:name="_Hlt74649545"/>
      <w:bookmarkEnd w:id="5"/>
      <w:bookmarkStart w:id="6" w:name="_Hlt74728647"/>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lang w:eastAsia="zh-CN"/>
        </w:rPr>
        <w:t>乔司街道老茶馆运营服务采购项目招标项目的</w:t>
      </w:r>
      <w:r>
        <w:rPr>
          <w:rFonts w:hint="eastAsia" w:ascii="宋体" w:hAnsi="宋体" w:cs="宋体"/>
          <w:color w:val="auto"/>
          <w:sz w:val="24"/>
          <w:highlight w:val="none"/>
        </w:rPr>
        <w:t>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https://www.zcygov.cn/）获取（下载）招标文件，并于202</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2</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28</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00</w:t>
      </w:r>
      <w:r>
        <w:rPr>
          <w:rStyle w:val="78"/>
          <w:rFonts w:hint="eastAsia" w:ascii="宋体" w:hAnsi="宋体" w:eastAsia="宋体" w:cs="宋体"/>
          <w:snapToGrid/>
          <w:color w:val="auto"/>
          <w:kern w:val="2"/>
          <w:sz w:val="24"/>
          <w:szCs w:val="24"/>
          <w:highlight w:val="none"/>
        </w:rPr>
        <w:t>分</w:t>
      </w:r>
      <w:r>
        <w:rPr>
          <w:rStyle w:val="78"/>
          <w:rFonts w:hint="eastAsia" w:ascii="宋体" w:hAnsi="宋体" w:cs="宋体"/>
          <w:snapToGrid/>
          <w:color w:val="auto"/>
          <w:kern w:val="2"/>
          <w:sz w:val="24"/>
          <w:szCs w:val="24"/>
          <w:highlight w:val="none"/>
          <w:lang w:val="en-US" w:eastAsia="zh-CN"/>
        </w:rPr>
        <w:t>00</w:t>
      </w:r>
      <w:r>
        <w:rPr>
          <w:rStyle w:val="78"/>
          <w:rFonts w:hint="eastAsia" w:ascii="宋体" w:hAnsi="宋体" w:eastAsia="宋体" w:cs="宋体"/>
          <w:bCs/>
          <w:snapToGrid/>
          <w:color w:val="auto"/>
          <w:kern w:val="2"/>
          <w:sz w:val="24"/>
          <w:szCs w:val="24"/>
          <w:highlight w:val="none"/>
        </w:rPr>
        <w:t>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ind w:firstLine="480"/>
        <w:rPr>
          <w:rFonts w:hint="eastAsia" w:ascii="宋体" w:hAnsi="宋体" w:cs="宋体"/>
          <w:b/>
          <w:color w:val="auto"/>
          <w:sz w:val="24"/>
          <w:highlight w:val="none"/>
          <w:lang w:val="en-US" w:eastAsia="zh-CN"/>
        </w:rPr>
      </w:pPr>
      <w:r>
        <w:rPr>
          <w:rFonts w:hint="eastAsia" w:ascii="宋体" w:hAnsi="宋体" w:cs="宋体"/>
          <w:b/>
          <w:color w:val="auto"/>
          <w:sz w:val="24"/>
          <w:highlight w:val="none"/>
        </w:rPr>
        <w:t>项目编号：</w:t>
      </w:r>
      <w:r>
        <w:rPr>
          <w:rFonts w:hint="eastAsia" w:ascii="宋体" w:hAnsi="宋体" w:cs="宋体"/>
          <w:b/>
          <w:color w:val="auto"/>
          <w:sz w:val="24"/>
          <w:highlight w:val="none"/>
          <w:lang w:eastAsia="zh-CN"/>
        </w:rPr>
        <w:t>TYZFCG-2024-002</w:t>
      </w:r>
      <w:r>
        <w:rPr>
          <w:rFonts w:hint="eastAsia" w:ascii="宋体" w:hAnsi="宋体" w:cs="宋体"/>
          <w:b/>
          <w:color w:val="auto"/>
          <w:sz w:val="24"/>
          <w:highlight w:val="none"/>
          <w:lang w:val="en-US" w:eastAsia="zh-CN"/>
        </w:rPr>
        <w:t xml:space="preserve">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color w:val="auto"/>
          <w:sz w:val="24"/>
          <w:highlight w:val="none"/>
          <w:lang w:eastAsia="zh-CN"/>
        </w:rPr>
        <w:t>乔司街道老茶馆运营服务采购项目</w:t>
      </w:r>
    </w:p>
    <w:p>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216</w:t>
      </w:r>
      <w:r>
        <w:rPr>
          <w:rFonts w:hint="eastAsia" w:ascii="宋体" w:hAnsi="宋体" w:cs="宋体"/>
          <w:b/>
          <w:color w:val="auto"/>
          <w:sz w:val="24"/>
          <w:highlight w:val="none"/>
          <w:lang w:eastAsia="zh-CN"/>
        </w:rPr>
        <w:t>0000</w:t>
      </w:r>
      <w:r>
        <w:rPr>
          <w:rFonts w:hint="eastAsia" w:ascii="宋体" w:hAnsi="宋体" w:cs="宋体"/>
          <w:b/>
          <w:color w:val="auto"/>
          <w:sz w:val="24"/>
          <w:highlight w:val="none"/>
        </w:rPr>
        <w:t xml:space="preserve"> </w:t>
      </w:r>
    </w:p>
    <w:p>
      <w:pPr>
        <w:spacing w:line="360" w:lineRule="auto"/>
        <w:ind w:firstLine="480"/>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216</w:t>
      </w:r>
      <w:r>
        <w:rPr>
          <w:rFonts w:hint="eastAsia" w:ascii="宋体" w:hAnsi="宋体" w:cs="宋体"/>
          <w:b/>
          <w:color w:val="auto"/>
          <w:sz w:val="24"/>
          <w:highlight w:val="none"/>
          <w:lang w:eastAsia="zh-CN"/>
        </w:rPr>
        <w:t>0000</w:t>
      </w:r>
    </w:p>
    <w:p>
      <w:pPr>
        <w:pStyle w:val="5"/>
        <w:spacing w:line="360" w:lineRule="auto"/>
        <w:ind w:firstLine="480"/>
        <w:rPr>
          <w:rFonts w:hint="eastAsia" w:ascii="宋体" w:hAnsi="宋体" w:cs="宋体"/>
          <w:color w:val="auto"/>
          <w:sz w:val="24"/>
          <w:highlight w:val="none"/>
          <w:lang w:eastAsia="zh-CN"/>
        </w:rPr>
      </w:pPr>
      <w:r>
        <w:rPr>
          <w:rFonts w:hint="eastAsia" w:hAnsi="宋体" w:cs="宋体"/>
          <w:b/>
          <w:color w:val="auto"/>
          <w:sz w:val="24"/>
          <w:highlight w:val="none"/>
        </w:rPr>
        <w:t>采购需求：</w:t>
      </w:r>
      <w:r>
        <w:rPr>
          <w:rFonts w:hint="eastAsia" w:hAnsi="宋体" w:cs="宋体"/>
          <w:color w:val="auto"/>
          <w:sz w:val="24"/>
          <w:highlight w:val="none"/>
          <w:lang w:eastAsia="zh-CN"/>
        </w:rPr>
        <w:t>乔司街道老茶馆运营服务采购项目</w:t>
      </w:r>
    </w:p>
    <w:p>
      <w:pPr>
        <w:pStyle w:val="5"/>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主要内容：</w:t>
      </w:r>
      <w:r>
        <w:rPr>
          <w:rFonts w:hint="eastAsia" w:cs="Times New Roman" w:asciiTheme="minorEastAsia" w:hAnsiTheme="minorEastAsia" w:eastAsiaTheme="minorEastAsia"/>
          <w:snapToGrid/>
          <w:color w:val="auto"/>
          <w:kern w:val="2"/>
          <w:sz w:val="24"/>
          <w:szCs w:val="24"/>
          <w:highlight w:val="none"/>
        </w:rPr>
        <w:t>主要为</w:t>
      </w:r>
      <w:r>
        <w:rPr>
          <w:rFonts w:hint="eastAsia" w:cs="Times New Roman" w:asciiTheme="minorEastAsia" w:hAnsiTheme="minorEastAsia" w:eastAsiaTheme="minorEastAsia"/>
          <w:snapToGrid/>
          <w:color w:val="auto"/>
          <w:kern w:val="2"/>
          <w:sz w:val="24"/>
          <w:szCs w:val="24"/>
          <w:highlight w:val="none"/>
          <w:lang w:eastAsia="zh-CN"/>
        </w:rPr>
        <w:t>乔司街道老茶馆运营服务采购项目，</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5"/>
        <w:spacing w:line="360" w:lineRule="auto"/>
        <w:ind w:firstLine="480"/>
        <w:rPr>
          <w:rFonts w:hint="eastAsia" w:hAnsi="宋体" w:cs="宋体"/>
          <w:b/>
          <w:color w:val="auto"/>
          <w:sz w:val="24"/>
          <w:highlight w:val="none"/>
        </w:rPr>
      </w:pPr>
      <w:r>
        <w:rPr>
          <w:rFonts w:hint="eastAsia" w:hAnsi="宋体" w:cs="宋体"/>
          <w:b/>
          <w:color w:val="auto"/>
          <w:sz w:val="24"/>
          <w:highlight w:val="none"/>
        </w:rPr>
        <w:t>本项目合同服务期二年，合同每一年签订一次，在合同服务期内，采购人有权根据实际情况提前终止合同，或采购人根据第一年的服务质量对中标人进行考核，考核通过后采购人续签第二年的合同。</w:t>
      </w:r>
    </w:p>
    <w:p>
      <w:pPr>
        <w:pStyle w:val="5"/>
        <w:spacing w:line="360" w:lineRule="auto"/>
        <w:ind w:left="0" w:leftChars="0" w:firstLine="0" w:firstLineChars="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服务全部由符合政策要求的小微企业承接，提供中小企业声明函；</w:t>
      </w:r>
    </w:p>
    <w:p>
      <w:pPr>
        <w:rPr>
          <w:rFonts w:ascii="宋体" w:hAnsi="宋体" w:cs="宋体"/>
          <w:color w:val="auto"/>
          <w:highlight w:val="none"/>
        </w:rPr>
      </w:pP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.本项目的特定资格要求：无；</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Style w:val="78"/>
          <w:rFonts w:hint="eastAsia" w:ascii="宋体" w:hAnsi="宋体" w:eastAsia="宋体" w:cs="宋体"/>
          <w:snapToGrid/>
          <w:color w:val="auto"/>
          <w:kern w:val="2"/>
          <w:sz w:val="24"/>
          <w:szCs w:val="24"/>
          <w:highlight w:val="none"/>
        </w:rPr>
        <w:t>202</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2</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28</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rPr>
        <w:t>点</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 xml:space="preserve">日 </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 xml:space="preserve">点 </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highlight w:val="yellow"/>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 xml:space="preserve"> 分00秒</w:t>
      </w:r>
      <w:r>
        <w:rPr>
          <w:rFonts w:hint="eastAsia" w:ascii="宋体" w:hAnsi="宋体" w:cs="宋体"/>
          <w:bCs/>
          <w:color w:val="auto"/>
          <w:sz w:val="24"/>
          <w:highlight w:val="none"/>
          <w:u w:val="singl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杭州市临平区人民政府</w:t>
      </w:r>
      <w:r>
        <w:rPr>
          <w:rFonts w:hint="eastAsia" w:ascii="宋体" w:hAnsi="宋体" w:cs="宋体"/>
          <w:color w:val="auto"/>
          <w:sz w:val="24"/>
          <w:highlight w:val="none"/>
          <w:lang w:eastAsia="zh-CN"/>
        </w:rPr>
        <w:t>乔司</w:t>
      </w:r>
      <w:r>
        <w:rPr>
          <w:rFonts w:hint="eastAsia" w:ascii="宋体" w:hAnsi="宋体" w:eastAsia="宋体" w:cs="宋体"/>
          <w:color w:val="auto"/>
          <w:sz w:val="24"/>
          <w:highlight w:val="none"/>
          <w:lang w:eastAsia="zh-CN"/>
        </w:rPr>
        <w:t>街道办事处</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址：浙江省杭州市临平区</w:t>
      </w:r>
      <w:r>
        <w:rPr>
          <w:rFonts w:hint="eastAsia" w:ascii="宋体" w:hAnsi="宋体" w:cs="宋体"/>
          <w:color w:val="auto"/>
          <w:sz w:val="24"/>
          <w:highlight w:val="none"/>
          <w:lang w:eastAsia="zh-CN"/>
        </w:rPr>
        <w:t>乔井路</w:t>
      </w:r>
      <w:r>
        <w:rPr>
          <w:rFonts w:hint="eastAsia" w:ascii="宋体" w:hAnsi="宋体" w:cs="宋体"/>
          <w:color w:val="auto"/>
          <w:sz w:val="24"/>
          <w:highlight w:val="none"/>
          <w:lang w:val="en-US" w:eastAsia="zh-CN"/>
        </w:rPr>
        <w:t>268</w:t>
      </w:r>
      <w:r>
        <w:rPr>
          <w:rFonts w:hint="eastAsia" w:ascii="宋体" w:hAnsi="宋体" w:eastAsia="宋体" w:cs="宋体"/>
          <w:color w:val="auto"/>
          <w:sz w:val="24"/>
          <w:highlight w:val="none"/>
        </w:rPr>
        <w:t>号</w:t>
      </w:r>
    </w:p>
    <w:p>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项目联系人（询问）：</w:t>
      </w:r>
      <w:r>
        <w:rPr>
          <w:rFonts w:hint="eastAsia" w:ascii="宋体" w:hAnsi="宋体" w:cs="宋体"/>
          <w:sz w:val="24"/>
          <w:lang w:val="en-US" w:eastAsia="zh-CN"/>
        </w:rPr>
        <w:t>姚剑</w:t>
      </w:r>
    </w:p>
    <w:p>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13968091887</w:t>
      </w:r>
    </w:p>
    <w:p>
      <w:pPr>
        <w:spacing w:line="360" w:lineRule="auto"/>
        <w:ind w:firstLine="480"/>
        <w:rPr>
          <w:rFonts w:ascii="宋体" w:hAnsi="宋体" w:cs="宋体"/>
          <w:sz w:val="24"/>
        </w:rPr>
      </w:pPr>
      <w:r>
        <w:rPr>
          <w:rFonts w:hint="eastAsia" w:ascii="宋体" w:hAnsi="宋体" w:cs="宋体"/>
          <w:sz w:val="24"/>
        </w:rPr>
        <w:t>质疑联系人：翁振泉</w:t>
      </w:r>
    </w:p>
    <w:p>
      <w:pPr>
        <w:spacing w:line="360" w:lineRule="auto"/>
        <w:ind w:firstLine="480"/>
        <w:rPr>
          <w:rFonts w:ascii="宋体" w:hAnsi="宋体" w:cs="宋体"/>
          <w:sz w:val="24"/>
        </w:rPr>
      </w:pPr>
      <w:r>
        <w:rPr>
          <w:rFonts w:hint="eastAsia" w:ascii="宋体" w:hAnsi="宋体" w:cs="宋体"/>
          <w:sz w:val="24"/>
        </w:rPr>
        <w:t>质疑联系方式：</w:t>
      </w:r>
      <w:r>
        <w:rPr>
          <w:rFonts w:ascii="宋体" w:hAnsi="宋体" w:cs="宋体"/>
          <w:sz w:val="24"/>
        </w:rPr>
        <w:t>0571-86296891</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rPr>
        <w:t xml:space="preserve">    </w:t>
      </w:r>
      <w:r>
        <w:rPr>
          <w:rFonts w:hint="eastAsia" w:ascii="宋体" w:hAnsi="宋体" w:eastAsia="宋体" w:cs="宋体"/>
          <w:color w:val="auto"/>
          <w:sz w:val="24"/>
          <w:szCs w:val="24"/>
          <w:highlight w:val="none"/>
        </w:rPr>
        <w:t xml:space="preserve">2.采购代理机构信息            </w:t>
      </w:r>
    </w:p>
    <w:p>
      <w:pPr>
        <w:wordWrap/>
        <w:adjustRightInd w:val="0"/>
        <w:spacing w:line="600" w:lineRule="exact"/>
        <w:ind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cs="宋体"/>
          <w:color w:val="auto"/>
          <w:sz w:val="24"/>
          <w:szCs w:val="24"/>
          <w:highlight w:val="none"/>
          <w:lang w:eastAsia="zh-CN"/>
        </w:rPr>
        <w:t>杭州添越工程咨询有限公司</w:t>
      </w:r>
    </w:p>
    <w:p>
      <w:pPr>
        <w:wordWrap/>
        <w:adjustRightInd w:val="0"/>
        <w:spacing w:line="600" w:lineRule="exact"/>
        <w:ind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宋体" w:hAnsi="宋体" w:cs="宋体"/>
          <w:color w:val="auto"/>
          <w:sz w:val="24"/>
          <w:szCs w:val="24"/>
          <w:highlight w:val="none"/>
          <w:lang w:val="en-US" w:eastAsia="zh-CN"/>
        </w:rPr>
        <w:t>浙江省</w:t>
      </w:r>
      <w:r>
        <w:rPr>
          <w:rFonts w:hint="eastAsia" w:ascii="宋体" w:hAnsi="宋体" w:cs="宋体"/>
          <w:color w:val="auto"/>
          <w:sz w:val="24"/>
          <w:szCs w:val="24"/>
          <w:highlight w:val="none"/>
          <w:lang w:eastAsia="zh-CN"/>
        </w:rPr>
        <w:t>杭州市临平区临平街道东港路118号1号写字楼第13层A1312室</w:t>
      </w:r>
    </w:p>
    <w:p>
      <w:pPr>
        <w:wordWrap/>
        <w:adjustRightInd w:val="0"/>
        <w:spacing w:line="600" w:lineRule="exact"/>
        <w:ind w:firstLine="480"/>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传真：</w:t>
      </w:r>
      <w:r>
        <w:rPr>
          <w:rFonts w:hint="eastAsia" w:ascii="宋体" w:hAnsi="宋体" w:cs="宋体"/>
          <w:color w:val="auto"/>
          <w:sz w:val="24"/>
          <w:szCs w:val="24"/>
          <w:highlight w:val="none"/>
          <w:lang w:val="en-US" w:eastAsia="zh-CN"/>
        </w:rPr>
        <w:t>0571-86300858</w:t>
      </w:r>
      <w:r>
        <w:rPr>
          <w:rFonts w:hint="eastAsia" w:ascii="宋体" w:hAnsi="宋体" w:cs="宋体"/>
          <w:color w:val="auto"/>
          <w:sz w:val="24"/>
          <w:szCs w:val="24"/>
          <w:highlight w:val="none"/>
          <w:lang w:eastAsia="zh-CN"/>
        </w:rPr>
        <w:t xml:space="preserve">           </w:t>
      </w:r>
    </w:p>
    <w:p>
      <w:pPr>
        <w:wordWrap/>
        <w:adjustRightInd w:val="0"/>
        <w:spacing w:line="600" w:lineRule="exact"/>
        <w:ind w:firstLine="48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项目联系人（询问）：周工</w:t>
      </w:r>
    </w:p>
    <w:p>
      <w:pPr>
        <w:wordWrap/>
        <w:adjustRightInd w:val="0"/>
        <w:spacing w:line="600" w:lineRule="exact"/>
        <w:ind w:firstLine="48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项目联系方式（询问）：19157619901</w:t>
      </w:r>
    </w:p>
    <w:p>
      <w:pPr>
        <w:wordWrap/>
        <w:adjustRightInd w:val="0"/>
        <w:spacing w:line="600" w:lineRule="exact"/>
        <w:ind w:firstLine="48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质疑联系人：姚工</w:t>
      </w:r>
    </w:p>
    <w:p>
      <w:pPr>
        <w:wordWrap/>
        <w:adjustRightInd w:val="0"/>
        <w:spacing w:line="600" w:lineRule="exact"/>
        <w:ind w:firstLine="480"/>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质疑联系方式：0571-86300858</w:t>
      </w:r>
      <w:r>
        <w:rPr>
          <w:rFonts w:hint="eastAsia" w:ascii="宋体" w:hAnsi="宋体" w:cs="宋体"/>
          <w:color w:val="auto"/>
          <w:sz w:val="24"/>
          <w:szCs w:val="24"/>
          <w:highlight w:val="none"/>
          <w:lang w:eastAsia="zh-CN"/>
        </w:rPr>
        <w:t xml:space="preserve"> </w:t>
      </w:r>
    </w:p>
    <w:p>
      <w:pPr>
        <w:spacing w:line="360" w:lineRule="auto"/>
        <w:rPr>
          <w:rFonts w:ascii="宋体" w:hAnsi="宋体" w:cs="宋体"/>
          <w:color w:val="auto"/>
          <w:sz w:val="24"/>
          <w:highlight w:val="none"/>
        </w:rPr>
      </w:pPr>
    </w:p>
    <w:p>
      <w:pPr>
        <w:wordWrap/>
        <w:adjustRightInd w:val="0"/>
        <w:spacing w:line="6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3.同级政府采购监督管理部门</w:t>
      </w:r>
    </w:p>
    <w:p>
      <w:pPr>
        <w:wordWrap/>
        <w:adjustRightInd w:val="0"/>
        <w:spacing w:line="600" w:lineRule="exact"/>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名称：杭州市临平区财政局采监科</w:t>
      </w:r>
      <w:r>
        <w:rPr>
          <w:rFonts w:hint="eastAsia" w:ascii="宋体" w:hAnsi="宋体" w:cs="宋体"/>
          <w:color w:val="auto"/>
          <w:sz w:val="24"/>
          <w:szCs w:val="24"/>
          <w:highlight w:val="none"/>
          <w:lang w:val="en-US" w:eastAsia="zh-CN"/>
        </w:rPr>
        <w:t>、浙江省政府采购行政裁决服务中心（杭州）</w:t>
      </w:r>
    </w:p>
    <w:p>
      <w:pPr>
        <w:wordWrap/>
        <w:adjustRightInd w:val="0"/>
        <w:spacing w:line="600" w:lineRule="exact"/>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地址：</w:t>
      </w:r>
      <w:r>
        <w:rPr>
          <w:rFonts w:hint="eastAsia" w:ascii="宋体" w:hAnsi="宋体" w:cs="宋体"/>
          <w:color w:val="auto"/>
          <w:sz w:val="24"/>
          <w:szCs w:val="24"/>
          <w:highlight w:val="none"/>
          <w:lang w:val="en-US" w:eastAsia="zh-CN"/>
        </w:rPr>
        <w:t>杭州市上城区四季青街道新业路市民之家G03办公室（快递仅限ems或顺丰）</w:t>
      </w:r>
    </w:p>
    <w:p>
      <w:pPr>
        <w:wordWrap/>
        <w:adjustRightInd w:val="0"/>
        <w:spacing w:line="6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p>
      <w:pPr>
        <w:wordWrap/>
        <w:adjustRightInd w:val="0"/>
        <w:spacing w:line="600" w:lineRule="exact"/>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 ：</w:t>
      </w:r>
      <w:r>
        <w:rPr>
          <w:rFonts w:hint="eastAsia" w:ascii="宋体" w:hAnsi="宋体" w:cs="宋体"/>
          <w:color w:val="auto"/>
          <w:sz w:val="24"/>
          <w:szCs w:val="24"/>
          <w:highlight w:val="none"/>
          <w:lang w:val="en-US" w:eastAsia="zh-CN"/>
        </w:rPr>
        <w:t>朱女士/王女士</w:t>
      </w:r>
    </w:p>
    <w:p>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rPr>
        <w:t>监督投诉电话：</w:t>
      </w:r>
      <w:r>
        <w:rPr>
          <w:rFonts w:hint="eastAsia" w:ascii="宋体" w:eastAsia="宋体" w:cs="宋体"/>
          <w:color w:val="auto"/>
          <w:sz w:val="24"/>
          <w:szCs w:val="24"/>
          <w:highlight w:val="none"/>
        </w:rPr>
        <w:t>0571-8</w:t>
      </w:r>
      <w:r>
        <w:rPr>
          <w:rFonts w:hint="eastAsia" w:ascii="宋体" w:cs="宋体"/>
          <w:color w:val="auto"/>
          <w:sz w:val="24"/>
          <w:szCs w:val="24"/>
          <w:highlight w:val="none"/>
          <w:lang w:val="en-US" w:eastAsia="zh-CN"/>
        </w:rPr>
        <w:t>5252453</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rPr>
                <w:rFonts w:ascii="宋体" w:hAnsi="宋体" w:eastAsia="宋体" w:cs="宋体"/>
                <w:color w:val="auto"/>
                <w:highlight w:val="none"/>
                <w:lang w:val="en-US"/>
              </w:rPr>
            </w:pPr>
            <w:r>
              <w:rPr>
                <w:rFonts w:hint="eastAsia" w:ascii="仿宋" w:hAnsi="仿宋" w:eastAsia="仿宋" w:cs="宋体"/>
                <w:b/>
                <w:bCs/>
                <w:color w:val="auto"/>
                <w:kern w:val="2"/>
                <w:sz w:val="24"/>
                <w:szCs w:val="20"/>
                <w:highlight w:val="none"/>
                <w:lang w:val="en-US" w:eastAsia="zh-CN" w:bidi="ar-SA"/>
              </w:rPr>
              <w:t>（1）标的：</w:t>
            </w:r>
            <w:r>
              <w:rPr>
                <w:rFonts w:hint="eastAsia" w:ascii="仿宋" w:hAnsi="仿宋" w:eastAsia="仿宋" w:cs="宋体"/>
                <w:b/>
                <w:color w:val="auto"/>
                <w:sz w:val="24"/>
                <w:szCs w:val="20"/>
                <w:highlight w:val="none"/>
                <w:lang w:val="en-US" w:eastAsia="zh-CN"/>
              </w:rPr>
              <w:t>乔司街道老茶馆运营服务采购项目</w:t>
            </w:r>
            <w:r>
              <w:rPr>
                <w:rFonts w:hint="eastAsia" w:ascii="仿宋" w:hAnsi="仿宋" w:eastAsia="仿宋" w:cs="宋体"/>
                <w:b/>
                <w:color w:val="auto"/>
                <w:sz w:val="24"/>
                <w:szCs w:val="20"/>
                <w:highlight w:val="none"/>
                <w:lang w:val="en-US"/>
              </w:rPr>
              <w:t>，属于</w:t>
            </w:r>
            <w:r>
              <w:rPr>
                <w:rFonts w:hint="eastAsia" w:ascii="仿宋" w:hAnsi="仿宋" w:eastAsia="仿宋" w:cs="宋体"/>
                <w:b/>
                <w:color w:val="auto"/>
                <w:sz w:val="24"/>
                <w:szCs w:val="20"/>
                <w:highlight w:val="none"/>
                <w:lang w:val="en-US" w:eastAsia="zh-CN"/>
              </w:rPr>
              <w:t>其他未列明行业</w:t>
            </w:r>
            <w:r>
              <w:rPr>
                <w:rFonts w:hint="eastAsia" w:ascii="仿宋" w:eastAsia="仿宋" w:cs="仿宋"/>
                <w:color w:val="auto"/>
                <w:kern w:val="0"/>
                <w:sz w:val="24"/>
                <w:highlight w:val="none"/>
              </w:rPr>
              <w:t>；具体详见《中小企业划型标准规定》。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jc w:val="left"/>
              <w:rPr>
                <w:rFonts w:hint="eastAsia"/>
                <w:b/>
                <w:bCs/>
                <w:color w:val="auto"/>
                <w:sz w:val="24"/>
                <w:szCs w:val="24"/>
                <w:highlight w:val="none"/>
              </w:rPr>
            </w:pPr>
            <w:r>
              <w:rPr>
                <w:rFonts w:hint="eastAsia"/>
                <w:b/>
                <w:bCs/>
                <w:color w:val="auto"/>
                <w:sz w:val="24"/>
                <w:szCs w:val="24"/>
                <w:highlight w:val="none"/>
              </w:rPr>
              <w:t>备份投标文件送达地点：浙江省杭州市临平区临平街道东港路118号1号写字楼第13层A1312室（</w:t>
            </w:r>
            <w:r>
              <w:rPr>
                <w:rFonts w:hint="eastAsia"/>
                <w:b/>
                <w:bCs/>
                <w:color w:val="auto"/>
                <w:sz w:val="24"/>
                <w:szCs w:val="24"/>
                <w:highlight w:val="none"/>
                <w:lang w:val="en-US" w:eastAsia="zh-CN"/>
              </w:rPr>
              <w:t>周工</w:t>
            </w:r>
            <w:r>
              <w:rPr>
                <w:rFonts w:hint="eastAsia"/>
                <w:b/>
                <w:bCs/>
                <w:color w:val="auto"/>
                <w:sz w:val="24"/>
                <w:szCs w:val="24"/>
                <w:highlight w:val="none"/>
              </w:rPr>
              <w:t>收）；备份投标文件签收人员联系电话：</w:t>
            </w:r>
            <w:r>
              <w:rPr>
                <w:rFonts w:hint="eastAsia"/>
                <w:b/>
                <w:bCs/>
                <w:color w:val="auto"/>
                <w:sz w:val="24"/>
                <w:szCs w:val="24"/>
                <w:highlight w:val="none"/>
                <w:lang w:val="en-US" w:eastAsia="zh-CN"/>
              </w:rPr>
              <w:t>0571-86300858</w:t>
            </w:r>
            <w:r>
              <w:rPr>
                <w:rFonts w:hint="eastAsia"/>
                <w:b/>
                <w:bCs/>
                <w:color w:val="auto"/>
                <w:sz w:val="24"/>
                <w:szCs w:val="24"/>
                <w:highlight w:val="none"/>
              </w:rPr>
              <w:t xml:space="preserve"> 。</w:t>
            </w:r>
          </w:p>
          <w:p>
            <w:pPr>
              <w:pStyle w:val="34"/>
              <w:spacing w:line="360" w:lineRule="auto"/>
              <w:rPr>
                <w:rFonts w:hAnsi="宋体" w:cs="宋体"/>
                <w:color w:val="auto"/>
                <w:kern w:val="28"/>
                <w:sz w:val="24"/>
                <w:highlight w:val="none"/>
              </w:rPr>
            </w:pPr>
            <w:r>
              <w:rPr>
                <w:rFonts w:hint="eastAsia"/>
                <w:b/>
                <w:bCs/>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auto" w:sz="4" w:space="0"/>
              <w:left w:val="single" w:color="000000" w:sz="2" w:space="0"/>
              <w:right w:val="single" w:color="auto" w:sz="4" w:space="0"/>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auto" w:sz="4"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pPr>
              <w:spacing w:before="0" w:beforeAutospacing="0" w:after="0" w:afterAutospacing="0" w:line="360" w:lineRule="auto"/>
              <w:ind w:left="0" w:right="0"/>
              <w:rPr>
                <w:rFonts w:hint="default" w:ascii="华文仿宋" w:hAnsi="华文仿宋" w:eastAsia="华文仿宋" w:cs="Times New Roman"/>
                <w:color w:val="auto"/>
                <w:sz w:val="24"/>
                <w:szCs w:val="20"/>
                <w:highlight w:val="none"/>
              </w:rPr>
            </w:pPr>
            <w:r>
              <w:rPr>
                <w:rFonts w:hint="eastAsia" w:ascii="仿宋_GB2312" w:hAnsi="仿宋" w:eastAsia="仿宋_GB2312" w:cs="Times New Roman"/>
                <w:color w:val="auto"/>
                <w:sz w:val="24"/>
                <w:szCs w:val="20"/>
                <w:highlight w:val="none"/>
              </w:rPr>
              <w:t>▲</w:t>
            </w:r>
            <w:r>
              <w:rPr>
                <w:rFonts w:hint="eastAsia" w:ascii="华文仿宋" w:hAnsi="华文仿宋" w:eastAsia="华文仿宋" w:cs="Times New Roman"/>
                <w:color w:val="auto"/>
                <w:sz w:val="24"/>
                <w:szCs w:val="20"/>
                <w:highlight w:val="none"/>
              </w:rPr>
              <w:t>供应商以联合体形式投标的：在按招标文件要求提供联合协议，联合体投标的联合体各方承担连带责任。</w:t>
            </w:r>
          </w:p>
          <w:p>
            <w:pPr>
              <w:spacing w:before="0" w:beforeAutospacing="0" w:after="0" w:afterAutospacing="0" w:line="360" w:lineRule="auto"/>
              <w:ind w:left="0" w:right="0"/>
              <w:rPr>
                <w:rFonts w:hint="default" w:ascii="华文仿宋" w:hAnsi="华文仿宋" w:eastAsia="华文仿宋" w:cs="Times New Roman"/>
                <w:color w:val="auto"/>
                <w:sz w:val="24"/>
                <w:szCs w:val="20"/>
                <w:highlight w:val="none"/>
              </w:rPr>
            </w:pPr>
            <w:r>
              <w:rPr>
                <w:rFonts w:hint="eastAsia" w:ascii="仿宋_GB2312" w:hAnsi="仿宋" w:eastAsia="仿宋_GB2312" w:cs="Times New Roman"/>
                <w:color w:val="auto"/>
                <w:sz w:val="24"/>
                <w:szCs w:val="20"/>
                <w:highlight w:val="none"/>
              </w:rPr>
              <w:t>▲</w:t>
            </w:r>
            <w:r>
              <w:rPr>
                <w:rFonts w:hint="eastAsia" w:ascii="华文仿宋" w:hAnsi="华文仿宋" w:eastAsia="华文仿宋" w:cs="Times New Roman"/>
                <w:color w:val="auto"/>
                <w:sz w:val="24"/>
                <w:szCs w:val="20"/>
                <w:highlight w:val="none"/>
              </w:rPr>
              <w:t>以联合体形式参加政府采购活动的，联合体各方不得再单独参加或者与其他供应商另外组成联合体参加同一合同项下的政府采购活动，否则相关投标均无效。</w:t>
            </w:r>
          </w:p>
          <w:p>
            <w:pPr>
              <w:spacing w:before="0" w:beforeAutospacing="0" w:after="0" w:afterAutospacing="0" w:line="360" w:lineRule="auto"/>
              <w:ind w:left="0" w:right="0"/>
              <w:rPr>
                <w:rFonts w:hint="default" w:ascii="华文仿宋" w:hAnsi="华文仿宋" w:eastAsia="华文仿宋" w:cs="Times New Roman"/>
                <w:color w:val="auto"/>
                <w:sz w:val="24"/>
                <w:szCs w:val="20"/>
                <w:highlight w:val="none"/>
              </w:rPr>
            </w:pPr>
            <w:r>
              <w:rPr>
                <w:rFonts w:hint="eastAsia" w:ascii="仿宋_GB2312" w:hAnsi="仿宋" w:eastAsia="仿宋_GB2312" w:cs="Times New Roman"/>
                <w:color w:val="auto"/>
                <w:sz w:val="24"/>
                <w:szCs w:val="20"/>
                <w:highlight w:val="none"/>
              </w:rPr>
              <w:t>▲</w:t>
            </w:r>
            <w:r>
              <w:rPr>
                <w:rFonts w:hint="eastAsia" w:ascii="华文仿宋" w:hAnsi="华文仿宋" w:eastAsia="华文仿宋" w:cs="Times New Roman"/>
                <w:color w:val="auto"/>
                <w:sz w:val="24"/>
                <w:szCs w:val="20"/>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pPr>
              <w:spacing w:line="360" w:lineRule="auto"/>
              <w:rPr>
                <w:rFonts w:hint="eastAsia" w:cs="Arial" w:asciiTheme="minorEastAsia" w:hAnsiTheme="minorEastAsia" w:eastAsiaTheme="minorEastAsia"/>
                <w:color w:val="auto"/>
                <w:kern w:val="0"/>
                <w:sz w:val="24"/>
                <w:highlight w:val="none"/>
              </w:rPr>
            </w:pPr>
            <w:r>
              <w:rPr>
                <w:rFonts w:hint="eastAsia" w:ascii="仿宋_GB2312" w:hAnsi="仿宋" w:eastAsia="仿宋_GB2312" w:cs="Times New Roman"/>
                <w:color w:val="auto"/>
                <w:sz w:val="24"/>
                <w:szCs w:val="20"/>
                <w:highlight w:val="none"/>
              </w:rPr>
              <w:t>▲</w:t>
            </w:r>
            <w:r>
              <w:rPr>
                <w:rFonts w:hint="eastAsia" w:ascii="华文仿宋" w:hAnsi="华文仿宋" w:eastAsia="华文仿宋" w:cs="Times New Roman"/>
                <w:color w:val="auto"/>
                <w:sz w:val="24"/>
                <w:szCs w:val="20"/>
                <w:highlight w:val="none"/>
              </w:rPr>
              <w:t>联合体中有同类资质的供应商按照联合体分工承担相同工作的，应当按照资质等级较低的供应商确定资质等级。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pPr>
              <w:jc w:val="center"/>
              <w:rPr>
                <w:rFonts w:ascii="宋体" w:hAnsi="宋体" w:cs="宋体"/>
                <w:color w:val="auto"/>
                <w:sz w:val="24"/>
                <w:highlight w:val="none"/>
              </w:rPr>
            </w:pPr>
            <w:r>
              <w:rPr>
                <w:rFonts w:hint="eastAsia"/>
                <w:color w:val="auto"/>
                <w:highlight w:val="none"/>
                <w:lang w:val="en-US" w:eastAsia="zh-CN"/>
              </w:rPr>
              <w:t>14</w:t>
            </w:r>
          </w:p>
        </w:tc>
        <w:tc>
          <w:tcPr>
            <w:tcW w:w="1843" w:type="dxa"/>
            <w:tcBorders>
              <w:top w:val="single" w:color="auto" w:sz="4" w:space="0"/>
              <w:left w:val="single" w:color="000000" w:sz="2"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highlight w:val="none"/>
              </w:rPr>
            </w:pPr>
            <w:r>
              <w:rPr>
                <w:rFonts w:ascii="仿宋" w:hAnsi="仿宋" w:eastAsia="仿宋" w:cs="宋体"/>
                <w:b/>
                <w:color w:val="auto"/>
                <w:sz w:val="24"/>
                <w:highlight w:val="none"/>
              </w:rPr>
              <w:t>代理服务费</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 xml:space="preserve">中标人在领取中标通知书时需向招标代理机构支付人民币   </w:t>
            </w:r>
            <w:r>
              <w:rPr>
                <w:rFonts w:hint="eastAsia" w:ascii="仿宋_GB2312" w:hAnsi="仿宋" w:eastAsia="仿宋_GB2312"/>
                <w:snapToGrid w:val="0"/>
                <w:color w:val="auto"/>
                <w:kern w:val="28"/>
                <w:sz w:val="24"/>
                <w:highlight w:val="none"/>
                <w:lang w:val="en-US" w:eastAsia="zh-CN"/>
              </w:rPr>
              <w:t>27780</w:t>
            </w:r>
            <w:r>
              <w:rPr>
                <w:rFonts w:hint="eastAsia" w:ascii="仿宋_GB2312" w:hAnsi="仿宋" w:eastAsia="仿宋_GB2312"/>
                <w:snapToGrid w:val="0"/>
                <w:color w:val="auto"/>
                <w:kern w:val="28"/>
                <w:sz w:val="24"/>
                <w:highlight w:val="none"/>
              </w:rPr>
              <w:t>元招标代理服务费，费用包含在总报价中，不单独列项报价。</w:t>
            </w:r>
          </w:p>
          <w:p>
            <w:pPr>
              <w:spacing w:line="360" w:lineRule="auto"/>
              <w:rPr>
                <w:rFonts w:hint="eastAsia" w:cs="Arial" w:asciiTheme="minorEastAsia" w:hAnsiTheme="minorEastAsia" w:eastAsiaTheme="minorEastAsia"/>
                <w:color w:val="auto"/>
                <w:kern w:val="0"/>
                <w:sz w:val="24"/>
                <w:highlight w:val="none"/>
              </w:rPr>
            </w:pPr>
            <w:r>
              <w:rPr>
                <w:rFonts w:hint="eastAsia" w:ascii="仿宋_GB2312" w:hAnsi="仿宋" w:eastAsia="仿宋_GB2312"/>
                <w:snapToGrid w:val="0"/>
                <w:color w:val="auto"/>
                <w:kern w:val="28"/>
                <w:sz w:val="24"/>
                <w:highlight w:val="none"/>
              </w:rPr>
              <w:t>招标代理服务费的交纳方式：以转帐或支票的形式支付，开户行名称：浙江杭州余杭农村商业银行股份有限公司营业部；帐号：</w:t>
            </w:r>
            <w:r>
              <w:rPr>
                <w:rFonts w:hint="eastAsia" w:ascii="仿宋_GB2312" w:hAnsi="仿宋" w:eastAsia="仿宋_GB2312"/>
                <w:snapToGrid w:val="0"/>
                <w:color w:val="auto"/>
                <w:kern w:val="28"/>
                <w:sz w:val="24"/>
                <w:highlight w:val="none"/>
                <w:lang w:val="en-US" w:eastAsia="zh-CN"/>
              </w:rPr>
              <w:t>201000340256197</w:t>
            </w:r>
            <w:r>
              <w:rPr>
                <w:rFonts w:hint="eastAsia" w:ascii="仿宋_GB2312" w:hAnsi="仿宋" w:eastAsia="仿宋_GB2312"/>
                <w:snapToGrid w:val="0"/>
                <w:color w:val="auto"/>
                <w:kern w:val="28"/>
                <w:sz w:val="24"/>
                <w:highlight w:val="none"/>
              </w:rPr>
              <w:t>；户名：</w:t>
            </w:r>
            <w:r>
              <w:rPr>
                <w:rFonts w:hint="eastAsia" w:ascii="仿宋_GB2312" w:hAnsi="仿宋" w:eastAsia="仿宋_GB2312"/>
                <w:snapToGrid w:val="0"/>
                <w:color w:val="auto"/>
                <w:kern w:val="28"/>
                <w:sz w:val="24"/>
                <w:highlight w:val="none"/>
                <w:lang w:eastAsia="zh-CN"/>
              </w:rPr>
              <w:t>杭州添越工程咨询有限公司</w:t>
            </w:r>
            <w:r>
              <w:rPr>
                <w:rFonts w:hint="eastAsia" w:ascii="仿宋_GB2312" w:hAnsi="仿宋" w:eastAsia="仿宋_GB2312"/>
                <w:snapToGrid w:val="0"/>
                <w:color w:val="auto"/>
                <w:kern w:val="28"/>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jc w:val="center"/>
              <w:rPr>
                <w:rFonts w:ascii="宋体" w:hAnsi="宋体" w:cs="宋体"/>
                <w:color w:val="auto"/>
                <w:sz w:val="24"/>
                <w:highlight w:val="none"/>
              </w:rPr>
            </w:pPr>
            <w:r>
              <w:rPr>
                <w:rFonts w:hint="eastAsia"/>
                <w:color w:val="auto"/>
                <w:highlight w:val="none"/>
                <w:lang w:val="en-US" w:eastAsia="zh-CN"/>
              </w:rPr>
              <w:t>15</w:t>
            </w:r>
          </w:p>
        </w:tc>
        <w:tc>
          <w:tcPr>
            <w:tcW w:w="1843" w:type="dxa"/>
            <w:tcBorders>
              <w:top w:val="single" w:color="auto" w:sz="4" w:space="0"/>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仿宋_GB2312" w:hAnsi="仿宋" w:eastAsia="仿宋_GB2312"/>
                <w:b/>
                <w:snapToGrid w:val="0"/>
                <w:color w:val="auto"/>
                <w:kern w:val="28"/>
                <w:sz w:val="24"/>
                <w:highlight w:val="none"/>
              </w:rPr>
              <w:t>纸质投标文件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color w:val="auto"/>
                <w:kern w:val="0"/>
                <w:sz w:val="24"/>
                <w:highlight w:val="none"/>
              </w:rPr>
            </w:pPr>
            <w:r>
              <w:rPr>
                <w:rFonts w:hint="eastAsia" w:ascii="仿宋_GB2312" w:hAnsi="仿宋" w:eastAsia="仿宋_GB2312"/>
                <w:snapToGrid w:val="0"/>
                <w:color w:val="auto"/>
                <w:kern w:val="28"/>
                <w:sz w:val="24"/>
                <w:highlight w:val="none"/>
              </w:rPr>
              <w:t>中标单位需在领取中标通知书时，提供本项目纸质投标文件（“资格文件”、“报价文件”和“商务技术文件”）三份（正本一份，副本二份）并提供电子投标文件与纸质投标文件内容一致承诺书（格式自拟）三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 w:hAnsi="仿宋" w:eastAsia="仿宋" w:cs="宋体"/>
                <w:b/>
                <w:color w:val="auto"/>
                <w:sz w:val="24"/>
                <w:szCs w:val="20"/>
                <w:highlight w:val="none"/>
                <w:lang w:val="en-US" w:eastAsia="zh-CN"/>
              </w:rPr>
            </w:pPr>
          </w:p>
          <w:p>
            <w:pPr>
              <w:snapToGrid w:val="0"/>
              <w:spacing w:before="0" w:beforeAutospacing="0" w:after="0" w:afterAutospacing="0" w:line="360" w:lineRule="auto"/>
              <w:ind w:left="0" w:right="0"/>
              <w:jc w:val="center"/>
              <w:rPr>
                <w:rFonts w:hint="eastAsia" w:ascii="仿宋" w:hAnsi="仿宋" w:eastAsia="仿宋" w:cs="宋体"/>
                <w:b/>
                <w:color w:val="auto"/>
                <w:sz w:val="24"/>
                <w:szCs w:val="20"/>
                <w:highlight w:val="none"/>
                <w:lang w:val="en-US" w:eastAsia="zh-CN"/>
              </w:rPr>
            </w:pPr>
          </w:p>
          <w:p>
            <w:pPr>
              <w:snapToGrid w:val="0"/>
              <w:spacing w:before="0" w:beforeAutospacing="0" w:after="0" w:afterAutospacing="0" w:line="360" w:lineRule="auto"/>
              <w:ind w:left="0" w:leftChars="0" w:right="0" w:rightChars="0"/>
              <w:jc w:val="center"/>
              <w:rPr>
                <w:rFonts w:hint="eastAsia"/>
                <w:color w:val="auto"/>
                <w:highlight w:val="none"/>
                <w:lang w:val="en-US" w:eastAsia="zh-CN"/>
              </w:rPr>
            </w:pPr>
            <w:r>
              <w:rPr>
                <w:rFonts w:hint="eastAsia" w:ascii="仿宋" w:hAnsi="仿宋" w:eastAsia="仿宋" w:cs="宋体"/>
                <w:b/>
                <w:color w:val="auto"/>
                <w:sz w:val="24"/>
                <w:szCs w:val="20"/>
                <w:highlight w:val="none"/>
                <w:lang w:val="en-US" w:eastAsia="zh-CN"/>
              </w:rPr>
              <w:t>16</w:t>
            </w:r>
          </w:p>
        </w:tc>
        <w:tc>
          <w:tcPr>
            <w:tcW w:w="1843" w:type="dxa"/>
            <w:tcBorders>
              <w:top w:val="single" w:color="auto" w:sz="4"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leftChars="0" w:right="0" w:rightChars="0"/>
              <w:jc w:val="center"/>
              <w:rPr>
                <w:rFonts w:hint="eastAsia" w:ascii="仿宋_GB2312" w:hAnsi="仿宋" w:eastAsia="仿宋_GB2312"/>
                <w:b/>
                <w:snapToGrid w:val="0"/>
                <w:color w:val="auto"/>
                <w:kern w:val="28"/>
                <w:sz w:val="24"/>
                <w:highlight w:val="none"/>
              </w:rPr>
            </w:pPr>
            <w:r>
              <w:rPr>
                <w:rFonts w:hint="eastAsia" w:ascii="仿宋" w:hAnsi="仿宋" w:eastAsia="仿宋" w:cs="仿宋"/>
                <w:b/>
                <w:bCs/>
                <w:color w:val="auto"/>
                <w:kern w:val="2"/>
                <w:sz w:val="24"/>
                <w:szCs w:val="24"/>
                <w:highlight w:val="none"/>
                <w:lang w:val="en-US" w:eastAsia="zh-CN" w:bidi="ar-SA"/>
              </w:rPr>
              <w:t>评标委员会推荐中标候选人的人数</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leftChars="0" w:right="0" w:rightChars="0"/>
              <w:rPr>
                <w:rFonts w:hint="eastAsia" w:ascii="仿宋_GB2312" w:hAnsi="仿宋" w:eastAsia="仿宋_GB2312"/>
                <w:snapToGrid w:val="0"/>
                <w:color w:val="auto"/>
                <w:kern w:val="28"/>
                <w:sz w:val="24"/>
                <w:highlight w:val="none"/>
              </w:rPr>
            </w:pPr>
            <w:r>
              <w:rPr>
                <w:rFonts w:hint="eastAsia" w:ascii="仿宋" w:hAnsi="仿宋" w:eastAsia="仿宋" w:cs="仿宋"/>
                <w:color w:val="auto"/>
                <w:kern w:val="2"/>
                <w:sz w:val="24"/>
                <w:szCs w:val="24"/>
                <w:highlight w:val="none"/>
                <w:lang w:val="en-US" w:eastAsia="zh-CN" w:bidi="ar-SA"/>
              </w:rPr>
              <w:t>1个；排名第一的中标候选人放弃中标、因不可抗力不能履行合同、不按照招标文件要求提交履约保证金担保，或者被查实存在影响中标结果的违法行为等情形，不符合中标条件的，招标人将：（</w:t>
            </w:r>
            <w:r>
              <w:rPr>
                <w:rFonts w:hint="eastAsia" w:ascii="仿宋" w:hAnsi="仿宋" w:eastAsia="仿宋" w:cs="Arial"/>
                <w:b/>
                <w:color w:val="auto"/>
                <w:kern w:val="0"/>
                <w:sz w:val="24"/>
                <w:szCs w:val="20"/>
                <w:highlight w:val="none"/>
              </w:rPr>
              <w:sym w:font="Wingdings" w:char="F0FE"/>
            </w:r>
            <w:r>
              <w:rPr>
                <w:rFonts w:hint="eastAsia" w:ascii="仿宋" w:hAnsi="仿宋" w:eastAsia="仿宋" w:cs="仿宋"/>
                <w:color w:val="auto"/>
                <w:kern w:val="2"/>
                <w:sz w:val="24"/>
                <w:szCs w:val="24"/>
                <w:highlight w:val="none"/>
                <w:lang w:val="en-US" w:eastAsia="zh-CN" w:bidi="ar-SA"/>
              </w:rPr>
              <w:t>重新招标 □按中标候选人名单排序依次确定其他中标候选人为中标人）</w:t>
            </w:r>
          </w:p>
        </w:tc>
      </w:tr>
    </w:tbl>
    <w:p>
      <w:pPr>
        <w:snapToGrid w:val="0"/>
        <w:spacing w:line="360" w:lineRule="auto"/>
        <w:jc w:val="center"/>
        <w:rPr>
          <w:rFonts w:ascii="宋体" w:hAnsi="宋体" w:cs="宋体"/>
          <w:b/>
          <w:color w:val="auto"/>
          <w:sz w:val="32"/>
          <w:szCs w:val="20"/>
          <w:highlight w:val="none"/>
        </w:rPr>
      </w:pPr>
    </w:p>
    <w:bookmarkEnd w:id="9"/>
    <w:p>
      <w:pPr>
        <w:adjustRightInd/>
        <w:spacing w:line="360" w:lineRule="auto"/>
        <w:ind w:firstLine="3845" w:firstLineChars="1197"/>
        <w:outlineLvl w:val="0"/>
        <w:rPr>
          <w:rFonts w:ascii="宋体" w:hAnsi="宋体" w:cs="宋体"/>
          <w:b/>
          <w:color w:val="auto"/>
          <w:sz w:val="32"/>
          <w:szCs w:val="20"/>
          <w:highlight w:val="none"/>
        </w:rPr>
      </w:pPr>
      <w:bookmarkStart w:id="10" w:name="_Toc164416483"/>
      <w:bookmarkStart w:id="11" w:name="第三部分"/>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8"/>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8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pStyle w:val="131"/>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131"/>
        <w:spacing w:before="0"/>
        <w:ind w:firstLine="643"/>
        <w:rPr>
          <w:rFonts w:ascii="宋体" w:hAnsi="宋体" w:cs="宋体"/>
          <w:b/>
          <w:color w:val="auto"/>
          <w:sz w:val="32"/>
          <w:highlight w:val="none"/>
        </w:rPr>
      </w:pPr>
    </w:p>
    <w:p>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31"/>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2"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3" w:name="_Hlk101184471"/>
      <w:r>
        <w:rPr>
          <w:rFonts w:hint="eastAsia" w:ascii="宋体" w:hAnsi="宋体" w:cs="宋体"/>
          <w:color w:val="auto"/>
          <w:sz w:val="24"/>
          <w:highlight w:val="none"/>
        </w:rPr>
        <w:t>资格审查情况、评审专家抽取规则、符合性审查情况、</w:t>
      </w:r>
      <w:bookmarkEnd w:id="13"/>
      <w:r>
        <w:rPr>
          <w:rFonts w:hint="eastAsia" w:ascii="宋体" w:hAnsi="宋体" w:cs="宋体"/>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color w:val="auto"/>
          <w:highlight w:val="none"/>
        </w:rPr>
      </w:pPr>
      <w:r>
        <w:rPr>
          <w:rFonts w:ascii="宋体" w:hAnsi="宋体" w:eastAsia="宋体"/>
          <w:b/>
          <w:bCs/>
          <w:color w:val="auto"/>
          <w:sz w:val="24"/>
          <w:szCs w:val="32"/>
          <w:highlight w:val="none"/>
          <w:lang w:val="en-US"/>
        </w:rPr>
        <w:t>27.预付款</w:t>
      </w:r>
    </w:p>
    <w:p>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pPr>
        <w:rPr>
          <w:color w:val="auto"/>
          <w:highlight w:val="none"/>
        </w:rPr>
      </w:pPr>
    </w:p>
    <w:p>
      <w:pPr>
        <w:snapToGrid w:val="0"/>
        <w:spacing w:line="360" w:lineRule="auto"/>
        <w:ind w:firstLine="3357" w:firstLineChars="1045"/>
        <w:rPr>
          <w:rFonts w:ascii="宋体" w:hAnsi="宋体" w:cs="宋体"/>
          <w:b/>
          <w:color w:val="auto"/>
          <w:sz w:val="32"/>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4"/>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5236101"/>
      <w:bookmarkEnd w:id="14"/>
      <w:bookmarkStart w:id="15" w:name="_Hlt68403820"/>
      <w:bookmarkEnd w:id="15"/>
      <w:bookmarkStart w:id="16" w:name="_Hlt75236290"/>
      <w:bookmarkEnd w:id="16"/>
      <w:bookmarkStart w:id="17" w:name="_Hlt68072998"/>
      <w:bookmarkEnd w:id="17"/>
      <w:bookmarkStart w:id="18" w:name="_Hlt74729768"/>
      <w:bookmarkEnd w:id="18"/>
      <w:bookmarkStart w:id="19" w:name="_Hlt74730295"/>
      <w:bookmarkEnd w:id="19"/>
      <w:bookmarkStart w:id="20" w:name="_Hlt68073093"/>
      <w:bookmarkEnd w:id="20"/>
      <w:bookmarkStart w:id="21" w:name="_Hlt74707468"/>
      <w:bookmarkEnd w:id="21"/>
      <w:bookmarkStart w:id="22" w:name="_Hlt75236011"/>
      <w:bookmarkEnd w:id="22"/>
      <w:bookmarkStart w:id="23" w:name="_Hlt74714665"/>
      <w:bookmarkEnd w:id="23"/>
      <w:bookmarkStart w:id="24" w:name="_Hlt68072990"/>
      <w:bookmarkEnd w:id="24"/>
      <w:bookmarkStart w:id="25" w:name="_Hlt68057669"/>
      <w:bookmarkEnd w:id="25"/>
    </w:p>
    <w:bookmarkEnd w:id="10"/>
    <w:bookmarkEnd w:id="11"/>
    <w:p>
      <w:pPr>
        <w:spacing w:line="360" w:lineRule="auto"/>
        <w:jc w:val="center"/>
        <w:outlineLvl w:val="0"/>
        <w:rPr>
          <w:rFonts w:ascii="仿宋" w:hAnsi="仿宋" w:eastAsia="仿宋" w:cs="宋体"/>
          <w:b/>
          <w:sz w:val="36"/>
          <w:szCs w:val="36"/>
        </w:rPr>
      </w:pPr>
      <w:bookmarkStart w:id="26" w:name="第四部分"/>
      <w:r>
        <w:rPr>
          <w:rFonts w:hint="eastAsia" w:ascii="仿宋" w:hAnsi="仿宋" w:eastAsia="仿宋" w:cs="宋体"/>
          <w:b/>
          <w:sz w:val="36"/>
          <w:szCs w:val="36"/>
        </w:rPr>
        <w:t>第三部分   采购需求</w:t>
      </w:r>
    </w:p>
    <w:p>
      <w:pPr>
        <w:spacing w:line="360" w:lineRule="auto"/>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一、项目概况</w:t>
      </w:r>
    </w:p>
    <w:p>
      <w:pPr>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通过政府购买服务引入的，具备特定资质条件，为基层提供优质公共文化服务的专业性机构或组织，是政府为丰富基层公共文化供给、提升服务效能，引入社会力量参与公共文化服务的一种创新模式。为进一步激发基层公共文化活力，破解基层公共文化服务缺乏专业人才、服务效能不高、文化场馆利用率不高等难题，推动全域文化繁荣全民精神富有成效加快显现，实现公共文化服务提质增效。</w:t>
      </w:r>
    </w:p>
    <w:p>
      <w:pPr>
        <w:spacing w:line="360" w:lineRule="auto"/>
        <w:rPr>
          <w:rFonts w:hint="eastAsia" w:ascii="宋体" w:hAnsi="宋体" w:eastAsia="宋体" w:cs="宋体"/>
          <w:b/>
          <w:bCs/>
          <w:sz w:val="28"/>
          <w:szCs w:val="28"/>
        </w:rPr>
      </w:pPr>
      <w:bookmarkStart w:id="27" w:name="_Toc520990393"/>
      <w:bookmarkStart w:id="28" w:name="_Toc520990349"/>
      <w:bookmarkStart w:id="29" w:name="_Toc520991545"/>
      <w:bookmarkStart w:id="30" w:name="_Toc51161109"/>
      <w:bookmarkStart w:id="31" w:name="_Toc520990291"/>
      <w:r>
        <w:rPr>
          <w:rFonts w:hint="eastAsia" w:ascii="宋体" w:hAnsi="宋体" w:eastAsia="宋体" w:cs="宋体"/>
          <w:b/>
          <w:bCs/>
          <w:sz w:val="28"/>
          <w:szCs w:val="28"/>
        </w:rPr>
        <w:t>二、</w:t>
      </w:r>
      <w:r>
        <w:rPr>
          <w:rFonts w:hint="eastAsia" w:ascii="宋体" w:hAnsi="宋体" w:eastAsia="宋体" w:cs="宋体"/>
          <w:b/>
          <w:bCs/>
          <w:sz w:val="28"/>
          <w:szCs w:val="28"/>
          <w:lang w:eastAsia="zh-CN"/>
        </w:rPr>
        <w:t>采购</w:t>
      </w:r>
      <w:r>
        <w:rPr>
          <w:rFonts w:hint="eastAsia" w:ascii="宋体" w:hAnsi="宋体" w:eastAsia="宋体" w:cs="宋体"/>
          <w:b/>
          <w:bCs/>
          <w:sz w:val="28"/>
          <w:szCs w:val="28"/>
        </w:rPr>
        <w:t>需求</w:t>
      </w:r>
      <w:bookmarkEnd w:id="27"/>
      <w:bookmarkEnd w:id="28"/>
      <w:bookmarkEnd w:id="29"/>
      <w:bookmarkEnd w:id="30"/>
      <w:bookmarkEnd w:id="31"/>
    </w:p>
    <w:p>
      <w:pPr>
        <w:spacing w:line="360" w:lineRule="auto"/>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eastAsia="zh-CN"/>
        </w:rPr>
        <w:t>一</w:t>
      </w:r>
      <w:r>
        <w:rPr>
          <w:rFonts w:hint="eastAsia" w:ascii="宋体" w:hAnsi="宋体" w:eastAsia="宋体" w:cs="宋体"/>
          <w:sz w:val="21"/>
          <w:szCs w:val="21"/>
        </w:rPr>
        <w:t xml:space="preserve">）服务内容 </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val="en-US" w:eastAsia="zh-CN"/>
        </w:rPr>
        <w:t>（1）</w:t>
      </w:r>
      <w:r>
        <w:rPr>
          <w:rFonts w:hint="eastAsia" w:ascii="宋体" w:hAnsi="宋体" w:eastAsia="宋体" w:cs="宋体"/>
          <w:b/>
          <w:bCs/>
          <w:sz w:val="21"/>
          <w:szCs w:val="21"/>
        </w:rPr>
        <w:t>本次采购需求：</w:t>
      </w:r>
      <w:r>
        <w:rPr>
          <w:rFonts w:hint="eastAsia" w:ascii="宋体" w:hAnsi="宋体" w:eastAsia="宋体" w:cs="宋体"/>
          <w:b/>
          <w:bCs/>
          <w:sz w:val="21"/>
          <w:szCs w:val="21"/>
          <w:lang w:eastAsia="zh-CN"/>
        </w:rPr>
        <w:t>茶馆常驻</w:t>
      </w:r>
      <w:r>
        <w:rPr>
          <w:rFonts w:hint="eastAsia" w:ascii="宋体" w:hAnsi="宋体" w:eastAsia="宋体" w:cs="宋体"/>
          <w:b/>
          <w:bCs/>
          <w:sz w:val="21"/>
          <w:szCs w:val="21"/>
        </w:rPr>
        <w:t>人员</w:t>
      </w:r>
      <w:r>
        <w:rPr>
          <w:rFonts w:hint="eastAsia" w:ascii="宋体" w:hAnsi="宋体" w:eastAsia="宋体" w:cs="宋体"/>
          <w:b/>
          <w:bCs/>
          <w:sz w:val="21"/>
          <w:szCs w:val="21"/>
          <w:lang w:val="en-US" w:eastAsia="zh-CN"/>
        </w:rPr>
        <w:t>10</w:t>
      </w:r>
      <w:r>
        <w:rPr>
          <w:rFonts w:hint="eastAsia" w:ascii="宋体" w:hAnsi="宋体" w:eastAsia="宋体" w:cs="宋体"/>
          <w:b/>
          <w:bCs/>
          <w:sz w:val="21"/>
          <w:szCs w:val="21"/>
        </w:rPr>
        <w:t>名。</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1"/>
        <w:gridCol w:w="2832"/>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岗位</w:t>
            </w:r>
          </w:p>
        </w:tc>
        <w:tc>
          <w:tcPr>
            <w:tcW w:w="3285"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人数</w:t>
            </w:r>
          </w:p>
        </w:tc>
        <w:tc>
          <w:tcPr>
            <w:tcW w:w="3285"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项目经理</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前台负责人</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保洁员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2</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保安员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仓库管理员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服务员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2</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医护人员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4" w:type="dxa"/>
            <w:noWrap w:val="0"/>
            <w:vAlign w:val="top"/>
          </w:tcPr>
          <w:p>
            <w:pPr>
              <w:spacing w:line="360" w:lineRule="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工程技术人员</w:t>
            </w:r>
          </w:p>
        </w:tc>
        <w:tc>
          <w:tcPr>
            <w:tcW w:w="3285" w:type="dxa"/>
            <w:noWrap w:val="0"/>
            <w:vAlign w:val="top"/>
          </w:tcPr>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p>
        </w:tc>
        <w:tc>
          <w:tcPr>
            <w:tcW w:w="3285" w:type="dxa"/>
            <w:noWrap w:val="0"/>
            <w:vAlign w:val="top"/>
          </w:tcPr>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做六休一</w:t>
            </w:r>
          </w:p>
        </w:tc>
      </w:tr>
    </w:tbl>
    <w:p>
      <w:pPr>
        <w:spacing w:line="360" w:lineRule="auto"/>
        <w:rPr>
          <w:rFonts w:hint="eastAsia" w:ascii="宋体" w:hAnsi="宋体" w:cs="宋体"/>
          <w:b/>
          <w:bCs/>
          <w:sz w:val="21"/>
          <w:szCs w:val="21"/>
          <w:lang w:val="en-US" w:eastAsia="zh-CN"/>
        </w:rPr>
      </w:pPr>
    </w:p>
    <w:p>
      <w:pPr>
        <w:numPr>
          <w:ilvl w:val="0"/>
          <w:numId w:val="1"/>
        </w:num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rPr>
        <w:t>积极</w:t>
      </w:r>
      <w:r>
        <w:rPr>
          <w:rFonts w:hint="eastAsia" w:ascii="宋体" w:hAnsi="宋体" w:eastAsia="宋体" w:cs="宋体"/>
          <w:b/>
          <w:bCs/>
          <w:sz w:val="21"/>
          <w:szCs w:val="21"/>
          <w:lang w:eastAsia="zh-CN"/>
        </w:rPr>
        <w:t>提升公共文化服务，以戏曲、歌舞、相声、脱口秀、小品等形式再现乔司现代发展的景象，“茶文化”带来的高品质生活，切实惠及于民。组织开展茶馆内露天舞台文化活动</w:t>
      </w:r>
      <w:r>
        <w:rPr>
          <w:rFonts w:hint="eastAsia" w:ascii="宋体" w:hAnsi="宋体" w:eastAsia="宋体" w:cs="宋体"/>
          <w:b/>
          <w:bCs/>
          <w:sz w:val="21"/>
          <w:szCs w:val="21"/>
          <w:lang w:val="en-US" w:eastAsia="zh-CN"/>
        </w:rPr>
        <w:t>一年</w:t>
      </w:r>
      <w:r>
        <w:rPr>
          <w:rFonts w:hint="eastAsia" w:ascii="宋体" w:hAnsi="宋体" w:eastAsia="宋体" w:cs="宋体"/>
          <w:b/>
          <w:bCs/>
          <w:sz w:val="21"/>
          <w:szCs w:val="21"/>
          <w:lang w:eastAsia="zh-CN"/>
        </w:rPr>
        <w:t>不少于</w:t>
      </w:r>
      <w:r>
        <w:rPr>
          <w:rFonts w:hint="eastAsia" w:ascii="宋体" w:hAnsi="宋体" w:eastAsia="宋体" w:cs="宋体"/>
          <w:b/>
          <w:bCs/>
          <w:sz w:val="21"/>
          <w:szCs w:val="21"/>
          <w:lang w:val="en-US" w:eastAsia="zh-CN"/>
        </w:rPr>
        <w:t>10次，</w:t>
      </w:r>
      <w:r>
        <w:rPr>
          <w:rFonts w:hint="eastAsia" w:ascii="宋体" w:hAnsi="宋体" w:eastAsia="宋体" w:cs="宋体"/>
          <w:b/>
          <w:bCs/>
          <w:sz w:val="21"/>
          <w:szCs w:val="21"/>
          <w:lang w:eastAsia="zh-CN"/>
        </w:rPr>
        <w:t>茶馆内</w:t>
      </w:r>
      <w:r>
        <w:rPr>
          <w:rFonts w:hint="eastAsia" w:ascii="宋体" w:hAnsi="宋体" w:eastAsia="宋体" w:cs="宋体"/>
          <w:b/>
          <w:bCs/>
          <w:sz w:val="21"/>
          <w:szCs w:val="21"/>
          <w:lang w:val="en-US" w:eastAsia="zh-CN"/>
        </w:rPr>
        <w:t>小戏</w:t>
      </w:r>
      <w:r>
        <w:rPr>
          <w:rFonts w:hint="eastAsia" w:ascii="宋体" w:hAnsi="宋体" w:eastAsia="宋体" w:cs="宋体"/>
          <w:b/>
          <w:bCs/>
          <w:sz w:val="21"/>
          <w:szCs w:val="21"/>
          <w:lang w:eastAsia="zh-CN"/>
        </w:rPr>
        <w:t>活动</w:t>
      </w:r>
      <w:r>
        <w:rPr>
          <w:rFonts w:hint="eastAsia" w:ascii="宋体" w:hAnsi="宋体" w:eastAsia="宋体" w:cs="宋体"/>
          <w:b/>
          <w:bCs/>
          <w:sz w:val="21"/>
          <w:szCs w:val="21"/>
          <w:lang w:val="en-US" w:eastAsia="zh-CN"/>
        </w:rPr>
        <w:t>一年</w:t>
      </w:r>
      <w:r>
        <w:rPr>
          <w:rFonts w:hint="eastAsia" w:ascii="宋体" w:hAnsi="宋体" w:eastAsia="宋体" w:cs="宋体"/>
          <w:b/>
          <w:bCs/>
          <w:sz w:val="21"/>
          <w:szCs w:val="21"/>
          <w:lang w:eastAsia="zh-CN"/>
        </w:rPr>
        <w:t>不少于</w:t>
      </w:r>
      <w:r>
        <w:rPr>
          <w:rFonts w:hint="eastAsia" w:ascii="宋体" w:hAnsi="宋体" w:eastAsia="宋体" w:cs="宋体"/>
          <w:b/>
          <w:bCs/>
          <w:sz w:val="21"/>
          <w:szCs w:val="21"/>
          <w:lang w:val="en-US" w:eastAsia="zh-CN"/>
        </w:rPr>
        <w:t>100次（含</w:t>
      </w:r>
      <w:r>
        <w:rPr>
          <w:rFonts w:hint="eastAsia" w:ascii="宋体" w:hAnsi="宋体" w:eastAsia="宋体" w:cs="宋体"/>
          <w:b/>
          <w:bCs/>
          <w:sz w:val="21"/>
          <w:szCs w:val="21"/>
        </w:rPr>
        <w:t>开展</w:t>
      </w:r>
      <w:r>
        <w:rPr>
          <w:rFonts w:hint="eastAsia" w:ascii="宋体" w:hAnsi="宋体" w:eastAsia="宋体" w:cs="宋体"/>
          <w:b/>
          <w:bCs/>
          <w:sz w:val="21"/>
          <w:szCs w:val="21"/>
          <w:lang w:eastAsia="zh-CN"/>
        </w:rPr>
        <w:t>越剧</w:t>
      </w:r>
      <w:r>
        <w:rPr>
          <w:rFonts w:hint="eastAsia" w:ascii="宋体" w:hAnsi="宋体" w:eastAsia="宋体" w:cs="宋体"/>
          <w:b/>
          <w:bCs/>
          <w:sz w:val="21"/>
          <w:szCs w:val="21"/>
        </w:rPr>
        <w:t>、</w:t>
      </w:r>
      <w:r>
        <w:rPr>
          <w:rFonts w:hint="eastAsia" w:ascii="宋体" w:hAnsi="宋体" w:eastAsia="宋体" w:cs="宋体"/>
          <w:b/>
          <w:bCs/>
          <w:sz w:val="21"/>
          <w:szCs w:val="21"/>
          <w:lang w:eastAsia="zh-CN"/>
        </w:rPr>
        <w:t>茶艺、等</w:t>
      </w:r>
      <w:r>
        <w:rPr>
          <w:rFonts w:hint="eastAsia" w:ascii="宋体" w:hAnsi="宋体" w:eastAsia="宋体" w:cs="宋体"/>
          <w:b/>
          <w:bCs/>
          <w:sz w:val="21"/>
          <w:szCs w:val="21"/>
          <w:lang w:val="en-US" w:eastAsia="zh-CN"/>
        </w:rPr>
        <w:t>相关</w:t>
      </w:r>
      <w:r>
        <w:rPr>
          <w:rFonts w:hint="eastAsia" w:ascii="宋体" w:hAnsi="宋体" w:eastAsia="宋体" w:cs="宋体"/>
          <w:b/>
          <w:bCs/>
          <w:sz w:val="21"/>
          <w:szCs w:val="21"/>
          <w:lang w:eastAsia="zh-CN"/>
        </w:rPr>
        <w:t>类</w:t>
      </w:r>
      <w:r>
        <w:rPr>
          <w:rFonts w:hint="eastAsia" w:ascii="宋体" w:hAnsi="宋体" w:eastAsia="宋体" w:cs="宋体"/>
          <w:b/>
          <w:bCs/>
          <w:sz w:val="21"/>
          <w:szCs w:val="21"/>
        </w:rPr>
        <w:t>培训</w:t>
      </w:r>
      <w:r>
        <w:rPr>
          <w:rFonts w:hint="eastAsia" w:ascii="宋体" w:hAnsi="宋体" w:eastAsia="宋体" w:cs="宋体"/>
          <w:b/>
          <w:bCs/>
          <w:sz w:val="21"/>
          <w:szCs w:val="21"/>
          <w:lang w:val="en-US" w:eastAsia="zh-CN"/>
        </w:rPr>
        <w:t>）；</w:t>
      </w:r>
    </w:p>
    <w:p>
      <w:pPr>
        <w:numPr>
          <w:ilvl w:val="0"/>
          <w:numId w:val="0"/>
        </w:num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3）利用吧台、便民物品箱、意见本等方式，为来馆群众提供充电、急救、饮品、简餐等服务。逐渐做出独特的概念，如亲子、数字化、全龄化、网红等。提供茶饮、咖啡饮料、轻饮食、文创产品的售卖，满足游客的购买需求。</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（4）服务方需购买运营期间的责任保险；</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（5）积极协助所在</w:t>
      </w:r>
      <w:r>
        <w:rPr>
          <w:rFonts w:hint="eastAsia" w:ascii="宋体" w:hAnsi="宋体" w:cs="宋体"/>
          <w:b/>
          <w:bCs/>
          <w:sz w:val="21"/>
          <w:szCs w:val="21"/>
          <w:lang w:val="en-US" w:eastAsia="zh-CN"/>
        </w:rPr>
        <w:t>街道、社区</w:t>
      </w:r>
      <w:r>
        <w:rPr>
          <w:rFonts w:hint="eastAsia" w:ascii="宋体" w:hAnsi="宋体" w:eastAsia="宋体" w:cs="宋体"/>
          <w:b/>
          <w:bCs/>
          <w:sz w:val="21"/>
          <w:szCs w:val="21"/>
          <w:lang w:val="en-US" w:eastAsia="zh-CN"/>
        </w:rPr>
        <w:t>在茶馆内策划组织各类文化活动，促进活动顺利开展；</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（6）维护各类设施设备：</w:t>
      </w:r>
    </w:p>
    <w:p>
      <w:pPr>
        <w:spacing w:line="360" w:lineRule="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1.及时上报并维修损坏的硬件设施，包括桌、椅等，确保设施设备、照明设施、空调设备、饮水机、消防设施等正常运行，免费Wifi全覆盖。除水电费外的所有费用均由服务方承担。</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2.质保期内及时上报并联系维保单位维修。</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3.日常办公设备自行维保维修。</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4.大型机电如空调，电梯等设备维保费用由中标单位负责。零星维修自行维修，如单次维修金额超过800元以上，由甲方审核后支付。</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5.外立面必须一年清洗两次以上（重阳节前和春节前各一次，如有特殊情况，听从甲方安排。）</w:t>
      </w:r>
    </w:p>
    <w:p>
      <w:pPr>
        <w:pStyle w:val="81"/>
        <w:rPr>
          <w:rFonts w:hint="eastAsia" w:ascii="宋体" w:hAnsi="宋体" w:eastAsia="宋体" w:cs="宋体"/>
          <w:sz w:val="21"/>
          <w:szCs w:val="21"/>
          <w:lang w:val="en-US" w:eastAsia="zh-CN"/>
        </w:rPr>
      </w:pPr>
    </w:p>
    <w:p>
      <w:pPr>
        <w:numPr>
          <w:ilvl w:val="0"/>
          <w:numId w:val="2"/>
        </w:num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在确保公益运营的前提下，根据临文化先行创建办〔2023〕2号《关于印发临平区镇、街道综合文化站服务规范》文件精神：“引入符合条件的企业和社会组织，提高运营效率和服务水平，推动社会力量参与公共文化设施运营、活动项目打造、服务资源配送等”，经甲方书面同意，可以适当开拓适合老茶馆的各类经营性的运营活动。收费标准要体现普惠性，低于市场价。</w:t>
      </w:r>
    </w:p>
    <w:p>
      <w:pPr>
        <w:pStyle w:val="81"/>
        <w:numPr>
          <w:ilvl w:val="0"/>
          <w:numId w:val="0"/>
        </w:numPr>
        <w:rPr>
          <w:rFonts w:hint="eastAsia" w:ascii="宋体" w:hAnsi="宋体" w:eastAsia="宋体" w:cs="宋体"/>
          <w:sz w:val="21"/>
          <w:szCs w:val="21"/>
          <w:lang w:val="en-US" w:eastAsia="zh-CN"/>
        </w:rPr>
      </w:pP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rPr>
        <w:t>（</w:t>
      </w:r>
      <w:r>
        <w:rPr>
          <w:rFonts w:hint="eastAsia" w:ascii="宋体" w:hAnsi="宋体" w:eastAsia="宋体" w:cs="宋体"/>
          <w:b/>
          <w:bCs/>
          <w:sz w:val="21"/>
          <w:szCs w:val="21"/>
          <w:lang w:eastAsia="zh-CN"/>
        </w:rPr>
        <w:t>二</w:t>
      </w:r>
      <w:r>
        <w:rPr>
          <w:rFonts w:hint="eastAsia" w:ascii="宋体" w:hAnsi="宋体" w:eastAsia="宋体" w:cs="宋体"/>
          <w:b/>
          <w:bCs/>
          <w:sz w:val="21"/>
          <w:szCs w:val="21"/>
        </w:rPr>
        <w:t>）服务机构要求</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eastAsia="zh-CN"/>
        </w:rPr>
        <w:t>）</w:t>
      </w:r>
      <w:r>
        <w:rPr>
          <w:rFonts w:hint="eastAsia" w:ascii="宋体" w:hAnsi="宋体" w:eastAsia="宋体" w:cs="宋体"/>
          <w:b/>
          <w:bCs/>
          <w:sz w:val="21"/>
          <w:szCs w:val="21"/>
        </w:rPr>
        <w:t>服务机构内部管理体制健全，</w:t>
      </w:r>
      <w:r>
        <w:rPr>
          <w:rFonts w:hint="eastAsia" w:ascii="宋体" w:hAnsi="宋体" w:eastAsia="宋体" w:cs="宋体"/>
          <w:b/>
          <w:bCs/>
          <w:sz w:val="21"/>
          <w:szCs w:val="21"/>
          <w:lang w:val="en-US" w:eastAsia="zh-CN"/>
        </w:rPr>
        <w:t>须</w:t>
      </w:r>
      <w:r>
        <w:rPr>
          <w:rFonts w:hint="eastAsia" w:ascii="宋体" w:hAnsi="宋体" w:eastAsia="宋体" w:cs="宋体"/>
          <w:b/>
          <w:bCs/>
          <w:sz w:val="21"/>
          <w:szCs w:val="21"/>
        </w:rPr>
        <w:t>建立工作例会、信息公开、惩戒问责等机制</w:t>
      </w:r>
      <w:r>
        <w:rPr>
          <w:rFonts w:hint="eastAsia" w:ascii="宋体" w:hAnsi="宋体" w:eastAsia="宋体" w:cs="宋体"/>
          <w:b/>
          <w:bCs/>
          <w:sz w:val="21"/>
          <w:szCs w:val="21"/>
          <w:lang w:eastAsia="zh-CN"/>
        </w:rPr>
        <w:t>；</w:t>
      </w:r>
      <w:r>
        <w:rPr>
          <w:rFonts w:hint="eastAsia" w:ascii="宋体" w:hAnsi="宋体" w:eastAsia="宋体" w:cs="宋体"/>
          <w:b/>
          <w:bCs/>
          <w:sz w:val="21"/>
          <w:szCs w:val="21"/>
        </w:rPr>
        <w:t>需设置项目总负责人一名，全面负责日常工作任务；</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eastAsia="zh-CN"/>
        </w:rPr>
        <w:t>）</w:t>
      </w:r>
      <w:r>
        <w:rPr>
          <w:rFonts w:hint="eastAsia" w:ascii="宋体" w:hAnsi="宋体" w:eastAsia="宋体" w:cs="宋体"/>
          <w:b/>
          <w:bCs/>
          <w:sz w:val="21"/>
          <w:szCs w:val="21"/>
        </w:rPr>
        <w:t xml:space="preserve">服务机构必须与所有在岗服务人员签定劳动合同，服务人员的应聘、录用、离职等管理档案规范，手续齐全； </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3</w:t>
      </w:r>
      <w:r>
        <w:rPr>
          <w:rFonts w:hint="eastAsia" w:ascii="宋体" w:hAnsi="宋体" w:eastAsia="宋体" w:cs="宋体"/>
          <w:b/>
          <w:bCs/>
          <w:sz w:val="21"/>
          <w:szCs w:val="21"/>
          <w:lang w:eastAsia="zh-CN"/>
        </w:rPr>
        <w:t>）</w:t>
      </w:r>
      <w:r>
        <w:rPr>
          <w:rFonts w:hint="eastAsia" w:ascii="宋体" w:hAnsi="宋体" w:eastAsia="宋体" w:cs="宋体"/>
          <w:b/>
          <w:bCs/>
          <w:sz w:val="21"/>
          <w:szCs w:val="21"/>
        </w:rPr>
        <w:t>具有相关公共培训的师资力量；</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4</w:t>
      </w:r>
      <w:r>
        <w:rPr>
          <w:rFonts w:hint="eastAsia" w:ascii="宋体" w:hAnsi="宋体" w:eastAsia="宋体" w:cs="宋体"/>
          <w:b/>
          <w:bCs/>
          <w:sz w:val="21"/>
          <w:szCs w:val="21"/>
          <w:lang w:eastAsia="zh-CN"/>
        </w:rPr>
        <w:t>）</w:t>
      </w:r>
      <w:r>
        <w:rPr>
          <w:rFonts w:hint="eastAsia" w:ascii="宋体" w:hAnsi="宋体" w:eastAsia="宋体" w:cs="宋体"/>
          <w:b/>
          <w:bCs/>
          <w:sz w:val="21"/>
          <w:szCs w:val="21"/>
        </w:rPr>
        <w:t>在合同期间内积极推进</w:t>
      </w:r>
      <w:r>
        <w:rPr>
          <w:rFonts w:hint="eastAsia" w:ascii="宋体" w:hAnsi="宋体" w:eastAsia="宋体" w:cs="宋体"/>
          <w:b/>
          <w:bCs/>
          <w:sz w:val="21"/>
          <w:szCs w:val="21"/>
          <w:lang w:eastAsia="zh-CN"/>
        </w:rPr>
        <w:t>镇街</w:t>
      </w:r>
      <w:r>
        <w:rPr>
          <w:rFonts w:hint="eastAsia" w:ascii="宋体" w:hAnsi="宋体" w:eastAsia="宋体" w:cs="宋体"/>
          <w:b/>
          <w:bCs/>
          <w:sz w:val="21"/>
          <w:szCs w:val="21"/>
        </w:rPr>
        <w:t>项目品牌的打造、完善、宣传工作。</w:t>
      </w:r>
    </w:p>
    <w:p>
      <w:pPr>
        <w:pStyle w:val="81"/>
        <w:ind w:left="0" w:leftChars="0" w:firstLine="0" w:firstLineChars="0"/>
        <w:rPr>
          <w:rFonts w:hint="eastAsia" w:ascii="宋体" w:hAnsi="宋体" w:eastAsia="宋体" w:cs="宋体"/>
          <w:b/>
          <w:bCs/>
          <w:sz w:val="21"/>
          <w:szCs w:val="21"/>
          <w:lang w:val="en-US" w:eastAsia="zh-CN"/>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5</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建立日人流量登记</w:t>
      </w:r>
      <w:r>
        <w:rPr>
          <w:rFonts w:hint="eastAsia" w:ascii="宋体" w:hAnsi="宋体" w:cs="宋体"/>
          <w:b/>
          <w:bCs/>
          <w:sz w:val="21"/>
          <w:szCs w:val="21"/>
          <w:lang w:val="en-US" w:eastAsia="zh-CN"/>
        </w:rPr>
        <w:t>并分析</w:t>
      </w:r>
      <w:r>
        <w:rPr>
          <w:rFonts w:hint="eastAsia" w:ascii="宋体" w:hAnsi="宋体" w:eastAsia="宋体" w:cs="宋体"/>
          <w:b/>
          <w:bCs/>
          <w:sz w:val="21"/>
          <w:szCs w:val="21"/>
          <w:lang w:val="en-US" w:eastAsia="zh-CN"/>
        </w:rPr>
        <w:t>和群众评价制度。开展满意度调查，每季度有效样本不少于25份，满意率不低于95%，杜绝重大投诉事件。</w:t>
      </w:r>
    </w:p>
    <w:p>
      <w:pPr>
        <w:pStyle w:val="81"/>
        <w:ind w:left="0" w:leftChars="0" w:firstLine="0" w:firstLineChars="0"/>
        <w:rPr>
          <w:rFonts w:hint="eastAsia" w:ascii="宋体" w:hAnsi="宋体" w:eastAsia="宋体" w:cs="宋体"/>
          <w:b/>
          <w:bCs/>
          <w:sz w:val="21"/>
          <w:szCs w:val="21"/>
          <w:lang w:val="en-US" w:eastAsia="zh-CN"/>
        </w:rPr>
      </w:pPr>
    </w:p>
    <w:p>
      <w:pPr>
        <w:spacing w:line="360" w:lineRule="auto"/>
        <w:rPr>
          <w:rFonts w:hint="eastAsia" w:ascii="宋体" w:hAnsi="宋体" w:eastAsia="宋体" w:cs="宋体"/>
          <w:b/>
          <w:bCs/>
          <w:sz w:val="28"/>
          <w:szCs w:val="28"/>
        </w:rPr>
      </w:pPr>
      <w:r>
        <w:rPr>
          <w:rFonts w:hint="eastAsia" w:ascii="宋体" w:hAnsi="宋体" w:eastAsia="宋体" w:cs="宋体"/>
          <w:b/>
          <w:bCs/>
          <w:sz w:val="28"/>
          <w:szCs w:val="28"/>
        </w:rPr>
        <w:t>(</w:t>
      </w:r>
      <w:r>
        <w:rPr>
          <w:rFonts w:hint="eastAsia" w:ascii="宋体" w:hAnsi="宋体" w:eastAsia="宋体" w:cs="宋体"/>
          <w:b/>
          <w:bCs/>
          <w:sz w:val="28"/>
          <w:szCs w:val="28"/>
          <w:lang w:eastAsia="zh-CN"/>
        </w:rPr>
        <w:t>三</w:t>
      </w:r>
      <w:r>
        <w:rPr>
          <w:rFonts w:hint="eastAsia" w:ascii="宋体" w:hAnsi="宋体" w:eastAsia="宋体" w:cs="宋体"/>
          <w:b/>
          <w:bCs/>
          <w:sz w:val="28"/>
          <w:szCs w:val="28"/>
        </w:rPr>
        <w:t>)服务人员要求</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eastAsia="zh-CN"/>
        </w:rPr>
        <w:t>）</w:t>
      </w:r>
      <w:r>
        <w:rPr>
          <w:rFonts w:hint="eastAsia" w:ascii="宋体" w:hAnsi="宋体" w:eastAsia="宋体" w:cs="宋体"/>
          <w:b/>
          <w:bCs/>
          <w:sz w:val="21"/>
          <w:szCs w:val="21"/>
        </w:rPr>
        <w:t>服务人员要身体健康、品貌端正，有较强的事业心、责任心，具有良好的服务意识和协作精神；</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val="en-US" w:eastAsia="zh-CN"/>
        </w:rPr>
        <w:t>（2）</w:t>
      </w:r>
      <w:r>
        <w:rPr>
          <w:rFonts w:hint="eastAsia" w:ascii="宋体" w:hAnsi="宋体" w:eastAsia="宋体" w:cs="宋体"/>
          <w:b/>
          <w:bCs/>
          <w:sz w:val="21"/>
          <w:szCs w:val="21"/>
        </w:rPr>
        <w:t>服务人员要具有文化艺术专业特长、熟悉基层群众文化活动的特点，有策划、组织基层群文活动的能力；</w:t>
      </w:r>
    </w:p>
    <w:p>
      <w:pPr>
        <w:spacing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3</w:t>
      </w:r>
      <w:r>
        <w:rPr>
          <w:rFonts w:hint="eastAsia" w:ascii="宋体" w:hAnsi="宋体" w:eastAsia="宋体" w:cs="宋体"/>
          <w:b/>
          <w:bCs/>
          <w:sz w:val="21"/>
          <w:szCs w:val="21"/>
          <w:lang w:eastAsia="zh-CN"/>
        </w:rPr>
        <w:t>）</w:t>
      </w:r>
      <w:r>
        <w:rPr>
          <w:rFonts w:hint="eastAsia" w:ascii="宋体" w:hAnsi="宋体" w:eastAsia="宋体" w:cs="宋体"/>
          <w:b/>
          <w:bCs/>
          <w:sz w:val="21"/>
          <w:szCs w:val="21"/>
        </w:rPr>
        <w:t>服务人员要具有良好的沟通</w:t>
      </w:r>
      <w:r>
        <w:rPr>
          <w:rFonts w:hint="eastAsia" w:ascii="宋体" w:hAnsi="宋体" w:eastAsia="宋体" w:cs="宋体"/>
          <w:b/>
          <w:bCs/>
          <w:sz w:val="21"/>
          <w:szCs w:val="21"/>
          <w:lang w:val="en-US" w:eastAsia="zh-CN"/>
        </w:rPr>
        <w:t>协调</w:t>
      </w:r>
      <w:r>
        <w:rPr>
          <w:rFonts w:hint="eastAsia" w:ascii="宋体" w:hAnsi="宋体" w:eastAsia="宋体" w:cs="宋体"/>
          <w:b/>
          <w:bCs/>
          <w:sz w:val="21"/>
          <w:szCs w:val="21"/>
        </w:rPr>
        <w:t>能力、文字表达能力，以及熟练操作电脑、手机等终端办公应用软件</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新媒体推广</w:t>
      </w:r>
      <w:r>
        <w:rPr>
          <w:rFonts w:hint="eastAsia" w:ascii="宋体" w:hAnsi="宋体" w:eastAsia="宋体" w:cs="宋体"/>
          <w:b/>
          <w:bCs/>
          <w:sz w:val="21"/>
          <w:szCs w:val="21"/>
        </w:rPr>
        <w:t>的能力。</w:t>
      </w:r>
    </w:p>
    <w:p>
      <w:pPr>
        <w:pStyle w:val="81"/>
        <w:rPr>
          <w:rFonts w:hint="eastAsia"/>
        </w:rPr>
      </w:pPr>
    </w:p>
    <w:p>
      <w:pPr>
        <w:spacing w:line="360" w:lineRule="auto"/>
        <w:rPr>
          <w:rFonts w:hint="eastAsia" w:ascii="宋体" w:hAnsi="宋体" w:eastAsia="宋体" w:cs="宋体"/>
          <w:b/>
          <w:bCs/>
          <w:sz w:val="28"/>
          <w:szCs w:val="28"/>
          <w:lang w:val="zh-CN" w:eastAsia="zh-CN"/>
        </w:rPr>
      </w:pPr>
      <w:r>
        <w:rPr>
          <w:rFonts w:hint="eastAsia" w:ascii="宋体" w:hAnsi="宋体" w:eastAsia="宋体" w:cs="宋体"/>
          <w:b/>
          <w:bCs/>
          <w:sz w:val="28"/>
          <w:szCs w:val="28"/>
        </w:rPr>
        <w:t>（</w:t>
      </w:r>
      <w:r>
        <w:rPr>
          <w:rFonts w:hint="eastAsia" w:ascii="宋体" w:hAnsi="宋体" w:eastAsia="宋体" w:cs="宋体"/>
          <w:b/>
          <w:bCs/>
          <w:sz w:val="28"/>
          <w:szCs w:val="28"/>
          <w:lang w:eastAsia="zh-CN"/>
        </w:rPr>
        <w:t>四</w:t>
      </w:r>
      <w:r>
        <w:rPr>
          <w:rFonts w:hint="eastAsia" w:ascii="宋体" w:hAnsi="宋体" w:eastAsia="宋体" w:cs="宋体"/>
          <w:b/>
          <w:bCs/>
          <w:sz w:val="28"/>
          <w:szCs w:val="28"/>
        </w:rPr>
        <w:t>）</w:t>
      </w:r>
      <w:r>
        <w:rPr>
          <w:rFonts w:hint="eastAsia" w:ascii="宋体" w:hAnsi="宋体" w:eastAsia="宋体" w:cs="宋体"/>
          <w:b/>
          <w:bCs/>
          <w:sz w:val="28"/>
          <w:szCs w:val="28"/>
          <w:lang w:eastAsia="zh-CN"/>
        </w:rPr>
        <w:t>经</w:t>
      </w:r>
      <w:r>
        <w:rPr>
          <w:rFonts w:hint="eastAsia" w:ascii="宋体" w:hAnsi="宋体" w:eastAsia="宋体" w:cs="宋体"/>
          <w:b/>
          <w:bCs/>
          <w:sz w:val="28"/>
          <w:szCs w:val="28"/>
          <w:lang w:val="zh-CN" w:eastAsia="zh-CN"/>
        </w:rPr>
        <w:t>费组成</w:t>
      </w:r>
    </w:p>
    <w:p>
      <w:pPr>
        <w:spacing w:line="360" w:lineRule="auto"/>
        <w:rPr>
          <w:rFonts w:hint="eastAsia" w:ascii="宋体" w:hAnsi="宋体" w:eastAsia="宋体" w:cs="宋体"/>
          <w:sz w:val="21"/>
          <w:szCs w:val="21"/>
          <w:lang w:val="en-US" w:eastAsia="zh-CN"/>
        </w:rPr>
      </w:pPr>
      <w:r>
        <w:rPr>
          <w:rFonts w:hint="eastAsia" w:ascii="宋体" w:hAnsi="宋体" w:eastAsia="宋体" w:cs="宋体"/>
          <w:b/>
          <w:bCs/>
          <w:sz w:val="21"/>
          <w:szCs w:val="21"/>
          <w:lang w:val="zh-CN" w:eastAsia="zh-CN"/>
        </w:rPr>
        <w:t>本项目采购预算为</w:t>
      </w:r>
      <w:r>
        <w:rPr>
          <w:rFonts w:hint="eastAsia" w:ascii="宋体" w:hAnsi="宋体" w:eastAsia="宋体" w:cs="宋体"/>
          <w:b/>
          <w:bCs/>
          <w:sz w:val="21"/>
          <w:szCs w:val="21"/>
          <w:lang w:val="en-US" w:eastAsia="zh-CN"/>
        </w:rPr>
        <w:t>二年一共216万元</w:t>
      </w:r>
      <w:r>
        <w:rPr>
          <w:rFonts w:hint="eastAsia" w:ascii="宋体" w:hAnsi="宋体" w:eastAsia="宋体" w:cs="宋体"/>
          <w:sz w:val="21"/>
          <w:szCs w:val="21"/>
          <w:lang w:val="en-US" w:eastAsia="zh-CN"/>
        </w:rPr>
        <w:t>。</w:t>
      </w:r>
    </w:p>
    <w:p>
      <w:pPr>
        <w:pStyle w:val="2"/>
        <w:rPr>
          <w:rFonts w:hint="eastAsia" w:ascii="宋体" w:hAnsi="宋体" w:eastAsia="宋体" w:cs="宋体"/>
          <w:sz w:val="21"/>
          <w:szCs w:val="21"/>
          <w:lang w:val="zh-CN" w:eastAsia="zh-CN"/>
        </w:rPr>
      </w:pPr>
    </w:p>
    <w:p>
      <w:pPr>
        <w:spacing w:line="360" w:lineRule="auto"/>
        <w:rPr>
          <w:rFonts w:hint="eastAsia" w:ascii="宋体" w:hAnsi="宋体" w:eastAsia="宋体" w:cs="宋体"/>
          <w:sz w:val="21"/>
          <w:szCs w:val="21"/>
        </w:rPr>
      </w:pPr>
      <w:r>
        <w:rPr>
          <w:rFonts w:hint="eastAsia" w:ascii="宋体" w:hAnsi="宋体" w:eastAsia="宋体" w:cs="宋体"/>
          <w:sz w:val="21"/>
          <w:szCs w:val="21"/>
          <w:lang w:eastAsia="zh-CN"/>
        </w:rPr>
        <w:t>三</w:t>
      </w:r>
      <w:r>
        <w:rPr>
          <w:rFonts w:hint="eastAsia" w:ascii="宋体" w:hAnsi="宋体" w:eastAsia="宋体" w:cs="宋体"/>
          <w:sz w:val="21"/>
          <w:szCs w:val="21"/>
        </w:rPr>
        <w:t>、商务需求</w:t>
      </w:r>
    </w:p>
    <w:p>
      <w:pPr>
        <w:spacing w:line="360" w:lineRule="auto"/>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1.</w:t>
      </w:r>
      <w:r>
        <w:rPr>
          <w:rFonts w:hint="eastAsia" w:ascii="宋体" w:hAnsi="宋体" w:eastAsia="宋体" w:cs="宋体"/>
          <w:b/>
          <w:bCs/>
          <w:sz w:val="21"/>
          <w:szCs w:val="21"/>
          <w:highlight w:val="none"/>
        </w:rPr>
        <w:t>本项目合同服务期二年，合同每一年签订一次，在合同服务期内，采购人有权根据实际情况提前终止合同，或采购人根据第一年的服务质量对中标人进行考核，考核通过后采购人续签第二年的合同。</w:t>
      </w:r>
    </w:p>
    <w:p>
      <w:pPr>
        <w:spacing w:line="360" w:lineRule="auto"/>
        <w:rPr>
          <w:rFonts w:hint="eastAsia" w:ascii="宋体" w:hAnsi="宋体" w:eastAsia="宋体" w:cs="宋体"/>
          <w:b/>
          <w:bCs/>
          <w:sz w:val="21"/>
          <w:szCs w:val="21"/>
          <w:highlight w:val="none"/>
        </w:rPr>
      </w:pPr>
    </w:p>
    <w:p>
      <w:pPr>
        <w:spacing w:line="360" w:lineRule="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2</w:t>
      </w:r>
      <w:r>
        <w:rPr>
          <w:rFonts w:hint="eastAsia" w:ascii="宋体" w:hAnsi="宋体" w:eastAsia="宋体" w:cs="宋体"/>
          <w:b/>
          <w:bCs/>
          <w:sz w:val="21"/>
          <w:szCs w:val="21"/>
          <w:highlight w:val="none"/>
        </w:rPr>
        <w:t>.付款方式：</w:t>
      </w:r>
    </w:p>
    <w:p>
      <w:pPr>
        <w:spacing w:line="360" w:lineRule="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（1）合同签订后15个工作日内支付合同价款的</w:t>
      </w:r>
      <w:r>
        <w:rPr>
          <w:rFonts w:hint="eastAsia" w:ascii="宋体" w:hAnsi="宋体" w:cs="宋体"/>
          <w:b/>
          <w:bCs/>
          <w:sz w:val="21"/>
          <w:szCs w:val="21"/>
          <w:highlight w:val="none"/>
          <w:lang w:val="en-US" w:eastAsia="zh-CN"/>
        </w:rPr>
        <w:t>40</w:t>
      </w:r>
      <w:r>
        <w:rPr>
          <w:rFonts w:hint="eastAsia" w:ascii="宋体" w:hAnsi="宋体" w:eastAsia="宋体" w:cs="宋体"/>
          <w:b/>
          <w:bCs/>
          <w:sz w:val="21"/>
          <w:szCs w:val="21"/>
          <w:highlight w:val="none"/>
          <w:lang w:val="en-US" w:eastAsia="zh-CN"/>
        </w:rPr>
        <w:t>%；</w:t>
      </w:r>
    </w:p>
    <w:p>
      <w:pPr>
        <w:spacing w:line="360" w:lineRule="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（2）</w:t>
      </w:r>
      <w:r>
        <w:rPr>
          <w:rFonts w:hint="eastAsia" w:ascii="宋体" w:hAnsi="宋体" w:cs="宋体"/>
          <w:b/>
          <w:bCs/>
          <w:sz w:val="21"/>
          <w:szCs w:val="21"/>
          <w:highlight w:val="none"/>
          <w:lang w:val="en-US" w:eastAsia="zh-CN"/>
        </w:rPr>
        <w:t>合同签订</w:t>
      </w:r>
      <w:r>
        <w:rPr>
          <w:rFonts w:hint="eastAsia" w:ascii="宋体" w:hAnsi="宋体" w:eastAsia="宋体" w:cs="宋体"/>
          <w:b/>
          <w:bCs/>
          <w:sz w:val="21"/>
          <w:szCs w:val="21"/>
          <w:highlight w:val="none"/>
          <w:lang w:val="en-US" w:eastAsia="zh-CN"/>
        </w:rPr>
        <w:t>6个月后，甲方支付合同价款的</w:t>
      </w:r>
      <w:r>
        <w:rPr>
          <w:rFonts w:hint="eastAsia" w:ascii="宋体" w:hAnsi="宋体" w:cs="宋体"/>
          <w:b/>
          <w:bCs/>
          <w:sz w:val="21"/>
          <w:szCs w:val="21"/>
          <w:highlight w:val="none"/>
          <w:lang w:val="en-US" w:eastAsia="zh-CN"/>
        </w:rPr>
        <w:t>30</w:t>
      </w:r>
      <w:r>
        <w:rPr>
          <w:rFonts w:hint="eastAsia" w:ascii="宋体" w:hAnsi="宋体" w:eastAsia="宋体" w:cs="宋体"/>
          <w:b/>
          <w:bCs/>
          <w:sz w:val="21"/>
          <w:szCs w:val="21"/>
          <w:highlight w:val="none"/>
          <w:lang w:val="en-US" w:eastAsia="zh-CN"/>
        </w:rPr>
        <w:t>%；</w:t>
      </w:r>
    </w:p>
    <w:p>
      <w:pPr>
        <w:spacing w:line="360" w:lineRule="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（3）</w:t>
      </w:r>
      <w:r>
        <w:rPr>
          <w:rFonts w:hint="eastAsia" w:ascii="宋体" w:hAnsi="宋体" w:cs="宋体"/>
          <w:b/>
          <w:bCs/>
          <w:sz w:val="21"/>
          <w:szCs w:val="21"/>
          <w:highlight w:val="none"/>
          <w:lang w:val="en-US" w:eastAsia="zh-CN"/>
        </w:rPr>
        <w:t>合同签订12个月后</w:t>
      </w:r>
      <w:r>
        <w:rPr>
          <w:rFonts w:hint="eastAsia" w:ascii="宋体" w:hAnsi="宋体" w:eastAsia="宋体" w:cs="宋体"/>
          <w:b/>
          <w:bCs/>
          <w:sz w:val="21"/>
          <w:szCs w:val="21"/>
          <w:highlight w:val="none"/>
          <w:lang w:val="en-US" w:eastAsia="zh-CN"/>
        </w:rPr>
        <w:t>，甲方支付合同价款的</w:t>
      </w:r>
      <w:r>
        <w:rPr>
          <w:rFonts w:hint="eastAsia" w:ascii="宋体" w:hAnsi="宋体" w:cs="宋体"/>
          <w:b/>
          <w:bCs/>
          <w:sz w:val="21"/>
          <w:szCs w:val="21"/>
          <w:highlight w:val="none"/>
          <w:lang w:val="en-US" w:eastAsia="zh-CN"/>
        </w:rPr>
        <w:t>30</w:t>
      </w:r>
      <w:r>
        <w:rPr>
          <w:rFonts w:hint="eastAsia" w:ascii="宋体" w:hAnsi="宋体" w:eastAsia="宋体" w:cs="宋体"/>
          <w:b/>
          <w:bCs/>
          <w:sz w:val="21"/>
          <w:szCs w:val="21"/>
          <w:highlight w:val="none"/>
          <w:lang w:val="en-US" w:eastAsia="zh-CN"/>
        </w:rPr>
        <w:t>%；</w:t>
      </w:r>
    </w:p>
    <w:p>
      <w:pPr>
        <w:pStyle w:val="60"/>
        <w:jc w:val="both"/>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（4）</w:t>
      </w:r>
      <w:r>
        <w:rPr>
          <w:rFonts w:hint="eastAsia" w:ascii="宋体" w:hAnsi="宋体" w:cs="宋体"/>
          <w:b/>
          <w:bCs/>
          <w:sz w:val="21"/>
          <w:szCs w:val="21"/>
          <w:highlight w:val="none"/>
          <w:lang w:val="en-US" w:eastAsia="zh-CN"/>
        </w:rPr>
        <w:t>第二年年中，甲方支付合同价款的50%</w:t>
      </w:r>
    </w:p>
    <w:p>
      <w:pP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（5）</w:t>
      </w:r>
      <w:r>
        <w:rPr>
          <w:rFonts w:hint="eastAsia" w:ascii="宋体" w:hAnsi="宋体" w:cs="宋体"/>
          <w:b/>
          <w:bCs/>
          <w:sz w:val="21"/>
          <w:szCs w:val="21"/>
          <w:highlight w:val="none"/>
          <w:lang w:val="en-US" w:eastAsia="zh-CN"/>
        </w:rPr>
        <w:t>第二年年底</w:t>
      </w:r>
      <w:r>
        <w:rPr>
          <w:rFonts w:hint="eastAsia" w:ascii="宋体" w:hAnsi="宋体" w:eastAsia="宋体" w:cs="宋体"/>
          <w:b/>
          <w:bCs/>
          <w:sz w:val="21"/>
          <w:szCs w:val="21"/>
          <w:highlight w:val="none"/>
          <w:lang w:val="en-US" w:eastAsia="zh-CN"/>
        </w:rPr>
        <w:t>，甲方支付合同价款的</w:t>
      </w:r>
      <w:r>
        <w:rPr>
          <w:rFonts w:hint="eastAsia" w:ascii="宋体" w:hAnsi="宋体" w:cs="宋体"/>
          <w:b/>
          <w:bCs/>
          <w:sz w:val="21"/>
          <w:szCs w:val="21"/>
          <w:highlight w:val="none"/>
          <w:lang w:val="en-US" w:eastAsia="zh-CN"/>
        </w:rPr>
        <w:t>50</w:t>
      </w:r>
      <w:r>
        <w:rPr>
          <w:rFonts w:hint="eastAsia" w:ascii="宋体" w:hAnsi="宋体" w:eastAsia="宋体" w:cs="宋体"/>
          <w:b/>
          <w:bCs/>
          <w:sz w:val="21"/>
          <w:szCs w:val="21"/>
          <w:highlight w:val="none"/>
          <w:lang w:val="en-US" w:eastAsia="zh-CN"/>
        </w:rPr>
        <w:t>%；</w:t>
      </w:r>
    </w:p>
    <w:p>
      <w:pPr>
        <w:pStyle w:val="81"/>
        <w:rPr>
          <w:rFonts w:hint="eastAsia" w:ascii="宋体" w:hAnsi="宋体" w:eastAsia="宋体" w:cs="宋体"/>
          <w:sz w:val="21"/>
          <w:szCs w:val="21"/>
          <w:lang w:val="en-US" w:eastAsia="zh-CN"/>
        </w:rPr>
      </w:pP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考核方案：对来老茶馆的日均人数和客人的满意度、活动开展数量以及民众的反馈情况，是否满足招标人的要求等作为基本考核，考核情况作为付款的依据。）</w:t>
      </w:r>
    </w:p>
    <w:p>
      <w:pPr>
        <w:pStyle w:val="81"/>
        <w:ind w:left="0" w:leftChars="0" w:firstLine="0" w:firstLineChars="0"/>
        <w:rPr>
          <w:rFonts w:hint="eastAsia" w:ascii="宋体" w:hAnsi="宋体" w:eastAsia="宋体" w:cs="宋体"/>
          <w:sz w:val="21"/>
          <w:szCs w:val="21"/>
          <w:lang w:val="en-US" w:eastAsia="zh-CN"/>
        </w:rPr>
      </w:pP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服务方需提供正规发票提交给采购人，采购人收到发票后付款。经招标人考核合格后方可支付服务经费，应付款项按考核结果付清。</w:t>
      </w:r>
    </w:p>
    <w:p>
      <w:pPr>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highlight w:val="none"/>
          <w:lang w:val="en-US" w:eastAsia="zh-CN"/>
        </w:rPr>
        <w:t>：具体支付方式和考核方案以合同签订的为准。</w:t>
      </w:r>
    </w:p>
    <w:p>
      <w:pPr>
        <w:pStyle w:val="81"/>
        <w:rPr>
          <w:rFonts w:hint="eastAsia" w:ascii="宋体" w:hAnsi="宋体" w:eastAsia="宋体" w:cs="宋体"/>
          <w:b/>
          <w:bCs/>
          <w:sz w:val="21"/>
          <w:szCs w:val="21"/>
          <w:lang w:val="en-US" w:eastAsia="zh-CN"/>
        </w:rPr>
      </w:pPr>
    </w:p>
    <w:p>
      <w:pPr>
        <w:pStyle w:val="2"/>
        <w:numPr>
          <w:ilvl w:val="0"/>
          <w:numId w:val="0"/>
        </w:numPr>
        <w:ind w:left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五、其它</w:t>
      </w:r>
    </w:p>
    <w:p>
      <w:pPr>
        <w:numPr>
          <w:ilvl w:val="0"/>
          <w:numId w:val="0"/>
        </w:numPr>
        <w:rPr>
          <w:rFonts w:hint="eastAsia" w:ascii="宋体" w:hAnsi="宋体" w:cs="宋体"/>
          <w:b w:val="0"/>
          <w:bCs w:val="0"/>
          <w:color w:val="auto"/>
          <w:sz w:val="24"/>
          <w:highlight w:val="none"/>
          <w:lang w:val="en-US" w:eastAsia="zh-CN"/>
        </w:rPr>
      </w:pPr>
      <w:r>
        <w:rPr>
          <w:rFonts w:hint="eastAsia"/>
          <w:lang w:val="en-US" w:eastAsia="zh-CN"/>
        </w:rPr>
        <w:t xml:space="preserve">   </w:t>
      </w:r>
      <w:r>
        <w:rPr>
          <w:rFonts w:hint="eastAsia"/>
          <w:b/>
          <w:bCs/>
          <w:lang w:val="en-US" w:eastAsia="zh-CN"/>
        </w:rPr>
        <w:t xml:space="preserve">  </w:t>
      </w:r>
      <w:r>
        <w:rPr>
          <w:rFonts w:hint="eastAsia" w:ascii="宋体" w:hAnsi="宋体" w:cs="宋体"/>
          <w:b/>
          <w:bCs/>
          <w:color w:val="auto"/>
          <w:sz w:val="24"/>
          <w:highlight w:val="none"/>
          <w:lang w:val="en-US" w:eastAsia="zh-CN"/>
        </w:rPr>
        <w:t>运营期内不得擅自改变房屋的功能布局。</w:t>
      </w:r>
    </w:p>
    <w:p>
      <w:pPr>
        <w:pStyle w:val="81"/>
        <w:ind w:left="0" w:leftChars="0" w:firstLine="0" w:firstLineChars="0"/>
        <w:rPr>
          <w:rFonts w:hint="eastAsia" w:ascii="宋体" w:hAnsi="宋体" w:eastAsia="宋体" w:cs="宋体"/>
          <w:b/>
          <w:bCs/>
          <w:sz w:val="21"/>
          <w:szCs w:val="21"/>
          <w:lang w:val="en-US" w:eastAsia="zh-CN"/>
        </w:rPr>
      </w:pPr>
    </w:p>
    <w:p>
      <w:pPr>
        <w:spacing w:line="360" w:lineRule="auto"/>
        <w:rPr>
          <w:rFonts w:hint="eastAsia" w:ascii="仿宋" w:hAnsi="仿宋" w:eastAsia="仿宋" w:cs="宋体"/>
          <w:b/>
          <w:bCs/>
          <w:sz w:val="24"/>
          <w:lang w:val="en-US" w:eastAsia="zh-CN"/>
        </w:rPr>
      </w:pPr>
    </w:p>
    <w:p>
      <w:pPr>
        <w:pStyle w:val="25"/>
        <w:ind w:left="0" w:leftChars="0" w:firstLine="0" w:firstLineChars="0"/>
      </w:pPr>
    </w:p>
    <w:p>
      <w:pPr>
        <w:numPr>
          <w:ilvl w:val="0"/>
          <w:numId w:val="0"/>
        </w:num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评标办法</w:t>
      </w:r>
    </w:p>
    <w:p>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pPr w:leftFromText="180" w:rightFromText="180" w:vertAnchor="text" w:horzAnchor="page" w:tblpXSpec="center" w:tblpY="867"/>
        <w:tblW w:w="97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5878"/>
        <w:gridCol w:w="559"/>
        <w:gridCol w:w="899"/>
        <w:gridCol w:w="1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660" w:type="dxa"/>
            <w:vAlign w:val="center"/>
          </w:tcPr>
          <w:p>
            <w:pPr>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5878" w:type="dxa"/>
            <w:vAlign w:val="center"/>
          </w:tcPr>
          <w:p>
            <w:pPr>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评标标准</w:t>
            </w:r>
          </w:p>
        </w:tc>
        <w:tc>
          <w:tcPr>
            <w:tcW w:w="559" w:type="dxa"/>
            <w:vAlign w:val="center"/>
          </w:tcPr>
          <w:p>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权重</w:t>
            </w:r>
          </w:p>
        </w:tc>
        <w:tc>
          <w:tcPr>
            <w:tcW w:w="899" w:type="dxa"/>
            <w:vAlign w:val="top"/>
          </w:tcPr>
          <w:p>
            <w:pPr>
              <w:spacing w:line="360" w:lineRule="auto"/>
              <w:jc w:val="left"/>
              <w:rPr>
                <w:rFonts w:hint="eastAsia" w:ascii="仿宋" w:hAnsi="仿宋" w:eastAsia="仿宋" w:cs="仿宋"/>
                <w:color w:val="auto"/>
                <w:sz w:val="24"/>
                <w:szCs w:val="24"/>
                <w:highlight w:val="none"/>
              </w:rPr>
            </w:pPr>
          </w:p>
          <w:p>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主观分/客观分属性</w:t>
            </w:r>
          </w:p>
        </w:tc>
        <w:tc>
          <w:tcPr>
            <w:tcW w:w="1725" w:type="dxa"/>
            <w:vAlign w:val="top"/>
          </w:tcPr>
          <w:p>
            <w:pPr>
              <w:spacing w:line="360" w:lineRule="auto"/>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投标文件中评标标准相应的商务技术资料目录</w:t>
            </w:r>
            <w:r>
              <w:rPr>
                <w:rFonts w:hint="eastAsia" w:ascii="仿宋" w:hAnsi="仿宋" w:eastAsia="仿宋" w:cs="仿宋"/>
                <w:color w:val="auto"/>
                <w:sz w:val="24"/>
                <w:szCs w:val="24"/>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jc w:val="center"/>
        </w:trPr>
        <w:tc>
          <w:tcPr>
            <w:tcW w:w="660" w:type="dxa"/>
            <w:vAlign w:val="center"/>
          </w:tcPr>
          <w:p>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5878" w:type="dxa"/>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仿宋" w:hAnsi="仿宋" w:eastAsia="仿宋" w:cs="仿宋"/>
                <w:color w:val="auto"/>
                <w:sz w:val="24"/>
                <w:szCs w:val="24"/>
              </w:rPr>
            </w:pPr>
            <w:r>
              <w:rPr>
                <w:rFonts w:hint="eastAsia" w:ascii="仿宋" w:hAnsi="仿宋" w:eastAsia="仿宋" w:cs="仿宋"/>
                <w:color w:val="auto"/>
                <w:sz w:val="24"/>
                <w:szCs w:val="24"/>
              </w:rPr>
              <w:t>投标人自2019年1月1日（含）以来（以合同签订时间为准）承担</w:t>
            </w:r>
            <w:r>
              <w:rPr>
                <w:rFonts w:hint="eastAsia" w:ascii="仿宋" w:hAnsi="仿宋" w:eastAsia="仿宋" w:cs="仿宋"/>
                <w:color w:val="auto"/>
                <w:sz w:val="24"/>
                <w:szCs w:val="24"/>
                <w:lang w:eastAsia="zh-CN"/>
              </w:rPr>
              <w:t>活动</w:t>
            </w:r>
            <w:r>
              <w:rPr>
                <w:rFonts w:hint="eastAsia" w:ascii="仿宋" w:hAnsi="仿宋" w:eastAsia="仿宋" w:cs="仿宋"/>
                <w:color w:val="auto"/>
                <w:sz w:val="24"/>
                <w:szCs w:val="24"/>
              </w:rPr>
              <w:t>案例业绩的，有一个得</w:t>
            </w:r>
            <w:r>
              <w:rPr>
                <w:rFonts w:hint="eastAsia" w:ascii="仿宋" w:hAnsi="仿宋" w:eastAsia="仿宋" w:cs="仿宋"/>
                <w:color w:val="auto"/>
                <w:sz w:val="24"/>
                <w:szCs w:val="24"/>
                <w:lang w:val="en-US" w:eastAsia="zh-CN"/>
              </w:rPr>
              <w:t>0.5</w:t>
            </w:r>
            <w:r>
              <w:rPr>
                <w:rFonts w:hint="eastAsia" w:ascii="仿宋" w:hAnsi="仿宋" w:eastAsia="仿宋" w:cs="仿宋"/>
                <w:color w:val="auto"/>
                <w:sz w:val="24"/>
                <w:szCs w:val="24"/>
              </w:rPr>
              <w:t>分，本项最高得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w:t>
            </w:r>
          </w:p>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b/>
                <w:bCs/>
                <w:color w:val="auto"/>
                <w:sz w:val="24"/>
                <w:szCs w:val="24"/>
              </w:rPr>
              <w:t>注：投标文件中提供合同复制件</w:t>
            </w:r>
            <w:r>
              <w:rPr>
                <w:rFonts w:hint="eastAsia" w:ascii="仿宋" w:hAnsi="仿宋" w:eastAsia="仿宋" w:cs="仿宋"/>
                <w:b/>
                <w:bCs/>
                <w:color w:val="auto"/>
                <w:sz w:val="24"/>
                <w:szCs w:val="24"/>
                <w:lang w:val="en-US" w:eastAsia="zh-CN"/>
              </w:rPr>
              <w:t>或扫描件加盖公章</w:t>
            </w:r>
            <w:r>
              <w:rPr>
                <w:rFonts w:hint="eastAsia" w:ascii="仿宋" w:hAnsi="仿宋" w:eastAsia="仿宋" w:cs="仿宋"/>
                <w:b/>
                <w:bCs/>
                <w:color w:val="auto"/>
                <w:sz w:val="24"/>
                <w:szCs w:val="24"/>
              </w:rPr>
              <w:t>，否则不得分。</w:t>
            </w:r>
          </w:p>
        </w:tc>
        <w:tc>
          <w:tcPr>
            <w:tcW w:w="559" w:type="dxa"/>
            <w:vAlign w:val="center"/>
          </w:tcPr>
          <w:p>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899" w:type="dxa"/>
            <w:vAlign w:val="center"/>
          </w:tcPr>
          <w:p>
            <w:pPr>
              <w:spacing w:line="360" w:lineRule="auto"/>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p>
        </w:tc>
        <w:tc>
          <w:tcPr>
            <w:tcW w:w="1725" w:type="dxa"/>
            <w:vAlign w:val="center"/>
          </w:tcPr>
          <w:p>
            <w:pPr>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类似业绩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jc w:val="center"/>
        </w:trPr>
        <w:tc>
          <w:tcPr>
            <w:tcW w:w="660" w:type="dxa"/>
            <w:vAlign w:val="center"/>
          </w:tcPr>
          <w:p>
            <w:pPr>
              <w:spacing w:line="360" w:lineRule="auto"/>
              <w:ind w:firstLine="240" w:firstLineChars="100"/>
              <w:jc w:val="left"/>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5878" w:type="dxa"/>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投入本项目的</w:t>
            </w:r>
            <w:r>
              <w:rPr>
                <w:rFonts w:hint="eastAsia" w:ascii="仿宋" w:hAnsi="仿宋" w:eastAsia="仿宋" w:cs="仿宋"/>
                <w:color w:val="auto"/>
                <w:sz w:val="24"/>
                <w:szCs w:val="24"/>
                <w:lang w:eastAsia="zh-CN"/>
              </w:rPr>
              <w:t>茶馆</w:t>
            </w:r>
            <w:r>
              <w:rPr>
                <w:rFonts w:hint="eastAsia" w:ascii="仿宋" w:hAnsi="仿宋" w:eastAsia="仿宋" w:cs="仿宋"/>
                <w:color w:val="auto"/>
                <w:sz w:val="24"/>
                <w:szCs w:val="24"/>
              </w:rPr>
              <w:t>管家服务人员</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名</w:t>
            </w:r>
            <w:r>
              <w:rPr>
                <w:rFonts w:hint="eastAsia" w:ascii="仿宋" w:hAnsi="仿宋" w:eastAsia="仿宋" w:cs="仿宋"/>
                <w:color w:val="auto"/>
                <w:sz w:val="24"/>
                <w:szCs w:val="24"/>
                <w:lang w:val="en-US" w:eastAsia="zh-CN"/>
              </w:rPr>
              <w:t>的得5分，少1人不得分。</w:t>
            </w:r>
          </w:p>
          <w:p>
            <w:pPr>
              <w:pStyle w:val="2"/>
              <w:rPr>
                <w:rFonts w:hint="default"/>
                <w:lang w:val="en-US" w:eastAsia="zh-CN"/>
              </w:rPr>
            </w:pPr>
            <w:r>
              <w:rPr>
                <w:rFonts w:hint="eastAsia" w:ascii="仿宋" w:eastAsia="仿宋" w:cs="仿宋"/>
                <w:color w:val="000000"/>
                <w:sz w:val="24"/>
                <w:szCs w:val="24"/>
                <w:highlight w:val="none"/>
                <w:lang w:val="en-US" w:eastAsia="zh-CN"/>
              </w:rPr>
              <w:t>注：提供投入工作人员在本单位近3个月的其中1个月社保缴纳证明复印件加盖公章或提供投入工作人员退休返聘合同复印件并加盖公章，否则不得分。</w:t>
            </w:r>
          </w:p>
        </w:tc>
        <w:tc>
          <w:tcPr>
            <w:tcW w:w="559" w:type="dxa"/>
            <w:vAlign w:val="center"/>
          </w:tcPr>
          <w:p>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center"/>
          </w:tcPr>
          <w:p>
            <w:pPr>
              <w:spacing w:line="360" w:lineRule="auto"/>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p>
        </w:tc>
        <w:tc>
          <w:tcPr>
            <w:tcW w:w="1725" w:type="dxa"/>
            <w:vAlign w:val="center"/>
          </w:tcPr>
          <w:p>
            <w:pPr>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人员配备情况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jc w:val="center"/>
        </w:trPr>
        <w:tc>
          <w:tcPr>
            <w:tcW w:w="660" w:type="dxa"/>
            <w:vAlign w:val="center"/>
          </w:tcPr>
          <w:p>
            <w:pPr>
              <w:keepNext w:val="0"/>
              <w:keepLines w:val="0"/>
              <w:pageBreakBefore w:val="0"/>
              <w:kinsoku/>
              <w:wordWrap/>
              <w:overflowPunct/>
              <w:topLinePunct w:val="0"/>
              <w:autoSpaceDE/>
              <w:autoSpaceDN/>
              <w:bidi w:val="0"/>
              <w:adjustRightInd/>
              <w:snapToGrid/>
              <w:spacing w:line="360" w:lineRule="auto"/>
              <w:ind w:firstLine="240" w:firstLineChars="100"/>
              <w:jc w:val="both"/>
              <w:textAlignment w:val="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承诺组织开展茶馆内露天舞台文化活动一年不少于10次，茶馆内小戏活动一年不少于100次（含开展越剧、茶艺、等相关类培训）</w:t>
            </w:r>
            <w:r>
              <w:rPr>
                <w:rFonts w:hint="eastAsia" w:ascii="仿宋" w:hAnsi="仿宋" w:eastAsia="仿宋" w:cs="仿宋"/>
                <w:color w:val="auto"/>
                <w:sz w:val="24"/>
                <w:szCs w:val="24"/>
                <w:highlight w:val="none"/>
                <w:lang w:val="en-US" w:eastAsia="zh-CN"/>
              </w:rPr>
              <w:t>，提供承诺书得5分，不提供不得分。</w:t>
            </w:r>
          </w:p>
        </w:tc>
        <w:tc>
          <w:tcPr>
            <w:tcW w:w="559" w:type="dxa"/>
            <w:vAlign w:val="center"/>
          </w:tcPr>
          <w:p>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center"/>
          </w:tcPr>
          <w:p>
            <w:pPr>
              <w:spacing w:line="360" w:lineRule="auto"/>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p>
        </w:tc>
        <w:tc>
          <w:tcPr>
            <w:tcW w:w="1725" w:type="dxa"/>
            <w:vAlign w:val="center"/>
          </w:tcPr>
          <w:p>
            <w:pPr>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开展活动的承诺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660" w:type="dxa"/>
            <w:vAlign w:val="center"/>
          </w:tcPr>
          <w:p>
            <w:pPr>
              <w:spacing w:line="360" w:lineRule="auto"/>
              <w:ind w:firstLine="240" w:firstLineChars="100"/>
              <w:jc w:val="left"/>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针对本项目的项目负责人的业务素质、工作能力、荣誉奖项情况综合评</w:t>
            </w:r>
            <w:r>
              <w:rPr>
                <w:rFonts w:hint="eastAsia" w:ascii="仿宋" w:hAnsi="仿宋" w:eastAsia="仿宋" w:cs="仿宋"/>
                <w:color w:val="auto"/>
                <w:sz w:val="24"/>
                <w:szCs w:val="24"/>
                <w:highlight w:val="none"/>
                <w:lang w:eastAsia="zh-CN"/>
              </w:rPr>
              <w:t>分，满足本项目需求的得</w:t>
            </w:r>
            <w:r>
              <w:rPr>
                <w:rFonts w:hint="eastAsia" w:ascii="仿宋" w:hAnsi="仿宋" w:eastAsia="仿宋" w:cs="仿宋"/>
                <w:color w:val="auto"/>
                <w:sz w:val="24"/>
                <w:szCs w:val="24"/>
                <w:highlight w:val="none"/>
                <w:lang w:val="en-US" w:eastAsia="zh-CN"/>
              </w:rPr>
              <w:t>5分；基本满足的得3分；有所欠缺的得1分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jc w:val="center"/>
              <w:rPr>
                <w:rFonts w:hint="eastAsia" w:ascii="仿宋" w:hAnsi="仿宋" w:eastAsia="仿宋" w:cs="仿宋"/>
                <w:color w:val="auto"/>
                <w:sz w:val="24"/>
                <w:szCs w:val="24"/>
                <w:highlight w:val="none"/>
              </w:rPr>
            </w:pPr>
          </w:p>
          <w:p>
            <w:pPr>
              <w:spacing w:line="360" w:lineRule="auto"/>
              <w:jc w:val="center"/>
              <w:outlineLvl w:val="0"/>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5</w:t>
            </w:r>
          </w:p>
        </w:tc>
        <w:tc>
          <w:tcPr>
            <w:tcW w:w="899" w:type="dxa"/>
            <w:vAlign w:val="top"/>
          </w:tcPr>
          <w:p>
            <w:pPr>
              <w:spacing w:line="360" w:lineRule="auto"/>
              <w:jc w:val="both"/>
              <w:outlineLvl w:val="0"/>
              <w:rPr>
                <w:rFonts w:hint="eastAsia" w:ascii="仿宋" w:hAnsi="仿宋" w:eastAsia="仿宋" w:cs="仿宋"/>
                <w:color w:val="auto"/>
                <w:sz w:val="24"/>
                <w:szCs w:val="24"/>
                <w:highlight w:val="none"/>
                <w:lang w:val="en-US" w:eastAsia="zh-CN"/>
              </w:rPr>
            </w:pPr>
          </w:p>
          <w:p>
            <w:pPr>
              <w:spacing w:line="360" w:lineRule="auto"/>
              <w:jc w:val="both"/>
              <w:outlineLvl w:val="0"/>
              <w:rPr>
                <w:rFonts w:hint="eastAsia" w:ascii="仿宋" w:hAnsi="仿宋" w:eastAsia="仿宋" w:cs="仿宋"/>
                <w:color w:val="auto"/>
                <w:sz w:val="24"/>
                <w:szCs w:val="24"/>
                <w:highlight w:val="none"/>
                <w:lang w:val="en-US" w:eastAsia="zh-CN"/>
              </w:rPr>
            </w:pPr>
          </w:p>
          <w:p>
            <w:pPr>
              <w:spacing w:line="360" w:lineRule="auto"/>
              <w:jc w:val="both"/>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spacing w:line="360" w:lineRule="auto"/>
              <w:outlineLvl w:val="0"/>
              <w:rPr>
                <w:rFonts w:hint="eastAsia" w:ascii="仿宋" w:hAnsi="仿宋" w:eastAsia="仿宋" w:cs="仿宋"/>
                <w:color w:val="auto"/>
                <w:sz w:val="24"/>
                <w:szCs w:val="24"/>
                <w:highlight w:val="none"/>
              </w:rPr>
            </w:pPr>
          </w:p>
          <w:p>
            <w:pPr>
              <w:spacing w:line="360" w:lineRule="auto"/>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人员综合评分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660" w:type="dxa"/>
            <w:vAlign w:val="center"/>
          </w:tcPr>
          <w:p>
            <w:pPr>
              <w:spacing w:line="360" w:lineRule="auto"/>
              <w:ind w:firstLine="240" w:firstLineChars="100"/>
              <w:jc w:val="left"/>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color w:val="auto"/>
                <w:kern w:val="2"/>
                <w:sz w:val="24"/>
                <w:szCs w:val="24"/>
                <w:lang w:val="en-US" w:eastAsia="zh-CN" w:bidi="ar-SA"/>
              </w:rPr>
              <w:t>根据本项目服务特点提出合理的服务理念，提出服务定位、目标，投标人的管理模式能够切合实际，且安全可行，保密性、安全性、文明服务的计划及承诺情况等打分，</w:t>
            </w:r>
            <w:r>
              <w:rPr>
                <w:rFonts w:hint="eastAsia" w:ascii="仿宋" w:hAnsi="仿宋" w:eastAsia="仿宋" w:cs="仿宋"/>
                <w:color w:val="auto"/>
                <w:sz w:val="24"/>
                <w:szCs w:val="24"/>
                <w:highlight w:val="none"/>
                <w:lang w:val="en-US" w:eastAsia="zh-CN"/>
              </w:rPr>
              <w:t>基本满足的得5分；有所欠缺的得3分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top"/>
          </w:tcPr>
          <w:p>
            <w:pPr>
              <w:spacing w:line="360" w:lineRule="auto"/>
              <w:jc w:val="both"/>
              <w:rPr>
                <w:rFonts w:hint="eastAsia"/>
                <w:color w:val="auto"/>
                <w:highlight w:val="none"/>
                <w:lang w:val="en-US" w:eastAsia="zh-CN"/>
              </w:rPr>
            </w:pPr>
          </w:p>
          <w:p>
            <w:pPr>
              <w:pStyle w:val="2"/>
              <w:jc w:val="both"/>
              <w:rPr>
                <w:rFonts w:hint="eastAsia" w:ascii="仿宋" w:hAnsi="仿宋" w:eastAsia="仿宋" w:cs="仿宋"/>
                <w:b w:val="0"/>
                <w:bCs w:val="0"/>
                <w:color w:val="auto"/>
                <w:kern w:val="2"/>
                <w:sz w:val="24"/>
                <w:szCs w:val="24"/>
                <w:highlight w:val="none"/>
                <w:lang w:val="en-US" w:eastAsia="zh-CN" w:bidi="ar-SA"/>
              </w:rPr>
            </w:pPr>
          </w:p>
          <w:p>
            <w:pPr>
              <w:pStyle w:val="2"/>
              <w:jc w:val="both"/>
              <w:rPr>
                <w:rFonts w:hint="eastAsia"/>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主观</w:t>
            </w:r>
          </w:p>
        </w:tc>
        <w:tc>
          <w:tcPr>
            <w:tcW w:w="1725" w:type="dxa"/>
            <w:vAlign w:val="top"/>
          </w:tcPr>
          <w:p>
            <w:pPr>
              <w:spacing w:line="360" w:lineRule="auto"/>
              <w:outlineLvl w:val="0"/>
              <w:rPr>
                <w:rFonts w:hint="eastAsia" w:ascii="仿宋" w:hAnsi="仿宋" w:eastAsia="仿宋" w:cs="仿宋"/>
                <w:color w:val="auto"/>
                <w:sz w:val="24"/>
                <w:szCs w:val="24"/>
                <w:highlight w:val="none"/>
                <w:lang w:val="en-US" w:eastAsia="zh-CN"/>
              </w:rPr>
            </w:pPr>
          </w:p>
          <w:p>
            <w:pPr>
              <w:spacing w:line="360" w:lineRule="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服务理念</w:t>
            </w:r>
          </w:p>
          <w:p>
            <w:pPr>
              <w:spacing w:line="360" w:lineRule="auto"/>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合理性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660" w:type="dxa"/>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服务项目总体方案的详细描述：</w:t>
            </w:r>
            <w:r>
              <w:rPr>
                <w:rFonts w:hint="eastAsia" w:ascii="仿宋" w:hAnsi="仿宋" w:eastAsia="仿宋" w:cs="仿宋"/>
                <w:color w:val="auto"/>
                <w:sz w:val="24"/>
                <w:szCs w:val="24"/>
              </w:rPr>
              <w:t>①对本项目系统总体要求的理解、②项目总体架构</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③技术解决方案、④项目实施方案，根据其完整性、合理性进行综合评分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以上4项</w:t>
            </w:r>
            <w:r>
              <w:rPr>
                <w:rFonts w:hint="eastAsia" w:ascii="仿宋" w:hAnsi="仿宋" w:eastAsia="仿宋" w:cs="仿宋"/>
                <w:color w:val="auto"/>
                <w:sz w:val="24"/>
                <w:szCs w:val="24"/>
              </w:rPr>
              <w:t>每项完全满足得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r>
              <w:rPr>
                <w:rFonts w:hint="eastAsia" w:ascii="仿宋" w:hAnsi="仿宋" w:eastAsia="仿宋" w:cs="仿宋"/>
                <w:color w:val="auto"/>
                <w:sz w:val="24"/>
                <w:szCs w:val="24"/>
                <w:highlight w:val="none"/>
                <w:lang w:val="en-US" w:eastAsia="zh-CN"/>
              </w:rPr>
              <w:t>基本满足的得3分，有所欠缺的得1分；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spacing w:line="360" w:lineRule="auto"/>
              <w:jc w:val="center"/>
              <w:rPr>
                <w:rFonts w:hint="eastAsia" w:ascii="仿宋" w:hAnsi="仿宋" w:eastAsia="仿宋" w:cs="仿宋"/>
                <w:color w:val="auto"/>
                <w:sz w:val="24"/>
                <w:szCs w:val="24"/>
                <w:highlight w:val="none"/>
                <w:lang w:val="en-US" w:eastAsia="zh-CN"/>
              </w:rPr>
            </w:pPr>
          </w:p>
          <w:p>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w:t>
            </w:r>
          </w:p>
        </w:tc>
        <w:tc>
          <w:tcPr>
            <w:tcW w:w="899" w:type="dxa"/>
            <w:vAlign w:val="top"/>
          </w:tcPr>
          <w:p>
            <w:pPr>
              <w:spacing w:line="360" w:lineRule="auto"/>
              <w:jc w:val="both"/>
              <w:rPr>
                <w:rFonts w:hint="eastAsia"/>
                <w:color w:val="auto"/>
                <w:highlight w:val="none"/>
                <w:lang w:val="en-US" w:eastAsia="zh-CN"/>
              </w:rPr>
            </w:pPr>
          </w:p>
          <w:p>
            <w:pPr>
              <w:pStyle w:val="2"/>
              <w:ind w:left="0" w:leftChars="0" w:firstLine="0" w:firstLineChars="0"/>
              <w:jc w:val="both"/>
              <w:rPr>
                <w:rFonts w:hint="eastAsia" w:ascii="仿宋" w:eastAsia="仿宋" w:cs="仿宋"/>
                <w:b w:val="0"/>
                <w:bCs w:val="0"/>
                <w:color w:val="auto"/>
                <w:kern w:val="2"/>
                <w:sz w:val="24"/>
                <w:szCs w:val="24"/>
                <w:highlight w:val="none"/>
                <w:lang w:val="en-US" w:eastAsia="zh-CN" w:bidi="ar-SA"/>
              </w:rPr>
            </w:pPr>
          </w:p>
          <w:p>
            <w:pPr>
              <w:pStyle w:val="2"/>
              <w:jc w:val="both"/>
              <w:rPr>
                <w:rFonts w:hint="eastAsia"/>
                <w:color w:val="auto"/>
                <w:highlight w:val="none"/>
                <w:lang w:val="en-US" w:eastAsia="zh-CN"/>
              </w:rPr>
            </w:pPr>
            <w:r>
              <w:rPr>
                <w:rFonts w:hint="eastAsia" w:ascii="仿宋" w:eastAsia="仿宋" w:cs="仿宋"/>
                <w:b w:val="0"/>
                <w:bCs w:val="0"/>
                <w:color w:val="auto"/>
                <w:kern w:val="2"/>
                <w:sz w:val="24"/>
                <w:szCs w:val="24"/>
                <w:highlight w:val="none"/>
                <w:lang w:val="en-US" w:eastAsia="zh-CN" w:bidi="ar-SA"/>
              </w:rPr>
              <w:t>主观</w:t>
            </w:r>
          </w:p>
        </w:tc>
        <w:tc>
          <w:tcPr>
            <w:tcW w:w="1725" w:type="dxa"/>
            <w:vAlign w:val="top"/>
          </w:tcPr>
          <w:p>
            <w:pPr>
              <w:rPr>
                <w:rFonts w:hint="eastAsia" w:ascii="仿宋" w:hAnsi="仿宋" w:eastAsia="仿宋" w:cs="仿宋"/>
                <w:color w:val="auto"/>
                <w:sz w:val="24"/>
                <w:szCs w:val="24"/>
                <w:highlight w:val="none"/>
                <w:lang w:val="en-US" w:eastAsia="zh-CN"/>
              </w:rPr>
            </w:pPr>
          </w:p>
          <w:p>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服务项目总体方案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60" w:type="dxa"/>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根据投标单位针对本项目各项管理制度的完整性、合理性、可操作性，进行综合评分</w:t>
            </w: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rPr>
              <w:t>完整性、合理性、可操作性</w:t>
            </w:r>
            <w:r>
              <w:rPr>
                <w:rFonts w:hint="eastAsia" w:ascii="仿宋" w:hAnsi="仿宋" w:eastAsia="仿宋" w:cs="仿宋"/>
                <w:color w:val="auto"/>
                <w:sz w:val="24"/>
                <w:szCs w:val="24"/>
                <w:highlight w:val="none"/>
                <w:lang w:val="en-US" w:eastAsia="zh-CN"/>
              </w:rPr>
              <w:t>得5分；基本</w:t>
            </w:r>
            <w:r>
              <w:rPr>
                <w:rFonts w:hint="eastAsia" w:ascii="仿宋" w:hAnsi="仿宋" w:eastAsia="仿宋" w:cs="仿宋"/>
                <w:color w:val="auto"/>
                <w:sz w:val="24"/>
                <w:szCs w:val="24"/>
                <w:highlight w:val="none"/>
              </w:rPr>
              <w:t>完整合理可操作</w:t>
            </w:r>
            <w:r>
              <w:rPr>
                <w:rFonts w:hint="eastAsia" w:ascii="仿宋" w:hAnsi="仿宋" w:eastAsia="仿宋" w:cs="仿宋"/>
                <w:color w:val="auto"/>
                <w:sz w:val="24"/>
                <w:szCs w:val="24"/>
                <w:highlight w:val="none"/>
                <w:lang w:val="en-US" w:eastAsia="zh-CN"/>
              </w:rPr>
              <w:t>得3分；</w:t>
            </w:r>
            <w:r>
              <w:rPr>
                <w:rFonts w:hint="eastAsia" w:ascii="仿宋" w:hAnsi="仿宋" w:eastAsia="仿宋" w:cs="仿宋"/>
                <w:color w:val="auto"/>
                <w:sz w:val="24"/>
                <w:szCs w:val="24"/>
                <w:highlight w:val="none"/>
              </w:rPr>
              <w:t>完整性、合理性、可操作性</w:t>
            </w:r>
            <w:r>
              <w:rPr>
                <w:rFonts w:hint="eastAsia" w:ascii="仿宋" w:hAnsi="仿宋" w:eastAsia="仿宋" w:cs="仿宋"/>
                <w:color w:val="auto"/>
                <w:sz w:val="24"/>
                <w:szCs w:val="24"/>
                <w:highlight w:val="none"/>
                <w:lang w:val="en-US" w:eastAsia="zh-CN"/>
              </w:rPr>
              <w:t>有所欠缺的1分；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widowControl w:val="0"/>
              <w:adjustRightInd w:val="0"/>
              <w:spacing w:before="0" w:beforeAutospacing="0" w:after="0" w:afterAutospacing="0" w:line="360" w:lineRule="auto"/>
              <w:ind w:right="0" w:rightChars="0"/>
              <w:jc w:val="both"/>
              <w:outlineLvl w:val="0"/>
              <w:rPr>
                <w:rFonts w:hint="default" w:ascii="仿宋" w:hAnsi="仿宋" w:eastAsia="仿宋" w:cs="仿宋"/>
                <w:color w:val="auto"/>
                <w:sz w:val="24"/>
                <w:szCs w:val="24"/>
                <w:highlight w:val="none"/>
                <w:lang w:val="en-US" w:eastAsia="zh-CN"/>
              </w:rPr>
            </w:pPr>
            <w:r>
              <w:rPr>
                <w:rFonts w:hint="eastAsia" w:ascii="仿宋" w:hAnsi="仿宋" w:eastAsia="仿宋" w:cs="仿宋"/>
                <w:kern w:val="2"/>
                <w:sz w:val="24"/>
                <w:szCs w:val="24"/>
                <w:lang w:val="en-US" w:eastAsia="zh-CN" w:bidi="ar-SA"/>
              </w:rPr>
              <w:t>5</w:t>
            </w:r>
          </w:p>
        </w:tc>
        <w:tc>
          <w:tcPr>
            <w:tcW w:w="899" w:type="dxa"/>
            <w:vAlign w:val="top"/>
          </w:tcPr>
          <w:p>
            <w:pPr>
              <w:spacing w:line="360" w:lineRule="auto"/>
              <w:jc w:val="both"/>
              <w:rPr>
                <w:rFonts w:hint="eastAsia" w:ascii="仿宋" w:hAnsi="仿宋" w:eastAsia="仿宋" w:cs="仿宋"/>
                <w:color w:val="auto"/>
                <w:sz w:val="24"/>
                <w:szCs w:val="24"/>
                <w:highlight w:val="none"/>
                <w:lang w:val="en-US" w:eastAsia="zh-CN"/>
              </w:rPr>
            </w:pPr>
          </w:p>
          <w:p>
            <w:pPr>
              <w:spacing w:line="360" w:lineRule="auto"/>
              <w:jc w:val="both"/>
              <w:rPr>
                <w:rFonts w:hint="eastAsia" w:ascii="仿宋" w:hAnsi="仿宋" w:eastAsia="仿宋" w:cs="仿宋"/>
                <w:color w:val="auto"/>
                <w:sz w:val="24"/>
                <w:szCs w:val="24"/>
                <w:highlight w:val="none"/>
                <w:lang w:val="en-US" w:eastAsia="zh-CN"/>
              </w:rPr>
            </w:pPr>
          </w:p>
          <w:p>
            <w:pPr>
              <w:spacing w:line="360" w:lineRule="auto"/>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kern w:val="2"/>
                <w:sz w:val="24"/>
                <w:szCs w:val="24"/>
                <w:lang w:val="en-US" w:eastAsia="zh-CN" w:bidi="ar-SA"/>
              </w:rPr>
            </w:pPr>
          </w:p>
          <w:p>
            <w:pPr>
              <w:rPr>
                <w:rFonts w:hint="eastAsia" w:ascii="仿宋" w:hAnsi="仿宋" w:eastAsia="仿宋" w:cs="仿宋"/>
                <w:kern w:val="2"/>
                <w:sz w:val="24"/>
                <w:szCs w:val="24"/>
                <w:lang w:val="en-US" w:eastAsia="zh-CN" w:bidi="ar-SA"/>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60" w:type="dxa"/>
            <w:vAlign w:val="center"/>
          </w:tcPr>
          <w:p>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5878" w:type="dxa"/>
            <w:vAlign w:val="center"/>
          </w:tcPr>
          <w:p>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针对本项目的管理机构设置：根据机构设置情况的合理性等</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rPr>
              <w:t>打分（</w:t>
            </w:r>
            <w:r>
              <w:rPr>
                <w:rFonts w:hint="eastAsia" w:ascii="仿宋" w:hAnsi="仿宋" w:eastAsia="仿宋" w:cs="仿宋"/>
                <w:color w:val="auto"/>
                <w:sz w:val="24"/>
                <w:szCs w:val="24"/>
                <w:highlight w:val="none"/>
                <w:lang w:val="en-US" w:eastAsia="zh-CN"/>
              </w:rPr>
              <w:t>完全符合本项目要求的得5分，基本符合得3分，部分符合的得1分，不符合或不提供不得分。</w:t>
            </w:r>
            <w:r>
              <w:rPr>
                <w:rFonts w:hint="eastAsia" w:ascii="宋体" w:eastAsia="宋体" w:cs="宋体"/>
                <w:color w:val="auto"/>
                <w:sz w:val="21"/>
                <w:szCs w:val="21"/>
                <w:highlight w:val="none"/>
              </w:rPr>
              <w:t>）</w:t>
            </w:r>
          </w:p>
        </w:tc>
        <w:tc>
          <w:tcPr>
            <w:tcW w:w="559" w:type="dxa"/>
            <w:vAlign w:val="center"/>
          </w:tcPr>
          <w:p>
            <w:pPr>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color w:val="auto"/>
                <w:sz w:val="24"/>
                <w:szCs w:val="24"/>
                <w:highlight w:val="none"/>
                <w:lang w:val="en-US" w:eastAsia="zh-CN"/>
              </w:rPr>
              <w:t>5</w:t>
            </w:r>
          </w:p>
        </w:tc>
        <w:tc>
          <w:tcPr>
            <w:tcW w:w="899" w:type="dxa"/>
            <w:vAlign w:val="top"/>
          </w:tcPr>
          <w:p>
            <w:pPr>
              <w:spacing w:line="360" w:lineRule="auto"/>
              <w:jc w:val="both"/>
              <w:rPr>
                <w:rFonts w:hint="eastAsia"/>
                <w:color w:val="auto"/>
                <w:highlight w:val="none"/>
                <w:lang w:val="en-US" w:eastAsia="zh-CN"/>
              </w:rPr>
            </w:pPr>
          </w:p>
          <w:p>
            <w:pPr>
              <w:pStyle w:val="2"/>
              <w:ind w:left="432" w:leftChars="0" w:hanging="432" w:firstLine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主观</w:t>
            </w:r>
          </w:p>
        </w:tc>
        <w:tc>
          <w:tcPr>
            <w:tcW w:w="1725" w:type="dxa"/>
            <w:vAlign w:val="top"/>
          </w:tcPr>
          <w:p>
            <w:pPr>
              <w:spacing w:line="360" w:lineRule="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针对本项目的管理机构设置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60" w:type="dxa"/>
            <w:vAlign w:val="center"/>
          </w:tcPr>
          <w:p>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default"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根据投标单位针对本项目管理及服务的措施（含组织措施、技术措施、经济措施、管理措施）的合理性、完整性进行综合评分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管理及服务的措施</w:t>
            </w: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rPr>
              <w:t>合理性、完整性</w:t>
            </w:r>
            <w:r>
              <w:rPr>
                <w:rFonts w:hint="eastAsia" w:ascii="仿宋" w:hAnsi="仿宋" w:eastAsia="仿宋" w:cs="仿宋"/>
                <w:color w:val="auto"/>
                <w:sz w:val="24"/>
                <w:szCs w:val="24"/>
                <w:highlight w:val="none"/>
                <w:lang w:val="en-US" w:eastAsia="zh-CN"/>
              </w:rPr>
              <w:t>的得5分，基本</w:t>
            </w:r>
            <w:r>
              <w:rPr>
                <w:rFonts w:hint="eastAsia" w:ascii="仿宋" w:hAnsi="仿宋" w:eastAsia="仿宋" w:cs="仿宋"/>
                <w:color w:val="auto"/>
                <w:sz w:val="24"/>
                <w:szCs w:val="24"/>
                <w:highlight w:val="none"/>
              </w:rPr>
              <w:t>完整合理</w:t>
            </w:r>
            <w:r>
              <w:rPr>
                <w:rFonts w:hint="eastAsia" w:ascii="仿宋" w:hAnsi="仿宋" w:eastAsia="仿宋" w:cs="仿宋"/>
                <w:color w:val="auto"/>
                <w:sz w:val="24"/>
                <w:szCs w:val="24"/>
                <w:highlight w:val="none"/>
                <w:lang w:val="en-US" w:eastAsia="zh-CN"/>
              </w:rPr>
              <w:t>得3分；</w:t>
            </w:r>
            <w:r>
              <w:rPr>
                <w:rFonts w:hint="eastAsia" w:ascii="仿宋" w:hAnsi="仿宋" w:eastAsia="仿宋" w:cs="仿宋"/>
                <w:color w:val="auto"/>
                <w:sz w:val="24"/>
                <w:szCs w:val="24"/>
                <w:highlight w:val="none"/>
              </w:rPr>
              <w:t>合理性、完整性、可操作性</w:t>
            </w:r>
            <w:r>
              <w:rPr>
                <w:rFonts w:hint="eastAsia" w:ascii="仿宋" w:hAnsi="仿宋" w:eastAsia="仿宋" w:cs="仿宋"/>
                <w:color w:val="auto"/>
                <w:sz w:val="24"/>
                <w:szCs w:val="24"/>
                <w:highlight w:val="none"/>
                <w:lang w:val="en-US" w:eastAsia="zh-CN"/>
              </w:rPr>
              <w:t>有所欠缺的1分；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top"/>
          </w:tcPr>
          <w:p>
            <w:pPr>
              <w:spacing w:line="360" w:lineRule="auto"/>
              <w:jc w:val="both"/>
              <w:rPr>
                <w:rFonts w:hint="eastAsia" w:ascii="仿宋" w:hAnsi="仿宋" w:eastAsia="仿宋" w:cs="仿宋"/>
                <w:color w:val="auto"/>
                <w:sz w:val="24"/>
                <w:szCs w:val="24"/>
                <w:highlight w:val="none"/>
                <w:lang w:val="en-US" w:eastAsia="zh-CN"/>
              </w:rPr>
            </w:pPr>
          </w:p>
          <w:p>
            <w:pPr>
              <w:spacing w:line="360" w:lineRule="auto"/>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rPr>
                <w:rFonts w:hint="eastAsia" w:ascii="仿宋" w:hAnsi="仿宋" w:eastAsia="仿宋" w:cs="仿宋"/>
                <w:color w:val="auto"/>
                <w:sz w:val="24"/>
                <w:szCs w:val="24"/>
                <w:highlight w:val="none"/>
                <w:lang w:val="en-US" w:eastAsia="zh-CN"/>
              </w:rPr>
            </w:pPr>
          </w:p>
          <w:p>
            <w:pPr>
              <w:rPr>
                <w:rFonts w:hint="eastAsia" w:ascii="仿宋" w:hAnsi="仿宋" w:eastAsia="仿宋" w:cs="仿宋"/>
                <w:kern w:val="2"/>
                <w:sz w:val="24"/>
                <w:szCs w:val="24"/>
                <w:lang w:val="en-US" w:eastAsia="zh-CN" w:bidi="ar-SA"/>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管理及服务的措施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default"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据投标单位针对本项目如发生突发性事件的分析及处理方案的完整性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合理性、可操作性，进行综合评分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发生突发性事件的分析及处理方案</w:t>
            </w: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rPr>
              <w:t>完整性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合理性、可操作性</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5分；基本</w:t>
            </w:r>
            <w:r>
              <w:rPr>
                <w:rFonts w:hint="eastAsia" w:ascii="仿宋" w:hAnsi="仿宋" w:eastAsia="仿宋" w:cs="仿宋"/>
                <w:color w:val="auto"/>
                <w:sz w:val="24"/>
                <w:szCs w:val="24"/>
                <w:highlight w:val="none"/>
              </w:rPr>
              <w:t>完整合理可操作</w:t>
            </w:r>
            <w:r>
              <w:rPr>
                <w:rFonts w:hint="eastAsia" w:ascii="仿宋" w:hAnsi="仿宋" w:eastAsia="仿宋" w:cs="仿宋"/>
                <w:color w:val="auto"/>
                <w:sz w:val="24"/>
                <w:szCs w:val="24"/>
                <w:highlight w:val="none"/>
                <w:lang w:val="en-US" w:eastAsia="zh-CN"/>
              </w:rPr>
              <w:t>得3分；</w:t>
            </w:r>
            <w:r>
              <w:rPr>
                <w:rFonts w:hint="eastAsia" w:ascii="仿宋" w:hAnsi="仿宋" w:eastAsia="仿宋" w:cs="仿宋"/>
                <w:color w:val="auto"/>
                <w:sz w:val="24"/>
                <w:szCs w:val="24"/>
                <w:highlight w:val="none"/>
              </w:rPr>
              <w:t>完整性、合理性、可操作性</w:t>
            </w:r>
            <w:r>
              <w:rPr>
                <w:rFonts w:hint="eastAsia" w:ascii="仿宋" w:hAnsi="仿宋" w:eastAsia="仿宋" w:cs="仿宋"/>
                <w:color w:val="auto"/>
                <w:sz w:val="24"/>
                <w:szCs w:val="24"/>
                <w:highlight w:val="none"/>
                <w:lang w:val="en-US" w:eastAsia="zh-CN"/>
              </w:rPr>
              <w:t>有所欠缺的1分；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widowControl w:val="0"/>
              <w:adjustRightInd w:val="0"/>
              <w:spacing w:before="0" w:beforeAutospacing="0" w:after="0" w:afterAutospacing="0" w:line="360" w:lineRule="auto"/>
              <w:ind w:left="0" w:leftChars="0" w:right="0" w:right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lang w:val="en-US" w:eastAsia="zh-CN" w:bidi="ar-SA"/>
              </w:rPr>
              <w:t>5</w:t>
            </w:r>
          </w:p>
        </w:tc>
        <w:tc>
          <w:tcPr>
            <w:tcW w:w="899" w:type="dxa"/>
            <w:vAlign w:val="top"/>
          </w:tcPr>
          <w:p>
            <w:pPr>
              <w:adjustRightInd w:val="0"/>
              <w:snapToGrid w:val="0"/>
              <w:spacing w:line="228" w:lineRule="auto"/>
              <w:ind w:left="-105" w:leftChars="-50" w:right="-105" w:rightChars="-50"/>
              <w:jc w:val="both"/>
              <w:rPr>
                <w:rFonts w:hint="eastAsia"/>
                <w:color w:val="auto"/>
                <w:highlight w:val="none"/>
                <w:lang w:val="en-US" w:eastAsia="zh-CN"/>
              </w:rPr>
            </w:pPr>
          </w:p>
          <w:p>
            <w:pPr>
              <w:jc w:val="both"/>
              <w:rPr>
                <w:rFonts w:hint="eastAsia" w:ascii="仿宋" w:hAnsi="仿宋" w:eastAsia="仿宋" w:cs="仿宋"/>
                <w:color w:val="auto"/>
                <w:sz w:val="24"/>
                <w:szCs w:val="24"/>
                <w:highlight w:val="none"/>
                <w:lang w:val="en-US" w:eastAsia="zh-CN"/>
              </w:rPr>
            </w:pPr>
          </w:p>
          <w:p>
            <w:pPr>
              <w:jc w:val="both"/>
              <w:rPr>
                <w:rFonts w:hint="eastAsia" w:ascii="仿宋" w:hAnsi="仿宋" w:eastAsia="仿宋" w:cs="仿宋"/>
                <w:color w:val="auto"/>
                <w:sz w:val="24"/>
                <w:szCs w:val="24"/>
                <w:highlight w:val="none"/>
                <w:lang w:val="en-US" w:eastAsia="zh-CN"/>
              </w:rPr>
            </w:pPr>
          </w:p>
          <w:p>
            <w:pPr>
              <w:jc w:val="both"/>
              <w:rPr>
                <w:rFonts w:hint="eastAsia"/>
                <w:color w:val="auto"/>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突发性事件的分析及处理方案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default"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根据投标单位针对本项目，对项目实施人员的培训情况，进行综合评分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培训情况</w:t>
            </w:r>
            <w:r>
              <w:rPr>
                <w:rFonts w:hint="eastAsia" w:ascii="仿宋" w:hAnsi="仿宋" w:eastAsia="仿宋" w:cs="仿宋"/>
                <w:color w:val="auto"/>
                <w:sz w:val="24"/>
                <w:szCs w:val="24"/>
                <w:highlight w:val="none"/>
                <w:lang w:eastAsia="zh-CN"/>
              </w:rPr>
              <w:t>符合本项目需求的得</w:t>
            </w:r>
            <w:r>
              <w:rPr>
                <w:rFonts w:hint="eastAsia" w:ascii="仿宋" w:hAnsi="仿宋" w:eastAsia="仿宋" w:cs="仿宋"/>
                <w:color w:val="auto"/>
                <w:sz w:val="24"/>
                <w:szCs w:val="24"/>
                <w:highlight w:val="none"/>
                <w:lang w:val="en-US" w:eastAsia="zh-CN"/>
              </w:rPr>
              <w:t>5分；基本符合的得3分；有所欠缺的得1分；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widowControl w:val="0"/>
              <w:adjustRightInd w:val="0"/>
              <w:spacing w:before="0" w:beforeAutospacing="0" w:after="0" w:afterAutospacing="0" w:line="360" w:lineRule="auto"/>
              <w:ind w:left="0" w:leftChars="0" w:right="0" w:rightChars="0"/>
              <w:jc w:val="center"/>
              <w:rPr>
                <w:rFonts w:hint="eastAsia" w:ascii="仿宋" w:hAnsi="仿宋" w:eastAsia="仿宋" w:cs="仿宋"/>
                <w:kern w:val="2"/>
                <w:sz w:val="24"/>
                <w:szCs w:val="24"/>
                <w:lang w:val="en-US" w:eastAsia="zh-CN" w:bidi="ar-SA"/>
              </w:rPr>
            </w:pPr>
          </w:p>
          <w:p>
            <w:pPr>
              <w:widowControl w:val="0"/>
              <w:adjustRightInd w:val="0"/>
              <w:spacing w:before="0" w:beforeAutospacing="0" w:after="0" w:afterAutospacing="0" w:line="360" w:lineRule="auto"/>
              <w:ind w:left="0" w:leftChars="0" w:right="0" w:right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lang w:val="en-US" w:eastAsia="zh-CN" w:bidi="ar-SA"/>
              </w:rPr>
              <w:t>5</w:t>
            </w:r>
          </w:p>
        </w:tc>
        <w:tc>
          <w:tcPr>
            <w:tcW w:w="899" w:type="dxa"/>
            <w:vAlign w:val="top"/>
          </w:tcPr>
          <w:p>
            <w:pPr>
              <w:adjustRightInd w:val="0"/>
              <w:snapToGrid w:val="0"/>
              <w:spacing w:line="228" w:lineRule="auto"/>
              <w:ind w:left="-105" w:leftChars="-50" w:right="-105" w:rightChars="-50"/>
              <w:jc w:val="both"/>
              <w:rPr>
                <w:rFonts w:hint="eastAsia"/>
                <w:color w:val="auto"/>
                <w:highlight w:val="none"/>
                <w:lang w:val="en-US" w:eastAsia="zh-CN"/>
              </w:rPr>
            </w:pPr>
          </w:p>
          <w:p>
            <w:pPr>
              <w:pStyle w:val="2"/>
              <w:ind w:left="0" w:leftChars="0" w:firstLine="0" w:firstLineChars="0"/>
              <w:jc w:val="both"/>
              <w:rPr>
                <w:rFonts w:hint="eastAsia" w:ascii="仿宋" w:hAnsi="仿宋" w:eastAsia="仿宋" w:cs="仿宋"/>
                <w:b w:val="0"/>
                <w:bCs w:val="0"/>
                <w:color w:val="auto"/>
                <w:kern w:val="2"/>
                <w:sz w:val="24"/>
                <w:szCs w:val="24"/>
                <w:highlight w:val="none"/>
                <w:lang w:val="en-US" w:eastAsia="zh-CN" w:bidi="ar-SA"/>
              </w:rPr>
            </w:pPr>
          </w:p>
          <w:p>
            <w:pPr>
              <w:pStyle w:val="2"/>
              <w:jc w:val="both"/>
              <w:rPr>
                <w:rFonts w:hint="eastAsia"/>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人员的培训情况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5878" w:type="dxa"/>
            <w:vAlign w:val="top"/>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kern w:val="2"/>
                <w:sz w:val="24"/>
                <w:szCs w:val="24"/>
                <w:vertAlign w:val="baseline"/>
                <w:lang w:val="en-US" w:eastAsia="zh-CN" w:bidi="ar-SA"/>
              </w:rPr>
            </w:pPr>
            <w:r>
              <w:rPr>
                <w:rFonts w:hint="eastAsia" w:ascii="仿宋" w:hAnsi="仿宋" w:eastAsia="仿宋" w:cs="仿宋"/>
                <w:color w:val="auto"/>
                <w:sz w:val="24"/>
                <w:szCs w:val="24"/>
                <w:highlight w:val="none"/>
              </w:rPr>
              <w:t>投标单位是否有完善的监督自查体系，根据投标单位的自查监督体系的完整性、可操作性综合评分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监督自查体系完善的</w:t>
            </w:r>
            <w:r>
              <w:rPr>
                <w:rFonts w:hint="eastAsia" w:ascii="仿宋" w:hAnsi="仿宋" w:eastAsia="仿宋" w:cs="仿宋"/>
                <w:color w:val="auto"/>
                <w:sz w:val="24"/>
                <w:szCs w:val="24"/>
                <w:highlight w:val="none"/>
                <w:lang w:val="en-US" w:eastAsia="zh-CN"/>
              </w:rPr>
              <w:t>得5分；基本完善的得3分；有所欠缺的1分；</w:t>
            </w:r>
            <w:r>
              <w:rPr>
                <w:rFonts w:hint="eastAsia" w:ascii="仿宋" w:hAnsi="仿宋" w:eastAsia="仿宋" w:cs="仿宋"/>
                <w:color w:val="auto"/>
                <w:sz w:val="24"/>
                <w:szCs w:val="24"/>
                <w:highlight w:val="none"/>
                <w:lang w:eastAsia="zh-CN"/>
              </w:rPr>
              <w:t>未提供该项内容不得分。</w:t>
            </w:r>
          </w:p>
        </w:tc>
        <w:tc>
          <w:tcPr>
            <w:tcW w:w="559" w:type="dxa"/>
            <w:vAlign w:val="center"/>
          </w:tcPr>
          <w:p>
            <w:pPr>
              <w:widowControl w:val="0"/>
              <w:adjustRightInd w:val="0"/>
              <w:spacing w:before="0" w:beforeAutospacing="0" w:after="0" w:afterAutospacing="0" w:line="360" w:lineRule="auto"/>
              <w:ind w:left="0" w:leftChars="0" w:right="0" w:right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lang w:val="en-US" w:eastAsia="zh-CN" w:bidi="ar-SA"/>
              </w:rPr>
              <w:t>5</w:t>
            </w:r>
          </w:p>
        </w:tc>
        <w:tc>
          <w:tcPr>
            <w:tcW w:w="899" w:type="dxa"/>
            <w:vAlign w:val="top"/>
          </w:tcPr>
          <w:p>
            <w:pPr>
              <w:adjustRightInd w:val="0"/>
              <w:snapToGrid w:val="0"/>
              <w:spacing w:line="228" w:lineRule="auto"/>
              <w:ind w:left="-105" w:leftChars="-50" w:right="-105" w:rightChars="-50"/>
              <w:jc w:val="both"/>
              <w:rPr>
                <w:rFonts w:hint="eastAsia"/>
                <w:color w:val="auto"/>
                <w:highlight w:val="none"/>
                <w:lang w:val="en-US" w:eastAsia="zh-CN"/>
              </w:rPr>
            </w:pPr>
          </w:p>
          <w:p>
            <w:pPr>
              <w:jc w:val="both"/>
              <w:rPr>
                <w:rFonts w:hint="eastAsia" w:ascii="仿宋" w:eastAsia="仿宋" w:cs="仿宋"/>
                <w:color w:val="auto"/>
                <w:kern w:val="2"/>
                <w:sz w:val="24"/>
                <w:szCs w:val="24"/>
                <w:highlight w:val="none"/>
                <w:lang w:val="en-US" w:eastAsia="zh-CN" w:bidi="ar-SA"/>
              </w:rPr>
            </w:pPr>
          </w:p>
          <w:p>
            <w:pPr>
              <w:jc w:val="both"/>
              <w:rPr>
                <w:rFonts w:hint="eastAsia" w:ascii="仿宋" w:eastAsia="仿宋" w:cs="仿宋"/>
                <w:color w:val="auto"/>
                <w:kern w:val="2"/>
                <w:sz w:val="24"/>
                <w:szCs w:val="24"/>
                <w:highlight w:val="none"/>
                <w:lang w:val="en-US" w:eastAsia="zh-CN" w:bidi="ar-SA"/>
              </w:rPr>
            </w:pPr>
          </w:p>
          <w:p>
            <w:pPr>
              <w:jc w:val="both"/>
              <w:rPr>
                <w:rFonts w:hint="eastAsia"/>
                <w:color w:val="auto"/>
                <w:highlight w:val="none"/>
                <w:lang w:val="en-US" w:eastAsia="zh-CN"/>
              </w:rPr>
            </w:pPr>
            <w:r>
              <w:rPr>
                <w:rFonts w:hint="eastAsia" w:ascii="仿宋" w:eastAsia="仿宋" w:cs="仿宋"/>
                <w:color w:val="auto"/>
                <w:kern w:val="2"/>
                <w:sz w:val="24"/>
                <w:szCs w:val="24"/>
                <w:highlight w:val="none"/>
                <w:lang w:val="en-US" w:eastAsia="zh-CN" w:bidi="ar-SA"/>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监督自查体系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5878" w:type="dxa"/>
            <w:vAlign w:val="center"/>
          </w:tcPr>
          <w:p>
            <w:pPr>
              <w:spacing w:line="6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演出安全保障措施：各投标单位针对本项目提出的演出安全作业保障措施是否合理，酌情打分；（完全符合得5分，大部分符合得3分，一般符合得1分，不符合不得分；此项最高5分）</w:t>
            </w:r>
          </w:p>
        </w:tc>
        <w:tc>
          <w:tcPr>
            <w:tcW w:w="559"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spacing w:line="600" w:lineRule="exact"/>
              <w:jc w:val="left"/>
              <w:rPr>
                <w:rFonts w:hint="eastAsia" w:ascii="仿宋" w:hAnsi="仿宋" w:eastAsia="仿宋" w:cs="仿宋"/>
                <w:color w:val="auto"/>
                <w:sz w:val="24"/>
                <w:szCs w:val="24"/>
                <w:highlight w:val="none"/>
                <w:lang w:val="en-US" w:eastAsia="zh-CN"/>
              </w:rPr>
            </w:pPr>
          </w:p>
          <w:p>
            <w:pPr>
              <w:spacing w:line="6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安全保障措施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5878" w:type="dxa"/>
            <w:vAlign w:val="center"/>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迎接重大节日的演出措施：各投标单位针对本项目提出措施是否合理，酌情打分；（完全符合得5分，大部分符合得3分，一般符合得1分，不符合不得分；此项最高5分）</w:t>
            </w:r>
          </w:p>
        </w:tc>
        <w:tc>
          <w:tcPr>
            <w:tcW w:w="559" w:type="dxa"/>
            <w:vAlign w:val="center"/>
          </w:tcPr>
          <w:p>
            <w:pPr>
              <w:spacing w:line="6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99" w:type="dxa"/>
            <w:vAlign w:val="center"/>
          </w:tcPr>
          <w:p>
            <w:pPr>
              <w:spacing w:line="6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725" w:type="dxa"/>
            <w:vAlign w:val="top"/>
          </w:tcPr>
          <w:p>
            <w:pPr>
              <w:spacing w:line="600" w:lineRule="exact"/>
              <w:jc w:val="left"/>
              <w:rPr>
                <w:rFonts w:hint="eastAsia" w:ascii="仿宋" w:hAnsi="仿宋" w:eastAsia="仿宋" w:cs="仿宋"/>
                <w:color w:val="auto"/>
                <w:sz w:val="24"/>
                <w:szCs w:val="24"/>
                <w:highlight w:val="none"/>
                <w:lang w:val="en-US" w:eastAsia="zh-CN"/>
              </w:rPr>
            </w:pPr>
          </w:p>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重大节日的演出措施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pPr>
              <w:widowControl w:val="0"/>
              <w:adjustRightInd w:val="0"/>
              <w:spacing w:before="0" w:beforeAutospacing="0" w:after="0" w:afterAutospacing="0" w:line="228" w:lineRule="atLeast"/>
              <w:ind w:left="0" w:leftChars="0" w:right="0" w:rightChars="0"/>
              <w:jc w:val="both"/>
              <w:outlineLvl w:val="0"/>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15</w:t>
            </w:r>
          </w:p>
        </w:tc>
        <w:tc>
          <w:tcPr>
            <w:tcW w:w="5878" w:type="dxa"/>
            <w:vAlign w:val="center"/>
          </w:tcPr>
          <w:p>
            <w:pPr>
              <w:keepNext w:val="0"/>
              <w:keepLines w:val="0"/>
              <w:pageBreakBefore w:val="0"/>
              <w:kinsoku/>
              <w:wordWrap/>
              <w:overflowPunct/>
              <w:topLinePunct w:val="0"/>
              <w:autoSpaceDE/>
              <w:autoSpaceDN/>
              <w:bidi w:val="0"/>
              <w:adjustRightInd/>
              <w:snapToGrid/>
              <w:spacing w:line="360" w:lineRule="auto"/>
              <w:jc w:val="both"/>
              <w:textAlignment w:val="auto"/>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投入本项目的设备道具等措施：投入本项目演出服务等采用的设备道具完全符合得4分，大部分符合得2分，一般符合得1分，不符合不得分；此项最高4分</w:t>
            </w:r>
          </w:p>
        </w:tc>
        <w:tc>
          <w:tcPr>
            <w:tcW w:w="559" w:type="dxa"/>
            <w:vAlign w:val="center"/>
          </w:tcPr>
          <w:p>
            <w:pPr>
              <w:widowControl w:val="0"/>
              <w:adjustRightInd w:val="0"/>
              <w:spacing w:before="0" w:beforeAutospacing="0" w:after="0" w:afterAutospacing="0" w:line="228" w:lineRule="atLeast"/>
              <w:ind w:left="0" w:leftChars="0" w:right="0" w:rightChars="0"/>
              <w:jc w:val="center"/>
              <w:rPr>
                <w:rFonts w:hint="eastAsia" w:ascii="仿宋" w:hAnsi="仿宋" w:eastAsia="仿宋" w:cs="仿宋"/>
                <w:kern w:val="2"/>
                <w:sz w:val="24"/>
                <w:szCs w:val="24"/>
                <w:lang w:val="en-US" w:eastAsia="zh-CN" w:bidi="ar-SA"/>
              </w:rPr>
            </w:pPr>
          </w:p>
          <w:p>
            <w:pPr>
              <w:widowControl w:val="0"/>
              <w:adjustRightInd w:val="0"/>
              <w:spacing w:before="0" w:beforeAutospacing="0" w:after="0" w:afterAutospacing="0" w:line="228" w:lineRule="atLeast"/>
              <w:ind w:left="0" w:leftChars="0" w:right="0" w:rightChars="0"/>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w:t>
            </w:r>
          </w:p>
        </w:tc>
        <w:tc>
          <w:tcPr>
            <w:tcW w:w="899" w:type="dxa"/>
            <w:vAlign w:val="top"/>
          </w:tcPr>
          <w:p>
            <w:pPr>
              <w:adjustRightInd w:val="0"/>
              <w:snapToGrid w:val="0"/>
              <w:spacing w:line="228" w:lineRule="auto"/>
              <w:ind w:right="-105" w:rightChars="-50" w:firstLine="210" w:firstLineChars="100"/>
              <w:jc w:val="both"/>
              <w:rPr>
                <w:rFonts w:hint="eastAsia"/>
                <w:lang w:val="en-US" w:eastAsia="zh-CN"/>
              </w:rPr>
            </w:pPr>
          </w:p>
          <w:p>
            <w:pPr>
              <w:pStyle w:val="81"/>
              <w:jc w:val="both"/>
              <w:rPr>
                <w:rFonts w:hint="eastAsia" w:ascii="仿宋" w:hAnsi="仿宋" w:eastAsia="仿宋" w:cs="仿宋"/>
                <w:color w:val="auto"/>
                <w:kern w:val="2"/>
                <w:sz w:val="24"/>
                <w:szCs w:val="24"/>
                <w:highlight w:val="none"/>
                <w:lang w:val="en-US" w:eastAsia="zh-CN" w:bidi="ar-SA"/>
              </w:rPr>
            </w:pPr>
          </w:p>
          <w:p>
            <w:pPr>
              <w:pStyle w:val="81"/>
              <w:jc w:val="both"/>
              <w:rPr>
                <w:rFonts w:hint="eastAsia" w:ascii="仿宋" w:hAnsi="仿宋" w:eastAsia="仿宋" w:cs="仿宋"/>
                <w:color w:val="auto"/>
                <w:kern w:val="2"/>
                <w:sz w:val="24"/>
                <w:szCs w:val="24"/>
                <w:highlight w:val="none"/>
                <w:lang w:val="en-US" w:eastAsia="zh-CN" w:bidi="ar-SA"/>
              </w:rPr>
            </w:pPr>
          </w:p>
          <w:p>
            <w:pPr>
              <w:pStyle w:val="81"/>
              <w:ind w:left="0" w:leftChars="0" w:firstLine="0" w:firstLine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kern w:val="2"/>
                <w:sz w:val="24"/>
                <w:szCs w:val="24"/>
                <w:lang w:val="en-US" w:eastAsia="zh-CN" w:bidi="ar-SA"/>
              </w:rPr>
            </w:pPr>
          </w:p>
          <w:p>
            <w:pP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lang w:val="en-US" w:eastAsia="zh-CN" w:bidi="ar-SA"/>
              </w:rPr>
              <w:t>设备配备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5878" w:type="dxa"/>
            <w:vAlign w:val="center"/>
          </w:tcPr>
          <w:p>
            <w:pPr>
              <w:spacing w:line="6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服务响应速度的措施方案：提出针</w:t>
            </w:r>
            <w:bookmarkStart w:id="158" w:name="_GoBack"/>
            <w:bookmarkEnd w:id="158"/>
            <w:r>
              <w:rPr>
                <w:rFonts w:hint="eastAsia" w:ascii="仿宋" w:hAnsi="仿宋" w:eastAsia="仿宋" w:cs="仿宋"/>
                <w:color w:val="auto"/>
                <w:sz w:val="24"/>
                <w:szCs w:val="24"/>
                <w:highlight w:val="none"/>
                <w:lang w:val="en-US" w:eastAsia="zh-CN"/>
              </w:rPr>
              <w:t>对本项目的一些重要活动的服务响应速度的措施方案非常完善合理的得5分，基本合理的得3分，一般合理得1分，不合理不得分；此项最高5分</w:t>
            </w:r>
          </w:p>
        </w:tc>
        <w:tc>
          <w:tcPr>
            <w:tcW w:w="559" w:type="dxa"/>
            <w:vAlign w:val="center"/>
          </w:tcPr>
          <w:p>
            <w:pPr>
              <w:widowControl w:val="0"/>
              <w:adjustRightInd w:val="0"/>
              <w:spacing w:before="0" w:beforeAutospacing="0" w:after="0" w:afterAutospacing="0" w:line="114" w:lineRule="atLeast"/>
              <w:ind w:left="0" w:leftChars="0" w:right="0" w:rightChars="0"/>
              <w:jc w:val="center"/>
              <w:rPr>
                <w:rFonts w:hint="eastAsia" w:ascii="仿宋" w:hAnsi="仿宋" w:eastAsia="仿宋" w:cs="仿宋"/>
                <w:kern w:val="2"/>
                <w:sz w:val="24"/>
                <w:szCs w:val="24"/>
                <w:lang w:val="en-US" w:eastAsia="zh-CN" w:bidi="ar-SA"/>
              </w:rPr>
            </w:pPr>
          </w:p>
          <w:p>
            <w:pPr>
              <w:widowControl w:val="0"/>
              <w:adjustRightInd w:val="0"/>
              <w:spacing w:before="0" w:beforeAutospacing="0" w:after="0" w:afterAutospacing="0" w:line="114" w:lineRule="atLeast"/>
              <w:ind w:left="0" w:leftChars="0" w:right="0" w:rightChars="0"/>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w:t>
            </w:r>
          </w:p>
        </w:tc>
        <w:tc>
          <w:tcPr>
            <w:tcW w:w="899" w:type="dxa"/>
            <w:vAlign w:val="top"/>
          </w:tcPr>
          <w:p>
            <w:pPr>
              <w:pStyle w:val="81"/>
              <w:jc w:val="both"/>
              <w:rPr>
                <w:rFonts w:hint="eastAsia" w:ascii="仿宋" w:hAnsi="仿宋" w:eastAsia="仿宋" w:cs="仿宋"/>
                <w:color w:val="auto"/>
                <w:kern w:val="2"/>
                <w:sz w:val="24"/>
                <w:szCs w:val="24"/>
                <w:highlight w:val="none"/>
                <w:lang w:val="en-US" w:eastAsia="zh-CN" w:bidi="ar-SA"/>
              </w:rPr>
            </w:pPr>
          </w:p>
          <w:p>
            <w:pPr>
              <w:pStyle w:val="81"/>
              <w:ind w:left="0" w:leftChars="0" w:firstLine="0" w:firstLineChars="0"/>
              <w:jc w:val="both"/>
              <w:rPr>
                <w:rFonts w:hint="eastAsia" w:ascii="仿宋" w:hAnsi="仿宋" w:eastAsia="仿宋" w:cs="仿宋"/>
                <w:color w:val="auto"/>
                <w:kern w:val="2"/>
                <w:sz w:val="24"/>
                <w:szCs w:val="24"/>
                <w:highlight w:val="none"/>
                <w:lang w:val="en-US" w:eastAsia="zh-CN" w:bidi="ar-SA"/>
              </w:rPr>
            </w:pPr>
          </w:p>
          <w:p>
            <w:pPr>
              <w:pStyle w:val="81"/>
              <w:ind w:left="0" w:leftChars="0" w:firstLine="0" w:firstLineChars="0"/>
              <w:jc w:val="both"/>
              <w:rPr>
                <w:rFonts w:hint="eastAsia" w:ascii="仿宋" w:hAnsi="仿宋" w:eastAsia="仿宋" w:cs="仿宋"/>
                <w:color w:val="auto"/>
                <w:kern w:val="2"/>
                <w:sz w:val="24"/>
                <w:szCs w:val="24"/>
                <w:highlight w:val="none"/>
                <w:lang w:val="en-US" w:eastAsia="zh-CN" w:bidi="ar-SA"/>
              </w:rPr>
            </w:pPr>
          </w:p>
          <w:p>
            <w:pPr>
              <w:pStyle w:val="81"/>
              <w:ind w:left="0" w:leftChars="0" w:firstLine="0" w:firstLineChars="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主观</w:t>
            </w:r>
          </w:p>
        </w:tc>
        <w:tc>
          <w:tcPr>
            <w:tcW w:w="1725" w:type="dxa"/>
            <w:vAlign w:val="top"/>
          </w:tcPr>
          <w:p>
            <w:pPr>
              <w:rPr>
                <w:rFonts w:hint="eastAsia" w:ascii="仿宋" w:hAnsi="仿宋" w:eastAsia="仿宋" w:cs="仿宋"/>
                <w:kern w:val="2"/>
                <w:sz w:val="24"/>
                <w:szCs w:val="24"/>
                <w:lang w:val="en-US" w:eastAsia="zh-CN" w:bidi="ar-SA"/>
              </w:rPr>
            </w:pPr>
          </w:p>
          <w:p>
            <w:pPr>
              <w:rPr>
                <w:rFonts w:hint="eastAsia" w:ascii="仿宋" w:hAnsi="仿宋" w:eastAsia="仿宋" w:cs="仿宋"/>
                <w:kern w:val="2"/>
                <w:sz w:val="24"/>
                <w:szCs w:val="24"/>
                <w:lang w:val="en-US" w:eastAsia="zh-CN" w:bidi="ar-SA"/>
              </w:rPr>
            </w:pPr>
          </w:p>
          <w:p>
            <w:pPr>
              <w:rPr>
                <w:rFonts w:hint="eastAsia" w:ascii="仿宋" w:hAnsi="仿宋" w:eastAsia="仿宋" w:cs="仿宋"/>
                <w:kern w:val="2"/>
                <w:sz w:val="24"/>
                <w:szCs w:val="24"/>
                <w:lang w:val="en-US" w:eastAsia="zh-CN" w:bidi="ar-SA"/>
              </w:rPr>
            </w:pPr>
          </w:p>
          <w:p>
            <w:pPr>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服务响应速度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660" w:type="dxa"/>
            <w:vAlign w:val="center"/>
          </w:tcPr>
          <w:p>
            <w:pPr>
              <w:spacing w:line="360" w:lineRule="auto"/>
              <w:ind w:firstLine="240" w:firstLineChars="100"/>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17</w:t>
            </w:r>
          </w:p>
        </w:tc>
        <w:tc>
          <w:tcPr>
            <w:tcW w:w="5878" w:type="dxa"/>
            <w:vAlign w:val="top"/>
          </w:tcPr>
          <w:p>
            <w:pPr>
              <w:spacing w:line="360" w:lineRule="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］的计算公式计算。</w:t>
            </w:r>
          </w:p>
          <w:p>
            <w:pPr>
              <w:widowControl/>
              <w:shd w:val="clear" w:color="auto" w:fill="FFFFFF"/>
              <w:adjustRightInd/>
              <w:spacing w:after="225" w:line="315" w:lineRule="atLeast"/>
              <w:ind w:firstLine="42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pPr>
              <w:widowControl/>
              <w:shd w:val="clear" w:color="auto" w:fill="FFFFFF"/>
              <w:adjustRightInd/>
              <w:spacing w:after="225" w:line="315" w:lineRule="atLeast"/>
              <w:ind w:firstLine="42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因落实政府采购政策需要进行价格调整的，以调整后的价格计算评标基准价和投标报价。</w:t>
            </w:r>
          </w:p>
        </w:tc>
        <w:tc>
          <w:tcPr>
            <w:tcW w:w="559" w:type="dxa"/>
            <w:vAlign w:val="center"/>
          </w:tcPr>
          <w:p>
            <w:pPr>
              <w:spacing w:line="360" w:lineRule="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899" w:type="dxa"/>
            <w:vAlign w:val="center"/>
          </w:tcPr>
          <w:p>
            <w:pPr>
              <w:spacing w:line="360" w:lineRule="auto"/>
              <w:ind w:firstLine="240" w:firstLineChars="100"/>
              <w:jc w:val="both"/>
              <w:outlineLvl w:val="0"/>
              <w:rPr>
                <w:rFonts w:hint="default" w:ascii="仿宋" w:hAnsi="仿宋" w:eastAsia="仿宋" w:cs="仿宋"/>
                <w:color w:val="auto"/>
                <w:sz w:val="24"/>
                <w:szCs w:val="24"/>
                <w:highlight w:val="none"/>
                <w:lang w:val="en-US" w:eastAsia="zh-CN"/>
              </w:rPr>
            </w:pPr>
          </w:p>
        </w:tc>
        <w:tc>
          <w:tcPr>
            <w:tcW w:w="1725" w:type="dxa"/>
            <w:vAlign w:val="center"/>
          </w:tcPr>
          <w:p>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r>
    </w:tbl>
    <w:p>
      <w:pPr>
        <w:spacing w:line="360" w:lineRule="auto"/>
        <w:rPr>
          <w:rFonts w:ascii="仿宋" w:hAnsi="仿宋" w:eastAsia="仿宋"/>
        </w:rPr>
      </w:pPr>
    </w:p>
    <w:p>
      <w:pPr>
        <w:snapToGrid w:val="0"/>
        <w:spacing w:line="360" w:lineRule="auto"/>
        <w:rPr>
          <w:rFonts w:ascii="仿宋" w:hAnsi="仿宋" w:eastAsia="仿宋" w:cs="宋体"/>
          <w:b/>
          <w:sz w:val="24"/>
        </w:rPr>
      </w:pPr>
      <w:r>
        <w:rPr>
          <w:rFonts w:hint="eastAsia" w:ascii="宋体" w:hAnsi="宋体" w:eastAsia="仿宋" w:cs="宋体"/>
          <w:sz w:val="20"/>
          <w:szCs w:val="20"/>
          <w:shd w:val="clear" w:color="auto" w:fill="FFFFFF"/>
        </w:rPr>
        <w:t> </w:t>
      </w:r>
      <w:r>
        <w:rPr>
          <w:rFonts w:hint="eastAsia" w:ascii="仿宋" w:hAnsi="仿宋" w:eastAsia="仿宋" w:cs="宋体"/>
          <w:sz w:val="20"/>
          <w:szCs w:val="20"/>
          <w:shd w:val="clear" w:color="auto" w:fill="FFFFFF"/>
        </w:rPr>
        <w:t>*</w:t>
      </w:r>
      <w:r>
        <w:rPr>
          <w:rFonts w:hint="eastAsia" w:ascii="仿宋" w:hAnsi="仿宋" w:eastAsia="仿宋" w:cs="宋体"/>
          <w:b/>
          <w:sz w:val="24"/>
        </w:rPr>
        <w:t>备注：</w:t>
      </w:r>
      <w:r>
        <w:rPr>
          <w:rFonts w:hint="eastAsia" w:ascii="仿宋" w:hAnsi="仿宋" w:eastAsia="仿宋" w:cs="宋体"/>
          <w:sz w:val="24"/>
        </w:rPr>
        <w:t>投标人编制投标文件（商务技术文件部分）时，建议按此目录（序号和内容）提供评标标准相应的商务技术资料。</w:t>
      </w:r>
    </w:p>
    <w:p>
      <w:pPr>
        <w:rPr>
          <w:color w:val="auto"/>
          <w:highlight w:val="none"/>
        </w:rPr>
      </w:pPr>
    </w:p>
    <w:p>
      <w:pPr>
        <w:snapToGrid w:val="0"/>
        <w:spacing w:line="360" w:lineRule="auto"/>
        <w:rPr>
          <w:rFonts w:hint="eastAsia" w:ascii="宋体" w:hAnsi="宋体" w:cs="宋体"/>
          <w:b/>
          <w:color w:val="auto"/>
          <w:sz w:val="32"/>
          <w:highlight w:val="none"/>
        </w:rPr>
      </w:pPr>
    </w:p>
    <w:p>
      <w:pPr>
        <w:snapToGrid w:val="0"/>
        <w:spacing w:line="360" w:lineRule="auto"/>
        <w:rPr>
          <w:rFonts w:hint="eastAsia" w:ascii="宋体" w:hAnsi="宋体" w:cs="宋体"/>
          <w:b/>
          <w:color w:val="auto"/>
          <w:sz w:val="32"/>
          <w:highlight w:val="none"/>
        </w:rPr>
      </w:pPr>
    </w:p>
    <w:p>
      <w:pPr>
        <w:snapToGrid w:val="0"/>
        <w:spacing w:line="360" w:lineRule="auto"/>
        <w:rPr>
          <w:rFonts w:hint="eastAsia" w:ascii="宋体" w:hAnsi="宋体" w:cs="宋体"/>
          <w:b/>
          <w:color w:val="auto"/>
          <w:sz w:val="32"/>
          <w:highlight w:val="none"/>
        </w:rPr>
      </w:pPr>
    </w:p>
    <w:p>
      <w:pPr>
        <w:snapToGrid w:val="0"/>
        <w:spacing w:line="360" w:lineRule="auto"/>
        <w:rPr>
          <w:rFonts w:hint="eastAsia" w:ascii="宋体" w:hAnsi="宋体" w:cs="宋体"/>
          <w:b/>
          <w:color w:val="auto"/>
          <w:sz w:val="32"/>
          <w:highlight w:val="none"/>
        </w:rPr>
      </w:pP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24"/>
        <w:snapToGrid w:val="0"/>
        <w:spacing w:line="360" w:lineRule="auto"/>
        <w:rPr>
          <w:rFonts w:cs="宋体"/>
          <w:color w:val="auto"/>
          <w:highlight w:val="none"/>
        </w:rPr>
      </w:pPr>
      <w:r>
        <w:rPr>
          <w:rFonts w:hint="eastAsia" w:cs="宋体"/>
          <w:color w:val="auto"/>
          <w:highlight w:val="none"/>
        </w:rPr>
        <w:t>5.4因重大变故，采购任务取消的。</w:t>
      </w:r>
    </w:p>
    <w:p>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color w:val="auto"/>
          <w:highlight w:val="none"/>
        </w:rPr>
      </w:pPr>
    </w:p>
    <w:bookmarkEnd w:id="26"/>
    <w:p>
      <w:pPr>
        <w:spacing w:line="360" w:lineRule="auto"/>
        <w:ind w:left="720" w:leftChars="343" w:firstLine="1084" w:firstLineChars="300"/>
        <w:outlineLvl w:val="0"/>
        <w:rPr>
          <w:rFonts w:ascii="宋体" w:hAnsi="宋体" w:cs="宋体"/>
          <w:b/>
          <w:color w:val="auto"/>
          <w:sz w:val="36"/>
          <w:szCs w:val="36"/>
          <w:highlight w:val="none"/>
        </w:rPr>
      </w:pPr>
      <w:bookmarkStart w:id="32" w:name="第五部分"/>
      <w:bookmarkStart w:id="33" w:name="_Toc86217003"/>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spacing w:line="360" w:lineRule="auto"/>
        <w:ind w:left="720" w:leftChars="343" w:firstLine="1084" w:firstLineChars="300"/>
        <w:outlineLvl w:val="0"/>
        <w:rPr>
          <w:rFonts w:ascii="宋体" w:hAnsi="宋体" w:cs="宋体"/>
          <w:b/>
          <w:color w:val="auto"/>
          <w:sz w:val="36"/>
          <w:szCs w:val="36"/>
          <w:highlight w:val="none"/>
        </w:rPr>
      </w:pPr>
    </w:p>
    <w:p>
      <w:pPr>
        <w:widowControl/>
        <w:adjustRightInd/>
        <w:jc w:val="left"/>
        <w:rPr>
          <w:rFonts w:ascii="宋体" w:hAnsi="宋体" w:cs="宋体"/>
          <w:b/>
          <w:color w:val="auto"/>
          <w:sz w:val="36"/>
          <w:szCs w:val="36"/>
          <w:highlight w:val="none"/>
        </w:rPr>
      </w:pPr>
    </w:p>
    <w:p>
      <w:pPr>
        <w:spacing w:line="360" w:lineRule="auto"/>
        <w:outlineLvl w:val="0"/>
        <w:rPr>
          <w:rFonts w:hint="eastAsia"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pPr>
        <w:pStyle w:val="26"/>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pPr>
        <w:spacing w:before="120" w:line="22" w:lineRule="atLeast"/>
        <w:rPr>
          <w:rFonts w:ascii="宋体" w:hAnsi="宋体" w:cs="宋体"/>
          <w:color w:val="auto"/>
          <w:sz w:val="24"/>
          <w:highlight w:val="none"/>
        </w:rPr>
      </w:pPr>
    </w:p>
    <w:p>
      <w:pPr>
        <w:pStyle w:val="2"/>
        <w:rPr>
          <w:color w:val="auto"/>
          <w:highlight w:val="none"/>
        </w:rPr>
      </w:pPr>
    </w:p>
    <w:p>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pPr>
        <w:pStyle w:val="599"/>
        <w:spacing w:before="120" w:line="22" w:lineRule="atLeast"/>
        <w:rPr>
          <w:rFonts w:ascii="宋体" w:hAnsi="宋体" w:eastAsia="宋体" w:cs="宋体"/>
          <w:color w:val="auto"/>
          <w:szCs w:val="24"/>
          <w:highlight w:val="none"/>
        </w:rPr>
      </w:pPr>
    </w:p>
    <w:p>
      <w:pPr>
        <w:pStyle w:val="599"/>
        <w:spacing w:before="120" w:line="22" w:lineRule="atLeast"/>
        <w:rPr>
          <w:rFonts w:ascii="宋体" w:hAnsi="宋体" w:eastAsia="宋体" w:cs="宋体"/>
          <w:color w:val="auto"/>
          <w:szCs w:val="24"/>
          <w:highlight w:val="none"/>
        </w:rPr>
      </w:pP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pPr>
        <w:rPr>
          <w:rFonts w:ascii="宋体" w:hAnsi="宋体" w:cs="宋体"/>
          <w:b/>
          <w:color w:val="auto"/>
          <w:sz w:val="24"/>
          <w:highlight w:val="none"/>
        </w:rPr>
      </w:pPr>
    </w:p>
    <w:p>
      <w:pPr>
        <w:spacing w:line="360" w:lineRule="auto"/>
        <w:ind w:firstLine="48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杭州市临平区人民政府乔司街道办事处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乔司街道老茶馆运营服务采购项目</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杭州市临平区人民政府乔司街道办事处</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spacing w:line="560" w:lineRule="exact"/>
        <w:ind w:firstLine="482" w:firstLineChars="200"/>
        <w:outlineLvl w:val="0"/>
        <w:rPr>
          <w:rFonts w:ascii="宋体" w:hAnsi="宋体"/>
          <w:color w:val="auto"/>
          <w:sz w:val="24"/>
          <w:highlight w:val="none"/>
        </w:rPr>
      </w:pPr>
      <w:bookmarkStart w:id="34" w:name="_Toc22967"/>
      <w:bookmarkStart w:id="35" w:name="_Toc19273"/>
      <w:bookmarkStart w:id="36" w:name="_Toc20421"/>
      <w:bookmarkStart w:id="37" w:name="_Toc15367"/>
      <w:bookmarkStart w:id="38"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4"/>
      <w:bookmarkEnd w:id="35"/>
      <w:bookmarkEnd w:id="36"/>
      <w:bookmarkEnd w:id="37"/>
      <w:bookmarkEnd w:id="38"/>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spacing w:line="560" w:lineRule="exact"/>
        <w:ind w:firstLine="482" w:firstLineChars="200"/>
        <w:outlineLvl w:val="0"/>
        <w:rPr>
          <w:rFonts w:ascii="宋体" w:hAnsi="宋体"/>
          <w:b/>
          <w:color w:val="auto"/>
          <w:sz w:val="24"/>
          <w:highlight w:val="none"/>
        </w:rPr>
      </w:pPr>
      <w:bookmarkStart w:id="39" w:name="_Toc6773"/>
      <w:bookmarkStart w:id="40" w:name="_Toc18585"/>
      <w:bookmarkStart w:id="41" w:name="_Toc6311"/>
      <w:bookmarkStart w:id="42" w:name="_Toc2918"/>
      <w:bookmarkStart w:id="43" w:name="_Toc22185"/>
      <w:r>
        <w:rPr>
          <w:rFonts w:ascii="宋体" w:hAnsi="宋体"/>
          <w:b/>
          <w:color w:val="auto"/>
          <w:sz w:val="24"/>
          <w:highlight w:val="none"/>
        </w:rPr>
        <w:t xml:space="preserve">1.2 </w:t>
      </w:r>
      <w:r>
        <w:rPr>
          <w:rFonts w:hint="eastAsia" w:ascii="宋体" w:hAnsi="宋体"/>
          <w:b/>
          <w:color w:val="auto"/>
          <w:sz w:val="24"/>
          <w:highlight w:val="none"/>
        </w:rPr>
        <w:t>标的</w:t>
      </w:r>
      <w:bookmarkEnd w:id="39"/>
      <w:bookmarkEnd w:id="40"/>
      <w:bookmarkEnd w:id="41"/>
      <w:bookmarkEnd w:id="42"/>
      <w:bookmarkEnd w:id="43"/>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pPr>
        <w:pStyle w:val="959"/>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否）涉及货物。若涉及货物的的，则：</w:t>
      </w:r>
    </w:p>
    <w:p>
      <w:pPr>
        <w:spacing w:line="560" w:lineRule="exact"/>
        <w:ind w:firstLine="480" w:firstLineChars="200"/>
        <w:rPr>
          <w:rFonts w:ascii="宋体" w:hAnsi="宋体" w:cs="宋体"/>
          <w:color w:val="auto"/>
          <w:sz w:val="24"/>
          <w:highlight w:val="none"/>
          <w:u w:val="single"/>
        </w:rPr>
      </w:pPr>
      <w:bookmarkStart w:id="44" w:name="_Toc5635"/>
      <w:bookmarkStart w:id="45" w:name="_Toc1386"/>
      <w:bookmarkStart w:id="46" w:name="_Toc4929"/>
      <w:bookmarkStart w:id="47" w:name="_Toc21124"/>
      <w:bookmarkStart w:id="48"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4"/>
      <w:bookmarkEnd w:id="45"/>
      <w:bookmarkEnd w:id="46"/>
      <w:bookmarkEnd w:id="47"/>
      <w:bookmarkEnd w:id="48"/>
    </w:p>
    <w:p>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highlight w:val="none"/>
              </w:rPr>
            </w:pPr>
          </w:p>
        </w:tc>
        <w:tc>
          <w:tcPr>
            <w:tcW w:w="3402" w:type="dxa"/>
            <w:vAlign w:val="center"/>
          </w:tcPr>
          <w:p>
            <w:pPr>
              <w:pStyle w:val="320"/>
              <w:spacing w:line="560" w:lineRule="exact"/>
              <w:ind w:firstLine="200"/>
              <w:jc w:val="center"/>
              <w:rPr>
                <w:rFonts w:hAnsi="宋体"/>
                <w:color w:val="auto"/>
                <w:sz w:val="24"/>
                <w:szCs w:val="24"/>
                <w:highlight w:val="none"/>
              </w:rPr>
            </w:pPr>
          </w:p>
        </w:tc>
        <w:tc>
          <w:tcPr>
            <w:tcW w:w="2552" w:type="dxa"/>
            <w:vAlign w:val="center"/>
          </w:tcPr>
          <w:p>
            <w:pPr>
              <w:pStyle w:val="320"/>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320"/>
              <w:spacing w:line="560" w:lineRule="exact"/>
              <w:ind w:firstLine="200"/>
              <w:jc w:val="center"/>
              <w:rPr>
                <w:rFonts w:hAnsi="宋体"/>
                <w:color w:val="auto"/>
                <w:sz w:val="24"/>
                <w:szCs w:val="24"/>
                <w:highlight w:val="none"/>
              </w:rPr>
            </w:pPr>
          </w:p>
        </w:tc>
      </w:tr>
    </w:tbl>
    <w:p>
      <w:pPr>
        <w:spacing w:line="560" w:lineRule="exact"/>
        <w:ind w:firstLine="480" w:firstLineChars="200"/>
        <w:rPr>
          <w:rFonts w:ascii="宋体" w:hAnsi="宋体"/>
          <w:color w:val="auto"/>
          <w:sz w:val="24"/>
          <w:highlight w:val="none"/>
        </w:rPr>
      </w:pPr>
      <w:bookmarkStart w:id="49" w:name="_Toc3654"/>
      <w:bookmarkStart w:id="50" w:name="_Toc30158"/>
      <w:bookmarkStart w:id="51" w:name="_Toc14993"/>
      <w:bookmarkStart w:id="52" w:name="_Toc26916"/>
      <w:bookmarkStart w:id="53" w:name="_Toc3050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pPr>
        <w:pStyle w:val="2"/>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9"/>
    <w:bookmarkEnd w:id="50"/>
    <w:bookmarkEnd w:id="51"/>
    <w:bookmarkEnd w:id="52"/>
    <w:bookmarkEnd w:id="53"/>
    <w:p>
      <w:pPr>
        <w:pStyle w:val="959"/>
        <w:spacing w:before="0" w:beforeAutospacing="0" w:after="0" w:afterAutospacing="0" w:line="360" w:lineRule="auto"/>
        <w:ind w:firstLine="480"/>
        <w:rPr>
          <w:b/>
          <w:color w:val="auto"/>
          <w:highlight w:val="none"/>
        </w:rPr>
      </w:pPr>
      <w:bookmarkStart w:id="54" w:name="_Toc10340"/>
      <w:bookmarkStart w:id="55" w:name="_Toc1814"/>
      <w:bookmarkStart w:id="56" w:name="_Toc22618"/>
      <w:bookmarkStart w:id="57" w:name="_Toc11108"/>
      <w:bookmarkStart w:id="58" w:name="_Toc4760"/>
      <w:bookmarkStart w:id="59" w:name="_Toc8772"/>
      <w:bookmarkStart w:id="60" w:name="_Toc3625"/>
      <w:bookmarkStart w:id="61" w:name="_Toc31421"/>
      <w:r>
        <w:rPr>
          <w:rFonts w:hint="eastAsia"/>
          <w:b/>
          <w:color w:val="auto"/>
          <w:highlight w:val="none"/>
        </w:rPr>
        <w:t>1.4履约保证金</w:t>
      </w:r>
    </w:p>
    <w:p>
      <w:pPr>
        <w:pStyle w:val="959"/>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54"/>
      <w:bookmarkEnd w:id="55"/>
      <w:bookmarkEnd w:id="56"/>
      <w:r>
        <w:rPr>
          <w:rFonts w:hint="eastAsia" w:ascii="宋体" w:hAnsi="宋体" w:cs="宋体"/>
          <w:b/>
          <w:color w:val="auto"/>
          <w:sz w:val="24"/>
          <w:highlight w:val="none"/>
        </w:rPr>
        <w:t>预付款</w:t>
      </w:r>
    </w:p>
    <w:p>
      <w:pPr>
        <w:pStyle w:val="959"/>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959"/>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59"/>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59"/>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959"/>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57"/>
      <w:bookmarkEnd w:id="58"/>
      <w:bookmarkEnd w:id="59"/>
      <w:bookmarkEnd w:id="60"/>
      <w:bookmarkEnd w:id="61"/>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outlineLvl w:val="0"/>
        <w:rPr>
          <w:rFonts w:ascii="宋体" w:hAnsi="宋体"/>
          <w:bCs/>
          <w:color w:val="auto"/>
          <w:sz w:val="24"/>
          <w:highlight w:val="none"/>
        </w:rPr>
      </w:pPr>
      <w:bookmarkStart w:id="62" w:name="_Toc5698"/>
      <w:bookmarkStart w:id="63" w:name="_Toc2375"/>
      <w:bookmarkStart w:id="64" w:name="_Toc8586"/>
      <w:bookmarkStart w:id="65" w:name="_Toc24662"/>
      <w:bookmarkStart w:id="66" w:name="_Toc3079"/>
      <w:r>
        <w:rPr>
          <w:rFonts w:hint="eastAsia" w:ascii="宋体" w:hAnsi="宋体"/>
          <w:bCs/>
          <w:color w:val="auto"/>
          <w:sz w:val="24"/>
          <w:highlight w:val="none"/>
        </w:rPr>
        <w:t>1.7.4若服务</w:t>
      </w:r>
      <w:r>
        <w:rPr>
          <w:rFonts w:hint="eastAsia"/>
          <w:bCs/>
          <w:color w:val="auto"/>
          <w:sz w:val="24"/>
          <w:highlight w:val="none"/>
        </w:rPr>
        <w:t>涉及货物的，则货物的：</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62"/>
      <w:bookmarkEnd w:id="63"/>
      <w:bookmarkEnd w:id="64"/>
      <w:bookmarkEnd w:id="65"/>
      <w:bookmarkEnd w:id="66"/>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pPr>
        <w:spacing w:line="560" w:lineRule="exact"/>
        <w:ind w:firstLine="480" w:firstLineChars="200"/>
        <w:rPr>
          <w:rFonts w:ascii="宋体" w:hAnsi="宋体" w:cs="宋体"/>
          <w:color w:val="auto"/>
          <w:sz w:val="24"/>
          <w:highlight w:val="none"/>
        </w:rPr>
      </w:pPr>
      <w:bookmarkStart w:id="67" w:name="_Toc9497"/>
      <w:bookmarkStart w:id="68" w:name="_Toc32454"/>
      <w:bookmarkStart w:id="69" w:name="_Toc30329"/>
      <w:bookmarkStart w:id="70" w:name="_Toc26807"/>
      <w:bookmarkStart w:id="71"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67"/>
    <w:bookmarkEnd w:id="68"/>
    <w:bookmarkEnd w:id="69"/>
    <w:bookmarkEnd w:id="70"/>
    <w:bookmarkEnd w:id="71"/>
    <w:p>
      <w:pPr>
        <w:spacing w:line="560" w:lineRule="exact"/>
        <w:ind w:firstLine="482" w:firstLineChars="200"/>
        <w:outlineLvl w:val="0"/>
        <w:rPr>
          <w:rFonts w:ascii="宋体" w:hAnsi="宋体" w:cs="宋体"/>
          <w:b/>
          <w:color w:val="auto"/>
          <w:sz w:val="24"/>
          <w:highlight w:val="none"/>
        </w:rPr>
      </w:pPr>
      <w:bookmarkStart w:id="72" w:name="_Toc15583"/>
      <w:bookmarkStart w:id="73" w:name="_Toc16021"/>
      <w:bookmarkStart w:id="74" w:name="_Toc28375"/>
      <w:r>
        <w:rPr>
          <w:rFonts w:hint="eastAsia" w:ascii="宋体" w:hAnsi="宋体" w:cs="宋体"/>
          <w:b/>
          <w:color w:val="auto"/>
          <w:sz w:val="24"/>
          <w:highlight w:val="none"/>
        </w:rPr>
        <w:t>1.9合同争议的解决</w:t>
      </w:r>
      <w:bookmarkEnd w:id="72"/>
      <w:bookmarkEnd w:id="73"/>
      <w:bookmarkEnd w:id="74"/>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bookmarkStart w:id="75" w:name="_Toc7245"/>
      <w:bookmarkStart w:id="76" w:name="_Toc15322"/>
      <w:bookmarkStart w:id="77" w:name="_Toc11173"/>
      <w:r>
        <w:rPr>
          <w:rFonts w:hint="eastAsia" w:ascii="宋体" w:hAnsi="宋体" w:cs="宋体"/>
          <w:b/>
          <w:color w:val="auto"/>
          <w:sz w:val="24"/>
          <w:highlight w:val="none"/>
        </w:rPr>
        <w:t>2.0 合同生效</w:t>
      </w:r>
      <w:bookmarkEnd w:id="75"/>
      <w:bookmarkEnd w:id="76"/>
      <w:bookmarkEnd w:id="77"/>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pPr>
        <w:widowControl/>
        <w:spacing w:line="560" w:lineRule="exact"/>
        <w:jc w:val="left"/>
        <w:rPr>
          <w:rFonts w:ascii="宋体" w:hAnsi="宋体"/>
          <w:b/>
          <w:color w:val="auto"/>
          <w:sz w:val="24"/>
          <w:highlight w:val="none"/>
        </w:rPr>
      </w:pPr>
    </w:p>
    <w:p>
      <w:pPr>
        <w:widowControl/>
        <w:adjustRightInd/>
        <w:jc w:val="left"/>
        <w:rPr>
          <w:rFonts w:ascii="宋体" w:hAnsi="宋体"/>
          <w:b/>
          <w:color w:val="auto"/>
          <w:sz w:val="24"/>
          <w:highlight w:val="none"/>
        </w:rPr>
      </w:pPr>
      <w:r>
        <w:rPr>
          <w:rFonts w:ascii="宋体" w:hAnsi="宋体"/>
          <w:b/>
          <w:color w:val="auto"/>
          <w:highlight w:val="none"/>
        </w:rPr>
        <w:br w:type="page"/>
      </w:r>
    </w:p>
    <w:p>
      <w:pPr>
        <w:pStyle w:val="26"/>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pPr>
        <w:spacing w:line="560" w:lineRule="exact"/>
        <w:ind w:firstLine="482" w:firstLineChars="200"/>
        <w:outlineLvl w:val="0"/>
        <w:rPr>
          <w:rFonts w:ascii="宋体" w:hAnsi="宋体"/>
          <w:b/>
          <w:color w:val="auto"/>
          <w:sz w:val="24"/>
          <w:highlight w:val="none"/>
        </w:rPr>
      </w:pPr>
      <w:bookmarkStart w:id="78" w:name="_Toc25079"/>
      <w:bookmarkStart w:id="79" w:name="_Toc14021"/>
      <w:bookmarkStart w:id="80" w:name="_Toc19680"/>
      <w:bookmarkStart w:id="81" w:name="_Toc31297"/>
      <w:bookmarkStart w:id="82" w:name="_Toc5228"/>
      <w:r>
        <w:rPr>
          <w:rFonts w:ascii="宋体" w:hAnsi="宋体"/>
          <w:b/>
          <w:color w:val="auto"/>
          <w:sz w:val="24"/>
          <w:highlight w:val="none"/>
        </w:rPr>
        <w:t>2.1 定义</w:t>
      </w:r>
      <w:bookmarkEnd w:id="78"/>
      <w:bookmarkEnd w:id="79"/>
      <w:bookmarkEnd w:id="80"/>
      <w:bookmarkEnd w:id="81"/>
      <w:bookmarkEnd w:id="82"/>
    </w:p>
    <w:p>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pPr>
        <w:spacing w:line="560" w:lineRule="exact"/>
        <w:ind w:firstLine="482" w:firstLineChars="200"/>
        <w:outlineLvl w:val="0"/>
        <w:rPr>
          <w:rFonts w:ascii="宋体" w:hAnsi="宋体"/>
          <w:b/>
          <w:color w:val="auto"/>
          <w:sz w:val="24"/>
          <w:highlight w:val="none"/>
        </w:rPr>
      </w:pPr>
      <w:bookmarkStart w:id="83" w:name="_Toc23289"/>
      <w:bookmarkStart w:id="84" w:name="_Toc31402"/>
      <w:bookmarkStart w:id="85" w:name="_Toc3769"/>
      <w:bookmarkStart w:id="86" w:name="_Toc19539"/>
      <w:bookmarkStart w:id="87" w:name="_Toc16752"/>
      <w:r>
        <w:rPr>
          <w:rFonts w:ascii="宋体" w:hAnsi="宋体"/>
          <w:b/>
          <w:color w:val="auto"/>
          <w:sz w:val="24"/>
          <w:highlight w:val="none"/>
        </w:rPr>
        <w:t>2.2 技术规范</w:t>
      </w:r>
      <w:bookmarkEnd w:id="83"/>
      <w:bookmarkEnd w:id="84"/>
      <w:bookmarkEnd w:id="85"/>
      <w:bookmarkEnd w:id="86"/>
      <w:bookmarkEnd w:id="87"/>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pPr>
        <w:spacing w:line="560" w:lineRule="exact"/>
        <w:ind w:firstLine="482" w:firstLineChars="200"/>
        <w:outlineLvl w:val="0"/>
        <w:rPr>
          <w:rFonts w:ascii="宋体" w:hAnsi="宋体"/>
          <w:b/>
          <w:color w:val="auto"/>
          <w:sz w:val="24"/>
          <w:highlight w:val="none"/>
        </w:rPr>
      </w:pPr>
      <w:bookmarkStart w:id="88" w:name="_Toc13673"/>
      <w:bookmarkStart w:id="89" w:name="_Toc12412"/>
      <w:bookmarkStart w:id="90" w:name="_Toc9161"/>
      <w:bookmarkStart w:id="91" w:name="_Toc4133"/>
      <w:bookmarkStart w:id="92" w:name="_Toc27945"/>
      <w:r>
        <w:rPr>
          <w:rFonts w:ascii="宋体" w:hAnsi="宋体"/>
          <w:b/>
          <w:color w:val="auto"/>
          <w:sz w:val="24"/>
          <w:highlight w:val="none"/>
        </w:rPr>
        <w:t>2.3 知识产权</w:t>
      </w:r>
      <w:bookmarkEnd w:id="88"/>
      <w:bookmarkEnd w:id="89"/>
      <w:bookmarkEnd w:id="90"/>
      <w:bookmarkEnd w:id="91"/>
      <w:bookmarkEnd w:id="92"/>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highlight w:val="none"/>
        </w:rPr>
      </w:pPr>
      <w:bookmarkStart w:id="93" w:name="_Toc15447"/>
      <w:bookmarkStart w:id="94" w:name="_Toc22011"/>
      <w:bookmarkStart w:id="95" w:name="_Toc32670"/>
      <w:bookmarkStart w:id="96" w:name="_Toc31233"/>
      <w:bookmarkStart w:id="97" w:name="_Toc26555"/>
      <w:r>
        <w:rPr>
          <w:rFonts w:ascii="宋体" w:hAnsi="宋体"/>
          <w:b/>
          <w:color w:val="auto"/>
          <w:sz w:val="24"/>
          <w:highlight w:val="none"/>
        </w:rPr>
        <w:t>2.5 结算方式和付款条件</w:t>
      </w:r>
      <w:bookmarkEnd w:id="93"/>
      <w:bookmarkEnd w:id="94"/>
      <w:bookmarkEnd w:id="95"/>
      <w:bookmarkEnd w:id="96"/>
      <w:bookmarkEnd w:id="97"/>
    </w:p>
    <w:p>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98" w:name="_Toc13467"/>
      <w:bookmarkStart w:id="99" w:name="_Toc18990"/>
      <w:bookmarkStart w:id="100" w:name="_Toc16163"/>
      <w:bookmarkStart w:id="101" w:name="_Toc30507"/>
      <w:bookmarkStart w:id="102" w:name="_Toc13154"/>
      <w:r>
        <w:rPr>
          <w:rFonts w:ascii="宋体" w:hAnsi="宋体"/>
          <w:b/>
          <w:color w:val="auto"/>
          <w:sz w:val="24"/>
          <w:highlight w:val="none"/>
        </w:rPr>
        <w:t>2.6 技术资料和保密义务</w:t>
      </w:r>
      <w:bookmarkEnd w:id="98"/>
      <w:bookmarkEnd w:id="99"/>
      <w:bookmarkEnd w:id="100"/>
      <w:bookmarkEnd w:id="101"/>
      <w:bookmarkEnd w:id="102"/>
    </w:p>
    <w:p>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highlight w:val="none"/>
        </w:rPr>
      </w:pPr>
      <w:bookmarkStart w:id="103"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103"/>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highlight w:val="none"/>
        </w:rPr>
      </w:pPr>
      <w:bookmarkStart w:id="104"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104"/>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pPr>
        <w:spacing w:line="560" w:lineRule="exact"/>
        <w:ind w:firstLine="482" w:firstLineChars="200"/>
        <w:outlineLvl w:val="0"/>
        <w:rPr>
          <w:rFonts w:ascii="宋体" w:hAnsi="宋体"/>
          <w:b/>
          <w:color w:val="auto"/>
          <w:sz w:val="24"/>
          <w:highlight w:val="none"/>
        </w:rPr>
      </w:pPr>
      <w:bookmarkStart w:id="105"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105"/>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106" w:name="_Toc10663"/>
      <w:bookmarkStart w:id="107" w:name="_Toc21830"/>
      <w:bookmarkStart w:id="108" w:name="_Toc23368"/>
      <w:bookmarkStart w:id="109" w:name="_Toc26689"/>
      <w:bookmarkStart w:id="110" w:name="_Toc42"/>
      <w:r>
        <w:rPr>
          <w:rFonts w:ascii="宋体" w:hAnsi="宋体"/>
          <w:b/>
          <w:color w:val="auto"/>
          <w:sz w:val="24"/>
          <w:highlight w:val="none"/>
        </w:rPr>
        <w:t>2.10 合同转让和分包</w:t>
      </w:r>
      <w:bookmarkEnd w:id="106"/>
      <w:bookmarkEnd w:id="107"/>
      <w:bookmarkEnd w:id="108"/>
      <w:bookmarkEnd w:id="109"/>
      <w:bookmarkEnd w:id="110"/>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pPr>
        <w:spacing w:line="560" w:lineRule="exact"/>
        <w:ind w:firstLine="482" w:firstLineChars="200"/>
        <w:outlineLvl w:val="0"/>
        <w:rPr>
          <w:rFonts w:ascii="宋体" w:hAnsi="宋体"/>
          <w:b/>
          <w:color w:val="auto"/>
          <w:sz w:val="24"/>
          <w:highlight w:val="none"/>
        </w:rPr>
      </w:pPr>
      <w:bookmarkStart w:id="111" w:name="_Toc26633"/>
      <w:bookmarkStart w:id="112" w:name="_Toc32494"/>
      <w:bookmarkStart w:id="113" w:name="_Toc4720"/>
      <w:bookmarkStart w:id="114" w:name="_Toc25571"/>
      <w:bookmarkStart w:id="115" w:name="_Toc14371"/>
      <w:r>
        <w:rPr>
          <w:rFonts w:ascii="宋体" w:hAnsi="宋体"/>
          <w:b/>
          <w:color w:val="auto"/>
          <w:sz w:val="24"/>
          <w:highlight w:val="none"/>
        </w:rPr>
        <w:t>2.11 不可抗力</w:t>
      </w:r>
      <w:bookmarkEnd w:id="111"/>
      <w:bookmarkEnd w:id="112"/>
      <w:bookmarkEnd w:id="113"/>
      <w:bookmarkEnd w:id="114"/>
      <w:bookmarkEnd w:id="115"/>
    </w:p>
    <w:p>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116" w:name="_Toc14115"/>
      <w:bookmarkStart w:id="117" w:name="_Toc25783"/>
      <w:bookmarkStart w:id="118" w:name="_Toc3638"/>
      <w:bookmarkStart w:id="119" w:name="_Toc23854"/>
      <w:bookmarkStart w:id="120" w:name="_Toc24465"/>
      <w:r>
        <w:rPr>
          <w:rFonts w:ascii="宋体" w:hAnsi="宋体"/>
          <w:b/>
          <w:color w:val="auto"/>
          <w:sz w:val="24"/>
          <w:highlight w:val="none"/>
        </w:rPr>
        <w:t>2.12 税费</w:t>
      </w:r>
      <w:bookmarkEnd w:id="116"/>
      <w:bookmarkEnd w:id="117"/>
      <w:bookmarkEnd w:id="118"/>
      <w:bookmarkEnd w:id="119"/>
      <w:bookmarkEnd w:id="120"/>
    </w:p>
    <w:p>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pPr>
        <w:spacing w:line="560" w:lineRule="exact"/>
        <w:ind w:firstLine="482" w:firstLineChars="200"/>
        <w:outlineLvl w:val="0"/>
        <w:rPr>
          <w:rFonts w:ascii="宋体" w:hAnsi="宋体"/>
          <w:b/>
          <w:color w:val="auto"/>
          <w:sz w:val="24"/>
          <w:highlight w:val="none"/>
        </w:rPr>
      </w:pPr>
      <w:bookmarkStart w:id="121" w:name="_Toc14814"/>
      <w:bookmarkStart w:id="122" w:name="_Toc25525"/>
      <w:bookmarkStart w:id="123" w:name="_Toc30105"/>
      <w:bookmarkStart w:id="124" w:name="_Toc7315"/>
      <w:bookmarkStart w:id="125" w:name="_Toc26883"/>
      <w:r>
        <w:rPr>
          <w:rFonts w:ascii="宋体" w:hAnsi="宋体"/>
          <w:b/>
          <w:color w:val="auto"/>
          <w:sz w:val="24"/>
          <w:highlight w:val="none"/>
        </w:rPr>
        <w:t>2.13 乙方破产</w:t>
      </w:r>
      <w:bookmarkEnd w:id="121"/>
      <w:bookmarkEnd w:id="122"/>
      <w:bookmarkEnd w:id="123"/>
      <w:bookmarkEnd w:id="124"/>
      <w:bookmarkEnd w:id="125"/>
    </w:p>
    <w:p>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126" w:name="_Toc23323"/>
      <w:bookmarkStart w:id="127" w:name="_Toc2016"/>
      <w:bookmarkStart w:id="128" w:name="_Toc1123"/>
      <w:r>
        <w:rPr>
          <w:rFonts w:ascii="宋体" w:hAnsi="宋体"/>
          <w:b/>
          <w:color w:val="auto"/>
          <w:sz w:val="24"/>
          <w:highlight w:val="none"/>
        </w:rPr>
        <w:t>2.14 合同中止、终止</w:t>
      </w:r>
      <w:bookmarkEnd w:id="126"/>
      <w:bookmarkEnd w:id="127"/>
      <w:bookmarkEnd w:id="128"/>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129" w:name="_Toc14525"/>
      <w:bookmarkStart w:id="130" w:name="_Toc1969"/>
      <w:bookmarkStart w:id="131" w:name="_Toc17363"/>
      <w:r>
        <w:rPr>
          <w:rFonts w:ascii="宋体" w:hAnsi="宋体"/>
          <w:b/>
          <w:color w:val="auto"/>
          <w:sz w:val="24"/>
          <w:highlight w:val="none"/>
        </w:rPr>
        <w:t>2.15 检验和验收</w:t>
      </w:r>
      <w:bookmarkEnd w:id="129"/>
      <w:bookmarkEnd w:id="130"/>
      <w:bookmarkEnd w:id="131"/>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pPr>
        <w:spacing w:line="560" w:lineRule="exact"/>
        <w:ind w:firstLine="482" w:firstLineChars="200"/>
        <w:outlineLvl w:val="0"/>
        <w:rPr>
          <w:rFonts w:ascii="宋体" w:hAnsi="宋体"/>
          <w:b/>
          <w:color w:val="auto"/>
          <w:sz w:val="24"/>
          <w:highlight w:val="none"/>
        </w:rPr>
      </w:pPr>
      <w:bookmarkStart w:id="132" w:name="_Toc12666"/>
      <w:bookmarkStart w:id="133" w:name="_Toc31892"/>
      <w:bookmarkStart w:id="134" w:name="_Toc25198"/>
      <w:bookmarkStart w:id="135" w:name="_Toc9808"/>
      <w:bookmarkStart w:id="136" w:name="_Toc2308"/>
      <w:r>
        <w:rPr>
          <w:rFonts w:ascii="宋体" w:hAnsi="宋体"/>
          <w:b/>
          <w:color w:val="auto"/>
          <w:sz w:val="24"/>
          <w:highlight w:val="none"/>
        </w:rPr>
        <w:t>2.16 通知和送达</w:t>
      </w:r>
      <w:bookmarkEnd w:id="132"/>
      <w:bookmarkEnd w:id="133"/>
      <w:bookmarkEnd w:id="134"/>
      <w:bookmarkEnd w:id="135"/>
      <w:bookmarkEnd w:id="136"/>
    </w:p>
    <w:p>
      <w:pPr>
        <w:spacing w:line="560" w:lineRule="exact"/>
        <w:ind w:firstLine="480" w:firstLineChars="200"/>
        <w:rPr>
          <w:rFonts w:ascii="宋体" w:hAnsi="宋体"/>
          <w:color w:val="auto"/>
          <w:sz w:val="24"/>
          <w:highlight w:val="none"/>
        </w:rPr>
      </w:pPr>
      <w:bookmarkStart w:id="137" w:name="_Toc18401"/>
      <w:bookmarkStart w:id="138"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137"/>
      <w:bookmarkEnd w:id="138"/>
    </w:p>
    <w:p>
      <w:pPr>
        <w:spacing w:line="560" w:lineRule="exact"/>
        <w:ind w:firstLine="482" w:firstLineChars="200"/>
        <w:outlineLvl w:val="0"/>
        <w:rPr>
          <w:rFonts w:ascii="宋体" w:hAnsi="宋体"/>
          <w:b/>
          <w:color w:val="auto"/>
          <w:sz w:val="24"/>
          <w:highlight w:val="none"/>
        </w:rPr>
      </w:pPr>
      <w:bookmarkStart w:id="139" w:name="_Toc28906"/>
      <w:bookmarkStart w:id="140" w:name="_Toc27644"/>
      <w:bookmarkStart w:id="141" w:name="_Toc20808"/>
      <w:bookmarkStart w:id="142" w:name="_Toc5063"/>
      <w:bookmarkStart w:id="143" w:name="_Toc1225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139"/>
      <w:bookmarkEnd w:id="140"/>
      <w:bookmarkEnd w:id="141"/>
      <w:bookmarkEnd w:id="142"/>
      <w:bookmarkEnd w:id="143"/>
    </w:p>
    <w:p>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pPr>
        <w:spacing w:line="560" w:lineRule="exact"/>
        <w:ind w:firstLine="482" w:firstLineChars="200"/>
        <w:outlineLvl w:val="0"/>
        <w:rPr>
          <w:rFonts w:ascii="宋体" w:hAnsi="宋体" w:cs="宋体"/>
          <w:b/>
          <w:color w:val="auto"/>
          <w:sz w:val="24"/>
          <w:highlight w:val="none"/>
        </w:rPr>
      </w:pPr>
      <w:bookmarkStart w:id="144" w:name="_Toc4355"/>
      <w:bookmarkStart w:id="145" w:name="_Toc18540"/>
      <w:bookmarkStart w:id="146" w:name="_Toc30599"/>
      <w:r>
        <w:rPr>
          <w:rFonts w:hint="eastAsia" w:ascii="宋体" w:hAnsi="宋体" w:cs="宋体"/>
          <w:b/>
          <w:color w:val="auto"/>
          <w:sz w:val="24"/>
          <w:highlight w:val="none"/>
        </w:rPr>
        <w:t>2.18 计量单位</w:t>
      </w:r>
      <w:bookmarkEnd w:id="144"/>
      <w:bookmarkEnd w:id="145"/>
      <w:bookmarkEnd w:id="146"/>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147" w:name="_Toc331685784"/>
      <w:r>
        <w:rPr>
          <w:rFonts w:hint="eastAsia" w:ascii="宋体" w:hAnsi="宋体" w:cs="宋体"/>
          <w:b/>
          <w:color w:val="auto"/>
          <w:sz w:val="24"/>
          <w:highlight w:val="none"/>
        </w:rPr>
        <w:t xml:space="preserve"> </w:t>
      </w:r>
      <w:bookmarkEnd w:id="147"/>
      <w:r>
        <w:rPr>
          <w:rFonts w:hint="eastAsia" w:ascii="宋体" w:hAnsi="宋体" w:cs="宋体"/>
          <w:b/>
          <w:color w:val="auto"/>
          <w:sz w:val="24"/>
          <w:highlight w:val="none"/>
        </w:rPr>
        <w:t>第三部分  合同专用条款</w:t>
      </w:r>
    </w:p>
    <w:p>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pPr>
              <w:spacing w:line="360" w:lineRule="auto"/>
              <w:ind w:left="-420" w:leftChars="-200" w:right="-420" w:rightChars="-200" w:firstLine="480" w:firstLineChars="20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pPr>
              <w:spacing w:line="360" w:lineRule="auto"/>
              <w:ind w:left="-420" w:leftChars="-200" w:right="-420" w:rightChars="-200" w:firstLine="480" w:firstLineChars="20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pPr>
              <w:spacing w:line="360" w:lineRule="auto"/>
              <w:rPr>
                <w:rFonts w:ascii="宋体" w:hAnsi="宋体" w:cs="宋体"/>
                <w:color w:val="auto"/>
                <w:sz w:val="24"/>
                <w:highlight w:val="none"/>
              </w:rPr>
            </w:pPr>
          </w:p>
        </w:tc>
      </w:tr>
    </w:tbl>
    <w:p>
      <w:pPr>
        <w:spacing w:line="360" w:lineRule="auto"/>
        <w:ind w:left="-420" w:leftChars="-200" w:right="-420" w:rightChars="-200" w:firstLine="480" w:firstLineChars="200"/>
        <w:rPr>
          <w:rFonts w:ascii="宋体" w:hAnsi="宋体" w:cs="宋体"/>
          <w:color w:val="auto"/>
          <w:sz w:val="24"/>
          <w:highlight w:val="none"/>
        </w:rPr>
      </w:pPr>
    </w:p>
    <w:p>
      <w:pPr>
        <w:spacing w:line="360" w:lineRule="auto"/>
        <w:ind w:left="-420" w:leftChars="-200" w:right="-420" w:rightChars="-200" w:firstLine="480" w:firstLineChars="200"/>
        <w:jc w:val="center"/>
        <w:outlineLvl w:val="0"/>
        <w:rPr>
          <w:rFonts w:ascii="宋体" w:hAnsi="宋体" w:cs="宋体"/>
          <w:color w:val="auto"/>
          <w:sz w:val="24"/>
          <w:highlight w:val="none"/>
        </w:rPr>
      </w:pPr>
    </w:p>
    <w:p>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2"/>
      <w:r>
        <w:rPr>
          <w:rFonts w:hint="eastAsia" w:ascii="宋体" w:hAnsi="宋体" w:cs="宋体"/>
          <w:b/>
          <w:color w:val="auto"/>
          <w:sz w:val="36"/>
          <w:szCs w:val="20"/>
          <w:highlight w:val="none"/>
        </w:rPr>
        <w:t xml:space="preserve"> </w:t>
      </w:r>
      <w:bookmarkEnd w:id="33"/>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4"/>
          <w:highlight w:val="none"/>
        </w:rPr>
      </w:pP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rPr>
          <w:rFonts w:ascii="宋体" w:hAnsi="宋体" w:cs="宋体"/>
          <w:b/>
          <w:color w:val="auto"/>
          <w:kern w:val="0"/>
          <w:sz w:val="32"/>
          <w:szCs w:val="32"/>
          <w:highlight w:val="none"/>
          <w:lang w:val="zh-CN"/>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148" w:name="_Hlk101257010"/>
      <w:r>
        <w:rPr>
          <w:rFonts w:hint="eastAsia" w:ascii="宋体" w:hAnsi="宋体" w:cs="宋体"/>
          <w:color w:val="auto"/>
          <w:sz w:val="24"/>
          <w:highlight w:val="none"/>
        </w:rPr>
        <w:t>（如果有)</w:t>
      </w:r>
      <w:bookmarkEnd w:id="148"/>
      <w:r>
        <w:rPr>
          <w:rFonts w:hint="eastAsia" w:ascii="宋体" w:hAnsi="宋体" w:cs="宋体"/>
          <w:snapToGrid w:val="0"/>
          <w:color w:val="auto"/>
          <w:kern w:val="28"/>
          <w:sz w:val="24"/>
          <w:szCs w:val="20"/>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pStyle w:val="2"/>
        <w:rPr>
          <w:color w:val="auto"/>
          <w:highlight w:val="none"/>
          <w:lang w:val="en-US"/>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9"/>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杭州添越工程咨询有限公司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2127" w:type="dxa"/>
          </w:tcPr>
          <w:p>
            <w:pPr>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149" w:name="OLE_LINK14"/>
      <w:bookmarkStart w:id="150" w:name="OLE_LINK13"/>
      <w:r>
        <w:rPr>
          <w:rFonts w:hint="eastAsia" w:ascii="宋体" w:hAnsi="宋体" w:cs="宋体"/>
          <w:b/>
          <w:color w:val="auto"/>
          <w:spacing w:val="6"/>
          <w:sz w:val="32"/>
          <w:szCs w:val="32"/>
          <w:highlight w:val="none"/>
        </w:rPr>
        <w:t>残疾人福利性单位声明函</w:t>
      </w:r>
    </w:p>
    <w:bookmarkEnd w:id="149"/>
    <w:bookmarkEnd w:id="150"/>
    <w:p>
      <w:pPr>
        <w:spacing w:line="360" w:lineRule="auto"/>
        <w:rPr>
          <w:rFonts w:ascii="宋体" w:hAnsi="宋体" w:cs="宋体"/>
          <w:b/>
          <w:color w:val="auto"/>
          <w:spacing w:val="6"/>
          <w:sz w:val="30"/>
          <w:szCs w:val="30"/>
          <w:highlight w:val="none"/>
        </w:rPr>
      </w:pPr>
    </w:p>
    <w:p>
      <w:pPr>
        <w:adjustRightInd/>
        <w:spacing w:line="360" w:lineRule="auto"/>
        <w:jc w:val="center"/>
        <w:rPr>
          <w:rFonts w:hint="eastAsia" w:ascii="仿宋" w:hAnsi="仿宋" w:eastAsia="仿宋" w:cs="仿宋"/>
          <w:color w:val="auto"/>
          <w:sz w:val="48"/>
          <w:szCs w:val="48"/>
          <w:highlight w:val="none"/>
          <w:lang w:eastAsia="zh-CN"/>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乔司街道老茶馆运营服务采购项目</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_采购活动提供本单位制造的货物（由本单位承担工程/提供服务），或者提供其他残疾人福利性单位制造的货物（不包括使用非残疾人福利性单位注册商标的货物）。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杭州市临平区人民政府乔司街道办事处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杭州添越工程咨询有限公司</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151"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151"/>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152"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152"/>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15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153"/>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pStyle w:val="81"/>
        <w:rPr>
          <w:rFonts w:ascii="宋体" w:hAnsi="宋体" w:cs="宋体"/>
          <w:b/>
          <w:color w:val="auto"/>
          <w:spacing w:val="6"/>
          <w:sz w:val="32"/>
          <w:szCs w:val="32"/>
          <w:highlight w:val="none"/>
        </w:rPr>
      </w:pPr>
    </w:p>
    <w:p>
      <w:pPr>
        <w:pStyle w:val="81"/>
        <w:rPr>
          <w:rFonts w:ascii="宋体" w:hAnsi="宋体" w:cs="宋体"/>
          <w:b/>
          <w:color w:val="auto"/>
          <w:spacing w:val="6"/>
          <w:sz w:val="32"/>
          <w:szCs w:val="32"/>
          <w:highlight w:val="none"/>
        </w:rPr>
      </w:pPr>
    </w:p>
    <w:p>
      <w:pPr>
        <w:pStyle w:val="81"/>
        <w:rPr>
          <w:rFonts w:ascii="宋体" w:hAnsi="宋体" w:cs="宋体"/>
          <w:b/>
          <w:color w:val="auto"/>
          <w:spacing w:val="6"/>
          <w:sz w:val="32"/>
          <w:szCs w:val="32"/>
          <w:highlight w:val="none"/>
        </w:rPr>
      </w:pPr>
    </w:p>
    <w:p>
      <w:pPr>
        <w:pStyle w:val="81"/>
        <w:rPr>
          <w:rFonts w:ascii="宋体" w:hAnsi="宋体" w:cs="宋体"/>
          <w:b/>
          <w:color w:val="auto"/>
          <w:spacing w:val="6"/>
          <w:sz w:val="32"/>
          <w:szCs w:val="32"/>
          <w:highlight w:val="none"/>
        </w:rPr>
      </w:pPr>
    </w:p>
    <w:p>
      <w:pPr>
        <w:widowControl/>
        <w:adjustRightInd/>
        <w:jc w:val="left"/>
        <w:rPr>
          <w:rFonts w:ascii="宋体" w:hAnsi="宋体" w:cs="宋体"/>
          <w:b/>
          <w:color w:val="auto"/>
          <w:spacing w:val="6"/>
          <w:sz w:val="32"/>
          <w:szCs w:val="32"/>
          <w:highlight w:val="none"/>
        </w:rPr>
      </w:pPr>
    </w:p>
    <w:p>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乔司街道老茶馆运营服务采购项目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TYZFCG-2024-002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rPr>
          <w:color w:val="auto"/>
          <w:highlight w:val="none"/>
        </w:rPr>
      </w:pPr>
      <w:r>
        <w:rPr>
          <w:rFonts w:hint="eastAsia"/>
          <w:color w:val="auto"/>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杭州市临平区人民政府乔司街道办事处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lang w:eastAsia="zh-CN"/>
        </w:rPr>
        <w:t>乔司街道老茶馆运营服务采购项目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pPr>
        <w:spacing w:line="360" w:lineRule="auto"/>
        <w:ind w:right="420"/>
        <w:rPr>
          <w:rFonts w:ascii="宋体" w:hAnsi="宋体" w:cs="宋体"/>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rFonts w:ascii="宋体" w:hAnsi="宋体" w:eastAsia="宋体" w:cs="宋体"/>
          <w:color w:val="auto"/>
          <w:highlight w:val="none"/>
          <w:lang w:val="en-US"/>
        </w:rPr>
      </w:pPr>
    </w:p>
    <w:p>
      <w:pPr>
        <w:spacing w:line="360" w:lineRule="auto"/>
        <w:ind w:right="420"/>
        <w:rPr>
          <w:rFonts w:ascii="宋体" w:hAnsi="宋体" w:cs="宋体"/>
          <w:color w:val="auto"/>
          <w:highlight w:val="none"/>
        </w:rPr>
      </w:pPr>
    </w:p>
    <w:p>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
    <w:altName w:val="微软雅黑"/>
    <w:panose1 w:val="00000000000000000000"/>
    <w:charset w:val="00"/>
    <w:family w:val="roma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华文仿宋">
    <w:panose1 w:val="02010600040101010101"/>
    <w:charset w:val="86"/>
    <w:family w:val="auto"/>
    <w:pitch w:val="default"/>
    <w:sig w:usb0="00000287" w:usb1="080F0000" w:usb2="00000000" w:usb3="00000000" w:csb0="0004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54" w:name="_Toc36110187"/>
    <w:bookmarkStart w:id="155" w:name="_Toc131845147"/>
    <w:bookmarkStart w:id="156" w:name="_Toc164085800"/>
    <w:bookmarkStart w:id="157" w:name="_Toc91899912"/>
    <w:r>
      <w:rPr>
        <w:rFonts w:hint="eastAsia" w:ascii="仿宋_GB2312" w:eastAsia="仿宋_GB2312"/>
        <w:kern w:val="0"/>
        <w:szCs w:val="21"/>
      </w:rPr>
      <w:t xml:space="preserve"> 页</w:t>
    </w:r>
    <w:bookmarkEnd w:id="154"/>
    <w:bookmarkEnd w:id="155"/>
    <w:bookmarkEnd w:id="156"/>
    <w:bookmarkEnd w:id="15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2E979"/>
    <w:multiLevelType w:val="singleLevel"/>
    <w:tmpl w:val="9B62E979"/>
    <w:lvl w:ilvl="0" w:tentative="0">
      <w:start w:val="7"/>
      <w:numFmt w:val="decimal"/>
      <w:suff w:val="nothing"/>
      <w:lvlText w:val="（%1）"/>
      <w:lvlJc w:val="left"/>
    </w:lvl>
  </w:abstractNum>
  <w:abstractNum w:abstractNumId="1">
    <w:nsid w:val="0D536443"/>
    <w:multiLevelType w:val="singleLevel"/>
    <w:tmpl w:val="0D536443"/>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wZDAxZDRiNDFlNzhiNTMzYmMyZGQ5OGUxZGUwZW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6D2"/>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786"/>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42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C0502"/>
    <w:rsid w:val="011F6449"/>
    <w:rsid w:val="01236AFB"/>
    <w:rsid w:val="019F7441"/>
    <w:rsid w:val="01B37585"/>
    <w:rsid w:val="01D55165"/>
    <w:rsid w:val="01DF6BF8"/>
    <w:rsid w:val="01EC2C57"/>
    <w:rsid w:val="023E38D3"/>
    <w:rsid w:val="025D214D"/>
    <w:rsid w:val="025F0711"/>
    <w:rsid w:val="025F0B06"/>
    <w:rsid w:val="026B2E25"/>
    <w:rsid w:val="02824D4D"/>
    <w:rsid w:val="02A926DE"/>
    <w:rsid w:val="02DC4B10"/>
    <w:rsid w:val="02DD76CE"/>
    <w:rsid w:val="02E806FA"/>
    <w:rsid w:val="02F36323"/>
    <w:rsid w:val="02F5619C"/>
    <w:rsid w:val="0326446A"/>
    <w:rsid w:val="032D5555"/>
    <w:rsid w:val="033169AF"/>
    <w:rsid w:val="036634D2"/>
    <w:rsid w:val="0398212A"/>
    <w:rsid w:val="03DD35E4"/>
    <w:rsid w:val="04076900"/>
    <w:rsid w:val="041453FF"/>
    <w:rsid w:val="041A5A3B"/>
    <w:rsid w:val="042311BA"/>
    <w:rsid w:val="042B157A"/>
    <w:rsid w:val="048F763B"/>
    <w:rsid w:val="049F330E"/>
    <w:rsid w:val="04AA775C"/>
    <w:rsid w:val="04AF1889"/>
    <w:rsid w:val="04F66F48"/>
    <w:rsid w:val="05251E14"/>
    <w:rsid w:val="053D7D2A"/>
    <w:rsid w:val="055A7363"/>
    <w:rsid w:val="05A16594"/>
    <w:rsid w:val="05A7762D"/>
    <w:rsid w:val="05E96753"/>
    <w:rsid w:val="060E5941"/>
    <w:rsid w:val="060F45F1"/>
    <w:rsid w:val="06110FAF"/>
    <w:rsid w:val="06493CA7"/>
    <w:rsid w:val="065A6178"/>
    <w:rsid w:val="066F1CF3"/>
    <w:rsid w:val="06930BB8"/>
    <w:rsid w:val="070677A2"/>
    <w:rsid w:val="07245D42"/>
    <w:rsid w:val="07264C62"/>
    <w:rsid w:val="0779354C"/>
    <w:rsid w:val="078F7797"/>
    <w:rsid w:val="07EC1847"/>
    <w:rsid w:val="08061376"/>
    <w:rsid w:val="080D4B60"/>
    <w:rsid w:val="082F2519"/>
    <w:rsid w:val="08452D77"/>
    <w:rsid w:val="086401F8"/>
    <w:rsid w:val="08751CAA"/>
    <w:rsid w:val="087E4C40"/>
    <w:rsid w:val="08894E5C"/>
    <w:rsid w:val="08A871D0"/>
    <w:rsid w:val="08AA4C4F"/>
    <w:rsid w:val="08B550AD"/>
    <w:rsid w:val="08C715D5"/>
    <w:rsid w:val="08D66AD6"/>
    <w:rsid w:val="08DA33A3"/>
    <w:rsid w:val="08E80F13"/>
    <w:rsid w:val="09335624"/>
    <w:rsid w:val="093B4B56"/>
    <w:rsid w:val="0944690F"/>
    <w:rsid w:val="09535675"/>
    <w:rsid w:val="095F057D"/>
    <w:rsid w:val="09642282"/>
    <w:rsid w:val="09733572"/>
    <w:rsid w:val="09772C16"/>
    <w:rsid w:val="098353B5"/>
    <w:rsid w:val="09A92330"/>
    <w:rsid w:val="09B06B87"/>
    <w:rsid w:val="09C13146"/>
    <w:rsid w:val="09E04166"/>
    <w:rsid w:val="09FE743C"/>
    <w:rsid w:val="0A1C0718"/>
    <w:rsid w:val="0A3E7710"/>
    <w:rsid w:val="0A464179"/>
    <w:rsid w:val="0A5B7E63"/>
    <w:rsid w:val="0A8D0153"/>
    <w:rsid w:val="0AA374A5"/>
    <w:rsid w:val="0AAB7649"/>
    <w:rsid w:val="0ABC5606"/>
    <w:rsid w:val="0B17653B"/>
    <w:rsid w:val="0B1870DA"/>
    <w:rsid w:val="0B30404E"/>
    <w:rsid w:val="0B4C6C14"/>
    <w:rsid w:val="0B547599"/>
    <w:rsid w:val="0B631A88"/>
    <w:rsid w:val="0B683D45"/>
    <w:rsid w:val="0B7F3F11"/>
    <w:rsid w:val="0B7F6AFD"/>
    <w:rsid w:val="0B884417"/>
    <w:rsid w:val="0B985F4A"/>
    <w:rsid w:val="0BD84435"/>
    <w:rsid w:val="0BE2331A"/>
    <w:rsid w:val="0BE800E8"/>
    <w:rsid w:val="0BF6188C"/>
    <w:rsid w:val="0BF73C91"/>
    <w:rsid w:val="0C170175"/>
    <w:rsid w:val="0C3E71D6"/>
    <w:rsid w:val="0C450EBA"/>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B8556E"/>
    <w:rsid w:val="0DD63300"/>
    <w:rsid w:val="0DF50604"/>
    <w:rsid w:val="0DF702FE"/>
    <w:rsid w:val="0E060E51"/>
    <w:rsid w:val="0E5604B2"/>
    <w:rsid w:val="0E5B6625"/>
    <w:rsid w:val="0E6D5D79"/>
    <w:rsid w:val="0E9C4E0F"/>
    <w:rsid w:val="0E9D0089"/>
    <w:rsid w:val="0EB803EE"/>
    <w:rsid w:val="0EEE4082"/>
    <w:rsid w:val="0EF94D4B"/>
    <w:rsid w:val="0F0D3A9F"/>
    <w:rsid w:val="0F1D3938"/>
    <w:rsid w:val="0F4958DC"/>
    <w:rsid w:val="0F515DF7"/>
    <w:rsid w:val="0F596BA8"/>
    <w:rsid w:val="0F6248D2"/>
    <w:rsid w:val="0F693536"/>
    <w:rsid w:val="0F73799F"/>
    <w:rsid w:val="0F7B0511"/>
    <w:rsid w:val="0F7B76D9"/>
    <w:rsid w:val="0F816ACD"/>
    <w:rsid w:val="0F8F6C6C"/>
    <w:rsid w:val="0F9832DB"/>
    <w:rsid w:val="0F9A13C6"/>
    <w:rsid w:val="0FBF3FD2"/>
    <w:rsid w:val="0FBF7FF3"/>
    <w:rsid w:val="105B5D99"/>
    <w:rsid w:val="10646583"/>
    <w:rsid w:val="1077725F"/>
    <w:rsid w:val="107D4B15"/>
    <w:rsid w:val="108A3C80"/>
    <w:rsid w:val="10A65097"/>
    <w:rsid w:val="10A6525C"/>
    <w:rsid w:val="10C26171"/>
    <w:rsid w:val="10F14A8A"/>
    <w:rsid w:val="10F33360"/>
    <w:rsid w:val="10FC16EA"/>
    <w:rsid w:val="110F1D40"/>
    <w:rsid w:val="11230F0A"/>
    <w:rsid w:val="11266F33"/>
    <w:rsid w:val="116C28F7"/>
    <w:rsid w:val="118963A1"/>
    <w:rsid w:val="11C6522A"/>
    <w:rsid w:val="11E104CC"/>
    <w:rsid w:val="11E20309"/>
    <w:rsid w:val="121A6C16"/>
    <w:rsid w:val="12255233"/>
    <w:rsid w:val="12530213"/>
    <w:rsid w:val="125E0D24"/>
    <w:rsid w:val="127723A9"/>
    <w:rsid w:val="12862074"/>
    <w:rsid w:val="12883966"/>
    <w:rsid w:val="128A6082"/>
    <w:rsid w:val="129E45B4"/>
    <w:rsid w:val="12D81596"/>
    <w:rsid w:val="12E27085"/>
    <w:rsid w:val="13072A44"/>
    <w:rsid w:val="131342D8"/>
    <w:rsid w:val="13167EFC"/>
    <w:rsid w:val="13503262"/>
    <w:rsid w:val="135F4BE2"/>
    <w:rsid w:val="138B678C"/>
    <w:rsid w:val="139B1A0A"/>
    <w:rsid w:val="139D25C7"/>
    <w:rsid w:val="13B50586"/>
    <w:rsid w:val="13BF3CE4"/>
    <w:rsid w:val="140E16F7"/>
    <w:rsid w:val="141008D8"/>
    <w:rsid w:val="14125FE6"/>
    <w:rsid w:val="146D271E"/>
    <w:rsid w:val="14982588"/>
    <w:rsid w:val="149A5AD9"/>
    <w:rsid w:val="14A7619D"/>
    <w:rsid w:val="150536C3"/>
    <w:rsid w:val="150C1963"/>
    <w:rsid w:val="151447A0"/>
    <w:rsid w:val="15233C15"/>
    <w:rsid w:val="154A6454"/>
    <w:rsid w:val="15701C1F"/>
    <w:rsid w:val="15762120"/>
    <w:rsid w:val="15D26A7D"/>
    <w:rsid w:val="15E1607E"/>
    <w:rsid w:val="162C25ED"/>
    <w:rsid w:val="16A8729C"/>
    <w:rsid w:val="16B33777"/>
    <w:rsid w:val="16BC70A7"/>
    <w:rsid w:val="16C6339E"/>
    <w:rsid w:val="172F2D79"/>
    <w:rsid w:val="17557BEF"/>
    <w:rsid w:val="17A740BC"/>
    <w:rsid w:val="17CF19E0"/>
    <w:rsid w:val="17D349C1"/>
    <w:rsid w:val="17EE4066"/>
    <w:rsid w:val="180D79FC"/>
    <w:rsid w:val="1830729E"/>
    <w:rsid w:val="18356139"/>
    <w:rsid w:val="1870062C"/>
    <w:rsid w:val="18817102"/>
    <w:rsid w:val="18830A15"/>
    <w:rsid w:val="18852B28"/>
    <w:rsid w:val="188B5321"/>
    <w:rsid w:val="18A4639B"/>
    <w:rsid w:val="18B83855"/>
    <w:rsid w:val="18C43019"/>
    <w:rsid w:val="19932372"/>
    <w:rsid w:val="19A20DD5"/>
    <w:rsid w:val="19AE03F1"/>
    <w:rsid w:val="19B25567"/>
    <w:rsid w:val="1A071A03"/>
    <w:rsid w:val="1A0B7DFB"/>
    <w:rsid w:val="1A1F16AE"/>
    <w:rsid w:val="1A3B5C77"/>
    <w:rsid w:val="1A3C38EA"/>
    <w:rsid w:val="1A3E6689"/>
    <w:rsid w:val="1A545A6F"/>
    <w:rsid w:val="1A626F8D"/>
    <w:rsid w:val="1A984BAD"/>
    <w:rsid w:val="1AB8220E"/>
    <w:rsid w:val="1AC873E2"/>
    <w:rsid w:val="1AC90DBB"/>
    <w:rsid w:val="1AE4166C"/>
    <w:rsid w:val="1AF06CFB"/>
    <w:rsid w:val="1AF11B8D"/>
    <w:rsid w:val="1B11359C"/>
    <w:rsid w:val="1B124510"/>
    <w:rsid w:val="1B2A271F"/>
    <w:rsid w:val="1B530544"/>
    <w:rsid w:val="1B713184"/>
    <w:rsid w:val="1B8A0CEC"/>
    <w:rsid w:val="1BA209CF"/>
    <w:rsid w:val="1BB4777D"/>
    <w:rsid w:val="1BB60F3D"/>
    <w:rsid w:val="1BD75AB8"/>
    <w:rsid w:val="1C0459C2"/>
    <w:rsid w:val="1C0B7651"/>
    <w:rsid w:val="1C1B3B4A"/>
    <w:rsid w:val="1C243C3B"/>
    <w:rsid w:val="1C88086E"/>
    <w:rsid w:val="1C8B617A"/>
    <w:rsid w:val="1CE92519"/>
    <w:rsid w:val="1D266CE1"/>
    <w:rsid w:val="1D3963AF"/>
    <w:rsid w:val="1D632E00"/>
    <w:rsid w:val="1D6A673C"/>
    <w:rsid w:val="1D9247AE"/>
    <w:rsid w:val="1D950392"/>
    <w:rsid w:val="1DA767F2"/>
    <w:rsid w:val="1DB567EC"/>
    <w:rsid w:val="1DDB5112"/>
    <w:rsid w:val="1DF51A98"/>
    <w:rsid w:val="1E1A3944"/>
    <w:rsid w:val="1E1B192D"/>
    <w:rsid w:val="1E3D060F"/>
    <w:rsid w:val="1E3F7D2E"/>
    <w:rsid w:val="1E4134E4"/>
    <w:rsid w:val="1E5062B3"/>
    <w:rsid w:val="1E523514"/>
    <w:rsid w:val="1E714A66"/>
    <w:rsid w:val="1E802593"/>
    <w:rsid w:val="1E8B6156"/>
    <w:rsid w:val="1EA703CC"/>
    <w:rsid w:val="1EB7330C"/>
    <w:rsid w:val="1EBA18EB"/>
    <w:rsid w:val="1EDC4173"/>
    <w:rsid w:val="1F0A0FF3"/>
    <w:rsid w:val="1F5771FF"/>
    <w:rsid w:val="1FD52DD5"/>
    <w:rsid w:val="1FE868A9"/>
    <w:rsid w:val="20034907"/>
    <w:rsid w:val="20173E4B"/>
    <w:rsid w:val="204E48BC"/>
    <w:rsid w:val="20734428"/>
    <w:rsid w:val="20790B8D"/>
    <w:rsid w:val="2086236C"/>
    <w:rsid w:val="208921B3"/>
    <w:rsid w:val="20973DEB"/>
    <w:rsid w:val="20B26522"/>
    <w:rsid w:val="20B44310"/>
    <w:rsid w:val="211116EB"/>
    <w:rsid w:val="216133FC"/>
    <w:rsid w:val="218617B3"/>
    <w:rsid w:val="21A4660B"/>
    <w:rsid w:val="21D173FB"/>
    <w:rsid w:val="21D56769"/>
    <w:rsid w:val="21DE6B79"/>
    <w:rsid w:val="21E52EF3"/>
    <w:rsid w:val="21F94D1F"/>
    <w:rsid w:val="21FB5D7B"/>
    <w:rsid w:val="22015E94"/>
    <w:rsid w:val="220B1C3D"/>
    <w:rsid w:val="221D1D20"/>
    <w:rsid w:val="222334A6"/>
    <w:rsid w:val="22334A87"/>
    <w:rsid w:val="22441313"/>
    <w:rsid w:val="22BE6801"/>
    <w:rsid w:val="22EA5B1F"/>
    <w:rsid w:val="233500BF"/>
    <w:rsid w:val="23377FF7"/>
    <w:rsid w:val="236B425F"/>
    <w:rsid w:val="23836192"/>
    <w:rsid w:val="23901F29"/>
    <w:rsid w:val="239C0061"/>
    <w:rsid w:val="23B908A4"/>
    <w:rsid w:val="23E95BEF"/>
    <w:rsid w:val="23FD0064"/>
    <w:rsid w:val="240F7AAA"/>
    <w:rsid w:val="245375B0"/>
    <w:rsid w:val="24642C0A"/>
    <w:rsid w:val="24B22173"/>
    <w:rsid w:val="24B95AD9"/>
    <w:rsid w:val="24BE24DA"/>
    <w:rsid w:val="24CF5825"/>
    <w:rsid w:val="24D663E6"/>
    <w:rsid w:val="24D77F2B"/>
    <w:rsid w:val="24D80F38"/>
    <w:rsid w:val="251F57E3"/>
    <w:rsid w:val="2555114C"/>
    <w:rsid w:val="2566235C"/>
    <w:rsid w:val="258B00E2"/>
    <w:rsid w:val="25900E53"/>
    <w:rsid w:val="25A917A6"/>
    <w:rsid w:val="25BE27CC"/>
    <w:rsid w:val="25C24D84"/>
    <w:rsid w:val="25DC0BEB"/>
    <w:rsid w:val="25E0427B"/>
    <w:rsid w:val="25E70E85"/>
    <w:rsid w:val="25F74A5C"/>
    <w:rsid w:val="260C2380"/>
    <w:rsid w:val="2628662C"/>
    <w:rsid w:val="262D45DE"/>
    <w:rsid w:val="26871DC8"/>
    <w:rsid w:val="268F2EB8"/>
    <w:rsid w:val="26A53EF9"/>
    <w:rsid w:val="26A56376"/>
    <w:rsid w:val="26A94201"/>
    <w:rsid w:val="26AC274F"/>
    <w:rsid w:val="26F3580F"/>
    <w:rsid w:val="27044A29"/>
    <w:rsid w:val="271B2E26"/>
    <w:rsid w:val="271D34C8"/>
    <w:rsid w:val="27432DFA"/>
    <w:rsid w:val="276142BF"/>
    <w:rsid w:val="27783712"/>
    <w:rsid w:val="277B168E"/>
    <w:rsid w:val="27907362"/>
    <w:rsid w:val="27A50D40"/>
    <w:rsid w:val="27AE55C0"/>
    <w:rsid w:val="27D112AE"/>
    <w:rsid w:val="280575BD"/>
    <w:rsid w:val="281A651F"/>
    <w:rsid w:val="28333E1D"/>
    <w:rsid w:val="28454BD6"/>
    <w:rsid w:val="28455253"/>
    <w:rsid w:val="28551971"/>
    <w:rsid w:val="2856732D"/>
    <w:rsid w:val="285B1C53"/>
    <w:rsid w:val="289F7086"/>
    <w:rsid w:val="28AA0E85"/>
    <w:rsid w:val="28C32028"/>
    <w:rsid w:val="28CC490F"/>
    <w:rsid w:val="28D444FF"/>
    <w:rsid w:val="28DE40AA"/>
    <w:rsid w:val="29345E77"/>
    <w:rsid w:val="294C65AD"/>
    <w:rsid w:val="29695641"/>
    <w:rsid w:val="29707CED"/>
    <w:rsid w:val="29806583"/>
    <w:rsid w:val="298B3C4C"/>
    <w:rsid w:val="29A43B61"/>
    <w:rsid w:val="29DB1BF4"/>
    <w:rsid w:val="29F26D24"/>
    <w:rsid w:val="2A15033F"/>
    <w:rsid w:val="2A1662C1"/>
    <w:rsid w:val="2A1C7367"/>
    <w:rsid w:val="2A2815FA"/>
    <w:rsid w:val="2A353B5D"/>
    <w:rsid w:val="2A43165A"/>
    <w:rsid w:val="2A4D7312"/>
    <w:rsid w:val="2A6D6092"/>
    <w:rsid w:val="2A7D76B4"/>
    <w:rsid w:val="2AB95178"/>
    <w:rsid w:val="2B2A7FEE"/>
    <w:rsid w:val="2B437463"/>
    <w:rsid w:val="2B496A2D"/>
    <w:rsid w:val="2B4E2E20"/>
    <w:rsid w:val="2B607CC3"/>
    <w:rsid w:val="2B7807EE"/>
    <w:rsid w:val="2B91392E"/>
    <w:rsid w:val="2BA50BF7"/>
    <w:rsid w:val="2BB4516F"/>
    <w:rsid w:val="2BBF00EC"/>
    <w:rsid w:val="2BC37CFD"/>
    <w:rsid w:val="2BD5237F"/>
    <w:rsid w:val="2BE536CE"/>
    <w:rsid w:val="2BE758D9"/>
    <w:rsid w:val="2C09049E"/>
    <w:rsid w:val="2C0A653C"/>
    <w:rsid w:val="2C191F85"/>
    <w:rsid w:val="2CE82D6F"/>
    <w:rsid w:val="2D124F5C"/>
    <w:rsid w:val="2D343236"/>
    <w:rsid w:val="2DBA29F7"/>
    <w:rsid w:val="2DD15014"/>
    <w:rsid w:val="2DF72DE4"/>
    <w:rsid w:val="2E0220AF"/>
    <w:rsid w:val="2E2C7C8A"/>
    <w:rsid w:val="2E4B082A"/>
    <w:rsid w:val="2E5977D4"/>
    <w:rsid w:val="2E5D4E86"/>
    <w:rsid w:val="2E5D790B"/>
    <w:rsid w:val="2E9A3C18"/>
    <w:rsid w:val="2EBB0FEE"/>
    <w:rsid w:val="2EBF07E2"/>
    <w:rsid w:val="2EC63002"/>
    <w:rsid w:val="2EFA20F8"/>
    <w:rsid w:val="2F0361F1"/>
    <w:rsid w:val="2F0A6B38"/>
    <w:rsid w:val="2F946CCB"/>
    <w:rsid w:val="2FD25781"/>
    <w:rsid w:val="2FDC745C"/>
    <w:rsid w:val="2FFD7934"/>
    <w:rsid w:val="30733ACD"/>
    <w:rsid w:val="308C3862"/>
    <w:rsid w:val="309379D8"/>
    <w:rsid w:val="30A270F7"/>
    <w:rsid w:val="30BA4FD6"/>
    <w:rsid w:val="30BE7E25"/>
    <w:rsid w:val="30CB0F91"/>
    <w:rsid w:val="30DF1478"/>
    <w:rsid w:val="30EC586F"/>
    <w:rsid w:val="314550B7"/>
    <w:rsid w:val="319C6071"/>
    <w:rsid w:val="31AC537E"/>
    <w:rsid w:val="31DC56CD"/>
    <w:rsid w:val="31E3679B"/>
    <w:rsid w:val="31E732FD"/>
    <w:rsid w:val="31F476C7"/>
    <w:rsid w:val="32517576"/>
    <w:rsid w:val="32632F2A"/>
    <w:rsid w:val="32680C32"/>
    <w:rsid w:val="32BD2D68"/>
    <w:rsid w:val="32BE5C2C"/>
    <w:rsid w:val="32FB6478"/>
    <w:rsid w:val="32FC4313"/>
    <w:rsid w:val="33242BDA"/>
    <w:rsid w:val="3324631F"/>
    <w:rsid w:val="33263B3F"/>
    <w:rsid w:val="3338549E"/>
    <w:rsid w:val="334222D0"/>
    <w:rsid w:val="33492641"/>
    <w:rsid w:val="336963EB"/>
    <w:rsid w:val="336C3DBF"/>
    <w:rsid w:val="33816EEB"/>
    <w:rsid w:val="33EB55CD"/>
    <w:rsid w:val="33EC4C02"/>
    <w:rsid w:val="340D2360"/>
    <w:rsid w:val="3410665D"/>
    <w:rsid w:val="34211214"/>
    <w:rsid w:val="34265515"/>
    <w:rsid w:val="342E63AB"/>
    <w:rsid w:val="3432445E"/>
    <w:rsid w:val="344A041F"/>
    <w:rsid w:val="344C23E9"/>
    <w:rsid w:val="348953EB"/>
    <w:rsid w:val="34950E68"/>
    <w:rsid w:val="34986E94"/>
    <w:rsid w:val="34AF62C9"/>
    <w:rsid w:val="34CB4388"/>
    <w:rsid w:val="34FA6E12"/>
    <w:rsid w:val="35402377"/>
    <w:rsid w:val="354D7158"/>
    <w:rsid w:val="356B5DB2"/>
    <w:rsid w:val="358D5588"/>
    <w:rsid w:val="35D72186"/>
    <w:rsid w:val="35F745D6"/>
    <w:rsid w:val="35FC7E3E"/>
    <w:rsid w:val="35FD0B45"/>
    <w:rsid w:val="36117F76"/>
    <w:rsid w:val="363A3B40"/>
    <w:rsid w:val="365302AE"/>
    <w:rsid w:val="36607A0A"/>
    <w:rsid w:val="366E227C"/>
    <w:rsid w:val="366E25F0"/>
    <w:rsid w:val="366F2E0D"/>
    <w:rsid w:val="3677081B"/>
    <w:rsid w:val="367B6A5C"/>
    <w:rsid w:val="36A74ADA"/>
    <w:rsid w:val="36AD60D5"/>
    <w:rsid w:val="36B224F9"/>
    <w:rsid w:val="36BC35D8"/>
    <w:rsid w:val="36EC0CC9"/>
    <w:rsid w:val="37226B12"/>
    <w:rsid w:val="373F410B"/>
    <w:rsid w:val="373F6442"/>
    <w:rsid w:val="375F35B5"/>
    <w:rsid w:val="377C4E8D"/>
    <w:rsid w:val="37BA5FE5"/>
    <w:rsid w:val="37BD115D"/>
    <w:rsid w:val="37C56B6C"/>
    <w:rsid w:val="37E717C0"/>
    <w:rsid w:val="37EE7094"/>
    <w:rsid w:val="38296C89"/>
    <w:rsid w:val="383002EB"/>
    <w:rsid w:val="383E744B"/>
    <w:rsid w:val="38586797"/>
    <w:rsid w:val="38BC0149"/>
    <w:rsid w:val="38C904AC"/>
    <w:rsid w:val="38D87D1C"/>
    <w:rsid w:val="38E71F40"/>
    <w:rsid w:val="39636459"/>
    <w:rsid w:val="396B7F6C"/>
    <w:rsid w:val="396F26D5"/>
    <w:rsid w:val="39B417A9"/>
    <w:rsid w:val="39E8760E"/>
    <w:rsid w:val="39FC5695"/>
    <w:rsid w:val="3A006D8E"/>
    <w:rsid w:val="3A3651E5"/>
    <w:rsid w:val="3A744481"/>
    <w:rsid w:val="3A783242"/>
    <w:rsid w:val="3A8C7BEF"/>
    <w:rsid w:val="3A906246"/>
    <w:rsid w:val="3A9479A4"/>
    <w:rsid w:val="3AB37B16"/>
    <w:rsid w:val="3AB704E3"/>
    <w:rsid w:val="3B2349B7"/>
    <w:rsid w:val="3B29323F"/>
    <w:rsid w:val="3B616CFF"/>
    <w:rsid w:val="3B6259F6"/>
    <w:rsid w:val="3B976654"/>
    <w:rsid w:val="3BC01EFC"/>
    <w:rsid w:val="3BCA786A"/>
    <w:rsid w:val="3BD31E2F"/>
    <w:rsid w:val="3BD322AF"/>
    <w:rsid w:val="3BD86C58"/>
    <w:rsid w:val="3BF07939"/>
    <w:rsid w:val="3BF15831"/>
    <w:rsid w:val="3C105946"/>
    <w:rsid w:val="3C471448"/>
    <w:rsid w:val="3C5F759A"/>
    <w:rsid w:val="3C6C525A"/>
    <w:rsid w:val="3CC0115D"/>
    <w:rsid w:val="3CCE23CB"/>
    <w:rsid w:val="3CD17D17"/>
    <w:rsid w:val="3CF87E5E"/>
    <w:rsid w:val="3CFF2D92"/>
    <w:rsid w:val="3D3C7F39"/>
    <w:rsid w:val="3D440F09"/>
    <w:rsid w:val="3D4504A0"/>
    <w:rsid w:val="3D8734BB"/>
    <w:rsid w:val="3D9A11D4"/>
    <w:rsid w:val="3DA16D89"/>
    <w:rsid w:val="3DA364BE"/>
    <w:rsid w:val="3DD421AB"/>
    <w:rsid w:val="3DE041CB"/>
    <w:rsid w:val="3E0D48F6"/>
    <w:rsid w:val="3E1868B4"/>
    <w:rsid w:val="3E377251"/>
    <w:rsid w:val="3E42664B"/>
    <w:rsid w:val="3E5A7334"/>
    <w:rsid w:val="3E602FB4"/>
    <w:rsid w:val="3E7B5D6B"/>
    <w:rsid w:val="3E832EAB"/>
    <w:rsid w:val="3E843E66"/>
    <w:rsid w:val="3E8F51FE"/>
    <w:rsid w:val="3E926F87"/>
    <w:rsid w:val="3E9A59DE"/>
    <w:rsid w:val="3EAF4836"/>
    <w:rsid w:val="3EB92D70"/>
    <w:rsid w:val="3EC33DFA"/>
    <w:rsid w:val="3F060E16"/>
    <w:rsid w:val="3F1D1096"/>
    <w:rsid w:val="3F2F0234"/>
    <w:rsid w:val="3F6363FE"/>
    <w:rsid w:val="3F756B8F"/>
    <w:rsid w:val="3F95482B"/>
    <w:rsid w:val="3FC27B53"/>
    <w:rsid w:val="401445A3"/>
    <w:rsid w:val="4019356B"/>
    <w:rsid w:val="404B49C3"/>
    <w:rsid w:val="404D3A7D"/>
    <w:rsid w:val="40592157"/>
    <w:rsid w:val="406E1CAE"/>
    <w:rsid w:val="409D5390"/>
    <w:rsid w:val="409E0DFA"/>
    <w:rsid w:val="40A0133A"/>
    <w:rsid w:val="40B52091"/>
    <w:rsid w:val="40C31A53"/>
    <w:rsid w:val="40D94CFF"/>
    <w:rsid w:val="40FF545D"/>
    <w:rsid w:val="410067C8"/>
    <w:rsid w:val="415B3C6B"/>
    <w:rsid w:val="416C126A"/>
    <w:rsid w:val="418F0D2A"/>
    <w:rsid w:val="41D01505"/>
    <w:rsid w:val="421B789E"/>
    <w:rsid w:val="42245B7B"/>
    <w:rsid w:val="423229B8"/>
    <w:rsid w:val="42474939"/>
    <w:rsid w:val="424C3C57"/>
    <w:rsid w:val="42613FF3"/>
    <w:rsid w:val="42660D96"/>
    <w:rsid w:val="428667D2"/>
    <w:rsid w:val="428F724E"/>
    <w:rsid w:val="42B23D5F"/>
    <w:rsid w:val="42CD1CE0"/>
    <w:rsid w:val="42E1381E"/>
    <w:rsid w:val="42ED6459"/>
    <w:rsid w:val="42FE58DD"/>
    <w:rsid w:val="43174B3D"/>
    <w:rsid w:val="434B790E"/>
    <w:rsid w:val="43562468"/>
    <w:rsid w:val="435C4B95"/>
    <w:rsid w:val="4360274F"/>
    <w:rsid w:val="43977AB6"/>
    <w:rsid w:val="43A3342B"/>
    <w:rsid w:val="43C77C27"/>
    <w:rsid w:val="43DE09EE"/>
    <w:rsid w:val="44002FAD"/>
    <w:rsid w:val="441433BD"/>
    <w:rsid w:val="449101DD"/>
    <w:rsid w:val="44AE681A"/>
    <w:rsid w:val="44B85F15"/>
    <w:rsid w:val="44D14101"/>
    <w:rsid w:val="44DD1FD6"/>
    <w:rsid w:val="44DE1391"/>
    <w:rsid w:val="451B225C"/>
    <w:rsid w:val="452410C9"/>
    <w:rsid w:val="4525645E"/>
    <w:rsid w:val="45317DFB"/>
    <w:rsid w:val="454071C4"/>
    <w:rsid w:val="45537DEC"/>
    <w:rsid w:val="456D3CE4"/>
    <w:rsid w:val="4579042C"/>
    <w:rsid w:val="457F0571"/>
    <w:rsid w:val="45851176"/>
    <w:rsid w:val="45C63B94"/>
    <w:rsid w:val="460E7DA5"/>
    <w:rsid w:val="46422483"/>
    <w:rsid w:val="4646138E"/>
    <w:rsid w:val="4659254A"/>
    <w:rsid w:val="46592743"/>
    <w:rsid w:val="465B0637"/>
    <w:rsid w:val="465E3F0D"/>
    <w:rsid w:val="466A16E6"/>
    <w:rsid w:val="46893F2B"/>
    <w:rsid w:val="4691453A"/>
    <w:rsid w:val="46A03D3A"/>
    <w:rsid w:val="46C4686E"/>
    <w:rsid w:val="46FB41EF"/>
    <w:rsid w:val="47331014"/>
    <w:rsid w:val="47356D0C"/>
    <w:rsid w:val="47566984"/>
    <w:rsid w:val="4764581D"/>
    <w:rsid w:val="477B778F"/>
    <w:rsid w:val="478203EC"/>
    <w:rsid w:val="47B025FA"/>
    <w:rsid w:val="47F2527B"/>
    <w:rsid w:val="4809698F"/>
    <w:rsid w:val="4811697D"/>
    <w:rsid w:val="48256D81"/>
    <w:rsid w:val="487A3E25"/>
    <w:rsid w:val="488B5503"/>
    <w:rsid w:val="489058A9"/>
    <w:rsid w:val="48937E21"/>
    <w:rsid w:val="489A0361"/>
    <w:rsid w:val="48B94FF3"/>
    <w:rsid w:val="48E37AAB"/>
    <w:rsid w:val="48F6483C"/>
    <w:rsid w:val="48FD4B4C"/>
    <w:rsid w:val="490A68E0"/>
    <w:rsid w:val="491055FE"/>
    <w:rsid w:val="495F5B3E"/>
    <w:rsid w:val="496F77D7"/>
    <w:rsid w:val="497654FD"/>
    <w:rsid w:val="49902920"/>
    <w:rsid w:val="49AD3E6A"/>
    <w:rsid w:val="49B64211"/>
    <w:rsid w:val="49E56AF9"/>
    <w:rsid w:val="49EC4632"/>
    <w:rsid w:val="49F04FA9"/>
    <w:rsid w:val="49F6167F"/>
    <w:rsid w:val="4A064FA0"/>
    <w:rsid w:val="4A16615C"/>
    <w:rsid w:val="4A4424D7"/>
    <w:rsid w:val="4A463AC2"/>
    <w:rsid w:val="4A6532F8"/>
    <w:rsid w:val="4A7E52E5"/>
    <w:rsid w:val="4A9804CE"/>
    <w:rsid w:val="4AB82D0F"/>
    <w:rsid w:val="4AEB7664"/>
    <w:rsid w:val="4AFC059F"/>
    <w:rsid w:val="4AFD7C19"/>
    <w:rsid w:val="4B0567D1"/>
    <w:rsid w:val="4B236AAE"/>
    <w:rsid w:val="4B707271"/>
    <w:rsid w:val="4B9739F7"/>
    <w:rsid w:val="4BB52448"/>
    <w:rsid w:val="4BE909E0"/>
    <w:rsid w:val="4BEE2503"/>
    <w:rsid w:val="4C19550A"/>
    <w:rsid w:val="4C201254"/>
    <w:rsid w:val="4C245A30"/>
    <w:rsid w:val="4CB6685F"/>
    <w:rsid w:val="4CB701C3"/>
    <w:rsid w:val="4CB704BD"/>
    <w:rsid w:val="4CC367FE"/>
    <w:rsid w:val="4CED014A"/>
    <w:rsid w:val="4CFA6A2E"/>
    <w:rsid w:val="4D077F3C"/>
    <w:rsid w:val="4D094A71"/>
    <w:rsid w:val="4D123355"/>
    <w:rsid w:val="4D2A3B31"/>
    <w:rsid w:val="4D312C52"/>
    <w:rsid w:val="4D5003BF"/>
    <w:rsid w:val="4D8D56B2"/>
    <w:rsid w:val="4D905305"/>
    <w:rsid w:val="4D964A72"/>
    <w:rsid w:val="4D9C1254"/>
    <w:rsid w:val="4D9C5D37"/>
    <w:rsid w:val="4DB30357"/>
    <w:rsid w:val="4DC4528E"/>
    <w:rsid w:val="4E086F29"/>
    <w:rsid w:val="4E127DA7"/>
    <w:rsid w:val="4E793892"/>
    <w:rsid w:val="4E800872"/>
    <w:rsid w:val="4E8C1402"/>
    <w:rsid w:val="4E9823FF"/>
    <w:rsid w:val="4E992277"/>
    <w:rsid w:val="4EBC339C"/>
    <w:rsid w:val="4EC569ED"/>
    <w:rsid w:val="4ED50EA1"/>
    <w:rsid w:val="4EDA4A64"/>
    <w:rsid w:val="4EEC050C"/>
    <w:rsid w:val="4F104EC3"/>
    <w:rsid w:val="4F47354A"/>
    <w:rsid w:val="4F5F701C"/>
    <w:rsid w:val="4F911C54"/>
    <w:rsid w:val="4F9D5D96"/>
    <w:rsid w:val="4FD71F34"/>
    <w:rsid w:val="4FE625E0"/>
    <w:rsid w:val="4FF52BAA"/>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BE2D00"/>
    <w:rsid w:val="51DF4444"/>
    <w:rsid w:val="521C6332"/>
    <w:rsid w:val="522E4CC3"/>
    <w:rsid w:val="52306A4E"/>
    <w:rsid w:val="5244713B"/>
    <w:rsid w:val="52615633"/>
    <w:rsid w:val="526F4DE4"/>
    <w:rsid w:val="52773616"/>
    <w:rsid w:val="52977FD4"/>
    <w:rsid w:val="52A25790"/>
    <w:rsid w:val="52A96B6F"/>
    <w:rsid w:val="52B45975"/>
    <w:rsid w:val="52D94AA4"/>
    <w:rsid w:val="52EA3A62"/>
    <w:rsid w:val="52F50BB8"/>
    <w:rsid w:val="52F85FC1"/>
    <w:rsid w:val="53097272"/>
    <w:rsid w:val="53544462"/>
    <w:rsid w:val="53904970"/>
    <w:rsid w:val="5397158E"/>
    <w:rsid w:val="539E40EB"/>
    <w:rsid w:val="53CA06C9"/>
    <w:rsid w:val="53F9069E"/>
    <w:rsid w:val="54013861"/>
    <w:rsid w:val="54487265"/>
    <w:rsid w:val="544D5142"/>
    <w:rsid w:val="544D6070"/>
    <w:rsid w:val="54605E1E"/>
    <w:rsid w:val="547D5059"/>
    <w:rsid w:val="54B3506A"/>
    <w:rsid w:val="54CA0D16"/>
    <w:rsid w:val="54DD4057"/>
    <w:rsid w:val="54E65AA0"/>
    <w:rsid w:val="54E7490F"/>
    <w:rsid w:val="54EC24E5"/>
    <w:rsid w:val="550764A4"/>
    <w:rsid w:val="550B2BF6"/>
    <w:rsid w:val="55214EB5"/>
    <w:rsid w:val="55364EFD"/>
    <w:rsid w:val="555D4828"/>
    <w:rsid w:val="557A4C8B"/>
    <w:rsid w:val="558931E1"/>
    <w:rsid w:val="55923347"/>
    <w:rsid w:val="55925180"/>
    <w:rsid w:val="5596730D"/>
    <w:rsid w:val="55977CE7"/>
    <w:rsid w:val="55983B1B"/>
    <w:rsid w:val="55A8376B"/>
    <w:rsid w:val="55DC29B6"/>
    <w:rsid w:val="55DD4241"/>
    <w:rsid w:val="561F2BB0"/>
    <w:rsid w:val="563E62E5"/>
    <w:rsid w:val="56414B0E"/>
    <w:rsid w:val="56505728"/>
    <w:rsid w:val="566B6D1E"/>
    <w:rsid w:val="56B714EC"/>
    <w:rsid w:val="56B82E45"/>
    <w:rsid w:val="56BD0981"/>
    <w:rsid w:val="56E16569"/>
    <w:rsid w:val="56F83CE7"/>
    <w:rsid w:val="57032A2C"/>
    <w:rsid w:val="570F5219"/>
    <w:rsid w:val="575D12B5"/>
    <w:rsid w:val="57610A87"/>
    <w:rsid w:val="5772567E"/>
    <w:rsid w:val="577B1140"/>
    <w:rsid w:val="577B7F21"/>
    <w:rsid w:val="577F181B"/>
    <w:rsid w:val="5780017C"/>
    <w:rsid w:val="57921984"/>
    <w:rsid w:val="579737F0"/>
    <w:rsid w:val="57AB7B30"/>
    <w:rsid w:val="57AF5251"/>
    <w:rsid w:val="57B26373"/>
    <w:rsid w:val="57B63F04"/>
    <w:rsid w:val="57BE4AFC"/>
    <w:rsid w:val="57C979C7"/>
    <w:rsid w:val="57CD20C2"/>
    <w:rsid w:val="57D675AB"/>
    <w:rsid w:val="57D95FDD"/>
    <w:rsid w:val="57E94CAC"/>
    <w:rsid w:val="57ED0501"/>
    <w:rsid w:val="586A4374"/>
    <w:rsid w:val="587F24DD"/>
    <w:rsid w:val="58917D2F"/>
    <w:rsid w:val="5894085C"/>
    <w:rsid w:val="58AE4F0C"/>
    <w:rsid w:val="58B85899"/>
    <w:rsid w:val="58D73547"/>
    <w:rsid w:val="58E13419"/>
    <w:rsid w:val="58E363A9"/>
    <w:rsid w:val="594C2225"/>
    <w:rsid w:val="595E1678"/>
    <w:rsid w:val="59656BCD"/>
    <w:rsid w:val="596D5BD4"/>
    <w:rsid w:val="597E3DD8"/>
    <w:rsid w:val="598F17EF"/>
    <w:rsid w:val="59CC01AF"/>
    <w:rsid w:val="59F80043"/>
    <w:rsid w:val="5A09252F"/>
    <w:rsid w:val="5A0B2778"/>
    <w:rsid w:val="5A0B6BA5"/>
    <w:rsid w:val="5A2A7C7B"/>
    <w:rsid w:val="5A3E2560"/>
    <w:rsid w:val="5A3E4927"/>
    <w:rsid w:val="5A5D3B6E"/>
    <w:rsid w:val="5A637A76"/>
    <w:rsid w:val="5A6D33BA"/>
    <w:rsid w:val="5A792B1F"/>
    <w:rsid w:val="5A874767"/>
    <w:rsid w:val="5AA85BE2"/>
    <w:rsid w:val="5AAD6F28"/>
    <w:rsid w:val="5AD63A24"/>
    <w:rsid w:val="5ADB4028"/>
    <w:rsid w:val="5AE92D75"/>
    <w:rsid w:val="5AF80325"/>
    <w:rsid w:val="5B2E1A1D"/>
    <w:rsid w:val="5B600325"/>
    <w:rsid w:val="5B794741"/>
    <w:rsid w:val="5B843A1C"/>
    <w:rsid w:val="5B872136"/>
    <w:rsid w:val="5B873E3F"/>
    <w:rsid w:val="5B8A0D51"/>
    <w:rsid w:val="5BCD22B6"/>
    <w:rsid w:val="5C02690E"/>
    <w:rsid w:val="5C196DA7"/>
    <w:rsid w:val="5C217C66"/>
    <w:rsid w:val="5C2A048C"/>
    <w:rsid w:val="5C2A744B"/>
    <w:rsid w:val="5C606821"/>
    <w:rsid w:val="5C7A1BCF"/>
    <w:rsid w:val="5C7F0CFE"/>
    <w:rsid w:val="5C80234E"/>
    <w:rsid w:val="5C8A680C"/>
    <w:rsid w:val="5CD8040E"/>
    <w:rsid w:val="5D0C4701"/>
    <w:rsid w:val="5D0F0395"/>
    <w:rsid w:val="5D221076"/>
    <w:rsid w:val="5D392052"/>
    <w:rsid w:val="5D397964"/>
    <w:rsid w:val="5D5A391C"/>
    <w:rsid w:val="5D5F10C0"/>
    <w:rsid w:val="5D6842EA"/>
    <w:rsid w:val="5D891B7B"/>
    <w:rsid w:val="5D9B663A"/>
    <w:rsid w:val="5D9E6F62"/>
    <w:rsid w:val="5DAD38EE"/>
    <w:rsid w:val="5E006862"/>
    <w:rsid w:val="5E0207B9"/>
    <w:rsid w:val="5E111E29"/>
    <w:rsid w:val="5E1834A1"/>
    <w:rsid w:val="5E231BA8"/>
    <w:rsid w:val="5E246C82"/>
    <w:rsid w:val="5E261785"/>
    <w:rsid w:val="5E4A7017"/>
    <w:rsid w:val="5E552BBA"/>
    <w:rsid w:val="5E611C10"/>
    <w:rsid w:val="5E7A0F3F"/>
    <w:rsid w:val="5EFC7377"/>
    <w:rsid w:val="5F06174D"/>
    <w:rsid w:val="5F1E25EF"/>
    <w:rsid w:val="5F265461"/>
    <w:rsid w:val="5F3A3602"/>
    <w:rsid w:val="5F45733B"/>
    <w:rsid w:val="5F6277C6"/>
    <w:rsid w:val="5F6D0B1D"/>
    <w:rsid w:val="5F752C58"/>
    <w:rsid w:val="5F862010"/>
    <w:rsid w:val="5F8D0B82"/>
    <w:rsid w:val="5F99208C"/>
    <w:rsid w:val="5FCC5339"/>
    <w:rsid w:val="5FCF3D4A"/>
    <w:rsid w:val="5FE34A5B"/>
    <w:rsid w:val="5FFE1E36"/>
    <w:rsid w:val="60150B9A"/>
    <w:rsid w:val="60232584"/>
    <w:rsid w:val="607330CE"/>
    <w:rsid w:val="60825176"/>
    <w:rsid w:val="609F2AC4"/>
    <w:rsid w:val="60FA2EE8"/>
    <w:rsid w:val="61054A27"/>
    <w:rsid w:val="61063431"/>
    <w:rsid w:val="610A52BC"/>
    <w:rsid w:val="611D2366"/>
    <w:rsid w:val="61421856"/>
    <w:rsid w:val="614D13CA"/>
    <w:rsid w:val="615227C4"/>
    <w:rsid w:val="61654E3F"/>
    <w:rsid w:val="6182292A"/>
    <w:rsid w:val="618D5457"/>
    <w:rsid w:val="619F7F92"/>
    <w:rsid w:val="61BB37CE"/>
    <w:rsid w:val="61F94C26"/>
    <w:rsid w:val="61FE7048"/>
    <w:rsid w:val="62000E56"/>
    <w:rsid w:val="624F3E49"/>
    <w:rsid w:val="62632286"/>
    <w:rsid w:val="62885958"/>
    <w:rsid w:val="62C0797A"/>
    <w:rsid w:val="62C62021"/>
    <w:rsid w:val="62F40B65"/>
    <w:rsid w:val="62FC2CFE"/>
    <w:rsid w:val="63024505"/>
    <w:rsid w:val="6310039E"/>
    <w:rsid w:val="63355430"/>
    <w:rsid w:val="635600A5"/>
    <w:rsid w:val="635B1DB5"/>
    <w:rsid w:val="63711FED"/>
    <w:rsid w:val="63880DDC"/>
    <w:rsid w:val="638D750D"/>
    <w:rsid w:val="63A6775E"/>
    <w:rsid w:val="63AC6CC0"/>
    <w:rsid w:val="64055776"/>
    <w:rsid w:val="64240056"/>
    <w:rsid w:val="643C1282"/>
    <w:rsid w:val="643E143A"/>
    <w:rsid w:val="64491666"/>
    <w:rsid w:val="648B6EEF"/>
    <w:rsid w:val="64923598"/>
    <w:rsid w:val="64AC0F89"/>
    <w:rsid w:val="64C158BF"/>
    <w:rsid w:val="64CE2EAA"/>
    <w:rsid w:val="64E744B3"/>
    <w:rsid w:val="65123D2A"/>
    <w:rsid w:val="65150451"/>
    <w:rsid w:val="653C3090"/>
    <w:rsid w:val="655C29BA"/>
    <w:rsid w:val="65786A76"/>
    <w:rsid w:val="65854376"/>
    <w:rsid w:val="658767BE"/>
    <w:rsid w:val="65892531"/>
    <w:rsid w:val="65F36733"/>
    <w:rsid w:val="65FE21FE"/>
    <w:rsid w:val="66195831"/>
    <w:rsid w:val="662E75B1"/>
    <w:rsid w:val="66342C2E"/>
    <w:rsid w:val="663E784C"/>
    <w:rsid w:val="66876CE5"/>
    <w:rsid w:val="668B6A45"/>
    <w:rsid w:val="66C0263F"/>
    <w:rsid w:val="67011F07"/>
    <w:rsid w:val="67191E9B"/>
    <w:rsid w:val="672F3F24"/>
    <w:rsid w:val="6736645D"/>
    <w:rsid w:val="673E055F"/>
    <w:rsid w:val="67551CE3"/>
    <w:rsid w:val="6788395D"/>
    <w:rsid w:val="67A22552"/>
    <w:rsid w:val="67B22DCC"/>
    <w:rsid w:val="67BE71AA"/>
    <w:rsid w:val="67D57A24"/>
    <w:rsid w:val="67D90273"/>
    <w:rsid w:val="67DE5875"/>
    <w:rsid w:val="67E55852"/>
    <w:rsid w:val="67EB1AB4"/>
    <w:rsid w:val="67FA1285"/>
    <w:rsid w:val="68551F4F"/>
    <w:rsid w:val="687C10C9"/>
    <w:rsid w:val="68840C16"/>
    <w:rsid w:val="68863414"/>
    <w:rsid w:val="68872541"/>
    <w:rsid w:val="68876EFB"/>
    <w:rsid w:val="68884654"/>
    <w:rsid w:val="689F444F"/>
    <w:rsid w:val="68B218C6"/>
    <w:rsid w:val="68B96DBB"/>
    <w:rsid w:val="68CA2805"/>
    <w:rsid w:val="68E937A3"/>
    <w:rsid w:val="68FB5BB0"/>
    <w:rsid w:val="691664E5"/>
    <w:rsid w:val="693E15D3"/>
    <w:rsid w:val="69627681"/>
    <w:rsid w:val="6977531D"/>
    <w:rsid w:val="69B109B3"/>
    <w:rsid w:val="69CC2BFF"/>
    <w:rsid w:val="69FD55B8"/>
    <w:rsid w:val="6A0B1C62"/>
    <w:rsid w:val="6A1E3383"/>
    <w:rsid w:val="6A2406C8"/>
    <w:rsid w:val="6A880A51"/>
    <w:rsid w:val="6AC54B15"/>
    <w:rsid w:val="6ADE0BD1"/>
    <w:rsid w:val="6AE96859"/>
    <w:rsid w:val="6AFC5C0F"/>
    <w:rsid w:val="6B147746"/>
    <w:rsid w:val="6B24787C"/>
    <w:rsid w:val="6B573233"/>
    <w:rsid w:val="6B5B6274"/>
    <w:rsid w:val="6B935D53"/>
    <w:rsid w:val="6BA53BB1"/>
    <w:rsid w:val="6C196F71"/>
    <w:rsid w:val="6C226FCB"/>
    <w:rsid w:val="6C31226F"/>
    <w:rsid w:val="6C552F0B"/>
    <w:rsid w:val="6C8C67B7"/>
    <w:rsid w:val="6C9D744C"/>
    <w:rsid w:val="6D167928"/>
    <w:rsid w:val="6D2075FE"/>
    <w:rsid w:val="6D26299B"/>
    <w:rsid w:val="6D4772EC"/>
    <w:rsid w:val="6D9078AF"/>
    <w:rsid w:val="6DAA3FEF"/>
    <w:rsid w:val="6DC0172B"/>
    <w:rsid w:val="6DCA5B51"/>
    <w:rsid w:val="6DCB690C"/>
    <w:rsid w:val="6DD41A5B"/>
    <w:rsid w:val="6DF43C2E"/>
    <w:rsid w:val="6DF51CA3"/>
    <w:rsid w:val="6E1B2439"/>
    <w:rsid w:val="6E277B71"/>
    <w:rsid w:val="6E62222D"/>
    <w:rsid w:val="6E8335BD"/>
    <w:rsid w:val="6E8E12EF"/>
    <w:rsid w:val="6E9519E0"/>
    <w:rsid w:val="6E972936"/>
    <w:rsid w:val="6EB81E4D"/>
    <w:rsid w:val="6EC145AA"/>
    <w:rsid w:val="6ED446C5"/>
    <w:rsid w:val="6EF74444"/>
    <w:rsid w:val="6F186900"/>
    <w:rsid w:val="6F2A7D94"/>
    <w:rsid w:val="6F641912"/>
    <w:rsid w:val="6F8331F1"/>
    <w:rsid w:val="6F99373A"/>
    <w:rsid w:val="6FAE1A09"/>
    <w:rsid w:val="6FC00FB9"/>
    <w:rsid w:val="6FD75BF8"/>
    <w:rsid w:val="703F5A70"/>
    <w:rsid w:val="707723D0"/>
    <w:rsid w:val="707A0C11"/>
    <w:rsid w:val="70F5661B"/>
    <w:rsid w:val="711E407E"/>
    <w:rsid w:val="71360107"/>
    <w:rsid w:val="713B688E"/>
    <w:rsid w:val="71812492"/>
    <w:rsid w:val="719E7794"/>
    <w:rsid w:val="71C22401"/>
    <w:rsid w:val="71D43752"/>
    <w:rsid w:val="71F1796A"/>
    <w:rsid w:val="72154626"/>
    <w:rsid w:val="72262B5D"/>
    <w:rsid w:val="72283FF7"/>
    <w:rsid w:val="722E7212"/>
    <w:rsid w:val="723A0474"/>
    <w:rsid w:val="725923E4"/>
    <w:rsid w:val="72864BF7"/>
    <w:rsid w:val="729023FC"/>
    <w:rsid w:val="72D6565A"/>
    <w:rsid w:val="72D8486C"/>
    <w:rsid w:val="72DF209E"/>
    <w:rsid w:val="72E824FD"/>
    <w:rsid w:val="73107E21"/>
    <w:rsid w:val="732B3D6D"/>
    <w:rsid w:val="737C373A"/>
    <w:rsid w:val="7393089D"/>
    <w:rsid w:val="73BD407D"/>
    <w:rsid w:val="73C0646E"/>
    <w:rsid w:val="742222F5"/>
    <w:rsid w:val="74476126"/>
    <w:rsid w:val="74706664"/>
    <w:rsid w:val="74727073"/>
    <w:rsid w:val="747F3682"/>
    <w:rsid w:val="748A428C"/>
    <w:rsid w:val="749C4185"/>
    <w:rsid w:val="749E3893"/>
    <w:rsid w:val="74A76BEC"/>
    <w:rsid w:val="75067759"/>
    <w:rsid w:val="751E2B9B"/>
    <w:rsid w:val="752E6DCD"/>
    <w:rsid w:val="7551380D"/>
    <w:rsid w:val="75600BE5"/>
    <w:rsid w:val="7564475C"/>
    <w:rsid w:val="7583797F"/>
    <w:rsid w:val="75862CA5"/>
    <w:rsid w:val="75D20F1D"/>
    <w:rsid w:val="75DA2C18"/>
    <w:rsid w:val="75F05AFC"/>
    <w:rsid w:val="75F54412"/>
    <w:rsid w:val="75FB4D1F"/>
    <w:rsid w:val="761D08E0"/>
    <w:rsid w:val="765D347C"/>
    <w:rsid w:val="76826699"/>
    <w:rsid w:val="76C87133"/>
    <w:rsid w:val="76CD08D5"/>
    <w:rsid w:val="76DB4B92"/>
    <w:rsid w:val="76F75EBB"/>
    <w:rsid w:val="76FA1255"/>
    <w:rsid w:val="76FD013A"/>
    <w:rsid w:val="77040B90"/>
    <w:rsid w:val="77052AA4"/>
    <w:rsid w:val="77136511"/>
    <w:rsid w:val="77340A39"/>
    <w:rsid w:val="77351FD0"/>
    <w:rsid w:val="77472422"/>
    <w:rsid w:val="777F31F2"/>
    <w:rsid w:val="7796031C"/>
    <w:rsid w:val="77D1700D"/>
    <w:rsid w:val="77EC04CC"/>
    <w:rsid w:val="78775729"/>
    <w:rsid w:val="78793335"/>
    <w:rsid w:val="78A42DB0"/>
    <w:rsid w:val="78A656AB"/>
    <w:rsid w:val="78B2245C"/>
    <w:rsid w:val="78E172CC"/>
    <w:rsid w:val="78EA1D1F"/>
    <w:rsid w:val="7904172F"/>
    <w:rsid w:val="790F7E27"/>
    <w:rsid w:val="792A231A"/>
    <w:rsid w:val="79316829"/>
    <w:rsid w:val="796F0529"/>
    <w:rsid w:val="797E66A9"/>
    <w:rsid w:val="797E6F9C"/>
    <w:rsid w:val="798518A4"/>
    <w:rsid w:val="79A01974"/>
    <w:rsid w:val="79A97383"/>
    <w:rsid w:val="79CE0777"/>
    <w:rsid w:val="79D53106"/>
    <w:rsid w:val="79E27E8B"/>
    <w:rsid w:val="79F850CE"/>
    <w:rsid w:val="79FD443C"/>
    <w:rsid w:val="7A1D1975"/>
    <w:rsid w:val="7A266805"/>
    <w:rsid w:val="7A3E5150"/>
    <w:rsid w:val="7A4670D6"/>
    <w:rsid w:val="7A534B63"/>
    <w:rsid w:val="7A615382"/>
    <w:rsid w:val="7A67303B"/>
    <w:rsid w:val="7A7E219D"/>
    <w:rsid w:val="7AA86C05"/>
    <w:rsid w:val="7AAB1D04"/>
    <w:rsid w:val="7ABA4368"/>
    <w:rsid w:val="7AD05746"/>
    <w:rsid w:val="7B257FFD"/>
    <w:rsid w:val="7B273D20"/>
    <w:rsid w:val="7B343476"/>
    <w:rsid w:val="7B5A2978"/>
    <w:rsid w:val="7B5A7E4C"/>
    <w:rsid w:val="7B667AF9"/>
    <w:rsid w:val="7B7468F8"/>
    <w:rsid w:val="7BEE0103"/>
    <w:rsid w:val="7C0A0FE4"/>
    <w:rsid w:val="7C254906"/>
    <w:rsid w:val="7C590818"/>
    <w:rsid w:val="7C5E2AD9"/>
    <w:rsid w:val="7C687E75"/>
    <w:rsid w:val="7C7C10F6"/>
    <w:rsid w:val="7C853BEA"/>
    <w:rsid w:val="7C881368"/>
    <w:rsid w:val="7C8D70F0"/>
    <w:rsid w:val="7CB34123"/>
    <w:rsid w:val="7CE27788"/>
    <w:rsid w:val="7CF81B5F"/>
    <w:rsid w:val="7D0C32F1"/>
    <w:rsid w:val="7D0F408D"/>
    <w:rsid w:val="7D491C6C"/>
    <w:rsid w:val="7D5429C0"/>
    <w:rsid w:val="7D5D44CB"/>
    <w:rsid w:val="7D6E6D43"/>
    <w:rsid w:val="7DB57A34"/>
    <w:rsid w:val="7DBC12B6"/>
    <w:rsid w:val="7DC26892"/>
    <w:rsid w:val="7DCC570D"/>
    <w:rsid w:val="7DE60973"/>
    <w:rsid w:val="7DEF0916"/>
    <w:rsid w:val="7E1E5218"/>
    <w:rsid w:val="7E3226E9"/>
    <w:rsid w:val="7E5E658D"/>
    <w:rsid w:val="7E9A4E1F"/>
    <w:rsid w:val="7E9D7975"/>
    <w:rsid w:val="7EA7723A"/>
    <w:rsid w:val="7EF56FBB"/>
    <w:rsid w:val="7F0768EB"/>
    <w:rsid w:val="7F143BEC"/>
    <w:rsid w:val="7F621BB9"/>
    <w:rsid w:val="7F715AF2"/>
    <w:rsid w:val="7F7238C6"/>
    <w:rsid w:val="7F886E69"/>
    <w:rsid w:val="7FC732C5"/>
    <w:rsid w:val="7FD5583B"/>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5"/>
    <w:autoRedefine/>
    <w:qFormat/>
    <w:uiPriority w:val="0"/>
    <w:pPr>
      <w:spacing w:line="480" w:lineRule="exact"/>
      <w:ind w:firstLine="480" w:firstLineChars="200"/>
    </w:pPr>
    <w:rPr>
      <w:rFonts w:ascii="宋体" w:hAnsi="宋体"/>
      <w:sz w:val="24"/>
    </w:rPr>
  </w:style>
  <w:style w:type="paragraph" w:customStyle="1" w:styleId="25">
    <w:name w:val="正文文本首行缩进 2"/>
    <w:basedOn w:val="26"/>
    <w:autoRedefine/>
    <w:qFormat/>
    <w:uiPriority w:val="99"/>
    <w:pPr>
      <w:spacing w:line="200" w:lineRule="atLeast"/>
      <w:ind w:firstLine="420"/>
    </w:pPr>
    <w:rPr>
      <w:rFonts w:ascii="宋体" w:hAnsi="Courier New"/>
      <w:spacing w:val="-4"/>
      <w:sz w:val="18"/>
    </w:rPr>
  </w:style>
  <w:style w:type="paragraph" w:customStyle="1" w:styleId="26">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5"/>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1"/>
    <w:autoRedefine/>
    <w:qFormat/>
    <w:uiPriority w:val="0"/>
    <w:pPr>
      <w:ind w:left="100" w:leftChars="2500"/>
    </w:pPr>
    <w:rPr>
      <w:rFonts w:ascii="宋体"/>
      <w:sz w:val="24"/>
      <w:szCs w:val="21"/>
      <w:lang w:val="zh-CN"/>
    </w:rPr>
  </w:style>
  <w:style w:type="paragraph" w:styleId="38">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1"/>
    <w:autoRedefine/>
    <w:qFormat/>
    <w:uiPriority w:val="0"/>
    <w:rPr>
      <w:lang w:val="zh-CN"/>
    </w:rPr>
  </w:style>
  <w:style w:type="paragraph" w:styleId="40">
    <w:name w:val="Balloon Text"/>
    <w:basedOn w:val="1"/>
    <w:link w:val="188"/>
    <w:autoRedefine/>
    <w:qFormat/>
    <w:uiPriority w:val="0"/>
    <w:rPr>
      <w:sz w:val="18"/>
      <w:szCs w:val="18"/>
    </w:rPr>
  </w:style>
  <w:style w:type="paragraph" w:styleId="41">
    <w:name w:val="footer"/>
    <w:basedOn w:val="1"/>
    <w:link w:val="383"/>
    <w:autoRedefine/>
    <w:qFormat/>
    <w:uiPriority w:val="99"/>
    <w:pPr>
      <w:tabs>
        <w:tab w:val="center" w:pos="4153"/>
        <w:tab w:val="right" w:pos="8306"/>
      </w:tabs>
      <w:snapToGrid w:val="0"/>
      <w:jc w:val="left"/>
    </w:pPr>
    <w:rPr>
      <w:sz w:val="18"/>
      <w:szCs w:val="18"/>
    </w:rPr>
  </w:style>
  <w:style w:type="paragraph" w:styleId="42">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5"/>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2"/>
    <w:autoRedefine/>
    <w:qFormat/>
    <w:uiPriority w:val="0"/>
    <w:pPr>
      <w:spacing w:after="120" w:line="480" w:lineRule="auto"/>
    </w:pPr>
  </w:style>
  <w:style w:type="paragraph" w:styleId="58">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6"/>
    <w:autoRedefine/>
    <w:qFormat/>
    <w:uiPriority w:val="0"/>
    <w:rPr>
      <w:b/>
      <w:bCs/>
    </w:rPr>
  </w:style>
  <w:style w:type="paragraph" w:styleId="62">
    <w:name w:val="Body Text First Indent"/>
    <w:basedOn w:val="23"/>
    <w:next w:val="1"/>
    <w:link w:val="321"/>
    <w:autoRedefine/>
    <w:qFormat/>
    <w:uiPriority w:val="0"/>
    <w:pPr>
      <w:ind w:firstLine="420"/>
    </w:pPr>
    <w:rPr>
      <w:rFonts w:hAnsi="Calibri" w:cs="Times New Roman"/>
      <w:snapToGrid/>
      <w:szCs w:val="20"/>
    </w:rPr>
  </w:style>
  <w:style w:type="paragraph" w:styleId="63">
    <w:name w:val="Body Text First Indent 2"/>
    <w:basedOn w:val="24"/>
    <w:next w:val="1"/>
    <w:link w:val="121"/>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Normal Indent1"/>
    <w:basedOn w:val="1"/>
    <w:autoRedefine/>
    <w:qFormat/>
    <w:uiPriority w:val="0"/>
    <w:pPr>
      <w:ind w:firstLine="420" w:firstLineChars="200"/>
    </w:p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61"/>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3"/>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71"/>
    <w:autoRedefine/>
    <w:qFormat/>
    <w:uiPriority w:val="0"/>
    <w:rPr>
      <w:rFonts w:ascii="Arial" w:hAnsi="Arial" w:eastAsia="黑体" w:cs="Arial"/>
      <w:snapToGrid w:val="0"/>
      <w:kern w:val="0"/>
      <w:szCs w:val="21"/>
    </w:rPr>
  </w:style>
  <w:style w:type="character" w:customStyle="1" w:styleId="125">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8"/>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2"/>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7"/>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40"/>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71"/>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31"/>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60"/>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8"/>
    <w:autoRedefine/>
    <w:qFormat/>
    <w:uiPriority w:val="0"/>
    <w:rPr>
      <w:rFonts w:ascii="黑体" w:hAnsi="Courier New" w:eastAsia="黑体"/>
    </w:rPr>
  </w:style>
  <w:style w:type="character" w:customStyle="1" w:styleId="302">
    <w:name w:val="正文文本 2 Char1"/>
    <w:link w:val="57"/>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8"/>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51"/>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2"/>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3"/>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4"/>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41"/>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2"/>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71"/>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5"/>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71"/>
    <w:autoRedefine/>
    <w:qFormat/>
    <w:uiPriority w:val="0"/>
    <w:rPr>
      <w:rFonts w:ascii="Arial" w:hAnsi="Arial" w:eastAsia="黑体" w:cs="Arial"/>
      <w:snapToGrid w:val="0"/>
      <w:kern w:val="0"/>
      <w:szCs w:val="21"/>
    </w:rPr>
  </w:style>
  <w:style w:type="character" w:customStyle="1" w:styleId="432">
    <w:name w:val="hui"/>
    <w:basedOn w:val="71"/>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2"/>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4"/>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next w:val="57"/>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69">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4"/>
    <w:next w:val="54"/>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40"/>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4"/>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autoRedefine/>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autoRedefine/>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autoRedefine/>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autoRedefine/>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autoRedefine/>
    <w:qFormat/>
    <w:uiPriority w:val="0"/>
    <w:rPr>
      <w:rFonts w:ascii="仿宋_GB2312" w:eastAsia="仿宋_GB2312"/>
      <w:b/>
      <w:sz w:val="32"/>
      <w:szCs w:val="20"/>
    </w:rPr>
  </w:style>
  <w:style w:type="paragraph" w:customStyle="1" w:styleId="84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autoRedefine/>
    <w:qFormat/>
    <w:uiPriority w:val="0"/>
    <w:rPr>
      <w:rFonts w:ascii="仿宋_GB2312" w:eastAsia="仿宋_GB2312"/>
      <w:b/>
      <w:sz w:val="32"/>
      <w:szCs w:val="20"/>
    </w:rPr>
  </w:style>
  <w:style w:type="paragraph" w:customStyle="1" w:styleId="84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autoRedefine/>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7">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autoRedefine/>
    <w:qFormat/>
    <w:uiPriority w:val="0"/>
    <w:pPr>
      <w:widowControl/>
      <w:spacing w:after="160" w:line="240" w:lineRule="exact"/>
      <w:jc w:val="left"/>
    </w:pPr>
    <w:rPr>
      <w:rFonts w:eastAsia="仿宋_GB2312"/>
      <w:sz w:val="28"/>
    </w:rPr>
  </w:style>
  <w:style w:type="paragraph" w:customStyle="1" w:styleId="860">
    <w:name w:val="Char21"/>
    <w:basedOn w:val="1"/>
    <w:autoRedefine/>
    <w:qFormat/>
    <w:uiPriority w:val="0"/>
    <w:pPr>
      <w:adjustRightInd/>
      <w:ind w:firstLine="200" w:firstLineChars="200"/>
    </w:pPr>
    <w:rPr>
      <w:rFonts w:ascii="仿宋_GB2312" w:eastAsia="仿宋_GB2312"/>
      <w:b/>
      <w:sz w:val="32"/>
      <w:szCs w:val="32"/>
    </w:rPr>
  </w:style>
  <w:style w:type="paragraph" w:customStyle="1" w:styleId="861">
    <w:name w:val="列表段落1"/>
    <w:basedOn w:val="1"/>
    <w:autoRedefine/>
    <w:qFormat/>
    <w:uiPriority w:val="34"/>
    <w:pPr>
      <w:adjustRightInd/>
      <w:ind w:right="238" w:firstLine="420"/>
    </w:pPr>
    <w:rPr>
      <w:rFonts w:ascii="Calibri" w:hAnsi="Calibri"/>
      <w:sz w:val="24"/>
    </w:rPr>
  </w:style>
  <w:style w:type="paragraph" w:customStyle="1" w:styleId="862">
    <w:name w:val="Char Char110"/>
    <w:basedOn w:val="1"/>
    <w:autoRedefine/>
    <w:qFormat/>
    <w:uiPriority w:val="6"/>
    <w:pPr>
      <w:spacing w:line="360" w:lineRule="auto"/>
    </w:pPr>
    <w:rPr>
      <w:rFonts w:ascii="Tahoma" w:hAnsi="Tahoma"/>
      <w:sz w:val="24"/>
      <w:szCs w:val="20"/>
    </w:rPr>
  </w:style>
  <w:style w:type="paragraph" w:customStyle="1" w:styleId="86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5">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autoRedefine/>
    <w:qFormat/>
    <w:uiPriority w:val="0"/>
    <w:rPr>
      <w:rFonts w:ascii="Tahoma" w:hAnsi="Tahoma" w:cs="仿宋_GB2312"/>
      <w:sz w:val="24"/>
      <w:szCs w:val="20"/>
    </w:rPr>
  </w:style>
  <w:style w:type="paragraph" w:customStyle="1" w:styleId="86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2">
    <w:name w:val="_Style 12"/>
    <w:basedOn w:val="18"/>
    <w:autoRedefine/>
    <w:qFormat/>
    <w:uiPriority w:val="0"/>
    <w:pPr>
      <w:snapToGrid w:val="0"/>
      <w:spacing w:line="360" w:lineRule="auto"/>
    </w:pPr>
  </w:style>
  <w:style w:type="paragraph" w:customStyle="1" w:styleId="873">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autoRedefine/>
    <w:qFormat/>
    <w:uiPriority w:val="0"/>
    <w:pPr>
      <w:outlineLvl w:val="2"/>
    </w:pPr>
  </w:style>
  <w:style w:type="paragraph" w:customStyle="1" w:styleId="88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autoRedefine/>
    <w:qFormat/>
    <w:uiPriority w:val="0"/>
    <w:pPr>
      <w:adjustRightInd/>
      <w:ind w:firstLine="200" w:firstLineChars="200"/>
    </w:pPr>
    <w:rPr>
      <w:rFonts w:ascii="Tahoma" w:hAnsi="Tahoma"/>
      <w:sz w:val="24"/>
      <w:szCs w:val="20"/>
    </w:rPr>
  </w:style>
  <w:style w:type="paragraph" w:customStyle="1" w:styleId="88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3">
    <w:name w:val="MM Empty"/>
    <w:basedOn w:val="1"/>
    <w:autoRedefine/>
    <w:qFormat/>
    <w:uiPriority w:val="0"/>
    <w:pPr>
      <w:adjustRightInd/>
    </w:pPr>
  </w:style>
  <w:style w:type="paragraph" w:customStyle="1" w:styleId="884">
    <w:name w:val="Char24"/>
    <w:basedOn w:val="1"/>
    <w:autoRedefine/>
    <w:qFormat/>
    <w:uiPriority w:val="0"/>
    <w:rPr>
      <w:rFonts w:ascii="仿宋_GB2312" w:eastAsia="仿宋_GB2312"/>
      <w:b/>
      <w:sz w:val="32"/>
      <w:szCs w:val="32"/>
    </w:rPr>
  </w:style>
  <w:style w:type="paragraph" w:customStyle="1" w:styleId="885">
    <w:name w:val="正文箭头"/>
    <w:basedOn w:val="538"/>
    <w:autoRedefine/>
    <w:qFormat/>
    <w:uiPriority w:val="0"/>
  </w:style>
  <w:style w:type="paragraph" w:customStyle="1" w:styleId="886">
    <w:name w:val="U_编号2"/>
    <w:basedOn w:val="1"/>
    <w:autoRedefine/>
    <w:qFormat/>
    <w:uiPriority w:val="0"/>
    <w:pPr>
      <w:tabs>
        <w:tab w:val="left" w:pos="785"/>
      </w:tabs>
      <w:adjustRightInd/>
      <w:spacing w:beforeLines="10" w:afterLines="10" w:line="300" w:lineRule="auto"/>
    </w:pPr>
    <w:rPr>
      <w:sz w:val="24"/>
    </w:rPr>
  </w:style>
  <w:style w:type="paragraph" w:customStyle="1" w:styleId="887">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autoRedefine/>
    <w:qFormat/>
    <w:uiPriority w:val="34"/>
    <w:pPr>
      <w:adjustRightInd/>
      <w:ind w:firstLine="420" w:firstLineChars="200"/>
    </w:pPr>
    <w:rPr>
      <w:rFonts w:eastAsia="仿宋_GB2312"/>
      <w:sz w:val="28"/>
    </w:rPr>
  </w:style>
  <w:style w:type="paragraph" w:customStyle="1" w:styleId="892">
    <w:name w:val="表格 内容"/>
    <w:basedOn w:val="728"/>
    <w:autoRedefine/>
    <w:qFormat/>
    <w:uiPriority w:val="0"/>
    <w:rPr>
      <w:b w:val="0"/>
      <w:sz w:val="20"/>
    </w:rPr>
  </w:style>
  <w:style w:type="paragraph" w:customStyle="1" w:styleId="893">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autoRedefine/>
    <w:qFormat/>
    <w:uiPriority w:val="0"/>
    <w:pPr>
      <w:tabs>
        <w:tab w:val="left" w:pos="1080"/>
      </w:tabs>
      <w:ind w:left="1080" w:hanging="1080"/>
    </w:pPr>
  </w:style>
  <w:style w:type="paragraph" w:customStyle="1" w:styleId="896">
    <w:name w:val="数字标题1"/>
    <w:basedOn w:val="3"/>
    <w:next w:val="1"/>
    <w:autoRedefine/>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autoRedefine/>
    <w:qFormat/>
    <w:uiPriority w:val="0"/>
    <w:pPr>
      <w:widowControl/>
    </w:pPr>
    <w:rPr>
      <w:kern w:val="0"/>
      <w:sz w:val="24"/>
      <w:szCs w:val="20"/>
    </w:rPr>
  </w:style>
  <w:style w:type="paragraph" w:customStyle="1" w:styleId="904">
    <w:name w:val="Char Char113"/>
    <w:basedOn w:val="1"/>
    <w:autoRedefine/>
    <w:qFormat/>
    <w:uiPriority w:val="0"/>
    <w:pPr>
      <w:widowControl/>
      <w:spacing w:after="160" w:line="240" w:lineRule="exact"/>
      <w:jc w:val="left"/>
    </w:pPr>
    <w:rPr>
      <w:rFonts w:eastAsia="仿宋_GB2312"/>
      <w:sz w:val="28"/>
    </w:rPr>
  </w:style>
  <w:style w:type="paragraph" w:customStyle="1" w:styleId="90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autoRedefine/>
    <w:qFormat/>
    <w:uiPriority w:val="34"/>
    <w:pPr>
      <w:adjustRightInd/>
      <w:ind w:firstLine="420" w:firstLineChars="200"/>
    </w:pPr>
    <w:rPr>
      <w:rFonts w:eastAsia="仿宋_GB2312"/>
      <w:sz w:val="28"/>
    </w:rPr>
  </w:style>
  <w:style w:type="paragraph" w:customStyle="1" w:styleId="9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autoRedefine/>
    <w:qFormat/>
    <w:uiPriority w:val="6"/>
    <w:pPr>
      <w:widowControl/>
      <w:spacing w:after="160" w:line="240" w:lineRule="exact"/>
      <w:jc w:val="left"/>
    </w:pPr>
    <w:rPr>
      <w:rFonts w:eastAsia="仿宋_GB2312"/>
      <w:sz w:val="28"/>
    </w:rPr>
  </w:style>
  <w:style w:type="paragraph" w:customStyle="1" w:styleId="913">
    <w:name w:val="正文 图"/>
    <w:basedOn w:val="443"/>
    <w:autoRedefine/>
    <w:qFormat/>
    <w:uiPriority w:val="0"/>
    <w:pPr>
      <w:adjustRightInd/>
      <w:spacing w:before="0"/>
      <w:ind w:firstLine="0"/>
      <w:jc w:val="center"/>
    </w:pPr>
    <w:rPr>
      <w:rFonts w:ascii="微软雅黑" w:hAnsi="微软雅黑"/>
    </w:rPr>
  </w:style>
  <w:style w:type="paragraph" w:customStyle="1" w:styleId="914">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autoRedefine/>
    <w:qFormat/>
    <w:uiPriority w:val="0"/>
    <w:pPr>
      <w:ind w:left="0"/>
    </w:pPr>
  </w:style>
  <w:style w:type="paragraph" w:customStyle="1" w:styleId="917">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autoRedefine/>
    <w:qFormat/>
    <w:uiPriority w:val="0"/>
    <w:pPr>
      <w:adjustRightInd/>
      <w:spacing w:line="360" w:lineRule="auto"/>
      <w:ind w:firstLine="480"/>
    </w:pPr>
    <w:rPr>
      <w:sz w:val="24"/>
    </w:rPr>
  </w:style>
  <w:style w:type="table" w:customStyle="1" w:styleId="920">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autoRedefine/>
    <w:qFormat/>
    <w:uiPriority w:val="34"/>
    <w:pPr>
      <w:ind w:firstLine="420" w:firstLineChars="200"/>
    </w:pPr>
  </w:style>
  <w:style w:type="character" w:customStyle="1" w:styleId="927">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autoRedefine/>
    <w:qFormat/>
    <w:uiPriority w:val="0"/>
    <w:rPr>
      <w:rFonts w:ascii="宋体" w:eastAsia="宋体"/>
      <w:snapToGrid w:val="0"/>
      <w:color w:val="000000"/>
      <w:kern w:val="28"/>
      <w:sz w:val="28"/>
      <w:lang w:val="en-US" w:eastAsia="zh-CN" w:bidi="ar-SA"/>
    </w:rPr>
  </w:style>
  <w:style w:type="character" w:customStyle="1" w:styleId="929">
    <w:name w:val="页脚 字符1"/>
    <w:autoRedefine/>
    <w:qFormat/>
    <w:locked/>
    <w:uiPriority w:val="99"/>
    <w:rPr>
      <w:kern w:val="2"/>
      <w:sz w:val="18"/>
      <w:szCs w:val="18"/>
    </w:rPr>
  </w:style>
  <w:style w:type="character" w:customStyle="1" w:styleId="930">
    <w:name w:val="页眉 字符1"/>
    <w:autoRedefine/>
    <w:qFormat/>
    <w:uiPriority w:val="99"/>
    <w:rPr>
      <w:kern w:val="2"/>
      <w:sz w:val="18"/>
      <w:szCs w:val="18"/>
    </w:rPr>
  </w:style>
  <w:style w:type="character" w:customStyle="1" w:styleId="931">
    <w:name w:val="尾注文本 Char"/>
    <w:link w:val="39"/>
    <w:autoRedefine/>
    <w:qFormat/>
    <w:uiPriority w:val="0"/>
    <w:rPr>
      <w:kern w:val="2"/>
      <w:sz w:val="21"/>
      <w:szCs w:val="24"/>
      <w:lang w:val="zh-CN"/>
    </w:rPr>
  </w:style>
  <w:style w:type="character" w:customStyle="1" w:styleId="932">
    <w:name w:val="无间隔 Char"/>
    <w:link w:val="483"/>
    <w:autoRedefine/>
    <w:qFormat/>
    <w:uiPriority w:val="99"/>
    <w:rPr>
      <w:kern w:val="2"/>
      <w:sz w:val="21"/>
      <w:szCs w:val="22"/>
    </w:rPr>
  </w:style>
  <w:style w:type="character" w:customStyle="1" w:styleId="933">
    <w:name w:val="标准文本 Char Char"/>
    <w:link w:val="934"/>
    <w:autoRedefine/>
    <w:qFormat/>
    <w:uiPriority w:val="0"/>
    <w:rPr>
      <w:rFonts w:cs="宋体"/>
      <w:kern w:val="2"/>
      <w:sz w:val="24"/>
    </w:rPr>
  </w:style>
  <w:style w:type="paragraph" w:customStyle="1" w:styleId="934">
    <w:name w:val="标准文本"/>
    <w:basedOn w:val="1"/>
    <w:link w:val="933"/>
    <w:autoRedefine/>
    <w:qFormat/>
    <w:uiPriority w:val="0"/>
    <w:pPr>
      <w:adjustRightInd/>
      <w:spacing w:line="360" w:lineRule="auto"/>
      <w:ind w:firstLine="480" w:firstLineChars="200"/>
    </w:pPr>
    <w:rPr>
      <w:rFonts w:cs="宋体"/>
      <w:sz w:val="24"/>
      <w:szCs w:val="20"/>
    </w:rPr>
  </w:style>
  <w:style w:type="character" w:customStyle="1" w:styleId="935">
    <w:name w:val="Char Char213"/>
    <w:autoRedefine/>
    <w:qFormat/>
    <w:uiPriority w:val="0"/>
    <w:rPr>
      <w:rFonts w:eastAsia="Century Gothic"/>
      <w:b/>
      <w:bCs/>
      <w:kern w:val="44"/>
      <w:sz w:val="32"/>
      <w:szCs w:val="44"/>
      <w:lang w:val="en-US" w:eastAsia="zh-CN" w:bidi="ar-SA"/>
    </w:rPr>
  </w:style>
  <w:style w:type="character" w:customStyle="1" w:styleId="936">
    <w:name w:val="apple-style-span"/>
    <w:autoRedefine/>
    <w:qFormat/>
    <w:uiPriority w:val="0"/>
    <w:rPr>
      <w:rFonts w:ascii="Arial" w:hAnsi="Arial" w:eastAsia="黑体" w:cs="Arial"/>
      <w:snapToGrid w:val="0"/>
      <w:kern w:val="0"/>
      <w:szCs w:val="21"/>
    </w:rPr>
  </w:style>
  <w:style w:type="character" w:customStyle="1" w:styleId="937">
    <w:name w:val="15"/>
    <w:autoRedefine/>
    <w:qFormat/>
    <w:uiPriority w:val="0"/>
    <w:rPr>
      <w:rFonts w:hint="default" w:ascii="Calibri" w:hAnsi="Calibri"/>
      <w:color w:val="0000FF"/>
      <w:u w:val="single"/>
    </w:rPr>
  </w:style>
  <w:style w:type="character" w:customStyle="1" w:styleId="938">
    <w:name w:val="16"/>
    <w:autoRedefine/>
    <w:qFormat/>
    <w:uiPriority w:val="0"/>
    <w:rPr>
      <w:rFonts w:hint="eastAsia" w:ascii="宋体" w:hAnsi="宋体" w:eastAsia="宋体"/>
      <w:color w:val="000000"/>
      <w:sz w:val="20"/>
      <w:szCs w:val="20"/>
    </w:rPr>
  </w:style>
  <w:style w:type="character" w:customStyle="1" w:styleId="939">
    <w:name w:val="edui-unclickable"/>
    <w:autoRedefine/>
    <w:qFormat/>
    <w:uiPriority w:val="0"/>
    <w:rPr>
      <w:color w:val="808080"/>
    </w:rPr>
  </w:style>
  <w:style w:type="character" w:customStyle="1" w:styleId="940">
    <w:name w:val="tpc_content1"/>
    <w:autoRedefine/>
    <w:qFormat/>
    <w:uiPriority w:val="0"/>
    <w:rPr>
      <w:sz w:val="20"/>
      <w:szCs w:val="20"/>
    </w:rPr>
  </w:style>
  <w:style w:type="character" w:customStyle="1" w:styleId="941">
    <w:name w:val="正文文本缩进 字符"/>
    <w:autoRedefine/>
    <w:qFormat/>
    <w:uiPriority w:val="0"/>
    <w:rPr>
      <w:rFonts w:ascii="Century Gothic" w:hAnsi="Century Gothic" w:eastAsia="Century Gothic"/>
      <w:kern w:val="2"/>
      <w:sz w:val="24"/>
      <w:lang w:val="en-US" w:eastAsia="zh-CN" w:bidi="ar-SA"/>
    </w:rPr>
  </w:style>
  <w:style w:type="character" w:customStyle="1" w:styleId="942">
    <w:name w:val="正文文本 2 字符"/>
    <w:autoRedefine/>
    <w:qFormat/>
    <w:uiPriority w:val="0"/>
    <w:rPr>
      <w:rFonts w:ascii="Arial" w:hAnsi="Arial" w:eastAsia="宋体"/>
      <w:kern w:val="2"/>
      <w:sz w:val="24"/>
      <w:szCs w:val="24"/>
      <w:lang w:val="en-US" w:eastAsia="zh-CN" w:bidi="ar-SA"/>
    </w:rPr>
  </w:style>
  <w:style w:type="character" w:customStyle="1" w:styleId="943">
    <w:name w:val="edui-clickable2"/>
    <w:autoRedefine/>
    <w:qFormat/>
    <w:uiPriority w:val="0"/>
    <w:rPr>
      <w:color w:val="0000FF"/>
      <w:u w:val="single"/>
    </w:rPr>
  </w:style>
  <w:style w:type="character" w:customStyle="1" w:styleId="944">
    <w:name w:val="style1"/>
    <w:autoRedefine/>
    <w:qFormat/>
    <w:uiPriority w:val="0"/>
    <w:rPr>
      <w:rFonts w:ascii="Arial" w:hAnsi="Arial" w:eastAsia="黑体" w:cs="Arial"/>
      <w:snapToGrid w:val="0"/>
      <w:kern w:val="0"/>
      <w:szCs w:val="21"/>
    </w:rPr>
  </w:style>
  <w:style w:type="character" w:customStyle="1" w:styleId="945">
    <w:name w:val="zbggtop11 style5"/>
    <w:autoRedefine/>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7">
    <w:name w:val="bulletintext1"/>
    <w:autoRedefine/>
    <w:qFormat/>
    <w:uiPriority w:val="0"/>
    <w:rPr>
      <w:color w:val="000000"/>
      <w:sz w:val="18"/>
    </w:rPr>
  </w:style>
  <w:style w:type="paragraph" w:customStyle="1" w:styleId="948">
    <w:name w:val="_Style 947"/>
    <w:basedOn w:val="1"/>
    <w:next w:val="258"/>
    <w:autoRedefine/>
    <w:qFormat/>
    <w:uiPriority w:val="34"/>
    <w:pPr>
      <w:adjustRightInd/>
      <w:ind w:firstLine="420" w:firstLineChars="200"/>
    </w:pPr>
  </w:style>
  <w:style w:type="paragraph" w:customStyle="1" w:styleId="94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autoRedefine/>
    <w:qFormat/>
    <w:uiPriority w:val="0"/>
    <w:pPr>
      <w:adjustRightInd/>
      <w:jc w:val="left"/>
    </w:pPr>
    <w:rPr>
      <w:rFonts w:ascii="Calibri" w:hAnsi="Calibri"/>
      <w:kern w:val="0"/>
      <w:sz w:val="22"/>
      <w:szCs w:val="22"/>
      <w:lang w:eastAsia="en-US"/>
    </w:rPr>
  </w:style>
  <w:style w:type="paragraph" w:customStyle="1" w:styleId="95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1"/>
    <w:autoRedefine/>
    <w:qFormat/>
    <w:uiPriority w:val="0"/>
    <w:rPr>
      <w:color w:val="000000"/>
      <w:shd w:val="clear" w:color="auto" w:fill="EFD200"/>
    </w:rPr>
  </w:style>
  <w:style w:type="character" w:customStyle="1" w:styleId="961">
    <w:name w:val="font71"/>
    <w:autoRedefine/>
    <w:qFormat/>
    <w:uiPriority w:val="0"/>
    <w:rPr>
      <w:rFonts w:hint="eastAsia" w:ascii="宋体" w:hAnsi="宋体" w:eastAsia="宋体" w:cs="宋体"/>
      <w:color w:val="000000"/>
      <w:sz w:val="22"/>
      <w:szCs w:val="22"/>
      <w:u w:val="none"/>
    </w:rPr>
  </w:style>
  <w:style w:type="character" w:customStyle="1" w:styleId="962">
    <w:name w:val="font91"/>
    <w:autoRedefine/>
    <w:qFormat/>
    <w:uiPriority w:val="0"/>
    <w:rPr>
      <w:rFonts w:hint="eastAsia" w:ascii="仿宋" w:hAnsi="仿宋" w:eastAsia="仿宋" w:cs="仿宋"/>
      <w:color w:val="000000"/>
      <w:sz w:val="22"/>
      <w:szCs w:val="22"/>
      <w:u w:val="none"/>
    </w:rPr>
  </w:style>
  <w:style w:type="paragraph" w:customStyle="1" w:styleId="963">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No Spacing1"/>
    <w:autoRedefine/>
    <w:qFormat/>
    <w:uiPriority w:val="0"/>
    <w:rPr>
      <w:rFonts w:ascii="Times New Roman" w:hAnsi="Times New Roman" w:eastAsia="??" w:cs="宋体"/>
      <w:sz w:val="22"/>
      <w:szCs w:val="22"/>
      <w:lang w:val="en-US" w:eastAsia="en-US" w:bidi="ar-SA"/>
    </w:rPr>
  </w:style>
  <w:style w:type="paragraph" w:customStyle="1" w:styleId="965">
    <w:name w:val=" Char Char Char Char Char Char Char Char Char Char Char Char Char Char Char Char"/>
    <w:basedOn w:val="1"/>
    <w:next w:val="258"/>
    <w:autoRedefine/>
    <w:qFormat/>
    <w:uiPriority w:val="0"/>
    <w:pPr>
      <w:widowControl w:val="0"/>
      <w:spacing w:before="0" w:after="0" w:line="240" w:lineRule="auto"/>
      <w:ind w:left="0" w:firstLine="3584"/>
      <w:jc w:val="both"/>
    </w:pPr>
  </w:style>
  <w:style w:type="paragraph" w:customStyle="1" w:styleId="966">
    <w:name w:val="_Style 2"/>
    <w:autoRedefine/>
    <w:qFormat/>
    <w:uiPriority w:val="0"/>
    <w:pPr>
      <w:widowControl w:val="0"/>
      <w:jc w:val="both"/>
    </w:pPr>
    <w:rPr>
      <w:rFonts w:ascii="Times New Roman" w:hAnsi="Times New Roman" w:eastAsia="宋体" w:cs="Calibri"/>
      <w:kern w:val="2"/>
      <w:sz w:val="21"/>
      <w:szCs w:val="22"/>
      <w:lang w:val="en-US" w:eastAsia="zh-CN" w:bidi="ar-SA"/>
    </w:rPr>
  </w:style>
  <w:style w:type="paragraph" w:customStyle="1" w:styleId="967">
    <w:name w:val="[Normal]"/>
    <w:autoRedefine/>
    <w:qFormat/>
    <w:uiPriority w:val="99"/>
    <w:rPr>
      <w:rFonts w:ascii="宋体" w:hAnsi="宋体" w:eastAsia="宋体" w:cs="宋体"/>
      <w:kern w:val="0"/>
      <w:sz w:val="24"/>
      <w:szCs w:val="24"/>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35514</Words>
  <Characters>37695</Characters>
  <Lines>281</Lines>
  <Paragraphs>79</Paragraphs>
  <TotalTime>19</TotalTime>
  <ScaleCrop>false</ScaleCrop>
  <LinksUpToDate>false</LinksUpToDate>
  <CharactersWithSpaces>43100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你的男孩J_J</cp:lastModifiedBy>
  <cp:lastPrinted>2023-12-28T05:45:00Z</cp:lastPrinted>
  <dcterms:modified xsi:type="dcterms:W3CDTF">2024-02-04T11:31:19Z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