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highlight w:val="none"/>
        </w:rPr>
      </w:pPr>
    </w:p>
    <w:p>
      <w:pPr>
        <w:adjustRightInd/>
        <w:spacing w:line="360" w:lineRule="auto"/>
        <w:rPr>
          <w:rFonts w:ascii="仿宋" w:hAnsi="仿宋" w:eastAsia="仿宋" w:cs="仿宋_GB2312"/>
          <w:b/>
          <w:sz w:val="44"/>
          <w:szCs w:val="44"/>
          <w:highlight w:val="none"/>
        </w:rPr>
      </w:pPr>
    </w:p>
    <w:p>
      <w:pPr>
        <w:pStyle w:val="6"/>
        <w:jc w:val="center"/>
        <w:rPr>
          <w:rFonts w:hint="eastAsia" w:eastAsia="宋体"/>
          <w:sz w:val="48"/>
          <w:szCs w:val="48"/>
          <w:highlight w:val="none"/>
          <w:lang w:eastAsia="zh-CN"/>
        </w:rPr>
      </w:pPr>
      <w:r>
        <w:rPr>
          <w:rFonts w:hint="eastAsia" w:ascii="黑体" w:hAnsi="黑体" w:eastAsia="黑体" w:cs="黑体"/>
          <w:b/>
          <w:bCs/>
          <w:sz w:val="48"/>
          <w:szCs w:val="48"/>
          <w:highlight w:val="none"/>
          <w:lang w:eastAsia="zh-CN"/>
        </w:rPr>
        <w:t>余杭区地质灾害“一坡一卡”调查项目</w:t>
      </w:r>
    </w:p>
    <w:p>
      <w:pPr>
        <w:pStyle w:val="7"/>
        <w:rPr>
          <w:highlight w:val="none"/>
        </w:rPr>
      </w:pPr>
    </w:p>
    <w:p>
      <w:pPr>
        <w:rPr>
          <w:highlight w:val="none"/>
        </w:rPr>
      </w:pPr>
    </w:p>
    <w:p>
      <w:pPr>
        <w:pStyle w:val="5"/>
        <w:rPr>
          <w:highlight w:val="none"/>
        </w:rPr>
      </w:pPr>
    </w:p>
    <w:p>
      <w:pPr>
        <w:rPr>
          <w:highlight w:val="none"/>
        </w:rPr>
      </w:pPr>
    </w:p>
    <w:p>
      <w:pPr>
        <w:pStyle w:val="5"/>
        <w:rPr>
          <w:highlight w:val="none"/>
        </w:rPr>
      </w:pPr>
      <w:bookmarkStart w:id="416" w:name="_GoBack"/>
      <w:bookmarkEnd w:id="416"/>
    </w:p>
    <w:p>
      <w:pPr>
        <w:pStyle w:val="206"/>
        <w:ind w:firstLine="460"/>
        <w:rPr>
          <w:highlight w:val="none"/>
        </w:rPr>
      </w:pPr>
    </w:p>
    <w:p>
      <w:pPr>
        <w:adjustRightInd/>
        <w:spacing w:line="360" w:lineRule="auto"/>
        <w:jc w:val="center"/>
        <w:rPr>
          <w:rFonts w:ascii="黑体" w:hAnsi="黑体" w:eastAsia="黑体" w:cs="黑体"/>
          <w:sz w:val="84"/>
          <w:szCs w:val="84"/>
          <w:highlight w:val="none"/>
        </w:rPr>
      </w:pPr>
      <w:r>
        <w:rPr>
          <w:rFonts w:hint="eastAsia" w:ascii="黑体" w:hAnsi="黑体" w:eastAsia="黑体" w:cs="黑体"/>
          <w:sz w:val="84"/>
          <w:szCs w:val="84"/>
          <w:highlight w:val="none"/>
        </w:rPr>
        <w:t>招 标 文 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pPr>
        <w:pStyle w:val="6"/>
        <w:rPr>
          <w:highlight w:val="none"/>
        </w:rPr>
      </w:pPr>
    </w:p>
    <w:p>
      <w:pPr>
        <w:snapToGrid w:val="0"/>
        <w:spacing w:line="360" w:lineRule="auto"/>
        <w:jc w:val="center"/>
        <w:rPr>
          <w:rFonts w:hint="eastAsia" w:ascii="仿宋" w:hAnsi="仿宋" w:eastAsia="仿宋" w:cs="仿宋_GB2312"/>
          <w:sz w:val="36"/>
          <w:szCs w:val="36"/>
          <w:highlight w:val="none"/>
          <w:lang w:eastAsia="zh-CN"/>
        </w:rPr>
      </w:pPr>
      <w:r>
        <w:rPr>
          <w:rFonts w:hint="eastAsia" w:ascii="仿宋" w:hAnsi="仿宋" w:eastAsia="仿宋" w:cs="仿宋_GB2312"/>
          <w:sz w:val="36"/>
          <w:szCs w:val="36"/>
          <w:highlight w:val="none"/>
        </w:rPr>
        <w:t>编号</w:t>
      </w:r>
      <w:r>
        <w:rPr>
          <w:rFonts w:ascii="仿宋" w:hAnsi="仿宋" w:eastAsia="仿宋" w:cs="仿宋_GB2312"/>
          <w:sz w:val="36"/>
          <w:szCs w:val="36"/>
          <w:highlight w:val="none"/>
        </w:rPr>
        <w:t>:</w:t>
      </w:r>
      <w:r>
        <w:rPr>
          <w:rFonts w:hint="eastAsia" w:ascii="仿宋" w:hAnsi="仿宋" w:eastAsia="仿宋" w:cs="仿宋_GB2312"/>
          <w:sz w:val="36"/>
          <w:szCs w:val="36"/>
          <w:highlight w:val="none"/>
          <w:lang w:eastAsia="zh-CN"/>
        </w:rPr>
        <w:t>HHRDL-2023-002</w:t>
      </w:r>
    </w:p>
    <w:p>
      <w:pPr>
        <w:adjustRightInd/>
        <w:spacing w:line="360" w:lineRule="auto"/>
        <w:rPr>
          <w:rFonts w:ascii="仿宋" w:hAnsi="仿宋" w:eastAsia="仿宋" w:cs="仿宋_GB2312"/>
          <w:sz w:val="28"/>
          <w:szCs w:val="20"/>
          <w:highlight w:val="none"/>
        </w:rPr>
      </w:pPr>
    </w:p>
    <w:p>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pPr>
        <w:pStyle w:val="6"/>
        <w:rPr>
          <w:highlight w:val="none"/>
        </w:rPr>
      </w:pPr>
    </w:p>
    <w:p>
      <w:pPr>
        <w:spacing w:line="360" w:lineRule="auto"/>
        <w:rPr>
          <w:rFonts w:ascii="仿宋" w:hAnsi="仿宋" w:eastAsia="仿宋" w:cs="仿宋_GB2312"/>
          <w:sz w:val="24"/>
          <w:highlight w:val="none"/>
        </w:rPr>
      </w:pPr>
    </w:p>
    <w:p>
      <w:pPr>
        <w:pStyle w:val="5"/>
        <w:rPr>
          <w:rFonts w:ascii="仿宋" w:eastAsia="仿宋" w:cs="仿宋_GB2312"/>
          <w:sz w:val="24"/>
          <w:highlight w:val="none"/>
        </w:rPr>
      </w:pPr>
    </w:p>
    <w:p>
      <w:pPr>
        <w:rPr>
          <w:highlight w:val="none"/>
        </w:rPr>
      </w:pPr>
    </w:p>
    <w:p>
      <w:pPr>
        <w:snapToGrid w:val="0"/>
        <w:spacing w:line="480" w:lineRule="auto"/>
        <w:jc w:val="center"/>
        <w:rPr>
          <w:rFonts w:hint="eastAsia" w:ascii="仿宋_GB2312" w:hAnsi="仿宋_GB2312" w:eastAsia="仿宋_GB2312" w:cs="仿宋_GB2312"/>
          <w:bCs/>
          <w:sz w:val="36"/>
          <w:szCs w:val="36"/>
          <w:highlight w:val="none"/>
          <w:lang w:eastAsia="zh-CN"/>
        </w:rPr>
      </w:pPr>
      <w:r>
        <w:rPr>
          <w:rFonts w:hint="eastAsia" w:ascii="仿宋_GB2312" w:hAnsi="仿宋_GB2312" w:eastAsia="仿宋_GB2312" w:cs="仿宋_GB2312"/>
          <w:bCs/>
          <w:sz w:val="36"/>
          <w:szCs w:val="36"/>
          <w:highlight w:val="none"/>
        </w:rPr>
        <w:t xml:space="preserve"> 招标人：</w:t>
      </w:r>
      <w:r>
        <w:rPr>
          <w:rFonts w:hint="eastAsia" w:ascii="仿宋_GB2312" w:hAnsi="仿宋_GB2312" w:eastAsia="仿宋_GB2312" w:cs="仿宋_GB2312"/>
          <w:bCs/>
          <w:sz w:val="36"/>
          <w:szCs w:val="36"/>
          <w:highlight w:val="none"/>
          <w:lang w:eastAsia="zh-CN"/>
        </w:rPr>
        <w:t>杭州市规划和自然资源局余杭分局</w:t>
      </w:r>
    </w:p>
    <w:p>
      <w:pPr>
        <w:snapToGrid w:val="0"/>
        <w:spacing w:line="480" w:lineRule="auto"/>
        <w:jc w:val="center"/>
        <w:rPr>
          <w:rFonts w:hint="eastAsia" w:ascii="仿宋_GB2312" w:hAnsi="仿宋_GB2312" w:eastAsia="仿宋_GB2312" w:cs="仿宋_GB2312"/>
          <w:bCs/>
          <w:sz w:val="36"/>
          <w:szCs w:val="36"/>
          <w:highlight w:val="none"/>
          <w:lang w:eastAsia="zh-CN"/>
        </w:rPr>
      </w:pPr>
      <w:r>
        <w:rPr>
          <w:rFonts w:hint="eastAsia" w:ascii="仿宋_GB2312" w:hAnsi="仿宋_GB2312" w:eastAsia="仿宋_GB2312" w:cs="仿宋_GB2312"/>
          <w:bCs/>
          <w:sz w:val="36"/>
          <w:szCs w:val="36"/>
          <w:highlight w:val="none"/>
        </w:rPr>
        <w:t>招标代理机构：</w:t>
      </w:r>
      <w:r>
        <w:rPr>
          <w:rFonts w:hint="eastAsia" w:ascii="仿宋_GB2312" w:hAnsi="仿宋_GB2312" w:eastAsia="仿宋_GB2312" w:cs="仿宋_GB2312"/>
          <w:bCs/>
          <w:sz w:val="36"/>
          <w:szCs w:val="36"/>
          <w:highlight w:val="none"/>
          <w:lang w:eastAsia="zh-CN"/>
        </w:rPr>
        <w:t>浙江恒合瑞建设工程有限公司</w:t>
      </w:r>
    </w:p>
    <w:p>
      <w:pPr>
        <w:snapToGrid w:val="0"/>
        <w:spacing w:line="480" w:lineRule="auto"/>
        <w:jc w:val="center"/>
        <w:rPr>
          <w:rFonts w:ascii="仿宋_GB2312" w:hAnsi="仿宋_GB2312" w:eastAsia="仿宋_GB2312" w:cs="仿宋_GB2312"/>
          <w:bCs/>
          <w:sz w:val="36"/>
          <w:szCs w:val="36"/>
          <w:highlight w:val="none"/>
        </w:rPr>
      </w:pPr>
      <w:r>
        <w:rPr>
          <w:rFonts w:hint="eastAsia" w:ascii="仿宋_GB2312" w:hAnsi="仿宋_GB2312" w:eastAsia="仿宋_GB2312" w:cs="仿宋_GB2312"/>
          <w:bCs/>
          <w:sz w:val="36"/>
          <w:szCs w:val="36"/>
          <w:highlight w:val="none"/>
        </w:rPr>
        <w:t>二</w:t>
      </w:r>
      <w:r>
        <w:rPr>
          <w:rFonts w:hint="eastAsia" w:ascii="宋体" w:hAnsi="宋体" w:cs="宋体"/>
          <w:bCs/>
          <w:sz w:val="36"/>
          <w:szCs w:val="36"/>
          <w:highlight w:val="none"/>
        </w:rPr>
        <w:t>〇</w:t>
      </w:r>
      <w:r>
        <w:rPr>
          <w:rFonts w:hint="eastAsia" w:ascii="仿宋_GB2312" w:hAnsi="仿宋_GB2312" w:eastAsia="仿宋_GB2312" w:cs="仿宋_GB2312"/>
          <w:bCs/>
          <w:sz w:val="36"/>
          <w:szCs w:val="36"/>
          <w:highlight w:val="none"/>
        </w:rPr>
        <w:t>二三年</w:t>
      </w:r>
      <w:r>
        <w:rPr>
          <w:rFonts w:hint="eastAsia" w:ascii="仿宋_GB2312" w:hAnsi="仿宋_GB2312" w:eastAsia="仿宋_GB2312" w:cs="仿宋_GB2312"/>
          <w:bCs/>
          <w:sz w:val="36"/>
          <w:szCs w:val="36"/>
          <w:highlight w:val="none"/>
          <w:lang w:val="en-US" w:eastAsia="zh-CN"/>
        </w:rPr>
        <w:t>十</w:t>
      </w:r>
      <w:r>
        <w:rPr>
          <w:rFonts w:hint="eastAsia" w:ascii="仿宋_GB2312" w:hAnsi="仿宋_GB2312" w:eastAsia="仿宋_GB2312" w:cs="仿宋_GB2312"/>
          <w:bCs/>
          <w:sz w:val="36"/>
          <w:szCs w:val="36"/>
          <w:highlight w:val="none"/>
        </w:rPr>
        <w:t>月</w:t>
      </w:r>
      <w:r>
        <w:rPr>
          <w:rFonts w:hint="eastAsia" w:ascii="仿宋_GB2312" w:hAnsi="仿宋_GB2312" w:eastAsia="仿宋_GB2312" w:cs="仿宋_GB2312"/>
          <w:bCs/>
          <w:sz w:val="36"/>
          <w:szCs w:val="36"/>
          <w:highlight w:val="none"/>
          <w:lang w:val="en-US" w:eastAsia="zh-CN"/>
        </w:rPr>
        <w:t>三十</w:t>
      </w:r>
      <w:r>
        <w:rPr>
          <w:rFonts w:hint="eastAsia" w:ascii="仿宋_GB2312" w:hAnsi="仿宋_GB2312" w:eastAsia="仿宋_GB2312" w:cs="仿宋_GB2312"/>
          <w:bCs/>
          <w:sz w:val="36"/>
          <w:szCs w:val="36"/>
          <w:highlight w:val="none"/>
        </w:rPr>
        <w:t>日</w:t>
      </w:r>
    </w:p>
    <w:p>
      <w:pPr>
        <w:spacing w:line="360" w:lineRule="auto"/>
        <w:jc w:val="center"/>
        <w:rPr>
          <w:rFonts w:ascii="仿宋" w:hAnsi="仿宋" w:eastAsia="仿宋" w:cs="仿宋_GB2312"/>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pStyle w:val="2"/>
        <w:ind w:firstLine="420"/>
        <w:rPr>
          <w:highlight w:val="none"/>
        </w:rPr>
      </w:pPr>
    </w:p>
    <w:p>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w:t>
      </w:r>
      <w:r>
        <w:rPr>
          <w:rFonts w:ascii="仿宋" w:hAnsi="仿宋" w:eastAsia="仿宋" w:cs="仿宋_GB2312"/>
          <w:b/>
          <w:sz w:val="48"/>
          <w:szCs w:val="48"/>
          <w:highlight w:val="none"/>
        </w:rPr>
        <w:t xml:space="preserve">  </w:t>
      </w:r>
      <w:r>
        <w:rPr>
          <w:rFonts w:hint="eastAsia" w:ascii="仿宋" w:hAnsi="仿宋" w:eastAsia="仿宋" w:cs="仿宋_GB2312"/>
          <w:b/>
          <w:sz w:val="48"/>
          <w:szCs w:val="48"/>
          <w:highlight w:val="none"/>
        </w:rPr>
        <w:t>录</w:t>
      </w:r>
    </w:p>
    <w:p>
      <w:pPr>
        <w:spacing w:line="360" w:lineRule="auto"/>
        <w:rPr>
          <w:rFonts w:ascii="仿宋" w:hAnsi="仿宋" w:eastAsia="仿宋" w:cs="仿宋_GB2312"/>
          <w:sz w:val="32"/>
          <w:szCs w:val="32"/>
          <w:highlight w:val="none"/>
        </w:rPr>
      </w:pPr>
    </w:p>
    <w:p>
      <w:pPr>
        <w:spacing w:line="360" w:lineRule="auto"/>
        <w:rPr>
          <w:rFonts w:ascii="仿宋" w:hAnsi="仿宋" w:eastAsia="仿宋" w:cs="仿宋_GB2312"/>
          <w:sz w:val="32"/>
          <w:szCs w:val="32"/>
          <w:highlight w:val="none"/>
        </w:rPr>
      </w:pP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招标公告</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投标人须知</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采购需求</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评标办法</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拟签订的合同文本</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应提交的有关格式范例</w:t>
      </w:r>
    </w:p>
    <w:p>
      <w:pPr>
        <w:spacing w:line="360" w:lineRule="auto"/>
        <w:ind w:firstLine="549" w:firstLineChars="229"/>
        <w:rPr>
          <w:rFonts w:ascii="仿宋" w:hAnsi="仿宋" w:eastAsia="仿宋" w:cs="仿宋_GB2312"/>
          <w:sz w:val="24"/>
          <w:highlight w:val="none"/>
        </w:rPr>
      </w:pPr>
      <w:bookmarkStart w:id="0" w:name="_Hlt91233176"/>
      <w:bookmarkEnd w:id="0"/>
      <w:bookmarkStart w:id="1" w:name="_Toc91899869"/>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tabs>
          <w:tab w:val="left" w:pos="3713"/>
        </w:tabs>
        <w:spacing w:line="360" w:lineRule="auto"/>
        <w:ind w:firstLine="549" w:firstLineChars="229"/>
        <w:rPr>
          <w:rFonts w:ascii="仿宋" w:hAnsi="仿宋" w:eastAsia="仿宋" w:cs="仿宋_GB2312"/>
          <w:sz w:val="24"/>
          <w:highlight w:val="none"/>
        </w:rPr>
      </w:pPr>
      <w:r>
        <w:rPr>
          <w:rFonts w:hint="eastAsia" w:ascii="仿宋" w:hAnsi="仿宋" w:eastAsia="仿宋" w:cs="仿宋_GB2312"/>
          <w:sz w:val="24"/>
          <w:highlight w:val="none"/>
        </w:rPr>
        <w:tab/>
      </w: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bookmarkEnd w:id="1"/>
    <w:p>
      <w:pPr>
        <w:adjustRightInd/>
        <w:spacing w:line="360" w:lineRule="auto"/>
        <w:outlineLvl w:val="0"/>
        <w:rPr>
          <w:rFonts w:ascii="仿宋" w:hAnsi="仿宋" w:eastAsia="仿宋" w:cs="仿宋_GB2312"/>
          <w:b/>
          <w:sz w:val="36"/>
          <w:szCs w:val="20"/>
          <w:highlight w:val="none"/>
        </w:rPr>
      </w:pPr>
      <w:bookmarkStart w:id="2" w:name="_Hlt74728647"/>
      <w:bookmarkEnd w:id="2"/>
      <w:bookmarkStart w:id="3" w:name="_Hlt74707423"/>
      <w:bookmarkEnd w:id="3"/>
      <w:bookmarkStart w:id="4" w:name="_Hlt74649545"/>
      <w:bookmarkEnd w:id="4"/>
      <w:bookmarkStart w:id="5" w:name="_Hlt74729822"/>
      <w:bookmarkEnd w:id="5"/>
      <w:bookmarkStart w:id="6" w:name="第二部分"/>
      <w:bookmarkStart w:id="7" w:name="_Toc91899870"/>
      <w:bookmarkStart w:id="8" w:name="_Toc91899871"/>
    </w:p>
    <w:p>
      <w:pPr>
        <w:adjustRightInd/>
        <w:spacing w:line="360" w:lineRule="auto"/>
        <w:outlineLvl w:val="0"/>
        <w:rPr>
          <w:rFonts w:ascii="仿宋" w:hAnsi="仿宋" w:eastAsia="仿宋" w:cs="仿宋_GB2312"/>
          <w:b/>
          <w:sz w:val="36"/>
          <w:szCs w:val="20"/>
          <w:highlight w:val="none"/>
        </w:rPr>
      </w:pPr>
    </w:p>
    <w:p>
      <w:pPr>
        <w:adjustRightInd/>
        <w:spacing w:line="360" w:lineRule="auto"/>
        <w:outlineLvl w:val="0"/>
        <w:rPr>
          <w:rFonts w:ascii="仿宋" w:hAnsi="仿宋" w:eastAsia="仿宋" w:cs="仿宋_GB2312"/>
          <w:b/>
          <w:sz w:val="36"/>
          <w:szCs w:val="20"/>
          <w:highlight w:val="none"/>
        </w:rPr>
      </w:pPr>
    </w:p>
    <w:p>
      <w:pPr>
        <w:adjustRightInd/>
        <w:spacing w:line="360" w:lineRule="auto"/>
        <w:jc w:val="center"/>
        <w:outlineLvl w:val="0"/>
        <w:rPr>
          <w:rFonts w:ascii="仿宋_GB2312" w:hAnsi="仿宋" w:eastAsia="仿宋_GB2312" w:cs="仿宋_GB2312"/>
          <w:b/>
          <w:sz w:val="36"/>
          <w:szCs w:val="20"/>
          <w:highlight w:val="none"/>
        </w:rPr>
      </w:pPr>
      <w:r>
        <w:rPr>
          <w:rFonts w:hint="eastAsia" w:ascii="仿宋" w:hAnsi="仿宋" w:eastAsia="仿宋" w:cs="仿宋_GB2312"/>
          <w:b/>
          <w:sz w:val="36"/>
          <w:szCs w:val="20"/>
          <w:highlight w:val="none"/>
        </w:rPr>
        <w:t>第一部分</w:t>
      </w:r>
      <w:r>
        <w:rPr>
          <w:rFonts w:ascii="仿宋" w:hAnsi="仿宋" w:eastAsia="仿宋" w:cs="仿宋_GB2312"/>
          <w:b/>
          <w:sz w:val="36"/>
          <w:szCs w:val="20"/>
          <w:highlight w:val="none"/>
        </w:rPr>
        <w:t xml:space="preserve"> </w:t>
      </w:r>
      <w:r>
        <w:rPr>
          <w:rFonts w:hint="eastAsia" w:ascii="仿宋_GB2312" w:hAnsi="仿宋" w:eastAsia="仿宋_GB2312" w:cs="仿宋_GB2312"/>
          <w:b/>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highlight w:val="none"/>
          <w:u w:val="single"/>
        </w:rPr>
        <w:t>（</w:t>
      </w:r>
      <w:r>
        <w:rPr>
          <w:rFonts w:hint="eastAsia" w:ascii="仿宋_GB2312" w:hAnsi="仿宋" w:eastAsia="仿宋_GB2312" w:cs="仿宋_GB2312"/>
          <w:sz w:val="24"/>
          <w:highlight w:val="none"/>
          <w:u w:val="single"/>
          <w:lang w:eastAsia="zh-CN"/>
        </w:rPr>
        <w:t>余杭区地质灾害“一坡一卡”调查项目</w:t>
      </w:r>
      <w:r>
        <w:rPr>
          <w:rFonts w:hint="eastAsia" w:ascii="仿宋_GB2312" w:hAnsi="仿宋" w:eastAsia="仿宋_GB2312" w:cs="仿宋_GB2312"/>
          <w:sz w:val="24"/>
          <w:highlight w:val="none"/>
          <w:u w:val="single"/>
        </w:rPr>
        <w:t>）</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sz w:val="24"/>
          <w:highlight w:val="none"/>
          <w:u w:val="single"/>
        </w:rPr>
        <w:t>2023</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20</w:t>
      </w:r>
      <w:r>
        <w:rPr>
          <w:rFonts w:hint="eastAsia" w:ascii="仿宋_GB2312" w:hAnsi="仿宋" w:eastAsia="仿宋_GB2312"/>
          <w:sz w:val="24"/>
          <w:highlight w:val="none"/>
          <w:u w:val="single"/>
        </w:rPr>
        <w:t>日13点30分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b/>
          <w:sz w:val="24"/>
          <w:highlight w:val="none"/>
          <w:lang w:eastAsia="zh-CN"/>
        </w:rPr>
        <w:t>HHRDL-2023-002</w:t>
      </w:r>
    </w:p>
    <w:p>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w:t>
      </w:r>
      <w:r>
        <w:rPr>
          <w:rFonts w:ascii="仿宋_GB2312" w:hAnsi="仿宋" w:eastAsia="仿宋_GB2312"/>
          <w:b/>
          <w:sz w:val="24"/>
          <w:highlight w:val="none"/>
        </w:rPr>
        <w:t xml:space="preserve"> 项目名称：</w:t>
      </w:r>
      <w:r>
        <w:rPr>
          <w:rFonts w:hint="eastAsia" w:ascii="仿宋_GB2312" w:hAnsi="仿宋" w:eastAsia="仿宋_GB2312" w:cs="仿宋_GB2312"/>
          <w:sz w:val="24"/>
          <w:highlight w:val="none"/>
          <w:lang w:eastAsia="zh-CN"/>
        </w:rPr>
        <w:t>余杭区地质灾害“一坡一卡”调查项目</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_GB2312" w:hAnsi="仿宋" w:eastAsia="仿宋_GB2312"/>
          <w:b/>
          <w:sz w:val="24"/>
          <w:highlight w:val="none"/>
        </w:rPr>
        <w:t>500000</w:t>
      </w:r>
      <w:r>
        <w:rPr>
          <w:rFonts w:ascii="仿宋_GB2312" w:hAnsi="仿宋" w:eastAsia="仿宋_GB2312"/>
          <w:sz w:val="24"/>
          <w:highlight w:val="none"/>
        </w:rPr>
        <w:t xml:space="preserve"> </w:t>
      </w:r>
      <w:r>
        <w:rPr>
          <w:rFonts w:hint="eastAsia"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最高限价（元）：500000</w:t>
      </w:r>
      <w:r>
        <w:rPr>
          <w:rFonts w:ascii="仿宋_GB2312" w:hAnsi="仿宋" w:eastAsia="仿宋_GB2312"/>
          <w:sz w:val="24"/>
          <w:highlight w:val="none"/>
        </w:rPr>
        <w:t xml:space="preserve"> </w:t>
      </w:r>
      <w:r>
        <w:rPr>
          <w:rFonts w:hint="eastAsia" w:ascii="仿宋_GB2312" w:hAnsi="仿宋" w:eastAsia="仿宋_GB2312"/>
          <w:sz w:val="24"/>
          <w:highlight w:val="none"/>
        </w:rPr>
        <w:t xml:space="preserve"> </w:t>
      </w:r>
    </w:p>
    <w:p>
      <w:pPr>
        <w:pStyle w:val="20"/>
        <w:spacing w:line="360" w:lineRule="auto"/>
        <w:ind w:firstLine="480"/>
        <w:rPr>
          <w:rFonts w:ascii="仿宋_GB2312" w:hAnsi="仿宋" w:eastAsia="仿宋_GB2312"/>
          <w:bCs/>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color w:val="auto"/>
          <w:kern w:val="2"/>
          <w:sz w:val="24"/>
          <w:szCs w:val="24"/>
          <w:highlight w:val="none"/>
          <w:lang w:eastAsia="zh-CN"/>
        </w:rPr>
        <w:t>余杭区地质灾害“一坡一卡”调查项目</w:t>
      </w:r>
      <w:r>
        <w:rPr>
          <w:rFonts w:hint="eastAsia" w:ascii="仿宋_GB2312" w:hAnsi="仿宋" w:eastAsia="仿宋_GB2312"/>
          <w:bCs/>
          <w:color w:val="auto"/>
          <w:kern w:val="2"/>
          <w:sz w:val="24"/>
          <w:szCs w:val="24"/>
          <w:highlight w:val="none"/>
        </w:rPr>
        <w:t>，详见招标文件第三部分采购需求。</w:t>
      </w:r>
    </w:p>
    <w:p>
      <w:pPr>
        <w:pStyle w:val="20"/>
        <w:spacing w:line="360" w:lineRule="auto"/>
        <w:ind w:firstLine="480"/>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合同履约期限：详见招标文件第三部分采购需求。</w:t>
      </w:r>
    </w:p>
    <w:p>
      <w:pPr>
        <w:pStyle w:val="20"/>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r>
        <w:rPr>
          <w:rFonts w:hint="eastAsia" w:ascii="仿宋_GB2312" w:hAnsi="仿宋" w:eastAsia="仿宋_GB2312"/>
          <w:b/>
          <w:color w:val="auto"/>
          <w:sz w:val="24"/>
          <w:highlight w:val="none"/>
        </w:rPr>
        <w:sym w:font="Wingdings" w:char="00FE"/>
      </w:r>
      <w:r>
        <w:rPr>
          <w:rFonts w:hint="eastAsia" w:ascii="仿宋_GB2312" w:hAnsi="仿宋" w:eastAsia="仿宋_GB2312"/>
          <w:b/>
          <w:color w:val="auto"/>
          <w:sz w:val="24"/>
          <w:highlight w:val="none"/>
        </w:rPr>
        <w:t>是，</w:t>
      </w:r>
      <w:r>
        <w:rPr>
          <w:rFonts w:hint="eastAsia" w:ascii="仿宋_GB2312" w:hAnsi="仿宋" w:eastAsia="仿宋_GB2312"/>
          <w:b/>
          <w:color w:val="auto"/>
          <w:sz w:val="24"/>
          <w:highlight w:val="none"/>
        </w:rPr>
        <w:sym w:font="Wingdings" w:char="00A8"/>
      </w:r>
      <w:r>
        <w:rPr>
          <w:rFonts w:hint="eastAsia" w:ascii="仿宋_GB2312" w:hAnsi="仿宋" w:eastAsia="仿宋_GB2312"/>
          <w:b/>
          <w:color w:val="auto"/>
          <w:sz w:val="24"/>
          <w:highlight w:val="none"/>
        </w:rPr>
        <w:t>否。</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highlight w:val="none"/>
        </w:rPr>
      </w:pPr>
      <w:r>
        <w:rPr>
          <w:rFonts w:ascii="仿宋" w:hAnsi="仿宋" w:eastAsia="仿宋" w:cs="仿宋_GB2312"/>
          <w:snapToGrid w:val="0"/>
          <w:kern w:val="28"/>
          <w:sz w:val="24"/>
          <w:szCs w:val="20"/>
          <w:highlight w:val="none"/>
        </w:rPr>
        <w:t xml:space="preserve">    </w:t>
      </w:r>
      <w:r>
        <w:rPr>
          <w:rFonts w:hint="eastAsia" w:ascii="仿宋" w:hAnsi="仿宋" w:eastAsia="仿宋" w:cs="仿宋"/>
          <w:snapToGrid w:val="0"/>
          <w:kern w:val="28"/>
          <w:sz w:val="24"/>
          <w:highlight w:val="none"/>
        </w:rPr>
        <w:t>2.</w:t>
      </w:r>
      <w:r>
        <w:rPr>
          <w:rFonts w:hint="eastAsia" w:ascii="仿宋" w:hAnsi="仿宋" w:eastAsia="仿宋" w:cs="仿宋"/>
          <w:sz w:val="24"/>
          <w:highlight w:val="none"/>
        </w:rPr>
        <w:t xml:space="preserve"> </w:t>
      </w:r>
      <w:r>
        <w:rPr>
          <w:rFonts w:hint="eastAsia" w:ascii="仿宋" w:hAnsi="仿宋" w:eastAsia="仿宋" w:cs="仿宋"/>
          <w:snapToGrid w:val="0"/>
          <w:kern w:val="28"/>
          <w:sz w:val="24"/>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_GB2312"/>
          <w:snapToGrid w:val="0"/>
          <w:kern w:val="28"/>
          <w:sz w:val="24"/>
          <w:szCs w:val="20"/>
          <w:highlight w:val="none"/>
        </w:rPr>
      </w:pPr>
      <w:r>
        <w:rPr>
          <w:rFonts w:hint="eastAsia" w:ascii="仿宋" w:hAnsi="仿宋" w:eastAsia="仿宋" w:cs="仿宋_GB2312"/>
          <w:snapToGrid w:val="0"/>
          <w:kern w:val="28"/>
          <w:sz w:val="24"/>
          <w:szCs w:val="20"/>
          <w:highlight w:val="none"/>
        </w:rPr>
        <w:t>3</w:t>
      </w:r>
      <w:r>
        <w:rPr>
          <w:rFonts w:ascii="仿宋" w:hAnsi="仿宋" w:eastAsia="仿宋" w:cs="仿宋_GB2312"/>
          <w:snapToGrid w:val="0"/>
          <w:kern w:val="28"/>
          <w:sz w:val="24"/>
          <w:szCs w:val="20"/>
          <w:highlight w:val="none"/>
        </w:rPr>
        <w:t>.</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hint="eastAsia" w:ascii="仿宋_GB2312" w:hAnsi="仿宋" w:eastAsia="仿宋_GB2312"/>
          <w:sz w:val="24"/>
          <w:highlight w:val="none"/>
        </w:rPr>
      </w:pPr>
      <w:r>
        <w:rPr>
          <w:rFonts w:ascii="MS Gothic" w:hAnsi="MS Gothic" w:eastAsia="MS Gothic" w:cs="Arial"/>
          <w:kern w:val="0"/>
          <w:sz w:val="24"/>
          <w:highlight w:val="none"/>
        </w:rPr>
        <w:sym w:font="Wingdings" w:char="00A8"/>
      </w:r>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highlight w:val="none"/>
        </w:rPr>
      </w:pPr>
      <w:r>
        <w:rPr>
          <w:rFonts w:ascii="MS Gothic" w:hAnsi="MS Gothic" w:eastAsia="MS Gothic" w:cs="Arial"/>
          <w:kern w:val="0"/>
          <w:sz w:val="24"/>
          <w:highlight w:val="none"/>
        </w:rPr>
        <w:sym w:font="Wingdings" w:char="00FE"/>
      </w:r>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r>
        <w:rPr>
          <w:rFonts w:ascii="MS Gothic" w:hAnsi="MS Gothic" w:eastAsia="MS Gothic" w:cs="Arial"/>
          <w:kern w:val="0"/>
          <w:sz w:val="24"/>
          <w:highlight w:val="none"/>
        </w:rPr>
        <w:sym w:font="Wingdings" w:char="00A8"/>
      </w:r>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highlight w:val="none"/>
        </w:rPr>
      </w:pPr>
      <w:r>
        <w:rPr>
          <w:rFonts w:ascii="MS Gothic" w:hAnsi="MS Gothic" w:eastAsia="仿宋_GB2312" w:cs="Arial"/>
          <w:kern w:val="0"/>
          <w:sz w:val="24"/>
          <w:highlight w:val="none"/>
        </w:rPr>
        <w:t>☐</w:t>
      </w:r>
      <w:r>
        <w:rPr>
          <w:rFonts w:hint="eastAsia" w:ascii="仿宋_GB2312" w:hAnsi="仿宋" w:eastAsia="仿宋_GB2312"/>
          <w:sz w:val="24"/>
          <w:highlight w:val="none"/>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r>
        <w:rPr>
          <w:rFonts w:ascii="MS Gothic" w:hAnsi="MS Gothic" w:eastAsia="MS Gothic" w:cs="Arial"/>
          <w:kern w:val="0"/>
          <w:sz w:val="24"/>
          <w:highlight w:val="none"/>
        </w:rPr>
        <w:sym w:font="Wingdings" w:char="00FE"/>
      </w:r>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rFonts w:ascii="仿宋_GB2312" w:hAnsi="仿宋" w:eastAsia="仿宋_GB2312"/>
          <w:sz w:val="24"/>
          <w:highlight w:val="none"/>
        </w:rPr>
      </w:pPr>
      <w:r>
        <w:rPr>
          <w:rFonts w:ascii="MS Gothic" w:hAnsi="MS Gothic" w:eastAsia="仿宋_GB2312" w:cs="Arial"/>
          <w:kern w:val="0"/>
          <w:sz w:val="24"/>
          <w:highlight w:val="none"/>
        </w:rPr>
        <w:t>☐</w:t>
      </w:r>
      <w:r>
        <w:rPr>
          <w:rFonts w:hint="eastAsia" w:ascii="仿宋_GB2312" w:hAnsi="仿宋" w:eastAsia="仿宋_GB2312"/>
          <w:sz w:val="24"/>
          <w:highlight w:val="none"/>
        </w:rPr>
        <w:t>服务全部由符合政策要求的小微企业承接，提供中小企业声明函；</w:t>
      </w:r>
    </w:p>
    <w:p>
      <w:pPr>
        <w:rPr>
          <w:highlight w:val="none"/>
        </w:rPr>
      </w:pPr>
    </w:p>
    <w:p>
      <w:pPr>
        <w:spacing w:line="360" w:lineRule="auto"/>
        <w:ind w:firstLine="480" w:firstLineChars="200"/>
        <w:rPr>
          <w:rFonts w:ascii="仿宋" w:hAnsi="仿宋" w:eastAsia="仿宋"/>
          <w:sz w:val="24"/>
          <w:highlight w:val="none"/>
        </w:rPr>
      </w:pPr>
      <w:r>
        <w:rPr>
          <w:rFonts w:ascii="MS Gothic" w:hAnsi="MS Gothic" w:eastAsia="仿宋_GB2312" w:cs="Arial"/>
          <w:kern w:val="0"/>
          <w:sz w:val="24"/>
          <w:highlight w:val="none"/>
        </w:rPr>
        <w:t>☐</w:t>
      </w:r>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rFonts w:hint="eastAsia" w:ascii="仿宋" w:hAnsi="仿宋" w:eastAsia="仿宋"/>
          <w:sz w:val="24"/>
          <w:highlight w:val="none"/>
        </w:rPr>
      </w:pPr>
      <w:r>
        <w:rPr>
          <w:rFonts w:ascii="MS Gothic" w:hAnsi="MS Gothic" w:eastAsia="仿宋_GB2312" w:cs="Arial"/>
          <w:kern w:val="0"/>
          <w:sz w:val="24"/>
          <w:highlight w:val="none"/>
        </w:rPr>
        <w:t>☐</w:t>
      </w:r>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MS Gothic" w:hAnsi="MS Gothic" w:eastAsia="仿宋_GB2312" w:cs="Arial"/>
          <w:kern w:val="0"/>
          <w:sz w:val="24"/>
          <w:highlight w:val="none"/>
        </w:rPr>
        <w:t>☐</w:t>
      </w:r>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highlight w:val="none"/>
        </w:rPr>
      </w:pPr>
      <w:r>
        <w:rPr>
          <w:rFonts w:ascii="MS Gothic" w:hAnsi="MS Gothic" w:eastAsia="仿宋_GB2312" w:cs="Arial"/>
          <w:kern w:val="0"/>
          <w:sz w:val="24"/>
          <w:highlight w:val="none"/>
        </w:rPr>
        <w:t>☐</w:t>
      </w:r>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.本项目的特定资格要求：</w:t>
      </w:r>
      <w:r>
        <w:rPr>
          <w:rFonts w:hint="eastAsia" w:ascii="仿宋_GB2312" w:hAnsi="仿宋" w:eastAsia="仿宋_GB2312"/>
          <w:sz w:val="24"/>
          <w:highlight w:val="none"/>
        </w:rPr>
        <w:t>具备地质灾害勘查乙级及以上资质</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w:t>
      </w:r>
      <w:r>
        <w:rPr>
          <w:rFonts w:ascii="仿宋_GB2312" w:hAnsi="仿宋" w:eastAsia="仿宋_GB2312"/>
          <w:sz w:val="24"/>
          <w:highlight w:val="none"/>
        </w:rPr>
        <w:t>至</w:t>
      </w:r>
      <w:r>
        <w:rPr>
          <w:rFonts w:hint="eastAsia" w:ascii="仿宋_GB2312" w:hAnsi="仿宋" w:eastAsia="仿宋_GB2312"/>
          <w:sz w:val="24"/>
          <w:highlight w:val="none"/>
          <w:u w:val="single"/>
        </w:rPr>
        <w:t>2023</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11</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20</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2023年</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20</w:t>
      </w:r>
      <w:r>
        <w:rPr>
          <w:rFonts w:hint="eastAsia" w:ascii="仿宋_GB2312" w:hAnsi="仿宋" w:eastAsia="仿宋_GB2312"/>
          <w:sz w:val="24"/>
          <w:highlight w:val="none"/>
          <w:u w:val="single"/>
        </w:rPr>
        <w:t>日13点30分00秒</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https://www.zcygov.cn/）</w:t>
      </w:r>
      <w:r>
        <w:rPr>
          <w:rFonts w:hint="eastAsia" w:ascii="仿宋_GB2312" w:hAnsi="仿宋" w:eastAsia="仿宋_GB2312"/>
          <w:sz w:val="24"/>
          <w:highlight w:val="none"/>
        </w:rPr>
        <w:t>；</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2023年</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20</w:t>
      </w:r>
      <w:r>
        <w:rPr>
          <w:rFonts w:hint="eastAsia" w:ascii="仿宋_GB2312" w:hAnsi="仿宋" w:eastAsia="仿宋_GB2312"/>
          <w:sz w:val="24"/>
          <w:highlight w:val="none"/>
          <w:u w:val="single"/>
        </w:rPr>
        <w:t>日13点30分00秒</w:t>
      </w:r>
      <w:r>
        <w:rPr>
          <w:rFonts w:hint="eastAsia" w:ascii="仿宋_GB2312" w:hAnsi="仿宋" w:eastAsia="仿宋_GB2312"/>
          <w:bCs/>
          <w:sz w:val="24"/>
          <w:highlight w:val="none"/>
          <w:u w:val="singl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r>
        <w:rPr>
          <w:rFonts w:hint="eastAsia" w:ascii="仿宋_GB2312" w:hAnsi="仿宋" w:eastAsia="仿宋_GB2312"/>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highlight w:val="none"/>
        </w:rPr>
      </w:pPr>
      <w:r>
        <w:rPr>
          <w:rFonts w:hint="eastAsia" w:ascii="仿宋_GB2312" w:hAnsi="仿宋" w:eastAsia="仿宋_GB2312"/>
          <w:sz w:val="24"/>
          <w:highlight w:val="none"/>
        </w:rPr>
        <w:t>2.其他事项：（1）需要落实的政府采购政策：包括节约资源、保护环境、支持创新、促进中小企业发展等。详见招标文件的第二部分总则。（2）</w:t>
      </w:r>
      <w:r>
        <w:rPr>
          <w:rFonts w:ascii="仿宋_GB2312" w:hAnsi="仿宋" w:eastAsia="仿宋_GB2312"/>
          <w:sz w:val="24"/>
          <w:highlight w:val="none"/>
        </w:rPr>
        <w:t>电子招投标的说明：</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w:t>
      </w:r>
      <w:r>
        <w:rPr>
          <w:rFonts w:ascii="仿宋_GB2312" w:hAnsi="仿宋" w:eastAsia="仿宋_GB2312"/>
          <w:sz w:val="24"/>
          <w:highlight w:val="none"/>
        </w:rPr>
        <w:t xml:space="preserve"> </w:t>
      </w:r>
      <w:r>
        <w:rPr>
          <w:rFonts w:hint="eastAsia" w:ascii="仿宋_GB2312" w:hAnsi="仿宋" w:eastAsia="仿宋_GB2312"/>
          <w:sz w:val="24"/>
          <w:highlight w:val="none"/>
        </w:rPr>
        <w:t>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_GB2312" w:hAnsi="仿宋" w:eastAsia="仿宋_GB2312"/>
          <w:b/>
          <w:bCs/>
          <w:sz w:val="24"/>
          <w:highlight w:val="none"/>
        </w:rPr>
      </w:pPr>
      <w:r>
        <w:rPr>
          <w:rFonts w:ascii="仿宋_GB2312" w:hAnsi="仿宋" w:eastAsia="仿宋_GB2312"/>
          <w:b/>
          <w:bCs/>
          <w:sz w:val="24"/>
          <w:highlight w:val="none"/>
        </w:rPr>
        <w:t xml:space="preserve">    1.采购人信息</w:t>
      </w:r>
    </w:p>
    <w:p>
      <w:pPr>
        <w:widowControl/>
        <w:spacing w:line="360" w:lineRule="auto"/>
        <w:ind w:firstLine="480" w:firstLineChars="200"/>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名称：</w:t>
      </w:r>
      <w:r>
        <w:rPr>
          <w:rFonts w:hint="eastAsia" w:ascii="仿宋_GB2312" w:hAnsi="仿宋_GB2312" w:eastAsia="仿宋_GB2312" w:cs="仿宋_GB2312"/>
          <w:sz w:val="24"/>
          <w:highlight w:val="none"/>
          <w:lang w:eastAsia="zh-CN"/>
        </w:rPr>
        <w:t>杭州市规划和自然资源局余杭分局</w:t>
      </w:r>
    </w:p>
    <w:p>
      <w:pPr>
        <w:snapToGrid w:val="0"/>
        <w:spacing w:line="360" w:lineRule="auto"/>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地址：</w:t>
      </w:r>
      <w:r>
        <w:rPr>
          <w:rFonts w:hint="eastAsia" w:ascii="仿宋_GB2312" w:hAnsi="仿宋_GB2312" w:eastAsia="仿宋_GB2312" w:cs="仿宋_GB2312"/>
          <w:sz w:val="24"/>
          <w:highlight w:val="none"/>
          <w:lang w:eastAsia="zh-CN"/>
        </w:rPr>
        <w:t>杭州市余杭区溪沁路8号中国电信浙江创新园1号楼1单元5楼</w:t>
      </w:r>
    </w:p>
    <w:p>
      <w:pPr>
        <w:widowControl/>
        <w:spacing w:line="360" w:lineRule="auto"/>
        <w:ind w:firstLine="480" w:firstLineChars="200"/>
        <w:jc w:val="left"/>
        <w:outlineLvl w:val="1"/>
        <w:rPr>
          <w:rFonts w:ascii="仿宋_GB2312" w:hAnsi="仿宋_GB2312" w:eastAsia="仿宋_GB2312" w:cs="仿宋_GB2312"/>
          <w:sz w:val="24"/>
          <w:highlight w:val="none"/>
          <w:u w:val="none"/>
        </w:rPr>
      </w:pPr>
      <w:bookmarkStart w:id="9" w:name="_Toc28359086"/>
      <w:bookmarkStart w:id="10" w:name="_Toc28359009"/>
      <w:bookmarkStart w:id="11" w:name="_Toc31571"/>
      <w:r>
        <w:rPr>
          <w:rFonts w:hint="eastAsia" w:ascii="仿宋_GB2312" w:hAnsi="仿宋_GB2312" w:eastAsia="仿宋_GB2312" w:cs="仿宋_GB2312"/>
          <w:sz w:val="24"/>
          <w:highlight w:val="none"/>
        </w:rPr>
        <w:t>项目联系人（询问）：</w:t>
      </w:r>
      <w:r>
        <w:rPr>
          <w:rFonts w:hint="eastAsia" w:ascii="仿宋_GB2312" w:hAnsi="仿宋_GB2312" w:eastAsia="仿宋_GB2312" w:cs="仿宋_GB2312"/>
          <w:sz w:val="24"/>
          <w:highlight w:val="none"/>
          <w:lang w:eastAsia="zh-CN"/>
        </w:rPr>
        <w:t>申恒杰</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u w:val="none"/>
        </w:rPr>
        <w:t xml:space="preserve"> 联系电话：</w:t>
      </w:r>
      <w:r>
        <w:rPr>
          <w:rFonts w:hint="eastAsia" w:ascii="仿宋_GB2312" w:hAnsi="仿宋_GB2312" w:eastAsia="仿宋_GB2312" w:cs="仿宋_GB2312"/>
          <w:sz w:val="24"/>
          <w:highlight w:val="none"/>
          <w:u w:val="none"/>
          <w:lang w:eastAsia="zh-CN"/>
        </w:rPr>
        <w:t>0571-89391672</w:t>
      </w:r>
      <w:r>
        <w:rPr>
          <w:rFonts w:hint="eastAsia" w:ascii="仿宋_GB2312" w:hAnsi="仿宋_GB2312" w:eastAsia="仿宋_GB2312" w:cs="仿宋_GB2312"/>
          <w:sz w:val="24"/>
          <w:highlight w:val="none"/>
          <w:u w:val="none"/>
        </w:rPr>
        <w:t xml:space="preserve">    </w:t>
      </w:r>
    </w:p>
    <w:p>
      <w:pPr>
        <w:widowControl/>
        <w:spacing w:line="360" w:lineRule="auto"/>
        <w:ind w:firstLine="480" w:firstLineChars="200"/>
        <w:jc w:val="left"/>
        <w:outlineLvl w:val="1"/>
        <w:rPr>
          <w:rFonts w:ascii="仿宋_GB2312" w:hAnsi="仿宋_GB2312" w:eastAsia="仿宋_GB2312" w:cs="仿宋_GB2312"/>
          <w:b/>
          <w:sz w:val="24"/>
          <w:highlight w:val="none"/>
        </w:rPr>
      </w:pPr>
      <w:r>
        <w:rPr>
          <w:rFonts w:hint="eastAsia" w:ascii="仿宋_GB2312" w:hAnsi="仿宋_GB2312" w:eastAsia="仿宋_GB2312" w:cs="仿宋_GB2312"/>
          <w:sz w:val="24"/>
          <w:highlight w:val="none"/>
        </w:rPr>
        <w:t>质疑联系人：</w:t>
      </w:r>
      <w:r>
        <w:rPr>
          <w:rFonts w:hint="eastAsia" w:ascii="仿宋_GB2312" w:hAnsi="仿宋_GB2312" w:eastAsia="仿宋_GB2312" w:cs="仿宋_GB2312"/>
          <w:sz w:val="24"/>
          <w:highlight w:val="none"/>
          <w:lang w:eastAsia="zh-CN"/>
        </w:rPr>
        <w:t>陆松根</w:t>
      </w:r>
      <w:r>
        <w:rPr>
          <w:rFonts w:hint="eastAsia" w:ascii="仿宋_GB2312" w:hAnsi="仿宋_GB2312" w:eastAsia="仿宋_GB2312" w:cs="仿宋_GB2312"/>
          <w:sz w:val="24"/>
          <w:highlight w:val="none"/>
        </w:rPr>
        <w:t xml:space="preserve">                       联系电话：</w:t>
      </w:r>
      <w:r>
        <w:rPr>
          <w:rFonts w:hint="eastAsia" w:ascii="仿宋_GB2312" w:hAnsi="仿宋_GB2312" w:eastAsia="仿宋_GB2312" w:cs="仿宋_GB2312"/>
          <w:sz w:val="24"/>
          <w:highlight w:val="none"/>
          <w:lang w:eastAsia="zh-CN"/>
        </w:rPr>
        <w:t>0571-89391673</w:t>
      </w:r>
      <w:r>
        <w:rPr>
          <w:rFonts w:hint="eastAsia" w:ascii="仿宋_GB2312" w:hAnsi="仿宋_GB2312" w:eastAsia="仿宋_GB2312" w:cs="仿宋_GB2312"/>
          <w:sz w:val="24"/>
          <w:highlight w:val="none"/>
        </w:rPr>
        <w:t xml:space="preserve"> </w:t>
      </w:r>
    </w:p>
    <w:p>
      <w:pPr>
        <w:widowControl/>
        <w:spacing w:line="360" w:lineRule="auto"/>
        <w:ind w:firstLine="482" w:firstLineChars="200"/>
        <w:jc w:val="left"/>
        <w:outlineLvl w:val="1"/>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2.采购代理机构信息</w:t>
      </w:r>
      <w:bookmarkEnd w:id="9"/>
      <w:bookmarkEnd w:id="10"/>
      <w:bookmarkEnd w:id="11"/>
    </w:p>
    <w:p>
      <w:pPr>
        <w:spacing w:line="360" w:lineRule="auto"/>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名称：</w:t>
      </w:r>
      <w:r>
        <w:rPr>
          <w:rFonts w:hint="eastAsia" w:ascii="仿宋_GB2312" w:hAnsi="仿宋_GB2312" w:eastAsia="仿宋_GB2312" w:cs="仿宋_GB2312"/>
          <w:sz w:val="24"/>
          <w:highlight w:val="none"/>
          <w:lang w:eastAsia="zh-CN"/>
        </w:rPr>
        <w:t>浙江恒合瑞建设工程有限公司</w:t>
      </w:r>
    </w:p>
    <w:p>
      <w:pPr>
        <w:spacing w:line="360" w:lineRule="auto"/>
        <w:ind w:firstLine="480"/>
        <w:rPr>
          <w:rFonts w:ascii="仿宋_GB2312" w:hAnsi="仿宋" w:eastAsia="仿宋_GB2312"/>
          <w:sz w:val="24"/>
          <w:highlight w:val="none"/>
        </w:rPr>
      </w:pPr>
      <w:bookmarkStart w:id="12" w:name="_Toc28359010"/>
      <w:bookmarkStart w:id="13" w:name="_Toc28359087"/>
      <w:bookmarkStart w:id="14" w:name="_Toc19946"/>
      <w:r>
        <w:rPr>
          <w:rFonts w:hint="eastAsia" w:ascii="仿宋_GB2312" w:hAnsi="仿宋" w:eastAsia="仿宋_GB2312"/>
          <w:sz w:val="24"/>
          <w:highlight w:val="none"/>
        </w:rPr>
        <w:t>地址：杭州市临平区兴国路506号k7原创园11号楼2楼</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 w:hAnsi="仿宋" w:eastAsia="仿宋"/>
          <w:sz w:val="24"/>
          <w:highlight w:val="none"/>
        </w:rPr>
        <w:t xml:space="preserve"> </w:t>
      </w:r>
      <w:r>
        <w:rPr>
          <w:rFonts w:hint="eastAsia" w:ascii="仿宋" w:hAnsi="仿宋" w:eastAsia="仿宋"/>
          <w:sz w:val="24"/>
          <w:highlight w:val="none"/>
          <w:lang w:val="en-US" w:eastAsia="zh-CN"/>
        </w:rPr>
        <w:t>吴雪静</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13777846972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lang w:eastAsia="zh-CN"/>
        </w:rPr>
        <w:t>胡豪杰</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lang w:val="en-US" w:eastAsia="zh-CN"/>
        </w:rPr>
        <w:t>19557132056</w:t>
      </w:r>
      <w:r>
        <w:rPr>
          <w:rFonts w:hint="eastAsia" w:ascii="仿宋" w:hAnsi="仿宋" w:eastAsia="仿宋"/>
          <w:sz w:val="24"/>
          <w:highlight w:val="none"/>
        </w:rPr>
        <w:t xml:space="preserve"> </w:t>
      </w:r>
    </w:p>
    <w:p>
      <w:pPr>
        <w:snapToGrid w:val="0"/>
        <w:spacing w:line="360" w:lineRule="auto"/>
        <w:ind w:firstLine="482" w:firstLineChars="200"/>
        <w:outlineLvl w:val="1"/>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3.</w:t>
      </w:r>
      <w:bookmarkEnd w:id="12"/>
      <w:bookmarkEnd w:id="13"/>
      <w:r>
        <w:rPr>
          <w:rFonts w:hint="eastAsia" w:ascii="仿宋_GB2312" w:hAnsi="仿宋_GB2312" w:eastAsia="仿宋_GB2312" w:cs="仿宋_GB2312"/>
          <w:b/>
          <w:sz w:val="24"/>
          <w:highlight w:val="none"/>
        </w:rPr>
        <w:t>同级政府采购监督管理部门</w:t>
      </w:r>
      <w:bookmarkEnd w:id="14"/>
    </w:p>
    <w:p>
      <w:pPr>
        <w:pStyle w:val="2"/>
        <w:ind w:left="0" w:leftChars="0" w:firstLine="480" w:firstLineChars="200"/>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名称：杭州市余杭区财政局</w:t>
      </w:r>
    </w:p>
    <w:p>
      <w:pPr>
        <w:pStyle w:val="2"/>
        <w:ind w:left="0" w:leftChars="0" w:firstLine="480" w:firstLineChars="200"/>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地址：杭州市余杭区文一西路1500号8号楼</w:t>
      </w:r>
    </w:p>
    <w:p>
      <w:pPr>
        <w:pStyle w:val="2"/>
        <w:ind w:left="0" w:leftChars="0" w:firstLine="480" w:firstLineChars="200"/>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传真：0571-88728858</w:t>
      </w:r>
    </w:p>
    <w:p>
      <w:pPr>
        <w:pStyle w:val="2"/>
        <w:ind w:left="0" w:leftChars="0" w:firstLine="480" w:firstLineChars="200"/>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联系人：储女士</w:t>
      </w:r>
    </w:p>
    <w:p>
      <w:pPr>
        <w:pStyle w:val="2"/>
        <w:ind w:left="0" w:leftChars="0" w:firstLine="480" w:firstLineChars="200"/>
        <w:rPr>
          <w:rFonts w:ascii="仿宋_GB2312" w:hAnsi="仿宋_GB2312" w:eastAsia="仿宋_GB2312" w:cs="仿宋_GB2312"/>
          <w:highlight w:val="none"/>
        </w:rPr>
      </w:pPr>
      <w:r>
        <w:rPr>
          <w:rFonts w:hint="eastAsia" w:ascii="仿宋_GB2312" w:hAnsi="仿宋_GB2312" w:eastAsia="仿宋_GB2312" w:cs="仿宋_GB2312"/>
          <w:color w:val="000000"/>
          <w:sz w:val="24"/>
          <w:highlight w:val="none"/>
        </w:rPr>
        <w:t>监督投诉电话：0571-88728858</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pPr>
        <w:pStyle w:val="35"/>
        <w:spacing w:line="360" w:lineRule="auto"/>
        <w:ind w:firstLine="480" w:firstLineChars="200"/>
        <w:rPr>
          <w:rFonts w:ascii="仿宋" w:hAnsi="仿宋" w:eastAsia="仿宋" w:cs="仿宋_GB2312"/>
          <w:sz w:val="24"/>
          <w:szCs w:val="24"/>
          <w:highlight w:val="none"/>
        </w:rPr>
      </w:pPr>
      <w:r>
        <w:rPr>
          <w:rFonts w:ascii="仿宋" w:hAnsi="仿宋" w:eastAsia="仿宋" w:cs="仿宋_GB2312"/>
          <w:sz w:val="24"/>
          <w:highlight w:val="none"/>
        </w:rPr>
        <w:t xml:space="preserve">                              </w:t>
      </w:r>
    </w:p>
    <w:p>
      <w:pPr>
        <w:adjustRightInd/>
        <w:spacing w:line="360" w:lineRule="auto"/>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6"/>
      <w:r>
        <w:rPr>
          <w:rFonts w:ascii="仿宋" w:hAnsi="仿宋" w:eastAsia="仿宋" w:cs="仿宋_GB2312"/>
          <w:b/>
          <w:sz w:val="36"/>
          <w:szCs w:val="20"/>
          <w:highlight w:val="none"/>
        </w:rPr>
        <w:t xml:space="preserve"> 投标人须知</w:t>
      </w:r>
      <w:bookmarkEnd w:id="7"/>
    </w:p>
    <w:p>
      <w:pPr>
        <w:snapToGrid w:val="0"/>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 附 表</w:t>
      </w:r>
    </w:p>
    <w:tbl>
      <w:tblPr>
        <w:tblStyle w:val="62"/>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39"/>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trPr>
        <w:tc>
          <w:tcPr>
            <w:tcW w:w="629" w:type="dxa"/>
            <w:vAlign w:val="center"/>
          </w:tcPr>
          <w:p>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1739" w:type="dxa"/>
            <w:vAlign w:val="center"/>
          </w:tcPr>
          <w:p>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事项</w:t>
            </w:r>
          </w:p>
        </w:tc>
        <w:tc>
          <w:tcPr>
            <w:tcW w:w="6415" w:type="dxa"/>
            <w:vAlign w:val="center"/>
          </w:tcPr>
          <w:p>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pPr>
              <w:snapToGrid w:val="0"/>
              <w:spacing w:line="288"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739" w:type="dxa"/>
            <w:vAlign w:val="center"/>
          </w:tcPr>
          <w:p>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报价要求</w:t>
            </w:r>
          </w:p>
        </w:tc>
        <w:tc>
          <w:tcPr>
            <w:tcW w:w="6415" w:type="dxa"/>
            <w:vAlign w:val="center"/>
          </w:tcPr>
          <w:p>
            <w:pPr>
              <w:snapToGrid w:val="0"/>
              <w:spacing w:line="288"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kern w:val="0"/>
                <w:sz w:val="24"/>
                <w:highlight w:val="none"/>
                <w:lang w:val="zh-CN"/>
              </w:rPr>
              <w:t>有关本项目实施所需的所有费用（含税费）均计入报价。</w:t>
            </w:r>
            <w:r>
              <w:rPr>
                <w:rFonts w:hint="eastAsia" w:ascii="仿宋_GB2312" w:hAnsi="仿宋" w:eastAsia="仿宋_GB2312" w:cs="仿宋_GB2312"/>
                <w:sz w:val="24"/>
                <w:highlight w:val="none"/>
              </w:rPr>
              <w:t>开标一览表（报价表）</w:t>
            </w:r>
            <w:r>
              <w:rPr>
                <w:rFonts w:hint="eastAsia" w:ascii="仿宋_GB2312" w:hAnsi="仿宋" w:eastAsia="仿宋_GB2312"/>
                <w:sz w:val="24"/>
                <w:highlight w:val="none"/>
              </w:rPr>
              <w:t>是报价的唯一载体</w:t>
            </w:r>
            <w:r>
              <w:rPr>
                <w:rFonts w:hint="eastAsia" w:ascii="仿宋_GB2312" w:hAnsi="仿宋" w:eastAsia="仿宋_GB2312" w:cs="仿宋_GB2312"/>
                <w:kern w:val="0"/>
                <w:sz w:val="24"/>
                <w:highlight w:val="none"/>
                <w:lang w:val="zh-CN"/>
              </w:rPr>
              <w:t>。投标文件中价格全部采用人民币报价。招标文件未列明，而投标人认为必需的费用也需列入报价。提醒：验收时检测费用由采购人承担，包含在投标总价中。</w:t>
            </w:r>
          </w:p>
          <w:p>
            <w:pPr>
              <w:snapToGrid w:val="0"/>
              <w:spacing w:line="288" w:lineRule="auto"/>
              <w:ind w:firstLine="482"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b/>
                <w:kern w:val="0"/>
                <w:sz w:val="24"/>
                <w:highlight w:val="none"/>
              </w:rPr>
              <w:t>本</w:t>
            </w:r>
            <w:r>
              <w:rPr>
                <w:rFonts w:hint="eastAsia" w:ascii="仿宋_GB2312" w:hAnsi="仿宋" w:eastAsia="仿宋_GB2312" w:cs="仿宋_GB2312"/>
                <w:b/>
                <w:kern w:val="0"/>
                <w:sz w:val="24"/>
                <w:highlight w:val="none"/>
                <w:lang w:val="zh-CN"/>
              </w:rPr>
              <w:t>项目</w:t>
            </w:r>
            <w:r>
              <w:rPr>
                <w:rFonts w:hint="eastAsia" w:ascii="仿宋_GB2312" w:hAnsi="仿宋" w:eastAsia="仿宋_GB2312" w:cs="仿宋_GB2312"/>
                <w:kern w:val="0"/>
                <w:sz w:val="24"/>
                <w:highlight w:val="none"/>
                <w:lang w:val="zh-CN"/>
              </w:rPr>
              <w:t>最高限价</w:t>
            </w:r>
            <w:r>
              <w:rPr>
                <w:rFonts w:hint="eastAsia" w:ascii="仿宋_GB2312" w:hAnsi="仿宋" w:eastAsia="仿宋_GB2312" w:cs="仿宋_GB2312"/>
                <w:kern w:val="0"/>
                <w:sz w:val="24"/>
                <w:highlight w:val="none"/>
                <w:lang w:val="en-US" w:eastAsia="zh-CN"/>
              </w:rPr>
              <w:t>50</w:t>
            </w:r>
            <w:r>
              <w:rPr>
                <w:rFonts w:hint="eastAsia" w:ascii="仿宋_GB2312" w:hAnsi="仿宋" w:eastAsia="仿宋_GB2312" w:cs="仿宋_GB2312"/>
                <w:kern w:val="0"/>
                <w:sz w:val="24"/>
                <w:highlight w:val="none"/>
                <w:lang w:val="zh-CN"/>
              </w:rPr>
              <w:t>万元；</w:t>
            </w:r>
          </w:p>
          <w:p>
            <w:pPr>
              <w:snapToGrid w:val="0"/>
              <w:spacing w:line="288"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投标报价出现下列情形的，投标无效：</w:t>
            </w:r>
          </w:p>
          <w:p>
            <w:pPr>
              <w:snapToGrid w:val="0"/>
              <w:spacing w:line="288"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投标文件出现不是唯一的、有选择性投标报价的；</w:t>
            </w:r>
          </w:p>
          <w:p>
            <w:pPr>
              <w:snapToGrid w:val="0"/>
              <w:spacing w:line="288"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投标报价超过招标文件中规定的预算金额或者最高限价的;</w:t>
            </w:r>
          </w:p>
          <w:p>
            <w:pPr>
              <w:snapToGrid w:val="0"/>
              <w:spacing w:line="288"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报价明显低于其他通过符合性审查投标人的报价，有可能影响产品质量或者不能诚信履约的，未能按要求提供书面说明或者提交相关证明材料证明其报价合理性的;</w:t>
            </w:r>
          </w:p>
          <w:p>
            <w:pPr>
              <w:snapToGrid w:val="0"/>
              <w:spacing w:line="288" w:lineRule="auto"/>
              <w:ind w:firstLine="480" w:firstLineChars="200"/>
              <w:jc w:val="left"/>
              <w:rPr>
                <w:rFonts w:ascii="仿宋_GB2312" w:hAnsi="仿宋" w:eastAsia="仿宋_GB2312"/>
                <w:sz w:val="24"/>
                <w:highlight w:val="none"/>
              </w:rPr>
            </w:pPr>
            <w:r>
              <w:rPr>
                <w:rFonts w:hint="eastAsia" w:ascii="仿宋_GB2312" w:hAnsi="仿宋" w:eastAsia="仿宋_GB2312" w:cs="仿宋_GB2312"/>
                <w:kern w:val="0"/>
                <w:sz w:val="24"/>
                <w:highlight w:val="none"/>
                <w:lang w:val="zh-CN"/>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2" w:hRule="atLeast"/>
        </w:trPr>
        <w:tc>
          <w:tcPr>
            <w:tcW w:w="629" w:type="dxa"/>
            <w:vAlign w:val="center"/>
          </w:tcPr>
          <w:p>
            <w:pPr>
              <w:snapToGrid w:val="0"/>
              <w:spacing w:line="288"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739" w:type="dxa"/>
            <w:vAlign w:val="center"/>
          </w:tcPr>
          <w:p>
            <w:pPr>
              <w:snapToGrid w:val="0"/>
              <w:spacing w:line="288" w:lineRule="auto"/>
              <w:ind w:firstLine="482" w:firstLineChars="200"/>
              <w:rPr>
                <w:rFonts w:ascii="仿宋_GB2312" w:hAnsi="仿宋" w:eastAsia="仿宋_GB2312" w:cs="仿宋_GB2312"/>
                <w:b/>
                <w:sz w:val="24"/>
                <w:highlight w:val="none"/>
              </w:rPr>
            </w:pPr>
            <w:r>
              <w:rPr>
                <w:rFonts w:hint="eastAsia" w:ascii="仿宋_GB2312" w:hAnsi="仿宋" w:eastAsia="仿宋_GB2312" w:cs="仿宋_GB2312"/>
                <w:b/>
                <w:sz w:val="24"/>
                <w:highlight w:val="none"/>
              </w:rPr>
              <w:t>分包</w:t>
            </w:r>
          </w:p>
        </w:tc>
        <w:tc>
          <w:tcPr>
            <w:tcW w:w="6415" w:type="dxa"/>
            <w:vAlign w:val="center"/>
          </w:tcPr>
          <w:p>
            <w:pPr>
              <w:spacing w:line="288" w:lineRule="auto"/>
              <w:rPr>
                <w:rFonts w:ascii="仿宋_GB2312" w:hAnsi="仿宋" w:eastAsia="仿宋_GB2312"/>
                <w:sz w:val="24"/>
                <w:highlight w:val="none"/>
              </w:rPr>
            </w:pPr>
            <w:r>
              <w:rPr>
                <w:rFonts w:ascii="MS Gothic" w:hAnsi="MS Gothic" w:eastAsia="MS Gothic" w:cs="Arial"/>
                <w:kern w:val="0"/>
                <w:sz w:val="24"/>
                <w:highlight w:val="none"/>
              </w:rPr>
              <w:t>☐</w:t>
            </w:r>
            <w:r>
              <w:rPr>
                <w:rFonts w:ascii="仿宋_GB2312" w:hAnsi="仿宋" w:eastAsia="仿宋_GB2312" w:cs="Arial"/>
                <w:kern w:val="0"/>
                <w:sz w:val="24"/>
                <w:highlight w:val="none"/>
              </w:rPr>
              <w:t xml:space="preserve"> A</w:t>
            </w:r>
            <w:r>
              <w:rPr>
                <w:rFonts w:hint="eastAsia" w:ascii="仿宋_GB2312" w:hAnsi="仿宋" w:eastAsia="仿宋_GB2312"/>
                <w:sz w:val="24"/>
                <w:highlight w:val="none"/>
              </w:rPr>
              <w:t>同意将非主体、非关键性的</w:t>
            </w:r>
            <w:r>
              <w:rPr>
                <w:rFonts w:ascii="仿宋_GB2312" w:hAnsi="仿宋" w:eastAsia="仿宋_GB2312"/>
                <w:sz w:val="24"/>
                <w:highlight w:val="none"/>
                <w:u w:val="single"/>
              </w:rPr>
              <w:t xml:space="preserve">             </w:t>
            </w:r>
            <w:r>
              <w:rPr>
                <w:rFonts w:hint="eastAsia" w:ascii="仿宋_GB2312" w:hAnsi="仿宋" w:eastAsia="仿宋_GB2312"/>
                <w:sz w:val="24"/>
                <w:highlight w:val="none"/>
              </w:rPr>
              <w:t>工作分包。</w:t>
            </w:r>
          </w:p>
          <w:p>
            <w:pPr>
              <w:spacing w:line="288" w:lineRule="auto"/>
              <w:rPr>
                <w:rFonts w:ascii="仿宋_GB2312" w:hAnsi="仿宋" w:eastAsia="仿宋_GB2312" w:cs="仿宋_GB2312"/>
                <w:sz w:val="24"/>
                <w:highlight w:val="none"/>
              </w:rPr>
            </w:pPr>
            <w:r>
              <w:rPr>
                <w:rFonts w:ascii="仿宋_GB2312" w:hAnsi="仿宋" w:eastAsia="仿宋_GB2312" w:cs="Arial"/>
                <w:kern w:val="0"/>
                <w:sz w:val="24"/>
                <w:highlight w:val="none"/>
              </w:rPr>
              <w:sym w:font="Wingdings" w:char="F0FE"/>
            </w:r>
            <w:r>
              <w:rPr>
                <w:rFonts w:ascii="仿宋_GB2312" w:hAnsi="仿宋" w:eastAsia="仿宋_GB2312" w:cs="Arial"/>
                <w:kern w:val="0"/>
                <w:sz w:val="24"/>
                <w:highlight w:val="none"/>
              </w:rPr>
              <w:t xml:space="preserve"> B</w:t>
            </w:r>
            <w:r>
              <w:rPr>
                <w:rFonts w:hint="eastAsia" w:ascii="仿宋_GB2312" w:hAnsi="仿宋" w:eastAsia="仿宋_GB2312"/>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3" w:hRule="atLeast"/>
        </w:trPr>
        <w:tc>
          <w:tcPr>
            <w:tcW w:w="629" w:type="dxa"/>
            <w:vMerge w:val="restart"/>
            <w:vAlign w:val="center"/>
          </w:tcPr>
          <w:p>
            <w:pPr>
              <w:snapToGrid w:val="0"/>
              <w:spacing w:line="288" w:lineRule="auto"/>
              <w:jc w:val="center"/>
              <w:rPr>
                <w:rFonts w:ascii="仿宋_GB2312" w:hAnsi="仿宋" w:eastAsia="仿宋_GB2312" w:cs="仿宋_GB2312"/>
                <w:sz w:val="24"/>
                <w:highlight w:val="none"/>
              </w:rPr>
            </w:pPr>
          </w:p>
          <w:p>
            <w:pPr>
              <w:snapToGrid w:val="0"/>
              <w:spacing w:line="288" w:lineRule="auto"/>
              <w:jc w:val="center"/>
              <w:rPr>
                <w:rFonts w:ascii="仿宋_GB2312" w:hAnsi="仿宋" w:eastAsia="仿宋_GB2312" w:cs="仿宋_GB2312"/>
                <w:sz w:val="24"/>
                <w:highlight w:val="none"/>
              </w:rPr>
            </w:pPr>
          </w:p>
          <w:p>
            <w:pPr>
              <w:snapToGrid w:val="0"/>
              <w:spacing w:line="288"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3</w:t>
            </w:r>
          </w:p>
        </w:tc>
        <w:tc>
          <w:tcPr>
            <w:tcW w:w="1739" w:type="dxa"/>
            <w:vMerge w:val="restart"/>
            <w:vAlign w:val="center"/>
          </w:tcPr>
          <w:p>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投标人应当提供的资格、资信证明文件</w:t>
            </w:r>
          </w:p>
        </w:tc>
        <w:tc>
          <w:tcPr>
            <w:tcW w:w="6415" w:type="dxa"/>
            <w:vAlign w:val="center"/>
          </w:tcPr>
          <w:p>
            <w:pPr>
              <w:spacing w:line="288"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1）资格证明文件：见招标文件第二部分11.1。</w:t>
            </w:r>
          </w:p>
          <w:p>
            <w:pPr>
              <w:spacing w:line="288" w:lineRule="auto"/>
              <w:rPr>
                <w:rFonts w:ascii="Arial" w:hAnsi="Arial" w:eastAsia="黑体" w:cs="Arial"/>
                <w:snapToGrid w:val="0"/>
                <w:kern w:val="0"/>
                <w:szCs w:val="21"/>
                <w:highlight w:val="none"/>
              </w:rPr>
            </w:pPr>
            <w:r>
              <w:rPr>
                <w:rFonts w:hint="eastAsia" w:ascii="仿宋_GB2312" w:hAnsi="仿宋" w:eastAsia="仿宋_GB2312"/>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6" w:hRule="atLeast"/>
        </w:trPr>
        <w:tc>
          <w:tcPr>
            <w:tcW w:w="629" w:type="dxa"/>
            <w:vMerge w:val="continue"/>
            <w:vAlign w:val="center"/>
          </w:tcPr>
          <w:p>
            <w:pPr>
              <w:snapToGrid w:val="0"/>
              <w:spacing w:line="288" w:lineRule="auto"/>
              <w:jc w:val="center"/>
              <w:rPr>
                <w:rFonts w:ascii="仿宋_GB2312" w:hAnsi="仿宋" w:eastAsia="仿宋_GB2312" w:cs="仿宋_GB2312"/>
                <w:sz w:val="24"/>
                <w:highlight w:val="none"/>
              </w:rPr>
            </w:pPr>
          </w:p>
        </w:tc>
        <w:tc>
          <w:tcPr>
            <w:tcW w:w="1739" w:type="dxa"/>
            <w:vMerge w:val="continue"/>
            <w:vAlign w:val="center"/>
          </w:tcPr>
          <w:p>
            <w:pPr>
              <w:snapToGrid w:val="0"/>
              <w:spacing w:line="288" w:lineRule="auto"/>
              <w:jc w:val="center"/>
              <w:rPr>
                <w:rFonts w:ascii="仿宋_GB2312" w:hAnsi="仿宋" w:eastAsia="仿宋_GB2312" w:cs="仿宋_GB2312"/>
                <w:b/>
                <w:sz w:val="24"/>
                <w:highlight w:val="none"/>
              </w:rPr>
            </w:pPr>
          </w:p>
        </w:tc>
        <w:tc>
          <w:tcPr>
            <w:tcW w:w="6415" w:type="dxa"/>
            <w:vAlign w:val="center"/>
          </w:tcPr>
          <w:p>
            <w:pPr>
              <w:spacing w:line="288"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pPr>
              <w:snapToGrid w:val="0"/>
              <w:spacing w:line="288" w:lineRule="auto"/>
              <w:jc w:val="center"/>
              <w:rPr>
                <w:rFonts w:ascii="仿宋_GB2312" w:hAnsi="仿宋" w:eastAsia="仿宋_GB2312" w:cs="仿宋_GB2312"/>
                <w:sz w:val="24"/>
                <w:highlight w:val="none"/>
              </w:rPr>
            </w:pPr>
          </w:p>
          <w:p>
            <w:pPr>
              <w:snapToGrid w:val="0"/>
              <w:spacing w:line="288"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4</w:t>
            </w:r>
          </w:p>
        </w:tc>
        <w:tc>
          <w:tcPr>
            <w:tcW w:w="1739" w:type="dxa"/>
            <w:vAlign w:val="center"/>
          </w:tcPr>
          <w:p>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开标前答疑会或现场考察</w:t>
            </w:r>
          </w:p>
        </w:tc>
        <w:tc>
          <w:tcPr>
            <w:tcW w:w="6415" w:type="dxa"/>
            <w:vAlign w:val="center"/>
          </w:tcPr>
          <w:p>
            <w:pPr>
              <w:spacing w:line="288" w:lineRule="auto"/>
              <w:rPr>
                <w:rFonts w:ascii="仿宋_GB2312" w:hAnsi="仿宋" w:eastAsia="仿宋_GB2312"/>
                <w:sz w:val="24"/>
                <w:highlight w:val="none"/>
              </w:rPr>
            </w:pPr>
            <w:r>
              <w:rPr>
                <w:rFonts w:ascii="仿宋_GB2312" w:hAnsi="仿宋" w:eastAsia="仿宋_GB2312" w:cs="Arial"/>
                <w:kern w:val="0"/>
                <w:sz w:val="24"/>
                <w:highlight w:val="none"/>
              </w:rPr>
              <w:sym w:font="Wingdings" w:char="F0FE"/>
            </w:r>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spacing w:line="288" w:lineRule="auto"/>
              <w:rPr>
                <w:rFonts w:ascii="仿宋_GB2312" w:hAnsi="仿宋" w:eastAsia="仿宋_GB2312"/>
                <w:sz w:val="24"/>
                <w:szCs w:val="20"/>
                <w:highlight w:val="none"/>
              </w:rPr>
            </w:pPr>
            <w:r>
              <w:rPr>
                <w:rFonts w:ascii="MS Gothic" w:hAnsi="MS Gothic" w:eastAsia="MS Gothic" w:cs="Arial"/>
                <w:kern w:val="0"/>
                <w:sz w:val="24"/>
                <w:highlight w:val="none"/>
              </w:rPr>
              <w:t>☐</w:t>
            </w:r>
            <w:r>
              <w:rPr>
                <w:rFonts w:ascii="仿宋_GB2312" w:hAnsi="仿宋" w:eastAsia="仿宋_GB2312"/>
                <w:kern w:val="0"/>
                <w:sz w:val="24"/>
                <w:highlight w:val="none"/>
              </w:rPr>
              <w:t>B组织，</w:t>
            </w:r>
            <w:r>
              <w:rPr>
                <w:rFonts w:hint="eastAsia" w:ascii="仿宋_GB2312" w:hAnsi="仿宋" w:eastAsia="仿宋_GB2312"/>
                <w:sz w:val="24"/>
                <w:highlight w:val="none"/>
              </w:rPr>
              <w:t>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w:t>
            </w:r>
            <w:r>
              <w:rPr>
                <w:rFonts w:ascii="仿宋_GB2312" w:hAnsi="仿宋" w:eastAsia="仿宋_GB2312"/>
                <w:sz w:val="24"/>
                <w:highlight w:val="none"/>
                <w:u w:val="single"/>
              </w:rPr>
              <w:t xml:space="preserve">   </w:t>
            </w:r>
            <w:r>
              <w:rPr>
                <w:rFonts w:ascii="仿宋_GB2312" w:hAnsi="仿宋" w:eastAsia="仿宋_GB2312"/>
                <w:sz w:val="24"/>
                <w:highlight w:val="none"/>
              </w:rPr>
              <w:t>,地点：</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，联系人：</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，联系方式：</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w:t>
            </w:r>
            <w:r>
              <w:rPr>
                <w:rFonts w:ascii="仿宋_GB2312" w:hAnsi="仿宋" w:eastAsia="仿宋_GB2312"/>
                <w:sz w:val="24"/>
                <w:highlight w:val="none"/>
                <w:u w:val="single"/>
              </w:rPr>
              <w:t xml:space="preserve">  </w:t>
            </w:r>
            <w:r>
              <w:rPr>
                <w:rFonts w:hint="eastAsia" w:ascii="仿宋_GB2312" w:hAnsi="仿宋" w:eastAsia="仿宋_GB2312"/>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pPr>
              <w:snapToGrid w:val="0"/>
              <w:spacing w:line="288"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5</w:t>
            </w:r>
          </w:p>
        </w:tc>
        <w:tc>
          <w:tcPr>
            <w:tcW w:w="1739" w:type="dxa"/>
            <w:vAlign w:val="center"/>
          </w:tcPr>
          <w:p>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样品提供</w:t>
            </w:r>
          </w:p>
        </w:tc>
        <w:tc>
          <w:tcPr>
            <w:tcW w:w="6415" w:type="dxa"/>
            <w:vAlign w:val="center"/>
          </w:tcPr>
          <w:p>
            <w:pPr>
              <w:spacing w:line="288" w:lineRule="auto"/>
              <w:rPr>
                <w:rFonts w:ascii="仿宋_GB2312" w:hAnsi="仿宋" w:eastAsia="仿宋_GB2312"/>
                <w:sz w:val="24"/>
                <w:highlight w:val="none"/>
              </w:rPr>
            </w:pPr>
            <w:r>
              <w:rPr>
                <w:rFonts w:ascii="MS Gothic" w:hAnsi="MS Gothic" w:eastAsia="MS Gothic" w:cs="Arial"/>
                <w:kern w:val="0"/>
                <w:sz w:val="24"/>
                <w:highlight w:val="none"/>
              </w:rPr>
              <w:sym w:font="Wingdings" w:char="00FE"/>
            </w:r>
            <w:r>
              <w:rPr>
                <w:rFonts w:ascii="仿宋_GB2312" w:hAnsi="仿宋" w:eastAsia="仿宋_GB2312" w:cs="Arial"/>
                <w:kern w:val="0"/>
                <w:sz w:val="24"/>
                <w:highlight w:val="none"/>
              </w:rPr>
              <w:t>A</w:t>
            </w:r>
            <w:r>
              <w:rPr>
                <w:rFonts w:hint="eastAsia" w:ascii="仿宋_GB2312" w:hAnsi="仿宋" w:eastAsia="仿宋_GB2312"/>
                <w:sz w:val="24"/>
                <w:highlight w:val="none"/>
              </w:rPr>
              <w:t>不要求提供。</w:t>
            </w:r>
          </w:p>
          <w:p>
            <w:pPr>
              <w:spacing w:line="288" w:lineRule="auto"/>
              <w:rPr>
                <w:rFonts w:ascii="仿宋_GB2312" w:hAnsi="仿宋" w:eastAsia="仿宋_GB2312"/>
                <w:b/>
                <w:sz w:val="24"/>
                <w:highlight w:val="none"/>
              </w:rPr>
            </w:pPr>
            <w:r>
              <w:rPr>
                <w:rFonts w:ascii="MS Gothic" w:hAnsi="MS Gothic" w:eastAsia="MS Gothic" w:cs="Arial"/>
                <w:kern w:val="0"/>
                <w:sz w:val="24"/>
                <w:highlight w:val="none"/>
              </w:rPr>
              <w:sym w:font="Wingdings" w:char="00A8"/>
            </w:r>
            <w:r>
              <w:rPr>
                <w:rFonts w:ascii="仿宋_GB2312" w:hAnsi="仿宋" w:eastAsia="仿宋_GB2312"/>
                <w:kern w:val="0"/>
                <w:sz w:val="24"/>
                <w:highlight w:val="none"/>
              </w:rPr>
              <w:t>B</w:t>
            </w:r>
            <w:r>
              <w:rPr>
                <w:rFonts w:hint="eastAsia" w:ascii="仿宋_GB2312" w:hAnsi="仿宋" w:eastAsia="仿宋_GB2312"/>
                <w:kern w:val="0"/>
                <w:sz w:val="24"/>
                <w:highlight w:val="none"/>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pPr>
              <w:snapToGrid w:val="0"/>
              <w:spacing w:line="288"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6</w:t>
            </w:r>
          </w:p>
        </w:tc>
        <w:tc>
          <w:tcPr>
            <w:tcW w:w="1739" w:type="dxa"/>
            <w:vAlign w:val="center"/>
          </w:tcPr>
          <w:p>
            <w:pPr>
              <w:snapToGrid w:val="0"/>
              <w:spacing w:line="288" w:lineRule="auto"/>
              <w:jc w:val="center"/>
              <w:rPr>
                <w:rFonts w:ascii="仿宋_GB2312" w:hAnsi="仿宋" w:eastAsia="仿宋_GB2312" w:cs="仿宋_GB2312"/>
                <w:bCs/>
                <w:sz w:val="24"/>
                <w:highlight w:val="none"/>
              </w:rPr>
            </w:pPr>
            <w:r>
              <w:rPr>
                <w:rFonts w:hint="eastAsia" w:ascii="仿宋_GB2312" w:hAnsi="仿宋" w:eastAsia="仿宋_GB2312" w:cs="仿宋_GB2312"/>
                <w:b/>
                <w:sz w:val="24"/>
                <w:highlight w:val="none"/>
              </w:rPr>
              <w:t>方案讲解演示</w:t>
            </w:r>
          </w:p>
        </w:tc>
        <w:tc>
          <w:tcPr>
            <w:tcW w:w="6415" w:type="dxa"/>
            <w:vAlign w:val="center"/>
          </w:tcPr>
          <w:p>
            <w:pPr>
              <w:spacing w:line="288" w:lineRule="auto"/>
              <w:rPr>
                <w:rFonts w:ascii="仿宋_GB2312" w:hAnsi="仿宋" w:eastAsia="仿宋_GB2312"/>
                <w:sz w:val="24"/>
                <w:highlight w:val="none"/>
              </w:rPr>
            </w:pPr>
            <w:r>
              <w:rPr>
                <w:rFonts w:ascii="Wingdings" w:hAnsi="Wingdings" w:eastAsia="仿宋_GB2312" w:cs="Arial"/>
                <w:kern w:val="0"/>
                <w:sz w:val="24"/>
                <w:highlight w:val="none"/>
              </w:rPr>
              <w:sym w:font="Wingdings" w:char="00FE"/>
            </w:r>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spacing w:line="288" w:lineRule="auto"/>
              <w:rPr>
                <w:rFonts w:ascii="仿宋_GB2312" w:hAnsi="仿宋" w:eastAsia="仿宋_GB2312" w:cs="仿宋_GB2312"/>
                <w:b/>
                <w:kern w:val="0"/>
                <w:sz w:val="24"/>
                <w:highlight w:val="none"/>
                <w:lang w:val="zh-CN"/>
              </w:rPr>
            </w:pPr>
            <w:r>
              <w:rPr>
                <w:rFonts w:ascii="Wingdings" w:hAnsi="Wingdings" w:eastAsia="仿宋_GB2312" w:cs="Arial"/>
                <w:kern w:val="0"/>
                <w:sz w:val="24"/>
                <w:highlight w:val="none"/>
              </w:rPr>
              <w:sym w:font="Wingdings" w:char="00A8"/>
            </w:r>
            <w:r>
              <w:rPr>
                <w:rFonts w:ascii="仿宋_GB2312" w:hAnsi="仿宋" w:eastAsia="仿宋_GB2312"/>
                <w:kern w:val="0"/>
                <w:sz w:val="24"/>
                <w:highlight w:val="none"/>
              </w:rPr>
              <w:t>B</w:t>
            </w:r>
            <w:r>
              <w:rPr>
                <w:rFonts w:hint="eastAsia" w:ascii="仿宋_GB2312" w:hAnsi="仿宋" w:eastAsia="仿宋_GB2312"/>
                <w:sz w:val="24"/>
                <w:highlight w:val="none"/>
              </w:rPr>
              <w:t>组织，具体详见评标办法。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trPr>
        <w:tc>
          <w:tcPr>
            <w:tcW w:w="629" w:type="dxa"/>
            <w:vAlign w:val="center"/>
          </w:tcPr>
          <w:p>
            <w:pPr>
              <w:snapToGrid w:val="0"/>
              <w:spacing w:line="288"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7</w:t>
            </w:r>
          </w:p>
        </w:tc>
        <w:tc>
          <w:tcPr>
            <w:tcW w:w="1739" w:type="dxa"/>
            <w:vAlign w:val="center"/>
          </w:tcPr>
          <w:p>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是否允许采购进口产品（服务项目不采用）</w:t>
            </w:r>
          </w:p>
        </w:tc>
        <w:tc>
          <w:tcPr>
            <w:tcW w:w="6415" w:type="dxa"/>
            <w:vAlign w:val="center"/>
          </w:tcPr>
          <w:p>
            <w:pPr>
              <w:spacing w:line="288" w:lineRule="auto"/>
              <w:rPr>
                <w:rFonts w:ascii="仿宋_GB2312" w:hAnsi="仿宋" w:eastAsia="仿宋_GB2312" w:cs="Arial"/>
                <w:kern w:val="0"/>
                <w:sz w:val="24"/>
                <w:highlight w:val="none"/>
              </w:rPr>
            </w:pPr>
            <w:r>
              <w:rPr>
                <w:rFonts w:ascii="仿宋_GB2312" w:hAnsi="仿宋" w:eastAsia="仿宋_GB2312" w:cs="Arial"/>
                <w:kern w:val="0"/>
                <w:sz w:val="24"/>
                <w:highlight w:val="none"/>
              </w:rPr>
              <w:sym w:font="Wingdings" w:char="F0FE"/>
            </w:r>
            <w:r>
              <w:rPr>
                <w:rFonts w:hint="eastAsia" w:ascii="仿宋_GB2312" w:hAnsi="仿宋" w:eastAsia="仿宋_GB2312" w:cs="Arial"/>
                <w:kern w:val="0"/>
                <w:sz w:val="24"/>
                <w:highlight w:val="none"/>
              </w:rPr>
              <w:t>本项目不允许采购进口产品。</w:t>
            </w:r>
          </w:p>
          <w:p>
            <w:pPr>
              <w:spacing w:line="288" w:lineRule="auto"/>
              <w:rPr>
                <w:highlight w:val="none"/>
              </w:rPr>
            </w:pPr>
            <w:r>
              <w:rPr>
                <w:rFonts w:ascii="MS Gothic" w:hAnsi="MS Gothic" w:eastAsia="MS Gothic" w:cs="Arial"/>
                <w:kern w:val="0"/>
                <w:sz w:val="24"/>
                <w:highlight w:val="none"/>
              </w:rPr>
              <w:t>☐</w:t>
            </w:r>
            <w:r>
              <w:rPr>
                <w:rFonts w:hint="eastAsia" w:ascii="仿宋_GB2312" w:hAnsi="仿宋" w:eastAsia="仿宋_GB2312" w:cs="Arial"/>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trPr>
        <w:tc>
          <w:tcPr>
            <w:tcW w:w="629" w:type="dxa"/>
          </w:tcPr>
          <w:p>
            <w:pPr>
              <w:snapToGrid w:val="0"/>
              <w:spacing w:line="288" w:lineRule="auto"/>
              <w:jc w:val="center"/>
              <w:rPr>
                <w:rFonts w:ascii="仿宋_GB2312" w:hAnsi="仿宋" w:eastAsia="仿宋_GB2312" w:cs="仿宋_GB2312"/>
                <w:sz w:val="24"/>
                <w:highlight w:val="none"/>
              </w:rPr>
            </w:pPr>
          </w:p>
          <w:p>
            <w:pPr>
              <w:snapToGrid w:val="0"/>
              <w:spacing w:line="288"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8</w:t>
            </w:r>
          </w:p>
        </w:tc>
        <w:tc>
          <w:tcPr>
            <w:tcW w:w="1739" w:type="dxa"/>
            <w:vAlign w:val="center"/>
          </w:tcPr>
          <w:p>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项目属性与核心产品</w:t>
            </w:r>
          </w:p>
        </w:tc>
        <w:tc>
          <w:tcPr>
            <w:tcW w:w="6415" w:type="dxa"/>
            <w:vAlign w:val="center"/>
          </w:tcPr>
          <w:p>
            <w:pPr>
              <w:spacing w:line="288" w:lineRule="auto"/>
              <w:rPr>
                <w:rFonts w:ascii="仿宋_GB2312" w:hAnsi="仿宋" w:eastAsia="仿宋_GB2312"/>
                <w:sz w:val="24"/>
                <w:highlight w:val="none"/>
              </w:rPr>
            </w:pPr>
            <w:r>
              <w:rPr>
                <w:rFonts w:ascii="Wingdings" w:hAnsi="Wingdings" w:eastAsia="仿宋_GB2312" w:cs="Arial"/>
                <w:kern w:val="0"/>
                <w:sz w:val="24"/>
                <w:highlight w:val="none"/>
              </w:rPr>
              <w:sym w:font="Wingdings" w:char="00A8"/>
            </w:r>
            <w:r>
              <w:rPr>
                <w:rFonts w:ascii="仿宋_GB2312" w:hAnsi="仿宋" w:eastAsia="仿宋_GB2312" w:cs="Arial"/>
                <w:kern w:val="0"/>
                <w:sz w:val="24"/>
                <w:highlight w:val="none"/>
              </w:rPr>
              <w:t>A</w:t>
            </w:r>
            <w:r>
              <w:rPr>
                <w:rFonts w:hint="eastAsia" w:ascii="仿宋_GB2312" w:hAnsi="仿宋" w:eastAsia="仿宋_GB2312"/>
                <w:sz w:val="24"/>
                <w:highlight w:val="none"/>
              </w:rPr>
              <w:t>货物类，单一产品或</w:t>
            </w:r>
            <w:r>
              <w:rPr>
                <w:rFonts w:hint="eastAsia" w:ascii="仿宋_GB2312" w:hAnsi="仿宋" w:eastAsia="仿宋_GB2312"/>
                <w:kern w:val="0"/>
                <w:sz w:val="24"/>
                <w:highlight w:val="none"/>
              </w:rPr>
              <w:t>核心产品为：</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w:t>
            </w:r>
          </w:p>
          <w:p>
            <w:pPr>
              <w:spacing w:line="288" w:lineRule="auto"/>
              <w:rPr>
                <w:rFonts w:ascii="仿宋_GB2312" w:hAnsi="仿宋" w:eastAsia="仿宋_GB2312"/>
                <w:sz w:val="24"/>
                <w:highlight w:val="none"/>
              </w:rPr>
            </w:pPr>
            <w:r>
              <w:rPr>
                <w:rFonts w:ascii="MS Gothic" w:hAnsi="MS Gothic" w:eastAsia="MS Gothic" w:cs="Arial"/>
                <w:kern w:val="0"/>
                <w:sz w:val="24"/>
                <w:highlight w:val="none"/>
              </w:rPr>
              <w:sym w:font="Wingdings" w:char="00FE"/>
            </w:r>
            <w:r>
              <w:rPr>
                <w:rFonts w:ascii="仿宋_GB2312" w:hAnsi="仿宋" w:eastAsia="仿宋_GB2312" w:cs="Arial"/>
                <w:kern w:val="0"/>
                <w:sz w:val="24"/>
                <w:highlight w:val="none"/>
              </w:rPr>
              <w:t>B</w:t>
            </w:r>
            <w:r>
              <w:rPr>
                <w:rFonts w:hint="eastAsia" w:ascii="仿宋_GB2312" w:hAnsi="仿宋" w:eastAsia="仿宋_GB2312"/>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75" w:hRule="atLeast"/>
        </w:trPr>
        <w:tc>
          <w:tcPr>
            <w:tcW w:w="629" w:type="dxa"/>
            <w:vAlign w:val="center"/>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9</w:t>
            </w:r>
          </w:p>
        </w:tc>
        <w:tc>
          <w:tcPr>
            <w:tcW w:w="1739" w:type="dxa"/>
            <w:vAlign w:val="center"/>
          </w:tcPr>
          <w:p>
            <w:pPr>
              <w:snapToGrid w:val="0"/>
              <w:jc w:val="center"/>
              <w:rPr>
                <w:rFonts w:ascii="仿宋_GB2312" w:hAnsi="仿宋_GB2312" w:eastAsia="仿宋_GB2312" w:cs="仿宋_GB2312"/>
                <w:b/>
                <w:szCs w:val="21"/>
                <w:highlight w:val="none"/>
              </w:rPr>
            </w:pPr>
            <w:r>
              <w:rPr>
                <w:rFonts w:hint="eastAsia" w:ascii="仿宋" w:hAnsi="仿宋" w:eastAsia="仿宋" w:cs="宋体"/>
                <w:b/>
                <w:sz w:val="24"/>
                <w:highlight w:val="none"/>
              </w:rPr>
              <w:t>采购标的及其对应的中小企业划分标准所属行业</w:t>
            </w:r>
          </w:p>
        </w:tc>
        <w:tc>
          <w:tcPr>
            <w:tcW w:w="6415" w:type="dxa"/>
            <w:vAlign w:val="center"/>
          </w:tcPr>
          <w:p>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（1）标的：</w:t>
            </w:r>
            <w:r>
              <w:rPr>
                <w:rFonts w:hint="eastAsia" w:ascii="仿宋" w:hAnsi="仿宋" w:eastAsia="仿宋" w:cs="宋体"/>
                <w:kern w:val="0"/>
                <w:sz w:val="24"/>
                <w:highlight w:val="none"/>
                <w:lang w:eastAsia="zh-CN"/>
              </w:rPr>
              <w:t>余杭区地质灾害“一坡一卡”调查项目</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其他未列明行业</w:t>
            </w:r>
            <w:r>
              <w:rPr>
                <w:rFonts w:hint="eastAsia" w:ascii="仿宋" w:hAnsi="仿宋" w:eastAsia="仿宋" w:cs="宋体"/>
                <w:kern w:val="0"/>
                <w:sz w:val="24"/>
                <w:highlight w:val="none"/>
              </w:rPr>
              <w:t>；</w:t>
            </w:r>
          </w:p>
          <w:p>
            <w:pPr>
              <w:pStyle w:val="5"/>
              <w:rPr>
                <w:rFonts w:ascii="仿宋" w:eastAsia="仿宋" w:cs="宋体"/>
                <w:kern w:val="0"/>
                <w:sz w:val="24"/>
                <w:szCs w:val="24"/>
                <w:highlight w:val="none"/>
              </w:rPr>
            </w:pPr>
            <w:r>
              <w:rPr>
                <w:rFonts w:hint="eastAsia" w:ascii="仿宋" w:eastAsia="仿宋" w:cs="宋体"/>
                <w:kern w:val="0"/>
                <w:sz w:val="24"/>
                <w:szCs w:val="24"/>
                <w:highlight w:val="none"/>
              </w:rPr>
              <w:t>备注：《关于印发中小企业划型标准规定的通知》（工信部联企业〔2011〕300）第（十六）条：</w:t>
            </w:r>
          </w:p>
          <w:p>
            <w:pPr>
              <w:pStyle w:val="5"/>
              <w:rPr>
                <w:rFonts w:hAnsi="仿宋_GB2312" w:cs="仿宋_GB2312"/>
                <w:sz w:val="21"/>
                <w:szCs w:val="21"/>
                <w:highlight w:val="none"/>
              </w:rPr>
            </w:pPr>
            <w:r>
              <w:rPr>
                <w:rFonts w:hint="eastAsia" w:ascii="仿宋" w:eastAsia="仿宋" w:cs="宋体"/>
                <w:kern w:val="0"/>
                <w:sz w:val="24"/>
                <w:szCs w:val="24"/>
                <w:highlight w:val="none"/>
              </w:rPr>
              <w:t>其它未列明行业划型标准：从业人员 300 人以下的为中小微型企业。其中，从业人员 100 人及以上的为中型企业；从业人员 10 人及以上的为小型企业；从业人员 10 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10</w:t>
            </w:r>
          </w:p>
        </w:tc>
        <w:tc>
          <w:tcPr>
            <w:tcW w:w="1739" w:type="dxa"/>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节能产品、环境标志产品</w:t>
            </w:r>
          </w:p>
        </w:tc>
        <w:tc>
          <w:tcPr>
            <w:tcW w:w="6415" w:type="dxa"/>
            <w:vAlign w:val="center"/>
          </w:tcPr>
          <w:p>
            <w:pPr>
              <w:snapToGrid w:val="0"/>
              <w:spacing w:line="312" w:lineRule="auto"/>
              <w:ind w:firstLine="480" w:firstLineChars="200"/>
              <w:rPr>
                <w:rFonts w:eastAsia="仿宋"/>
                <w:highlight w:val="none"/>
              </w:rPr>
            </w:pPr>
            <w:r>
              <w:rPr>
                <w:rFonts w:hint="eastAsia" w:ascii="仿宋_GB2312" w:hAnsi="仿宋" w:eastAsia="仿宋_GB2312" w:cs="Arial"/>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trPr>
        <w:tc>
          <w:tcPr>
            <w:tcW w:w="629" w:type="dxa"/>
            <w:vAlign w:val="center"/>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11</w:t>
            </w:r>
          </w:p>
        </w:tc>
        <w:tc>
          <w:tcPr>
            <w:tcW w:w="1739" w:type="dxa"/>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中小企业信用融资</w:t>
            </w:r>
          </w:p>
        </w:tc>
        <w:tc>
          <w:tcPr>
            <w:tcW w:w="6415" w:type="dxa"/>
            <w:vAlign w:val="center"/>
          </w:tcPr>
          <w:p>
            <w:pPr>
              <w:spacing w:line="288" w:lineRule="auto"/>
              <w:ind w:firstLine="480" w:firstLineChars="200"/>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供应商中标后也可在“政采云”平台申请政采贷：操作路径：登录政采云平台</w:t>
            </w:r>
            <w:r>
              <w:rPr>
                <w:rFonts w:ascii="仿宋_GB2312" w:hAnsi="仿宋" w:eastAsia="仿宋_GB2312"/>
                <w:snapToGrid w:val="0"/>
                <w:kern w:val="28"/>
                <w:sz w:val="24"/>
                <w:highlight w:val="none"/>
              </w:rPr>
              <w:t xml:space="preserve"> - </w:t>
            </w:r>
            <w:r>
              <w:rPr>
                <w:rFonts w:hint="eastAsia" w:ascii="仿宋_GB2312" w:hAnsi="仿宋" w:eastAsia="仿宋_GB2312"/>
                <w:snapToGrid w:val="0"/>
                <w:kern w:val="28"/>
                <w:sz w:val="24"/>
                <w:highlight w:val="none"/>
              </w:rPr>
              <w:t>金融服务中心</w:t>
            </w:r>
            <w:r>
              <w:rPr>
                <w:rFonts w:ascii="仿宋_GB2312" w:hAnsi="仿宋" w:eastAsia="仿宋_GB2312"/>
                <w:snapToGrid w:val="0"/>
                <w:kern w:val="28"/>
                <w:sz w:val="24"/>
                <w:highlight w:val="none"/>
              </w:rPr>
              <w:t xml:space="preserve"> -【融资服务】，可在热门申请中选择产品直接申请，也可</w:t>
            </w:r>
            <w:r>
              <w:rPr>
                <w:rFonts w:hint="eastAsia" w:ascii="仿宋_GB2312" w:hAnsi="仿宋" w:eastAsia="仿宋_GB2312"/>
                <w:snapToGrid w:val="0"/>
                <w:kern w:val="28"/>
                <w:sz w:val="24"/>
                <w:highlight w:val="none"/>
              </w:rPr>
              <w:t>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vAlign w:val="center"/>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12</w:t>
            </w:r>
          </w:p>
        </w:tc>
        <w:tc>
          <w:tcPr>
            <w:tcW w:w="1739" w:type="dxa"/>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备份投标文件送达地点和签收人员</w:t>
            </w:r>
          </w:p>
        </w:tc>
        <w:tc>
          <w:tcPr>
            <w:tcW w:w="6415" w:type="dxa"/>
            <w:vAlign w:val="center"/>
          </w:tcPr>
          <w:p>
            <w:pPr>
              <w:pStyle w:val="35"/>
              <w:spacing w:line="360" w:lineRule="auto"/>
              <w:rPr>
                <w:rFonts w:ascii="仿宋_GB2312" w:hAnsi="仿宋" w:eastAsia="仿宋_GB2312"/>
                <w:kern w:val="28"/>
                <w:sz w:val="24"/>
                <w:highlight w:val="none"/>
              </w:rPr>
            </w:pPr>
            <w:r>
              <w:rPr>
                <w:rFonts w:hint="eastAsia" w:ascii="仿宋_GB2312" w:hAnsi="仿宋" w:eastAsia="仿宋_GB2312" w:cs="Times New Roman"/>
                <w:kern w:val="28"/>
                <w:sz w:val="24"/>
                <w:szCs w:val="24"/>
                <w:highlight w:val="none"/>
              </w:rPr>
              <w:t>备份投标文件送达地点：</w:t>
            </w:r>
            <w:r>
              <w:rPr>
                <w:rFonts w:hint="eastAsia" w:ascii="仿宋_GB2312" w:hAnsi="仿宋" w:eastAsia="仿宋_GB2312"/>
                <w:sz w:val="24"/>
                <w:highlight w:val="none"/>
                <w:u w:val="single"/>
              </w:rPr>
              <w:t>杭州市临平区兴国路506号k7原创园11号楼2楼</w:t>
            </w:r>
            <w:r>
              <w:rPr>
                <w:rFonts w:hint="eastAsia" w:ascii="仿宋_GB2312" w:hAnsi="仿宋" w:eastAsia="仿宋_GB2312" w:cs="Times New Roman"/>
                <w:kern w:val="28"/>
                <w:sz w:val="24"/>
                <w:szCs w:val="24"/>
                <w:highlight w:val="none"/>
              </w:rPr>
              <w:t>；备份投标文件签收人员：</w:t>
            </w:r>
            <w:r>
              <w:rPr>
                <w:rFonts w:hint="eastAsia" w:ascii="仿宋_GB2312" w:hAnsi="仿宋" w:eastAsia="仿宋_GB2312" w:cs="Times New Roman"/>
                <w:kern w:val="28"/>
                <w:sz w:val="24"/>
                <w:szCs w:val="24"/>
                <w:highlight w:val="none"/>
                <w:u w:val="single"/>
                <w:lang w:eastAsia="zh-CN"/>
              </w:rPr>
              <w:t>胡豪杰</w:t>
            </w:r>
            <w:r>
              <w:rPr>
                <w:rFonts w:hint="eastAsia" w:ascii="仿宋_GB2312" w:hAnsi="仿宋" w:eastAsia="仿宋_GB2312" w:cs="Times New Roman"/>
                <w:kern w:val="28"/>
                <w:sz w:val="24"/>
                <w:szCs w:val="24"/>
                <w:highlight w:val="none"/>
              </w:rPr>
              <w:t>，联系电话：</w:t>
            </w:r>
            <w:r>
              <w:rPr>
                <w:rFonts w:hint="eastAsia" w:ascii="仿宋_GB2312" w:hAnsi="仿宋" w:eastAsia="仿宋_GB2312"/>
                <w:sz w:val="24"/>
                <w:highlight w:val="none"/>
                <w:u w:val="single"/>
              </w:rPr>
              <w:t>13777846972</w:t>
            </w:r>
            <w:r>
              <w:rPr>
                <w:rFonts w:hint="eastAsia" w:ascii="仿宋_GB2312" w:hAnsi="仿宋" w:eastAsia="仿宋_GB2312" w:cs="仿宋_GB2312"/>
                <w:sz w:val="24"/>
                <w:szCs w:val="24"/>
                <w:highlight w:val="none"/>
              </w:rPr>
              <w:t>。</w:t>
            </w:r>
            <w:r>
              <w:rPr>
                <w:rFonts w:hint="eastAsia" w:ascii="仿宋_GB2312" w:hAnsi="仿宋" w:eastAsia="仿宋_GB2312" w:cs="仿宋_GB2312"/>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2" w:hRule="atLeast"/>
        </w:trPr>
        <w:tc>
          <w:tcPr>
            <w:tcW w:w="629" w:type="dxa"/>
            <w:vMerge w:val="restart"/>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13</w:t>
            </w: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tc>
        <w:tc>
          <w:tcPr>
            <w:tcW w:w="1739" w:type="dxa"/>
            <w:vMerge w:val="restart"/>
            <w:vAlign w:val="center"/>
          </w:tcPr>
          <w:p>
            <w:pPr>
              <w:snapToGrid w:val="0"/>
              <w:spacing w:line="360" w:lineRule="auto"/>
              <w:jc w:val="center"/>
              <w:rPr>
                <w:rFonts w:ascii="仿宋_GB2312" w:hAnsi="仿宋" w:eastAsia="仿宋_GB2312" w:cs="仿宋_GB2312"/>
                <w:b/>
                <w:sz w:val="24"/>
                <w:highlight w:val="none"/>
              </w:rPr>
            </w:pPr>
            <w:r>
              <w:rPr>
                <w:rFonts w:hint="eastAsia" w:ascii="仿宋" w:hAnsi="仿宋" w:eastAsia="仿宋" w:cs="仿宋"/>
                <w:b/>
                <w:sz w:val="24"/>
                <w:highlight w:val="none"/>
              </w:rPr>
              <w:t>特别说明</w:t>
            </w:r>
          </w:p>
          <w:p>
            <w:pPr>
              <w:snapToGrid w:val="0"/>
              <w:spacing w:line="360" w:lineRule="auto"/>
              <w:jc w:val="center"/>
              <w:rPr>
                <w:rFonts w:ascii="仿宋_GB2312" w:hAnsi="仿宋" w:eastAsia="仿宋_GB2312" w:cs="仿宋_GB2312"/>
                <w:b/>
                <w:sz w:val="24"/>
                <w:highlight w:val="none"/>
              </w:rPr>
            </w:pPr>
          </w:p>
        </w:tc>
        <w:tc>
          <w:tcPr>
            <w:tcW w:w="6415" w:type="dxa"/>
            <w:vAlign w:val="center"/>
          </w:tcPr>
          <w:p>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2" w:hRule="atLeast"/>
        </w:trPr>
        <w:tc>
          <w:tcPr>
            <w:tcW w:w="629" w:type="dxa"/>
            <w:vMerge w:val="continue"/>
            <w:vAlign w:val="center"/>
          </w:tcPr>
          <w:p>
            <w:pPr>
              <w:snapToGrid w:val="0"/>
              <w:spacing w:line="360" w:lineRule="auto"/>
              <w:jc w:val="center"/>
              <w:rPr>
                <w:rFonts w:ascii="仿宋_GB2312" w:hAnsi="仿宋" w:eastAsia="仿宋_GB2312" w:cs="仿宋_GB2312"/>
                <w:sz w:val="24"/>
                <w:highlight w:val="none"/>
              </w:rPr>
            </w:pPr>
          </w:p>
        </w:tc>
        <w:tc>
          <w:tcPr>
            <w:tcW w:w="1739" w:type="dxa"/>
            <w:vMerge w:val="continue"/>
            <w:vAlign w:val="center"/>
          </w:tcPr>
          <w:p>
            <w:pPr>
              <w:snapToGrid w:val="0"/>
              <w:spacing w:line="360" w:lineRule="auto"/>
              <w:jc w:val="center"/>
              <w:rPr>
                <w:rFonts w:ascii="仿宋_GB2312" w:hAnsi="仿宋" w:eastAsia="仿宋_GB2312" w:cs="仿宋_GB2312"/>
                <w:b/>
                <w:sz w:val="24"/>
                <w:highlight w:val="none"/>
              </w:rPr>
            </w:pPr>
          </w:p>
        </w:tc>
        <w:tc>
          <w:tcPr>
            <w:tcW w:w="6415" w:type="dxa"/>
            <w:vAlign w:val="center"/>
          </w:tcPr>
          <w:p>
            <w:pPr>
              <w:spacing w:line="360" w:lineRule="auto"/>
              <w:rPr>
                <w:rFonts w:ascii="仿宋" w:hAnsi="仿宋" w:eastAsia="仿宋" w:cs="仿宋"/>
                <w:snapToGrid w:val="0"/>
                <w:kern w:val="28"/>
                <w:sz w:val="24"/>
                <w:highlight w:val="none"/>
              </w:rPr>
            </w:pPr>
            <w:r>
              <w:rPr>
                <w:rFonts w:hint="eastAsia" w:ascii="仿宋" w:hAnsi="仿宋" w:eastAsia="仿宋" w:cs="仿宋"/>
                <w:kern w:val="0"/>
                <w:sz w:val="24"/>
                <w:highlight w:val="none"/>
              </w:rPr>
              <w:t>☐</w:t>
            </w:r>
            <w:r>
              <w:rPr>
                <w:rFonts w:hint="eastAsia" w:ascii="仿宋" w:hAnsi="仿宋" w:eastAsia="仿宋" w:cs="仿宋"/>
                <w:snapToGrid w:val="0"/>
                <w:kern w:val="28"/>
                <w:sz w:val="24"/>
                <w:highlight w:val="none"/>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kern w:val="28"/>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snapToGrid w:val="0"/>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r>
              <w:rPr>
                <w:rFonts w:hint="eastAsia" w:ascii="仿宋_GB2312" w:hAnsi="仿宋" w:eastAsia="仿宋_GB2312" w:cs="仿宋_GB2312"/>
                <w:sz w:val="24"/>
                <w:highlight w:val="none"/>
              </w:rPr>
              <w:t>4</w:t>
            </w:r>
          </w:p>
        </w:tc>
        <w:tc>
          <w:tcPr>
            <w:tcW w:w="1739" w:type="dxa"/>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招标代理费</w:t>
            </w:r>
          </w:p>
        </w:tc>
        <w:tc>
          <w:tcPr>
            <w:tcW w:w="6415" w:type="dxa"/>
            <w:vAlign w:val="center"/>
          </w:tcPr>
          <w:p>
            <w:pPr>
              <w:spacing w:line="360" w:lineRule="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招标代理服务费：本次招标代理服务费由中标人支付，招标代理服务费按照国家计委印发的《招标代理服务收费管理暂行办法》计价格[2002]1980号、发改办价格[2003]857号规定收费。各投标人应在投标报价中予以考虑。</w:t>
            </w:r>
          </w:p>
          <w:p>
            <w:pPr>
              <w:spacing w:line="360" w:lineRule="auto"/>
              <w:rPr>
                <w:rFonts w:ascii="Arial" w:hAnsi="Arial"/>
                <w:spacing w:val="-5"/>
                <w:kern w:val="0"/>
                <w:sz w:val="24"/>
                <w:szCs w:val="20"/>
                <w:highlight w:val="none"/>
              </w:rPr>
            </w:pPr>
            <w:r>
              <w:rPr>
                <w:rFonts w:hint="eastAsia" w:ascii="仿宋_GB2312" w:hAnsi="仿宋" w:eastAsia="仿宋_GB2312"/>
                <w:snapToGrid w:val="0"/>
                <w:kern w:val="28"/>
                <w:sz w:val="24"/>
                <w:highlight w:val="none"/>
              </w:rPr>
              <w:t>中标服务费的交纳方式：以转帐或支票的形式支付</w:t>
            </w:r>
          </w:p>
        </w:tc>
      </w:tr>
      <w:bookmarkEnd w:id="8"/>
    </w:tbl>
    <w:p>
      <w:pPr>
        <w:adjustRightInd/>
        <w:spacing w:line="360" w:lineRule="auto"/>
        <w:outlineLvl w:val="0"/>
        <w:rPr>
          <w:rFonts w:ascii="仿宋_GB2312" w:hAnsi="仿宋" w:eastAsia="仿宋_GB2312" w:cs="仿宋_GB2312"/>
          <w:b/>
          <w:sz w:val="32"/>
          <w:szCs w:val="20"/>
          <w:highlight w:val="none"/>
        </w:rPr>
      </w:pPr>
      <w:bookmarkStart w:id="15" w:name="第三部分"/>
      <w:bookmarkStart w:id="16" w:name="_Toc164416483"/>
    </w:p>
    <w:p>
      <w:pPr>
        <w:adjustRightInd/>
        <w:spacing w:line="360" w:lineRule="auto"/>
        <w:ind w:firstLine="3845" w:firstLineChars="1197"/>
        <w:outlineLvl w:val="0"/>
        <w:rPr>
          <w:rFonts w:ascii="仿宋_GB2312" w:hAnsi="仿宋" w:eastAsia="仿宋_GB2312" w:cs="仿宋_GB2312"/>
          <w:b/>
          <w:sz w:val="32"/>
          <w:szCs w:val="20"/>
          <w:highlight w:val="none"/>
        </w:rPr>
      </w:pPr>
    </w:p>
    <w:p>
      <w:pPr>
        <w:rPr>
          <w:highlight w:val="none"/>
        </w:rPr>
      </w:pPr>
      <w:r>
        <w:rPr>
          <w:highlight w:val="none"/>
        </w:rPr>
        <w:br w:type="page"/>
      </w:r>
    </w:p>
    <w:p>
      <w:pPr>
        <w:rPr>
          <w:highlight w:val="none"/>
        </w:rPr>
      </w:pPr>
    </w:p>
    <w:p>
      <w:pPr>
        <w:adjustRightInd/>
        <w:spacing w:line="360" w:lineRule="auto"/>
        <w:ind w:firstLine="3845" w:firstLineChars="1197"/>
        <w:outlineLvl w:val="0"/>
        <w:rPr>
          <w:rFonts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t>一、总则</w:t>
      </w:r>
    </w:p>
    <w:p>
      <w:pPr>
        <w:snapToGrid w:val="0"/>
        <w:spacing w:line="360" w:lineRule="auto"/>
        <w:ind w:firstLine="361" w:firstLineChars="150"/>
        <w:jc w:val="left"/>
        <w:outlineLvl w:val="1"/>
        <w:rPr>
          <w:rFonts w:ascii="仿宋_GB2312" w:hAnsi="仿宋" w:eastAsia="仿宋_GB2312"/>
          <w:b/>
          <w:sz w:val="24"/>
          <w:highlight w:val="none"/>
        </w:rPr>
      </w:pPr>
      <w:r>
        <w:rPr>
          <w:rFonts w:ascii="仿宋_GB2312" w:hAnsi="仿宋" w:eastAsia="仿宋_GB2312"/>
          <w:b/>
          <w:sz w:val="24"/>
          <w:highlight w:val="none"/>
        </w:rPr>
        <w:t xml:space="preserve">1. </w:t>
      </w:r>
      <w:r>
        <w:rPr>
          <w:rFonts w:hint="eastAsia" w:ascii="仿宋_GB2312" w:hAnsi="仿宋" w:eastAsia="仿宋_GB2312"/>
          <w:b/>
          <w:sz w:val="24"/>
          <w:highlight w:val="none"/>
        </w:rPr>
        <w:t>适用范围</w:t>
      </w:r>
    </w:p>
    <w:p>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highlight w:val="none"/>
        </w:rPr>
      </w:pPr>
      <w:r>
        <w:rPr>
          <w:rFonts w:ascii="仿宋_GB2312" w:hAnsi="仿宋" w:eastAsia="仿宋_GB2312" w:cs="仿宋_GB2312"/>
          <w:b/>
          <w:sz w:val="24"/>
          <w:highlight w:val="none"/>
        </w:rPr>
        <w:t xml:space="preserve">   2.定义</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“采购机构”系指招标公告中载明的本项目的采购机构。</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r>
        <w:rPr>
          <w:rFonts w:ascii="Wingdings" w:hAnsi="Wingdings" w:eastAsia="仿宋_GB2312" w:cs="Arial"/>
          <w:kern w:val="0"/>
          <w:sz w:val="24"/>
          <w:highlight w:val="none"/>
        </w:rPr>
        <w:t></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系指适用本项目的要求，“</w:t>
      </w:r>
      <w:r>
        <w:rPr>
          <w:rFonts w:ascii="MS Gothic" w:hAnsi="MS Gothic" w:eastAsia="MS Gothic" w:cs="Arial"/>
          <w:kern w:val="0"/>
          <w:sz w:val="24"/>
          <w:highlight w:val="none"/>
        </w:rPr>
        <w:t>☐</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系指不适用本项目的要求。</w:t>
      </w:r>
    </w:p>
    <w:p>
      <w:pPr>
        <w:spacing w:line="360" w:lineRule="auto"/>
        <w:ind w:firstLine="241" w:firstLineChars="100"/>
        <w:rPr>
          <w:rFonts w:ascii="仿宋_GB2312" w:hAnsi="仿宋" w:eastAsia="仿宋_GB2312"/>
          <w:b/>
          <w:sz w:val="24"/>
          <w:highlight w:val="none"/>
        </w:rPr>
      </w:pPr>
      <w:r>
        <w:rPr>
          <w:rFonts w:ascii="仿宋_GB2312" w:hAnsi="仿宋" w:eastAsia="仿宋_GB2312"/>
          <w:b/>
          <w:sz w:val="24"/>
          <w:highlight w:val="none"/>
        </w:rPr>
        <w:t>3.</w:t>
      </w:r>
      <w:r>
        <w:rPr>
          <w:rFonts w:ascii="仿宋_GB2312" w:hAnsi="仿宋" w:eastAsia="仿宋_GB2312"/>
          <w:highlight w:val="none"/>
        </w:rPr>
        <w:t xml:space="preserve"> </w:t>
      </w:r>
      <w:r>
        <w:rPr>
          <w:rFonts w:hint="eastAsia" w:ascii="仿宋_GB2312" w:hAnsi="仿宋" w:eastAsia="仿宋_GB2312"/>
          <w:b/>
          <w:sz w:val="24"/>
          <w:highlight w:val="none"/>
        </w:rPr>
        <w:t>采购项目需要落实的政府采购政策</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3.3支持中小企业发展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以联合体形式参加政府采购活动，联合体各方均为中小企业的，联合体视同中小企业。其中，联合体各方均为小微企业的，联合体视同小微企业（本项目不采用）。</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3.3.3对于未预留份额专门面向中小企业的政府采购服务项目，以及预留份额政府采购服务项目中的非预留部分标项，</w:t>
      </w:r>
      <w:r>
        <w:rPr>
          <w:rFonts w:hint="eastAsia" w:ascii="仿宋_GB2312" w:hAnsi="仿宋" w:eastAsia="仿宋_GB2312"/>
          <w:sz w:val="24"/>
          <w:highlight w:val="none"/>
        </w:rPr>
        <w:t>对小型和微型企业的投标报价给予10%的扣除</w:t>
      </w:r>
      <w:r>
        <w:rPr>
          <w:rFonts w:hint="eastAsia" w:ascii="仿宋_GB2312" w:hAnsi="仿宋" w:eastAsia="仿宋_GB2312"/>
          <w:sz w:val="24"/>
          <w:highlight w:val="none"/>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highlight w:val="none"/>
        </w:rPr>
        <w:t>登录</w:t>
      </w:r>
      <w:r>
        <w:rPr>
          <w:rFonts w:ascii="仿宋_GB2312" w:hAnsi="仿宋" w:eastAsia="仿宋_GB2312"/>
          <w:sz w:val="24"/>
          <w:highlight w:val="none"/>
        </w:rPr>
        <w:t>杭州市政府采购网“中小企业信用融资”模块，查看信用融资政策文件及各相关银行服务方案。</w:t>
      </w:r>
      <w:r>
        <w:rPr>
          <w:rFonts w:ascii="仿宋_GB2312" w:hAnsi="仿宋" w:eastAsia="仿宋_GB2312"/>
          <w:sz w:val="24"/>
          <w:highlight w:val="none"/>
        </w:rPr>
        <w:cr/>
      </w: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pPr>
        <w:pStyle w:val="35"/>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pPr>
        <w:pStyle w:val="35"/>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pPr>
        <w:pStyle w:val="35"/>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pPr>
        <w:pStyle w:val="35"/>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供应商提交的质疑函需一式三份。供应商为自然人的，应当由本人签字；供应商为法人或者其他组织的，应当由法定代表人、主要负责人，或者其授权代表签字或者盖章，并加盖公章。</w:t>
      </w:r>
    </w:p>
    <w:p>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质疑函范本及制作说明详见附件</w:t>
      </w:r>
      <w:r>
        <w:rPr>
          <w:rFonts w:ascii="仿宋_GB2312" w:hAnsi="仿宋" w:eastAsia="仿宋_GB2312"/>
          <w:highlight w:val="none"/>
        </w:rPr>
        <w:t>2。</w:t>
      </w:r>
    </w:p>
    <w:p>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.4</w:t>
      </w:r>
      <w:r>
        <w:rPr>
          <w:rFonts w:hint="eastAsia" w:ascii="仿宋_GB2312" w:hAnsi="仿宋" w:eastAsia="仿宋_GB2312"/>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highlight w:val="none"/>
        </w:rPr>
        <w:t>2021〕17号）,</w:t>
      </w:r>
      <w:r>
        <w:rPr>
          <w:rFonts w:hint="eastAsia" w:ascii="仿宋_GB2312" w:hAnsi="仿宋" w:eastAsia="仿宋_GB2312"/>
          <w:highlight w:val="none"/>
        </w:rPr>
        <w:t>采购人或者采购机构在质疑回复后</w:t>
      </w:r>
      <w:r>
        <w:rPr>
          <w:rFonts w:ascii="仿宋_GB2312" w:hAnsi="仿宋" w:eastAsia="仿宋_GB2312"/>
          <w:highlight w:val="none"/>
        </w:rPr>
        <w:t>5个工作日内，在浙江政府采购网的“其他公告”栏目公开质疑答复，答复内容应当完整。质疑</w:t>
      </w:r>
      <w:r>
        <w:rPr>
          <w:rFonts w:hint="eastAsia" w:ascii="仿宋_GB2312" w:hAnsi="仿宋" w:eastAsia="仿宋_GB2312"/>
          <w:highlight w:val="none"/>
        </w:rPr>
        <w:t>函作为附件上传。</w:t>
      </w:r>
    </w:p>
    <w:p>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.5询问或者质疑事项可能影响采购结果的，采购人应当暂停签订合同，已经签订合同的，应当中止履行合同。</w:t>
      </w:r>
    </w:p>
    <w:p>
      <w:pPr>
        <w:pStyle w:val="578"/>
        <w:shd w:val="clear" w:color="auto" w:fill="FFFFFF"/>
        <w:snapToGrid w:val="0"/>
        <w:spacing w:after="240" w:afterAutospacing="0" w:line="360" w:lineRule="auto"/>
        <w:ind w:firstLine="480" w:firstLineChars="200"/>
        <w:contextualSpacing/>
        <w:rPr>
          <w:rFonts w:ascii="仿宋_GB2312" w:hAnsi="仿宋" w:eastAsia="仿宋_GB2312" w:cs="微软雅黑"/>
          <w:highlight w:val="none"/>
          <w:lang w:val="zh-CN"/>
        </w:rPr>
      </w:pPr>
      <w:r>
        <w:rPr>
          <w:rFonts w:ascii="仿宋_GB2312" w:hAnsi="仿宋" w:eastAsia="仿宋_GB2312" w:cs="微软雅黑"/>
          <w:highlight w:val="none"/>
          <w:lang w:val="zh-CN"/>
        </w:rPr>
        <w:t>4.3供应商投诉</w:t>
      </w:r>
    </w:p>
    <w:p>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4.3.1质疑供应商对采购人、采购机构的答复不满意或者采购人、采购机构未在规定的时间内</w:t>
      </w:r>
      <w:r>
        <w:rPr>
          <w:rFonts w:hint="eastAsia" w:ascii="仿宋_GB2312" w:hAnsi="仿宋" w:eastAsia="仿宋_GB2312"/>
          <w:highlight w:val="none"/>
        </w:rPr>
        <w:t>作出答复的，可以在答复期满后十五个工作日内向同级政府采购监督管理部门提出投诉。</w:t>
      </w:r>
    </w:p>
    <w:p>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w:t>
      </w:r>
      <w:r>
        <w:rPr>
          <w:rFonts w:ascii="仿宋_GB2312" w:hAnsi="仿宋" w:eastAsia="仿宋_GB2312" w:cs="微软雅黑"/>
          <w:highlight w:val="none"/>
          <w:lang w:val="zh-CN"/>
        </w:rPr>
        <w:t>2</w:t>
      </w:r>
      <w:r>
        <w:rPr>
          <w:rFonts w:hint="eastAsia" w:ascii="仿宋_GB2312" w:hAnsi="仿宋" w:eastAsia="仿宋_GB2312"/>
          <w:highlight w:val="none"/>
        </w:rPr>
        <w:t>供应商投诉的事项不得超出已质疑事项的范围，基于质疑答复内容提出的投诉事项除外。</w:t>
      </w:r>
    </w:p>
    <w:p>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4.3.3供应</w:t>
      </w:r>
      <w:r>
        <w:rPr>
          <w:rFonts w:hint="eastAsia" w:ascii="仿宋_GB2312" w:hAnsi="仿宋" w:eastAsia="仿宋_GB2312"/>
          <w:highlight w:val="none"/>
        </w:rPr>
        <w:t>商投诉应当有明确的请求和必要的证明材料。</w:t>
      </w:r>
    </w:p>
    <w:p>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 xml:space="preserve">4.3.5 </w:t>
      </w:r>
      <w:r>
        <w:rPr>
          <w:rFonts w:hint="eastAsia" w:ascii="仿宋_GB2312" w:hAnsi="仿宋" w:eastAsia="仿宋_GB2312"/>
          <w:highlight w:val="none"/>
        </w:rPr>
        <w:t>以联合体形式参加政府采购活动的，其投诉应当由组成联合体的所有供应商共同提出。</w:t>
      </w:r>
    </w:p>
    <w:p>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投诉书范本及制作说明详见附件</w:t>
      </w:r>
      <w:r>
        <w:rPr>
          <w:rFonts w:ascii="仿宋_GB2312" w:hAnsi="仿宋" w:eastAsia="仿宋_GB2312"/>
          <w:highlight w:val="none"/>
        </w:rPr>
        <w:t>3。</w:t>
      </w:r>
    </w:p>
    <w:p>
      <w:pPr>
        <w:pStyle w:val="93"/>
        <w:snapToGrid w:val="0"/>
        <w:spacing w:before="0"/>
        <w:ind w:firstLine="360"/>
        <w:rPr>
          <w:rFonts w:ascii="仿宋_GB2312" w:hAnsi="仿宋" w:eastAsia="仿宋_GB2312" w:cs="仿宋_GB2312"/>
          <w:sz w:val="18"/>
          <w:szCs w:val="18"/>
          <w:highlight w:val="none"/>
        </w:rPr>
      </w:pPr>
    </w:p>
    <w:p>
      <w:pPr>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二、招标文件的构成、澄清、修改</w:t>
      </w:r>
    </w:p>
    <w:p>
      <w:pPr>
        <w:pStyle w:val="35"/>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pPr>
        <w:pStyle w:val="35"/>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pPr>
        <w:pStyle w:val="35"/>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pPr>
        <w:pStyle w:val="35"/>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pPr>
        <w:pStyle w:val="35"/>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pPr>
        <w:pStyle w:val="35"/>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pPr>
        <w:pStyle w:val="35"/>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pPr>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pPr>
        <w:pStyle w:val="35"/>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6. </w:t>
      </w:r>
      <w:r>
        <w:rPr>
          <w:rFonts w:hint="eastAsia" w:ascii="仿宋_GB2312" w:hAnsi="仿宋" w:eastAsia="仿宋_GB2312" w:cs="仿宋_GB2312"/>
          <w:b/>
          <w:sz w:val="24"/>
          <w:szCs w:val="24"/>
          <w:highlight w:val="none"/>
        </w:rPr>
        <w:t>招标文件的澄清、修改</w:t>
      </w:r>
    </w:p>
    <w:p>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pPr>
        <w:pStyle w:val="93"/>
        <w:snapToGrid w:val="0"/>
        <w:spacing w:before="0"/>
        <w:ind w:firstLine="480"/>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rPr>
          <w:rFonts w:ascii="仿宋_GB2312" w:hAnsi="仿宋" w:eastAsia="仿宋_GB2312" w:cs="仿宋_GB2312"/>
          <w:sz w:val="18"/>
          <w:szCs w:val="18"/>
          <w:highlight w:val="none"/>
          <w:lang w:val="en-US"/>
        </w:rPr>
      </w:pPr>
      <w:r>
        <w:rPr>
          <w:rFonts w:ascii="仿宋_GB2312" w:hAnsi="仿宋" w:eastAsia="仿宋_GB2312" w:cs="仿宋_GB2312"/>
          <w:szCs w:val="24"/>
          <w:highlight w:val="none"/>
          <w:lang w:val="en-US"/>
        </w:rPr>
        <w:t xml:space="preserve">    </w:t>
      </w:r>
    </w:p>
    <w:p>
      <w:pPr>
        <w:adjustRightInd/>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pPr>
        <w:pStyle w:val="35"/>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7. </w:t>
      </w:r>
      <w:r>
        <w:rPr>
          <w:rFonts w:hint="eastAsia" w:ascii="仿宋_GB2312" w:hAnsi="仿宋" w:eastAsia="仿宋_GB2312" w:cs="仿宋_GB2312"/>
          <w:b/>
          <w:sz w:val="24"/>
          <w:szCs w:val="24"/>
          <w:highlight w:val="none"/>
        </w:rPr>
        <w:t>招标文件的获取</w:t>
      </w:r>
    </w:p>
    <w:p>
      <w:pPr>
        <w:spacing w:line="360" w:lineRule="auto"/>
        <w:ind w:firstLine="480" w:firstLineChars="20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pPr>
        <w:pStyle w:val="35"/>
        <w:numPr>
          <w:ilvl w:val="0"/>
          <w:numId w:val="1"/>
        </w:numPr>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开标前答疑会或现场考察</w:t>
      </w:r>
    </w:p>
    <w:p>
      <w:pPr>
        <w:pStyle w:val="35"/>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pPr>
        <w:pStyle w:val="35"/>
        <w:numPr>
          <w:ilvl w:val="0"/>
          <w:numId w:val="1"/>
        </w:numPr>
        <w:spacing w:line="360" w:lineRule="auto"/>
        <w:rPr>
          <w:rFonts w:ascii="仿宋_GB2312" w:hAnsi="仿宋" w:eastAsia="仿宋_GB2312" w:cs="仿宋_GB2312"/>
          <w:b/>
          <w:szCs w:val="24"/>
          <w:highlight w:val="none"/>
        </w:rPr>
      </w:pPr>
      <w:r>
        <w:rPr>
          <w:rFonts w:ascii="仿宋_GB2312" w:hAnsi="仿宋" w:eastAsia="仿宋_GB2312"/>
          <w:b/>
          <w:kern w:val="28"/>
          <w:sz w:val="24"/>
          <w:szCs w:val="24"/>
          <w:highlight w:val="none"/>
        </w:rPr>
        <w:t>投标保证金</w:t>
      </w:r>
    </w:p>
    <w:p>
      <w:pPr>
        <w:pStyle w:val="20"/>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5"/>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10. </w:t>
      </w:r>
      <w:r>
        <w:rPr>
          <w:rFonts w:hint="eastAsia" w:ascii="仿宋_GB2312" w:hAnsi="仿宋" w:eastAsia="仿宋_GB2312" w:cs="仿宋_GB2312"/>
          <w:b/>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pPr>
        <w:pStyle w:val="35"/>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11. </w:t>
      </w:r>
      <w:r>
        <w:rPr>
          <w:rFonts w:hint="eastAsia" w:ascii="仿宋_GB2312" w:hAnsi="仿宋" w:eastAsia="仿宋_GB2312" w:cs="仿宋_GB2312"/>
          <w:b/>
          <w:sz w:val="24"/>
          <w:szCs w:val="24"/>
          <w:highlight w:val="none"/>
        </w:rPr>
        <w:t>投标文件的组成</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11.1</w:t>
      </w:r>
      <w:r>
        <w:rPr>
          <w:rFonts w:hint="eastAsia" w:ascii="仿宋" w:hAnsi="仿宋" w:eastAsia="仿宋" w:cs="宋体"/>
          <w:b/>
          <w:sz w:val="24"/>
          <w:highlight w:val="none"/>
        </w:rPr>
        <w:t>资格文件</w:t>
      </w:r>
      <w:r>
        <w:rPr>
          <w:rFonts w:hint="eastAsia" w:ascii="仿宋" w:hAnsi="仿宋" w:eastAsia="仿宋" w:cs="宋体"/>
          <w:sz w:val="24"/>
          <w:highlight w:val="none"/>
        </w:rPr>
        <w:t>：</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11.1.1符合参加政府采购活动应当具备的一般条件的承诺函；</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w:t>
      </w:r>
      <w:r>
        <w:rPr>
          <w:rFonts w:ascii="仿宋" w:hAnsi="仿宋" w:eastAsia="仿宋" w:cs="宋体"/>
          <w:sz w:val="24"/>
          <w:highlight w:val="none"/>
        </w:rPr>
        <w:t>1.1.2</w:t>
      </w:r>
      <w:r>
        <w:rPr>
          <w:rFonts w:hint="eastAsia" w:ascii="仿宋" w:hAnsi="仿宋" w:eastAsia="仿宋" w:cs="宋体"/>
          <w:snapToGrid w:val="0"/>
          <w:kern w:val="28"/>
          <w:sz w:val="24"/>
          <w:szCs w:val="20"/>
          <w:highlight w:val="none"/>
        </w:rPr>
        <w:t>联合协议（如果有)；</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11.1.</w:t>
      </w:r>
      <w:r>
        <w:rPr>
          <w:rFonts w:ascii="仿宋" w:hAnsi="仿宋" w:eastAsia="仿宋" w:cs="宋体"/>
          <w:sz w:val="24"/>
          <w:highlight w:val="none"/>
        </w:rPr>
        <w:t>3</w:t>
      </w:r>
      <w:r>
        <w:rPr>
          <w:rFonts w:hint="eastAsia" w:ascii="仿宋" w:hAnsi="仿宋" w:eastAsia="仿宋" w:cs="宋体"/>
          <w:sz w:val="24"/>
          <w:highlight w:val="none"/>
        </w:rPr>
        <w:t>落实政府采购政策需满足的资格要求</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11.1.</w:t>
      </w:r>
      <w:r>
        <w:rPr>
          <w:rFonts w:ascii="仿宋" w:hAnsi="仿宋" w:eastAsia="仿宋" w:cs="宋体"/>
          <w:sz w:val="24"/>
          <w:highlight w:val="none"/>
        </w:rPr>
        <w:t>4</w:t>
      </w:r>
      <w:r>
        <w:rPr>
          <w:rFonts w:hint="eastAsia" w:ascii="仿宋" w:hAnsi="仿宋" w:eastAsia="仿宋" w:cs="宋体"/>
          <w:sz w:val="24"/>
          <w:highlight w:val="none"/>
        </w:rPr>
        <w:t>本项目的特定资格要求。</w:t>
      </w:r>
    </w:p>
    <w:p>
      <w:pPr>
        <w:snapToGrid w:val="0"/>
        <w:spacing w:line="360" w:lineRule="auto"/>
        <w:ind w:firstLine="482" w:firstLineChars="200"/>
        <w:rPr>
          <w:rFonts w:ascii="仿宋" w:hAnsi="仿宋" w:eastAsia="仿宋" w:cs="宋体"/>
          <w:b/>
          <w:sz w:val="24"/>
          <w:highlight w:val="none"/>
          <w:lang w:val="zh-CN"/>
        </w:rPr>
      </w:pPr>
      <w:r>
        <w:rPr>
          <w:rFonts w:hint="eastAsia" w:ascii="仿宋" w:hAnsi="仿宋" w:eastAsia="仿宋" w:cs="宋体"/>
          <w:b/>
          <w:sz w:val="24"/>
          <w:highlight w:val="none"/>
          <w:lang w:val="zh-CN"/>
        </w:rPr>
        <w:t>11.</w:t>
      </w:r>
      <w:r>
        <w:rPr>
          <w:rFonts w:hint="eastAsia" w:ascii="仿宋" w:hAnsi="仿宋" w:eastAsia="仿宋" w:cs="宋体"/>
          <w:b/>
          <w:sz w:val="24"/>
          <w:highlight w:val="none"/>
        </w:rPr>
        <w:t>2商务技术</w:t>
      </w:r>
      <w:r>
        <w:rPr>
          <w:rFonts w:hint="eastAsia" w:ascii="仿宋" w:hAnsi="仿宋" w:eastAsia="仿宋" w:cs="宋体"/>
          <w:b/>
          <w:sz w:val="24"/>
          <w:highlight w:val="none"/>
          <w:lang w:val="zh-CN"/>
        </w:rPr>
        <w:t>文件：</w:t>
      </w:r>
    </w:p>
    <w:p>
      <w:pPr>
        <w:snapToGrid w:val="0"/>
        <w:spacing w:line="360" w:lineRule="auto"/>
        <w:ind w:firstLine="480" w:firstLineChars="200"/>
        <w:rPr>
          <w:rFonts w:ascii="仿宋" w:hAnsi="仿宋" w:eastAsia="仿宋" w:cs="宋体"/>
          <w:b/>
          <w:sz w:val="24"/>
          <w:highlight w:val="none"/>
          <w:lang w:val="zh-CN"/>
        </w:rPr>
      </w:pPr>
      <w:r>
        <w:rPr>
          <w:rFonts w:hint="eastAsia" w:ascii="仿宋" w:hAnsi="仿宋" w:eastAsia="仿宋" w:cs="宋体"/>
          <w:sz w:val="24"/>
          <w:highlight w:val="none"/>
        </w:rPr>
        <w:t>11.2.1投标函；</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11.2.2授权委托书或法定代表人（单位负责人、自然人本人）身份证明；</w:t>
      </w:r>
    </w:p>
    <w:p>
      <w:pPr>
        <w:snapToGrid w:val="0"/>
        <w:spacing w:line="360" w:lineRule="auto"/>
        <w:ind w:firstLine="480" w:firstLineChars="200"/>
        <w:rPr>
          <w:rFonts w:ascii="仿宋" w:hAnsi="仿宋" w:eastAsia="仿宋" w:cs="宋体"/>
          <w:b/>
          <w:sz w:val="24"/>
          <w:highlight w:val="none"/>
          <w:lang w:val="zh-CN"/>
        </w:rPr>
      </w:pPr>
      <w:r>
        <w:rPr>
          <w:rFonts w:hint="eastAsia" w:ascii="仿宋" w:hAnsi="仿宋" w:eastAsia="仿宋" w:cs="宋体"/>
          <w:sz w:val="24"/>
          <w:highlight w:val="none"/>
        </w:rPr>
        <w:t>11.2.</w:t>
      </w:r>
      <w:r>
        <w:rPr>
          <w:rFonts w:ascii="仿宋" w:hAnsi="仿宋" w:eastAsia="仿宋" w:cs="宋体"/>
          <w:sz w:val="24"/>
          <w:highlight w:val="none"/>
        </w:rPr>
        <w:t>3</w:t>
      </w:r>
      <w:r>
        <w:rPr>
          <w:rFonts w:hint="eastAsia" w:ascii="仿宋" w:hAnsi="仿宋" w:eastAsia="仿宋" w:cs="宋体"/>
          <w:sz w:val="24"/>
          <w:highlight w:val="none"/>
        </w:rPr>
        <w:t>分包意向协议</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pPr>
        <w:snapToGrid w:val="0"/>
        <w:spacing w:line="360" w:lineRule="auto"/>
        <w:ind w:firstLine="480" w:firstLineChars="200"/>
        <w:rPr>
          <w:rFonts w:ascii="仿宋" w:hAnsi="仿宋" w:eastAsia="仿宋" w:cs="宋体"/>
          <w:b/>
          <w:sz w:val="24"/>
          <w:highlight w:val="none"/>
          <w:lang w:val="zh-CN"/>
        </w:rPr>
      </w:pPr>
      <w:r>
        <w:rPr>
          <w:rFonts w:hint="eastAsia" w:ascii="仿宋" w:hAnsi="仿宋" w:eastAsia="仿宋" w:cs="宋体"/>
          <w:sz w:val="24"/>
          <w:highlight w:val="none"/>
        </w:rPr>
        <w:t>11.2.</w:t>
      </w:r>
      <w:r>
        <w:rPr>
          <w:rFonts w:ascii="仿宋" w:hAnsi="仿宋" w:eastAsia="仿宋" w:cs="宋体"/>
          <w:sz w:val="24"/>
          <w:highlight w:val="none"/>
        </w:rPr>
        <w:t>4</w:t>
      </w:r>
      <w:r>
        <w:rPr>
          <w:rFonts w:hint="eastAsia" w:ascii="仿宋" w:hAnsi="仿宋" w:eastAsia="仿宋" w:cs="宋体"/>
          <w:sz w:val="24"/>
          <w:highlight w:val="none"/>
        </w:rPr>
        <w:t>符合性审查资料；</w:t>
      </w:r>
    </w:p>
    <w:p>
      <w:pPr>
        <w:snapToGrid w:val="0"/>
        <w:spacing w:line="360" w:lineRule="auto"/>
        <w:ind w:firstLine="480" w:firstLineChars="200"/>
        <w:rPr>
          <w:rFonts w:ascii="仿宋" w:hAnsi="仿宋" w:eastAsia="仿宋" w:cs="宋体"/>
          <w:b/>
          <w:sz w:val="24"/>
          <w:highlight w:val="none"/>
          <w:lang w:val="zh-CN"/>
        </w:rPr>
      </w:pPr>
      <w:r>
        <w:rPr>
          <w:rFonts w:hint="eastAsia" w:ascii="仿宋" w:hAnsi="仿宋" w:eastAsia="仿宋" w:cs="宋体"/>
          <w:sz w:val="24"/>
          <w:highlight w:val="none"/>
        </w:rPr>
        <w:t>11.2.</w:t>
      </w:r>
      <w:r>
        <w:rPr>
          <w:rFonts w:ascii="仿宋" w:hAnsi="仿宋" w:eastAsia="仿宋" w:cs="宋体"/>
          <w:sz w:val="24"/>
          <w:highlight w:val="none"/>
        </w:rPr>
        <w:t>5</w:t>
      </w:r>
      <w:r>
        <w:rPr>
          <w:rFonts w:hint="eastAsia" w:ascii="仿宋" w:hAnsi="仿宋" w:eastAsia="仿宋" w:cs="宋体"/>
          <w:sz w:val="24"/>
          <w:highlight w:val="none"/>
        </w:rPr>
        <w:t>评标标准相应的商务技术资料；</w:t>
      </w:r>
    </w:p>
    <w:p>
      <w:pPr>
        <w:snapToGrid w:val="0"/>
        <w:spacing w:line="360" w:lineRule="auto"/>
        <w:ind w:firstLine="480" w:firstLineChars="200"/>
        <w:rPr>
          <w:rFonts w:ascii="仿宋" w:hAnsi="仿宋" w:eastAsia="仿宋" w:cs="宋体"/>
          <w:b/>
          <w:sz w:val="24"/>
          <w:highlight w:val="none"/>
          <w:lang w:val="zh-CN"/>
        </w:rPr>
      </w:pPr>
      <w:r>
        <w:rPr>
          <w:rFonts w:hint="eastAsia" w:ascii="仿宋" w:hAnsi="仿宋" w:eastAsia="仿宋" w:cs="宋体"/>
          <w:sz w:val="24"/>
          <w:highlight w:val="none"/>
        </w:rPr>
        <w:t>11.2.</w:t>
      </w:r>
      <w:r>
        <w:rPr>
          <w:rFonts w:ascii="仿宋" w:hAnsi="仿宋" w:eastAsia="仿宋" w:cs="宋体"/>
          <w:sz w:val="24"/>
          <w:highlight w:val="none"/>
        </w:rPr>
        <w:t>6</w:t>
      </w:r>
      <w:r>
        <w:rPr>
          <w:rFonts w:hint="eastAsia" w:ascii="仿宋" w:hAnsi="仿宋" w:eastAsia="仿宋" w:cs="宋体"/>
          <w:sz w:val="24"/>
          <w:highlight w:val="none"/>
        </w:rPr>
        <w:t>投标标的清单；</w:t>
      </w:r>
    </w:p>
    <w:p>
      <w:pPr>
        <w:snapToGrid w:val="0"/>
        <w:spacing w:line="360" w:lineRule="auto"/>
        <w:ind w:firstLine="480" w:firstLineChars="200"/>
        <w:rPr>
          <w:rFonts w:ascii="仿宋" w:hAnsi="仿宋" w:eastAsia="仿宋" w:cs="宋体"/>
          <w:b/>
          <w:sz w:val="24"/>
          <w:highlight w:val="none"/>
          <w:lang w:val="zh-CN"/>
        </w:rPr>
      </w:pPr>
      <w:r>
        <w:rPr>
          <w:rFonts w:hint="eastAsia" w:ascii="仿宋" w:hAnsi="仿宋" w:eastAsia="仿宋" w:cs="宋体"/>
          <w:sz w:val="24"/>
          <w:highlight w:val="none"/>
        </w:rPr>
        <w:t>11.2.</w:t>
      </w:r>
      <w:r>
        <w:rPr>
          <w:rFonts w:ascii="仿宋" w:hAnsi="仿宋" w:eastAsia="仿宋" w:cs="宋体"/>
          <w:sz w:val="24"/>
          <w:highlight w:val="none"/>
        </w:rPr>
        <w:t>7</w:t>
      </w:r>
      <w:r>
        <w:rPr>
          <w:rFonts w:hint="eastAsia" w:ascii="仿宋" w:hAnsi="仿宋" w:eastAsia="仿宋" w:cs="宋体"/>
          <w:sz w:val="24"/>
          <w:highlight w:val="none"/>
        </w:rPr>
        <w:t>商务技术偏离表；</w:t>
      </w:r>
    </w:p>
    <w:p>
      <w:pPr>
        <w:snapToGrid w:val="0"/>
        <w:spacing w:line="360" w:lineRule="auto"/>
        <w:ind w:firstLine="480" w:firstLineChars="200"/>
        <w:rPr>
          <w:rFonts w:ascii="仿宋" w:hAnsi="仿宋" w:eastAsia="仿宋" w:cs="宋体"/>
          <w:b/>
          <w:sz w:val="24"/>
          <w:highlight w:val="none"/>
          <w:lang w:val="zh-CN"/>
        </w:rPr>
      </w:pPr>
      <w:r>
        <w:rPr>
          <w:rFonts w:hint="eastAsia" w:ascii="仿宋" w:hAnsi="仿宋" w:eastAsia="仿宋" w:cs="宋体"/>
          <w:sz w:val="24"/>
          <w:highlight w:val="none"/>
          <w:lang w:val="zh-CN"/>
        </w:rPr>
        <w:t>11.</w:t>
      </w: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ascii="仿宋" w:hAnsi="仿宋" w:eastAsia="仿宋" w:cs="宋体"/>
          <w:sz w:val="24"/>
          <w:highlight w:val="none"/>
        </w:rPr>
        <w:t>8</w:t>
      </w:r>
      <w:r>
        <w:rPr>
          <w:rFonts w:hint="eastAsia" w:ascii="仿宋" w:hAnsi="仿宋" w:eastAsia="仿宋" w:cs="宋体"/>
          <w:sz w:val="24"/>
          <w:highlight w:val="none"/>
          <w:lang w:val="zh-CN"/>
        </w:rPr>
        <w:t>政府采购供应商廉洁自律承诺书；</w:t>
      </w:r>
    </w:p>
    <w:p>
      <w:pPr>
        <w:snapToGrid w:val="0"/>
        <w:spacing w:line="360" w:lineRule="auto"/>
        <w:ind w:firstLine="480" w:firstLineChars="200"/>
        <w:rPr>
          <w:rFonts w:ascii="仿宋" w:hAnsi="仿宋" w:eastAsia="仿宋" w:cs="宋体"/>
          <w:sz w:val="24"/>
          <w:highlight w:val="none"/>
          <w:u w:val="single"/>
          <w:lang w:val="zh-CN"/>
        </w:rPr>
      </w:pPr>
      <w:r>
        <w:rPr>
          <w:rFonts w:hint="eastAsia" w:ascii="仿宋" w:hAnsi="仿宋" w:eastAsia="仿宋" w:cs="宋体"/>
          <w:kern w:val="0"/>
          <w:sz w:val="24"/>
          <w:highlight w:val="none"/>
          <w:lang w:val="zh-CN"/>
        </w:rPr>
        <w:t>11.</w:t>
      </w:r>
      <w:r>
        <w:rPr>
          <w:rFonts w:hint="eastAsia" w:ascii="仿宋" w:hAnsi="仿宋" w:eastAsia="仿宋" w:cs="宋体"/>
          <w:kern w:val="0"/>
          <w:sz w:val="24"/>
          <w:highlight w:val="none"/>
        </w:rPr>
        <w:t>3</w:t>
      </w:r>
      <w:r>
        <w:rPr>
          <w:rFonts w:hint="eastAsia" w:ascii="仿宋" w:hAnsi="仿宋" w:eastAsia="仿宋" w:cs="宋体"/>
          <w:b/>
          <w:sz w:val="24"/>
          <w:highlight w:val="none"/>
        </w:rPr>
        <w:t>报价文件：</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11.3.1开标一览表（报价表）；</w:t>
      </w:r>
    </w:p>
    <w:p>
      <w:pPr>
        <w:snapToGrid w:val="0"/>
        <w:spacing w:line="360" w:lineRule="auto"/>
        <w:ind w:firstLine="480" w:firstLineChars="200"/>
        <w:rPr>
          <w:rFonts w:ascii="仿宋" w:hAnsi="仿宋" w:eastAsia="仿宋" w:cs="宋体"/>
          <w:sz w:val="24"/>
          <w:highlight w:val="none"/>
          <w:u w:val="single"/>
          <w:lang w:val="zh-CN"/>
        </w:rPr>
      </w:pPr>
      <w:r>
        <w:rPr>
          <w:rFonts w:hint="eastAsia" w:ascii="仿宋" w:hAnsi="仿宋" w:eastAsia="仿宋" w:cs="宋体"/>
          <w:sz w:val="24"/>
          <w:highlight w:val="none"/>
        </w:rPr>
        <w:t>11.3.2报价明细表；</w:t>
      </w:r>
    </w:p>
    <w:p>
      <w:pPr>
        <w:snapToGrid w:val="0"/>
        <w:spacing w:line="360" w:lineRule="auto"/>
        <w:ind w:firstLine="480" w:firstLineChars="200"/>
        <w:rPr>
          <w:rFonts w:ascii="仿宋" w:hAnsi="仿宋" w:eastAsia="仿宋" w:cs="宋体"/>
          <w:sz w:val="24"/>
          <w:highlight w:val="none"/>
          <w:u w:val="single"/>
          <w:lang w:val="zh-CN"/>
        </w:rPr>
      </w:pPr>
      <w:r>
        <w:rPr>
          <w:rFonts w:hint="eastAsia" w:ascii="仿宋" w:hAnsi="仿宋" w:eastAsia="仿宋" w:cs="宋体"/>
          <w:sz w:val="24"/>
          <w:highlight w:val="none"/>
        </w:rPr>
        <w:t>11.3.3中小企业声明函。</w:t>
      </w:r>
    </w:p>
    <w:p>
      <w:pPr>
        <w:snapToGrid w:val="0"/>
        <w:spacing w:line="360" w:lineRule="auto"/>
        <w:ind w:firstLine="482" w:firstLineChars="200"/>
        <w:rPr>
          <w:rFonts w:ascii="仿宋" w:hAnsi="仿宋" w:eastAsia="仿宋" w:cs="宋体"/>
          <w:sz w:val="24"/>
          <w:highlight w:val="none"/>
          <w:u w:val="single"/>
          <w:lang w:val="zh-CN"/>
        </w:rPr>
      </w:pPr>
      <w:r>
        <w:rPr>
          <w:rFonts w:hint="eastAsia" w:ascii="仿宋" w:hAnsi="仿宋" w:eastAsia="仿宋" w:cs="宋体"/>
          <w:b/>
          <w:sz w:val="24"/>
          <w:highlight w:val="none"/>
        </w:rPr>
        <w:t>投标文件含有采购人不能接受的附加条件的，投标无效；</w:t>
      </w:r>
    </w:p>
    <w:p>
      <w:pPr>
        <w:snapToGrid w:val="0"/>
        <w:spacing w:line="360" w:lineRule="auto"/>
        <w:ind w:firstLine="482" w:firstLineChars="200"/>
        <w:rPr>
          <w:rFonts w:ascii="仿宋_GB2312" w:hAnsi="仿宋" w:eastAsia="仿宋_GB2312" w:cs="仿宋_GB2312"/>
          <w:b/>
          <w:sz w:val="24"/>
          <w:szCs w:val="21"/>
          <w:highlight w:val="none"/>
        </w:rPr>
      </w:pPr>
      <w:r>
        <w:rPr>
          <w:rFonts w:hint="eastAsia" w:ascii="仿宋" w:hAnsi="仿宋" w:eastAsia="仿宋" w:cs="宋体"/>
          <w:b/>
          <w:sz w:val="24"/>
          <w:highlight w:val="none"/>
        </w:rPr>
        <w:t>投标人提供虚假材料投标的，投标无效。</w:t>
      </w:r>
    </w:p>
    <w:p>
      <w:pPr>
        <w:pStyle w:val="93"/>
        <w:snapToGrid w:val="0"/>
        <w:spacing w:before="0"/>
        <w:ind w:firstLine="0" w:firstLineChars="0"/>
        <w:outlineLvl w:val="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 xml:space="preserve">. </w:t>
      </w:r>
      <w:r>
        <w:rPr>
          <w:rFonts w:hint="eastAsia" w:ascii="仿宋_GB2312" w:hAnsi="仿宋" w:eastAsia="仿宋_GB2312" w:cs="仿宋_GB2312"/>
          <w:b/>
          <w:szCs w:val="24"/>
          <w:highlight w:val="none"/>
        </w:rPr>
        <w:t>投标文件的编制</w:t>
      </w:r>
    </w:p>
    <w:p>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CA数字证书，申领流程请自行前往“浙江政府采购网-下载专区-电子交易客户端-CA驱动和申领流程”进行查阅。</w:t>
      </w:r>
    </w:p>
    <w:p>
      <w:pPr>
        <w:numPr>
          <w:ilvl w:val="0"/>
          <w:numId w:val="2"/>
        </w:numPr>
        <w:snapToGrid w:val="0"/>
        <w:spacing w:line="360" w:lineRule="auto"/>
        <w:rPr>
          <w:rFonts w:ascii="仿宋_GB2312" w:hAnsi="仿宋" w:eastAsia="仿宋_GB2312"/>
          <w:b/>
          <w:sz w:val="24"/>
          <w:highlight w:val="none"/>
        </w:rPr>
      </w:pPr>
      <w:r>
        <w:rPr>
          <w:rFonts w:ascii="仿宋_GB2312" w:hAnsi="仿宋" w:eastAsia="仿宋_GB2312"/>
          <w:b/>
          <w:sz w:val="24"/>
          <w:highlight w:val="none"/>
        </w:rPr>
        <w:t>投标文件的签署、盖章</w:t>
      </w:r>
    </w:p>
    <w:p>
      <w:pPr>
        <w:pStyle w:val="93"/>
        <w:snapToGrid w:val="0"/>
        <w:spacing w:before="0"/>
        <w:ind w:firstLine="480"/>
        <w:rPr>
          <w:rFonts w:ascii="仿宋_GB2312" w:hAnsi="仿宋" w:eastAsia="仿宋_GB2312" w:cs="仿宋_GB2312"/>
          <w:b/>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pPr>
        <w:pStyle w:val="93"/>
        <w:snapToGrid w:val="0"/>
        <w:spacing w:before="0"/>
        <w:ind w:firstLine="480"/>
        <w:rPr>
          <w:rFonts w:ascii="仿宋_GB2312" w:hAnsi="仿宋" w:eastAsia="仿宋_GB2312" w:cs="仿宋_GB2312"/>
          <w:szCs w:val="24"/>
          <w:highlight w:val="none"/>
        </w:rPr>
      </w:pPr>
      <w:r>
        <w:rPr>
          <w:rFonts w:ascii="仿宋_GB2312" w:hAnsi="仿宋" w:eastAsia="仿宋_GB2312" w:cs="仿宋_GB2312"/>
          <w:highlight w:val="none"/>
        </w:rPr>
        <w:t>13.3招标文件对投标文件签署、盖章的要求适用于电子签名。</w:t>
      </w:r>
    </w:p>
    <w:p>
      <w:pPr>
        <w:pStyle w:val="93"/>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14. </w:t>
      </w:r>
      <w:r>
        <w:rPr>
          <w:rFonts w:hint="eastAsia" w:ascii="仿宋_GB2312" w:hAnsi="仿宋" w:eastAsia="仿宋_GB2312" w:cs="仿宋_GB2312"/>
          <w:b/>
          <w:szCs w:val="24"/>
          <w:highlight w:val="none"/>
        </w:rPr>
        <w:t>投标文件的提交、补充、修改、撤回</w:t>
      </w:r>
    </w:p>
    <w:p>
      <w:pPr>
        <w:pStyle w:val="93"/>
        <w:ind w:firstLine="480"/>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3"/>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3"/>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w:t>
      </w:r>
      <w:r>
        <w:rPr>
          <w:rFonts w:ascii="仿宋_GB2312" w:hAnsi="仿宋" w:eastAsia="仿宋_GB2312" w:cs="仿宋_GB2312"/>
          <w:b/>
          <w:szCs w:val="24"/>
          <w:highlight w:val="none"/>
        </w:rPr>
        <w:t xml:space="preserve">. </w:t>
      </w:r>
      <w:r>
        <w:rPr>
          <w:rFonts w:ascii="仿宋_GB2312" w:hAnsi="仿宋" w:eastAsia="仿宋_GB2312" w:cs="仿宋_GB2312"/>
          <w:b/>
          <w:sz w:val="24"/>
          <w:szCs w:val="24"/>
          <w:highlight w:val="none"/>
        </w:rPr>
        <w:t>备份投标文件</w:t>
      </w:r>
    </w:p>
    <w:p>
      <w:pPr>
        <w:pStyle w:val="35"/>
        <w:spacing w:line="360" w:lineRule="auto"/>
        <w:ind w:firstLine="360" w:firstLineChars="15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highlight w:val="none"/>
        </w:rPr>
        <w:t>但采购人、采购机构不强制或变相强制投标人提交备份投标文件。</w:t>
      </w:r>
    </w:p>
    <w:p>
      <w:pPr>
        <w:pStyle w:val="35"/>
        <w:spacing w:line="360" w:lineRule="auto"/>
        <w:ind w:firstLine="480" w:firstLineChars="200"/>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15.5投标人仅提交备份投标文件，没有在电子交易平台传输递交投标文件的，投标无效。</w:t>
      </w:r>
    </w:p>
    <w:p>
      <w:pPr>
        <w:pStyle w:val="93"/>
        <w:numPr>
          <w:ilvl w:val="0"/>
          <w:numId w:val="3"/>
        </w:numPr>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投标文件的无效处理</w:t>
      </w:r>
    </w:p>
    <w:p>
      <w:pPr>
        <w:pStyle w:val="3"/>
        <w:spacing w:line="360" w:lineRule="auto"/>
        <w:ind w:firstLine="360" w:firstLineChars="150"/>
        <w:rPr>
          <w:rFonts w:ascii="仿宋_GB2312" w:hAnsi="仿宋" w:eastAsia="仿宋_GB2312" w:cs="仿宋_GB2312"/>
          <w:szCs w:val="21"/>
          <w:highlight w:val="none"/>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w:t>
      </w:r>
      <w:r>
        <w:rPr>
          <w:rFonts w:ascii="仿宋_GB2312" w:hAnsi="仿宋" w:eastAsia="仿宋_GB2312"/>
          <w:highlight w:val="none"/>
        </w:rPr>
        <w:t>13项规定</w:t>
      </w:r>
      <w:r>
        <w:rPr>
          <w:rFonts w:hint="eastAsia" w:ascii="仿宋_GB2312" w:hAnsi="仿宋" w:eastAsia="仿宋_GB2312" w:cs="仿宋_GB2312"/>
          <w:szCs w:val="21"/>
          <w:highlight w:val="none"/>
        </w:rPr>
        <w:t>的情形之一的，投标无效：</w:t>
      </w:r>
    </w:p>
    <w:p>
      <w:pPr>
        <w:pStyle w:val="93"/>
        <w:numPr>
          <w:ilvl w:val="0"/>
          <w:numId w:val="3"/>
        </w:numPr>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投标有效期</w:t>
      </w:r>
    </w:p>
    <w:p>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pPr>
        <w:pStyle w:val="93"/>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pPr>
        <w:pStyle w:val="93"/>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93"/>
        <w:spacing w:before="0"/>
        <w:ind w:firstLine="480"/>
        <w:rPr>
          <w:rFonts w:ascii="仿宋_GB2312" w:hAnsi="仿宋" w:eastAsia="仿宋_GB2312" w:cs="仿宋_GB2312"/>
          <w:highlight w:val="none"/>
        </w:rPr>
      </w:pPr>
    </w:p>
    <w:p>
      <w:pPr>
        <w:pStyle w:val="93"/>
        <w:spacing w:before="0"/>
        <w:ind w:firstLine="643"/>
        <w:rPr>
          <w:rFonts w:ascii="仿宋_GB2312" w:hAnsi="仿宋" w:eastAsia="仿宋_GB2312" w:cs="仿宋_GB2312"/>
          <w:b/>
          <w:sz w:val="32"/>
          <w:highlight w:val="none"/>
        </w:rPr>
      </w:pPr>
    </w:p>
    <w:p>
      <w:pPr>
        <w:pStyle w:val="93"/>
        <w:spacing w:before="0"/>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pPr>
        <w:pStyle w:val="248"/>
        <w:spacing w:before="0" w:line="360" w:lineRule="auto"/>
        <w:ind w:left="0" w:firstLine="241" w:firstLineChars="100"/>
        <w:contextualSpacing/>
        <w:rPr>
          <w:rFonts w:ascii="仿宋_GB2312" w:eastAsia="仿宋_GB2312"/>
          <w:sz w:val="24"/>
          <w:highlight w:val="none"/>
        </w:rPr>
      </w:pPr>
      <w:r>
        <w:rPr>
          <w:rFonts w:ascii="仿宋_GB2312" w:hAnsi="仿宋" w:eastAsia="仿宋_GB2312" w:cs="仿宋_GB2312"/>
          <w:b/>
          <w:sz w:val="24"/>
          <w:szCs w:val="24"/>
          <w:highlight w:val="none"/>
        </w:rPr>
        <w:t>18.</w:t>
      </w:r>
      <w:r>
        <w:rPr>
          <w:rFonts w:hint="eastAsia" w:ascii="仿宋_GB2312" w:hAnsi="仿宋" w:eastAsia="仿宋_GB2312" w:cs="仿宋_GB2312"/>
          <w:b/>
          <w:sz w:val="24"/>
          <w:szCs w:val="24"/>
          <w:highlight w:val="none"/>
        </w:rPr>
        <w:t xml:space="preserve"> </w:t>
      </w:r>
      <w:r>
        <w:rPr>
          <w:rFonts w:ascii="仿宋_GB2312" w:hAnsi="仿宋" w:eastAsia="仿宋_GB2312" w:cs="仿宋_GB2312"/>
          <w:b/>
          <w:sz w:val="24"/>
          <w:szCs w:val="24"/>
          <w:highlight w:val="none"/>
        </w:rPr>
        <w:t>开标</w:t>
      </w:r>
      <w:r>
        <w:rPr>
          <w:rFonts w:ascii="仿宋_GB2312" w:eastAsia="仿宋_GB2312"/>
          <w:sz w:val="24"/>
          <w:highlight w:val="none"/>
        </w:rPr>
        <w:t xml:space="preserve"> </w:t>
      </w:r>
    </w:p>
    <w:p>
      <w:pPr>
        <w:pStyle w:val="248"/>
        <w:spacing w:before="0" w:line="360" w:lineRule="auto"/>
        <w:ind w:left="0" w:firstLine="480" w:firstLineChars="20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pPr>
        <w:pStyle w:val="248"/>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248"/>
        <w:spacing w:before="0" w:line="360" w:lineRule="auto"/>
        <w:ind w:left="0" w:firstLine="240" w:firstLineChars="100"/>
        <w:contextualSpacing/>
        <w:rPr>
          <w:rFonts w:ascii="仿宋_GB2312" w:hAnsi="仿宋" w:eastAsia="仿宋_GB2312" w:cs="仿宋_GB2312"/>
          <w:b/>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　</w:t>
      </w:r>
      <w:r>
        <w:rPr>
          <w:rFonts w:ascii="仿宋_GB2312" w:hAnsi="仿宋" w:eastAsia="仿宋_GB2312" w:cs="仿宋_GB2312"/>
          <w:b/>
          <w:sz w:val="24"/>
          <w:szCs w:val="20"/>
          <w:highlight w:val="none"/>
        </w:rPr>
        <w:t>19</w:t>
      </w:r>
      <w:r>
        <w:rPr>
          <w:rFonts w:hint="eastAsia" w:ascii="仿宋_GB2312" w:hAnsi="仿宋" w:eastAsia="仿宋_GB2312" w:cs="仿宋_GB2312"/>
          <w:b/>
          <w:sz w:val="24"/>
          <w:szCs w:val="20"/>
          <w:highlight w:val="none"/>
        </w:rPr>
        <w:t xml:space="preserve">. </w:t>
      </w:r>
      <w:r>
        <w:rPr>
          <w:rFonts w:ascii="仿宋_GB2312" w:hAnsi="仿宋" w:eastAsia="仿宋_GB2312" w:cs="仿宋_GB2312"/>
          <w:b/>
          <w:sz w:val="24"/>
          <w:szCs w:val="20"/>
          <w:highlight w:val="none"/>
        </w:rPr>
        <w:t>资格审查</w:t>
      </w:r>
    </w:p>
    <w:p>
      <w:pPr>
        <w:pStyle w:val="93"/>
        <w:spacing w:before="0"/>
        <w:ind w:firstLine="48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pPr>
        <w:pStyle w:val="93"/>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pPr>
        <w:pStyle w:val="93"/>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4对未通过资格审查的投标人，采购人或采购机构告知其未通过的原因。</w:t>
      </w:r>
    </w:p>
    <w:p>
      <w:pPr>
        <w:pStyle w:val="93"/>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p>
      <w:pPr>
        <w:pStyle w:val="93"/>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20</w:t>
      </w:r>
      <w:r>
        <w:rPr>
          <w:rFonts w:hint="eastAsia" w:ascii="仿宋_GB2312" w:hAnsi="仿宋" w:eastAsia="仿宋_GB2312" w:cs="仿宋_GB2312"/>
          <w:b/>
          <w:szCs w:val="24"/>
          <w:highlight w:val="none"/>
        </w:rPr>
        <w:t xml:space="preserve">. </w:t>
      </w:r>
      <w:r>
        <w:rPr>
          <w:rFonts w:ascii="仿宋_GB2312" w:hAnsi="仿宋" w:eastAsia="仿宋_GB2312" w:cs="仿宋_GB2312"/>
          <w:b/>
          <w:szCs w:val="24"/>
          <w:highlight w:val="none"/>
        </w:rPr>
        <w:t>信用信息查询</w:t>
      </w:r>
    </w:p>
    <w:p>
      <w:pPr>
        <w:pStyle w:val="93"/>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20.1信用信息查询渠道及截止时间：采购机构将通过“信用中国”网站(www.creditchina.gov.cn)、中国政府采购网(www.ccgp.gov.cn)渠道查询投标人投标截止时间当天的信用记录。</w:t>
      </w:r>
    </w:p>
    <w:p>
      <w:pPr>
        <w:pStyle w:val="93"/>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pPr>
        <w:pStyle w:val="93"/>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93"/>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pPr>
        <w:pStyle w:val="93"/>
        <w:spacing w:before="0"/>
        <w:ind w:firstLine="0" w:firstLineChars="0"/>
        <w:rPr>
          <w:rFonts w:ascii="仿宋_GB2312" w:hAnsi="仿宋" w:eastAsia="仿宋_GB2312" w:cs="Arial"/>
          <w:kern w:val="0"/>
          <w:szCs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pPr>
        <w:spacing w:line="360" w:lineRule="auto"/>
        <w:rPr>
          <w:rFonts w:ascii="仿宋_GB2312" w:hAnsi="仿宋" w:eastAsia="仿宋_GB2312" w:cs="仿宋_GB2312"/>
          <w:b/>
          <w:sz w:val="24"/>
          <w:highlight w:val="none"/>
        </w:rPr>
      </w:pPr>
      <w:bookmarkStart w:id="17" w:name="_Toc91899903"/>
      <w:r>
        <w:rPr>
          <w:rFonts w:ascii="仿宋_GB2312" w:hAnsi="仿宋" w:eastAsia="仿宋_GB2312" w:cs="仿宋_GB2312"/>
          <w:b/>
          <w:sz w:val="24"/>
          <w:highlight w:val="none"/>
        </w:rPr>
        <w:t>21.</w:t>
      </w:r>
      <w:r>
        <w:rPr>
          <w:rFonts w:ascii="仿宋_GB2312" w:eastAsia="仿宋_GB2312"/>
          <w:highlight w:val="none"/>
        </w:rPr>
        <w:t xml:space="preserve"> </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pPr>
        <w:spacing w:line="360" w:lineRule="auto"/>
        <w:rPr>
          <w:rFonts w:ascii="仿宋_GB2312" w:hAnsi="仿宋" w:eastAsia="仿宋_GB2312" w:cs="仿宋_GB2312"/>
          <w:b/>
          <w:sz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p>
    <w:p>
      <w:pPr>
        <w:pStyle w:val="3"/>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pPr>
        <w:pStyle w:val="93"/>
        <w:snapToGrid w:val="0"/>
        <w:spacing w:before="0"/>
        <w:ind w:firstLine="480"/>
        <w:rPr>
          <w:rFonts w:ascii="仿宋_GB2312" w:hAnsi="仿宋" w:eastAsia="仿宋_GB2312" w:cs="仿宋_GB2312"/>
          <w:szCs w:val="24"/>
          <w:highlight w:val="none"/>
        </w:rPr>
      </w:pPr>
      <w:r>
        <w:rPr>
          <w:rFonts w:hint="eastAsia" w:ascii="仿宋_GB2312" w:hAnsi="仿宋" w:eastAsia="仿宋_GB2312"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3"/>
        <w:snapToGrid w:val="0"/>
        <w:spacing w:before="0"/>
        <w:ind w:firstLine="482"/>
        <w:rPr>
          <w:rFonts w:ascii="仿宋_GB2312" w:hAnsi="仿宋" w:eastAsia="仿宋_GB2312" w:cs="仿宋_GB2312"/>
          <w:b/>
          <w:szCs w:val="24"/>
          <w:highlight w:val="none"/>
        </w:rPr>
      </w:pPr>
    </w:p>
    <w:p>
      <w:pPr>
        <w:pStyle w:val="93"/>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pPr>
        <w:pStyle w:val="3"/>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24. </w:t>
      </w:r>
      <w:r>
        <w:rPr>
          <w:rFonts w:hint="eastAsia" w:ascii="仿宋_GB2312" w:hAnsi="仿宋" w:eastAsia="仿宋_GB2312" w:cs="仿宋_GB2312"/>
          <w:highlight w:val="none"/>
        </w:rPr>
        <w:t>合同主要条款详见第五部分拟签订的合同文本。</w:t>
      </w:r>
    </w:p>
    <w:p>
      <w:pPr>
        <w:pStyle w:val="3"/>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25. </w:t>
      </w:r>
      <w:r>
        <w:rPr>
          <w:rFonts w:hint="eastAsia" w:ascii="仿宋_GB2312" w:hAnsi="仿宋" w:eastAsia="仿宋_GB2312" w:cs="仿宋_GB2312"/>
          <w:b/>
          <w:highlight w:val="none"/>
        </w:rPr>
        <w:t>合同的签订</w:t>
      </w:r>
    </w:p>
    <w:p>
      <w:pPr>
        <w:pStyle w:val="93"/>
        <w:snapToGrid w:val="0"/>
        <w:spacing w:before="0"/>
        <w:ind w:firstLine="480"/>
        <w:rPr>
          <w:rFonts w:ascii="仿宋_GB2312" w:hAnsi="仿宋" w:eastAsia="仿宋_GB2312" w:cs="Arial"/>
          <w:kern w:val="0"/>
          <w:highlight w:val="none"/>
        </w:rPr>
      </w:pPr>
      <w:r>
        <w:rPr>
          <w:rFonts w:ascii="仿宋_GB2312" w:hAnsi="仿宋" w:eastAsia="仿宋_GB2312" w:cs="仿宋_GB2312"/>
          <w:highlight w:val="none"/>
        </w:rPr>
        <w:t>25.1</w:t>
      </w:r>
      <w:r>
        <w:rPr>
          <w:rFonts w:ascii="仿宋_GB2312" w:hAnsi="仿宋" w:eastAsia="仿宋_GB2312" w:cs="Arial"/>
          <w:kern w:val="0"/>
          <w:highlight w:val="none"/>
        </w:rPr>
        <w:t xml:space="preserve"> 采购人与中标人应当通过电子交易平台在中标通知书发出之日起</w:t>
      </w:r>
      <w:r>
        <w:rPr>
          <w:rFonts w:hint="eastAsia" w:ascii="仿宋_GB2312" w:hAnsi="仿宋" w:eastAsia="仿宋_GB2312" w:cs="Arial"/>
          <w:kern w:val="0"/>
          <w:highlight w:val="none"/>
        </w:rPr>
        <w:t>十个工作日</w:t>
      </w:r>
      <w:r>
        <w:rPr>
          <w:rFonts w:ascii="仿宋_GB2312" w:hAnsi="仿宋" w:eastAsia="仿宋_GB2312" w:cs="Arial"/>
          <w:kern w:val="0"/>
          <w:highlight w:val="none"/>
        </w:rPr>
        <w:t>内，按照招标文件确定的事项签订政府采购合同，并在</w:t>
      </w:r>
      <w:r>
        <w:rPr>
          <w:rFonts w:hint="eastAsia" w:ascii="仿宋_GB2312" w:hAnsi="仿宋" w:eastAsia="仿宋_GB2312" w:cs="Arial"/>
          <w:kern w:val="0"/>
          <w:highlight w:val="none"/>
        </w:rPr>
        <w:t>合同签订之日起2个工作日</w:t>
      </w:r>
      <w:r>
        <w:rPr>
          <w:rFonts w:ascii="仿宋_GB2312" w:hAnsi="仿宋" w:eastAsia="仿宋_GB2312" w:cs="Arial"/>
          <w:kern w:val="0"/>
          <w:highlight w:val="none"/>
        </w:rPr>
        <w:t>内依法发布合同公告。</w:t>
      </w:r>
    </w:p>
    <w:p>
      <w:pPr>
        <w:pStyle w:val="93"/>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pPr>
        <w:pStyle w:val="93"/>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3"/>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26. </w:t>
      </w:r>
      <w:r>
        <w:rPr>
          <w:rFonts w:hint="eastAsia" w:ascii="仿宋_GB2312" w:hAnsi="仿宋" w:eastAsia="仿宋_GB2312" w:cs="仿宋_GB2312"/>
          <w:b/>
          <w:highlight w:val="none"/>
        </w:rPr>
        <w:t>履约保证金</w:t>
      </w:r>
    </w:p>
    <w:p>
      <w:pPr>
        <w:tabs>
          <w:tab w:val="left" w:pos="0"/>
        </w:tabs>
        <w:spacing w:line="360" w:lineRule="auto"/>
        <w:ind w:firstLine="482"/>
        <w:rPr>
          <w:rFonts w:ascii="仿宋_GB2312" w:hAnsi="仿宋" w:eastAsia="仿宋_GB2312"/>
          <w:b/>
          <w:sz w:val="24"/>
          <w:highlight w:val="none"/>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杭州市政府采购网公布的供应商履约评价为满分的供应商，采购单位应当免收履约保证金。确需收履约保证金的，履约保证金的数额不得超过政府采购合同金额的1%。鼓励和支持供应商以银行、保险公司出具的保函形式提供履约保证金。</w:t>
      </w:r>
      <w:r>
        <w:rPr>
          <w:rFonts w:hint="eastAsia" w:ascii="仿宋_GB2312" w:hAnsi="仿宋" w:eastAsia="仿宋_GB2312"/>
          <w:b/>
          <w:sz w:val="24"/>
          <w:highlight w:val="none"/>
        </w:rPr>
        <w:t>采购人不得拒收履约保函。</w:t>
      </w:r>
    </w:p>
    <w:p>
      <w:pPr>
        <w:tabs>
          <w:tab w:val="left" w:pos="0"/>
        </w:tabs>
        <w:spacing w:line="360" w:lineRule="auto"/>
        <w:ind w:firstLine="482"/>
        <w:rPr>
          <w:rFonts w:ascii="仿宋_GB2312" w:hAnsi="仿宋" w:eastAsia="仿宋_GB2312" w:cs="Helvetica"/>
          <w:kern w:val="0"/>
          <w:sz w:val="24"/>
          <w:highlight w:val="none"/>
        </w:rPr>
      </w:pPr>
      <w:r>
        <w:rPr>
          <w:rFonts w:hint="eastAsia" w:ascii="仿宋_GB2312" w:hAnsi="仿宋" w:eastAsia="仿宋_GB2312" w:cs="Helvetica"/>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highlight w:val="none"/>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93"/>
        <w:snapToGrid w:val="0"/>
        <w:spacing w:before="0"/>
        <w:ind w:firstLine="0" w:firstLineChars="0"/>
        <w:rPr>
          <w:rFonts w:ascii="仿宋_GB2312" w:hAnsi="仿宋" w:eastAsia="仿宋_GB2312" w:cs="仿宋_GB2312"/>
          <w:highlight w:val="none"/>
        </w:rPr>
      </w:pPr>
      <w:r>
        <w:rPr>
          <w:rFonts w:ascii="仿宋_GB2312" w:hAnsi="仿宋" w:eastAsia="仿宋_GB2312" w:cs="仿宋_GB2312"/>
          <w:b/>
          <w:bCs/>
          <w:highlight w:val="none"/>
        </w:rPr>
        <w:t>2</w:t>
      </w:r>
      <w:r>
        <w:rPr>
          <w:rFonts w:ascii="仿宋_GB2312" w:hAnsi="仿宋" w:eastAsia="仿宋_GB2312" w:cs="仿宋_GB2312"/>
          <w:b/>
          <w:bCs/>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93"/>
        <w:numPr>
          <w:ilvl w:val="0"/>
          <w:numId w:val="4"/>
        </w:numPr>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九、验收</w:t>
      </w:r>
    </w:p>
    <w:p>
      <w:pPr>
        <w:pStyle w:val="3"/>
        <w:spacing w:line="360" w:lineRule="auto"/>
        <w:ind w:firstLine="0" w:firstLineChars="0"/>
        <w:rPr>
          <w:rFonts w:ascii="仿宋_GB2312" w:hAnsi="仿宋" w:eastAsia="仿宋_GB2312" w:cs="仿宋_GB2312"/>
          <w:b/>
          <w:highlight w:val="none"/>
        </w:rPr>
      </w:pPr>
      <w:r>
        <w:rPr>
          <w:rFonts w:ascii="仿宋_GB2312" w:hAnsi="仿宋" w:eastAsia="仿宋_GB2312" w:cs="仿宋_GB2312"/>
          <w:b/>
          <w:highlight w:val="none"/>
        </w:rPr>
        <w:t>29.</w:t>
      </w:r>
      <w:r>
        <w:rPr>
          <w:rFonts w:hint="eastAsia" w:ascii="仿宋_GB2312" w:hAnsi="仿宋" w:eastAsia="仿宋_GB2312" w:cs="仿宋_GB2312"/>
          <w:b/>
          <w:highlight w:val="none"/>
        </w:rPr>
        <w:t xml:space="preserve"> </w:t>
      </w:r>
      <w:r>
        <w:rPr>
          <w:rFonts w:ascii="仿宋_GB2312" w:hAnsi="仿宋" w:eastAsia="仿宋_GB2312" w:cs="仿宋_GB2312"/>
          <w:b/>
          <w:highlight w:val="none"/>
        </w:rPr>
        <w:t>验收</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rPr>
        <w:t>验收书的参考资料一并存档。</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highlight w:val="none"/>
        </w:rPr>
      </w:pPr>
      <w:r>
        <w:rPr>
          <w:rFonts w:ascii="仿宋_GB2312" w:hAnsi="仿宋" w:eastAsia="仿宋_GB2312" w:cs="Helvetica"/>
          <w:kern w:val="0"/>
          <w:sz w:val="24"/>
          <w:highlight w:val="none"/>
        </w:rPr>
        <w:t>29.4验收合格的项目，采购人将根据采购合同的约定及时</w:t>
      </w:r>
      <w:r>
        <w:rPr>
          <w:rFonts w:ascii="仿宋_GB2312" w:hAnsi="仿宋" w:eastAsia="仿宋_GB2312" w:cs="Helvetica"/>
          <w:color w:val="auto"/>
          <w:kern w:val="0"/>
          <w:sz w:val="24"/>
          <w:highlight w:val="none"/>
        </w:rPr>
        <w:t>向供应商支付采购资金、退还履约保证金。验收不合格的项目，采购人将依法及时处理。采购合同的履行、违约责任和解决争议的方式等适用《中华人民共和国民法典》。供应商</w:t>
      </w:r>
      <w:r>
        <w:rPr>
          <w:rFonts w:ascii="仿宋_GB2312" w:hAnsi="仿宋" w:eastAsia="仿宋_GB2312" w:cs="Helvetica"/>
          <w:kern w:val="0"/>
          <w:sz w:val="24"/>
          <w:highlight w:val="none"/>
        </w:rPr>
        <w:t>在履约过程中有政府采购法律法规规定的违法违规情形的，采购人应当及时报告本级财政部门。</w:t>
      </w:r>
    </w:p>
    <w:bookmarkEnd w:id="17"/>
    <w:p>
      <w:pPr>
        <w:tabs>
          <w:tab w:val="left" w:pos="0"/>
        </w:tabs>
        <w:spacing w:line="360" w:lineRule="auto"/>
        <w:ind w:firstLine="480"/>
        <w:rPr>
          <w:rFonts w:ascii="仿宋_GB2312" w:hAnsi="仿宋" w:eastAsia="仿宋_GB2312" w:cs="Helvetica"/>
          <w:kern w:val="0"/>
          <w:sz w:val="24"/>
          <w:highlight w:val="none"/>
        </w:rPr>
        <w:sectPr>
          <w:footerReference r:id="rId9" w:type="first"/>
          <w:footerReference r:id="rId8" w:type="default"/>
          <w:pgSz w:w="11906" w:h="16838"/>
          <w:pgMar w:top="680" w:right="1418" w:bottom="468" w:left="1418" w:header="851" w:footer="992" w:gutter="0"/>
          <w:pgNumType w:start="1"/>
          <w:cols w:space="720" w:num="1"/>
          <w:titlePg/>
          <w:docGrid w:linePitch="312" w:charSpace="0"/>
        </w:sectPr>
      </w:pPr>
      <w:bookmarkStart w:id="18" w:name="_Hlt74729768"/>
      <w:bookmarkEnd w:id="18"/>
      <w:bookmarkStart w:id="19" w:name="_Hlt68072998"/>
      <w:bookmarkEnd w:id="19"/>
      <w:bookmarkStart w:id="20" w:name="_Hlt68057669"/>
      <w:bookmarkEnd w:id="20"/>
      <w:bookmarkStart w:id="21" w:name="_Hlt74714665"/>
      <w:bookmarkEnd w:id="21"/>
      <w:bookmarkStart w:id="22" w:name="_Hlt68072990"/>
      <w:bookmarkEnd w:id="22"/>
      <w:bookmarkStart w:id="23" w:name="_Hlt75236011"/>
      <w:bookmarkEnd w:id="23"/>
      <w:bookmarkStart w:id="24" w:name="_Hlt74707468"/>
      <w:bookmarkEnd w:id="24"/>
      <w:bookmarkStart w:id="25" w:name="_Hlt68073093"/>
      <w:bookmarkEnd w:id="25"/>
      <w:bookmarkStart w:id="26" w:name="_Hlt75236290"/>
      <w:bookmarkEnd w:id="26"/>
      <w:bookmarkStart w:id="27" w:name="_Hlt68403820"/>
      <w:bookmarkEnd w:id="27"/>
      <w:bookmarkStart w:id="28" w:name="_Hlt74730295"/>
      <w:bookmarkEnd w:id="28"/>
      <w:bookmarkStart w:id="29" w:name="_Hlt75236101"/>
      <w:bookmarkEnd w:id="29"/>
    </w:p>
    <w:bookmarkEnd w:id="15"/>
    <w:bookmarkEnd w:id="16"/>
    <w:p>
      <w:pPr>
        <w:adjustRightInd/>
        <w:spacing w:line="360" w:lineRule="auto"/>
        <w:jc w:val="center"/>
        <w:outlineLvl w:val="0"/>
        <w:rPr>
          <w:rFonts w:ascii="仿宋" w:hAnsi="仿宋" w:eastAsia="仿宋" w:cs="仿宋_GB2312"/>
          <w:b/>
          <w:color w:val="000000" w:themeColor="text1"/>
          <w:sz w:val="36"/>
          <w:szCs w:val="20"/>
          <w:highlight w:val="none"/>
          <w14:textFill>
            <w14:solidFill>
              <w14:schemeClr w14:val="tx1"/>
            </w14:solidFill>
          </w14:textFill>
        </w:rPr>
      </w:pPr>
      <w:bookmarkStart w:id="30" w:name="第四部分"/>
      <w:r>
        <w:rPr>
          <w:rFonts w:hint="eastAsia" w:ascii="仿宋" w:hAnsi="仿宋" w:eastAsia="仿宋" w:cs="仿宋_GB2312"/>
          <w:b/>
          <w:color w:val="000000" w:themeColor="text1"/>
          <w:sz w:val="36"/>
          <w:szCs w:val="20"/>
          <w:highlight w:val="none"/>
          <w14:textFill>
            <w14:solidFill>
              <w14:schemeClr w14:val="tx1"/>
            </w14:solidFill>
          </w14:textFill>
        </w:rPr>
        <w:t>第三部分   采购需求</w:t>
      </w:r>
    </w:p>
    <w:p>
      <w:pPr>
        <w:snapToGrid w:val="0"/>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采购需求中带“ ● ”条款为实质性内容，投标人须在投标文件中提供《采购需求实质性内容响应表》（格式见第五部分  应提交的有关格式范例），如有任意一条未响应或不满足，将被视为无效。</w:t>
      </w:r>
    </w:p>
    <w:p>
      <w:pPr>
        <w:snapToGrid w:val="0"/>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一、项目概况</w:t>
      </w:r>
    </w:p>
    <w:p>
      <w:pPr>
        <w:spacing w:line="360" w:lineRule="auto"/>
        <w:ind w:firstLine="480"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eastAsia="zh-CN"/>
          <w14:textFill>
            <w14:solidFill>
              <w14:schemeClr w14:val="tx1"/>
            </w14:solidFill>
          </w14:textFill>
        </w:rPr>
        <w:t>为更好的提升</w:t>
      </w:r>
      <w:r>
        <w:rPr>
          <w:rFonts w:hint="eastAsia" w:ascii="仿宋" w:hAnsi="仿宋" w:eastAsia="仿宋" w:cs="仿宋"/>
          <w:bCs/>
          <w:color w:val="000000" w:themeColor="text1"/>
          <w:sz w:val="24"/>
          <w:highlight w:val="none"/>
          <w:lang w:val="en-US" w:eastAsia="zh-CN"/>
          <w14:textFill>
            <w14:solidFill>
              <w14:schemeClr w14:val="tx1"/>
            </w14:solidFill>
          </w14:textFill>
        </w:rPr>
        <w:t>余杭区</w:t>
      </w:r>
      <w:r>
        <w:rPr>
          <w:rFonts w:hint="eastAsia" w:ascii="仿宋" w:hAnsi="仿宋" w:eastAsia="仿宋" w:cs="仿宋"/>
          <w:bCs/>
          <w:color w:val="000000" w:themeColor="text1"/>
          <w:sz w:val="24"/>
          <w:highlight w:val="none"/>
          <w:lang w:eastAsia="zh-CN"/>
          <w14:textFill>
            <w14:solidFill>
              <w14:schemeClr w14:val="tx1"/>
            </w14:solidFill>
          </w14:textFill>
        </w:rPr>
        <w:t>地质灾害防治管理能力，切实落实好全</w:t>
      </w:r>
      <w:r>
        <w:rPr>
          <w:rFonts w:hint="eastAsia" w:ascii="仿宋" w:hAnsi="仿宋" w:eastAsia="仿宋" w:cs="仿宋"/>
          <w:bCs/>
          <w:color w:val="000000" w:themeColor="text1"/>
          <w:sz w:val="24"/>
          <w:highlight w:val="none"/>
          <w:lang w:val="en-US" w:eastAsia="zh-CN"/>
          <w14:textFill>
            <w14:solidFill>
              <w14:schemeClr w14:val="tx1"/>
            </w14:solidFill>
          </w14:textFill>
        </w:rPr>
        <w:t>区</w:t>
      </w:r>
      <w:r>
        <w:rPr>
          <w:rFonts w:hint="eastAsia" w:ascii="仿宋" w:hAnsi="仿宋" w:eastAsia="仿宋" w:cs="仿宋"/>
          <w:bCs/>
          <w:color w:val="000000" w:themeColor="text1"/>
          <w:sz w:val="24"/>
          <w:highlight w:val="none"/>
          <w:lang w:eastAsia="zh-CN"/>
          <w14:textFill>
            <w14:solidFill>
              <w14:schemeClr w14:val="tx1"/>
            </w14:solidFill>
          </w14:textFill>
        </w:rPr>
        <w:t>地质灾害防治工作，最大限度减轻地质灾害造成的损失，全力维护人民群众生命财产安全。</w:t>
      </w:r>
      <w:r>
        <w:rPr>
          <w:rFonts w:hint="eastAsia" w:ascii="仿宋" w:hAnsi="仿宋" w:eastAsia="仿宋" w:cs="仿宋"/>
          <w:bCs/>
          <w:color w:val="000000" w:themeColor="text1"/>
          <w:sz w:val="24"/>
          <w:highlight w:val="none"/>
          <w:lang w:eastAsia="zh-CN"/>
          <w14:textFill>
            <w14:solidFill>
              <w14:schemeClr w14:val="tx1"/>
            </w14:solidFill>
          </w14:textFill>
        </w:rPr>
        <w:t>根据浙江省地质灾害应急与防治工作联席会议灾害防治办公室关于印发《2023年浙江省地质灾害防治方案》的通知（浙地灾防联办〔2023〕1号）及</w:t>
      </w:r>
      <w:r>
        <w:rPr>
          <w:rFonts w:hint="eastAsia" w:ascii="仿宋" w:hAnsi="仿宋" w:eastAsia="仿宋" w:cs="仿宋"/>
          <w:bCs/>
          <w:color w:val="000000" w:themeColor="text1"/>
          <w:sz w:val="24"/>
          <w:highlight w:val="none"/>
          <w:lang w:val="en-US" w:eastAsia="zh-CN"/>
          <w14:textFill>
            <w14:solidFill>
              <w14:schemeClr w14:val="tx1"/>
            </w14:solidFill>
          </w14:textFill>
        </w:rPr>
        <w:t>关于印发2023年杭州市地质灾害防治方案的通知（杭地灾防办</w:t>
      </w:r>
      <w:r>
        <w:rPr>
          <w:rFonts w:hint="eastAsia" w:ascii="仿宋" w:hAnsi="仿宋" w:eastAsia="仿宋" w:cs="仿宋"/>
          <w:bCs/>
          <w:color w:val="000000" w:themeColor="text1"/>
          <w:sz w:val="24"/>
          <w:highlight w:val="none"/>
          <w:lang w:eastAsia="zh-CN"/>
          <w14:textFill>
            <w14:solidFill>
              <w14:schemeClr w14:val="tx1"/>
            </w14:solidFill>
          </w14:textFill>
        </w:rPr>
        <w:t>〔2023〕</w:t>
      </w:r>
      <w:r>
        <w:rPr>
          <w:rFonts w:hint="eastAsia" w:ascii="仿宋" w:hAnsi="仿宋" w:eastAsia="仿宋" w:cs="仿宋"/>
          <w:bCs/>
          <w:color w:val="000000" w:themeColor="text1"/>
          <w:sz w:val="24"/>
          <w:highlight w:val="none"/>
          <w:lang w:val="en-US" w:eastAsia="zh-CN"/>
          <w14:textFill>
            <w14:solidFill>
              <w14:schemeClr w14:val="tx1"/>
            </w14:solidFill>
          </w14:textFill>
        </w:rPr>
        <w:t>2</w:t>
      </w:r>
      <w:r>
        <w:rPr>
          <w:rFonts w:hint="eastAsia" w:ascii="仿宋" w:hAnsi="仿宋" w:eastAsia="仿宋" w:cs="仿宋"/>
          <w:bCs/>
          <w:color w:val="000000" w:themeColor="text1"/>
          <w:sz w:val="24"/>
          <w:highlight w:val="none"/>
          <w:lang w:eastAsia="zh-CN"/>
          <w14:textFill>
            <w14:solidFill>
              <w14:schemeClr w14:val="tx1"/>
            </w14:solidFill>
          </w14:textFill>
        </w:rPr>
        <w:t>号</w:t>
      </w:r>
      <w:r>
        <w:rPr>
          <w:rFonts w:hint="eastAsia" w:ascii="仿宋" w:hAnsi="仿宋" w:eastAsia="仿宋" w:cs="仿宋"/>
          <w:bCs/>
          <w:color w:val="000000" w:themeColor="text1"/>
          <w:sz w:val="24"/>
          <w:highlight w:val="none"/>
          <w:lang w:val="en-US" w:eastAsia="zh-CN"/>
          <w14:textFill>
            <w14:solidFill>
              <w14:schemeClr w14:val="tx1"/>
            </w14:solidFill>
          </w14:textFill>
        </w:rPr>
        <w:t>）</w:t>
      </w:r>
      <w:r>
        <w:rPr>
          <w:rFonts w:hint="eastAsia" w:ascii="仿宋" w:hAnsi="仿宋" w:eastAsia="仿宋" w:cs="仿宋"/>
          <w:bCs/>
          <w:color w:val="000000" w:themeColor="text1"/>
          <w:sz w:val="24"/>
          <w:highlight w:val="none"/>
          <w:lang w:eastAsia="zh-CN"/>
          <w14:textFill>
            <w14:solidFill>
              <w14:schemeClr w14:val="tx1"/>
            </w14:solidFill>
          </w14:textFill>
        </w:rPr>
        <w:t>部署，</w:t>
      </w:r>
      <w:r>
        <w:rPr>
          <w:rFonts w:hint="eastAsia" w:ascii="仿宋" w:hAnsi="仿宋" w:eastAsia="仿宋" w:cs="宋体"/>
          <w:color w:val="auto"/>
          <w:sz w:val="24"/>
          <w:szCs w:val="24"/>
          <w:highlight w:val="none"/>
        </w:rPr>
        <w:t>根据《浙江省地质灾害风险“一坡一卡”调查评价技术要求（试行）》要求，</w:t>
      </w:r>
      <w:r>
        <w:rPr>
          <w:rFonts w:hint="eastAsia" w:ascii="仿宋" w:hAnsi="仿宋" w:eastAsia="仿宋" w:cs="宋体"/>
          <w:color w:val="auto"/>
          <w:sz w:val="24"/>
          <w:szCs w:val="24"/>
          <w:highlight w:val="none"/>
        </w:rPr>
        <w:t>开展余杭区地质灾害风险“一坡一卡”建设工作，以地质灾害风险管理理论为基础，通过资料收集分析、综合遥感解译、野外补充调查等工作，识别斜坡单元内地质灾害风险和承灾对象，完成地质灾害风险“一坡一卡”空间数据库建设，提升全区地质灾害风险管控能力。</w:t>
      </w:r>
    </w:p>
    <w:p>
      <w:pPr>
        <w:snapToGrid w:val="0"/>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w:t>
      </w:r>
      <w:r>
        <w:rPr>
          <w:rFonts w:hint="eastAsia" w:ascii="仿宋" w:hAnsi="仿宋" w:eastAsia="仿宋" w:cs="仿宋"/>
          <w:b/>
          <w:color w:val="000000" w:themeColor="text1"/>
          <w:sz w:val="24"/>
          <w:highlight w:val="none"/>
          <w14:textFill>
            <w14:solidFill>
              <w14:schemeClr w14:val="tx1"/>
            </w14:solidFill>
          </w14:textFill>
        </w:rPr>
        <w:t>项目范围</w:t>
      </w:r>
    </w:p>
    <w:p>
      <w:pPr>
        <w:snapToGrid w:val="0"/>
        <w:spacing w:line="360" w:lineRule="auto"/>
        <w:ind w:firstLine="480" w:firstLineChars="200"/>
        <w:rPr>
          <w:highlight w:val="none"/>
        </w:rPr>
      </w:pPr>
      <w:r>
        <w:rPr>
          <w:rFonts w:hint="eastAsia" w:ascii="仿宋" w:hAnsi="仿宋" w:eastAsia="仿宋" w:cs="仿宋"/>
          <w:bCs/>
          <w:color w:val="auto"/>
          <w:sz w:val="24"/>
          <w:highlight w:val="none"/>
        </w:rPr>
        <w:t>已完成的余杭区镇街1：2000地质灾害风险调查评价项目涉及的边坡</w:t>
      </w:r>
      <w:r>
        <w:rPr>
          <w:rFonts w:hint="eastAsia" w:ascii="仿宋" w:hAnsi="仿宋" w:eastAsia="仿宋" w:cs="仿宋"/>
          <w:bCs/>
          <w:color w:val="auto"/>
          <w:sz w:val="24"/>
          <w:highlight w:val="none"/>
          <w:lang w:val="en-US" w:eastAsia="zh-CN"/>
        </w:rPr>
        <w:t>区域，汇编以往地质灾害专项调查、切坡建房调查、年度排查等成果，形成地质灾害“一坡一卡”数据库，研发地质灾害风险统一评价模型。根据孕灾条件和承灾对象变化情况，及时开展地质灾害风险评估，动态调整地质灾害风险防范区风险等级和管理类别，及时更新地质灾害“一坡一卡”数据库。</w:t>
      </w:r>
    </w:p>
    <w:p>
      <w:pPr>
        <w:numPr>
          <w:ilvl w:val="0"/>
          <w:numId w:val="5"/>
        </w:numPr>
        <w:snapToGrid w:val="0"/>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内容要求</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资料收集：余杭区地质灾害防治规划（十四五）、以往地质灾害调查评价成果（包含风险普查、乡镇地质灾害风险调查、切坡建房、农村山区、小流域泥石流、历史灾害点（核销）、在库灾害点、即查即治灾害点等）、高精度地理测绘成果、承灾体等资料。</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2、设计书编制：参照《浙江省乡镇（街道）地质灾害风险调查评价技术要求（试行）》附录A编写地质灾害风险“一坡一卡”建设设计书。</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3、划分斜坡单元：一是参照《浙江省乡镇（街道）地质灾害风险调查评价技术要求（试行）》中“附录B 斜坡单元划分方法”对未开展乡镇（街道）地质灾害风险调查评价的区域划分斜坡单元；二是对已开展乡镇（街道）地质灾害风险调查评价的区域以往划分斜坡单元进行梳理、调整。</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4、遥感调查：对区内未做过山区乡镇地质灾害风险调查评价的山区乡镇区域（除去平原区），采用高精度地理测绘成果开展孕灾地质条件及承灾体调查。</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地面补充调查：一是主要针对未开展乡镇地质灾害风险调查评价的山区乡镇区域（除去平原区），对低易发区（1：10000精度）及高、中易发区（1：2000精度）存在潜在承灾体的斜坡单元进行地质灾害专项调查，收集孕灾地质条件相关数据及承灾体信息，划定致灾体及其影响范围；二是针对已（正）开展乡镇地质灾害风险调查评价的区域，主要采用收集资料及综合分析的手段进行梳理出符合建库要求的斜坡单元，必要时辅以野外复核。</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6、降雨预警阈值设定：在充分收集分析以往地质灾害发生特征和降雨资料的基础上，采用定量计算和定性分析相结合的方式，灵活设定斜坡（沟谷）降雨预警阈值。</w:t>
      </w:r>
    </w:p>
    <w:p>
      <w:pPr>
        <w:pStyle w:val="481"/>
        <w:spacing w:line="360" w:lineRule="auto"/>
        <w:ind w:firstLine="480"/>
        <w:jc w:val="left"/>
        <w:rPr>
          <w:rFonts w:hint="eastAsia" w:ascii="仿宋" w:hAnsi="仿宋" w:eastAsia="仿宋" w:cs="宋体"/>
          <w:sz w:val="24"/>
          <w:highlight w:val="none"/>
          <w:lang w:eastAsia="zh-CN"/>
        </w:rPr>
      </w:pPr>
      <w:r>
        <w:rPr>
          <w:rFonts w:hint="eastAsia" w:ascii="仿宋" w:hAnsi="仿宋" w:eastAsia="仿宋" w:cs="宋体"/>
          <w:sz w:val="24"/>
          <w:highlight w:val="none"/>
        </w:rPr>
        <w:t>7、成果报告编制：参照《浙江省乡镇（街道）地质灾害风险调查评价技术要求（试行）》完成成果报告编制，根据调查评价成果，划定地质灾害风险防范区，提出地质灾害风险防控对策建议。成果资料包括成果报告、数据库建设报告及其评审意见。成果报告主要包括：①</w:t>
      </w:r>
      <w:r>
        <w:rPr>
          <w:rFonts w:hint="eastAsia" w:ascii="仿宋" w:hAnsi="仿宋" w:eastAsia="仿宋" w:cs="宋体"/>
          <w:sz w:val="24"/>
          <w:highlight w:val="none"/>
          <w:lang w:val="en-US" w:eastAsia="zh-CN"/>
        </w:rPr>
        <w:t>余杭区</w:t>
      </w:r>
      <w:r>
        <w:rPr>
          <w:rFonts w:hint="eastAsia" w:ascii="仿宋" w:hAnsi="仿宋" w:eastAsia="仿宋" w:cs="宋体"/>
          <w:sz w:val="24"/>
          <w:highlight w:val="none"/>
        </w:rPr>
        <w:t>地质灾害风险“一坡一卡”调查实际材料图；②余杭区孕灾地质条件图/工程地质图；③余杭区地质灾害易发程度分区图；④余杭区地质灾害危险程度分区图（特大暴雨工况）；⑤余杭区地质灾害人口伤亡风险分区图（特大暴雨工况、户籍人口）；⑥余杭区地质灾害经济损失风险分区图（特大暴雨工况）；⑦余杭区地质灾害综合风险分区图（特大暴雨工况）；⑧余杭区地质灾害风险管控图册（未开展乡镇地质灾害风险调查评价，分乡镇编制）</w:t>
      </w:r>
      <w:r>
        <w:rPr>
          <w:rFonts w:hint="eastAsia" w:ascii="仿宋" w:hAnsi="仿宋" w:eastAsia="仿宋" w:cs="宋体"/>
          <w:sz w:val="24"/>
          <w:highlight w:val="none"/>
          <w:lang w:eastAsia="zh-CN"/>
        </w:rPr>
        <w:t>。</w:t>
      </w:r>
    </w:p>
    <w:p>
      <w:pPr>
        <w:numPr>
          <w:ilvl w:val="0"/>
          <w:numId w:val="0"/>
        </w:numPr>
        <w:snapToGrid w:val="0"/>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8、数据库建设：利用“地质灾害综合数据录入采集系统”，开展余杭区地质灾害风险“一坡一卡”空间数据库建设，数据库建设内容包括项目基本信息、野外调查数据、空间图形数据、成果资料等。</w:t>
      </w:r>
    </w:p>
    <w:p>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四、</w:t>
      </w:r>
      <w:bookmarkStart w:id="31" w:name="_Hlk131152575"/>
      <w:r>
        <w:rPr>
          <w:rFonts w:hint="eastAsia" w:ascii="仿宋" w:hAnsi="仿宋" w:eastAsia="仿宋" w:cs="仿宋"/>
          <w:b/>
          <w:bCs/>
          <w:color w:val="auto"/>
          <w:sz w:val="24"/>
          <w:highlight w:val="none"/>
        </w:rPr>
        <w:t>项目主要执行标准</w:t>
      </w:r>
    </w:p>
    <w:p>
      <w:pPr>
        <w:pStyle w:val="481"/>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1、《浙江省地质灾害风险“一坡一卡”调查评价技术要求（试行）》；</w:t>
      </w:r>
    </w:p>
    <w:p>
      <w:pPr>
        <w:pStyle w:val="481"/>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2、《浙江省乡镇（街道）地质灾害风险调查评价技术要求（1:2000试行）》；</w:t>
      </w:r>
    </w:p>
    <w:p>
      <w:pPr>
        <w:pStyle w:val="481"/>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3、《地质灾害风险调查评价技术要求(1：50000)(试用稿)》；</w:t>
      </w:r>
    </w:p>
    <w:p>
      <w:pPr>
        <w:pStyle w:val="481"/>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4、《地质灾害风险调查评价编图技术要求（试行）》(2021年5月)；</w:t>
      </w:r>
    </w:p>
    <w:p>
      <w:pPr>
        <w:pStyle w:val="481"/>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5、《地质灾害风险调查评价成果信息化技术要求（试行）》(2021年5月)；</w:t>
      </w:r>
    </w:p>
    <w:p>
      <w:pPr>
        <w:pStyle w:val="481"/>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6、《滑坡崩塌泥石流灾害调查规范（1:50000）》（DZ/T 0261-2014）；</w:t>
      </w:r>
    </w:p>
    <w:p>
      <w:pPr>
        <w:pStyle w:val="481"/>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7、《岩土工程勘察规范》（GB 50021-2001）；</w:t>
      </w:r>
    </w:p>
    <w:p>
      <w:pPr>
        <w:pStyle w:val="481"/>
        <w:spacing w:line="360" w:lineRule="auto"/>
        <w:ind w:firstLine="480"/>
        <w:jc w:val="left"/>
        <w:rPr>
          <w:rFonts w:ascii="仿宋" w:hAnsi="仿宋" w:eastAsia="仿宋" w:cs="宋体"/>
          <w:sz w:val="24"/>
          <w:highlight w:val="none"/>
        </w:rPr>
      </w:pPr>
      <w:r>
        <w:rPr>
          <w:rFonts w:ascii="仿宋" w:hAnsi="仿宋" w:eastAsia="仿宋" w:cs="宋体"/>
          <w:sz w:val="24"/>
          <w:highlight w:val="none"/>
        </w:rPr>
        <w:t>8</w:t>
      </w:r>
      <w:r>
        <w:rPr>
          <w:rFonts w:hint="eastAsia" w:ascii="仿宋" w:hAnsi="仿宋" w:eastAsia="仿宋" w:cs="宋体"/>
          <w:sz w:val="24"/>
          <w:highlight w:val="none"/>
        </w:rPr>
        <w:t>、《区域环境地质勘查遥感技术规程》（DZ/T 0190-2015）；</w:t>
      </w:r>
    </w:p>
    <w:p>
      <w:pPr>
        <w:pStyle w:val="481"/>
        <w:spacing w:line="360" w:lineRule="auto"/>
        <w:ind w:firstLine="480"/>
        <w:jc w:val="left"/>
        <w:rPr>
          <w:rFonts w:hint="eastAsia" w:ascii="仿宋" w:hAnsi="仿宋" w:eastAsia="仿宋" w:cs="宋体"/>
          <w:sz w:val="24"/>
          <w:highlight w:val="none"/>
        </w:rPr>
      </w:pPr>
      <w:r>
        <w:rPr>
          <w:rFonts w:ascii="仿宋" w:hAnsi="仿宋" w:eastAsia="仿宋" w:cs="宋体"/>
          <w:sz w:val="24"/>
          <w:highlight w:val="none"/>
        </w:rPr>
        <w:t>9</w:t>
      </w:r>
      <w:r>
        <w:rPr>
          <w:rFonts w:hint="eastAsia" w:ascii="仿宋" w:hAnsi="仿宋" w:eastAsia="仿宋" w:cs="宋体"/>
          <w:sz w:val="24"/>
          <w:highlight w:val="none"/>
        </w:rPr>
        <w:t>、其他上级相关规范文件等。</w:t>
      </w:r>
    </w:p>
    <w:p>
      <w:pPr>
        <w:snapToGrid w:val="0"/>
        <w:spacing w:line="360" w:lineRule="auto"/>
        <w:rPr>
          <w:rFonts w:hint="default" w:ascii="仿宋" w:hAnsi="仿宋" w:eastAsia="仿宋" w:cs="仿宋"/>
          <w:color w:val="auto"/>
          <w:sz w:val="24"/>
          <w:highlight w:val="none"/>
          <w:u w:val="none"/>
          <w:lang w:val="en-US" w:eastAsia="zh-CN"/>
        </w:rPr>
      </w:pP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auto"/>
          <w:sz w:val="24"/>
          <w:highlight w:val="none"/>
        </w:rPr>
        <w:t>五、</w:t>
      </w:r>
      <w:r>
        <w:rPr>
          <w:rFonts w:hint="eastAsia" w:ascii="仿宋" w:hAnsi="仿宋" w:eastAsia="仿宋" w:cs="仿宋"/>
          <w:b/>
          <w:bCs/>
          <w:color w:val="auto"/>
          <w:sz w:val="24"/>
          <w:highlight w:val="none"/>
          <w:lang w:val="en-US" w:eastAsia="zh-CN"/>
        </w:rPr>
        <w:t>完成时间要求</w:t>
      </w:r>
    </w:p>
    <w:bookmarkEnd w:id="31"/>
    <w:p>
      <w:pPr>
        <w:spacing w:line="360" w:lineRule="auto"/>
        <w:ind w:firstLine="480" w:firstLineChars="200"/>
        <w:rPr>
          <w:rFonts w:ascii="仿宋" w:hAnsi="仿宋" w:eastAsia="仿宋" w:cs="仿宋"/>
          <w:color w:val="auto"/>
          <w:sz w:val="24"/>
          <w:highlight w:val="none"/>
          <w:u w:val="none"/>
        </w:rPr>
      </w:pPr>
      <w:r>
        <w:rPr>
          <w:rFonts w:hint="eastAsia" w:ascii="仿宋" w:hAnsi="仿宋" w:eastAsia="仿宋" w:cs="仿宋"/>
          <w:color w:val="auto"/>
          <w:sz w:val="24"/>
          <w:highlight w:val="none"/>
          <w:u w:val="none"/>
        </w:rPr>
        <w:t>完成时间：2023年12月1</w:t>
      </w:r>
      <w:r>
        <w:rPr>
          <w:rFonts w:hint="eastAsia" w:ascii="仿宋" w:hAnsi="仿宋" w:eastAsia="仿宋" w:cs="仿宋"/>
          <w:color w:val="auto"/>
          <w:sz w:val="24"/>
          <w:highlight w:val="none"/>
          <w:u w:val="none"/>
          <w:lang w:val="en-US" w:eastAsia="zh-CN"/>
        </w:rPr>
        <w:t>0</w:t>
      </w:r>
      <w:r>
        <w:rPr>
          <w:rFonts w:hint="eastAsia" w:ascii="仿宋" w:hAnsi="仿宋" w:eastAsia="仿宋" w:cs="仿宋"/>
          <w:color w:val="auto"/>
          <w:sz w:val="24"/>
          <w:highlight w:val="none"/>
          <w:u w:val="none"/>
        </w:rPr>
        <w:t>日前向采购人提交经专家组评审通过的最终成果报告。</w:t>
      </w: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、支付进度</w:t>
      </w:r>
    </w:p>
    <w:p>
      <w:pPr>
        <w:spacing w:line="360" w:lineRule="auto"/>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中标单位签定合同后，15日内支付合同价的50%，其余竣工验收后支付。</w:t>
      </w:r>
    </w:p>
    <w:p>
      <w:pPr>
        <w:snapToGrid w:val="0"/>
        <w:spacing w:line="360" w:lineRule="auto"/>
        <w:rPr>
          <w:rFonts w:ascii="仿宋" w:hAnsi="仿宋" w:eastAsia="仿宋" w:cs="仿宋"/>
          <w:b/>
          <w:bCs/>
          <w:sz w:val="24"/>
          <w:highlight w:val="none"/>
        </w:rPr>
      </w:pP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、验收要求</w:t>
      </w:r>
    </w:p>
    <w:p>
      <w:pPr>
        <w:pStyle w:val="6"/>
        <w:spacing w:line="360" w:lineRule="auto"/>
        <w:ind w:firstLine="480"/>
        <w:rPr>
          <w:rFonts w:hint="eastAsia" w:ascii="仿宋" w:hAnsi="仿宋" w:eastAsia="仿宋" w:cs="仿宋"/>
          <w:bCs/>
          <w:szCs w:val="24"/>
          <w:highlight w:val="none"/>
          <w:lang w:val="en-US"/>
        </w:rPr>
      </w:pPr>
      <w:r>
        <w:rPr>
          <w:rFonts w:hint="eastAsia" w:ascii="仿宋" w:hAnsi="仿宋" w:eastAsia="仿宋" w:cs="仿宋"/>
          <w:bCs/>
          <w:szCs w:val="24"/>
          <w:highlight w:val="none"/>
          <w:lang w:val="en-US"/>
        </w:rPr>
        <w:t>1</w:t>
      </w:r>
      <w:r>
        <w:rPr>
          <w:rFonts w:hint="eastAsia" w:ascii="仿宋" w:hAnsi="仿宋" w:eastAsia="仿宋" w:cs="仿宋"/>
          <w:bCs/>
          <w:szCs w:val="24"/>
          <w:highlight w:val="none"/>
          <w:lang w:val="en-US" w:eastAsia="zh-CN"/>
        </w:rPr>
        <w:t>、</w:t>
      </w:r>
      <w:r>
        <w:rPr>
          <w:rFonts w:hint="eastAsia" w:ascii="仿宋" w:hAnsi="仿宋" w:eastAsia="仿宋" w:cs="仿宋"/>
          <w:bCs/>
          <w:szCs w:val="24"/>
          <w:highlight w:val="none"/>
          <w:lang w:val="en-US"/>
        </w:rPr>
        <w:t>由项目主管单位统一组织相关部门和单位进行集中验收，应在总成果验收前完成数据库验收与汇交工作；</w:t>
      </w:r>
    </w:p>
    <w:p>
      <w:pPr>
        <w:pStyle w:val="6"/>
        <w:spacing w:line="360" w:lineRule="auto"/>
        <w:ind w:firstLine="480"/>
        <w:rPr>
          <w:rFonts w:hint="eastAsia" w:ascii="仿宋" w:hAnsi="仿宋" w:eastAsia="仿宋" w:cs="仿宋"/>
          <w:bCs/>
          <w:szCs w:val="24"/>
          <w:highlight w:val="none"/>
          <w:lang w:val="en-US"/>
        </w:rPr>
      </w:pPr>
      <w:r>
        <w:rPr>
          <w:rFonts w:hint="eastAsia" w:ascii="仿宋" w:hAnsi="仿宋" w:eastAsia="仿宋" w:cs="仿宋"/>
          <w:bCs/>
          <w:szCs w:val="24"/>
          <w:highlight w:val="none"/>
          <w:lang w:val="en-US"/>
        </w:rPr>
        <w:t>2</w:t>
      </w:r>
      <w:r>
        <w:rPr>
          <w:rFonts w:hint="eastAsia" w:ascii="仿宋" w:hAnsi="仿宋" w:eastAsia="仿宋" w:cs="仿宋"/>
          <w:bCs/>
          <w:szCs w:val="24"/>
          <w:highlight w:val="none"/>
          <w:lang w:val="en-US" w:eastAsia="zh-CN"/>
        </w:rPr>
        <w:t>、</w:t>
      </w:r>
      <w:r>
        <w:rPr>
          <w:rFonts w:hint="eastAsia" w:ascii="仿宋" w:hAnsi="仿宋" w:eastAsia="仿宋" w:cs="仿宋"/>
          <w:bCs/>
          <w:szCs w:val="24"/>
          <w:highlight w:val="none"/>
          <w:lang w:val="en-US"/>
        </w:rPr>
        <w:t>调查与评价报告须通过业主组织的专家评审；</w:t>
      </w:r>
    </w:p>
    <w:p>
      <w:pPr>
        <w:pStyle w:val="6"/>
        <w:spacing w:line="360" w:lineRule="auto"/>
        <w:ind w:firstLine="480"/>
        <w:rPr>
          <w:rFonts w:ascii="仿宋" w:hAnsi="仿宋" w:eastAsia="仿宋" w:cs="仿宋"/>
          <w:bCs/>
          <w:szCs w:val="24"/>
          <w:highlight w:val="none"/>
          <w:lang w:val="en-US"/>
        </w:rPr>
      </w:pPr>
      <w:r>
        <w:rPr>
          <w:rFonts w:hint="eastAsia" w:ascii="仿宋" w:hAnsi="仿宋" w:eastAsia="仿宋" w:cs="仿宋"/>
          <w:bCs/>
          <w:szCs w:val="24"/>
          <w:highlight w:val="none"/>
          <w:lang w:val="en-US"/>
        </w:rPr>
        <w:t>3</w:t>
      </w:r>
      <w:r>
        <w:rPr>
          <w:rFonts w:hint="eastAsia" w:ascii="仿宋" w:hAnsi="仿宋" w:eastAsia="仿宋" w:cs="仿宋"/>
          <w:bCs/>
          <w:szCs w:val="24"/>
          <w:highlight w:val="none"/>
          <w:lang w:val="en-US" w:eastAsia="zh-CN"/>
        </w:rPr>
        <w:t>、</w:t>
      </w:r>
      <w:r>
        <w:rPr>
          <w:rFonts w:hint="eastAsia" w:ascii="仿宋" w:hAnsi="仿宋" w:eastAsia="仿宋" w:cs="仿宋"/>
          <w:bCs/>
          <w:szCs w:val="24"/>
          <w:highlight w:val="none"/>
          <w:lang w:val="en-US"/>
        </w:rPr>
        <w:t>投标人需在合同期限内提交经过专家评审的成果报告及数据库，并通过浙江省自然资源厅备案。</w:t>
      </w:r>
    </w:p>
    <w:p>
      <w:pPr>
        <w:pStyle w:val="5"/>
        <w:tabs>
          <w:tab w:val="left" w:pos="706"/>
          <w:tab w:val="left" w:pos="1110"/>
          <w:tab w:val="clear" w:pos="432"/>
        </w:tabs>
        <w:spacing w:line="360" w:lineRule="auto"/>
        <w:rPr>
          <w:rFonts w:ascii="仿宋" w:eastAsia="仿宋" w:cs="仿宋"/>
          <w:b/>
          <w:bCs/>
          <w:sz w:val="24"/>
          <w:szCs w:val="24"/>
          <w:highlight w:val="none"/>
        </w:rPr>
      </w:pPr>
      <w:r>
        <w:rPr>
          <w:rFonts w:hint="eastAsia" w:ascii="仿宋" w:eastAsia="仿宋" w:cs="仿宋"/>
          <w:b/>
          <w:bCs/>
          <w:sz w:val="24"/>
          <w:szCs w:val="24"/>
          <w:highlight w:val="none"/>
          <w:lang w:val="en-US" w:eastAsia="zh-CN"/>
        </w:rPr>
        <w:t>八</w:t>
      </w:r>
      <w:r>
        <w:rPr>
          <w:rFonts w:hint="eastAsia" w:ascii="仿宋" w:eastAsia="仿宋" w:cs="仿宋"/>
          <w:b/>
          <w:bCs/>
          <w:sz w:val="24"/>
          <w:szCs w:val="24"/>
          <w:highlight w:val="none"/>
        </w:rPr>
        <w:t>、服务要求</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1、中标人在履行合同义务期间，应遵守国家有关法律、法规，维护委托单位的合法权益。</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2、中标人应按投标文件中的承诺组建能够满足本项目服务需要的项目小组，按照工作范围和内容完成工作，并按约定向委托单位汇报工作进展。</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3、投标人应在投标文件中明确投入本项目服务的人员基本配备。</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4、中标人应自行承担项目实施过程中所有安全生产责任，采购人任何情况下均不承担因此产生的任何法律责任和经济责任。</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5、项目实施过程中，中标人应注意环境保护问题和相关乡镇的协调工作。</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6、后续配合要求：在项目成果通过验收并实施过程中，按照项目实际需求，配合采购人进一步完善细节，以满足建设要求。</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7、中标人对采购单位提供的资料承担保密义务，方案批准实施前，任何单位和个人未经同意都无权以任何形式向社会公开展示编制成果，否则造成的一切后果由中标人承担。</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中标人需配合好采购单位做好相关规划安排，并在规定的时间内提交成果，如在规定期限内无法递交成果的，每延期一天扣除3000元的履约保证金。如因采购单位未及时提供相关资料的，规划成果递交时间可以和采购单位协商顺延。</w:t>
      </w:r>
    </w:p>
    <w:p>
      <w:pPr>
        <w:pStyle w:val="5"/>
        <w:tabs>
          <w:tab w:val="left" w:pos="706"/>
          <w:tab w:val="left" w:pos="1110"/>
          <w:tab w:val="clear" w:pos="432"/>
        </w:tabs>
        <w:spacing w:line="360" w:lineRule="auto"/>
        <w:rPr>
          <w:rFonts w:ascii="仿宋" w:eastAsia="仿宋" w:cs="仿宋"/>
          <w:sz w:val="24"/>
          <w:szCs w:val="24"/>
          <w:highlight w:val="none"/>
        </w:rPr>
      </w:pPr>
      <w:r>
        <w:rPr>
          <w:rFonts w:hint="eastAsia" w:ascii="仿宋" w:eastAsia="仿宋" w:cs="仿宋"/>
          <w:b/>
          <w:bCs/>
          <w:sz w:val="24"/>
          <w:szCs w:val="24"/>
          <w:highlight w:val="none"/>
          <w:lang w:val="en-US" w:eastAsia="zh-CN"/>
        </w:rPr>
        <w:t>九</w:t>
      </w:r>
      <w:r>
        <w:rPr>
          <w:rFonts w:hint="eastAsia" w:ascii="仿宋" w:eastAsia="仿宋" w:cs="仿宋"/>
          <w:b/>
          <w:bCs/>
          <w:sz w:val="24"/>
          <w:szCs w:val="24"/>
          <w:highlight w:val="none"/>
        </w:rPr>
        <w:t>、服务响应</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1、要求提供7*24小时的实时支持响应服务。未经采购人许可，本项目投入人员不得擅自更换，工作期间，保证随叫随到。要求在12小时内响应招标单位提出的疑问并进行答复，如有必要，应及时提交修改意见。</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2、成交供应商在履行合同义务期间，应遵守国家有关法律、法规、维护采购人的合法权益。</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3、成交供应商应自行承担项目实施过程中安全生产责任，采购人任何情况下均不承担因此产生的任何法律责任和经济责任。</w:t>
      </w:r>
    </w:p>
    <w:p>
      <w:pPr>
        <w:pStyle w:val="5"/>
        <w:tabs>
          <w:tab w:val="left" w:pos="706"/>
          <w:tab w:val="left" w:pos="1110"/>
          <w:tab w:val="clear" w:pos="432"/>
        </w:tabs>
        <w:spacing w:line="360" w:lineRule="auto"/>
        <w:rPr>
          <w:rFonts w:ascii="仿宋" w:eastAsia="仿宋" w:cs="仿宋"/>
          <w:b/>
          <w:bCs/>
          <w:sz w:val="24"/>
          <w:szCs w:val="24"/>
          <w:highlight w:val="none"/>
        </w:rPr>
      </w:pPr>
      <w:r>
        <w:rPr>
          <w:rFonts w:hint="eastAsia" w:ascii="仿宋" w:eastAsia="仿宋" w:cs="仿宋"/>
          <w:b/>
          <w:bCs/>
          <w:sz w:val="24"/>
          <w:szCs w:val="24"/>
          <w:highlight w:val="none"/>
          <w:lang w:val="en-US" w:eastAsia="zh-CN"/>
        </w:rPr>
        <w:t>十</w:t>
      </w:r>
      <w:r>
        <w:rPr>
          <w:rFonts w:hint="eastAsia" w:ascii="仿宋" w:eastAsia="仿宋" w:cs="仿宋"/>
          <w:b/>
          <w:bCs/>
          <w:sz w:val="24"/>
          <w:szCs w:val="24"/>
          <w:highlight w:val="none"/>
        </w:rPr>
        <w:t>、知识产权说明</w:t>
      </w:r>
    </w:p>
    <w:p>
      <w:pPr>
        <w:spacing w:line="360" w:lineRule="auto"/>
        <w:ind w:firstLine="480" w:firstLineChars="200"/>
        <w:jc w:val="left"/>
        <w:rPr>
          <w:rFonts w:ascii="仿宋" w:hAnsi="仿宋" w:eastAsia="仿宋" w:cs="仿宋"/>
          <w:bCs/>
          <w:highlight w:val="none"/>
        </w:rPr>
      </w:pPr>
      <w:r>
        <w:rPr>
          <w:rFonts w:hint="eastAsia" w:ascii="仿宋" w:hAnsi="仿宋" w:eastAsia="仿宋" w:cs="仿宋"/>
          <w:sz w:val="24"/>
          <w:highlight w:val="none"/>
        </w:rPr>
        <w:t>本项目供应商可享有成果著作权，但本项目成果版权及使用本次成果所有权和使用权均属于采购人。中标单位不得以任何借口留存，否则承担由此产生的一切法律和经济责任。未经允许，任何单位和个人不得转让和使用本项目的成果。</w:t>
      </w:r>
    </w:p>
    <w:p>
      <w:pPr>
        <w:pStyle w:val="5"/>
        <w:tabs>
          <w:tab w:val="left" w:pos="706"/>
          <w:tab w:val="left" w:pos="1110"/>
          <w:tab w:val="clear" w:pos="432"/>
        </w:tabs>
        <w:spacing w:line="360" w:lineRule="auto"/>
        <w:rPr>
          <w:rFonts w:ascii="仿宋" w:eastAsia="仿宋" w:cs="仿宋"/>
          <w:b/>
          <w:bCs/>
          <w:color w:val="auto"/>
          <w:sz w:val="24"/>
          <w:szCs w:val="24"/>
          <w:highlight w:val="none"/>
        </w:rPr>
      </w:pPr>
      <w:r>
        <w:rPr>
          <w:rFonts w:hint="eastAsia" w:ascii="仿宋" w:eastAsia="仿宋" w:cs="仿宋"/>
          <w:b/>
          <w:bCs/>
          <w:color w:val="auto"/>
          <w:sz w:val="24"/>
          <w:szCs w:val="24"/>
          <w:highlight w:val="none"/>
          <w:lang w:val="en-US" w:eastAsia="zh-CN"/>
        </w:rPr>
        <w:t>十一</w:t>
      </w:r>
      <w:r>
        <w:rPr>
          <w:rFonts w:hint="eastAsia" w:ascii="仿宋" w:eastAsia="仿宋" w:cs="仿宋"/>
          <w:b/>
          <w:bCs/>
          <w:color w:val="auto"/>
          <w:sz w:val="24"/>
          <w:szCs w:val="24"/>
          <w:highlight w:val="none"/>
        </w:rPr>
        <w:t>、报价要求</w:t>
      </w:r>
    </w:p>
    <w:p>
      <w:pPr>
        <w:pStyle w:val="120"/>
        <w:snapToGrid/>
        <w:spacing w:after="0" w:afterLines="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本项目采用总价包干方式服务，供应商应根据项目要求合理报价。报价包括但不限于本合同资料收集、调研、成果编制、文本打印、</w:t>
      </w:r>
      <w:r>
        <w:rPr>
          <w:rFonts w:hint="eastAsia" w:ascii="仿宋" w:hAnsi="仿宋" w:eastAsia="仿宋" w:cs="仿宋"/>
          <w:color w:val="auto"/>
          <w:szCs w:val="24"/>
          <w:highlight w:val="none"/>
          <w:lang w:val="en-US" w:eastAsia="zh-CN"/>
        </w:rPr>
        <w:t>招标代理费、</w:t>
      </w:r>
      <w:r>
        <w:rPr>
          <w:rFonts w:hint="eastAsia" w:ascii="仿宋" w:hAnsi="仿宋" w:eastAsia="仿宋" w:cs="仿宋"/>
          <w:color w:val="auto"/>
          <w:szCs w:val="24"/>
          <w:highlight w:val="none"/>
        </w:rPr>
        <w:t>专家审查费用（含住宿费、差旅费等）、人员工资、仪器设备费、奖金、交通、差旅、税费、利润、完成合同所需的一切本身和不可或缺的所有工作开支、政策性文件规定及合同包含的所有风险、责任等各项全部费用并承担一切风险责任。</w:t>
      </w:r>
      <w:bookmarkStart w:id="32" w:name="_Toc91688387"/>
    </w:p>
    <w:bookmarkEnd w:id="32"/>
    <w:p>
      <w:pPr>
        <w:spacing w:line="336" w:lineRule="auto"/>
        <w:ind w:firstLine="480" w:firstLineChars="200"/>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snapToGrid w:val="0"/>
        <w:spacing w:line="36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bookmarkStart w:id="33" w:name="_Toc184308048"/>
      <w:bookmarkEnd w:id="33"/>
      <w:bookmarkStart w:id="34" w:name="_Toc184313265"/>
      <w:bookmarkEnd w:id="34"/>
      <w:bookmarkStart w:id="35" w:name="_Toc184310308"/>
      <w:bookmarkEnd w:id="35"/>
      <w:bookmarkStart w:id="36" w:name="_Toc184308088"/>
      <w:bookmarkEnd w:id="36"/>
      <w:bookmarkStart w:id="37" w:name="_Toc184312120"/>
      <w:bookmarkEnd w:id="37"/>
      <w:bookmarkStart w:id="38" w:name="_Toc184312114"/>
      <w:bookmarkEnd w:id="38"/>
      <w:bookmarkStart w:id="39" w:name="_Toc184308057"/>
      <w:bookmarkEnd w:id="39"/>
      <w:bookmarkStart w:id="40" w:name="_Toc184312070"/>
      <w:bookmarkEnd w:id="40"/>
      <w:bookmarkStart w:id="41" w:name="_Toc184314417"/>
      <w:bookmarkEnd w:id="41"/>
      <w:bookmarkStart w:id="42" w:name="_Toc184308107"/>
      <w:bookmarkEnd w:id="42"/>
      <w:bookmarkStart w:id="43" w:name="_Toc184308042"/>
      <w:bookmarkEnd w:id="43"/>
      <w:bookmarkStart w:id="44" w:name="_Toc184313268"/>
      <w:bookmarkEnd w:id="44"/>
      <w:bookmarkStart w:id="45" w:name="_Toc184314476"/>
      <w:bookmarkEnd w:id="45"/>
      <w:bookmarkStart w:id="46" w:name="_Toc184314445"/>
      <w:bookmarkEnd w:id="46"/>
      <w:bookmarkStart w:id="47" w:name="_Toc184312104"/>
      <w:bookmarkEnd w:id="47"/>
      <w:bookmarkStart w:id="48" w:name="_Toc184313253"/>
      <w:bookmarkEnd w:id="48"/>
      <w:bookmarkStart w:id="49" w:name="_Toc184313284"/>
      <w:bookmarkEnd w:id="49"/>
      <w:bookmarkStart w:id="50" w:name="_Toc184312071"/>
      <w:bookmarkEnd w:id="50"/>
      <w:bookmarkStart w:id="51" w:name="_Toc184313294"/>
      <w:bookmarkEnd w:id="51"/>
      <w:bookmarkStart w:id="52" w:name="_Toc184314482"/>
      <w:bookmarkEnd w:id="52"/>
      <w:bookmarkStart w:id="53" w:name="_Toc184310289"/>
      <w:bookmarkEnd w:id="53"/>
      <w:bookmarkStart w:id="54" w:name="_Toc184314432"/>
      <w:bookmarkEnd w:id="54"/>
      <w:bookmarkStart w:id="55" w:name="_Toc184312084"/>
      <w:bookmarkEnd w:id="55"/>
      <w:bookmarkStart w:id="56" w:name="_Toc184314411"/>
      <w:bookmarkEnd w:id="56"/>
      <w:bookmarkStart w:id="57" w:name="_Toc184314470"/>
      <w:bookmarkEnd w:id="57"/>
      <w:bookmarkStart w:id="58" w:name="_Toc184314469"/>
      <w:bookmarkEnd w:id="58"/>
      <w:bookmarkStart w:id="59" w:name="_Toc184312121"/>
      <w:bookmarkEnd w:id="59"/>
      <w:bookmarkStart w:id="60" w:name="_Toc184308040"/>
      <w:bookmarkEnd w:id="60"/>
      <w:bookmarkStart w:id="61" w:name="_Toc184313303"/>
      <w:bookmarkEnd w:id="61"/>
      <w:bookmarkStart w:id="62" w:name="_Toc184312075"/>
      <w:bookmarkEnd w:id="62"/>
      <w:bookmarkStart w:id="63" w:name="_Toc184313309"/>
      <w:bookmarkEnd w:id="63"/>
      <w:bookmarkStart w:id="64" w:name="_Toc184308065"/>
      <w:bookmarkEnd w:id="64"/>
      <w:bookmarkStart w:id="65" w:name="_Toc184312128"/>
      <w:bookmarkEnd w:id="65"/>
      <w:bookmarkStart w:id="66" w:name="_Toc184313250"/>
      <w:bookmarkEnd w:id="66"/>
      <w:bookmarkStart w:id="67" w:name="_Toc184313249"/>
      <w:bookmarkEnd w:id="67"/>
      <w:bookmarkStart w:id="68" w:name="_Toc184312076"/>
      <w:bookmarkEnd w:id="68"/>
      <w:bookmarkStart w:id="69" w:name="_Toc184310275"/>
      <w:bookmarkEnd w:id="69"/>
      <w:bookmarkStart w:id="70" w:name="_Toc184314472"/>
      <w:bookmarkEnd w:id="70"/>
      <w:bookmarkStart w:id="71" w:name="_Toc184312134"/>
      <w:bookmarkEnd w:id="71"/>
      <w:bookmarkStart w:id="72" w:name="_Toc184312119"/>
      <w:bookmarkEnd w:id="72"/>
      <w:bookmarkStart w:id="73" w:name="_Toc184312083"/>
      <w:bookmarkEnd w:id="73"/>
      <w:bookmarkStart w:id="74" w:name="_Toc184314477"/>
      <w:bookmarkEnd w:id="74"/>
      <w:bookmarkStart w:id="75" w:name="_Toc184314444"/>
      <w:bookmarkEnd w:id="75"/>
      <w:bookmarkStart w:id="76" w:name="_Toc184308067"/>
      <w:bookmarkEnd w:id="76"/>
      <w:bookmarkStart w:id="77" w:name="_Toc184314456"/>
      <w:bookmarkEnd w:id="77"/>
      <w:bookmarkStart w:id="78" w:name="_Toc184313243"/>
      <w:bookmarkEnd w:id="78"/>
      <w:bookmarkStart w:id="79" w:name="_Toc184313289"/>
      <w:bookmarkEnd w:id="79"/>
      <w:bookmarkStart w:id="80" w:name="_Toc184308084"/>
      <w:bookmarkEnd w:id="80"/>
      <w:bookmarkStart w:id="81" w:name="_Toc184310322"/>
      <w:bookmarkEnd w:id="81"/>
      <w:bookmarkStart w:id="82" w:name="_Toc184313271"/>
      <w:bookmarkEnd w:id="82"/>
      <w:bookmarkStart w:id="83" w:name="_Toc184308050"/>
      <w:bookmarkEnd w:id="83"/>
      <w:bookmarkStart w:id="84" w:name="_Toc184313277"/>
      <w:bookmarkEnd w:id="84"/>
      <w:bookmarkStart w:id="85" w:name="_Toc184310316"/>
      <w:bookmarkEnd w:id="85"/>
      <w:bookmarkStart w:id="86" w:name="_Toc184308093"/>
      <w:bookmarkEnd w:id="86"/>
      <w:bookmarkStart w:id="87" w:name="_Toc184310283"/>
      <w:bookmarkEnd w:id="87"/>
      <w:bookmarkStart w:id="88" w:name="_Toc184312068"/>
      <w:bookmarkEnd w:id="88"/>
      <w:bookmarkStart w:id="89" w:name="_Toc184314437"/>
      <w:bookmarkEnd w:id="89"/>
      <w:bookmarkStart w:id="90" w:name="_Toc184314426"/>
      <w:bookmarkEnd w:id="90"/>
      <w:bookmarkStart w:id="91" w:name="_Toc184313239"/>
      <w:bookmarkEnd w:id="91"/>
      <w:bookmarkStart w:id="92" w:name="_Toc184314435"/>
      <w:bookmarkEnd w:id="92"/>
      <w:bookmarkStart w:id="93" w:name="_Toc184313293"/>
      <w:bookmarkEnd w:id="93"/>
      <w:bookmarkStart w:id="94" w:name="_Toc184308098"/>
      <w:bookmarkEnd w:id="94"/>
      <w:bookmarkStart w:id="95" w:name="_Toc184310281"/>
      <w:bookmarkEnd w:id="95"/>
      <w:bookmarkStart w:id="96" w:name="_Toc184308059"/>
      <w:bookmarkEnd w:id="96"/>
      <w:bookmarkStart w:id="97" w:name="_Toc184310280"/>
      <w:bookmarkEnd w:id="97"/>
      <w:bookmarkStart w:id="98" w:name="_Toc184312130"/>
      <w:bookmarkEnd w:id="98"/>
      <w:bookmarkStart w:id="99" w:name="_Toc184308075"/>
      <w:bookmarkEnd w:id="99"/>
      <w:bookmarkStart w:id="100" w:name="_Toc184312123"/>
      <w:bookmarkEnd w:id="100"/>
      <w:bookmarkStart w:id="101" w:name="_Toc184313282"/>
      <w:bookmarkEnd w:id="101"/>
      <w:bookmarkStart w:id="102" w:name="_Toc184308061"/>
      <w:bookmarkEnd w:id="102"/>
      <w:bookmarkStart w:id="103" w:name="_Toc184310310"/>
      <w:bookmarkEnd w:id="103"/>
      <w:bookmarkStart w:id="104" w:name="_Toc184314423"/>
      <w:bookmarkEnd w:id="104"/>
      <w:bookmarkStart w:id="105" w:name="_Toc184310339"/>
      <w:bookmarkEnd w:id="105"/>
      <w:bookmarkStart w:id="106" w:name="_Toc184312099"/>
      <w:bookmarkEnd w:id="106"/>
      <w:bookmarkStart w:id="107" w:name="_Toc184308055"/>
      <w:bookmarkEnd w:id="107"/>
      <w:bookmarkStart w:id="108" w:name="_Toc184312077"/>
      <w:bookmarkEnd w:id="108"/>
      <w:bookmarkStart w:id="109" w:name="_Toc184313299"/>
      <w:bookmarkEnd w:id="109"/>
      <w:bookmarkStart w:id="110" w:name="_Toc184314468"/>
      <w:bookmarkEnd w:id="110"/>
      <w:bookmarkStart w:id="111" w:name="_Toc184314480"/>
      <w:bookmarkEnd w:id="111"/>
      <w:bookmarkStart w:id="112" w:name="_Toc184312135"/>
      <w:bookmarkEnd w:id="112"/>
      <w:bookmarkStart w:id="113" w:name="_Toc184314430"/>
      <w:bookmarkEnd w:id="113"/>
      <w:bookmarkStart w:id="114" w:name="_Toc184314458"/>
      <w:bookmarkEnd w:id="114"/>
      <w:bookmarkStart w:id="115" w:name="_Toc184313274"/>
      <w:bookmarkEnd w:id="115"/>
      <w:bookmarkStart w:id="116" w:name="_Toc184312117"/>
      <w:bookmarkEnd w:id="116"/>
      <w:bookmarkStart w:id="117" w:name="_Toc184313288"/>
      <w:bookmarkEnd w:id="117"/>
      <w:bookmarkStart w:id="118" w:name="_Toc184310302"/>
      <w:bookmarkEnd w:id="118"/>
      <w:bookmarkStart w:id="119" w:name="_Toc184310292"/>
      <w:bookmarkEnd w:id="119"/>
      <w:bookmarkStart w:id="120" w:name="_Toc184308066"/>
      <w:bookmarkEnd w:id="120"/>
      <w:bookmarkStart w:id="121" w:name="_Toc184314410"/>
      <w:bookmarkEnd w:id="121"/>
      <w:bookmarkStart w:id="122" w:name="_Toc184308054"/>
      <w:bookmarkEnd w:id="122"/>
      <w:bookmarkStart w:id="123" w:name="_Toc184308083"/>
      <w:bookmarkEnd w:id="123"/>
      <w:bookmarkStart w:id="124" w:name="_Toc184314425"/>
      <w:bookmarkEnd w:id="124"/>
      <w:bookmarkStart w:id="125" w:name="_Toc184310331"/>
      <w:bookmarkEnd w:id="125"/>
      <w:bookmarkStart w:id="126" w:name="_Toc184312124"/>
      <w:bookmarkEnd w:id="126"/>
      <w:bookmarkStart w:id="127" w:name="_Toc184314455"/>
      <w:bookmarkEnd w:id="127"/>
      <w:bookmarkStart w:id="128" w:name="_Toc184312082"/>
      <w:bookmarkEnd w:id="128"/>
      <w:bookmarkStart w:id="129" w:name="_Toc184312100"/>
      <w:bookmarkEnd w:id="129"/>
      <w:bookmarkStart w:id="130" w:name="_Toc184314453"/>
      <w:bookmarkEnd w:id="130"/>
      <w:bookmarkStart w:id="131" w:name="_Toc184313244"/>
      <w:bookmarkEnd w:id="131"/>
      <w:bookmarkStart w:id="132" w:name="_Toc184308053"/>
      <w:bookmarkEnd w:id="132"/>
      <w:bookmarkStart w:id="133" w:name="_Toc184308096"/>
      <w:bookmarkEnd w:id="133"/>
      <w:bookmarkStart w:id="134" w:name="_Toc184308089"/>
      <w:bookmarkEnd w:id="134"/>
      <w:bookmarkStart w:id="135" w:name="_Toc184310300"/>
      <w:bookmarkEnd w:id="135"/>
      <w:bookmarkStart w:id="136" w:name="_Toc184313281"/>
      <w:bookmarkEnd w:id="136"/>
      <w:bookmarkStart w:id="137" w:name="_Toc184313278"/>
      <w:bookmarkEnd w:id="137"/>
      <w:bookmarkStart w:id="138" w:name="_Toc184312115"/>
      <w:bookmarkEnd w:id="138"/>
      <w:bookmarkStart w:id="139" w:name="_Toc184314421"/>
      <w:bookmarkEnd w:id="139"/>
      <w:bookmarkStart w:id="140" w:name="_Toc184313261"/>
      <w:bookmarkEnd w:id="140"/>
      <w:bookmarkStart w:id="141" w:name="_Toc184313304"/>
      <w:bookmarkEnd w:id="141"/>
      <w:bookmarkStart w:id="142" w:name="_Toc184313263"/>
      <w:bookmarkEnd w:id="142"/>
      <w:bookmarkStart w:id="143" w:name="_Toc184313275"/>
      <w:bookmarkEnd w:id="143"/>
      <w:bookmarkStart w:id="144" w:name="_Toc184310293"/>
      <w:bookmarkEnd w:id="144"/>
      <w:bookmarkStart w:id="145" w:name="_Toc184310291"/>
      <w:bookmarkEnd w:id="145"/>
      <w:bookmarkStart w:id="146" w:name="_Toc184310336"/>
      <w:bookmarkEnd w:id="146"/>
      <w:bookmarkStart w:id="147" w:name="_Toc184310318"/>
      <w:bookmarkEnd w:id="147"/>
      <w:bookmarkStart w:id="148" w:name="_Toc184308047"/>
      <w:bookmarkEnd w:id="148"/>
      <w:bookmarkStart w:id="149" w:name="_Toc184312098"/>
      <w:bookmarkEnd w:id="149"/>
      <w:bookmarkStart w:id="150" w:name="_Toc184314446"/>
      <w:bookmarkEnd w:id="150"/>
      <w:bookmarkStart w:id="151" w:name="_Toc184314429"/>
      <w:bookmarkEnd w:id="151"/>
      <w:bookmarkStart w:id="152" w:name="_Toc184313267"/>
      <w:bookmarkEnd w:id="152"/>
      <w:bookmarkStart w:id="153" w:name="_Toc184314460"/>
      <w:bookmarkEnd w:id="153"/>
      <w:bookmarkStart w:id="154" w:name="_Toc184308064"/>
      <w:bookmarkEnd w:id="154"/>
      <w:bookmarkStart w:id="155" w:name="_Toc184313266"/>
      <w:bookmarkEnd w:id="155"/>
      <w:bookmarkStart w:id="156" w:name="_Toc184313285"/>
      <w:bookmarkEnd w:id="156"/>
      <w:bookmarkStart w:id="157" w:name="_Toc184312125"/>
      <w:bookmarkEnd w:id="157"/>
      <w:bookmarkStart w:id="158" w:name="_Toc184310333"/>
      <w:bookmarkEnd w:id="158"/>
      <w:bookmarkStart w:id="159" w:name="_Toc184312074"/>
      <w:bookmarkEnd w:id="159"/>
      <w:bookmarkStart w:id="160" w:name="_Toc184308099"/>
      <w:bookmarkEnd w:id="160"/>
      <w:bookmarkStart w:id="161" w:name="_Toc184314439"/>
      <w:bookmarkEnd w:id="161"/>
      <w:bookmarkStart w:id="162" w:name="_Toc184313286"/>
      <w:bookmarkEnd w:id="162"/>
      <w:bookmarkStart w:id="163" w:name="_Toc184312110"/>
      <w:bookmarkEnd w:id="163"/>
      <w:bookmarkStart w:id="164" w:name="_Toc184314443"/>
      <w:bookmarkEnd w:id="164"/>
      <w:bookmarkStart w:id="165" w:name="_Toc184310343"/>
      <w:bookmarkEnd w:id="165"/>
      <w:bookmarkStart w:id="166" w:name="_Toc184310284"/>
      <w:bookmarkEnd w:id="166"/>
      <w:bookmarkStart w:id="167" w:name="_Toc184308094"/>
      <w:bookmarkEnd w:id="167"/>
      <w:bookmarkStart w:id="168" w:name="_Toc184310324"/>
      <w:bookmarkEnd w:id="168"/>
      <w:bookmarkStart w:id="169" w:name="_Toc184308087"/>
      <w:bookmarkEnd w:id="169"/>
      <w:bookmarkStart w:id="170" w:name="_Toc184314428"/>
      <w:bookmarkEnd w:id="170"/>
      <w:bookmarkStart w:id="171" w:name="_Toc184308076"/>
      <w:bookmarkEnd w:id="171"/>
      <w:bookmarkStart w:id="172" w:name="_Toc184312096"/>
      <w:bookmarkEnd w:id="172"/>
      <w:bookmarkStart w:id="173" w:name="_Toc184310327"/>
      <w:bookmarkEnd w:id="173"/>
      <w:bookmarkStart w:id="174" w:name="_Toc184313308"/>
      <w:bookmarkEnd w:id="174"/>
      <w:bookmarkStart w:id="175" w:name="_Toc184313280"/>
      <w:bookmarkEnd w:id="175"/>
      <w:bookmarkStart w:id="176" w:name="_Toc184308051"/>
      <w:bookmarkEnd w:id="176"/>
      <w:bookmarkStart w:id="177" w:name="_Toc184312073"/>
      <w:bookmarkEnd w:id="177"/>
      <w:bookmarkStart w:id="178" w:name="_Toc184310315"/>
      <w:bookmarkEnd w:id="178"/>
      <w:bookmarkStart w:id="179" w:name="_Toc184312081"/>
      <w:bookmarkEnd w:id="179"/>
      <w:bookmarkStart w:id="180" w:name="_Toc184310279"/>
      <w:bookmarkEnd w:id="180"/>
      <w:bookmarkStart w:id="181" w:name="_Toc184314451"/>
      <w:bookmarkEnd w:id="181"/>
      <w:bookmarkStart w:id="182" w:name="_Toc184310326"/>
      <w:bookmarkEnd w:id="182"/>
      <w:bookmarkStart w:id="183" w:name="_Toc184314424"/>
      <w:bookmarkEnd w:id="183"/>
      <w:bookmarkStart w:id="184" w:name="_Toc184312101"/>
      <w:bookmarkEnd w:id="184"/>
      <w:bookmarkStart w:id="185" w:name="_Toc184313290"/>
      <w:bookmarkEnd w:id="185"/>
      <w:bookmarkStart w:id="186" w:name="_Toc184312139"/>
      <w:bookmarkEnd w:id="186"/>
      <w:bookmarkStart w:id="187" w:name="_Toc184314433"/>
      <w:bookmarkEnd w:id="187"/>
      <w:bookmarkStart w:id="188" w:name="_Toc184313300"/>
      <w:bookmarkEnd w:id="188"/>
      <w:bookmarkStart w:id="189" w:name="_Toc184312095"/>
      <w:bookmarkEnd w:id="189"/>
      <w:bookmarkStart w:id="190" w:name="_Toc184313302"/>
      <w:bookmarkEnd w:id="190"/>
      <w:bookmarkStart w:id="191" w:name="_Toc184312090"/>
      <w:bookmarkEnd w:id="191"/>
      <w:bookmarkStart w:id="192" w:name="_Toc184314416"/>
      <w:bookmarkEnd w:id="192"/>
      <w:bookmarkStart w:id="193" w:name="_Toc184308041"/>
      <w:bookmarkEnd w:id="193"/>
      <w:bookmarkStart w:id="194" w:name="_Toc184310319"/>
      <w:bookmarkEnd w:id="194"/>
      <w:bookmarkStart w:id="195" w:name="_Toc184313307"/>
      <w:bookmarkEnd w:id="195"/>
      <w:bookmarkStart w:id="196" w:name="_Toc184314481"/>
      <w:bookmarkEnd w:id="196"/>
      <w:bookmarkStart w:id="197" w:name="_Toc184310277"/>
      <w:bookmarkEnd w:id="197"/>
      <w:bookmarkStart w:id="198" w:name="_Toc184314462"/>
      <w:bookmarkEnd w:id="198"/>
      <w:bookmarkStart w:id="199" w:name="_Toc184313298"/>
      <w:bookmarkEnd w:id="199"/>
      <w:bookmarkStart w:id="200" w:name="_Toc184314412"/>
      <w:bookmarkEnd w:id="200"/>
      <w:bookmarkStart w:id="201" w:name="_Toc184308062"/>
      <w:bookmarkEnd w:id="201"/>
      <w:bookmarkStart w:id="202" w:name="_Toc184310337"/>
      <w:bookmarkEnd w:id="202"/>
      <w:bookmarkStart w:id="203" w:name="_Toc184313254"/>
      <w:bookmarkEnd w:id="203"/>
      <w:bookmarkStart w:id="204" w:name="_Toc184310301"/>
      <w:bookmarkEnd w:id="204"/>
      <w:bookmarkStart w:id="205" w:name="_Toc184313291"/>
      <w:bookmarkEnd w:id="205"/>
      <w:bookmarkStart w:id="206" w:name="_Toc184308095"/>
      <w:bookmarkEnd w:id="206"/>
      <w:bookmarkStart w:id="207" w:name="_Toc184313272"/>
      <w:bookmarkEnd w:id="207"/>
      <w:bookmarkStart w:id="208" w:name="_Toc184310313"/>
      <w:bookmarkEnd w:id="208"/>
      <w:bookmarkStart w:id="209" w:name="_Toc184308105"/>
      <w:bookmarkEnd w:id="209"/>
      <w:bookmarkStart w:id="210" w:name="_Toc184313238"/>
      <w:bookmarkEnd w:id="210"/>
      <w:bookmarkStart w:id="211" w:name="_Toc184310325"/>
      <w:bookmarkEnd w:id="211"/>
      <w:bookmarkStart w:id="212" w:name="_Toc184313264"/>
      <w:bookmarkEnd w:id="212"/>
      <w:bookmarkStart w:id="213" w:name="_Toc184314475"/>
      <w:bookmarkEnd w:id="213"/>
      <w:bookmarkStart w:id="214" w:name="_Toc184312079"/>
      <w:bookmarkEnd w:id="214"/>
      <w:bookmarkStart w:id="215" w:name="_Toc184314419"/>
      <w:bookmarkEnd w:id="215"/>
      <w:bookmarkStart w:id="216" w:name="_Toc184314414"/>
      <w:bookmarkEnd w:id="216"/>
      <w:bookmarkStart w:id="217" w:name="_Toc184308071"/>
      <w:bookmarkEnd w:id="217"/>
      <w:bookmarkStart w:id="218" w:name="_Toc184308090"/>
      <w:bookmarkEnd w:id="218"/>
      <w:bookmarkStart w:id="219" w:name="_Toc184314473"/>
      <w:bookmarkEnd w:id="219"/>
      <w:bookmarkStart w:id="220" w:name="_Toc184313242"/>
      <w:bookmarkEnd w:id="220"/>
      <w:bookmarkStart w:id="221" w:name="_Toc184308069"/>
      <w:bookmarkEnd w:id="221"/>
      <w:bookmarkStart w:id="222" w:name="_Toc184308056"/>
      <w:bookmarkEnd w:id="222"/>
      <w:bookmarkStart w:id="223" w:name="_Toc184313305"/>
      <w:bookmarkEnd w:id="223"/>
      <w:bookmarkStart w:id="224" w:name="_Toc184312132"/>
      <w:bookmarkEnd w:id="224"/>
      <w:bookmarkStart w:id="225" w:name="_Toc184314479"/>
      <w:bookmarkEnd w:id="225"/>
      <w:bookmarkStart w:id="226" w:name="_Toc184314441"/>
      <w:bookmarkEnd w:id="226"/>
      <w:bookmarkStart w:id="227" w:name="_Toc184308060"/>
      <w:bookmarkEnd w:id="227"/>
      <w:bookmarkStart w:id="228" w:name="_Toc184310320"/>
      <w:bookmarkEnd w:id="228"/>
      <w:bookmarkStart w:id="229" w:name="_Toc184308092"/>
      <w:bookmarkEnd w:id="229"/>
      <w:bookmarkStart w:id="230" w:name="_Toc184313262"/>
      <w:bookmarkEnd w:id="230"/>
      <w:bookmarkStart w:id="231" w:name="_Toc184310299"/>
      <w:bookmarkEnd w:id="231"/>
      <w:bookmarkStart w:id="232" w:name="_Toc184310314"/>
      <w:bookmarkEnd w:id="232"/>
      <w:bookmarkStart w:id="233" w:name="_Toc184310306"/>
      <w:bookmarkEnd w:id="233"/>
      <w:bookmarkStart w:id="234" w:name="_Toc184313252"/>
      <w:bookmarkEnd w:id="234"/>
      <w:bookmarkStart w:id="235" w:name="_Toc184312113"/>
      <w:bookmarkEnd w:id="235"/>
      <w:bookmarkStart w:id="236" w:name="_Toc184310285"/>
      <w:bookmarkEnd w:id="236"/>
      <w:bookmarkStart w:id="237" w:name="_Toc184312094"/>
      <w:bookmarkEnd w:id="237"/>
      <w:bookmarkStart w:id="238" w:name="_Toc184310332"/>
      <w:bookmarkEnd w:id="238"/>
      <w:bookmarkStart w:id="239" w:name="_Toc184313248"/>
      <w:bookmarkEnd w:id="239"/>
      <w:bookmarkStart w:id="240" w:name="_Toc184312069"/>
      <w:bookmarkEnd w:id="240"/>
      <w:bookmarkStart w:id="241" w:name="_Toc184308074"/>
      <w:bookmarkEnd w:id="241"/>
      <w:bookmarkStart w:id="242" w:name="_Toc184314466"/>
      <w:bookmarkEnd w:id="242"/>
      <w:bookmarkStart w:id="243" w:name="_Toc184313247"/>
      <w:bookmarkEnd w:id="243"/>
      <w:bookmarkStart w:id="244" w:name="_Toc184313241"/>
      <w:bookmarkEnd w:id="244"/>
      <w:bookmarkStart w:id="245" w:name="_Toc184313258"/>
      <w:bookmarkEnd w:id="245"/>
      <w:bookmarkStart w:id="246" w:name="_Toc184312089"/>
      <w:bookmarkEnd w:id="246"/>
      <w:bookmarkStart w:id="247" w:name="_Toc184312133"/>
      <w:bookmarkEnd w:id="247"/>
      <w:bookmarkStart w:id="248" w:name="_Toc184308078"/>
      <w:bookmarkEnd w:id="248"/>
      <w:bookmarkStart w:id="249" w:name="_Toc184308081"/>
      <w:bookmarkEnd w:id="249"/>
      <w:bookmarkStart w:id="250" w:name="_Toc184314415"/>
      <w:bookmarkEnd w:id="250"/>
      <w:bookmarkStart w:id="251" w:name="_Toc184312085"/>
      <w:bookmarkEnd w:id="251"/>
      <w:bookmarkStart w:id="252" w:name="_Toc184313256"/>
      <w:bookmarkEnd w:id="252"/>
      <w:bookmarkStart w:id="253" w:name="_Toc184312136"/>
      <w:bookmarkEnd w:id="253"/>
      <w:bookmarkStart w:id="254" w:name="_Toc184313251"/>
      <w:bookmarkEnd w:id="254"/>
      <w:bookmarkStart w:id="255" w:name="_Toc184308049"/>
      <w:bookmarkEnd w:id="255"/>
      <w:bookmarkStart w:id="256" w:name="_Toc184312107"/>
      <w:bookmarkEnd w:id="256"/>
      <w:bookmarkStart w:id="257" w:name="_Toc184314447"/>
      <w:bookmarkEnd w:id="257"/>
      <w:bookmarkStart w:id="258" w:name="_Toc184314420"/>
      <w:bookmarkEnd w:id="258"/>
      <w:bookmarkStart w:id="259" w:name="_Toc184308086"/>
      <w:bookmarkEnd w:id="259"/>
      <w:bookmarkStart w:id="260" w:name="_Toc184313259"/>
      <w:bookmarkEnd w:id="260"/>
      <w:bookmarkStart w:id="261" w:name="_Toc184310342"/>
      <w:bookmarkEnd w:id="261"/>
      <w:bookmarkStart w:id="262" w:name="_Toc184308070"/>
      <w:bookmarkEnd w:id="262"/>
      <w:bookmarkStart w:id="263" w:name="_Toc184310282"/>
      <w:bookmarkEnd w:id="263"/>
      <w:bookmarkStart w:id="264" w:name="_Toc184313270"/>
      <w:bookmarkEnd w:id="264"/>
      <w:bookmarkStart w:id="265" w:name="_Toc184312116"/>
      <w:bookmarkEnd w:id="265"/>
      <w:bookmarkStart w:id="266" w:name="_Toc184313255"/>
      <w:bookmarkEnd w:id="266"/>
      <w:bookmarkStart w:id="267" w:name="_Toc184313240"/>
      <w:bookmarkEnd w:id="267"/>
      <w:bookmarkStart w:id="268" w:name="_Toc184314467"/>
      <w:bookmarkEnd w:id="268"/>
      <w:bookmarkStart w:id="269" w:name="_Toc184308077"/>
      <w:bookmarkEnd w:id="269"/>
      <w:bookmarkStart w:id="270" w:name="_Toc184312127"/>
      <w:bookmarkEnd w:id="270"/>
      <w:bookmarkStart w:id="271" w:name="_Toc184310334"/>
      <w:bookmarkEnd w:id="271"/>
      <w:bookmarkStart w:id="272" w:name="_Toc184310323"/>
      <w:bookmarkEnd w:id="272"/>
      <w:bookmarkStart w:id="273" w:name="_Toc184312131"/>
      <w:bookmarkEnd w:id="273"/>
      <w:bookmarkStart w:id="274" w:name="_Toc184313301"/>
      <w:bookmarkEnd w:id="274"/>
      <w:bookmarkStart w:id="275" w:name="_Toc184308106"/>
      <w:bookmarkEnd w:id="275"/>
      <w:bookmarkStart w:id="276" w:name="_Toc184313276"/>
      <w:bookmarkEnd w:id="276"/>
      <w:bookmarkStart w:id="277" w:name="_Toc184314465"/>
      <w:bookmarkEnd w:id="277"/>
      <w:bookmarkStart w:id="278" w:name="_Toc184314452"/>
      <w:bookmarkEnd w:id="278"/>
      <w:bookmarkStart w:id="279" w:name="_Toc184313296"/>
      <w:bookmarkEnd w:id="279"/>
      <w:bookmarkStart w:id="280" w:name="_Toc184313292"/>
      <w:bookmarkEnd w:id="280"/>
      <w:bookmarkStart w:id="281" w:name="_Toc184310340"/>
      <w:bookmarkEnd w:id="281"/>
      <w:bookmarkStart w:id="282" w:name="_Toc184308063"/>
      <w:bookmarkEnd w:id="282"/>
      <w:bookmarkStart w:id="283" w:name="_Toc184310287"/>
      <w:bookmarkEnd w:id="283"/>
      <w:bookmarkStart w:id="284" w:name="_Toc184314459"/>
      <w:bookmarkEnd w:id="284"/>
      <w:bookmarkStart w:id="285" w:name="_Toc184312072"/>
      <w:bookmarkEnd w:id="285"/>
      <w:bookmarkStart w:id="286" w:name="_Toc184312137"/>
      <w:bookmarkEnd w:id="286"/>
      <w:bookmarkStart w:id="287" w:name="_Toc184308046"/>
      <w:bookmarkEnd w:id="287"/>
      <w:bookmarkStart w:id="288" w:name="_Toc184310272"/>
      <w:bookmarkEnd w:id="288"/>
      <w:bookmarkStart w:id="289" w:name="_Toc184310276"/>
      <w:bookmarkEnd w:id="289"/>
      <w:bookmarkStart w:id="290" w:name="_Toc184310335"/>
      <w:bookmarkEnd w:id="290"/>
      <w:bookmarkStart w:id="291" w:name="_Toc184312067"/>
      <w:bookmarkEnd w:id="291"/>
      <w:bookmarkStart w:id="292" w:name="_Toc184312129"/>
      <w:bookmarkEnd w:id="292"/>
      <w:bookmarkStart w:id="293" w:name="_Toc184314454"/>
      <w:bookmarkEnd w:id="293"/>
      <w:bookmarkStart w:id="294" w:name="_Toc184310303"/>
      <w:bookmarkEnd w:id="294"/>
      <w:bookmarkStart w:id="295" w:name="_Toc184312102"/>
      <w:bookmarkEnd w:id="295"/>
      <w:bookmarkStart w:id="296" w:name="_Toc184312108"/>
      <w:bookmarkEnd w:id="296"/>
      <w:bookmarkStart w:id="297" w:name="_Toc184312126"/>
      <w:bookmarkEnd w:id="297"/>
      <w:bookmarkStart w:id="298" w:name="_Toc184308052"/>
      <w:bookmarkEnd w:id="298"/>
      <w:bookmarkStart w:id="299" w:name="_Toc184308082"/>
      <w:bookmarkEnd w:id="299"/>
      <w:bookmarkStart w:id="300" w:name="_Toc184310307"/>
      <w:bookmarkEnd w:id="300"/>
      <w:bookmarkStart w:id="301" w:name="_Toc184314461"/>
      <w:bookmarkEnd w:id="301"/>
      <w:bookmarkStart w:id="302" w:name="_Toc184313269"/>
      <w:bookmarkEnd w:id="302"/>
      <w:bookmarkStart w:id="303" w:name="_Toc184312086"/>
      <w:bookmarkEnd w:id="303"/>
      <w:bookmarkStart w:id="304" w:name="_Toc184312080"/>
      <w:bookmarkEnd w:id="304"/>
      <w:bookmarkStart w:id="305" w:name="_Toc184314471"/>
      <w:bookmarkEnd w:id="305"/>
      <w:bookmarkStart w:id="306" w:name="_Toc184312112"/>
      <w:bookmarkEnd w:id="306"/>
      <w:bookmarkStart w:id="307" w:name="_Toc184312105"/>
      <w:bookmarkEnd w:id="307"/>
      <w:bookmarkStart w:id="308" w:name="_Toc184313245"/>
      <w:bookmarkEnd w:id="308"/>
      <w:bookmarkStart w:id="309" w:name="_Toc184312078"/>
      <w:bookmarkEnd w:id="309"/>
      <w:bookmarkStart w:id="310" w:name="_Toc184314431"/>
      <w:bookmarkEnd w:id="310"/>
      <w:bookmarkStart w:id="311" w:name="_Toc184312103"/>
      <w:bookmarkEnd w:id="311"/>
      <w:bookmarkStart w:id="312" w:name="_Toc184308101"/>
      <w:bookmarkEnd w:id="312"/>
      <w:bookmarkStart w:id="313" w:name="_Toc184314427"/>
      <w:bookmarkEnd w:id="313"/>
      <w:bookmarkStart w:id="314" w:name="_Toc184312097"/>
      <w:bookmarkEnd w:id="314"/>
      <w:bookmarkStart w:id="315" w:name="_Toc184313297"/>
      <w:bookmarkEnd w:id="315"/>
      <w:bookmarkStart w:id="316" w:name="_Toc184308102"/>
      <w:bookmarkEnd w:id="316"/>
      <w:bookmarkStart w:id="317" w:name="_Toc184310295"/>
      <w:bookmarkEnd w:id="317"/>
      <w:bookmarkStart w:id="318" w:name="_Toc184310298"/>
      <w:bookmarkEnd w:id="318"/>
      <w:bookmarkStart w:id="319" w:name="_Toc184308045"/>
      <w:bookmarkEnd w:id="319"/>
      <w:bookmarkStart w:id="320" w:name="_Toc184312118"/>
      <w:bookmarkEnd w:id="320"/>
      <w:bookmarkStart w:id="321" w:name="_Toc184314436"/>
      <w:bookmarkEnd w:id="321"/>
      <w:bookmarkStart w:id="322" w:name="_Toc184310305"/>
      <w:bookmarkEnd w:id="322"/>
      <w:bookmarkStart w:id="323" w:name="_Toc184308080"/>
      <w:bookmarkEnd w:id="323"/>
      <w:bookmarkStart w:id="324" w:name="_Toc184310297"/>
      <w:bookmarkEnd w:id="324"/>
      <w:bookmarkStart w:id="325" w:name="_Toc184314463"/>
      <w:bookmarkEnd w:id="325"/>
      <w:bookmarkStart w:id="326" w:name="_Toc184312109"/>
      <w:bookmarkEnd w:id="326"/>
      <w:bookmarkStart w:id="327" w:name="_Toc184312088"/>
      <w:bookmarkEnd w:id="327"/>
      <w:bookmarkStart w:id="328" w:name="_Toc184310286"/>
      <w:bookmarkEnd w:id="328"/>
      <w:bookmarkStart w:id="329" w:name="_Toc184310328"/>
      <w:bookmarkEnd w:id="329"/>
      <w:bookmarkStart w:id="330" w:name="_Toc184313257"/>
      <w:bookmarkEnd w:id="330"/>
      <w:bookmarkStart w:id="331" w:name="_Toc184314418"/>
      <w:bookmarkEnd w:id="331"/>
      <w:bookmarkStart w:id="332" w:name="_Toc184310317"/>
      <w:bookmarkEnd w:id="332"/>
      <w:bookmarkStart w:id="333" w:name="_Toc184314478"/>
      <w:bookmarkEnd w:id="333"/>
      <w:bookmarkStart w:id="334" w:name="_Toc184313260"/>
      <w:bookmarkEnd w:id="334"/>
      <w:bookmarkStart w:id="335" w:name="_Toc184312093"/>
      <w:bookmarkEnd w:id="335"/>
      <w:bookmarkStart w:id="336" w:name="_Toc184313310"/>
      <w:bookmarkEnd w:id="336"/>
      <w:bookmarkStart w:id="337" w:name="_Toc184312106"/>
      <w:bookmarkEnd w:id="337"/>
      <w:bookmarkStart w:id="338" w:name="_Toc184310296"/>
      <w:bookmarkEnd w:id="338"/>
      <w:bookmarkStart w:id="339" w:name="_Toc184308108"/>
      <w:bookmarkEnd w:id="339"/>
      <w:bookmarkStart w:id="340" w:name="_Toc184308091"/>
      <w:bookmarkEnd w:id="340"/>
      <w:bookmarkStart w:id="341" w:name="_Toc184314449"/>
      <w:bookmarkEnd w:id="341"/>
      <w:bookmarkStart w:id="342" w:name="_Toc184314422"/>
      <w:bookmarkEnd w:id="342"/>
      <w:bookmarkStart w:id="343" w:name="_Toc184308068"/>
      <w:bookmarkEnd w:id="343"/>
      <w:bookmarkStart w:id="344" w:name="_Toc184314413"/>
      <w:bookmarkEnd w:id="344"/>
      <w:bookmarkStart w:id="345" w:name="_Toc184308043"/>
      <w:bookmarkEnd w:id="345"/>
      <w:bookmarkStart w:id="346" w:name="_Toc184313283"/>
      <w:bookmarkEnd w:id="346"/>
      <w:bookmarkStart w:id="347" w:name="_Toc184314442"/>
      <w:bookmarkEnd w:id="347"/>
      <w:bookmarkStart w:id="348" w:name="_Toc184313279"/>
      <w:bookmarkEnd w:id="348"/>
      <w:bookmarkStart w:id="349" w:name="_Toc184313273"/>
      <w:bookmarkEnd w:id="349"/>
      <w:bookmarkStart w:id="350" w:name="_Toc184308100"/>
      <w:bookmarkEnd w:id="350"/>
      <w:bookmarkStart w:id="351" w:name="_Toc184313246"/>
      <w:bookmarkEnd w:id="351"/>
      <w:bookmarkStart w:id="352" w:name="_Toc184314448"/>
      <w:bookmarkEnd w:id="352"/>
      <w:bookmarkStart w:id="353" w:name="_Toc184310330"/>
      <w:bookmarkEnd w:id="353"/>
      <w:bookmarkStart w:id="354" w:name="_Toc184314434"/>
      <w:bookmarkEnd w:id="354"/>
      <w:bookmarkStart w:id="355" w:name="_Toc184310309"/>
      <w:bookmarkEnd w:id="355"/>
      <w:bookmarkStart w:id="356" w:name="_Toc184313287"/>
      <w:bookmarkEnd w:id="356"/>
      <w:bookmarkStart w:id="357" w:name="_Toc184312138"/>
      <w:bookmarkEnd w:id="357"/>
      <w:bookmarkStart w:id="358" w:name="_Toc184310290"/>
      <w:bookmarkEnd w:id="358"/>
      <w:bookmarkStart w:id="359" w:name="_Toc184310273"/>
      <w:bookmarkEnd w:id="359"/>
      <w:bookmarkStart w:id="360" w:name="_Toc184308072"/>
      <w:bookmarkEnd w:id="360"/>
      <w:bookmarkStart w:id="361" w:name="_Toc184310288"/>
      <w:bookmarkEnd w:id="361"/>
      <w:bookmarkStart w:id="362" w:name="_Toc184310321"/>
      <w:bookmarkEnd w:id="362"/>
      <w:bookmarkStart w:id="363" w:name="_Toc184312091"/>
      <w:bookmarkEnd w:id="363"/>
      <w:bookmarkStart w:id="364" w:name="_Toc184308079"/>
      <w:bookmarkEnd w:id="364"/>
      <w:bookmarkStart w:id="365" w:name="_Toc184312092"/>
      <w:bookmarkEnd w:id="365"/>
      <w:bookmarkStart w:id="366" w:name="_Toc184310311"/>
      <w:bookmarkEnd w:id="366"/>
      <w:bookmarkStart w:id="367" w:name="_Toc184308085"/>
      <w:bookmarkEnd w:id="367"/>
      <w:bookmarkStart w:id="368" w:name="_Toc184308039"/>
      <w:bookmarkEnd w:id="368"/>
      <w:bookmarkStart w:id="369" w:name="_Toc184308104"/>
      <w:bookmarkEnd w:id="369"/>
      <w:bookmarkStart w:id="370" w:name="_Toc184308103"/>
      <w:bookmarkEnd w:id="370"/>
      <w:bookmarkStart w:id="371" w:name="_Toc184312111"/>
      <w:bookmarkEnd w:id="371"/>
      <w:bookmarkStart w:id="372" w:name="_Toc184313306"/>
      <w:bookmarkEnd w:id="372"/>
      <w:bookmarkStart w:id="373" w:name="_Toc184310274"/>
      <w:bookmarkEnd w:id="373"/>
      <w:bookmarkStart w:id="374" w:name="_Toc184308097"/>
      <w:bookmarkEnd w:id="374"/>
      <w:bookmarkStart w:id="375" w:name="_Toc184310294"/>
      <w:bookmarkEnd w:id="375"/>
      <w:bookmarkStart w:id="376" w:name="_Toc184308058"/>
      <w:bookmarkEnd w:id="376"/>
      <w:bookmarkStart w:id="377" w:name="_Toc184314457"/>
      <w:bookmarkEnd w:id="377"/>
      <w:bookmarkStart w:id="378" w:name="_Toc184308036"/>
      <w:bookmarkEnd w:id="378"/>
      <w:bookmarkStart w:id="379" w:name="_Toc184310338"/>
      <w:bookmarkEnd w:id="379"/>
      <w:bookmarkStart w:id="380" w:name="_Toc184314474"/>
      <w:bookmarkEnd w:id="380"/>
      <w:bookmarkStart w:id="381" w:name="_Toc184310304"/>
      <w:bookmarkEnd w:id="381"/>
      <w:bookmarkStart w:id="382" w:name="_Toc184310341"/>
      <w:bookmarkEnd w:id="382"/>
      <w:bookmarkStart w:id="383" w:name="_Toc184308044"/>
      <w:bookmarkEnd w:id="383"/>
      <w:bookmarkStart w:id="384" w:name="_Toc184312122"/>
      <w:bookmarkEnd w:id="384"/>
      <w:bookmarkStart w:id="385" w:name="_Toc184314464"/>
      <w:bookmarkEnd w:id="385"/>
      <w:bookmarkStart w:id="386" w:name="_Toc184312087"/>
      <w:bookmarkEnd w:id="386"/>
      <w:bookmarkStart w:id="387" w:name="_Toc184314440"/>
      <w:bookmarkEnd w:id="387"/>
      <w:bookmarkStart w:id="388" w:name="_Toc184314438"/>
      <w:bookmarkEnd w:id="388"/>
      <w:bookmarkStart w:id="389" w:name="_Toc184308037"/>
      <w:bookmarkEnd w:id="389"/>
      <w:bookmarkStart w:id="390" w:name="_Toc184308038"/>
      <w:bookmarkEnd w:id="390"/>
      <w:bookmarkStart w:id="391" w:name="_Toc184313295"/>
      <w:bookmarkEnd w:id="391"/>
      <w:bookmarkStart w:id="392" w:name="_Toc184310312"/>
      <w:bookmarkEnd w:id="392"/>
      <w:bookmarkStart w:id="393" w:name="_Toc184310329"/>
      <w:bookmarkEnd w:id="393"/>
      <w:bookmarkStart w:id="394" w:name="_Toc184314450"/>
      <w:bookmarkEnd w:id="394"/>
      <w:bookmarkStart w:id="395" w:name="_Toc184308073"/>
      <w:bookmarkEnd w:id="395"/>
      <w:bookmarkStart w:id="396" w:name="_Toc184310278"/>
      <w:bookmarkEnd w:id="396"/>
      <w:bookmarkStart w:id="397" w:name="_Toc184310344"/>
      <w:bookmarkEnd w:id="397"/>
      <w:r>
        <w:rPr>
          <w:rFonts w:hint="eastAsia" w:ascii="仿宋" w:hAnsi="仿宋" w:eastAsia="仿宋" w:cs="仿宋"/>
          <w:b/>
          <w:sz w:val="36"/>
          <w:szCs w:val="36"/>
          <w:highlight w:val="none"/>
        </w:rPr>
        <w:t>评标办法</w:t>
      </w:r>
    </w:p>
    <w:p>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1、评标办法前附表</w:t>
      </w:r>
    </w:p>
    <w:p>
      <w:pPr>
        <w:pStyle w:val="93"/>
        <w:spacing w:before="0"/>
        <w:ind w:firstLine="602" w:firstLineChars="250"/>
        <w:rPr>
          <w:rFonts w:ascii="仿宋" w:hAnsi="仿宋" w:eastAsia="仿宋" w:cs="仿宋"/>
          <w:color w:val="000000"/>
          <w:szCs w:val="24"/>
          <w:highlight w:val="none"/>
        </w:rPr>
      </w:pPr>
      <w:r>
        <w:rPr>
          <w:rFonts w:hint="eastAsia" w:ascii="仿宋" w:hAnsi="仿宋" w:eastAsia="仿宋" w:cs="仿宋"/>
          <w:b/>
          <w:color w:val="000000"/>
          <w:szCs w:val="24"/>
          <w:highlight w:val="none"/>
        </w:rPr>
        <w:t>本次评标采用综合评分法，总分为100分。</w:t>
      </w:r>
      <w:r>
        <w:rPr>
          <w:rFonts w:hint="eastAsia" w:ascii="仿宋" w:hAnsi="仿宋" w:eastAsia="仿宋" w:cs="仿宋"/>
          <w:color w:val="000000"/>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35"/>
        <w:spacing w:line="360" w:lineRule="auto"/>
        <w:rPr>
          <w:rFonts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各投标人的综合得分为：投标价格得分+技术商务得分</w:t>
      </w:r>
    </w:p>
    <w:p>
      <w:pPr>
        <w:adjustRightInd/>
        <w:spacing w:line="440" w:lineRule="exact"/>
        <w:ind w:firstLine="602" w:firstLineChars="250"/>
        <w:rPr>
          <w:rFonts w:ascii="仿宋" w:hAnsi="仿宋" w:eastAsia="仿宋"/>
          <w:b/>
          <w:bCs/>
          <w:color w:val="000000"/>
          <w:sz w:val="24"/>
          <w:highlight w:val="none"/>
        </w:rPr>
      </w:pPr>
      <w:r>
        <w:rPr>
          <w:rFonts w:hint="eastAsia" w:ascii="仿宋" w:hAnsi="仿宋" w:eastAsia="仿宋"/>
          <w:b/>
          <w:bCs/>
          <w:color w:val="000000"/>
          <w:sz w:val="24"/>
          <w:highlight w:val="none"/>
        </w:rPr>
        <w:t>1.1价格分（10分）：</w:t>
      </w:r>
    </w:p>
    <w:tbl>
      <w:tblPr>
        <w:tblStyle w:val="62"/>
        <w:tblpPr w:leftFromText="180" w:rightFromText="180" w:vertAnchor="text" w:horzAnchor="margin" w:tblpX="-279" w:tblpY="276"/>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45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515" w:type="dxa"/>
            <w:vAlign w:val="center"/>
          </w:tcPr>
          <w:p>
            <w:pPr>
              <w:spacing w:line="360" w:lineRule="auto"/>
              <w:jc w:val="center"/>
              <w:outlineLvl w:val="0"/>
              <w:rPr>
                <w:rFonts w:ascii="仿宋" w:hAnsi="仿宋" w:eastAsia="仿宋" w:cs="仿宋_GB2312"/>
                <w:color w:val="000000"/>
                <w:sz w:val="24"/>
                <w:szCs w:val="20"/>
                <w:highlight w:val="none"/>
              </w:rPr>
            </w:pPr>
            <w:r>
              <w:rPr>
                <w:rFonts w:hint="eastAsia" w:ascii="仿宋" w:hAnsi="仿宋" w:eastAsia="仿宋" w:cs="仿宋_GB2312"/>
                <w:color w:val="000000"/>
                <w:sz w:val="24"/>
                <w:szCs w:val="20"/>
                <w:highlight w:val="none"/>
              </w:rPr>
              <w:t>价格分</w:t>
            </w:r>
          </w:p>
        </w:tc>
        <w:tc>
          <w:tcPr>
            <w:tcW w:w="7455" w:type="dxa"/>
          </w:tcPr>
          <w:p>
            <w:pPr>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w:t>
            </w:r>
            <w:r>
              <w:rPr>
                <w:rFonts w:ascii="仿宋" w:hAnsi="仿宋" w:eastAsia="仿宋" w:cs="仿宋_GB2312"/>
                <w:sz w:val="24"/>
                <w:highlight w:val="none"/>
              </w:rPr>
              <w:t>=（评标基准价/投标报价）*</w:t>
            </w:r>
            <w:r>
              <w:rPr>
                <w:rFonts w:hint="eastAsia" w:ascii="仿宋" w:hAnsi="仿宋" w:eastAsia="仿宋" w:cs="仿宋_GB2312"/>
                <w:sz w:val="24"/>
                <w:highlight w:val="none"/>
              </w:rPr>
              <w:t>10</w:t>
            </w:r>
            <w:r>
              <w:rPr>
                <w:rFonts w:ascii="仿宋" w:hAnsi="仿宋" w:eastAsia="仿宋" w:cs="仿宋_GB2312"/>
                <w:sz w:val="24"/>
                <w:highlight w:val="none"/>
              </w:rPr>
              <w:t>］的计算公式计算。</w:t>
            </w:r>
          </w:p>
          <w:p>
            <w:pPr>
              <w:widowControl/>
              <w:shd w:val="clear" w:color="auto" w:fill="FFFFFF"/>
              <w:adjustRightInd/>
              <w:spacing w:line="360" w:lineRule="auto"/>
              <w:jc w:val="left"/>
              <w:rPr>
                <w:rFonts w:ascii="仿宋" w:hAnsi="仿宋" w:eastAsia="仿宋" w:cs="仿宋_GB2312"/>
                <w:sz w:val="24"/>
                <w:highlight w:val="none"/>
              </w:rPr>
            </w:pPr>
            <w:r>
              <w:rPr>
                <w:rFonts w:ascii="仿宋" w:hAnsi="仿宋" w:eastAsia="仿宋" w:cs="仿宋_GB2312"/>
                <w:sz w:val="24"/>
                <w:highlight w:val="none"/>
              </w:rPr>
              <w:t>评标过程中，不得去掉报价中的最高报价和最低报价。</w:t>
            </w:r>
          </w:p>
          <w:p>
            <w:pPr>
              <w:widowControl/>
              <w:shd w:val="clear" w:color="auto" w:fill="FFFFFF"/>
              <w:adjustRightInd/>
              <w:spacing w:after="225" w:line="360" w:lineRule="auto"/>
              <w:ind w:firstLine="420"/>
              <w:jc w:val="left"/>
              <w:rPr>
                <w:rFonts w:ascii="仿宋" w:eastAsia="仿宋"/>
                <w:color w:val="000000"/>
                <w:sz w:val="24"/>
                <w:szCs w:val="20"/>
                <w:highlight w:val="none"/>
              </w:rPr>
            </w:pPr>
            <w:r>
              <w:rPr>
                <w:rFonts w:hint="eastAsia" w:ascii="仿宋" w:hAnsi="仿宋" w:eastAsia="仿宋" w:cs="仿宋_GB2312"/>
                <w:sz w:val="24"/>
                <w:highlight w:val="none"/>
              </w:rPr>
              <w:t>对于未预留份额专门面向中小企业的政府采购服务项目，以及预留份额政府采购服务项目中的非预留部分标项，对小型和微型企业的投标报价给予10%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仿宋_GB2312"/>
                <w:sz w:val="24"/>
                <w:highlight w:val="none"/>
              </w:rPr>
              <w:t>。</w:t>
            </w:r>
          </w:p>
        </w:tc>
        <w:tc>
          <w:tcPr>
            <w:tcW w:w="795" w:type="dxa"/>
            <w:vAlign w:val="center"/>
          </w:tcPr>
          <w:p>
            <w:pPr>
              <w:spacing w:line="360" w:lineRule="auto"/>
              <w:outlineLvl w:val="0"/>
              <w:rPr>
                <w:rFonts w:ascii="仿宋" w:hAnsi="仿宋" w:eastAsia="仿宋" w:cs="仿宋_GB2312"/>
                <w:color w:val="000000"/>
                <w:sz w:val="24"/>
                <w:szCs w:val="20"/>
                <w:highlight w:val="none"/>
              </w:rPr>
            </w:pPr>
            <w:r>
              <w:rPr>
                <w:rFonts w:ascii="仿宋" w:hAnsi="仿宋" w:eastAsia="仿宋" w:cs="仿宋_GB2312"/>
                <w:color w:val="000000"/>
                <w:sz w:val="24"/>
                <w:szCs w:val="20"/>
                <w:highlight w:val="none"/>
              </w:rPr>
              <w:t>10</w:t>
            </w:r>
            <w:r>
              <w:rPr>
                <w:rFonts w:hint="eastAsia" w:ascii="仿宋" w:hAnsi="仿宋" w:eastAsia="仿宋" w:cs="仿宋_GB2312"/>
                <w:color w:val="000000"/>
                <w:sz w:val="24"/>
                <w:szCs w:val="20"/>
                <w:highlight w:val="none"/>
              </w:rPr>
              <w:t>分</w:t>
            </w:r>
          </w:p>
        </w:tc>
      </w:tr>
    </w:tbl>
    <w:p>
      <w:pPr>
        <w:spacing w:line="360" w:lineRule="auto"/>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1.2商务技术评分细则：90分</w:t>
      </w:r>
    </w:p>
    <w:tbl>
      <w:tblPr>
        <w:tblStyle w:val="62"/>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70"/>
        <w:gridCol w:w="707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4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序号</w:t>
            </w:r>
          </w:p>
        </w:tc>
        <w:tc>
          <w:tcPr>
            <w:tcW w:w="127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项目</w:t>
            </w:r>
          </w:p>
        </w:tc>
        <w:tc>
          <w:tcPr>
            <w:tcW w:w="707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评分标准</w:t>
            </w:r>
          </w:p>
        </w:tc>
        <w:tc>
          <w:tcPr>
            <w:tcW w:w="80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40" w:type="dxa"/>
            <w:vMerge w:val="restart"/>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1</w:t>
            </w:r>
          </w:p>
        </w:tc>
        <w:tc>
          <w:tcPr>
            <w:tcW w:w="1270" w:type="dxa"/>
            <w:vMerge w:val="restart"/>
            <w:vAlign w:val="center"/>
          </w:tcPr>
          <w:p>
            <w:pPr>
              <w:spacing w:line="300" w:lineRule="auto"/>
              <w:jc w:val="center"/>
              <w:rPr>
                <w:rFonts w:ascii="仿宋" w:hAnsi="仿宋" w:eastAsia="仿宋" w:cs="宋体"/>
                <w:b/>
                <w:bCs/>
                <w:sz w:val="24"/>
                <w:szCs w:val="24"/>
                <w:highlight w:val="none"/>
              </w:rPr>
            </w:pPr>
            <w:r>
              <w:rPr>
                <w:rFonts w:ascii="仿宋" w:hAnsi="仿宋" w:eastAsia="仿宋" w:cs="宋体"/>
                <w:b/>
                <w:bCs/>
                <w:color w:val="auto"/>
                <w:sz w:val="24"/>
                <w:szCs w:val="24"/>
                <w:highlight w:val="none"/>
              </w:rPr>
              <w:t>企业</w:t>
            </w:r>
          </w:p>
          <w:p>
            <w:pPr>
              <w:spacing w:line="300" w:lineRule="auto"/>
              <w:jc w:val="center"/>
              <w:rPr>
                <w:rFonts w:ascii="仿宋" w:hAnsi="仿宋" w:eastAsia="仿宋" w:cs="宋体"/>
                <w:b/>
                <w:bCs/>
                <w:color w:val="auto"/>
                <w:sz w:val="24"/>
                <w:szCs w:val="24"/>
                <w:highlight w:val="none"/>
              </w:rPr>
            </w:pPr>
            <w:r>
              <w:rPr>
                <w:rFonts w:ascii="仿宋" w:hAnsi="仿宋" w:eastAsia="仿宋" w:cs="宋体"/>
                <w:b/>
                <w:bCs/>
                <w:color w:val="auto"/>
                <w:sz w:val="24"/>
                <w:szCs w:val="24"/>
                <w:highlight w:val="none"/>
              </w:rPr>
              <w:t>资信</w:t>
            </w:r>
          </w:p>
          <w:p>
            <w:pPr>
              <w:spacing w:line="300" w:lineRule="auto"/>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w:t>
            </w:r>
            <w:r>
              <w:rPr>
                <w:rFonts w:ascii="仿宋" w:hAnsi="仿宋" w:eastAsia="仿宋" w:cs="宋体"/>
                <w:b/>
                <w:bCs/>
                <w:color w:val="auto"/>
                <w:sz w:val="24"/>
                <w:szCs w:val="24"/>
                <w:highlight w:val="none"/>
              </w:rPr>
              <w:t>19</w:t>
            </w:r>
            <w:r>
              <w:rPr>
                <w:rFonts w:hint="eastAsia" w:ascii="仿宋" w:hAnsi="仿宋" w:eastAsia="仿宋" w:cs="宋体"/>
                <w:b/>
                <w:bCs/>
                <w:color w:val="auto"/>
                <w:sz w:val="24"/>
                <w:szCs w:val="24"/>
                <w:highlight w:val="none"/>
              </w:rPr>
              <w:t>分）</w:t>
            </w:r>
          </w:p>
        </w:tc>
        <w:tc>
          <w:tcPr>
            <w:tcW w:w="7070" w:type="dxa"/>
            <w:vAlign w:val="center"/>
          </w:tcPr>
          <w:p>
            <w:pPr>
              <w:spacing w:line="300" w:lineRule="auto"/>
              <w:rPr>
                <w:rFonts w:ascii="仿宋" w:hAnsi="仿宋" w:eastAsia="仿宋" w:cs="宋体"/>
                <w:sz w:val="24"/>
                <w:szCs w:val="24"/>
                <w:highlight w:val="none"/>
              </w:rPr>
            </w:pPr>
            <w:r>
              <w:rPr>
                <w:rFonts w:hint="eastAsia" w:ascii="仿宋" w:hAnsi="仿宋" w:eastAsia="仿宋" w:cs="宋体"/>
                <w:bCs/>
                <w:color w:val="auto"/>
                <w:sz w:val="24"/>
                <w:szCs w:val="24"/>
                <w:highlight w:val="none"/>
                <w:lang w:val="en-US" w:eastAsia="zh-CN"/>
              </w:rPr>
              <w:t>1.1</w:t>
            </w:r>
            <w:r>
              <w:rPr>
                <w:rFonts w:hint="eastAsia" w:ascii="仿宋" w:hAnsi="仿宋" w:eastAsia="仿宋" w:cs="宋体"/>
                <w:bCs/>
                <w:color w:val="auto"/>
                <w:sz w:val="24"/>
                <w:szCs w:val="24"/>
                <w:highlight w:val="none"/>
              </w:rPr>
              <w:t>投标人具有有效期内的质量管理体系认证证书、环境管理体系认证证书、职业健康安全管理体系认证证书的，每提供一个证书得2分，最高得6分。（注：需提供有效期内证书复印件并加盖投标人公章，否则不得分。）</w:t>
            </w:r>
          </w:p>
        </w:tc>
        <w:tc>
          <w:tcPr>
            <w:tcW w:w="800" w:type="dxa"/>
            <w:vAlign w:val="center"/>
          </w:tcPr>
          <w:p>
            <w:pPr>
              <w:spacing w:line="300" w:lineRule="auto"/>
              <w:jc w:val="center"/>
              <w:rPr>
                <w:rFonts w:ascii="仿宋" w:hAnsi="仿宋" w:eastAsia="仿宋" w:cs="宋体"/>
                <w:b/>
                <w:bCs/>
                <w:strike/>
                <w:sz w:val="24"/>
                <w:szCs w:val="24"/>
                <w:highlight w:val="none"/>
              </w:rPr>
            </w:pPr>
            <w:r>
              <w:rPr>
                <w:rFonts w:hint="eastAsia" w:ascii="仿宋" w:hAnsi="仿宋" w:eastAsia="仿宋" w:cs="宋体"/>
                <w:b/>
                <w:bCs/>
                <w:color w:val="auto"/>
                <w:sz w:val="24"/>
                <w:szCs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40" w:type="dxa"/>
            <w:vMerge w:val="continue"/>
            <w:vAlign w:val="center"/>
          </w:tcPr>
          <w:p>
            <w:pPr>
              <w:spacing w:line="300" w:lineRule="auto"/>
              <w:jc w:val="center"/>
              <w:rPr>
                <w:rFonts w:ascii="仿宋" w:hAnsi="仿宋" w:eastAsia="仿宋" w:cs="宋体"/>
                <w:b/>
                <w:bCs/>
                <w:sz w:val="24"/>
                <w:szCs w:val="24"/>
                <w:highlight w:val="none"/>
              </w:rPr>
            </w:pPr>
          </w:p>
        </w:tc>
        <w:tc>
          <w:tcPr>
            <w:tcW w:w="1270" w:type="dxa"/>
            <w:vMerge w:val="continue"/>
            <w:vAlign w:val="center"/>
          </w:tcPr>
          <w:p>
            <w:pPr>
              <w:spacing w:line="300" w:lineRule="auto"/>
              <w:jc w:val="center"/>
              <w:rPr>
                <w:rFonts w:ascii="仿宋" w:hAnsi="仿宋" w:eastAsia="仿宋" w:cs="宋体"/>
                <w:b/>
                <w:bCs/>
                <w:sz w:val="24"/>
                <w:szCs w:val="24"/>
                <w:highlight w:val="none"/>
              </w:rPr>
            </w:pPr>
          </w:p>
        </w:tc>
        <w:tc>
          <w:tcPr>
            <w:tcW w:w="7070" w:type="dxa"/>
            <w:vAlign w:val="center"/>
          </w:tcPr>
          <w:p>
            <w:pPr>
              <w:spacing w:line="300" w:lineRule="auto"/>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lang w:val="en-US" w:eastAsia="zh-CN"/>
              </w:rPr>
              <w:t>1.2</w:t>
            </w:r>
            <w:r>
              <w:rPr>
                <w:rFonts w:hint="eastAsia" w:ascii="仿宋" w:hAnsi="仿宋" w:eastAsia="仿宋" w:cs="宋体"/>
                <w:bCs/>
                <w:color w:val="auto"/>
                <w:sz w:val="24"/>
                <w:szCs w:val="24"/>
                <w:highlight w:val="none"/>
              </w:rPr>
              <w:t>浙江省自然资源厅关于2022年度浙江省地矿信用等级名单中，投标人的信用等级为A级，得2分；B级，得1分；B级以下不得分。（提供证明材料的复印件并加盖投标人公章，否则不得分）</w:t>
            </w:r>
          </w:p>
        </w:tc>
        <w:tc>
          <w:tcPr>
            <w:tcW w:w="800" w:type="dxa"/>
            <w:vAlign w:val="center"/>
          </w:tcPr>
          <w:p>
            <w:pPr>
              <w:spacing w:line="300" w:lineRule="auto"/>
              <w:jc w:val="center"/>
              <w:rPr>
                <w:rFonts w:ascii="仿宋" w:hAnsi="仿宋" w:eastAsia="仿宋" w:cs="宋体"/>
                <w:b/>
                <w:bCs/>
                <w:color w:val="auto"/>
                <w:sz w:val="24"/>
                <w:szCs w:val="24"/>
                <w:highlight w:val="none"/>
              </w:rPr>
            </w:pPr>
            <w:r>
              <w:rPr>
                <w:rFonts w:ascii="仿宋" w:hAnsi="仿宋" w:eastAsia="仿宋" w:cs="宋体"/>
                <w:b/>
                <w:bCs/>
                <w:color w:val="auto"/>
                <w:sz w:val="24"/>
                <w:szCs w:val="24"/>
                <w:highlight w:val="none"/>
              </w:rPr>
              <w:t>2</w:t>
            </w:r>
            <w:r>
              <w:rPr>
                <w:rFonts w:hint="eastAsia" w:ascii="仿宋" w:hAnsi="仿宋" w:eastAsia="仿宋" w:cs="宋体"/>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pPr>
              <w:spacing w:line="300" w:lineRule="auto"/>
              <w:jc w:val="center"/>
              <w:rPr>
                <w:rFonts w:ascii="仿宋" w:hAnsi="仿宋" w:eastAsia="仿宋" w:cs="宋体"/>
                <w:b/>
                <w:bCs/>
                <w:sz w:val="24"/>
                <w:szCs w:val="24"/>
                <w:highlight w:val="none"/>
              </w:rPr>
            </w:pPr>
          </w:p>
        </w:tc>
        <w:tc>
          <w:tcPr>
            <w:tcW w:w="1270" w:type="dxa"/>
            <w:vMerge w:val="continue"/>
            <w:vAlign w:val="center"/>
          </w:tcPr>
          <w:p>
            <w:pPr>
              <w:spacing w:line="300" w:lineRule="auto"/>
              <w:jc w:val="center"/>
              <w:rPr>
                <w:rFonts w:ascii="仿宋" w:hAnsi="仿宋" w:eastAsia="仿宋" w:cs="宋体"/>
                <w:b/>
                <w:bCs/>
                <w:sz w:val="24"/>
                <w:szCs w:val="24"/>
                <w:highlight w:val="none"/>
              </w:rPr>
            </w:pPr>
          </w:p>
        </w:tc>
        <w:tc>
          <w:tcPr>
            <w:tcW w:w="7070" w:type="dxa"/>
            <w:vAlign w:val="center"/>
          </w:tcPr>
          <w:p>
            <w:pPr>
              <w:spacing w:line="300" w:lineRule="auto"/>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lang w:val="en-US" w:eastAsia="zh-CN"/>
              </w:rPr>
              <w:t>1.3</w:t>
            </w:r>
            <w:r>
              <w:rPr>
                <w:rFonts w:hint="eastAsia" w:ascii="仿宋" w:hAnsi="仿宋" w:eastAsia="仿宋" w:cs="宋体"/>
                <w:bCs/>
                <w:color w:val="auto"/>
                <w:sz w:val="24"/>
                <w:szCs w:val="24"/>
                <w:highlight w:val="none"/>
              </w:rPr>
              <w:t>投标人</w:t>
            </w:r>
            <w:r>
              <w:rPr>
                <w:rFonts w:hint="eastAsia" w:ascii="仿宋" w:hAnsi="仿宋" w:eastAsia="仿宋" w:cs="宋体"/>
                <w:bCs/>
                <w:color w:val="auto"/>
                <w:sz w:val="24"/>
                <w:szCs w:val="24"/>
                <w:highlight w:val="none"/>
                <w:lang w:val="en-US" w:eastAsia="zh-CN"/>
              </w:rPr>
              <w:t>同时具备</w:t>
            </w:r>
            <w:r>
              <w:rPr>
                <w:rFonts w:hint="eastAsia" w:ascii="仿宋" w:hAnsi="仿宋" w:eastAsia="仿宋" w:cs="宋体"/>
                <w:bCs/>
                <w:color w:val="auto"/>
                <w:sz w:val="24"/>
                <w:szCs w:val="24"/>
                <w:highlight w:val="none"/>
              </w:rPr>
              <w:t>地质灾害危险性评估、地质灾害治理工程勘查及地质灾害治理工程设计甲级资质的得</w:t>
            </w:r>
            <w:r>
              <w:rPr>
                <w:rFonts w:ascii="仿宋" w:hAnsi="仿宋" w:eastAsia="仿宋" w:cs="宋体"/>
                <w:bCs/>
                <w:color w:val="auto"/>
                <w:sz w:val="24"/>
                <w:szCs w:val="24"/>
                <w:highlight w:val="none"/>
              </w:rPr>
              <w:t>5</w:t>
            </w:r>
            <w:r>
              <w:rPr>
                <w:rFonts w:hint="eastAsia" w:ascii="仿宋" w:hAnsi="仿宋" w:eastAsia="仿宋" w:cs="宋体"/>
                <w:bCs/>
                <w:color w:val="auto"/>
                <w:sz w:val="24"/>
                <w:szCs w:val="24"/>
                <w:highlight w:val="none"/>
              </w:rPr>
              <w:t>分；具备</w:t>
            </w:r>
            <w:r>
              <w:rPr>
                <w:rFonts w:hint="eastAsia" w:ascii="仿宋" w:hAnsi="仿宋" w:eastAsia="仿宋" w:cs="宋体"/>
                <w:bCs/>
                <w:color w:val="auto"/>
                <w:sz w:val="24"/>
                <w:szCs w:val="24"/>
                <w:highlight w:val="none"/>
                <w:lang w:val="en-US" w:eastAsia="zh-CN"/>
              </w:rPr>
              <w:t>其中</w:t>
            </w:r>
            <w:r>
              <w:rPr>
                <w:rFonts w:hint="eastAsia" w:ascii="仿宋" w:hAnsi="仿宋" w:eastAsia="仿宋" w:cs="宋体"/>
                <w:bCs/>
                <w:color w:val="auto"/>
                <w:sz w:val="24"/>
                <w:szCs w:val="24"/>
                <w:highlight w:val="none"/>
              </w:rPr>
              <w:t>2个甲级</w:t>
            </w:r>
            <w:r>
              <w:rPr>
                <w:rFonts w:hint="eastAsia" w:ascii="仿宋" w:hAnsi="仿宋" w:eastAsia="仿宋" w:cs="宋体"/>
                <w:bCs/>
                <w:color w:val="auto"/>
                <w:sz w:val="24"/>
                <w:szCs w:val="24"/>
                <w:highlight w:val="none"/>
                <w:lang w:val="en-US" w:eastAsia="zh-CN"/>
              </w:rPr>
              <w:t>和</w:t>
            </w:r>
            <w:r>
              <w:rPr>
                <w:rFonts w:hint="eastAsia" w:ascii="仿宋" w:hAnsi="仿宋" w:eastAsia="仿宋" w:cs="宋体"/>
                <w:bCs/>
                <w:color w:val="auto"/>
                <w:sz w:val="24"/>
                <w:szCs w:val="24"/>
                <w:highlight w:val="none"/>
              </w:rPr>
              <w:t>1个乙级的得</w:t>
            </w:r>
            <w:r>
              <w:rPr>
                <w:rFonts w:ascii="仿宋" w:hAnsi="仿宋" w:eastAsia="仿宋" w:cs="宋体"/>
                <w:bCs/>
                <w:color w:val="auto"/>
                <w:sz w:val="24"/>
                <w:szCs w:val="24"/>
                <w:highlight w:val="none"/>
              </w:rPr>
              <w:t>3</w:t>
            </w:r>
            <w:r>
              <w:rPr>
                <w:rFonts w:hint="eastAsia" w:ascii="仿宋" w:hAnsi="仿宋" w:eastAsia="仿宋" w:cs="宋体"/>
                <w:bCs/>
                <w:color w:val="auto"/>
                <w:sz w:val="24"/>
                <w:szCs w:val="24"/>
                <w:highlight w:val="none"/>
              </w:rPr>
              <w:t>分；具备</w:t>
            </w:r>
            <w:r>
              <w:rPr>
                <w:rFonts w:hint="eastAsia" w:ascii="仿宋" w:hAnsi="仿宋" w:eastAsia="仿宋" w:cs="宋体"/>
                <w:bCs/>
                <w:color w:val="auto"/>
                <w:sz w:val="24"/>
                <w:szCs w:val="24"/>
                <w:highlight w:val="none"/>
                <w:lang w:val="en-US" w:eastAsia="zh-CN"/>
              </w:rPr>
              <w:t>其中</w:t>
            </w:r>
            <w:r>
              <w:rPr>
                <w:rFonts w:hint="eastAsia" w:ascii="仿宋" w:hAnsi="仿宋" w:eastAsia="仿宋" w:cs="宋体"/>
                <w:bCs/>
                <w:color w:val="auto"/>
                <w:sz w:val="24"/>
                <w:szCs w:val="24"/>
                <w:highlight w:val="none"/>
              </w:rPr>
              <w:t>1个甲级</w:t>
            </w:r>
            <w:r>
              <w:rPr>
                <w:rFonts w:hint="eastAsia" w:ascii="仿宋" w:hAnsi="仿宋" w:eastAsia="仿宋" w:cs="宋体"/>
                <w:bCs/>
                <w:color w:val="auto"/>
                <w:sz w:val="24"/>
                <w:szCs w:val="24"/>
                <w:highlight w:val="none"/>
                <w:lang w:val="en-US" w:eastAsia="zh-CN"/>
              </w:rPr>
              <w:t>和</w:t>
            </w:r>
            <w:r>
              <w:rPr>
                <w:rFonts w:hint="eastAsia" w:ascii="仿宋" w:hAnsi="仿宋" w:eastAsia="仿宋" w:cs="宋体"/>
                <w:bCs/>
                <w:color w:val="auto"/>
                <w:sz w:val="24"/>
                <w:szCs w:val="24"/>
                <w:highlight w:val="none"/>
              </w:rPr>
              <w:t>2个乙级的得</w:t>
            </w:r>
            <w:r>
              <w:rPr>
                <w:rFonts w:ascii="仿宋" w:hAnsi="仿宋" w:eastAsia="仿宋" w:cs="宋体"/>
                <w:bCs/>
                <w:color w:val="auto"/>
                <w:sz w:val="24"/>
                <w:szCs w:val="24"/>
                <w:highlight w:val="none"/>
              </w:rPr>
              <w:t>1</w:t>
            </w:r>
            <w:r>
              <w:rPr>
                <w:rFonts w:hint="eastAsia" w:ascii="仿宋" w:hAnsi="仿宋" w:eastAsia="仿宋" w:cs="宋体"/>
                <w:bCs/>
                <w:color w:val="auto"/>
                <w:sz w:val="24"/>
                <w:szCs w:val="24"/>
                <w:highlight w:val="none"/>
              </w:rPr>
              <w:t>分；其余不得分。（提供企业资质证书扫描件加盖公章，否则不得分）</w:t>
            </w:r>
          </w:p>
        </w:tc>
        <w:tc>
          <w:tcPr>
            <w:tcW w:w="800" w:type="dxa"/>
            <w:vAlign w:val="center"/>
          </w:tcPr>
          <w:p>
            <w:pPr>
              <w:spacing w:line="300" w:lineRule="auto"/>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40" w:type="dxa"/>
            <w:vMerge w:val="continue"/>
            <w:vAlign w:val="center"/>
          </w:tcPr>
          <w:p>
            <w:pPr>
              <w:spacing w:line="300" w:lineRule="auto"/>
              <w:jc w:val="center"/>
              <w:rPr>
                <w:rFonts w:ascii="仿宋" w:hAnsi="仿宋" w:eastAsia="仿宋" w:cs="宋体"/>
                <w:b/>
                <w:bCs/>
                <w:sz w:val="24"/>
                <w:szCs w:val="24"/>
                <w:highlight w:val="none"/>
              </w:rPr>
            </w:pPr>
          </w:p>
        </w:tc>
        <w:tc>
          <w:tcPr>
            <w:tcW w:w="1270" w:type="dxa"/>
            <w:vMerge w:val="continue"/>
            <w:vAlign w:val="center"/>
          </w:tcPr>
          <w:p>
            <w:pPr>
              <w:spacing w:line="300" w:lineRule="auto"/>
              <w:jc w:val="center"/>
              <w:rPr>
                <w:rFonts w:ascii="仿宋" w:hAnsi="仿宋" w:eastAsia="仿宋" w:cs="宋体"/>
                <w:b/>
                <w:bCs/>
                <w:sz w:val="24"/>
                <w:szCs w:val="24"/>
                <w:highlight w:val="none"/>
              </w:rPr>
            </w:pPr>
          </w:p>
        </w:tc>
        <w:tc>
          <w:tcPr>
            <w:tcW w:w="7070" w:type="dxa"/>
            <w:vAlign w:val="center"/>
          </w:tcPr>
          <w:p>
            <w:pPr>
              <w:spacing w:line="300" w:lineRule="auto"/>
              <w:rPr>
                <w:rFonts w:ascii="仿宋" w:hAnsi="仿宋" w:eastAsia="仿宋" w:cs="宋体"/>
                <w:bCs/>
                <w:sz w:val="24"/>
                <w:szCs w:val="24"/>
                <w:highlight w:val="none"/>
              </w:rPr>
            </w:pPr>
            <w:r>
              <w:rPr>
                <w:rFonts w:hint="eastAsia" w:ascii="仿宋" w:hAnsi="仿宋" w:eastAsia="仿宋" w:cs="宋体"/>
                <w:bCs/>
                <w:color w:val="auto"/>
                <w:sz w:val="24"/>
                <w:szCs w:val="24"/>
                <w:highlight w:val="none"/>
                <w:lang w:val="en-US" w:eastAsia="zh-CN"/>
              </w:rPr>
              <w:t>1.4</w:t>
            </w:r>
            <w:r>
              <w:rPr>
                <w:rFonts w:hint="eastAsia" w:ascii="仿宋" w:hAnsi="仿宋" w:eastAsia="仿宋" w:cs="宋体"/>
                <w:bCs/>
                <w:color w:val="auto"/>
                <w:sz w:val="24"/>
                <w:szCs w:val="24"/>
                <w:highlight w:val="none"/>
              </w:rPr>
              <w:t>投标人或项目组成员中有获得地质灾害防治优秀成果的(论文、科学技术奖或发明专利)，省部级及以上得3分，市厅级得2分，市厅级以下得1分，没有不得分。（注：以最高成果为准计取得分。商务技术文件中需提供相关证明材料复印件并加盖投标人公章，否则不得分。）</w:t>
            </w:r>
          </w:p>
        </w:tc>
        <w:tc>
          <w:tcPr>
            <w:tcW w:w="80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40" w:type="dxa"/>
            <w:vMerge w:val="continue"/>
            <w:vAlign w:val="center"/>
          </w:tcPr>
          <w:p>
            <w:pPr>
              <w:spacing w:line="300" w:lineRule="auto"/>
              <w:jc w:val="center"/>
              <w:rPr>
                <w:rFonts w:ascii="仿宋" w:hAnsi="仿宋" w:eastAsia="仿宋" w:cs="宋体"/>
                <w:b/>
                <w:bCs/>
                <w:sz w:val="24"/>
                <w:szCs w:val="24"/>
                <w:highlight w:val="none"/>
              </w:rPr>
            </w:pPr>
          </w:p>
        </w:tc>
        <w:tc>
          <w:tcPr>
            <w:tcW w:w="1270" w:type="dxa"/>
            <w:vMerge w:val="continue"/>
            <w:vAlign w:val="center"/>
          </w:tcPr>
          <w:p>
            <w:pPr>
              <w:spacing w:line="300" w:lineRule="auto"/>
              <w:jc w:val="center"/>
              <w:rPr>
                <w:rFonts w:ascii="仿宋" w:hAnsi="仿宋" w:eastAsia="仿宋" w:cs="宋体"/>
                <w:b/>
                <w:bCs/>
                <w:sz w:val="24"/>
                <w:szCs w:val="24"/>
                <w:highlight w:val="none"/>
              </w:rPr>
            </w:pPr>
          </w:p>
        </w:tc>
        <w:tc>
          <w:tcPr>
            <w:tcW w:w="7070" w:type="dxa"/>
            <w:vAlign w:val="center"/>
          </w:tcPr>
          <w:p>
            <w:pPr>
              <w:spacing w:line="300" w:lineRule="auto"/>
              <w:rPr>
                <w:rFonts w:ascii="仿宋" w:hAnsi="仿宋" w:eastAsia="仿宋"/>
                <w:bCs/>
                <w:sz w:val="24"/>
                <w:szCs w:val="24"/>
                <w:highlight w:val="none"/>
                <w:shd w:val="clear" w:color="auto" w:fill="FFFFFF"/>
              </w:rPr>
            </w:pPr>
            <w:r>
              <w:rPr>
                <w:rFonts w:hint="eastAsia" w:ascii="仿宋" w:hAnsi="仿宋" w:eastAsia="仿宋" w:cs="宋体"/>
                <w:bCs/>
                <w:color w:val="auto"/>
                <w:sz w:val="24"/>
                <w:szCs w:val="24"/>
                <w:highlight w:val="none"/>
                <w:lang w:val="en-US" w:eastAsia="zh-CN"/>
              </w:rPr>
              <w:t>1.5</w:t>
            </w:r>
            <w:r>
              <w:rPr>
                <w:rFonts w:hint="eastAsia" w:ascii="仿宋" w:hAnsi="仿宋" w:eastAsia="仿宋" w:cs="宋体"/>
                <w:bCs/>
                <w:color w:val="auto"/>
                <w:sz w:val="24"/>
                <w:szCs w:val="24"/>
                <w:highlight w:val="none"/>
              </w:rPr>
              <w:t>投标人地质灾害调查与评价类项目获得省部级及以上奖项的得3分，省部级以下奖项的得2分，没有不得分。（注：以最高奖项为准计取得分。商务技术文件中需提供相关证明材料复印件并加盖投标人公章，否则不得分。）</w:t>
            </w:r>
          </w:p>
        </w:tc>
        <w:tc>
          <w:tcPr>
            <w:tcW w:w="80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84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2</w:t>
            </w:r>
          </w:p>
        </w:tc>
        <w:tc>
          <w:tcPr>
            <w:tcW w:w="1270" w:type="dxa"/>
            <w:vAlign w:val="center"/>
          </w:tcPr>
          <w:p>
            <w:pPr>
              <w:spacing w:line="300" w:lineRule="auto"/>
              <w:jc w:val="center"/>
              <w:rPr>
                <w:rFonts w:ascii="仿宋" w:hAnsi="仿宋" w:eastAsia="仿宋" w:cs="宋体"/>
                <w:b/>
                <w:sz w:val="24"/>
                <w:szCs w:val="24"/>
                <w:highlight w:val="none"/>
              </w:rPr>
            </w:pPr>
            <w:r>
              <w:rPr>
                <w:rFonts w:ascii="仿宋" w:hAnsi="仿宋" w:eastAsia="仿宋" w:cs="宋体"/>
                <w:b/>
                <w:color w:val="auto"/>
                <w:sz w:val="24"/>
                <w:szCs w:val="24"/>
                <w:highlight w:val="none"/>
              </w:rPr>
              <w:t>项目</w:t>
            </w:r>
          </w:p>
          <w:p>
            <w:pPr>
              <w:spacing w:line="300" w:lineRule="auto"/>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业绩</w:t>
            </w:r>
          </w:p>
          <w:p>
            <w:pPr>
              <w:spacing w:line="300" w:lineRule="auto"/>
              <w:jc w:val="center"/>
              <w:rPr>
                <w:rFonts w:ascii="仿宋" w:hAnsi="仿宋" w:eastAsia="仿宋" w:cs="宋体"/>
                <w:b/>
                <w:sz w:val="24"/>
                <w:szCs w:val="24"/>
                <w:highlight w:val="none"/>
              </w:rPr>
            </w:pPr>
            <w:r>
              <w:rPr>
                <w:rFonts w:hint="eastAsia" w:ascii="仿宋" w:hAnsi="仿宋" w:eastAsia="仿宋" w:cs="宋体"/>
                <w:b/>
                <w:color w:val="auto"/>
                <w:sz w:val="24"/>
                <w:szCs w:val="24"/>
                <w:highlight w:val="none"/>
              </w:rPr>
              <w:t>（2分）</w:t>
            </w:r>
          </w:p>
        </w:tc>
        <w:tc>
          <w:tcPr>
            <w:tcW w:w="7070" w:type="dxa"/>
            <w:vAlign w:val="center"/>
          </w:tcPr>
          <w:p>
            <w:pPr>
              <w:spacing w:line="300" w:lineRule="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投标人自2020年1月1日以来（以合同签订时间为准），承担过乡镇（街道）地质灾害风险调查评价或县（市、区）地质灾害风险普查项目的，每提供1个项目业绩得0.5分，最高得2分。</w:t>
            </w:r>
          </w:p>
          <w:p>
            <w:pPr>
              <w:spacing w:line="300" w:lineRule="auto"/>
              <w:rPr>
                <w:rFonts w:ascii="仿宋" w:hAnsi="仿宋" w:eastAsia="仿宋" w:cs="宋体"/>
                <w:sz w:val="24"/>
                <w:szCs w:val="24"/>
                <w:highlight w:val="none"/>
              </w:rPr>
            </w:pPr>
            <w:r>
              <w:rPr>
                <w:rFonts w:hint="eastAsia" w:ascii="仿宋" w:hAnsi="仿宋" w:eastAsia="仿宋" w:cs="宋体"/>
                <w:bCs/>
                <w:color w:val="auto"/>
                <w:sz w:val="24"/>
                <w:szCs w:val="24"/>
                <w:highlight w:val="none"/>
              </w:rPr>
              <w:t>（注：商务技术文件中需提供合同复印件以及政府招投标官网（政府采购网或公共资源交易网）中标（成交）公告网页截图并加盖投标人公章，否则不得分；时间认定以合同签订时间为准。）</w:t>
            </w:r>
          </w:p>
        </w:tc>
        <w:tc>
          <w:tcPr>
            <w:tcW w:w="80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40" w:type="dxa"/>
            <w:vMerge w:val="restart"/>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3</w:t>
            </w:r>
          </w:p>
        </w:tc>
        <w:tc>
          <w:tcPr>
            <w:tcW w:w="1270" w:type="dxa"/>
            <w:vMerge w:val="restart"/>
            <w:vAlign w:val="center"/>
          </w:tcPr>
          <w:p>
            <w:pPr>
              <w:spacing w:line="300" w:lineRule="auto"/>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拟派项目组人员</w:t>
            </w:r>
          </w:p>
          <w:p>
            <w:pPr>
              <w:spacing w:line="300" w:lineRule="auto"/>
              <w:jc w:val="center"/>
              <w:rPr>
                <w:rFonts w:ascii="仿宋" w:hAnsi="仿宋" w:eastAsia="仿宋" w:cs="宋体"/>
                <w:b/>
                <w:sz w:val="24"/>
                <w:szCs w:val="24"/>
                <w:highlight w:val="none"/>
              </w:rPr>
            </w:pPr>
            <w:r>
              <w:rPr>
                <w:rFonts w:hint="eastAsia" w:ascii="仿宋" w:hAnsi="仿宋" w:eastAsia="仿宋" w:cs="宋体"/>
                <w:b/>
                <w:color w:val="auto"/>
                <w:sz w:val="24"/>
                <w:szCs w:val="24"/>
                <w:highlight w:val="none"/>
              </w:rPr>
              <w:t>（1</w:t>
            </w:r>
            <w:r>
              <w:rPr>
                <w:rFonts w:ascii="仿宋" w:hAnsi="仿宋" w:eastAsia="仿宋" w:cs="宋体"/>
                <w:b/>
                <w:color w:val="auto"/>
                <w:sz w:val="24"/>
                <w:szCs w:val="24"/>
                <w:highlight w:val="none"/>
              </w:rPr>
              <w:t>7</w:t>
            </w:r>
            <w:r>
              <w:rPr>
                <w:rFonts w:hint="eastAsia" w:ascii="仿宋" w:hAnsi="仿宋" w:eastAsia="仿宋" w:cs="宋体"/>
                <w:b/>
                <w:color w:val="auto"/>
                <w:sz w:val="24"/>
                <w:szCs w:val="24"/>
                <w:highlight w:val="none"/>
              </w:rPr>
              <w:t>分）</w:t>
            </w:r>
          </w:p>
        </w:tc>
        <w:tc>
          <w:tcPr>
            <w:tcW w:w="7070" w:type="dxa"/>
            <w:vAlign w:val="center"/>
          </w:tcPr>
          <w:p>
            <w:pPr>
              <w:spacing w:line="300" w:lineRule="auto"/>
              <w:rPr>
                <w:rFonts w:ascii="仿宋" w:hAnsi="仿宋" w:eastAsia="仿宋" w:cs="宋体"/>
                <w:bCs/>
                <w:sz w:val="24"/>
                <w:szCs w:val="24"/>
                <w:highlight w:val="none"/>
              </w:rPr>
            </w:pPr>
            <w:r>
              <w:rPr>
                <w:rFonts w:hint="eastAsia" w:ascii="仿宋" w:hAnsi="仿宋" w:eastAsia="仿宋" w:cs="宋体"/>
                <w:bCs/>
                <w:color w:val="auto"/>
                <w:sz w:val="24"/>
                <w:szCs w:val="24"/>
                <w:highlight w:val="none"/>
                <w:lang w:val="en-US" w:eastAsia="zh-CN"/>
              </w:rPr>
              <w:t>3.1</w:t>
            </w:r>
            <w:r>
              <w:rPr>
                <w:rFonts w:hint="eastAsia" w:ascii="仿宋" w:hAnsi="仿宋" w:eastAsia="仿宋" w:cs="宋体"/>
                <w:bCs/>
                <w:color w:val="auto"/>
                <w:sz w:val="24"/>
                <w:szCs w:val="24"/>
                <w:highlight w:val="none"/>
              </w:rPr>
              <w:t>项目负责人：具有水工环或地质专业高级及以上职称的得4分，其余不得分。（注：需提供人员相关证书复印件以及投标人为其缴纳的近3个月社保证明并加盖投标人公章，不提供或提供不全不得分。）</w:t>
            </w:r>
          </w:p>
        </w:tc>
        <w:tc>
          <w:tcPr>
            <w:tcW w:w="800" w:type="dxa"/>
            <w:vAlign w:val="center"/>
          </w:tcPr>
          <w:p>
            <w:pPr>
              <w:spacing w:line="300" w:lineRule="auto"/>
              <w:jc w:val="center"/>
              <w:rPr>
                <w:rFonts w:ascii="仿宋" w:hAnsi="仿宋" w:eastAsia="仿宋" w:cs="宋体"/>
                <w:b/>
                <w:bCs/>
                <w:sz w:val="24"/>
                <w:szCs w:val="24"/>
                <w:highlight w:val="none"/>
              </w:rPr>
            </w:pPr>
            <w:r>
              <w:rPr>
                <w:rFonts w:ascii="仿宋" w:hAnsi="仿宋" w:eastAsia="仿宋" w:cs="宋体"/>
                <w:b/>
                <w:bCs/>
                <w:color w:val="auto"/>
                <w:sz w:val="24"/>
                <w:szCs w:val="24"/>
                <w:highlight w:val="none"/>
              </w:rPr>
              <w:t>4</w:t>
            </w:r>
            <w:r>
              <w:rPr>
                <w:rFonts w:hint="eastAsia" w:ascii="仿宋" w:hAnsi="仿宋" w:eastAsia="仿宋" w:cs="宋体"/>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0" w:type="dxa"/>
            <w:vMerge w:val="continue"/>
            <w:vAlign w:val="center"/>
          </w:tcPr>
          <w:p>
            <w:pPr>
              <w:spacing w:line="300" w:lineRule="auto"/>
              <w:jc w:val="center"/>
              <w:rPr>
                <w:rFonts w:ascii="仿宋" w:hAnsi="仿宋" w:eastAsia="仿宋" w:cs="宋体"/>
                <w:b/>
                <w:bCs/>
                <w:sz w:val="24"/>
                <w:szCs w:val="24"/>
                <w:highlight w:val="none"/>
              </w:rPr>
            </w:pPr>
          </w:p>
        </w:tc>
        <w:tc>
          <w:tcPr>
            <w:tcW w:w="1270" w:type="dxa"/>
            <w:vMerge w:val="continue"/>
            <w:vAlign w:val="center"/>
          </w:tcPr>
          <w:p>
            <w:pPr>
              <w:spacing w:line="300" w:lineRule="auto"/>
              <w:jc w:val="center"/>
              <w:rPr>
                <w:rFonts w:ascii="仿宋" w:hAnsi="仿宋" w:eastAsia="仿宋" w:cs="宋体"/>
                <w:b/>
                <w:sz w:val="24"/>
                <w:szCs w:val="24"/>
                <w:highlight w:val="none"/>
              </w:rPr>
            </w:pPr>
          </w:p>
        </w:tc>
        <w:tc>
          <w:tcPr>
            <w:tcW w:w="7070" w:type="dxa"/>
            <w:vAlign w:val="center"/>
          </w:tcPr>
          <w:p>
            <w:pPr>
              <w:spacing w:line="300" w:lineRule="auto"/>
              <w:rPr>
                <w:rFonts w:ascii="仿宋" w:hAnsi="仿宋" w:eastAsia="仿宋" w:cs="宋体"/>
                <w:bCs/>
                <w:sz w:val="24"/>
                <w:szCs w:val="24"/>
                <w:highlight w:val="none"/>
              </w:rPr>
            </w:pPr>
            <w:r>
              <w:rPr>
                <w:rFonts w:hint="eastAsia" w:ascii="仿宋" w:hAnsi="仿宋" w:eastAsia="仿宋" w:cs="宋体"/>
                <w:bCs/>
                <w:color w:val="auto"/>
                <w:sz w:val="24"/>
                <w:szCs w:val="24"/>
                <w:highlight w:val="none"/>
                <w:lang w:val="en-US" w:eastAsia="zh-CN"/>
              </w:rPr>
              <w:t>3.2</w:t>
            </w:r>
            <w:r>
              <w:rPr>
                <w:rFonts w:hint="eastAsia" w:ascii="仿宋" w:hAnsi="仿宋" w:eastAsia="仿宋" w:cs="宋体"/>
                <w:bCs/>
                <w:color w:val="auto"/>
                <w:sz w:val="24"/>
                <w:szCs w:val="24"/>
                <w:highlight w:val="none"/>
              </w:rPr>
              <w:t>项目技术负责人：具有水工环或地质专业高级及以上职称的得3分，其余不得分。（注：需提供人员相关证书复印件以及投标人为其缴纳的近3个月社保证明并加盖投标人公章，不提供或提供不全不得分。）</w:t>
            </w:r>
          </w:p>
        </w:tc>
        <w:tc>
          <w:tcPr>
            <w:tcW w:w="80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0" w:type="dxa"/>
            <w:vMerge w:val="continue"/>
            <w:vAlign w:val="center"/>
          </w:tcPr>
          <w:p>
            <w:pPr>
              <w:spacing w:line="300" w:lineRule="auto"/>
              <w:jc w:val="center"/>
              <w:rPr>
                <w:rFonts w:ascii="仿宋" w:hAnsi="仿宋" w:eastAsia="仿宋" w:cs="宋体"/>
                <w:b/>
                <w:bCs/>
                <w:sz w:val="24"/>
                <w:szCs w:val="24"/>
                <w:highlight w:val="none"/>
              </w:rPr>
            </w:pPr>
          </w:p>
        </w:tc>
        <w:tc>
          <w:tcPr>
            <w:tcW w:w="1270" w:type="dxa"/>
            <w:vMerge w:val="continue"/>
            <w:vAlign w:val="center"/>
          </w:tcPr>
          <w:p>
            <w:pPr>
              <w:spacing w:line="300" w:lineRule="auto"/>
              <w:jc w:val="center"/>
              <w:rPr>
                <w:rFonts w:ascii="仿宋" w:hAnsi="仿宋" w:eastAsia="仿宋" w:cs="宋体"/>
                <w:b/>
                <w:sz w:val="24"/>
                <w:szCs w:val="24"/>
                <w:highlight w:val="none"/>
              </w:rPr>
            </w:pPr>
          </w:p>
        </w:tc>
        <w:tc>
          <w:tcPr>
            <w:tcW w:w="7070" w:type="dxa"/>
            <w:vAlign w:val="center"/>
          </w:tcPr>
          <w:p>
            <w:pPr>
              <w:spacing w:line="300" w:lineRule="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lang w:val="en-US" w:eastAsia="zh-CN"/>
              </w:rPr>
              <w:t>3.3</w:t>
            </w:r>
            <w:r>
              <w:rPr>
                <w:rFonts w:hint="eastAsia" w:ascii="仿宋" w:hAnsi="仿宋" w:eastAsia="仿宋" w:cs="宋体"/>
                <w:bCs/>
                <w:color w:val="auto"/>
                <w:sz w:val="24"/>
                <w:szCs w:val="24"/>
                <w:highlight w:val="none"/>
              </w:rPr>
              <w:t>项目组其他成员（项目负责人及项目技术负责人除外）：</w:t>
            </w:r>
          </w:p>
          <w:p>
            <w:pPr>
              <w:spacing w:line="300" w:lineRule="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①具有地质、水工环地质、测绘、岩土工程等相关专业中级及以上职称证书（或具有相应执业资格证书），专业齐全的得5分，每少一类扣2分。</w:t>
            </w:r>
          </w:p>
          <w:p>
            <w:pPr>
              <w:spacing w:line="300" w:lineRule="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②人数在10人以上，每增加1人得1分，最高得5分；10人以下（含10人）该项不得分。</w:t>
            </w:r>
          </w:p>
          <w:p>
            <w:pPr>
              <w:spacing w:line="300" w:lineRule="auto"/>
              <w:rPr>
                <w:rFonts w:ascii="仿宋" w:hAnsi="仿宋" w:eastAsia="仿宋" w:cs="宋体"/>
                <w:bCs/>
                <w:sz w:val="24"/>
                <w:szCs w:val="24"/>
                <w:highlight w:val="none"/>
              </w:rPr>
            </w:pPr>
            <w:r>
              <w:rPr>
                <w:rFonts w:hint="eastAsia" w:ascii="仿宋" w:hAnsi="仿宋" w:eastAsia="仿宋" w:cs="宋体"/>
                <w:bCs/>
                <w:color w:val="auto"/>
                <w:sz w:val="24"/>
                <w:szCs w:val="24"/>
                <w:highlight w:val="none"/>
              </w:rPr>
              <w:t>（注：同一人员只计一次分，不得重复计分；商务技术文件中需提供人员相关证书复印件以及投标人为其缴纳的近3个月社保证明并加盖投标人公章，不提供或提供不全不得分。）</w:t>
            </w:r>
          </w:p>
        </w:tc>
        <w:tc>
          <w:tcPr>
            <w:tcW w:w="80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4</w:t>
            </w:r>
          </w:p>
        </w:tc>
        <w:tc>
          <w:tcPr>
            <w:tcW w:w="1270" w:type="dxa"/>
            <w:vAlign w:val="center"/>
          </w:tcPr>
          <w:p>
            <w:pPr>
              <w:spacing w:line="300" w:lineRule="auto"/>
              <w:jc w:val="center"/>
              <w:rPr>
                <w:rFonts w:ascii="仿宋" w:hAnsi="仿宋" w:eastAsia="仿宋" w:cs="宋体"/>
                <w:b/>
                <w:sz w:val="24"/>
                <w:szCs w:val="24"/>
                <w:highlight w:val="none"/>
              </w:rPr>
            </w:pPr>
            <w:r>
              <w:rPr>
                <w:rFonts w:ascii="仿宋" w:hAnsi="仿宋" w:eastAsia="仿宋" w:cs="宋体"/>
                <w:b/>
                <w:color w:val="auto"/>
                <w:sz w:val="24"/>
                <w:szCs w:val="24"/>
                <w:highlight w:val="none"/>
              </w:rPr>
              <w:t>项目背景及现状了解</w:t>
            </w:r>
            <w:r>
              <w:rPr>
                <w:rFonts w:hint="eastAsia" w:ascii="仿宋" w:hAnsi="仿宋" w:eastAsia="仿宋" w:cs="宋体"/>
                <w:b/>
                <w:color w:val="auto"/>
                <w:sz w:val="24"/>
                <w:szCs w:val="24"/>
                <w:highlight w:val="none"/>
              </w:rPr>
              <w:t>（6分）</w:t>
            </w:r>
          </w:p>
        </w:tc>
        <w:tc>
          <w:tcPr>
            <w:tcW w:w="7070" w:type="dxa"/>
            <w:vAlign w:val="center"/>
          </w:tcPr>
          <w:p>
            <w:pPr>
              <w:spacing w:line="300" w:lineRule="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根据投标人对余杭区地质环境条件、地质灾害发育特征与分布规律等内容的阐述进行综合评价。（阐述详尽、针对性强且合理的得</w:t>
            </w:r>
            <w:r>
              <w:rPr>
                <w:rFonts w:hint="eastAsia" w:ascii="仿宋" w:hAnsi="仿宋" w:eastAsia="仿宋" w:cs="宋体"/>
                <w:bCs/>
                <w:color w:val="auto"/>
                <w:sz w:val="24"/>
                <w:szCs w:val="24"/>
                <w:highlight w:val="none"/>
                <w:lang w:val="en-US" w:eastAsia="zh-CN"/>
              </w:rPr>
              <w:t>5-6</w:t>
            </w:r>
            <w:r>
              <w:rPr>
                <w:rFonts w:hint="eastAsia" w:ascii="仿宋" w:hAnsi="仿宋" w:eastAsia="仿宋" w:cs="宋体"/>
                <w:bCs/>
                <w:color w:val="auto"/>
                <w:sz w:val="24"/>
                <w:szCs w:val="24"/>
                <w:highlight w:val="none"/>
              </w:rPr>
              <w:t>分；阐述较详尽、合理，较具有针对性的得</w:t>
            </w:r>
            <w:r>
              <w:rPr>
                <w:rFonts w:hint="eastAsia" w:ascii="仿宋" w:hAnsi="仿宋" w:eastAsia="仿宋" w:cs="宋体"/>
                <w:bCs/>
                <w:color w:val="auto"/>
                <w:sz w:val="24"/>
                <w:szCs w:val="24"/>
                <w:highlight w:val="none"/>
                <w:lang w:val="en-US" w:eastAsia="zh-CN"/>
              </w:rPr>
              <w:t>3-4</w:t>
            </w:r>
            <w:r>
              <w:rPr>
                <w:rFonts w:hint="eastAsia" w:ascii="仿宋" w:hAnsi="仿宋" w:eastAsia="仿宋" w:cs="宋体"/>
                <w:bCs/>
                <w:color w:val="auto"/>
                <w:sz w:val="24"/>
                <w:szCs w:val="24"/>
                <w:highlight w:val="none"/>
              </w:rPr>
              <w:t>分；阐述粗略、缺陷较多，欠缺合理性的得</w:t>
            </w:r>
            <w:r>
              <w:rPr>
                <w:rFonts w:hint="eastAsia" w:ascii="仿宋" w:hAnsi="仿宋" w:eastAsia="仿宋" w:cs="宋体"/>
                <w:bCs/>
                <w:color w:val="auto"/>
                <w:sz w:val="24"/>
                <w:szCs w:val="24"/>
                <w:highlight w:val="none"/>
                <w:lang w:val="en-US" w:eastAsia="zh-CN"/>
              </w:rPr>
              <w:t>1-2</w:t>
            </w:r>
            <w:r>
              <w:rPr>
                <w:rFonts w:hint="eastAsia" w:ascii="仿宋" w:hAnsi="仿宋" w:eastAsia="仿宋" w:cs="宋体"/>
                <w:bCs/>
                <w:color w:val="auto"/>
                <w:sz w:val="24"/>
                <w:szCs w:val="24"/>
                <w:highlight w:val="none"/>
              </w:rPr>
              <w:t>分；未提供或不符合的不得分。）</w:t>
            </w:r>
          </w:p>
        </w:tc>
        <w:tc>
          <w:tcPr>
            <w:tcW w:w="80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4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5</w:t>
            </w:r>
          </w:p>
        </w:tc>
        <w:tc>
          <w:tcPr>
            <w:tcW w:w="1270" w:type="dxa"/>
            <w:vAlign w:val="center"/>
          </w:tcPr>
          <w:p>
            <w:pPr>
              <w:spacing w:line="300" w:lineRule="auto"/>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项目重难点分析</w:t>
            </w:r>
          </w:p>
          <w:p>
            <w:pPr>
              <w:spacing w:line="300" w:lineRule="auto"/>
              <w:jc w:val="center"/>
              <w:rPr>
                <w:rFonts w:ascii="仿宋" w:hAnsi="仿宋" w:eastAsia="仿宋" w:cs="宋体"/>
                <w:b/>
                <w:sz w:val="24"/>
                <w:szCs w:val="24"/>
                <w:highlight w:val="none"/>
              </w:rPr>
            </w:pPr>
            <w:r>
              <w:rPr>
                <w:rFonts w:hint="eastAsia" w:ascii="仿宋" w:hAnsi="仿宋" w:eastAsia="仿宋" w:cs="宋体"/>
                <w:b/>
                <w:color w:val="auto"/>
                <w:sz w:val="24"/>
                <w:szCs w:val="24"/>
                <w:highlight w:val="none"/>
              </w:rPr>
              <w:t>（5分）</w:t>
            </w:r>
          </w:p>
        </w:tc>
        <w:tc>
          <w:tcPr>
            <w:tcW w:w="7070" w:type="dxa"/>
            <w:vAlign w:val="center"/>
          </w:tcPr>
          <w:p>
            <w:pPr>
              <w:spacing w:line="300" w:lineRule="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根据投标人结合项目需求及自身经验对本项目的重难点、关键性技术难题和应对措施的分析阐述进行综合评价。（阐述详尽、准确且合理可行的得</w:t>
            </w:r>
            <w:r>
              <w:rPr>
                <w:rFonts w:hint="eastAsia" w:ascii="仿宋" w:hAnsi="仿宋" w:eastAsia="仿宋" w:cs="宋体"/>
                <w:bCs/>
                <w:color w:val="auto"/>
                <w:sz w:val="24"/>
                <w:szCs w:val="24"/>
                <w:highlight w:val="none"/>
                <w:lang w:val="en-US" w:eastAsia="zh-CN"/>
              </w:rPr>
              <w:t>4-5</w:t>
            </w:r>
            <w:r>
              <w:rPr>
                <w:rFonts w:hint="eastAsia" w:ascii="仿宋" w:hAnsi="仿宋" w:eastAsia="仿宋" w:cs="宋体"/>
                <w:bCs/>
                <w:color w:val="auto"/>
                <w:sz w:val="24"/>
                <w:szCs w:val="24"/>
                <w:highlight w:val="none"/>
              </w:rPr>
              <w:t>分；阐述较详尽、准确且较合理可行的得</w:t>
            </w:r>
            <w:r>
              <w:rPr>
                <w:rFonts w:hint="eastAsia" w:ascii="仿宋" w:hAnsi="仿宋" w:eastAsia="仿宋" w:cs="宋体"/>
                <w:bCs/>
                <w:color w:val="auto"/>
                <w:sz w:val="24"/>
                <w:szCs w:val="24"/>
                <w:highlight w:val="none"/>
                <w:lang w:val="en-US" w:eastAsia="zh-CN"/>
              </w:rPr>
              <w:t>2-3</w:t>
            </w:r>
            <w:r>
              <w:rPr>
                <w:rFonts w:hint="eastAsia" w:ascii="仿宋" w:hAnsi="仿宋" w:eastAsia="仿宋" w:cs="宋体"/>
                <w:bCs/>
                <w:color w:val="auto"/>
                <w:sz w:val="24"/>
                <w:szCs w:val="24"/>
                <w:highlight w:val="none"/>
              </w:rPr>
              <w:t>分；阐述粗略、缺陷较多，合理性、可行性欠缺的得</w:t>
            </w:r>
            <w:r>
              <w:rPr>
                <w:rFonts w:hint="eastAsia" w:ascii="仿宋" w:hAnsi="仿宋" w:eastAsia="仿宋" w:cs="宋体"/>
                <w:bCs/>
                <w:color w:val="auto"/>
                <w:sz w:val="24"/>
                <w:szCs w:val="24"/>
                <w:highlight w:val="none"/>
                <w:lang w:val="en-US" w:eastAsia="zh-CN"/>
              </w:rPr>
              <w:t>0-1</w:t>
            </w:r>
            <w:r>
              <w:rPr>
                <w:rFonts w:hint="eastAsia" w:ascii="仿宋" w:hAnsi="仿宋" w:eastAsia="仿宋" w:cs="宋体"/>
                <w:bCs/>
                <w:color w:val="auto"/>
                <w:sz w:val="24"/>
                <w:szCs w:val="24"/>
                <w:highlight w:val="none"/>
              </w:rPr>
              <w:t>分；未提供或不符合的不得分。）</w:t>
            </w:r>
          </w:p>
        </w:tc>
        <w:tc>
          <w:tcPr>
            <w:tcW w:w="80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40" w:type="dxa"/>
            <w:vMerge w:val="restart"/>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6</w:t>
            </w:r>
          </w:p>
        </w:tc>
        <w:tc>
          <w:tcPr>
            <w:tcW w:w="1270" w:type="dxa"/>
            <w:vMerge w:val="restart"/>
            <w:vAlign w:val="center"/>
          </w:tcPr>
          <w:p>
            <w:pPr>
              <w:spacing w:line="300" w:lineRule="auto"/>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项目实施方案</w:t>
            </w:r>
          </w:p>
          <w:p>
            <w:pPr>
              <w:spacing w:line="300" w:lineRule="auto"/>
              <w:jc w:val="center"/>
              <w:rPr>
                <w:rFonts w:ascii="仿宋" w:hAnsi="仿宋" w:eastAsia="仿宋" w:cs="宋体"/>
                <w:b/>
                <w:sz w:val="24"/>
                <w:szCs w:val="24"/>
                <w:highlight w:val="none"/>
              </w:rPr>
            </w:pPr>
            <w:r>
              <w:rPr>
                <w:rFonts w:hint="eastAsia" w:ascii="仿宋" w:hAnsi="仿宋" w:eastAsia="仿宋" w:cs="宋体"/>
                <w:b/>
                <w:color w:val="auto"/>
                <w:sz w:val="24"/>
                <w:szCs w:val="24"/>
                <w:highlight w:val="none"/>
              </w:rPr>
              <w:t>（2</w:t>
            </w:r>
            <w:r>
              <w:rPr>
                <w:rFonts w:ascii="仿宋" w:hAnsi="仿宋" w:eastAsia="仿宋" w:cs="宋体"/>
                <w:b/>
                <w:color w:val="auto"/>
                <w:sz w:val="24"/>
                <w:szCs w:val="24"/>
                <w:highlight w:val="none"/>
              </w:rPr>
              <w:t>9</w:t>
            </w:r>
            <w:r>
              <w:rPr>
                <w:rFonts w:hint="eastAsia" w:ascii="仿宋" w:hAnsi="仿宋" w:eastAsia="仿宋" w:cs="宋体"/>
                <w:b/>
                <w:color w:val="auto"/>
                <w:sz w:val="24"/>
                <w:szCs w:val="24"/>
                <w:highlight w:val="none"/>
              </w:rPr>
              <w:t>分）</w:t>
            </w:r>
          </w:p>
        </w:tc>
        <w:tc>
          <w:tcPr>
            <w:tcW w:w="7070" w:type="dxa"/>
            <w:vAlign w:val="center"/>
          </w:tcPr>
          <w:p>
            <w:pPr>
              <w:spacing w:line="300" w:lineRule="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总体工作技术方案：根据投标人对本项目的整体工作阶段及任务划分、技术路线、工作方式方法等是否详细明确、合理可行，由评委进行综合评价。（详尽、准确且合理可行的得</w:t>
            </w:r>
            <w:r>
              <w:rPr>
                <w:rFonts w:hint="eastAsia" w:ascii="仿宋" w:hAnsi="仿宋" w:eastAsia="仿宋" w:cs="宋体"/>
                <w:bCs/>
                <w:color w:val="auto"/>
                <w:sz w:val="24"/>
                <w:szCs w:val="24"/>
                <w:highlight w:val="none"/>
                <w:lang w:val="en-US" w:eastAsia="zh-CN"/>
              </w:rPr>
              <w:t>5-6</w:t>
            </w:r>
            <w:r>
              <w:rPr>
                <w:rFonts w:hint="eastAsia" w:ascii="仿宋" w:hAnsi="仿宋" w:eastAsia="仿宋" w:cs="宋体"/>
                <w:bCs/>
                <w:color w:val="auto"/>
                <w:sz w:val="24"/>
                <w:szCs w:val="24"/>
                <w:highlight w:val="none"/>
              </w:rPr>
              <w:t>分；较详尽、准确且较合理可行的得</w:t>
            </w:r>
            <w:r>
              <w:rPr>
                <w:rFonts w:hint="eastAsia" w:ascii="仿宋" w:hAnsi="仿宋" w:eastAsia="仿宋" w:cs="宋体"/>
                <w:bCs/>
                <w:color w:val="auto"/>
                <w:sz w:val="24"/>
                <w:szCs w:val="24"/>
                <w:highlight w:val="none"/>
                <w:lang w:val="en-US" w:eastAsia="zh-CN"/>
              </w:rPr>
              <w:t>3-4</w:t>
            </w:r>
            <w:r>
              <w:rPr>
                <w:rFonts w:hint="eastAsia" w:ascii="仿宋" w:hAnsi="仿宋" w:eastAsia="仿宋" w:cs="宋体"/>
                <w:bCs/>
                <w:color w:val="auto"/>
                <w:sz w:val="24"/>
                <w:szCs w:val="24"/>
                <w:highlight w:val="none"/>
              </w:rPr>
              <w:t>分；粗略、缺陷较多，部分合理可行的得</w:t>
            </w:r>
            <w:r>
              <w:rPr>
                <w:rFonts w:hint="eastAsia" w:ascii="仿宋" w:hAnsi="仿宋" w:eastAsia="仿宋" w:cs="宋体"/>
                <w:bCs/>
                <w:color w:val="auto"/>
                <w:sz w:val="24"/>
                <w:szCs w:val="24"/>
                <w:highlight w:val="none"/>
                <w:lang w:val="en-US" w:eastAsia="zh-CN"/>
              </w:rPr>
              <w:t>1-2</w:t>
            </w:r>
            <w:r>
              <w:rPr>
                <w:rFonts w:hint="eastAsia" w:ascii="仿宋" w:hAnsi="仿宋" w:eastAsia="仿宋" w:cs="宋体"/>
                <w:bCs/>
                <w:color w:val="auto"/>
                <w:sz w:val="24"/>
                <w:szCs w:val="24"/>
                <w:highlight w:val="none"/>
              </w:rPr>
              <w:t>分；未提供或不符合的不得分。）</w:t>
            </w:r>
          </w:p>
        </w:tc>
        <w:tc>
          <w:tcPr>
            <w:tcW w:w="80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40" w:type="dxa"/>
            <w:vMerge w:val="continue"/>
            <w:vAlign w:val="center"/>
          </w:tcPr>
          <w:p>
            <w:pPr>
              <w:spacing w:line="300" w:lineRule="auto"/>
              <w:jc w:val="center"/>
              <w:rPr>
                <w:rFonts w:ascii="仿宋" w:hAnsi="仿宋" w:eastAsia="仿宋" w:cs="宋体"/>
                <w:b/>
                <w:bCs/>
                <w:sz w:val="24"/>
                <w:szCs w:val="24"/>
                <w:highlight w:val="none"/>
              </w:rPr>
            </w:pPr>
          </w:p>
        </w:tc>
        <w:tc>
          <w:tcPr>
            <w:tcW w:w="1270" w:type="dxa"/>
            <w:vMerge w:val="continue"/>
            <w:vAlign w:val="center"/>
          </w:tcPr>
          <w:p>
            <w:pPr>
              <w:spacing w:line="300" w:lineRule="auto"/>
              <w:jc w:val="center"/>
              <w:rPr>
                <w:rFonts w:ascii="仿宋" w:hAnsi="仿宋" w:eastAsia="仿宋" w:cs="宋体"/>
                <w:b/>
                <w:sz w:val="24"/>
                <w:szCs w:val="24"/>
                <w:highlight w:val="none"/>
              </w:rPr>
            </w:pPr>
          </w:p>
        </w:tc>
        <w:tc>
          <w:tcPr>
            <w:tcW w:w="7070" w:type="dxa"/>
            <w:vAlign w:val="center"/>
          </w:tcPr>
          <w:p>
            <w:pPr>
              <w:spacing w:line="300" w:lineRule="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项目进度安排：根据投标人提供的进度计划、进度控制措施是否详细明确、合理可行，由评委进行综合评价。（详尽、准确且合理可行的得</w:t>
            </w:r>
            <w:r>
              <w:rPr>
                <w:rFonts w:hint="eastAsia" w:ascii="仿宋" w:hAnsi="仿宋" w:eastAsia="仿宋" w:cs="宋体"/>
                <w:bCs/>
                <w:color w:val="auto"/>
                <w:sz w:val="24"/>
                <w:szCs w:val="24"/>
                <w:highlight w:val="none"/>
                <w:lang w:val="en-US" w:eastAsia="zh-CN"/>
              </w:rPr>
              <w:t>5-6</w:t>
            </w:r>
            <w:r>
              <w:rPr>
                <w:rFonts w:hint="eastAsia" w:ascii="仿宋" w:hAnsi="仿宋" w:eastAsia="仿宋" w:cs="宋体"/>
                <w:bCs/>
                <w:color w:val="auto"/>
                <w:sz w:val="24"/>
                <w:szCs w:val="24"/>
                <w:highlight w:val="none"/>
              </w:rPr>
              <w:t>分；较详尽、准确且较合理可行的得</w:t>
            </w:r>
            <w:r>
              <w:rPr>
                <w:rFonts w:hint="eastAsia" w:ascii="仿宋" w:hAnsi="仿宋" w:eastAsia="仿宋" w:cs="宋体"/>
                <w:bCs/>
                <w:color w:val="auto"/>
                <w:sz w:val="24"/>
                <w:szCs w:val="24"/>
                <w:highlight w:val="none"/>
                <w:lang w:val="en-US" w:eastAsia="zh-CN"/>
              </w:rPr>
              <w:t>3-4</w:t>
            </w:r>
            <w:r>
              <w:rPr>
                <w:rFonts w:hint="eastAsia" w:ascii="仿宋" w:hAnsi="仿宋" w:eastAsia="仿宋" w:cs="宋体"/>
                <w:bCs/>
                <w:color w:val="auto"/>
                <w:sz w:val="24"/>
                <w:szCs w:val="24"/>
                <w:highlight w:val="none"/>
              </w:rPr>
              <w:t>分；粗略、缺陷较多，部分合理可行的得</w:t>
            </w:r>
            <w:r>
              <w:rPr>
                <w:rFonts w:hint="eastAsia" w:ascii="仿宋" w:hAnsi="仿宋" w:eastAsia="仿宋" w:cs="宋体"/>
                <w:bCs/>
                <w:color w:val="auto"/>
                <w:sz w:val="24"/>
                <w:szCs w:val="24"/>
                <w:highlight w:val="none"/>
                <w:lang w:val="en-US" w:eastAsia="zh-CN"/>
              </w:rPr>
              <w:t>1-2</w:t>
            </w:r>
            <w:r>
              <w:rPr>
                <w:rFonts w:hint="eastAsia" w:ascii="仿宋" w:hAnsi="仿宋" w:eastAsia="仿宋" w:cs="宋体"/>
                <w:bCs/>
                <w:color w:val="auto"/>
                <w:sz w:val="24"/>
                <w:szCs w:val="24"/>
                <w:highlight w:val="none"/>
              </w:rPr>
              <w:t>分；未提供或不符合的不得分。）</w:t>
            </w:r>
          </w:p>
        </w:tc>
        <w:tc>
          <w:tcPr>
            <w:tcW w:w="80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40" w:type="dxa"/>
            <w:vMerge w:val="continue"/>
            <w:vAlign w:val="center"/>
          </w:tcPr>
          <w:p>
            <w:pPr>
              <w:spacing w:line="300" w:lineRule="auto"/>
              <w:jc w:val="center"/>
              <w:rPr>
                <w:rFonts w:ascii="仿宋" w:hAnsi="仿宋" w:eastAsia="仿宋" w:cs="宋体"/>
                <w:b/>
                <w:bCs/>
                <w:sz w:val="24"/>
                <w:szCs w:val="24"/>
                <w:highlight w:val="none"/>
              </w:rPr>
            </w:pPr>
          </w:p>
        </w:tc>
        <w:tc>
          <w:tcPr>
            <w:tcW w:w="1270" w:type="dxa"/>
            <w:vMerge w:val="continue"/>
            <w:vAlign w:val="center"/>
          </w:tcPr>
          <w:p>
            <w:pPr>
              <w:spacing w:line="300" w:lineRule="auto"/>
              <w:jc w:val="center"/>
              <w:rPr>
                <w:rFonts w:ascii="仿宋" w:hAnsi="仿宋" w:eastAsia="仿宋" w:cs="宋体"/>
                <w:b/>
                <w:sz w:val="24"/>
                <w:szCs w:val="24"/>
                <w:highlight w:val="none"/>
              </w:rPr>
            </w:pPr>
          </w:p>
        </w:tc>
        <w:tc>
          <w:tcPr>
            <w:tcW w:w="7070" w:type="dxa"/>
            <w:vAlign w:val="center"/>
          </w:tcPr>
          <w:p>
            <w:pPr>
              <w:spacing w:line="300" w:lineRule="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质量保障措施：根据投标人提供的项目质量目标、质量控制措施是否详细明确、合理可行，由评委进行综合评价。（详尽、准确且合理可行的得</w:t>
            </w:r>
            <w:r>
              <w:rPr>
                <w:rFonts w:hint="eastAsia" w:ascii="仿宋" w:hAnsi="仿宋" w:eastAsia="仿宋" w:cs="宋体"/>
                <w:bCs/>
                <w:color w:val="auto"/>
                <w:sz w:val="24"/>
                <w:szCs w:val="24"/>
                <w:highlight w:val="none"/>
                <w:lang w:val="en-US" w:eastAsia="zh-CN"/>
              </w:rPr>
              <w:t>5-6</w:t>
            </w:r>
            <w:r>
              <w:rPr>
                <w:rFonts w:hint="eastAsia" w:ascii="仿宋" w:hAnsi="仿宋" w:eastAsia="仿宋" w:cs="宋体"/>
                <w:bCs/>
                <w:color w:val="auto"/>
                <w:sz w:val="24"/>
                <w:szCs w:val="24"/>
                <w:highlight w:val="none"/>
              </w:rPr>
              <w:t>分；较详尽、准确且较合理可行的得</w:t>
            </w:r>
            <w:r>
              <w:rPr>
                <w:rFonts w:hint="eastAsia" w:ascii="仿宋" w:hAnsi="仿宋" w:eastAsia="仿宋" w:cs="宋体"/>
                <w:bCs/>
                <w:color w:val="auto"/>
                <w:sz w:val="24"/>
                <w:szCs w:val="24"/>
                <w:highlight w:val="none"/>
                <w:lang w:val="en-US" w:eastAsia="zh-CN"/>
              </w:rPr>
              <w:t>3-4</w:t>
            </w:r>
            <w:r>
              <w:rPr>
                <w:rFonts w:hint="eastAsia" w:ascii="仿宋" w:hAnsi="仿宋" w:eastAsia="仿宋" w:cs="宋体"/>
                <w:bCs/>
                <w:color w:val="auto"/>
                <w:sz w:val="24"/>
                <w:szCs w:val="24"/>
                <w:highlight w:val="none"/>
              </w:rPr>
              <w:t>分；粗略、缺陷较多，部分合理可行的得</w:t>
            </w:r>
            <w:r>
              <w:rPr>
                <w:rFonts w:hint="eastAsia" w:ascii="仿宋" w:hAnsi="仿宋" w:eastAsia="仿宋" w:cs="宋体"/>
                <w:bCs/>
                <w:color w:val="auto"/>
                <w:sz w:val="24"/>
                <w:szCs w:val="24"/>
                <w:highlight w:val="none"/>
                <w:lang w:val="en-US" w:eastAsia="zh-CN"/>
              </w:rPr>
              <w:t>1-2</w:t>
            </w:r>
            <w:r>
              <w:rPr>
                <w:rFonts w:hint="eastAsia" w:ascii="仿宋" w:hAnsi="仿宋" w:eastAsia="仿宋" w:cs="宋体"/>
                <w:bCs/>
                <w:color w:val="auto"/>
                <w:sz w:val="24"/>
                <w:szCs w:val="24"/>
                <w:highlight w:val="none"/>
              </w:rPr>
              <w:t>分；未提供或不符合的不得分。）</w:t>
            </w:r>
          </w:p>
        </w:tc>
        <w:tc>
          <w:tcPr>
            <w:tcW w:w="80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40" w:type="dxa"/>
            <w:vMerge w:val="continue"/>
            <w:vAlign w:val="center"/>
          </w:tcPr>
          <w:p>
            <w:pPr>
              <w:spacing w:line="300" w:lineRule="auto"/>
              <w:jc w:val="center"/>
              <w:rPr>
                <w:rFonts w:ascii="仿宋" w:hAnsi="仿宋" w:eastAsia="仿宋" w:cs="宋体"/>
                <w:b/>
                <w:bCs/>
                <w:sz w:val="24"/>
                <w:szCs w:val="24"/>
                <w:highlight w:val="none"/>
              </w:rPr>
            </w:pPr>
          </w:p>
        </w:tc>
        <w:tc>
          <w:tcPr>
            <w:tcW w:w="1270" w:type="dxa"/>
            <w:vMerge w:val="continue"/>
            <w:vAlign w:val="center"/>
          </w:tcPr>
          <w:p>
            <w:pPr>
              <w:spacing w:line="300" w:lineRule="auto"/>
              <w:jc w:val="center"/>
              <w:rPr>
                <w:rFonts w:ascii="仿宋" w:hAnsi="仿宋" w:eastAsia="仿宋" w:cs="宋体"/>
                <w:b/>
                <w:sz w:val="24"/>
                <w:szCs w:val="24"/>
                <w:highlight w:val="none"/>
              </w:rPr>
            </w:pPr>
          </w:p>
        </w:tc>
        <w:tc>
          <w:tcPr>
            <w:tcW w:w="7070" w:type="dxa"/>
            <w:vAlign w:val="center"/>
          </w:tcPr>
          <w:p>
            <w:pPr>
              <w:spacing w:line="300" w:lineRule="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安全保障措施：根据投标人提供的人员、数据与档案的安全管理措施、保密措施是否详细明确、合理可行，由评委进行综合评价。（详尽、准确且合理可行的得</w:t>
            </w:r>
            <w:r>
              <w:rPr>
                <w:rFonts w:hint="eastAsia" w:ascii="仿宋" w:hAnsi="仿宋" w:eastAsia="仿宋" w:cs="宋体"/>
                <w:bCs/>
                <w:color w:val="auto"/>
                <w:sz w:val="24"/>
                <w:szCs w:val="24"/>
                <w:highlight w:val="none"/>
                <w:lang w:val="en-US" w:eastAsia="zh-CN"/>
              </w:rPr>
              <w:t>5-6</w:t>
            </w:r>
            <w:r>
              <w:rPr>
                <w:rFonts w:hint="eastAsia" w:ascii="仿宋" w:hAnsi="仿宋" w:eastAsia="仿宋" w:cs="宋体"/>
                <w:bCs/>
                <w:color w:val="auto"/>
                <w:sz w:val="24"/>
                <w:szCs w:val="24"/>
                <w:highlight w:val="none"/>
              </w:rPr>
              <w:t>分；较详尽、准确且较合理可行的得</w:t>
            </w:r>
            <w:r>
              <w:rPr>
                <w:rFonts w:hint="eastAsia" w:ascii="仿宋" w:hAnsi="仿宋" w:eastAsia="仿宋" w:cs="宋体"/>
                <w:bCs/>
                <w:color w:val="auto"/>
                <w:sz w:val="24"/>
                <w:szCs w:val="24"/>
                <w:highlight w:val="none"/>
                <w:lang w:val="en-US" w:eastAsia="zh-CN"/>
              </w:rPr>
              <w:t>3-4</w:t>
            </w:r>
            <w:r>
              <w:rPr>
                <w:rFonts w:hint="eastAsia" w:ascii="仿宋" w:hAnsi="仿宋" w:eastAsia="仿宋" w:cs="宋体"/>
                <w:bCs/>
                <w:color w:val="auto"/>
                <w:sz w:val="24"/>
                <w:szCs w:val="24"/>
                <w:highlight w:val="none"/>
              </w:rPr>
              <w:t>分；粗略、缺陷较多，部分合理可行的得</w:t>
            </w:r>
            <w:r>
              <w:rPr>
                <w:rFonts w:hint="eastAsia" w:ascii="仿宋" w:hAnsi="仿宋" w:eastAsia="仿宋" w:cs="宋体"/>
                <w:bCs/>
                <w:color w:val="auto"/>
                <w:sz w:val="24"/>
                <w:szCs w:val="24"/>
                <w:highlight w:val="none"/>
                <w:lang w:val="en-US" w:eastAsia="zh-CN"/>
              </w:rPr>
              <w:t>1-2</w:t>
            </w:r>
            <w:r>
              <w:rPr>
                <w:rFonts w:hint="eastAsia" w:ascii="仿宋" w:hAnsi="仿宋" w:eastAsia="仿宋" w:cs="宋体"/>
                <w:bCs/>
                <w:color w:val="auto"/>
                <w:sz w:val="24"/>
                <w:szCs w:val="24"/>
                <w:highlight w:val="none"/>
              </w:rPr>
              <w:t>分；未提供或不符合的不得分。）</w:t>
            </w:r>
          </w:p>
        </w:tc>
        <w:tc>
          <w:tcPr>
            <w:tcW w:w="80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40" w:type="dxa"/>
            <w:vMerge w:val="continue"/>
            <w:vAlign w:val="center"/>
          </w:tcPr>
          <w:p>
            <w:pPr>
              <w:spacing w:line="300" w:lineRule="auto"/>
              <w:jc w:val="center"/>
              <w:rPr>
                <w:rFonts w:ascii="仿宋" w:hAnsi="仿宋" w:eastAsia="仿宋" w:cs="宋体"/>
                <w:b/>
                <w:bCs/>
                <w:sz w:val="24"/>
                <w:szCs w:val="24"/>
                <w:highlight w:val="none"/>
              </w:rPr>
            </w:pPr>
          </w:p>
        </w:tc>
        <w:tc>
          <w:tcPr>
            <w:tcW w:w="1270" w:type="dxa"/>
            <w:vMerge w:val="continue"/>
            <w:vAlign w:val="center"/>
          </w:tcPr>
          <w:p>
            <w:pPr>
              <w:spacing w:line="300" w:lineRule="auto"/>
              <w:jc w:val="center"/>
              <w:rPr>
                <w:rFonts w:ascii="仿宋" w:hAnsi="仿宋" w:eastAsia="仿宋" w:cs="宋体"/>
                <w:b/>
                <w:sz w:val="24"/>
                <w:szCs w:val="24"/>
                <w:highlight w:val="none"/>
              </w:rPr>
            </w:pPr>
          </w:p>
        </w:tc>
        <w:tc>
          <w:tcPr>
            <w:tcW w:w="7070" w:type="dxa"/>
            <w:vAlign w:val="center"/>
          </w:tcPr>
          <w:p>
            <w:pPr>
              <w:spacing w:line="300" w:lineRule="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投标人对本项目的硬件配置，根据设备配置数量、合理性、仪器设备先进性、能完全满足工作要求等情况进行综合评价。（配置方案详尽合理、符合需求的得</w:t>
            </w:r>
            <w:r>
              <w:rPr>
                <w:rFonts w:hint="eastAsia" w:ascii="仿宋" w:hAnsi="仿宋" w:eastAsia="仿宋" w:cs="宋体"/>
                <w:bCs/>
                <w:color w:val="auto"/>
                <w:sz w:val="24"/>
                <w:szCs w:val="24"/>
                <w:highlight w:val="none"/>
                <w:lang w:val="en-US" w:eastAsia="zh-CN"/>
              </w:rPr>
              <w:t>4-5</w:t>
            </w:r>
            <w:r>
              <w:rPr>
                <w:rFonts w:hint="eastAsia" w:ascii="仿宋" w:hAnsi="仿宋" w:eastAsia="仿宋" w:cs="宋体"/>
                <w:bCs/>
                <w:color w:val="auto"/>
                <w:sz w:val="24"/>
                <w:szCs w:val="24"/>
                <w:highlight w:val="none"/>
              </w:rPr>
              <w:t>分；配置方案较详尽、合理，基本符合需求的得</w:t>
            </w:r>
            <w:r>
              <w:rPr>
                <w:rFonts w:hint="eastAsia" w:ascii="仿宋" w:hAnsi="仿宋" w:eastAsia="仿宋" w:cs="宋体"/>
                <w:bCs/>
                <w:color w:val="auto"/>
                <w:sz w:val="24"/>
                <w:szCs w:val="24"/>
                <w:highlight w:val="none"/>
                <w:lang w:val="en-US" w:eastAsia="zh-CN"/>
              </w:rPr>
              <w:t>2-3</w:t>
            </w:r>
            <w:r>
              <w:rPr>
                <w:rFonts w:hint="eastAsia" w:ascii="仿宋" w:hAnsi="仿宋" w:eastAsia="仿宋" w:cs="宋体"/>
                <w:bCs/>
                <w:color w:val="auto"/>
                <w:sz w:val="24"/>
                <w:szCs w:val="24"/>
                <w:highlight w:val="none"/>
              </w:rPr>
              <w:t>分；配置方案合理程度、完整性较欠缺的得</w:t>
            </w:r>
            <w:r>
              <w:rPr>
                <w:rFonts w:hint="eastAsia" w:ascii="仿宋" w:hAnsi="仿宋" w:eastAsia="仿宋" w:cs="宋体"/>
                <w:bCs/>
                <w:color w:val="auto"/>
                <w:sz w:val="24"/>
                <w:szCs w:val="24"/>
                <w:highlight w:val="none"/>
                <w:lang w:val="en-US" w:eastAsia="zh-CN"/>
              </w:rPr>
              <w:t>0-1</w:t>
            </w:r>
            <w:r>
              <w:rPr>
                <w:rFonts w:hint="eastAsia" w:ascii="仿宋" w:hAnsi="仿宋" w:eastAsia="仿宋" w:cs="宋体"/>
                <w:bCs/>
                <w:color w:val="auto"/>
                <w:sz w:val="24"/>
                <w:szCs w:val="24"/>
                <w:highlight w:val="none"/>
              </w:rPr>
              <w:t>分；未提供或不符合的不得分。）</w:t>
            </w:r>
          </w:p>
        </w:tc>
        <w:tc>
          <w:tcPr>
            <w:tcW w:w="80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7</w:t>
            </w:r>
          </w:p>
        </w:tc>
        <w:tc>
          <w:tcPr>
            <w:tcW w:w="1270" w:type="dxa"/>
            <w:vAlign w:val="center"/>
          </w:tcPr>
          <w:p>
            <w:pPr>
              <w:spacing w:line="300" w:lineRule="auto"/>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应急响应方案</w:t>
            </w:r>
          </w:p>
          <w:p>
            <w:pPr>
              <w:spacing w:line="300" w:lineRule="auto"/>
              <w:jc w:val="center"/>
              <w:rPr>
                <w:rFonts w:ascii="仿宋" w:hAnsi="仿宋" w:eastAsia="仿宋" w:cs="宋体"/>
                <w:b/>
                <w:sz w:val="24"/>
                <w:szCs w:val="24"/>
                <w:highlight w:val="none"/>
              </w:rPr>
            </w:pPr>
            <w:r>
              <w:rPr>
                <w:rFonts w:hint="eastAsia" w:ascii="仿宋" w:hAnsi="仿宋" w:eastAsia="仿宋" w:cs="宋体"/>
                <w:b/>
                <w:color w:val="auto"/>
                <w:sz w:val="24"/>
                <w:szCs w:val="24"/>
                <w:highlight w:val="none"/>
              </w:rPr>
              <w:t>（5分）</w:t>
            </w:r>
          </w:p>
        </w:tc>
        <w:tc>
          <w:tcPr>
            <w:tcW w:w="7070" w:type="dxa"/>
            <w:vAlign w:val="center"/>
          </w:tcPr>
          <w:p>
            <w:pPr>
              <w:spacing w:line="300" w:lineRule="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根据投标人针对本项目采购单位提出的应急响应方案，包括应急响应时间、人力与物力安排等应急措施的合理程度、完备程度进行综合评价。（详尽、准确且合理可行的得</w:t>
            </w:r>
            <w:r>
              <w:rPr>
                <w:rFonts w:hint="eastAsia" w:ascii="仿宋" w:hAnsi="仿宋" w:eastAsia="仿宋" w:cs="宋体"/>
                <w:bCs/>
                <w:color w:val="auto"/>
                <w:sz w:val="24"/>
                <w:szCs w:val="24"/>
                <w:highlight w:val="none"/>
                <w:lang w:val="en-US" w:eastAsia="zh-CN"/>
              </w:rPr>
              <w:t>4-5</w:t>
            </w:r>
            <w:r>
              <w:rPr>
                <w:rFonts w:hint="eastAsia" w:ascii="仿宋" w:hAnsi="仿宋" w:eastAsia="仿宋" w:cs="宋体"/>
                <w:bCs/>
                <w:color w:val="auto"/>
                <w:sz w:val="24"/>
                <w:szCs w:val="24"/>
                <w:highlight w:val="none"/>
              </w:rPr>
              <w:t>分；较详尽、准确且较合理可行的得</w:t>
            </w:r>
            <w:r>
              <w:rPr>
                <w:rFonts w:hint="eastAsia" w:ascii="仿宋" w:hAnsi="仿宋" w:eastAsia="仿宋" w:cs="宋体"/>
                <w:bCs/>
                <w:color w:val="auto"/>
                <w:sz w:val="24"/>
                <w:szCs w:val="24"/>
                <w:highlight w:val="none"/>
                <w:lang w:val="en-US" w:eastAsia="zh-CN"/>
              </w:rPr>
              <w:t>2-3</w:t>
            </w:r>
            <w:r>
              <w:rPr>
                <w:rFonts w:hint="eastAsia" w:ascii="仿宋" w:hAnsi="仿宋" w:eastAsia="仿宋" w:cs="宋体"/>
                <w:bCs/>
                <w:color w:val="auto"/>
                <w:sz w:val="24"/>
                <w:szCs w:val="24"/>
                <w:highlight w:val="none"/>
              </w:rPr>
              <w:t>分；粗略、缺陷较多，部分合理可行的得</w:t>
            </w:r>
            <w:r>
              <w:rPr>
                <w:rFonts w:hint="eastAsia" w:ascii="仿宋" w:hAnsi="仿宋" w:eastAsia="仿宋" w:cs="宋体"/>
                <w:bCs/>
                <w:color w:val="auto"/>
                <w:sz w:val="24"/>
                <w:szCs w:val="24"/>
                <w:highlight w:val="none"/>
                <w:lang w:val="en-US" w:eastAsia="zh-CN"/>
              </w:rPr>
              <w:t>0-1</w:t>
            </w:r>
            <w:r>
              <w:rPr>
                <w:rFonts w:hint="eastAsia" w:ascii="仿宋" w:hAnsi="仿宋" w:eastAsia="仿宋" w:cs="宋体"/>
                <w:bCs/>
                <w:color w:val="auto"/>
                <w:sz w:val="24"/>
                <w:szCs w:val="24"/>
                <w:highlight w:val="none"/>
              </w:rPr>
              <w:t>分；未提供或不符合的不得分。）</w:t>
            </w:r>
          </w:p>
        </w:tc>
        <w:tc>
          <w:tcPr>
            <w:tcW w:w="80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0" w:type="dxa"/>
            <w:vAlign w:val="center"/>
          </w:tcPr>
          <w:p>
            <w:pPr>
              <w:spacing w:line="300" w:lineRule="auto"/>
              <w:jc w:val="center"/>
              <w:rPr>
                <w:rFonts w:ascii="仿宋" w:hAnsi="仿宋" w:eastAsia="仿宋" w:cs="宋体"/>
                <w:b/>
                <w:bCs/>
                <w:sz w:val="24"/>
                <w:szCs w:val="24"/>
                <w:highlight w:val="none"/>
              </w:rPr>
            </w:pPr>
            <w:r>
              <w:rPr>
                <w:rFonts w:hint="eastAsia" w:ascii="仿宋" w:hAnsi="仿宋" w:eastAsia="仿宋" w:cs="宋体"/>
                <w:b/>
                <w:bCs/>
                <w:color w:val="auto"/>
                <w:sz w:val="24"/>
                <w:szCs w:val="24"/>
                <w:highlight w:val="none"/>
              </w:rPr>
              <w:t>8</w:t>
            </w:r>
          </w:p>
        </w:tc>
        <w:tc>
          <w:tcPr>
            <w:tcW w:w="1270" w:type="dxa"/>
            <w:vAlign w:val="center"/>
          </w:tcPr>
          <w:p>
            <w:pPr>
              <w:spacing w:line="300" w:lineRule="auto"/>
              <w:jc w:val="center"/>
              <w:rPr>
                <w:rFonts w:ascii="仿宋" w:hAnsi="仿宋" w:eastAsia="仿宋" w:cs="宋体"/>
                <w:b/>
                <w:color w:val="auto"/>
                <w:sz w:val="24"/>
                <w:szCs w:val="24"/>
                <w:highlight w:val="none"/>
              </w:rPr>
            </w:pPr>
            <w:r>
              <w:rPr>
                <w:rFonts w:ascii="仿宋" w:hAnsi="仿宋" w:eastAsia="仿宋" w:cs="宋体"/>
                <w:b/>
                <w:color w:val="auto"/>
                <w:sz w:val="24"/>
                <w:szCs w:val="24"/>
                <w:highlight w:val="none"/>
              </w:rPr>
              <w:t>后期服务方案</w:t>
            </w:r>
          </w:p>
          <w:p>
            <w:pPr>
              <w:spacing w:line="300" w:lineRule="auto"/>
              <w:jc w:val="center"/>
              <w:rPr>
                <w:rFonts w:ascii="仿宋" w:hAnsi="仿宋" w:eastAsia="仿宋" w:cs="宋体"/>
                <w:b/>
                <w:sz w:val="24"/>
                <w:szCs w:val="24"/>
                <w:highlight w:val="none"/>
              </w:rPr>
            </w:pPr>
            <w:r>
              <w:rPr>
                <w:rFonts w:hint="eastAsia" w:ascii="仿宋" w:hAnsi="仿宋" w:eastAsia="仿宋" w:cs="宋体"/>
                <w:b/>
                <w:color w:val="auto"/>
                <w:sz w:val="24"/>
                <w:szCs w:val="24"/>
                <w:highlight w:val="none"/>
              </w:rPr>
              <w:t>（</w:t>
            </w:r>
            <w:r>
              <w:rPr>
                <w:rFonts w:ascii="仿宋" w:hAnsi="仿宋" w:eastAsia="仿宋" w:cs="宋体"/>
                <w:b/>
                <w:color w:val="auto"/>
                <w:sz w:val="24"/>
                <w:szCs w:val="24"/>
                <w:highlight w:val="none"/>
              </w:rPr>
              <w:t>7</w:t>
            </w:r>
            <w:r>
              <w:rPr>
                <w:rFonts w:hint="eastAsia" w:ascii="仿宋" w:hAnsi="仿宋" w:eastAsia="仿宋" w:cs="宋体"/>
                <w:b/>
                <w:color w:val="auto"/>
                <w:sz w:val="24"/>
                <w:szCs w:val="24"/>
                <w:highlight w:val="none"/>
              </w:rPr>
              <w:t>分）</w:t>
            </w:r>
          </w:p>
        </w:tc>
        <w:tc>
          <w:tcPr>
            <w:tcW w:w="7070" w:type="dxa"/>
            <w:vAlign w:val="center"/>
          </w:tcPr>
          <w:p>
            <w:pPr>
              <w:spacing w:line="300" w:lineRule="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根据投标人针对本项目后期阶段的服务方案，包括后续服务安排、服务承诺及相应的保障措施等情况进行综合评价。（阐述详尽、针对性强且合理可行的得</w:t>
            </w:r>
            <w:r>
              <w:rPr>
                <w:rFonts w:hint="eastAsia" w:ascii="仿宋" w:hAnsi="仿宋" w:eastAsia="仿宋" w:cs="宋体"/>
                <w:bCs/>
                <w:color w:val="auto"/>
                <w:sz w:val="24"/>
                <w:szCs w:val="24"/>
                <w:highlight w:val="none"/>
                <w:lang w:val="en-US" w:eastAsia="zh-CN"/>
              </w:rPr>
              <w:t>6-7</w:t>
            </w:r>
            <w:r>
              <w:rPr>
                <w:rFonts w:hint="eastAsia" w:ascii="仿宋" w:hAnsi="仿宋" w:eastAsia="仿宋" w:cs="宋体"/>
                <w:bCs/>
                <w:color w:val="auto"/>
                <w:sz w:val="24"/>
                <w:szCs w:val="24"/>
                <w:highlight w:val="none"/>
              </w:rPr>
              <w:t>分；阐述部分内容有欠缺但基本合理可行的得</w:t>
            </w:r>
            <w:r>
              <w:rPr>
                <w:rFonts w:hint="eastAsia" w:ascii="仿宋" w:hAnsi="仿宋" w:eastAsia="仿宋" w:cs="宋体"/>
                <w:bCs/>
                <w:color w:val="auto"/>
                <w:sz w:val="24"/>
                <w:szCs w:val="24"/>
                <w:highlight w:val="none"/>
                <w:lang w:val="en-US" w:eastAsia="zh-CN"/>
              </w:rPr>
              <w:t>3-5</w:t>
            </w:r>
            <w:r>
              <w:rPr>
                <w:rFonts w:hint="eastAsia" w:ascii="仿宋" w:hAnsi="仿宋" w:eastAsia="仿宋" w:cs="宋体"/>
                <w:bCs/>
                <w:color w:val="auto"/>
                <w:sz w:val="24"/>
                <w:szCs w:val="24"/>
                <w:highlight w:val="none"/>
              </w:rPr>
              <w:t>分；阐述粗略、不清晰，合理性、可行性欠缺的得</w:t>
            </w:r>
            <w:r>
              <w:rPr>
                <w:rFonts w:hint="eastAsia" w:ascii="仿宋" w:hAnsi="仿宋" w:eastAsia="仿宋" w:cs="宋体"/>
                <w:bCs/>
                <w:color w:val="auto"/>
                <w:sz w:val="24"/>
                <w:szCs w:val="24"/>
                <w:highlight w:val="none"/>
                <w:lang w:val="en-US" w:eastAsia="zh-CN"/>
              </w:rPr>
              <w:t>0-2</w:t>
            </w:r>
            <w:r>
              <w:rPr>
                <w:rFonts w:hint="eastAsia" w:ascii="仿宋" w:hAnsi="仿宋" w:eastAsia="仿宋" w:cs="宋体"/>
                <w:bCs/>
                <w:color w:val="auto"/>
                <w:sz w:val="24"/>
                <w:szCs w:val="24"/>
                <w:highlight w:val="none"/>
              </w:rPr>
              <w:t>分；未提供或不符合的不得分。）</w:t>
            </w:r>
          </w:p>
        </w:tc>
        <w:tc>
          <w:tcPr>
            <w:tcW w:w="800" w:type="dxa"/>
            <w:vAlign w:val="center"/>
          </w:tcPr>
          <w:p>
            <w:pPr>
              <w:spacing w:line="300" w:lineRule="auto"/>
              <w:jc w:val="center"/>
              <w:rPr>
                <w:rFonts w:ascii="仿宋" w:hAnsi="仿宋" w:eastAsia="仿宋" w:cs="宋体"/>
                <w:b/>
                <w:bCs/>
                <w:sz w:val="24"/>
                <w:szCs w:val="24"/>
                <w:highlight w:val="none"/>
              </w:rPr>
            </w:pPr>
            <w:r>
              <w:rPr>
                <w:rFonts w:ascii="仿宋" w:hAnsi="仿宋" w:eastAsia="仿宋" w:cs="宋体"/>
                <w:b/>
                <w:bCs/>
                <w:color w:val="auto"/>
                <w:sz w:val="24"/>
                <w:szCs w:val="24"/>
                <w:highlight w:val="none"/>
              </w:rPr>
              <w:t>7</w:t>
            </w:r>
            <w:r>
              <w:rPr>
                <w:rFonts w:hint="eastAsia" w:ascii="仿宋" w:hAnsi="仿宋" w:eastAsia="仿宋" w:cs="宋体"/>
                <w:b/>
                <w:bCs/>
                <w:color w:val="auto"/>
                <w:sz w:val="24"/>
                <w:szCs w:val="24"/>
                <w:highlight w:val="none"/>
              </w:rPr>
              <w:t>分</w:t>
            </w:r>
          </w:p>
        </w:tc>
      </w:tr>
    </w:tbl>
    <w:p>
      <w:pPr>
        <w:rPr>
          <w:highlight w:val="none"/>
        </w:rPr>
      </w:pPr>
    </w:p>
    <w:p>
      <w:pPr>
        <w:snapToGrid w:val="0"/>
        <w:spacing w:line="360" w:lineRule="auto"/>
        <w:rPr>
          <w:rFonts w:ascii="仿宋" w:hAnsi="仿宋" w:eastAsia="仿宋" w:cs="仿宋_GB2312"/>
          <w:b/>
          <w:sz w:val="24"/>
          <w:highlight w:val="none"/>
        </w:rPr>
      </w:pPr>
      <w:r>
        <w:rPr>
          <w:rFonts w:ascii="Arial" w:hAnsi="Arial" w:cs="Arial"/>
          <w:sz w:val="20"/>
          <w:szCs w:val="20"/>
          <w:highlight w:val="none"/>
          <w:shd w:val="clear" w:color="auto" w:fill="FFFFFF"/>
        </w:rPr>
        <w:t> *</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投标人编制投标文件（商务技术文件部分）时，建议按此目录（序号和内容）提供评标标准相应的商务技术资料。</w:t>
      </w:r>
      <w:r>
        <w:rPr>
          <w:rFonts w:ascii="仿宋" w:hAnsi="仿宋" w:eastAsia="仿宋" w:cs="仿宋_GB2312"/>
          <w:sz w:val="24"/>
          <w:highlight w:val="none"/>
        </w:rPr>
        <w:t> </w:t>
      </w:r>
    </w:p>
    <w:p>
      <w:pPr>
        <w:spacing w:line="360" w:lineRule="auto"/>
        <w:ind w:firstLine="482" w:firstLineChars="200"/>
        <w:rPr>
          <w:rFonts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2、商务分+技术分=评标委员会所有成员评分合计数/评标委员会组成人员数（精确到小数点后二位）；</w:t>
      </w:r>
    </w:p>
    <w:p>
      <w:pPr>
        <w:spacing w:line="360" w:lineRule="auto"/>
        <w:ind w:firstLine="482"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b/>
          <w:bCs/>
          <w:color w:val="000000"/>
          <w:sz w:val="24"/>
          <w:highlight w:val="none"/>
        </w:rPr>
        <w:t>3、价格分（10分）</w:t>
      </w:r>
      <w:r>
        <w:rPr>
          <w:rFonts w:hint="eastAsia" w:ascii="仿宋_GB2312" w:hAnsi="仿宋_GB2312" w:eastAsia="仿宋_GB2312" w:cs="仿宋_GB2312"/>
          <w:color w:val="000000"/>
          <w:sz w:val="24"/>
          <w:highlight w:val="none"/>
        </w:rPr>
        <w:t>采用低价优先法计算，即满足招标文件要求且投标价格最低的投标报价为评标基准价，其他投标人的价格分按照下列公式计算：</w:t>
      </w:r>
    </w:p>
    <w:p>
      <w:pPr>
        <w:spacing w:line="360" w:lineRule="auto"/>
        <w:ind w:firstLine="482" w:firstLineChars="200"/>
        <w:rPr>
          <w:rFonts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价格分=（评标基准价/投标报价）×10%×100（精确到小数点后二位）；</w:t>
      </w:r>
    </w:p>
    <w:p>
      <w:pPr>
        <w:pStyle w:val="2"/>
        <w:ind w:left="0" w:leftChars="0" w:firstLine="420"/>
        <w:rPr>
          <w:highlight w:val="none"/>
        </w:rPr>
      </w:pPr>
      <w:r>
        <w:rPr>
          <w:rFonts w:hint="eastAsia"/>
          <w:highlight w:val="none"/>
        </w:rPr>
        <w:t>报价是中标的一个重要因素，但最低报价不是中标的唯一依据。</w:t>
      </w:r>
    </w:p>
    <w:p>
      <w:pPr>
        <w:pStyle w:val="2"/>
        <w:spacing w:line="360" w:lineRule="auto"/>
        <w:ind w:left="0" w:leftChars="0" w:firstLine="482"/>
        <w:rPr>
          <w:rFonts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4、各投标人的综合得分为：技术商务得分+投标价格得分之和，总和为100分，其中：商务技术得分90分，投标价格得分10分。</w:t>
      </w:r>
    </w:p>
    <w:p>
      <w:pPr>
        <w:pStyle w:val="2"/>
        <w:ind w:firstLine="420"/>
        <w:rPr>
          <w:highlight w:val="none"/>
        </w:rPr>
      </w:pPr>
    </w:p>
    <w:p>
      <w:pPr>
        <w:snapToGrid w:val="0"/>
        <w:spacing w:line="360" w:lineRule="auto"/>
        <w:rPr>
          <w:rFonts w:ascii="仿宋_GB2312" w:hAnsi="仿宋" w:eastAsia="仿宋_GB2312"/>
          <w:b/>
          <w:sz w:val="28"/>
          <w:szCs w:val="28"/>
          <w:highlight w:val="none"/>
        </w:rPr>
      </w:pPr>
      <w:r>
        <w:rPr>
          <w:rFonts w:hint="eastAsia" w:ascii="仿宋_GB2312" w:hAnsi="仿宋" w:eastAsia="仿宋_GB2312" w:cs="仿宋_GB2312"/>
          <w:b/>
          <w:sz w:val="32"/>
          <w:highlight w:val="none"/>
        </w:rPr>
        <w:t>一、评标方法</w:t>
      </w:r>
    </w:p>
    <w:p>
      <w:pPr>
        <w:adjustRightInd/>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highlight w:val="none"/>
        </w:rPr>
      </w:pPr>
      <w:r>
        <w:rPr>
          <w:rFonts w:hint="eastAsia" w:ascii="仿宋_GB2312" w:hAnsi="仿宋" w:eastAsia="仿宋_GB2312" w:cs="仿宋_GB2312"/>
          <w:b/>
          <w:sz w:val="32"/>
          <w:highlight w:val="none"/>
        </w:rPr>
        <w:t>二、评标标准</w:t>
      </w:r>
    </w:p>
    <w:p>
      <w:pPr>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pPr>
        <w:adjustRightInd/>
        <w:spacing w:line="360" w:lineRule="auto"/>
        <w:rPr>
          <w:rFonts w:ascii="仿宋_GB2312" w:hAnsi="仿宋" w:eastAsia="仿宋_GB2312" w:cs="仿宋_GB2312"/>
          <w:b/>
          <w:sz w:val="32"/>
          <w:highlight w:val="none"/>
        </w:rPr>
      </w:pPr>
      <w:r>
        <w:rPr>
          <w:rFonts w:hint="eastAsia" w:ascii="仿宋_GB2312" w:hAnsi="仿宋" w:eastAsia="仿宋_GB2312" w:cs="仿宋_GB2312"/>
          <w:b/>
          <w:sz w:val="32"/>
          <w:highlight w:val="none"/>
        </w:rPr>
        <w:t>三、评标程序</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highlight w:val="none"/>
        </w:rPr>
      </w:pPr>
      <w:r>
        <w:rPr>
          <w:rFonts w:ascii="仿宋_GB2312" w:hAnsi="仿宋" w:eastAsia="仿宋_GB2312" w:cs="Arial"/>
          <w:b/>
          <w:kern w:val="0"/>
          <w:sz w:val="24"/>
          <w:highlight w:val="none"/>
        </w:rPr>
        <w:t>3.4报价评审。</w:t>
      </w:r>
    </w:p>
    <w:p>
      <w:pPr>
        <w:pStyle w:val="93"/>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对于未预留份额专门面向中小企业的政府采购货物或服务项目，以及预留份额政府采购货物或服务项目中的非预留部分标项，对小型和微型企业的投标报价给予1</w:t>
      </w:r>
      <w:r>
        <w:rPr>
          <w:rFonts w:ascii="仿宋" w:hAnsi="仿宋" w:eastAsia="仿宋" w:cs="仿宋"/>
          <w:kern w:val="0"/>
          <w:szCs w:val="24"/>
          <w:highlight w:val="none"/>
        </w:rPr>
        <w:t>0%的扣除，用扣除后的价格参与评审。接受大中型企业与小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w:t>
      </w:r>
      <w:r>
        <w:rPr>
          <w:rFonts w:hint="eastAsia" w:ascii="仿宋" w:hAnsi="仿宋" w:eastAsia="仿宋" w:cs="仿宋"/>
          <w:kern w:val="0"/>
          <w:szCs w:val="24"/>
          <w:highlight w:val="none"/>
        </w:rPr>
        <w:t>4</w:t>
      </w:r>
      <w:r>
        <w:rPr>
          <w:rFonts w:ascii="仿宋" w:hAnsi="仿宋" w:eastAsia="仿宋" w:cs="仿宋"/>
          <w:kern w:val="0"/>
          <w:szCs w:val="24"/>
          <w:highlight w:val="none"/>
        </w:rPr>
        <w:t>%的扣除，用扣除后的价格参加评审。组成联合体或者接受分包的小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微企业与联合体内其他企业、分包企业之间存在直接控股、管理关系的，不享受价格扣除优惠政策。</w:t>
      </w:r>
      <w:r>
        <w:rPr>
          <w:rFonts w:hint="eastAsia" w:ascii="仿宋_GB2312" w:hAnsi="仿宋" w:eastAsia="仿宋_GB2312"/>
          <w:highlight w:val="none"/>
        </w:rPr>
        <w:t>本项目专门面向中小企业的政府采购货物或服务项目，对小型和微型企业的投标报价不予</w:t>
      </w:r>
      <w:r>
        <w:rPr>
          <w:rFonts w:ascii="仿宋_GB2312" w:hAnsi="仿宋" w:eastAsia="仿宋_GB2312"/>
          <w:highlight w:val="none"/>
        </w:rPr>
        <w:t>扣除。</w:t>
      </w:r>
    </w:p>
    <w:p>
      <w:pPr>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highlight w:val="none"/>
        </w:rPr>
        <w:t>。</w:t>
      </w:r>
    </w:p>
    <w:p>
      <w:pPr>
        <w:spacing w:line="360" w:lineRule="auto"/>
        <w:ind w:firstLine="480" w:firstLineChars="200"/>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highlight w:val="none"/>
        </w:rPr>
      </w:pPr>
      <w:r>
        <w:rPr>
          <w:rFonts w:hint="eastAsia" w:ascii="仿宋_GB2312" w:hAnsi="仿宋" w:eastAsia="仿宋_GB2312" w:cs="仿宋_GB2312"/>
          <w:b/>
          <w:sz w:val="32"/>
          <w:highlight w:val="none"/>
        </w:rPr>
        <w:t>四、评标中的其他事项</w:t>
      </w:r>
    </w:p>
    <w:p>
      <w:pPr>
        <w:pStyle w:val="93"/>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highlight w:val="none"/>
        </w:rPr>
        <w:t>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4.2.4投标文件含有采购人不能接受的附加条件的；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 xml:space="preserve"> </w:t>
      </w:r>
      <w:r>
        <w:rPr>
          <w:rFonts w:ascii="仿宋_GB2312" w:hAnsi="仿宋" w:eastAsia="仿宋_GB2312" w:cs="Arial"/>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4.2.10投标人提供虚假材料投标的；</w:t>
      </w:r>
    </w:p>
    <w:p>
      <w:pPr>
        <w:spacing w:line="360" w:lineRule="auto"/>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4.2.12投标人仅提交备份投标文件，没有在电子交易平台传输递交投标文件的，投标无效；</w:t>
      </w:r>
    </w:p>
    <w:p>
      <w:pPr>
        <w:pStyle w:val="5"/>
        <w:ind w:left="430" w:leftChars="205"/>
        <w:rPr>
          <w:kern w:val="0"/>
          <w:sz w:val="24"/>
          <w:szCs w:val="24"/>
          <w:highlight w:val="none"/>
        </w:rPr>
      </w:pPr>
      <w:r>
        <w:rPr>
          <w:kern w:val="0"/>
          <w:sz w:val="24"/>
          <w:szCs w:val="24"/>
          <w:highlight w:val="none"/>
        </w:rPr>
        <w:t xml:space="preserve">4.2.13 </w:t>
      </w:r>
      <w:r>
        <w:rPr>
          <w:rFonts w:hint="eastAsia"/>
          <w:kern w:val="0"/>
          <w:sz w:val="24"/>
          <w:szCs w:val="24"/>
          <w:highlight w:val="none"/>
        </w:rPr>
        <w:t>投标文件不满足招标文件的其它实质性要求的；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pPr>
        <w:pStyle w:val="3"/>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pPr>
        <w:pStyle w:val="3"/>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pPr>
        <w:pStyle w:val="3"/>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pPr>
        <w:pStyle w:val="3"/>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pPr>
        <w:pStyle w:val="3"/>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pPr>
        <w:pStyle w:val="3"/>
        <w:snapToGrid w:val="0"/>
        <w:spacing w:line="360" w:lineRule="auto"/>
        <w:ind w:firstLine="590"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pPr>
        <w:pStyle w:val="3"/>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pPr>
        <w:pStyle w:val="3"/>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p>
    <w:bookmarkEnd w:id="30"/>
    <w:p>
      <w:pPr>
        <w:rPr>
          <w:highlight w:val="none"/>
        </w:rPr>
      </w:pPr>
      <w:bookmarkStart w:id="398" w:name="第五部分"/>
      <w:bookmarkStart w:id="399" w:name="_Toc86217003"/>
    </w:p>
    <w:p>
      <w:pPr>
        <w:pStyle w:val="86"/>
        <w:ind w:left="0" w:firstLine="0"/>
        <w:rPr>
          <w:highlight w:val="none"/>
        </w:rPr>
      </w:pPr>
    </w:p>
    <w:p>
      <w:pPr>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第五部分</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拟签订的合同文本</w:t>
      </w:r>
    </w:p>
    <w:p>
      <w:pPr>
        <w:snapToGrid w:val="0"/>
        <w:spacing w:line="360" w:lineRule="auto"/>
        <w:jc w:val="center"/>
        <w:outlineLvl w:val="0"/>
        <w:rPr>
          <w:rFonts w:ascii="宋体" w:hAnsi="宋体"/>
          <w:b/>
          <w:color w:val="000000"/>
          <w:sz w:val="32"/>
          <w:szCs w:val="32"/>
          <w:highlight w:val="none"/>
        </w:rPr>
      </w:pPr>
      <w:bookmarkStart w:id="400" w:name="_Toc331685784"/>
    </w:p>
    <w:p>
      <w:pPr>
        <w:snapToGrid w:val="0"/>
        <w:spacing w:line="360" w:lineRule="auto"/>
        <w:jc w:val="center"/>
        <w:outlineLvl w:val="0"/>
        <w:rPr>
          <w:rFonts w:ascii="宋体" w:hAnsi="宋体"/>
          <w:b/>
          <w:color w:val="000000"/>
          <w:sz w:val="32"/>
          <w:szCs w:val="32"/>
          <w:highlight w:val="none"/>
        </w:rPr>
      </w:pPr>
      <w:r>
        <w:rPr>
          <w:rFonts w:hint="eastAsia" w:ascii="宋体" w:hAnsi="宋体"/>
          <w:b/>
          <w:color w:val="000000"/>
          <w:sz w:val="32"/>
          <w:szCs w:val="32"/>
          <w:highlight w:val="none"/>
        </w:rPr>
        <w:t>（以最终合同为准）</w:t>
      </w:r>
    </w:p>
    <w:p>
      <w:pPr>
        <w:autoSpaceDE w:val="0"/>
        <w:autoSpaceDN w:val="0"/>
        <w:snapToGrid w:val="0"/>
        <w:spacing w:line="360" w:lineRule="auto"/>
        <w:ind w:firstLine="436" w:firstLineChars="182"/>
        <w:rPr>
          <w:rFonts w:ascii="仿宋" w:hAnsi="仿宋" w:eastAsia="仿宋" w:cs="仿宋"/>
          <w:color w:val="000000"/>
          <w:sz w:val="24"/>
          <w:highlight w:val="none"/>
        </w:rPr>
      </w:pPr>
      <w:bookmarkStart w:id="401" w:name="_Toc482341668"/>
      <w:bookmarkStart w:id="402" w:name="_Toc339872468"/>
      <w:bookmarkStart w:id="403" w:name="_Toc328381300"/>
      <w:bookmarkStart w:id="404" w:name="_Toc349721554"/>
      <w:bookmarkStart w:id="405" w:name="_Toc350327365"/>
      <w:bookmarkStart w:id="406" w:name="_Toc326765771"/>
    </w:p>
    <w:p>
      <w:pPr>
        <w:snapToGrid w:val="0"/>
        <w:spacing w:line="360" w:lineRule="auto"/>
        <w:jc w:val="center"/>
        <w:rPr>
          <w:rFonts w:ascii="仿宋" w:hAnsi="仿宋" w:eastAsia="仿宋"/>
          <w:b/>
          <w:bCs/>
          <w:sz w:val="28"/>
          <w:szCs w:val="28"/>
          <w:highlight w:val="none"/>
        </w:rPr>
      </w:pPr>
      <w:r>
        <w:rPr>
          <w:rFonts w:hint="eastAsia" w:ascii="仿宋" w:hAnsi="仿宋" w:eastAsia="仿宋"/>
          <w:b/>
          <w:sz w:val="36"/>
          <w:szCs w:val="36"/>
          <w:highlight w:val="none"/>
          <w:lang w:eastAsia="zh-CN"/>
        </w:rPr>
        <w:t>余杭区地质灾害“一坡一卡”调查项目</w:t>
      </w:r>
      <w:r>
        <w:rPr>
          <w:rFonts w:hint="eastAsia" w:ascii="仿宋" w:hAnsi="仿宋" w:eastAsia="仿宋"/>
          <w:b/>
          <w:sz w:val="36"/>
          <w:szCs w:val="36"/>
          <w:highlight w:val="none"/>
        </w:rPr>
        <w:t>采购合同</w:t>
      </w:r>
    </w:p>
    <w:p>
      <w:pPr>
        <w:snapToGrid w:val="0"/>
        <w:spacing w:line="440" w:lineRule="exact"/>
        <w:jc w:val="center"/>
        <w:rPr>
          <w:rFonts w:ascii="仿宋" w:hAnsi="仿宋" w:eastAsia="仿宋"/>
          <w:sz w:val="24"/>
          <w:highlight w:val="none"/>
        </w:rPr>
      </w:pPr>
      <w:r>
        <w:rPr>
          <w:rFonts w:hint="eastAsia" w:ascii="仿宋" w:hAnsi="仿宋" w:eastAsia="仿宋"/>
          <w:sz w:val="24"/>
          <w:highlight w:val="none"/>
        </w:rPr>
        <w:t>（本合同样式供参考，</w:t>
      </w:r>
      <w:r>
        <w:rPr>
          <w:rFonts w:ascii="仿宋" w:hAnsi="仿宋" w:eastAsia="仿宋"/>
          <w:sz w:val="24"/>
          <w:highlight w:val="none"/>
        </w:rPr>
        <w:t>最终稿由</w:t>
      </w:r>
      <w:r>
        <w:rPr>
          <w:rFonts w:hint="eastAsia" w:ascii="仿宋" w:hAnsi="仿宋" w:eastAsia="仿宋"/>
          <w:sz w:val="24"/>
          <w:highlight w:val="none"/>
        </w:rPr>
        <w:t>甲乙双</w:t>
      </w:r>
      <w:r>
        <w:rPr>
          <w:rFonts w:ascii="仿宋" w:hAnsi="仿宋" w:eastAsia="仿宋"/>
          <w:sz w:val="24"/>
          <w:highlight w:val="none"/>
        </w:rPr>
        <w:t>方协商后确定</w:t>
      </w:r>
      <w:r>
        <w:rPr>
          <w:rFonts w:hint="eastAsia" w:ascii="仿宋" w:hAnsi="仿宋" w:eastAsia="仿宋"/>
          <w:sz w:val="24"/>
          <w:highlight w:val="none"/>
        </w:rPr>
        <w:t>）</w:t>
      </w:r>
    </w:p>
    <w:p>
      <w:pPr>
        <w:snapToGrid w:val="0"/>
        <w:spacing w:line="440" w:lineRule="exact"/>
        <w:jc w:val="center"/>
        <w:rPr>
          <w:rFonts w:ascii="仿宋" w:hAnsi="仿宋" w:eastAsia="仿宋"/>
          <w:sz w:val="24"/>
          <w:highlight w:val="none"/>
        </w:rPr>
      </w:pPr>
      <w:r>
        <w:rPr>
          <w:rFonts w:hint="eastAsia" w:ascii="仿宋" w:hAnsi="仿宋" w:eastAsia="仿宋" w:cs="Arial"/>
          <w:b/>
          <w:kern w:val="0"/>
          <w:sz w:val="24"/>
          <w:highlight w:val="none"/>
        </w:rPr>
        <w:t xml:space="preserve">                               （合同编号： </w:t>
      </w:r>
      <w:r>
        <w:rPr>
          <w:rFonts w:hint="eastAsia" w:ascii="仿宋" w:hAnsi="仿宋" w:eastAsia="仿宋" w:cs="Arial"/>
          <w:b/>
          <w:kern w:val="0"/>
          <w:sz w:val="24"/>
          <w:highlight w:val="none"/>
          <w:u w:val="single"/>
        </w:rPr>
        <w:t xml:space="preserve">       </w:t>
      </w:r>
      <w:r>
        <w:rPr>
          <w:rFonts w:hint="eastAsia" w:ascii="仿宋" w:hAnsi="仿宋" w:eastAsia="仿宋" w:cs="Arial"/>
          <w:b/>
          <w:kern w:val="0"/>
          <w:sz w:val="24"/>
          <w:highlight w:val="none"/>
        </w:rPr>
        <w:t>）</w:t>
      </w:r>
    </w:p>
    <w:p>
      <w:pPr>
        <w:snapToGrid w:val="0"/>
        <w:spacing w:line="440" w:lineRule="exact"/>
        <w:rPr>
          <w:rFonts w:ascii="仿宋" w:hAnsi="仿宋" w:eastAsia="仿宋" w:cs="Arial"/>
          <w:kern w:val="0"/>
          <w:sz w:val="24"/>
          <w:highlight w:val="none"/>
        </w:rPr>
      </w:pPr>
      <w:r>
        <w:rPr>
          <w:rFonts w:ascii="仿宋" w:hAnsi="仿宋" w:eastAsia="仿宋" w:cs="Arial"/>
          <w:b/>
          <w:kern w:val="0"/>
          <w:sz w:val="24"/>
          <w:highlight w:val="none"/>
        </w:rPr>
        <w:t>甲方</w:t>
      </w:r>
      <w:r>
        <w:rPr>
          <w:rFonts w:hint="eastAsia" w:ascii="仿宋" w:hAnsi="仿宋" w:eastAsia="仿宋" w:cs="Arial"/>
          <w:b/>
          <w:kern w:val="0"/>
          <w:sz w:val="24"/>
          <w:highlight w:val="none"/>
        </w:rPr>
        <w:t>（采购人）名称</w:t>
      </w:r>
      <w:r>
        <w:rPr>
          <w:rFonts w:ascii="仿宋" w:hAnsi="仿宋" w:eastAsia="仿宋" w:cs="Arial"/>
          <w:b/>
          <w:kern w:val="0"/>
          <w:sz w:val="24"/>
          <w:highlight w:val="none"/>
        </w:rPr>
        <w:t>：</w:t>
      </w:r>
      <w:r>
        <w:rPr>
          <w:rFonts w:ascii="仿宋" w:hAnsi="仿宋" w:eastAsia="仿宋" w:cs="Arial"/>
          <w:kern w:val="0"/>
          <w:sz w:val="24"/>
          <w:highlight w:val="none"/>
        </w:rPr>
        <w:t>___________________________________________</w:t>
      </w:r>
    </w:p>
    <w:p>
      <w:pPr>
        <w:snapToGrid w:val="0"/>
        <w:spacing w:line="440" w:lineRule="exact"/>
        <w:rPr>
          <w:rFonts w:ascii="仿宋" w:hAnsi="仿宋" w:eastAsia="仿宋" w:cs="Arial"/>
          <w:kern w:val="0"/>
          <w:sz w:val="24"/>
          <w:highlight w:val="none"/>
        </w:rPr>
      </w:pPr>
      <w:r>
        <w:rPr>
          <w:rFonts w:hint="eastAsia" w:ascii="仿宋" w:hAnsi="仿宋" w:eastAsia="仿宋" w:cs="Arial"/>
          <w:kern w:val="0"/>
          <w:sz w:val="24"/>
          <w:highlight w:val="none"/>
        </w:rPr>
        <w:t>住    所：</w:t>
      </w:r>
      <w:r>
        <w:rPr>
          <w:rFonts w:ascii="仿宋" w:hAnsi="仿宋" w:eastAsia="仿宋" w:cs="Arial"/>
          <w:kern w:val="0"/>
          <w:sz w:val="24"/>
          <w:highlight w:val="none"/>
        </w:rPr>
        <w:t>______________________________________________________</w:t>
      </w:r>
    </w:p>
    <w:p>
      <w:pPr>
        <w:snapToGrid w:val="0"/>
        <w:spacing w:line="440" w:lineRule="exact"/>
        <w:rPr>
          <w:rFonts w:ascii="仿宋" w:hAnsi="仿宋" w:eastAsia="仿宋" w:cs="Arial"/>
          <w:kern w:val="0"/>
          <w:sz w:val="24"/>
          <w:highlight w:val="none"/>
        </w:rPr>
      </w:pPr>
      <w:r>
        <w:rPr>
          <w:rFonts w:hint="eastAsia" w:ascii="仿宋" w:hAnsi="仿宋" w:eastAsia="仿宋" w:cs="Arial"/>
          <w:kern w:val="0"/>
          <w:sz w:val="24"/>
          <w:highlight w:val="none"/>
        </w:rPr>
        <w:t>联系方式：</w:t>
      </w:r>
      <w:r>
        <w:rPr>
          <w:rFonts w:ascii="仿宋" w:hAnsi="仿宋" w:eastAsia="仿宋" w:cs="Arial"/>
          <w:kern w:val="0"/>
          <w:sz w:val="24"/>
          <w:highlight w:val="none"/>
        </w:rPr>
        <w:t>______________________________________________________</w:t>
      </w:r>
    </w:p>
    <w:p>
      <w:pPr>
        <w:snapToGrid w:val="0"/>
        <w:spacing w:line="440" w:lineRule="exact"/>
        <w:rPr>
          <w:rFonts w:ascii="仿宋" w:hAnsi="仿宋" w:eastAsia="仿宋" w:cs="Arial"/>
          <w:kern w:val="0"/>
          <w:sz w:val="24"/>
          <w:highlight w:val="none"/>
        </w:rPr>
      </w:pPr>
      <w:r>
        <w:rPr>
          <w:rFonts w:ascii="仿宋" w:hAnsi="仿宋" w:eastAsia="仿宋" w:cs="Arial"/>
          <w:b/>
          <w:kern w:val="0"/>
          <w:sz w:val="24"/>
          <w:highlight w:val="none"/>
        </w:rPr>
        <w:t>乙方</w:t>
      </w:r>
      <w:r>
        <w:rPr>
          <w:rFonts w:hint="eastAsia" w:ascii="仿宋" w:hAnsi="仿宋" w:eastAsia="仿宋" w:cs="Arial"/>
          <w:b/>
          <w:kern w:val="0"/>
          <w:sz w:val="24"/>
          <w:highlight w:val="none"/>
        </w:rPr>
        <w:t>（成交供应商）名称</w:t>
      </w:r>
      <w:r>
        <w:rPr>
          <w:rFonts w:ascii="仿宋" w:hAnsi="仿宋" w:eastAsia="仿宋" w:cs="Arial"/>
          <w:b/>
          <w:kern w:val="0"/>
          <w:sz w:val="24"/>
          <w:highlight w:val="none"/>
        </w:rPr>
        <w:t>：</w:t>
      </w:r>
      <w:r>
        <w:rPr>
          <w:rFonts w:ascii="仿宋" w:hAnsi="仿宋" w:eastAsia="仿宋" w:cs="Arial"/>
          <w:kern w:val="0"/>
          <w:sz w:val="24"/>
          <w:highlight w:val="none"/>
        </w:rPr>
        <w:t>_______________________________________</w:t>
      </w:r>
    </w:p>
    <w:p>
      <w:pPr>
        <w:snapToGrid w:val="0"/>
        <w:spacing w:line="440" w:lineRule="exact"/>
        <w:rPr>
          <w:rFonts w:ascii="仿宋" w:hAnsi="仿宋" w:eastAsia="仿宋" w:cs="Arial"/>
          <w:kern w:val="0"/>
          <w:sz w:val="24"/>
          <w:highlight w:val="none"/>
        </w:rPr>
      </w:pPr>
      <w:r>
        <w:rPr>
          <w:rFonts w:hint="eastAsia" w:ascii="仿宋" w:hAnsi="仿宋" w:eastAsia="仿宋" w:cs="Arial"/>
          <w:kern w:val="0"/>
          <w:sz w:val="24"/>
          <w:highlight w:val="none"/>
        </w:rPr>
        <w:t>住    所：</w:t>
      </w:r>
      <w:r>
        <w:rPr>
          <w:rFonts w:ascii="仿宋" w:hAnsi="仿宋" w:eastAsia="仿宋" w:cs="Arial"/>
          <w:kern w:val="0"/>
          <w:sz w:val="24"/>
          <w:highlight w:val="none"/>
        </w:rPr>
        <w:t>______________________________________________________</w:t>
      </w:r>
    </w:p>
    <w:p>
      <w:pPr>
        <w:snapToGrid w:val="0"/>
        <w:spacing w:line="440" w:lineRule="exact"/>
        <w:rPr>
          <w:rFonts w:ascii="仿宋" w:hAnsi="仿宋" w:eastAsia="仿宋" w:cs="Arial"/>
          <w:kern w:val="0"/>
          <w:sz w:val="24"/>
          <w:highlight w:val="none"/>
        </w:rPr>
      </w:pPr>
      <w:r>
        <w:rPr>
          <w:rFonts w:hint="eastAsia" w:ascii="仿宋" w:hAnsi="仿宋" w:eastAsia="仿宋" w:cs="Arial"/>
          <w:kern w:val="0"/>
          <w:sz w:val="24"/>
          <w:highlight w:val="none"/>
        </w:rPr>
        <w:t>联系方式：</w:t>
      </w:r>
      <w:r>
        <w:rPr>
          <w:rFonts w:ascii="仿宋" w:hAnsi="仿宋" w:eastAsia="仿宋" w:cs="Arial"/>
          <w:kern w:val="0"/>
          <w:sz w:val="24"/>
          <w:highlight w:val="none"/>
        </w:rPr>
        <w:t>______________________________________________________</w:t>
      </w:r>
    </w:p>
    <w:p>
      <w:pPr>
        <w:snapToGrid w:val="0"/>
        <w:spacing w:line="440" w:lineRule="exact"/>
        <w:ind w:firstLine="480" w:firstLineChars="200"/>
        <w:rPr>
          <w:rFonts w:ascii="仿宋" w:hAnsi="仿宋" w:eastAsia="仿宋"/>
          <w:sz w:val="24"/>
          <w:highlight w:val="none"/>
        </w:rPr>
      </w:pPr>
      <w:r>
        <w:rPr>
          <w:rFonts w:hint="eastAsia" w:ascii="仿宋" w:hAnsi="仿宋" w:eastAsia="仿宋"/>
          <w:sz w:val="24"/>
          <w:highlight w:val="none"/>
        </w:rPr>
        <w:t>甲、乙双方根据</w:t>
      </w:r>
      <w:r>
        <w:rPr>
          <w:rFonts w:hint="eastAsia" w:ascii="仿宋" w:hAnsi="仿宋" w:eastAsia="仿宋"/>
          <w:sz w:val="24"/>
          <w:highlight w:val="none"/>
          <w:lang w:eastAsia="zh-CN"/>
        </w:rPr>
        <w:t>杭州市规划和自然资源局余杭分局</w:t>
      </w:r>
      <w:r>
        <w:rPr>
          <w:rFonts w:hint="eastAsia" w:ascii="仿宋" w:hAnsi="仿宋" w:eastAsia="仿宋"/>
          <w:sz w:val="24"/>
          <w:highlight w:val="none"/>
        </w:rPr>
        <w:t>的</w:t>
      </w:r>
      <w:r>
        <w:rPr>
          <w:rFonts w:hint="eastAsia" w:ascii="仿宋" w:hAnsi="仿宋" w:eastAsia="仿宋"/>
          <w:sz w:val="24"/>
          <w:highlight w:val="none"/>
          <w:lang w:eastAsia="zh-CN"/>
        </w:rPr>
        <w:t>余杭区地质灾害“一坡一卡”调查项目</w:t>
      </w:r>
      <w:r>
        <w:rPr>
          <w:rFonts w:hint="eastAsia" w:ascii="仿宋" w:hAnsi="仿宋" w:eastAsia="仿宋" w:cs="Arial"/>
          <w:sz w:val="24"/>
          <w:highlight w:val="none"/>
        </w:rPr>
        <w:t>（项目编</w:t>
      </w:r>
      <w:r>
        <w:rPr>
          <w:rFonts w:hint="eastAsia" w:ascii="仿宋" w:hAnsi="仿宋" w:eastAsia="仿宋"/>
          <w:sz w:val="24"/>
          <w:highlight w:val="none"/>
        </w:rPr>
        <w:t>号：      ）的采购结果，签署本合同，具体内容如下：</w:t>
      </w:r>
    </w:p>
    <w:p>
      <w:pPr>
        <w:keepNext/>
        <w:keepLines/>
        <w:snapToGrid w:val="0"/>
        <w:spacing w:line="440" w:lineRule="exact"/>
        <w:jc w:val="left"/>
        <w:rPr>
          <w:rFonts w:ascii="仿宋" w:hAnsi="仿宋" w:eastAsia="仿宋"/>
          <w:b/>
          <w:bCs/>
          <w:kern w:val="0"/>
          <w:sz w:val="24"/>
          <w:highlight w:val="none"/>
        </w:rPr>
      </w:pPr>
      <w:r>
        <w:rPr>
          <w:rFonts w:ascii="仿宋" w:hAnsi="仿宋" w:eastAsia="仿宋"/>
          <w:b/>
          <w:bCs/>
          <w:kern w:val="0"/>
          <w:sz w:val="24"/>
          <w:highlight w:val="none"/>
        </w:rPr>
        <w:t>一、</w:t>
      </w:r>
      <w:r>
        <w:rPr>
          <w:rFonts w:hint="eastAsia" w:ascii="仿宋" w:hAnsi="仿宋" w:eastAsia="仿宋"/>
          <w:b/>
          <w:bCs/>
          <w:kern w:val="0"/>
          <w:sz w:val="24"/>
          <w:highlight w:val="none"/>
        </w:rPr>
        <w:t>合同内容（采购标的与数量）</w:t>
      </w:r>
    </w:p>
    <w:p>
      <w:pPr>
        <w:snapToGrid w:val="0"/>
        <w:spacing w:line="440" w:lineRule="exact"/>
        <w:ind w:firstLine="422" w:firstLineChars="176"/>
        <w:rPr>
          <w:rFonts w:ascii="仿宋" w:hAnsi="仿宋" w:eastAsia="仿宋" w:cs="Arial"/>
          <w:kern w:val="0"/>
          <w:sz w:val="24"/>
          <w:highlight w:val="none"/>
          <w:u w:val="single"/>
        </w:rPr>
      </w:pPr>
      <w:r>
        <w:rPr>
          <w:rFonts w:ascii="仿宋" w:hAnsi="仿宋" w:eastAsia="仿宋" w:cs="Arial"/>
          <w:kern w:val="0"/>
          <w:sz w:val="24"/>
          <w:highlight w:val="none"/>
        </w:rPr>
        <w:t>_____________________________________________________________</w:t>
      </w:r>
    </w:p>
    <w:p>
      <w:pPr>
        <w:keepNext/>
        <w:keepLines/>
        <w:snapToGrid w:val="0"/>
        <w:spacing w:line="440" w:lineRule="exact"/>
        <w:jc w:val="left"/>
        <w:rPr>
          <w:rFonts w:ascii="仿宋" w:hAnsi="仿宋" w:eastAsia="仿宋"/>
          <w:b/>
          <w:bCs/>
          <w:kern w:val="0"/>
          <w:sz w:val="24"/>
          <w:highlight w:val="none"/>
        </w:rPr>
      </w:pPr>
      <w:r>
        <w:rPr>
          <w:rFonts w:ascii="仿宋" w:hAnsi="仿宋" w:eastAsia="仿宋"/>
          <w:b/>
          <w:bCs/>
          <w:kern w:val="0"/>
          <w:sz w:val="24"/>
          <w:highlight w:val="none"/>
        </w:rPr>
        <w:t>二、合同金额</w:t>
      </w:r>
    </w:p>
    <w:p>
      <w:pPr>
        <w:snapToGrid w:val="0"/>
        <w:spacing w:line="440" w:lineRule="exact"/>
        <w:ind w:firstLine="424" w:firstLineChars="176"/>
        <w:jc w:val="left"/>
        <w:rPr>
          <w:rFonts w:ascii="仿宋" w:hAnsi="仿宋" w:eastAsia="仿宋" w:cs="Arial"/>
          <w:kern w:val="0"/>
          <w:sz w:val="24"/>
          <w:highlight w:val="none"/>
        </w:rPr>
      </w:pPr>
      <w:r>
        <w:rPr>
          <w:rFonts w:hint="eastAsia" w:ascii="仿宋" w:hAnsi="仿宋" w:eastAsia="仿宋" w:cs="Arial"/>
          <w:b/>
          <w:kern w:val="0"/>
          <w:sz w:val="24"/>
          <w:highlight w:val="none"/>
        </w:rPr>
        <w:t>2.1</w:t>
      </w:r>
      <w:r>
        <w:rPr>
          <w:rFonts w:ascii="仿宋" w:hAnsi="仿宋" w:eastAsia="仿宋" w:cs="Arial"/>
          <w:b/>
          <w:kern w:val="0"/>
          <w:sz w:val="24"/>
          <w:highlight w:val="none"/>
        </w:rPr>
        <w:t>合同金额</w:t>
      </w:r>
      <w:r>
        <w:rPr>
          <w:rFonts w:hint="eastAsia" w:ascii="仿宋" w:hAnsi="仿宋" w:eastAsia="仿宋" w:cs="Arial"/>
          <w:b/>
          <w:kern w:val="0"/>
          <w:sz w:val="24"/>
          <w:highlight w:val="none"/>
        </w:rPr>
        <w:t>：</w:t>
      </w:r>
      <w:r>
        <w:rPr>
          <w:rFonts w:ascii="仿宋" w:hAnsi="仿宋" w:eastAsia="仿宋" w:cs="Arial"/>
          <w:kern w:val="0"/>
          <w:sz w:val="24"/>
          <w:highlight w:val="none"/>
        </w:rPr>
        <w:t>人民币________</w:t>
      </w:r>
      <w:r>
        <w:rPr>
          <w:rFonts w:ascii="仿宋" w:hAnsi="仿宋" w:eastAsia="仿宋" w:cs="Arial"/>
          <w:kern w:val="0"/>
          <w:sz w:val="24"/>
          <w:highlight w:val="none"/>
          <w:u w:val="single"/>
        </w:rPr>
        <w:t>（大写）</w:t>
      </w:r>
      <w:r>
        <w:rPr>
          <w:rFonts w:ascii="仿宋" w:hAnsi="仿宋" w:eastAsia="仿宋" w:cs="Arial"/>
          <w:kern w:val="0"/>
          <w:sz w:val="24"/>
          <w:highlight w:val="none"/>
        </w:rPr>
        <w:t>________元（￥_______元）。</w:t>
      </w:r>
    </w:p>
    <w:p>
      <w:pPr>
        <w:snapToGrid w:val="0"/>
        <w:spacing w:line="440" w:lineRule="exact"/>
        <w:ind w:firstLine="424" w:firstLineChars="176"/>
        <w:jc w:val="left"/>
        <w:rPr>
          <w:rFonts w:ascii="仿宋" w:hAnsi="仿宋" w:eastAsia="仿宋" w:cs="Arial"/>
          <w:kern w:val="0"/>
          <w:sz w:val="24"/>
          <w:highlight w:val="none"/>
        </w:rPr>
      </w:pPr>
      <w:r>
        <w:rPr>
          <w:rFonts w:hint="eastAsia" w:ascii="仿宋" w:hAnsi="仿宋" w:eastAsia="仿宋" w:cs="Arial"/>
          <w:b/>
          <w:kern w:val="0"/>
          <w:sz w:val="24"/>
          <w:highlight w:val="none"/>
        </w:rPr>
        <w:t>2.2报价范围：</w:t>
      </w:r>
      <w:r>
        <w:rPr>
          <w:rFonts w:ascii="仿宋" w:hAnsi="仿宋" w:eastAsia="仿宋" w:cs="Arial"/>
          <w:kern w:val="0"/>
          <w:sz w:val="24"/>
          <w:highlight w:val="none"/>
        </w:rPr>
        <w:t>______________________________________________________</w:t>
      </w:r>
    </w:p>
    <w:p>
      <w:pPr>
        <w:snapToGrid w:val="0"/>
        <w:spacing w:line="440" w:lineRule="exact"/>
        <w:ind w:firstLine="424" w:firstLineChars="176"/>
        <w:jc w:val="left"/>
        <w:rPr>
          <w:rFonts w:ascii="仿宋" w:hAnsi="仿宋" w:eastAsia="仿宋" w:cs="Arial"/>
          <w:kern w:val="0"/>
          <w:sz w:val="24"/>
          <w:highlight w:val="none"/>
        </w:rPr>
      </w:pPr>
      <w:r>
        <w:rPr>
          <w:rFonts w:hint="eastAsia" w:ascii="仿宋" w:hAnsi="仿宋" w:eastAsia="仿宋" w:cs="Arial"/>
          <w:b/>
          <w:kern w:val="0"/>
          <w:sz w:val="24"/>
          <w:highlight w:val="none"/>
        </w:rPr>
        <w:t>2.3报价明细组成：</w:t>
      </w:r>
      <w:r>
        <w:rPr>
          <w:rFonts w:ascii="仿宋" w:hAnsi="仿宋" w:eastAsia="仿宋" w:cs="Arial"/>
          <w:kern w:val="0"/>
          <w:sz w:val="24"/>
          <w:highlight w:val="none"/>
        </w:rPr>
        <w:t>_____________________________________________________</w:t>
      </w:r>
    </w:p>
    <w:p>
      <w:pPr>
        <w:keepNext/>
        <w:keepLines/>
        <w:snapToGrid w:val="0"/>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三、质量或服务要求</w:t>
      </w:r>
    </w:p>
    <w:p>
      <w:pPr>
        <w:snapToGrid w:val="0"/>
        <w:spacing w:line="440" w:lineRule="exact"/>
        <w:ind w:firstLine="463" w:firstLineChars="192"/>
        <w:jc w:val="left"/>
        <w:rPr>
          <w:rFonts w:ascii="仿宋" w:hAnsi="仿宋" w:eastAsia="仿宋" w:cs="Arial"/>
          <w:kern w:val="0"/>
          <w:sz w:val="24"/>
          <w:highlight w:val="none"/>
          <w:u w:val="single"/>
        </w:rPr>
      </w:pPr>
      <w:r>
        <w:rPr>
          <w:rFonts w:hint="eastAsia" w:ascii="仿宋" w:hAnsi="仿宋" w:eastAsia="仿宋" w:cs="Arial"/>
          <w:b/>
          <w:kern w:val="0"/>
          <w:sz w:val="24"/>
          <w:highlight w:val="none"/>
        </w:rPr>
        <w:t>3.1质量要求：</w:t>
      </w:r>
      <w:r>
        <w:rPr>
          <w:rFonts w:hint="eastAsia" w:ascii="仿宋" w:hAnsi="仿宋" w:eastAsia="仿宋" w:cs="Arial"/>
          <w:sz w:val="24"/>
          <w:highlight w:val="none"/>
          <w:u w:val="single"/>
        </w:rPr>
        <w:t>合格（符合采购文件要求、投标承诺以及</w:t>
      </w:r>
      <w:r>
        <w:rPr>
          <w:rFonts w:ascii="仿宋" w:hAnsi="仿宋" w:eastAsia="仿宋" w:cs="Arial"/>
          <w:sz w:val="24"/>
          <w:highlight w:val="none"/>
          <w:u w:val="single"/>
        </w:rPr>
        <w:t>国家</w:t>
      </w:r>
      <w:r>
        <w:rPr>
          <w:rFonts w:hint="eastAsia" w:ascii="仿宋" w:hAnsi="仿宋" w:eastAsia="仿宋" w:cs="Arial"/>
          <w:sz w:val="24"/>
          <w:highlight w:val="none"/>
          <w:u w:val="single"/>
        </w:rPr>
        <w:t>、行业</w:t>
      </w:r>
      <w:r>
        <w:rPr>
          <w:rFonts w:ascii="仿宋" w:hAnsi="仿宋" w:eastAsia="仿宋" w:cs="Arial"/>
          <w:sz w:val="24"/>
          <w:highlight w:val="none"/>
          <w:u w:val="single"/>
        </w:rPr>
        <w:t>有关技术规范和标准</w:t>
      </w:r>
      <w:r>
        <w:rPr>
          <w:rFonts w:hint="eastAsia" w:ascii="仿宋" w:hAnsi="仿宋" w:eastAsia="仿宋" w:cs="Arial"/>
          <w:sz w:val="24"/>
          <w:highlight w:val="none"/>
          <w:u w:val="single"/>
        </w:rPr>
        <w:t>）</w:t>
      </w:r>
    </w:p>
    <w:p>
      <w:pPr>
        <w:snapToGrid w:val="0"/>
        <w:spacing w:line="440" w:lineRule="exact"/>
        <w:ind w:firstLine="463" w:firstLineChars="192"/>
        <w:jc w:val="left"/>
        <w:rPr>
          <w:rFonts w:ascii="仿宋" w:hAnsi="仿宋" w:eastAsia="仿宋" w:cs="Arial"/>
          <w:b/>
          <w:kern w:val="0"/>
          <w:sz w:val="24"/>
          <w:highlight w:val="none"/>
          <w:u w:val="single"/>
        </w:rPr>
      </w:pPr>
      <w:r>
        <w:rPr>
          <w:rFonts w:hint="eastAsia" w:ascii="仿宋" w:hAnsi="仿宋" w:eastAsia="仿宋" w:cs="Arial"/>
          <w:b/>
          <w:kern w:val="0"/>
          <w:sz w:val="24"/>
          <w:highlight w:val="none"/>
        </w:rPr>
        <w:t>3.2服务要求：</w:t>
      </w:r>
      <w:r>
        <w:rPr>
          <w:rFonts w:hint="eastAsia" w:ascii="仿宋" w:hAnsi="仿宋" w:eastAsia="仿宋" w:cs="Arial"/>
          <w:b/>
          <w:kern w:val="0"/>
          <w:sz w:val="24"/>
          <w:highlight w:val="none"/>
          <w:u w:val="single"/>
        </w:rPr>
        <w:t xml:space="preserve">以采购需求为基本要求。                                  </w:t>
      </w:r>
    </w:p>
    <w:p>
      <w:pPr>
        <w:keepNext/>
        <w:keepLines/>
        <w:snapToGrid w:val="0"/>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四</w:t>
      </w:r>
      <w:r>
        <w:rPr>
          <w:rFonts w:ascii="仿宋" w:hAnsi="仿宋" w:eastAsia="仿宋"/>
          <w:b/>
          <w:bCs/>
          <w:kern w:val="0"/>
          <w:sz w:val="24"/>
          <w:highlight w:val="none"/>
        </w:rPr>
        <w:t>、技术资料</w:t>
      </w:r>
    </w:p>
    <w:p>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4</w:t>
      </w:r>
      <w:r>
        <w:rPr>
          <w:rFonts w:ascii="仿宋" w:hAnsi="仿宋" w:eastAsia="仿宋" w:cs="Arial"/>
          <w:kern w:val="0"/>
          <w:sz w:val="24"/>
          <w:highlight w:val="none"/>
        </w:rPr>
        <w:t>.1乙方应按《采购文件》规定的时间向甲方提供有关技术资料。</w:t>
      </w:r>
    </w:p>
    <w:p>
      <w:pPr>
        <w:snapToGrid w:val="0"/>
        <w:spacing w:line="440" w:lineRule="exact"/>
        <w:ind w:left="1"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4</w:t>
      </w:r>
      <w:r>
        <w:rPr>
          <w:rFonts w:ascii="仿宋" w:hAnsi="仿宋" w:eastAsia="仿宋" w:cs="Arial"/>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napToGrid w:val="0"/>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五</w:t>
      </w:r>
      <w:r>
        <w:rPr>
          <w:rFonts w:ascii="仿宋" w:hAnsi="仿宋" w:eastAsia="仿宋"/>
          <w:b/>
          <w:bCs/>
          <w:kern w:val="0"/>
          <w:sz w:val="24"/>
          <w:highlight w:val="none"/>
        </w:rPr>
        <w:t>、知识产权</w:t>
      </w:r>
      <w:r>
        <w:rPr>
          <w:rFonts w:hint="eastAsia" w:ascii="仿宋" w:hAnsi="仿宋" w:eastAsia="仿宋"/>
          <w:b/>
          <w:bCs/>
          <w:kern w:val="0"/>
          <w:sz w:val="24"/>
          <w:highlight w:val="none"/>
        </w:rPr>
        <w:t>与产权担保</w:t>
      </w:r>
    </w:p>
    <w:p>
      <w:pPr>
        <w:snapToGrid w:val="0"/>
        <w:spacing w:line="440" w:lineRule="exact"/>
        <w:ind w:firstLine="424" w:firstLineChars="177"/>
        <w:rPr>
          <w:rFonts w:ascii="仿宋" w:hAnsi="仿宋" w:eastAsia="仿宋" w:cs="Arial"/>
          <w:b/>
          <w:kern w:val="0"/>
          <w:sz w:val="24"/>
          <w:highlight w:val="none"/>
        </w:rPr>
      </w:pPr>
      <w:r>
        <w:rPr>
          <w:rFonts w:hint="eastAsia" w:ascii="仿宋" w:hAnsi="仿宋" w:eastAsia="仿宋" w:cs="Arial"/>
          <w:kern w:val="0"/>
          <w:sz w:val="24"/>
          <w:highlight w:val="none"/>
        </w:rPr>
        <w:t>5.1</w:t>
      </w:r>
      <w:r>
        <w:rPr>
          <w:rFonts w:ascii="仿宋" w:hAnsi="仿宋" w:eastAsia="仿宋" w:cs="Arial"/>
          <w:kern w:val="0"/>
          <w:sz w:val="24"/>
          <w:highlight w:val="none"/>
        </w:rPr>
        <w:t>乙方应保证所提供的</w:t>
      </w:r>
      <w:r>
        <w:rPr>
          <w:rFonts w:hint="eastAsia" w:ascii="仿宋" w:hAnsi="仿宋" w:eastAsia="仿宋" w:cs="Arial"/>
          <w:kern w:val="0"/>
          <w:sz w:val="24"/>
          <w:highlight w:val="none"/>
        </w:rPr>
        <w:t>产品（服务）</w:t>
      </w:r>
      <w:r>
        <w:rPr>
          <w:rFonts w:ascii="仿宋" w:hAnsi="仿宋" w:eastAsia="仿宋" w:cs="Arial"/>
          <w:kern w:val="0"/>
          <w:sz w:val="24"/>
          <w:highlight w:val="none"/>
        </w:rPr>
        <w:t>其任何一部分均不会侵犯任何第三方的知识产权。</w:t>
      </w:r>
    </w:p>
    <w:p>
      <w:pPr>
        <w:snapToGrid w:val="0"/>
        <w:spacing w:line="440" w:lineRule="exact"/>
        <w:ind w:firstLine="424" w:firstLineChars="177"/>
        <w:rPr>
          <w:rFonts w:ascii="仿宋" w:hAnsi="仿宋" w:eastAsia="仿宋" w:cs="Arial"/>
          <w:b/>
          <w:kern w:val="0"/>
          <w:sz w:val="24"/>
          <w:highlight w:val="none"/>
        </w:rPr>
      </w:pPr>
      <w:r>
        <w:rPr>
          <w:rFonts w:hint="eastAsia" w:ascii="仿宋" w:hAnsi="仿宋" w:eastAsia="仿宋" w:cs="Arial"/>
          <w:kern w:val="0"/>
          <w:sz w:val="24"/>
          <w:highlight w:val="none"/>
        </w:rPr>
        <w:t>5.2</w:t>
      </w:r>
      <w:r>
        <w:rPr>
          <w:rFonts w:ascii="仿宋" w:hAnsi="仿宋" w:eastAsia="仿宋" w:cs="Arial"/>
          <w:kern w:val="0"/>
          <w:sz w:val="24"/>
          <w:highlight w:val="none"/>
        </w:rPr>
        <w:t>乙方保证所交付的</w:t>
      </w:r>
      <w:r>
        <w:rPr>
          <w:rFonts w:hint="eastAsia" w:ascii="仿宋" w:hAnsi="仿宋" w:eastAsia="仿宋" w:cs="Arial"/>
          <w:kern w:val="0"/>
          <w:sz w:val="24"/>
          <w:highlight w:val="none"/>
        </w:rPr>
        <w:t>产品（服务）</w:t>
      </w:r>
      <w:r>
        <w:rPr>
          <w:rFonts w:ascii="仿宋" w:hAnsi="仿宋" w:eastAsia="仿宋" w:cs="Arial"/>
          <w:kern w:val="0"/>
          <w:sz w:val="24"/>
          <w:highlight w:val="none"/>
        </w:rPr>
        <w:t>的所有权完全属于乙方且无任何抵押、查封等产权瑕疵。</w:t>
      </w:r>
    </w:p>
    <w:p>
      <w:pPr>
        <w:keepNext/>
        <w:keepLines/>
        <w:snapToGrid w:val="0"/>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六</w:t>
      </w:r>
      <w:r>
        <w:rPr>
          <w:rFonts w:ascii="仿宋" w:hAnsi="仿宋" w:eastAsia="仿宋"/>
          <w:b/>
          <w:bCs/>
          <w:kern w:val="0"/>
          <w:sz w:val="24"/>
          <w:highlight w:val="none"/>
        </w:rPr>
        <w:t>、转包或分包</w:t>
      </w:r>
    </w:p>
    <w:p>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6</w:t>
      </w:r>
      <w:r>
        <w:rPr>
          <w:rFonts w:ascii="仿宋" w:hAnsi="仿宋" w:eastAsia="仿宋" w:cs="Arial"/>
          <w:kern w:val="0"/>
          <w:sz w:val="24"/>
          <w:highlight w:val="none"/>
        </w:rPr>
        <w:t>.1</w:t>
      </w:r>
      <w:r>
        <w:rPr>
          <w:rFonts w:hint="eastAsia" w:ascii="仿宋" w:hAnsi="仿宋" w:eastAsia="仿宋" w:cs="Arial"/>
          <w:kern w:val="0"/>
          <w:sz w:val="24"/>
          <w:highlight w:val="none"/>
        </w:rPr>
        <w:t>本项目不允许转包、分包。</w:t>
      </w:r>
    </w:p>
    <w:p>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6</w:t>
      </w:r>
      <w:r>
        <w:rPr>
          <w:rFonts w:ascii="仿宋" w:hAnsi="仿宋" w:eastAsia="仿宋" w:cs="Arial"/>
          <w:kern w:val="0"/>
          <w:sz w:val="24"/>
          <w:highlight w:val="none"/>
        </w:rPr>
        <w:t>.</w:t>
      </w:r>
      <w:r>
        <w:rPr>
          <w:rFonts w:hint="eastAsia" w:ascii="仿宋" w:hAnsi="仿宋" w:eastAsia="仿宋" w:cs="Arial"/>
          <w:kern w:val="0"/>
          <w:sz w:val="24"/>
          <w:highlight w:val="none"/>
        </w:rPr>
        <w:t>2乙方如将项目转包或有</w:t>
      </w:r>
      <w:r>
        <w:rPr>
          <w:rFonts w:ascii="仿宋" w:hAnsi="仿宋" w:eastAsia="仿宋" w:cs="Arial"/>
          <w:kern w:val="0"/>
          <w:sz w:val="24"/>
          <w:highlight w:val="none"/>
        </w:rPr>
        <w:t>未经</w:t>
      </w:r>
      <w:r>
        <w:rPr>
          <w:rFonts w:hint="eastAsia" w:ascii="仿宋" w:hAnsi="仿宋" w:eastAsia="仿宋" w:cs="Arial"/>
          <w:kern w:val="0"/>
          <w:sz w:val="24"/>
          <w:highlight w:val="none"/>
        </w:rPr>
        <w:t>甲方</w:t>
      </w:r>
      <w:r>
        <w:rPr>
          <w:rFonts w:ascii="仿宋" w:hAnsi="仿宋" w:eastAsia="仿宋" w:cs="Arial"/>
          <w:kern w:val="0"/>
          <w:sz w:val="24"/>
          <w:highlight w:val="none"/>
        </w:rPr>
        <w:t>同意的分包行为，</w:t>
      </w:r>
      <w:r>
        <w:rPr>
          <w:rFonts w:hint="eastAsia" w:ascii="仿宋" w:hAnsi="仿宋" w:eastAsia="仿宋" w:cs="Arial"/>
          <w:kern w:val="0"/>
          <w:sz w:val="24"/>
          <w:highlight w:val="none"/>
        </w:rPr>
        <w:t>甲方</w:t>
      </w:r>
      <w:r>
        <w:rPr>
          <w:rFonts w:ascii="仿宋" w:hAnsi="仿宋" w:eastAsia="仿宋" w:cs="Arial"/>
          <w:kern w:val="0"/>
          <w:sz w:val="24"/>
          <w:highlight w:val="none"/>
        </w:rPr>
        <w:t>有权</w:t>
      </w:r>
      <w:r>
        <w:rPr>
          <w:rFonts w:hint="eastAsia" w:ascii="仿宋" w:hAnsi="仿宋" w:eastAsia="仿宋" w:cs="Arial"/>
          <w:kern w:val="0"/>
          <w:sz w:val="24"/>
          <w:highlight w:val="none"/>
        </w:rPr>
        <w:t>解除合同，没收履约保证金并追究乙方的违约责任。</w:t>
      </w:r>
    </w:p>
    <w:p>
      <w:pPr>
        <w:keepNext/>
        <w:keepLines/>
        <w:snapToGrid w:val="0"/>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七</w:t>
      </w:r>
      <w:r>
        <w:rPr>
          <w:rFonts w:ascii="仿宋" w:hAnsi="仿宋" w:eastAsia="仿宋"/>
          <w:b/>
          <w:bCs/>
          <w:kern w:val="0"/>
          <w:sz w:val="24"/>
          <w:highlight w:val="none"/>
        </w:rPr>
        <w:t>、</w:t>
      </w:r>
      <w:r>
        <w:rPr>
          <w:rFonts w:hint="eastAsia" w:ascii="仿宋" w:hAnsi="仿宋" w:eastAsia="仿宋"/>
          <w:b/>
          <w:bCs/>
          <w:kern w:val="0"/>
          <w:sz w:val="24"/>
          <w:highlight w:val="none"/>
        </w:rPr>
        <w:t>合同服务期和实施地点</w:t>
      </w:r>
    </w:p>
    <w:p>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7</w:t>
      </w:r>
      <w:r>
        <w:rPr>
          <w:rFonts w:ascii="仿宋" w:hAnsi="仿宋" w:eastAsia="仿宋" w:cs="Arial"/>
          <w:kern w:val="0"/>
          <w:sz w:val="24"/>
          <w:highlight w:val="none"/>
        </w:rPr>
        <w:t>.1</w:t>
      </w:r>
      <w:r>
        <w:rPr>
          <w:rFonts w:hint="eastAsia" w:ascii="仿宋" w:hAnsi="仿宋" w:eastAsia="仿宋" w:cs="Arial"/>
          <w:kern w:val="0"/>
          <w:sz w:val="24"/>
          <w:highlight w:val="none"/>
        </w:rPr>
        <w:t>合同服务期：</w:t>
      </w:r>
      <w:r>
        <w:rPr>
          <w:rFonts w:ascii="仿宋" w:hAnsi="仿宋" w:eastAsia="仿宋" w:cs="Arial"/>
          <w:kern w:val="0"/>
          <w:sz w:val="24"/>
          <w:highlight w:val="none"/>
        </w:rPr>
        <w:t>________________________________________</w:t>
      </w:r>
    </w:p>
    <w:p>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7.2实施地点：</w:t>
      </w:r>
      <w:r>
        <w:rPr>
          <w:rFonts w:ascii="仿宋" w:hAnsi="仿宋" w:eastAsia="仿宋" w:cs="Arial"/>
          <w:kern w:val="0"/>
          <w:sz w:val="24"/>
          <w:highlight w:val="none"/>
        </w:rPr>
        <w:t>__________________________________________</w:t>
      </w:r>
    </w:p>
    <w:p>
      <w:pPr>
        <w:keepNext/>
        <w:keepLines/>
        <w:snapToGrid w:val="0"/>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八、履约保证金</w:t>
      </w:r>
    </w:p>
    <w:p>
      <w:pPr>
        <w:keepNext/>
        <w:keepLines/>
        <w:snapToGrid w:val="0"/>
        <w:spacing w:line="440" w:lineRule="exact"/>
        <w:ind w:firstLine="480" w:firstLineChars="200"/>
        <w:jc w:val="left"/>
        <w:rPr>
          <w:rFonts w:ascii="仿宋" w:hAnsi="仿宋" w:eastAsia="仿宋" w:cs="Arial"/>
          <w:kern w:val="0"/>
          <w:sz w:val="24"/>
          <w:highlight w:val="none"/>
        </w:rPr>
      </w:pPr>
      <w:r>
        <w:rPr>
          <w:rFonts w:hint="eastAsia" w:ascii="仿宋" w:hAnsi="仿宋" w:eastAsia="仿宋" w:cs="Arial"/>
          <w:kern w:val="0"/>
          <w:sz w:val="24"/>
          <w:highlight w:val="none"/>
        </w:rPr>
        <w:t>无。</w:t>
      </w:r>
    </w:p>
    <w:p>
      <w:pPr>
        <w:keepNext/>
        <w:keepLines/>
        <w:snapToGrid w:val="0"/>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九</w:t>
      </w:r>
      <w:r>
        <w:rPr>
          <w:rFonts w:ascii="仿宋" w:hAnsi="仿宋" w:eastAsia="仿宋"/>
          <w:b/>
          <w:bCs/>
          <w:kern w:val="0"/>
          <w:sz w:val="24"/>
          <w:highlight w:val="none"/>
        </w:rPr>
        <w:t>、</w:t>
      </w:r>
      <w:r>
        <w:rPr>
          <w:rFonts w:hint="eastAsia" w:ascii="仿宋" w:hAnsi="仿宋" w:eastAsia="仿宋"/>
          <w:b/>
          <w:bCs/>
          <w:kern w:val="0"/>
          <w:sz w:val="24"/>
          <w:highlight w:val="none"/>
        </w:rPr>
        <w:t>合同验收</w:t>
      </w:r>
    </w:p>
    <w:p>
      <w:pPr>
        <w:keepNext/>
        <w:keepLines/>
        <w:snapToGrid w:val="0"/>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十</w:t>
      </w:r>
      <w:r>
        <w:rPr>
          <w:rFonts w:ascii="仿宋" w:hAnsi="仿宋" w:eastAsia="仿宋"/>
          <w:b/>
          <w:bCs/>
          <w:kern w:val="0"/>
          <w:sz w:val="24"/>
          <w:highlight w:val="none"/>
        </w:rPr>
        <w:t>、</w:t>
      </w:r>
      <w:r>
        <w:rPr>
          <w:rFonts w:hint="eastAsia" w:ascii="仿宋" w:hAnsi="仿宋" w:eastAsia="仿宋"/>
          <w:b/>
          <w:bCs/>
          <w:kern w:val="0"/>
          <w:sz w:val="24"/>
          <w:highlight w:val="none"/>
        </w:rPr>
        <w:t>合同款</w:t>
      </w:r>
      <w:r>
        <w:rPr>
          <w:rFonts w:ascii="仿宋" w:hAnsi="仿宋" w:eastAsia="仿宋"/>
          <w:b/>
          <w:bCs/>
          <w:kern w:val="0"/>
          <w:sz w:val="24"/>
          <w:highlight w:val="none"/>
        </w:rPr>
        <w:t>支付</w:t>
      </w:r>
    </w:p>
    <w:p>
      <w:pPr>
        <w:keepNext/>
        <w:keepLines/>
        <w:snapToGrid w:val="0"/>
        <w:spacing w:line="440" w:lineRule="exact"/>
        <w:jc w:val="left"/>
        <w:rPr>
          <w:rFonts w:ascii="仿宋" w:hAnsi="仿宋" w:eastAsia="仿宋"/>
          <w:b/>
          <w:bCs/>
          <w:kern w:val="0"/>
          <w:sz w:val="24"/>
          <w:highlight w:val="none"/>
        </w:rPr>
      </w:pPr>
      <w:r>
        <w:rPr>
          <w:rFonts w:ascii="仿宋" w:hAnsi="仿宋" w:eastAsia="仿宋"/>
          <w:b/>
          <w:bCs/>
          <w:kern w:val="0"/>
          <w:sz w:val="24"/>
          <w:highlight w:val="none"/>
        </w:rPr>
        <w:t>十</w:t>
      </w:r>
      <w:r>
        <w:rPr>
          <w:rFonts w:hint="eastAsia" w:ascii="仿宋" w:hAnsi="仿宋" w:eastAsia="仿宋"/>
          <w:b/>
          <w:bCs/>
          <w:kern w:val="0"/>
          <w:sz w:val="24"/>
          <w:highlight w:val="none"/>
        </w:rPr>
        <w:t>一</w:t>
      </w:r>
      <w:r>
        <w:rPr>
          <w:rFonts w:ascii="仿宋" w:hAnsi="仿宋" w:eastAsia="仿宋"/>
          <w:b/>
          <w:bCs/>
          <w:kern w:val="0"/>
          <w:sz w:val="24"/>
          <w:highlight w:val="none"/>
        </w:rPr>
        <w:t>、违约责任</w:t>
      </w:r>
    </w:p>
    <w:p>
      <w:pPr>
        <w:snapToGrid w:val="0"/>
        <w:spacing w:line="440" w:lineRule="exact"/>
        <w:ind w:firstLine="422" w:firstLineChars="175"/>
        <w:rPr>
          <w:rFonts w:ascii="仿宋" w:hAnsi="仿宋" w:eastAsia="仿宋" w:cs="Arial"/>
          <w:b/>
          <w:kern w:val="0"/>
          <w:sz w:val="24"/>
          <w:highlight w:val="none"/>
        </w:rPr>
      </w:pPr>
      <w:r>
        <w:rPr>
          <w:rFonts w:hint="eastAsia" w:ascii="仿宋" w:hAnsi="仿宋" w:eastAsia="仿宋" w:cs="Arial"/>
          <w:b/>
          <w:kern w:val="0"/>
          <w:sz w:val="24"/>
          <w:highlight w:val="none"/>
        </w:rPr>
        <w:t>11.1甲方违约责任</w:t>
      </w:r>
    </w:p>
    <w:p>
      <w:pPr>
        <w:snapToGrid w:val="0"/>
        <w:spacing w:line="440" w:lineRule="exact"/>
        <w:ind w:firstLine="420" w:firstLineChars="175"/>
        <w:rPr>
          <w:rFonts w:ascii="仿宋" w:hAnsi="仿宋" w:eastAsia="仿宋" w:cs="Arial"/>
          <w:kern w:val="0"/>
          <w:sz w:val="24"/>
          <w:highlight w:val="none"/>
        </w:rPr>
      </w:pPr>
      <w:r>
        <w:rPr>
          <w:rFonts w:hint="eastAsia" w:ascii="仿宋" w:hAnsi="仿宋" w:eastAsia="仿宋" w:cs="Arial"/>
          <w:kern w:val="0"/>
          <w:sz w:val="24"/>
          <w:highlight w:val="none"/>
        </w:rPr>
        <w:t>（1）</w:t>
      </w:r>
      <w:r>
        <w:rPr>
          <w:rFonts w:ascii="仿宋" w:hAnsi="仿宋" w:eastAsia="仿宋" w:cs="Arial"/>
          <w:kern w:val="0"/>
          <w:sz w:val="24"/>
          <w:highlight w:val="none"/>
        </w:rPr>
        <w:t>甲方无正当理由拒收</w:t>
      </w:r>
      <w:r>
        <w:rPr>
          <w:rFonts w:hint="eastAsia" w:ascii="仿宋" w:hAnsi="仿宋" w:eastAsia="仿宋" w:cs="Arial"/>
          <w:kern w:val="0"/>
          <w:sz w:val="24"/>
          <w:highlight w:val="none"/>
        </w:rPr>
        <w:t>乙方交付的合格产品（服务）的</w:t>
      </w:r>
      <w:r>
        <w:rPr>
          <w:rFonts w:ascii="仿宋" w:hAnsi="仿宋" w:eastAsia="仿宋" w:cs="Arial"/>
          <w:kern w:val="0"/>
          <w:sz w:val="24"/>
          <w:highlight w:val="none"/>
        </w:rPr>
        <w:t>，甲方向乙方偿付拒收货款总值的百分之五违约金</w:t>
      </w:r>
      <w:r>
        <w:rPr>
          <w:rFonts w:hint="eastAsia" w:ascii="仿宋" w:hAnsi="仿宋" w:eastAsia="仿宋" w:cs="Arial"/>
          <w:kern w:val="0"/>
          <w:sz w:val="24"/>
          <w:highlight w:val="none"/>
        </w:rPr>
        <w:t>；</w:t>
      </w:r>
    </w:p>
    <w:p>
      <w:pPr>
        <w:snapToGrid w:val="0"/>
        <w:spacing w:line="440" w:lineRule="exact"/>
        <w:ind w:firstLine="420" w:firstLineChars="175"/>
        <w:rPr>
          <w:rFonts w:ascii="仿宋" w:hAnsi="仿宋" w:eastAsia="仿宋" w:cs="Arial"/>
          <w:kern w:val="0"/>
          <w:sz w:val="24"/>
          <w:highlight w:val="none"/>
        </w:rPr>
      </w:pPr>
      <w:r>
        <w:rPr>
          <w:rFonts w:hint="eastAsia" w:ascii="仿宋" w:hAnsi="仿宋" w:eastAsia="仿宋" w:cs="Arial"/>
          <w:kern w:val="0"/>
          <w:sz w:val="24"/>
          <w:highlight w:val="none"/>
        </w:rPr>
        <w:t>（2）甲方无故逾期验收和办理合同款项支付手续的,甲方应按逾期付款总额每日万分之五向乙方支付违约金。</w:t>
      </w:r>
    </w:p>
    <w:p>
      <w:pPr>
        <w:snapToGrid w:val="0"/>
        <w:spacing w:line="440" w:lineRule="exact"/>
        <w:ind w:firstLine="422" w:firstLineChars="175"/>
        <w:rPr>
          <w:rFonts w:ascii="仿宋" w:hAnsi="仿宋" w:eastAsia="仿宋" w:cs="Arial"/>
          <w:b/>
          <w:kern w:val="0"/>
          <w:sz w:val="24"/>
          <w:highlight w:val="none"/>
        </w:rPr>
      </w:pPr>
      <w:r>
        <w:rPr>
          <w:rFonts w:hint="eastAsia" w:ascii="仿宋" w:hAnsi="仿宋" w:eastAsia="仿宋" w:cs="Arial"/>
          <w:b/>
          <w:kern w:val="0"/>
          <w:sz w:val="24"/>
          <w:highlight w:val="none"/>
        </w:rPr>
        <w:t>11.2乙方违约责任</w:t>
      </w:r>
    </w:p>
    <w:p>
      <w:pPr>
        <w:snapToGrid w:val="0"/>
        <w:spacing w:line="440" w:lineRule="exact"/>
        <w:ind w:firstLine="420" w:firstLineChars="175"/>
        <w:rPr>
          <w:rFonts w:ascii="仿宋" w:hAnsi="仿宋" w:eastAsia="仿宋" w:cs="Arial"/>
          <w:kern w:val="0"/>
          <w:sz w:val="24"/>
          <w:highlight w:val="none"/>
        </w:rPr>
      </w:pPr>
      <w:r>
        <w:rPr>
          <w:rFonts w:hint="eastAsia" w:ascii="仿宋" w:hAnsi="仿宋" w:eastAsia="仿宋" w:cs="Arial"/>
          <w:kern w:val="0"/>
          <w:sz w:val="24"/>
          <w:highlight w:val="none"/>
        </w:rPr>
        <w:t>（1）</w:t>
      </w:r>
      <w:r>
        <w:rPr>
          <w:rFonts w:ascii="仿宋" w:hAnsi="仿宋" w:eastAsia="仿宋" w:cs="Arial"/>
          <w:kern w:val="0"/>
          <w:sz w:val="24"/>
          <w:highlight w:val="none"/>
        </w:rPr>
        <w:t>乙方逾期交付</w:t>
      </w:r>
      <w:r>
        <w:rPr>
          <w:rFonts w:hint="eastAsia" w:ascii="仿宋" w:hAnsi="仿宋" w:eastAsia="仿宋" w:cs="Arial"/>
          <w:kern w:val="0"/>
          <w:sz w:val="24"/>
          <w:highlight w:val="none"/>
        </w:rPr>
        <w:t>合格产品（服务）</w:t>
      </w:r>
      <w:r>
        <w:rPr>
          <w:rFonts w:ascii="仿宋" w:hAnsi="仿宋" w:eastAsia="仿宋" w:cs="Arial"/>
          <w:kern w:val="0"/>
          <w:sz w:val="24"/>
          <w:highlight w:val="none"/>
        </w:rPr>
        <w:t>的，乙方应按逾期交</w:t>
      </w:r>
      <w:r>
        <w:rPr>
          <w:rFonts w:hint="eastAsia" w:ascii="仿宋" w:hAnsi="仿宋" w:eastAsia="仿宋" w:cs="Arial"/>
          <w:kern w:val="0"/>
          <w:sz w:val="24"/>
          <w:highlight w:val="none"/>
        </w:rPr>
        <w:t>付</w:t>
      </w:r>
      <w:r>
        <w:rPr>
          <w:rFonts w:ascii="仿宋" w:hAnsi="仿宋" w:eastAsia="仿宋" w:cs="Arial"/>
          <w:kern w:val="0"/>
          <w:sz w:val="24"/>
          <w:highlight w:val="none"/>
        </w:rPr>
        <w:t>总额每日千分之六向甲方支付违约金，由甲方从待付货款中扣除。</w:t>
      </w:r>
      <w:r>
        <w:rPr>
          <w:rFonts w:hint="eastAsia" w:ascii="仿宋" w:hAnsi="仿宋" w:eastAsia="仿宋" w:cs="Arial"/>
          <w:kern w:val="0"/>
          <w:sz w:val="24"/>
          <w:highlight w:val="none"/>
        </w:rPr>
        <w:t>乙方无正当理由</w:t>
      </w:r>
      <w:r>
        <w:rPr>
          <w:rFonts w:ascii="仿宋" w:hAnsi="仿宋" w:eastAsia="仿宋" w:cs="Arial"/>
          <w:kern w:val="0"/>
          <w:sz w:val="24"/>
          <w:highlight w:val="none"/>
        </w:rPr>
        <w:t>逾期超过约定日期10日不能交付的，</w:t>
      </w:r>
      <w:r>
        <w:rPr>
          <w:rFonts w:hint="eastAsia" w:ascii="仿宋" w:hAnsi="仿宋" w:eastAsia="仿宋" w:cs="Arial"/>
          <w:kern w:val="0"/>
          <w:sz w:val="24"/>
          <w:highlight w:val="none"/>
        </w:rPr>
        <w:t>视为“乙方不按合同约定履约”；</w:t>
      </w:r>
    </w:p>
    <w:p>
      <w:pPr>
        <w:snapToGrid w:val="0"/>
        <w:spacing w:line="440" w:lineRule="exact"/>
        <w:ind w:firstLine="420" w:firstLineChars="175"/>
        <w:rPr>
          <w:rFonts w:ascii="仿宋" w:hAnsi="仿宋" w:eastAsia="仿宋" w:cs="Arial"/>
          <w:kern w:val="0"/>
          <w:sz w:val="24"/>
          <w:highlight w:val="none"/>
        </w:rPr>
      </w:pPr>
      <w:r>
        <w:rPr>
          <w:rFonts w:hint="eastAsia" w:ascii="仿宋" w:hAnsi="仿宋" w:eastAsia="仿宋" w:cs="Arial"/>
          <w:kern w:val="0"/>
          <w:sz w:val="24"/>
          <w:highlight w:val="none"/>
        </w:rPr>
        <w:t>（2）</w:t>
      </w:r>
      <w:r>
        <w:rPr>
          <w:rFonts w:ascii="仿宋" w:hAnsi="仿宋" w:eastAsia="仿宋" w:cs="Arial"/>
          <w:kern w:val="0"/>
          <w:sz w:val="24"/>
          <w:highlight w:val="none"/>
        </w:rPr>
        <w:t>乙方所</w:t>
      </w:r>
      <w:r>
        <w:rPr>
          <w:rFonts w:hint="eastAsia" w:ascii="仿宋" w:hAnsi="仿宋" w:eastAsia="仿宋" w:cs="Arial"/>
          <w:kern w:val="0"/>
          <w:sz w:val="24"/>
          <w:highlight w:val="none"/>
        </w:rPr>
        <w:t>交付</w:t>
      </w:r>
      <w:r>
        <w:rPr>
          <w:rFonts w:ascii="仿宋" w:hAnsi="仿宋" w:eastAsia="仿宋" w:cs="Arial"/>
          <w:kern w:val="0"/>
          <w:sz w:val="24"/>
          <w:highlight w:val="none"/>
        </w:rPr>
        <w:t>的</w:t>
      </w:r>
      <w:r>
        <w:rPr>
          <w:rFonts w:hint="eastAsia" w:ascii="仿宋" w:hAnsi="仿宋" w:eastAsia="仿宋" w:cs="Arial"/>
          <w:kern w:val="0"/>
          <w:sz w:val="24"/>
          <w:highlight w:val="none"/>
        </w:rPr>
        <w:t>产品（服务）</w:t>
      </w:r>
      <w:r>
        <w:rPr>
          <w:rFonts w:ascii="仿宋" w:hAnsi="仿宋" w:eastAsia="仿宋" w:cs="Arial"/>
          <w:kern w:val="0"/>
          <w:sz w:val="24"/>
          <w:highlight w:val="none"/>
        </w:rPr>
        <w:t>不符合合同规定及《采购文件》规定标准的，甲方有权拒收，乙方愿意更换</w:t>
      </w:r>
      <w:r>
        <w:rPr>
          <w:rFonts w:hint="eastAsia" w:ascii="仿宋" w:hAnsi="仿宋" w:eastAsia="仿宋" w:cs="Arial"/>
          <w:kern w:val="0"/>
          <w:sz w:val="24"/>
          <w:highlight w:val="none"/>
        </w:rPr>
        <w:t>产品</w:t>
      </w:r>
      <w:r>
        <w:rPr>
          <w:rFonts w:ascii="仿宋" w:hAnsi="仿宋" w:eastAsia="仿宋" w:cs="Arial"/>
          <w:kern w:val="0"/>
          <w:sz w:val="24"/>
          <w:highlight w:val="none"/>
        </w:rPr>
        <w:t>但逾期交货的，按乙方逾期交货处理。乙方拒绝更换</w:t>
      </w:r>
      <w:r>
        <w:rPr>
          <w:rFonts w:hint="eastAsia" w:ascii="仿宋" w:hAnsi="仿宋" w:eastAsia="仿宋" w:cs="Arial"/>
          <w:kern w:val="0"/>
          <w:sz w:val="24"/>
          <w:highlight w:val="none"/>
        </w:rPr>
        <w:t>产品</w:t>
      </w:r>
      <w:r>
        <w:rPr>
          <w:rFonts w:ascii="仿宋" w:hAnsi="仿宋" w:eastAsia="仿宋" w:cs="Arial"/>
          <w:kern w:val="0"/>
          <w:sz w:val="24"/>
          <w:highlight w:val="none"/>
        </w:rPr>
        <w:t>的，</w:t>
      </w:r>
      <w:r>
        <w:rPr>
          <w:rFonts w:hint="eastAsia" w:ascii="仿宋" w:hAnsi="仿宋" w:eastAsia="仿宋" w:cs="Arial"/>
          <w:kern w:val="0"/>
          <w:sz w:val="24"/>
          <w:highlight w:val="none"/>
        </w:rPr>
        <w:t>视为“乙方不按合同约定履约”；</w:t>
      </w:r>
    </w:p>
    <w:p>
      <w:pPr>
        <w:snapToGrid w:val="0"/>
        <w:spacing w:line="440" w:lineRule="exact"/>
        <w:ind w:firstLine="420" w:firstLineChars="175"/>
        <w:rPr>
          <w:rFonts w:ascii="仿宋" w:hAnsi="仿宋" w:eastAsia="仿宋" w:cs="Arial"/>
          <w:kern w:val="0"/>
          <w:sz w:val="24"/>
          <w:highlight w:val="none"/>
        </w:rPr>
      </w:pPr>
      <w:r>
        <w:rPr>
          <w:rFonts w:hint="eastAsia" w:ascii="仿宋" w:hAnsi="仿宋" w:eastAsia="仿宋" w:cs="Arial"/>
          <w:kern w:val="0"/>
          <w:sz w:val="24"/>
          <w:highlight w:val="none"/>
        </w:rPr>
        <w:t>（3）乙方不按合同约定履约的，甲方可以解除采购合同，并对乙方已缴纳的履约保证金作“不予退还”处理。同时，乙方须按以下约定向甲方支付违约金：</w:t>
      </w:r>
    </w:p>
    <w:p>
      <w:pPr>
        <w:snapToGrid w:val="0"/>
        <w:spacing w:line="440" w:lineRule="exact"/>
        <w:ind w:firstLine="420" w:firstLineChars="175"/>
        <w:rPr>
          <w:rFonts w:ascii="仿宋" w:hAnsi="仿宋" w:eastAsia="仿宋" w:cs="Arial"/>
          <w:kern w:val="0"/>
          <w:sz w:val="24"/>
          <w:highlight w:val="none"/>
        </w:rPr>
      </w:pPr>
      <w:r>
        <w:rPr>
          <w:rFonts w:hint="eastAsia" w:ascii="仿宋" w:hAnsi="仿宋" w:eastAsia="仿宋" w:cs="Arial"/>
          <w:kern w:val="0"/>
          <w:sz w:val="24"/>
          <w:highlight w:val="none"/>
        </w:rPr>
        <w:t>a.甲方已向乙方支付了合同款的，乙方须一次性退还甲方已支付的合同款，并向甲方支付等额违约金；</w:t>
      </w:r>
    </w:p>
    <w:p>
      <w:pPr>
        <w:snapToGrid w:val="0"/>
        <w:spacing w:line="440" w:lineRule="exact"/>
        <w:ind w:firstLine="420" w:firstLineChars="175"/>
        <w:rPr>
          <w:rFonts w:ascii="仿宋" w:hAnsi="仿宋" w:eastAsia="仿宋" w:cs="Arial"/>
          <w:kern w:val="0"/>
          <w:sz w:val="24"/>
          <w:highlight w:val="none"/>
        </w:rPr>
      </w:pPr>
      <w:r>
        <w:rPr>
          <w:rFonts w:hint="eastAsia" w:ascii="仿宋" w:hAnsi="仿宋" w:eastAsia="仿宋" w:cs="Arial"/>
          <w:kern w:val="0"/>
          <w:sz w:val="24"/>
          <w:highlight w:val="none"/>
        </w:rPr>
        <w:t>b.甲方还未向乙方支付合同款的，乙方须一次性向甲方支付合同总额30%的违约金。</w:t>
      </w:r>
    </w:p>
    <w:p>
      <w:pPr>
        <w:keepNext/>
        <w:keepLines/>
        <w:snapToGrid w:val="0"/>
        <w:spacing w:line="440" w:lineRule="exact"/>
        <w:jc w:val="left"/>
        <w:rPr>
          <w:rFonts w:ascii="仿宋" w:hAnsi="仿宋" w:eastAsia="仿宋"/>
          <w:b/>
          <w:bCs/>
          <w:kern w:val="0"/>
          <w:sz w:val="24"/>
          <w:highlight w:val="none"/>
        </w:rPr>
      </w:pPr>
      <w:r>
        <w:rPr>
          <w:rFonts w:ascii="仿宋" w:hAnsi="仿宋" w:eastAsia="仿宋"/>
          <w:b/>
          <w:bCs/>
          <w:kern w:val="0"/>
          <w:sz w:val="24"/>
          <w:highlight w:val="none"/>
        </w:rPr>
        <w:t>十</w:t>
      </w:r>
      <w:r>
        <w:rPr>
          <w:rFonts w:hint="eastAsia" w:ascii="仿宋" w:hAnsi="仿宋" w:eastAsia="仿宋"/>
          <w:b/>
          <w:bCs/>
          <w:kern w:val="0"/>
          <w:sz w:val="24"/>
          <w:highlight w:val="none"/>
        </w:rPr>
        <w:t>二</w:t>
      </w:r>
      <w:r>
        <w:rPr>
          <w:rFonts w:ascii="仿宋" w:hAnsi="仿宋" w:eastAsia="仿宋"/>
          <w:b/>
          <w:bCs/>
          <w:kern w:val="0"/>
          <w:sz w:val="24"/>
          <w:highlight w:val="none"/>
        </w:rPr>
        <w:t>、不可抗力事件处理</w:t>
      </w:r>
    </w:p>
    <w:p>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12.1</w:t>
      </w:r>
      <w:r>
        <w:rPr>
          <w:rFonts w:ascii="仿宋" w:hAnsi="仿宋" w:eastAsia="仿宋" w:cs="Arial"/>
          <w:kern w:val="0"/>
          <w:sz w:val="24"/>
          <w:highlight w:val="none"/>
        </w:rPr>
        <w:t>在合同有效期内，任何一方因不可抗力事件导致不能履行合同，则合同履行期可延长，其延长期与不可抗力影响期相同。</w:t>
      </w:r>
    </w:p>
    <w:p>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12.2</w:t>
      </w:r>
      <w:r>
        <w:rPr>
          <w:rFonts w:ascii="仿宋" w:hAnsi="仿宋" w:eastAsia="仿宋" w:cs="Arial"/>
          <w:kern w:val="0"/>
          <w:sz w:val="24"/>
          <w:highlight w:val="none"/>
        </w:rPr>
        <w:t>不可抗力事件发生后，应立即通知对方，并寄送有关权威机构出具的证明。</w:t>
      </w:r>
    </w:p>
    <w:p>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12.3</w:t>
      </w:r>
      <w:r>
        <w:rPr>
          <w:rFonts w:ascii="仿宋" w:hAnsi="仿宋" w:eastAsia="仿宋" w:cs="Arial"/>
          <w:kern w:val="0"/>
          <w:sz w:val="24"/>
          <w:highlight w:val="none"/>
        </w:rPr>
        <w:t>不可抗力事件延续120天以上，双方应通过友好协商，确定是否继续履行合同。</w:t>
      </w:r>
    </w:p>
    <w:p>
      <w:pPr>
        <w:keepNext/>
        <w:keepLines/>
        <w:snapToGrid w:val="0"/>
        <w:spacing w:line="440" w:lineRule="exact"/>
        <w:jc w:val="left"/>
        <w:rPr>
          <w:rFonts w:ascii="仿宋" w:hAnsi="仿宋" w:eastAsia="仿宋"/>
          <w:b/>
          <w:bCs/>
          <w:kern w:val="0"/>
          <w:sz w:val="24"/>
          <w:highlight w:val="none"/>
        </w:rPr>
      </w:pPr>
      <w:r>
        <w:rPr>
          <w:rFonts w:ascii="仿宋" w:hAnsi="仿宋" w:eastAsia="仿宋"/>
          <w:b/>
          <w:bCs/>
          <w:kern w:val="0"/>
          <w:sz w:val="24"/>
          <w:highlight w:val="none"/>
        </w:rPr>
        <w:t>十</w:t>
      </w:r>
      <w:r>
        <w:rPr>
          <w:rFonts w:hint="eastAsia" w:ascii="仿宋" w:hAnsi="仿宋" w:eastAsia="仿宋"/>
          <w:b/>
          <w:bCs/>
          <w:kern w:val="0"/>
          <w:sz w:val="24"/>
          <w:highlight w:val="none"/>
        </w:rPr>
        <w:t>三</w:t>
      </w:r>
      <w:r>
        <w:rPr>
          <w:rFonts w:ascii="仿宋" w:hAnsi="仿宋" w:eastAsia="仿宋"/>
          <w:b/>
          <w:bCs/>
          <w:kern w:val="0"/>
          <w:sz w:val="24"/>
          <w:highlight w:val="none"/>
        </w:rPr>
        <w:t>、</w:t>
      </w:r>
      <w:r>
        <w:rPr>
          <w:rFonts w:hint="eastAsia" w:ascii="仿宋" w:hAnsi="仿宋" w:eastAsia="仿宋"/>
          <w:b/>
          <w:bCs/>
          <w:kern w:val="0"/>
          <w:sz w:val="24"/>
          <w:highlight w:val="none"/>
        </w:rPr>
        <w:t>争议解决与</w:t>
      </w:r>
      <w:r>
        <w:rPr>
          <w:rFonts w:ascii="仿宋" w:hAnsi="仿宋" w:eastAsia="仿宋"/>
          <w:b/>
          <w:bCs/>
          <w:kern w:val="0"/>
          <w:sz w:val="24"/>
          <w:highlight w:val="none"/>
        </w:rPr>
        <w:t>诉讼</w:t>
      </w:r>
    </w:p>
    <w:p>
      <w:pPr>
        <w:snapToGrid w:val="0"/>
        <w:spacing w:line="440" w:lineRule="exact"/>
        <w:ind w:left="23" w:firstLine="439" w:firstLineChars="183"/>
        <w:rPr>
          <w:rFonts w:ascii="仿宋" w:hAnsi="仿宋" w:eastAsia="仿宋" w:cs="Arial"/>
          <w:kern w:val="0"/>
          <w:sz w:val="24"/>
          <w:highlight w:val="none"/>
        </w:rPr>
      </w:pPr>
      <w:r>
        <w:rPr>
          <w:rFonts w:hint="eastAsia" w:ascii="仿宋" w:hAnsi="仿宋" w:eastAsia="仿宋" w:cs="Arial"/>
          <w:kern w:val="0"/>
          <w:sz w:val="24"/>
          <w:highlight w:val="none"/>
        </w:rPr>
        <w:t>13.1</w:t>
      </w:r>
      <w:r>
        <w:rPr>
          <w:rFonts w:ascii="仿宋" w:hAnsi="仿宋" w:eastAsia="仿宋" w:cs="Arial"/>
          <w:kern w:val="0"/>
          <w:sz w:val="24"/>
          <w:highlight w:val="none"/>
        </w:rPr>
        <w:t>双方在执行合同中所发生的一切争议，应通过协商解决。如协商不成，可向合同签订地法院起诉，合同签订地在此约定为______</w:t>
      </w:r>
      <w:r>
        <w:rPr>
          <w:rFonts w:ascii="仿宋" w:hAnsi="仿宋" w:eastAsia="仿宋" w:cs="Arial"/>
          <w:kern w:val="0"/>
          <w:sz w:val="24"/>
          <w:highlight w:val="none"/>
          <w:u w:val="single"/>
        </w:rPr>
        <w:t>市</w:t>
      </w:r>
      <w:r>
        <w:rPr>
          <w:rFonts w:ascii="仿宋" w:hAnsi="仿宋" w:eastAsia="仿宋" w:cs="Arial"/>
          <w:kern w:val="0"/>
          <w:sz w:val="24"/>
          <w:highlight w:val="none"/>
        </w:rPr>
        <w:t>______</w:t>
      </w:r>
      <w:r>
        <w:rPr>
          <w:rFonts w:hint="eastAsia" w:ascii="仿宋" w:hAnsi="仿宋" w:eastAsia="仿宋" w:cs="Arial"/>
          <w:kern w:val="0"/>
          <w:sz w:val="24"/>
          <w:highlight w:val="none"/>
          <w:u w:val="single"/>
        </w:rPr>
        <w:t>（县/区）</w:t>
      </w:r>
      <w:r>
        <w:rPr>
          <w:rFonts w:ascii="仿宋" w:hAnsi="仿宋" w:eastAsia="仿宋" w:cs="Arial"/>
          <w:kern w:val="0"/>
          <w:sz w:val="24"/>
          <w:highlight w:val="none"/>
        </w:rPr>
        <w:t>。</w:t>
      </w:r>
    </w:p>
    <w:p>
      <w:pPr>
        <w:keepNext/>
        <w:keepLines/>
        <w:snapToGrid w:val="0"/>
        <w:spacing w:line="440" w:lineRule="exact"/>
        <w:jc w:val="left"/>
        <w:rPr>
          <w:rFonts w:ascii="仿宋" w:hAnsi="仿宋" w:eastAsia="仿宋"/>
          <w:b/>
          <w:bCs/>
          <w:kern w:val="0"/>
          <w:sz w:val="24"/>
          <w:highlight w:val="none"/>
        </w:rPr>
      </w:pPr>
      <w:r>
        <w:rPr>
          <w:rFonts w:ascii="仿宋" w:hAnsi="仿宋" w:eastAsia="仿宋"/>
          <w:b/>
          <w:bCs/>
          <w:kern w:val="0"/>
          <w:sz w:val="24"/>
          <w:highlight w:val="none"/>
        </w:rPr>
        <w:t>十</w:t>
      </w:r>
      <w:r>
        <w:rPr>
          <w:rFonts w:hint="eastAsia" w:ascii="仿宋" w:hAnsi="仿宋" w:eastAsia="仿宋"/>
          <w:b/>
          <w:bCs/>
          <w:kern w:val="0"/>
          <w:sz w:val="24"/>
          <w:highlight w:val="none"/>
        </w:rPr>
        <w:t>四</w:t>
      </w:r>
      <w:r>
        <w:rPr>
          <w:rFonts w:ascii="仿宋" w:hAnsi="仿宋" w:eastAsia="仿宋"/>
          <w:b/>
          <w:bCs/>
          <w:kern w:val="0"/>
          <w:sz w:val="24"/>
          <w:highlight w:val="none"/>
        </w:rPr>
        <w:t>、合同生效及其它</w:t>
      </w:r>
    </w:p>
    <w:p>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14.1</w:t>
      </w:r>
      <w:r>
        <w:rPr>
          <w:rFonts w:ascii="仿宋" w:hAnsi="仿宋" w:eastAsia="仿宋" w:cs="Arial"/>
          <w:kern w:val="0"/>
          <w:sz w:val="24"/>
          <w:highlight w:val="none"/>
        </w:rPr>
        <w:t>合同经双方法定代表人或授权委托代理人签字并加盖单位公章后生效。</w:t>
      </w:r>
    </w:p>
    <w:p>
      <w:pPr>
        <w:snapToGrid w:val="0"/>
        <w:spacing w:line="440" w:lineRule="exact"/>
        <w:ind w:firstLine="463" w:firstLineChars="193"/>
        <w:rPr>
          <w:rFonts w:ascii="仿宋" w:hAnsi="仿宋" w:eastAsia="仿宋" w:cs="Arial"/>
          <w:b/>
          <w:kern w:val="0"/>
          <w:sz w:val="24"/>
          <w:highlight w:val="none"/>
        </w:rPr>
      </w:pPr>
      <w:r>
        <w:rPr>
          <w:rFonts w:hint="eastAsia" w:ascii="仿宋" w:hAnsi="仿宋" w:eastAsia="仿宋" w:cs="Arial"/>
          <w:kern w:val="0"/>
          <w:sz w:val="24"/>
          <w:highlight w:val="none"/>
        </w:rPr>
        <w:t>14.2合同组成部分：</w:t>
      </w:r>
      <w:r>
        <w:rPr>
          <w:rFonts w:hint="eastAsia" w:ascii="仿宋" w:hAnsi="仿宋" w:eastAsia="仿宋" w:cs="Arial"/>
          <w:kern w:val="0"/>
          <w:sz w:val="24"/>
          <w:highlight w:val="none"/>
          <w:u w:val="single"/>
        </w:rPr>
        <w:t>本合同（含附件）、甲方采购文件、乙方投标响应文件、成交通知书、其他材料（如有）</w:t>
      </w:r>
      <w:r>
        <w:rPr>
          <w:rFonts w:hint="eastAsia" w:ascii="仿宋" w:hAnsi="仿宋" w:eastAsia="仿宋" w:cs="Arial"/>
          <w:kern w:val="0"/>
          <w:sz w:val="24"/>
          <w:highlight w:val="none"/>
        </w:rPr>
        <w:t>。</w:t>
      </w:r>
    </w:p>
    <w:p>
      <w:pPr>
        <w:snapToGrid w:val="0"/>
        <w:spacing w:line="440" w:lineRule="exact"/>
        <w:ind w:firstLine="463" w:firstLineChars="193"/>
        <w:rPr>
          <w:rFonts w:ascii="仿宋" w:hAnsi="仿宋" w:eastAsia="仿宋" w:cs="Arial"/>
          <w:kern w:val="0"/>
          <w:sz w:val="24"/>
          <w:highlight w:val="none"/>
        </w:rPr>
      </w:pPr>
      <w:r>
        <w:rPr>
          <w:rFonts w:ascii="仿宋" w:hAnsi="仿宋" w:eastAsia="仿宋" w:cs="Arial"/>
          <w:kern w:val="0"/>
          <w:sz w:val="24"/>
          <w:highlight w:val="none"/>
        </w:rPr>
        <w:t>1</w:t>
      </w:r>
      <w:r>
        <w:rPr>
          <w:rFonts w:hint="eastAsia" w:ascii="仿宋" w:hAnsi="仿宋" w:eastAsia="仿宋" w:cs="Arial"/>
          <w:kern w:val="0"/>
          <w:sz w:val="24"/>
          <w:highlight w:val="none"/>
        </w:rPr>
        <w:t>4</w:t>
      </w:r>
      <w:r>
        <w:rPr>
          <w:rFonts w:ascii="仿宋" w:hAnsi="仿宋" w:eastAsia="仿宋" w:cs="Arial"/>
          <w:kern w:val="0"/>
          <w:sz w:val="24"/>
          <w:highlight w:val="none"/>
        </w:rPr>
        <w:t>.</w:t>
      </w:r>
      <w:r>
        <w:rPr>
          <w:rFonts w:hint="eastAsia" w:ascii="仿宋" w:hAnsi="仿宋" w:eastAsia="仿宋" w:cs="Arial"/>
          <w:kern w:val="0"/>
          <w:sz w:val="24"/>
          <w:highlight w:val="none"/>
        </w:rPr>
        <w:t>3</w:t>
      </w:r>
      <w:r>
        <w:rPr>
          <w:rFonts w:ascii="仿宋" w:hAnsi="仿宋" w:eastAsia="仿宋" w:cs="Arial"/>
          <w:kern w:val="0"/>
          <w:sz w:val="24"/>
          <w:highlight w:val="none"/>
        </w:rPr>
        <w:t>合同执行中涉及采购资金和采购内容修改或补充的，须经</w:t>
      </w:r>
      <w:r>
        <w:rPr>
          <w:rFonts w:hint="eastAsia" w:ascii="仿宋" w:hAnsi="仿宋" w:eastAsia="仿宋" w:cs="Arial"/>
          <w:kern w:val="0"/>
          <w:sz w:val="24"/>
          <w:highlight w:val="none"/>
        </w:rPr>
        <w:t>同级</w:t>
      </w:r>
      <w:r>
        <w:rPr>
          <w:rFonts w:ascii="仿宋" w:hAnsi="仿宋" w:eastAsia="仿宋" w:cs="Arial"/>
          <w:kern w:val="0"/>
          <w:sz w:val="24"/>
          <w:highlight w:val="none"/>
        </w:rPr>
        <w:t>财政部门审批，并签书面补充协议报</w:t>
      </w:r>
      <w:r>
        <w:rPr>
          <w:rFonts w:hint="eastAsia" w:ascii="仿宋" w:hAnsi="仿宋" w:eastAsia="仿宋" w:cs="Arial"/>
          <w:kern w:val="0"/>
          <w:sz w:val="24"/>
          <w:highlight w:val="none"/>
        </w:rPr>
        <w:t>同级</w:t>
      </w:r>
      <w:r>
        <w:rPr>
          <w:rFonts w:ascii="仿宋" w:hAnsi="仿宋" w:eastAsia="仿宋" w:cs="Arial"/>
          <w:kern w:val="0"/>
          <w:sz w:val="24"/>
          <w:highlight w:val="none"/>
        </w:rPr>
        <w:t>政府采购监督管理部门备案，方可作为主合同不可分割的一部分。</w:t>
      </w:r>
    </w:p>
    <w:p>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14.4</w:t>
      </w:r>
      <w:r>
        <w:rPr>
          <w:rFonts w:ascii="仿宋" w:hAnsi="仿宋" w:eastAsia="仿宋" w:cs="Arial"/>
          <w:kern w:val="0"/>
          <w:sz w:val="24"/>
          <w:highlight w:val="none"/>
        </w:rPr>
        <w:t>本合同未尽事宜，遵照《</w:t>
      </w:r>
      <w:r>
        <w:rPr>
          <w:rFonts w:hint="eastAsia" w:ascii="仿宋" w:hAnsi="仿宋" w:eastAsia="仿宋" w:cs="Arial"/>
          <w:kern w:val="0"/>
          <w:sz w:val="24"/>
          <w:highlight w:val="none"/>
        </w:rPr>
        <w:t>民法典</w:t>
      </w:r>
      <w:r>
        <w:rPr>
          <w:rFonts w:ascii="仿宋" w:hAnsi="仿宋" w:eastAsia="仿宋" w:cs="Arial"/>
          <w:kern w:val="0"/>
          <w:sz w:val="24"/>
          <w:highlight w:val="none"/>
        </w:rPr>
        <w:t>》有关条文执行。</w:t>
      </w:r>
    </w:p>
    <w:p>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14.5</w:t>
      </w:r>
      <w:r>
        <w:rPr>
          <w:rFonts w:ascii="仿宋" w:hAnsi="仿宋" w:eastAsia="仿宋" w:cs="Arial"/>
          <w:kern w:val="0"/>
          <w:sz w:val="24"/>
          <w:highlight w:val="none"/>
        </w:rPr>
        <w:t>本合同正本一式</w:t>
      </w:r>
      <w:r>
        <w:rPr>
          <w:rFonts w:hint="eastAsia" w:ascii="仿宋" w:hAnsi="仿宋" w:eastAsia="仿宋" w:cs="Arial"/>
          <w:kern w:val="0"/>
          <w:sz w:val="24"/>
          <w:highlight w:val="none"/>
          <w:u w:val="single"/>
        </w:rPr>
        <w:t xml:space="preserve">   </w:t>
      </w:r>
      <w:r>
        <w:rPr>
          <w:rFonts w:ascii="仿宋" w:hAnsi="仿宋" w:eastAsia="仿宋" w:cs="Arial"/>
          <w:kern w:val="0"/>
          <w:sz w:val="24"/>
          <w:highlight w:val="none"/>
        </w:rPr>
        <w:t>份，具有同等法律效力，</w:t>
      </w:r>
      <w:r>
        <w:rPr>
          <w:rFonts w:hint="eastAsia" w:ascii="仿宋" w:hAnsi="仿宋" w:eastAsia="仿宋" w:cs="Arial"/>
          <w:kern w:val="0"/>
          <w:sz w:val="24"/>
          <w:highlight w:val="none"/>
        </w:rPr>
        <w:t>甲方、乙方</w:t>
      </w:r>
      <w:r>
        <w:rPr>
          <w:rFonts w:ascii="仿宋" w:hAnsi="仿宋" w:eastAsia="仿宋" w:cs="Arial"/>
          <w:kern w:val="0"/>
          <w:sz w:val="24"/>
          <w:highlight w:val="none"/>
        </w:rPr>
        <w:t>各执</w:t>
      </w:r>
      <w:r>
        <w:rPr>
          <w:rFonts w:hint="eastAsia" w:ascii="仿宋" w:hAnsi="仿宋" w:eastAsia="仿宋" w:cs="Arial"/>
          <w:kern w:val="0"/>
          <w:sz w:val="24"/>
          <w:highlight w:val="none"/>
          <w:u w:val="single"/>
        </w:rPr>
        <w:t xml:space="preserve">   </w:t>
      </w:r>
      <w:r>
        <w:rPr>
          <w:rFonts w:ascii="仿宋" w:hAnsi="仿宋" w:eastAsia="仿宋" w:cs="Arial"/>
          <w:kern w:val="0"/>
          <w:sz w:val="24"/>
          <w:highlight w:val="none"/>
        </w:rPr>
        <w:t>份；副本</w:t>
      </w:r>
      <w:r>
        <w:rPr>
          <w:rFonts w:hint="eastAsia" w:ascii="仿宋" w:hAnsi="仿宋" w:eastAsia="仿宋" w:cs="Arial"/>
          <w:kern w:val="0"/>
          <w:sz w:val="24"/>
          <w:highlight w:val="none"/>
          <w:u w:val="single"/>
        </w:rPr>
        <w:t xml:space="preserve">   </w:t>
      </w:r>
      <w:r>
        <w:rPr>
          <w:rFonts w:ascii="仿宋" w:hAnsi="仿宋" w:eastAsia="仿宋" w:cs="Arial"/>
          <w:kern w:val="0"/>
          <w:sz w:val="24"/>
          <w:highlight w:val="none"/>
        </w:rPr>
        <w:t>份。</w:t>
      </w:r>
    </w:p>
    <w:p>
      <w:pPr>
        <w:snapToGrid w:val="0"/>
        <w:spacing w:line="440" w:lineRule="exact"/>
        <w:rPr>
          <w:rFonts w:ascii="仿宋" w:hAnsi="仿宋" w:eastAsia="仿宋" w:cs="Arial"/>
          <w:sz w:val="24"/>
          <w:highlight w:val="none"/>
        </w:rPr>
      </w:pPr>
    </w:p>
    <w:p>
      <w:pPr>
        <w:snapToGrid w:val="0"/>
        <w:spacing w:line="440" w:lineRule="exact"/>
        <w:ind w:firstLine="480" w:firstLineChars="200"/>
        <w:rPr>
          <w:rFonts w:ascii="仿宋" w:hAnsi="仿宋" w:eastAsia="仿宋"/>
          <w:sz w:val="24"/>
          <w:highlight w:val="none"/>
        </w:rPr>
      </w:pPr>
      <w:r>
        <w:rPr>
          <w:rFonts w:hint="eastAsia" w:ascii="仿宋" w:hAnsi="仿宋" w:eastAsia="仿宋" w:cs="Arial"/>
          <w:sz w:val="24"/>
          <w:highlight w:val="none"/>
        </w:rPr>
        <w:t>甲方（盖章）：</w:t>
      </w:r>
      <w:r>
        <w:rPr>
          <w:rFonts w:hint="eastAsia" w:ascii="仿宋" w:hAnsi="仿宋" w:eastAsia="仿宋"/>
          <w:sz w:val="24"/>
          <w:highlight w:val="none"/>
        </w:rPr>
        <w:t xml:space="preserve"> </w:t>
      </w:r>
    </w:p>
    <w:p>
      <w:pPr>
        <w:autoSpaceDE w:val="0"/>
        <w:autoSpaceDN w:val="0"/>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法定代表人或受委托人（签字）：</w:t>
      </w:r>
    </w:p>
    <w:p>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 xml:space="preserve">联系人： </w:t>
      </w:r>
    </w:p>
    <w:p>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 xml:space="preserve">地址： </w:t>
      </w:r>
    </w:p>
    <w:p>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电话：</w:t>
      </w:r>
    </w:p>
    <w:p>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传真：</w:t>
      </w:r>
    </w:p>
    <w:p>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开户名称：</w:t>
      </w:r>
    </w:p>
    <w:p>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 xml:space="preserve">开户银行： </w:t>
      </w:r>
    </w:p>
    <w:p>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账号：</w:t>
      </w:r>
    </w:p>
    <w:p>
      <w:pPr>
        <w:snapToGrid w:val="0"/>
        <w:spacing w:line="440" w:lineRule="exact"/>
        <w:jc w:val="right"/>
        <w:rPr>
          <w:rFonts w:ascii="仿宋" w:hAnsi="仿宋" w:eastAsia="仿宋"/>
          <w:sz w:val="24"/>
          <w:highlight w:val="none"/>
        </w:rPr>
      </w:pPr>
      <w:r>
        <w:rPr>
          <w:rFonts w:hint="eastAsia" w:ascii="仿宋" w:hAnsi="仿宋" w:eastAsia="仿宋"/>
          <w:sz w:val="24"/>
          <w:highlight w:val="none"/>
        </w:rPr>
        <w:t>日期：      年    月    日</w:t>
      </w:r>
    </w:p>
    <w:p>
      <w:pPr>
        <w:snapToGrid w:val="0"/>
        <w:spacing w:line="440" w:lineRule="exact"/>
        <w:ind w:firstLine="480" w:firstLineChars="200"/>
        <w:rPr>
          <w:rFonts w:ascii="仿宋" w:hAnsi="仿宋" w:eastAsia="仿宋"/>
          <w:sz w:val="24"/>
          <w:highlight w:val="none"/>
        </w:rPr>
      </w:pPr>
      <w:r>
        <w:rPr>
          <w:rFonts w:hint="eastAsia" w:ascii="仿宋" w:hAnsi="仿宋" w:eastAsia="仿宋" w:cs="Arial"/>
          <w:sz w:val="24"/>
          <w:highlight w:val="none"/>
        </w:rPr>
        <w:t>乙方（盖章）：</w:t>
      </w:r>
    </w:p>
    <w:p>
      <w:pPr>
        <w:autoSpaceDE w:val="0"/>
        <w:autoSpaceDN w:val="0"/>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法定代表人或受委托人（签字）：</w:t>
      </w:r>
    </w:p>
    <w:p>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 xml:space="preserve">联系人： </w:t>
      </w:r>
    </w:p>
    <w:p>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 xml:space="preserve">地址： </w:t>
      </w:r>
    </w:p>
    <w:p>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电话：</w:t>
      </w:r>
    </w:p>
    <w:p>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传真：</w:t>
      </w:r>
    </w:p>
    <w:p>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开户名称：</w:t>
      </w:r>
    </w:p>
    <w:p>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 xml:space="preserve">开户银行： </w:t>
      </w:r>
    </w:p>
    <w:p>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银行账号：</w:t>
      </w:r>
    </w:p>
    <w:p>
      <w:pPr>
        <w:snapToGrid w:val="0"/>
        <w:spacing w:line="440" w:lineRule="exact"/>
        <w:jc w:val="right"/>
        <w:rPr>
          <w:rFonts w:ascii="仿宋" w:hAnsi="仿宋" w:eastAsia="仿宋"/>
          <w:sz w:val="24"/>
          <w:highlight w:val="none"/>
        </w:rPr>
      </w:pPr>
      <w:r>
        <w:rPr>
          <w:rFonts w:hint="eastAsia" w:ascii="仿宋" w:hAnsi="仿宋" w:eastAsia="仿宋"/>
          <w:sz w:val="24"/>
          <w:highlight w:val="none"/>
        </w:rPr>
        <w:t>日期：      年    月    日</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w:t>
      </w:r>
    </w:p>
    <w:p>
      <w:pPr>
        <w:pStyle w:val="3"/>
        <w:rPr>
          <w:rFonts w:ascii="仿宋" w:hAnsi="仿宋" w:eastAsia="仿宋" w:cs="仿宋"/>
          <w:highlight w:val="none"/>
        </w:rPr>
      </w:pPr>
    </w:p>
    <w:p>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sz w:val="24"/>
          <w:highlight w:val="none"/>
        </w:rPr>
        <w:t>★ 此仅为合同书样本，中标单位需根据实际情况和采购人签订相应的合同！</w:t>
      </w:r>
      <w:bookmarkEnd w:id="401"/>
      <w:bookmarkEnd w:id="402"/>
      <w:bookmarkEnd w:id="403"/>
      <w:bookmarkEnd w:id="404"/>
      <w:bookmarkEnd w:id="405"/>
      <w:bookmarkEnd w:id="406"/>
    </w:p>
    <w:p>
      <w:pPr>
        <w:pStyle w:val="79"/>
        <w:spacing w:line="560" w:lineRule="exact"/>
        <w:ind w:firstLine="482"/>
        <w:jc w:val="center"/>
        <w:rPr>
          <w:rFonts w:hAnsi="仿宋_GB2312" w:cs="仿宋_GB2312"/>
          <w:b/>
          <w:szCs w:val="24"/>
          <w:highlight w:val="none"/>
        </w:rPr>
      </w:pPr>
      <w:r>
        <w:rPr>
          <w:rFonts w:hint="eastAsia" w:hAnsi="仿宋_GB2312" w:cs="仿宋_GB2312"/>
          <w:b/>
          <w:szCs w:val="24"/>
          <w:highlight w:val="none"/>
        </w:rPr>
        <w:t xml:space="preserve"> </w:t>
      </w:r>
    </w:p>
    <w:p>
      <w:pPr>
        <w:rPr>
          <w:rFonts w:ascii="仿宋_GB2312" w:hAnsi="仿宋_GB2312" w:eastAsia="仿宋_GB2312" w:cs="仿宋_GB2312"/>
          <w:b/>
          <w:highlight w:val="none"/>
        </w:rPr>
      </w:pPr>
      <w:r>
        <w:rPr>
          <w:rFonts w:hint="eastAsia" w:ascii="仿宋_GB2312" w:hAnsi="仿宋_GB2312" w:eastAsia="仿宋_GB2312" w:cs="仿宋_GB2312"/>
          <w:b/>
          <w:highlight w:val="none"/>
        </w:rPr>
        <w:br w:type="page"/>
      </w:r>
    </w:p>
    <w:bookmarkEnd w:id="400"/>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720" w:firstLine="723" w:firstLineChars="200"/>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98"/>
      <w:r>
        <w:rPr>
          <w:rFonts w:hint="eastAsia" w:ascii="仿宋" w:hAnsi="仿宋" w:eastAsia="仿宋" w:cs="仿宋"/>
          <w:b/>
          <w:sz w:val="36"/>
          <w:szCs w:val="20"/>
          <w:highlight w:val="none"/>
        </w:rPr>
        <w:t xml:space="preserve"> </w:t>
      </w:r>
      <w:bookmarkEnd w:id="399"/>
      <w:r>
        <w:rPr>
          <w:rFonts w:hint="eastAsia" w:ascii="仿宋" w:hAnsi="仿宋" w:eastAsia="仿宋" w:cs="仿宋"/>
          <w:b/>
          <w:sz w:val="36"/>
          <w:szCs w:val="20"/>
          <w:highlight w:val="none"/>
        </w:rPr>
        <w:t>应提交的有关格式范例</w:t>
      </w:r>
    </w:p>
    <w:p>
      <w:pPr>
        <w:spacing w:line="360" w:lineRule="auto"/>
        <w:jc w:val="center"/>
        <w:outlineLvl w:val="0"/>
        <w:rPr>
          <w:rFonts w:ascii="仿宋" w:hAnsi="仿宋" w:eastAsia="仿宋" w:cs="仿宋"/>
          <w:b/>
          <w:kern w:val="0"/>
          <w:sz w:val="36"/>
          <w:szCs w:val="36"/>
          <w:highlight w:val="none"/>
        </w:rPr>
      </w:pPr>
    </w:p>
    <w:p>
      <w:pPr>
        <w:snapToGrid w:val="0"/>
        <w:spacing w:line="360"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一、投标人提交投标文件须知：</w:t>
      </w:r>
    </w:p>
    <w:p>
      <w:pPr>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2、所附表格中要求回答的全部问题和/或信息都必须正面回答。</w:t>
      </w:r>
    </w:p>
    <w:p>
      <w:pPr>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3、本声明书的签字人应保证全部声明和问题的回答是真实的和准确的。</w:t>
      </w:r>
    </w:p>
    <w:p>
      <w:pPr>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4、评标委员会将应用投标人提交的资料作出自己的判断。</w:t>
      </w:r>
    </w:p>
    <w:p>
      <w:pPr>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5、投标人提交的材料将在一定期限内被保密保存，但不退还。</w:t>
      </w:r>
    </w:p>
    <w:p>
      <w:pPr>
        <w:snapToGrid w:val="0"/>
        <w:spacing w:line="360" w:lineRule="auto"/>
        <w:ind w:firstLine="480" w:firstLineChars="200"/>
        <w:rPr>
          <w:rFonts w:ascii="仿宋" w:hAnsi="仿宋" w:eastAsia="仿宋" w:cs="仿宋"/>
          <w:color w:val="000000"/>
          <w:sz w:val="24"/>
          <w:highlight w:val="none"/>
          <w:lang w:val="zh-CN"/>
        </w:rPr>
      </w:pPr>
      <w:r>
        <w:rPr>
          <w:rFonts w:hint="eastAsia" w:ascii="仿宋" w:hAnsi="仿宋" w:eastAsia="仿宋" w:cs="仿宋"/>
          <w:color w:val="000000"/>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000000"/>
          <w:sz w:val="24"/>
          <w:highlight w:val="none"/>
        </w:rPr>
        <w:t>将有可能被评标委员会认定为投标无效。</w:t>
      </w:r>
    </w:p>
    <w:p>
      <w:pPr>
        <w:rPr>
          <w:rFonts w:ascii="仿宋" w:hAnsi="仿宋" w:eastAsia="仿宋" w:cs="仿宋"/>
          <w:b/>
          <w:kern w:val="0"/>
          <w:sz w:val="36"/>
          <w:szCs w:val="36"/>
          <w:highlight w:val="none"/>
        </w:rPr>
      </w:pPr>
    </w:p>
    <w:p>
      <w:pPr>
        <w:pStyle w:val="2"/>
        <w:ind w:firstLine="723"/>
        <w:rPr>
          <w:rFonts w:ascii="仿宋_GB2312" w:hAnsi="仿宋" w:eastAsia="仿宋_GB2312" w:cs="仿宋_GB2312"/>
          <w:b/>
          <w:kern w:val="0"/>
          <w:sz w:val="36"/>
          <w:szCs w:val="36"/>
          <w:highlight w:val="none"/>
        </w:rPr>
      </w:pPr>
    </w:p>
    <w:p>
      <w:pPr>
        <w:pStyle w:val="7"/>
        <w:rPr>
          <w:rFonts w:ascii="仿宋_GB2312" w:hAnsi="仿宋" w:eastAsia="仿宋_GB2312" w:cs="仿宋_GB2312"/>
          <w:b/>
          <w:kern w:val="0"/>
          <w:sz w:val="36"/>
          <w:szCs w:val="36"/>
          <w:highlight w:val="none"/>
        </w:rPr>
      </w:pPr>
    </w:p>
    <w:p>
      <w:pPr>
        <w:rPr>
          <w:rFonts w:ascii="仿宋_GB2312" w:hAnsi="仿宋" w:eastAsia="仿宋_GB2312" w:cs="仿宋_GB2312"/>
          <w:b/>
          <w:kern w:val="0"/>
          <w:sz w:val="36"/>
          <w:szCs w:val="36"/>
          <w:highlight w:val="none"/>
        </w:rPr>
      </w:pPr>
    </w:p>
    <w:p>
      <w:pPr>
        <w:pStyle w:val="84"/>
        <w:rPr>
          <w:rFonts w:ascii="仿宋_GB2312" w:hAnsi="仿宋" w:eastAsia="仿宋_GB2312" w:cs="仿宋_GB2312"/>
          <w:b/>
          <w:sz w:val="36"/>
          <w:szCs w:val="36"/>
          <w:highlight w:val="none"/>
        </w:rPr>
      </w:pPr>
    </w:p>
    <w:p>
      <w:pPr>
        <w:pStyle w:val="84"/>
        <w:rPr>
          <w:rFonts w:ascii="仿宋_GB2312" w:hAnsi="仿宋" w:eastAsia="仿宋_GB2312" w:cs="仿宋_GB2312"/>
          <w:b/>
          <w:sz w:val="36"/>
          <w:szCs w:val="36"/>
          <w:highlight w:val="none"/>
        </w:rPr>
      </w:pPr>
    </w:p>
    <w:p>
      <w:pPr>
        <w:pStyle w:val="84"/>
        <w:rPr>
          <w:rFonts w:ascii="仿宋_GB2312" w:hAnsi="仿宋" w:eastAsia="仿宋_GB2312" w:cs="仿宋_GB2312"/>
          <w:b/>
          <w:sz w:val="36"/>
          <w:szCs w:val="36"/>
          <w:highlight w:val="none"/>
        </w:rPr>
      </w:pPr>
    </w:p>
    <w:p>
      <w:pPr>
        <w:pStyle w:val="84"/>
        <w:rPr>
          <w:rFonts w:ascii="仿宋_GB2312" w:hAnsi="仿宋" w:eastAsia="仿宋_GB2312" w:cs="仿宋_GB2312"/>
          <w:b/>
          <w:sz w:val="36"/>
          <w:szCs w:val="36"/>
          <w:highlight w:val="none"/>
        </w:rPr>
      </w:pPr>
    </w:p>
    <w:p>
      <w:pPr>
        <w:pStyle w:val="84"/>
        <w:rPr>
          <w:rFonts w:ascii="仿宋_GB2312" w:hAnsi="仿宋" w:eastAsia="仿宋_GB2312" w:cs="仿宋_GB2312"/>
          <w:b/>
          <w:sz w:val="36"/>
          <w:szCs w:val="36"/>
          <w:highlight w:val="none"/>
        </w:rPr>
      </w:pPr>
    </w:p>
    <w:p>
      <w:pPr>
        <w:pStyle w:val="84"/>
        <w:rPr>
          <w:rFonts w:ascii="仿宋_GB2312" w:hAnsi="仿宋" w:eastAsia="仿宋_GB2312" w:cs="仿宋_GB2312"/>
          <w:b/>
          <w:sz w:val="36"/>
          <w:szCs w:val="36"/>
          <w:highlight w:val="none"/>
        </w:rPr>
      </w:pPr>
    </w:p>
    <w:p>
      <w:pPr>
        <w:pStyle w:val="84"/>
        <w:rPr>
          <w:rFonts w:ascii="仿宋_GB2312" w:hAnsi="仿宋" w:eastAsia="仿宋_GB2312" w:cs="仿宋_GB2312"/>
          <w:b/>
          <w:sz w:val="36"/>
          <w:szCs w:val="36"/>
          <w:highlight w:val="none"/>
        </w:rPr>
      </w:pPr>
    </w:p>
    <w:p>
      <w:pPr>
        <w:pStyle w:val="84"/>
        <w:rPr>
          <w:rFonts w:ascii="仿宋_GB2312" w:hAnsi="仿宋" w:eastAsia="仿宋_GB2312" w:cs="仿宋_GB2312"/>
          <w:b/>
          <w:sz w:val="36"/>
          <w:szCs w:val="36"/>
          <w:highlight w:val="none"/>
        </w:rPr>
      </w:pPr>
    </w:p>
    <w:p>
      <w:pPr>
        <w:rPr>
          <w:highlight w:val="none"/>
        </w:rPr>
      </w:pPr>
    </w:p>
    <w:p>
      <w:pPr>
        <w:spacing w:line="360" w:lineRule="auto"/>
        <w:jc w:val="center"/>
        <w:outlineLvl w:val="0"/>
        <w:rPr>
          <w:rFonts w:ascii="仿宋_GB2312" w:hAnsi="仿宋_GB2312" w:eastAsia="仿宋_GB2312" w:cs="仿宋_GB2312"/>
          <w:b/>
          <w:kern w:val="0"/>
          <w:sz w:val="36"/>
          <w:szCs w:val="36"/>
          <w:highlight w:val="none"/>
        </w:rPr>
      </w:pPr>
      <w:r>
        <w:rPr>
          <w:rFonts w:hint="eastAsia" w:ascii="仿宋_GB2312" w:hAnsi="仿宋_GB2312" w:eastAsia="仿宋_GB2312" w:cs="仿宋_GB2312"/>
          <w:b/>
          <w:kern w:val="0"/>
          <w:sz w:val="36"/>
          <w:szCs w:val="36"/>
          <w:highlight w:val="none"/>
        </w:rPr>
        <w:t>资格文件部分(封面）</w:t>
      </w:r>
    </w:p>
    <w:p>
      <w:pPr>
        <w:spacing w:line="360" w:lineRule="auto"/>
        <w:jc w:val="center"/>
        <w:outlineLvl w:val="0"/>
        <w:rPr>
          <w:rFonts w:ascii="仿宋_GB2312" w:hAnsi="仿宋_GB2312" w:eastAsia="仿宋_GB2312" w:cs="仿宋_GB2312"/>
          <w:b/>
          <w:kern w:val="0"/>
          <w:sz w:val="36"/>
          <w:szCs w:val="36"/>
          <w:highlight w:val="none"/>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highlight w:val="none"/>
        </w:rPr>
      </w:pPr>
      <w:r>
        <w:rPr>
          <w:rFonts w:hint="eastAsia" w:ascii="仿宋_GB2312" w:hAnsi="仿宋_GB2312" w:eastAsia="仿宋_GB2312" w:cs="仿宋_GB2312"/>
          <w:b/>
          <w:bCs/>
          <w:color w:val="000000"/>
          <w:sz w:val="44"/>
          <w:szCs w:val="44"/>
          <w:highlight w:val="none"/>
        </w:rPr>
        <w:t>（项目名称）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highlight w:val="none"/>
        </w:rPr>
      </w:pPr>
      <w:r>
        <w:rPr>
          <w:rFonts w:hint="eastAsia" w:ascii="仿宋_GB2312" w:hAnsi="仿宋_GB2312" w:eastAsia="仿宋_GB2312" w:cs="仿宋_GB2312"/>
          <w:b/>
          <w:bCs/>
          <w:color w:val="000000"/>
          <w:sz w:val="52"/>
          <w:szCs w:val="52"/>
          <w:highlight w:val="none"/>
        </w:rPr>
        <w:t>资  格  文  件</w:t>
      </w:r>
    </w:p>
    <w:p>
      <w:pPr>
        <w:widowControl/>
        <w:spacing w:line="360" w:lineRule="auto"/>
        <w:ind w:right="-2"/>
        <w:jc w:val="center"/>
        <w:outlineLvl w:val="1"/>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（线上电子招投标）</w:t>
      </w:r>
    </w:p>
    <w:p>
      <w:pPr>
        <w:pStyle w:val="84"/>
        <w:spacing w:line="360" w:lineRule="auto"/>
        <w:rPr>
          <w:rFonts w:ascii="仿宋_GB2312" w:hAnsi="仿宋_GB2312" w:eastAsia="仿宋_GB2312" w:cs="仿宋_GB2312"/>
          <w:sz w:val="32"/>
          <w:szCs w:val="32"/>
          <w:highlight w:val="none"/>
        </w:rPr>
      </w:pPr>
    </w:p>
    <w:p>
      <w:pPr>
        <w:shd w:val="clear" w:color="auto" w:fill="FFFFFF"/>
        <w:snapToGrid w:val="0"/>
        <w:spacing w:line="360" w:lineRule="auto"/>
        <w:jc w:val="center"/>
        <w:outlineLvl w:val="1"/>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招标编号：</w:t>
      </w:r>
    </w:p>
    <w:p>
      <w:pPr>
        <w:snapToGrid w:val="0"/>
        <w:spacing w:line="360" w:lineRule="auto"/>
        <w:jc w:val="center"/>
        <w:rPr>
          <w:rFonts w:ascii="仿宋_GB2312" w:hAnsi="仿宋_GB2312" w:eastAsia="仿宋_GB2312" w:cs="仿宋_GB2312"/>
          <w:color w:val="000000"/>
          <w:sz w:val="72"/>
          <w:szCs w:val="72"/>
          <w:highlight w:val="none"/>
        </w:rPr>
      </w:pPr>
      <w:r>
        <w:rPr>
          <w:rFonts w:hint="eastAsia" w:ascii="仿宋_GB2312" w:hAnsi="仿宋_GB2312" w:eastAsia="仿宋_GB2312" w:cs="仿宋_GB2312"/>
          <w:color w:val="000000"/>
          <w:sz w:val="72"/>
          <w:szCs w:val="72"/>
          <w:highlight w:val="none"/>
        </w:rPr>
        <w:t>投</w:t>
      </w:r>
    </w:p>
    <w:p>
      <w:pPr>
        <w:snapToGrid w:val="0"/>
        <w:spacing w:line="360" w:lineRule="auto"/>
        <w:jc w:val="center"/>
        <w:rPr>
          <w:rFonts w:ascii="仿宋_GB2312" w:hAnsi="仿宋_GB2312" w:eastAsia="仿宋_GB2312" w:cs="仿宋_GB2312"/>
          <w:color w:val="000000"/>
          <w:sz w:val="72"/>
          <w:szCs w:val="72"/>
          <w:highlight w:val="none"/>
        </w:rPr>
      </w:pPr>
      <w:r>
        <w:rPr>
          <w:rFonts w:hint="eastAsia" w:ascii="仿宋_GB2312" w:hAnsi="仿宋_GB2312" w:eastAsia="仿宋_GB2312" w:cs="仿宋_GB2312"/>
          <w:color w:val="000000"/>
          <w:sz w:val="72"/>
          <w:szCs w:val="72"/>
          <w:highlight w:val="none"/>
        </w:rPr>
        <w:t>标</w:t>
      </w:r>
    </w:p>
    <w:p>
      <w:pPr>
        <w:snapToGrid w:val="0"/>
        <w:spacing w:line="360" w:lineRule="auto"/>
        <w:jc w:val="center"/>
        <w:rPr>
          <w:rFonts w:ascii="仿宋_GB2312" w:hAnsi="仿宋_GB2312" w:eastAsia="仿宋_GB2312" w:cs="仿宋_GB2312"/>
          <w:color w:val="000000"/>
          <w:sz w:val="72"/>
          <w:szCs w:val="72"/>
          <w:highlight w:val="none"/>
        </w:rPr>
      </w:pPr>
      <w:r>
        <w:rPr>
          <w:rFonts w:hint="eastAsia" w:ascii="仿宋_GB2312" w:hAnsi="仿宋_GB2312" w:eastAsia="仿宋_GB2312" w:cs="仿宋_GB2312"/>
          <w:color w:val="000000"/>
          <w:sz w:val="72"/>
          <w:szCs w:val="72"/>
          <w:highlight w:val="none"/>
        </w:rPr>
        <w:t>文</w:t>
      </w:r>
    </w:p>
    <w:p>
      <w:pPr>
        <w:snapToGrid w:val="0"/>
        <w:spacing w:line="360" w:lineRule="auto"/>
        <w:jc w:val="center"/>
        <w:rPr>
          <w:rFonts w:ascii="仿宋_GB2312" w:hAnsi="仿宋_GB2312" w:eastAsia="仿宋_GB2312" w:cs="仿宋_GB2312"/>
          <w:color w:val="000000"/>
          <w:sz w:val="72"/>
          <w:szCs w:val="72"/>
          <w:highlight w:val="none"/>
        </w:rPr>
      </w:pPr>
      <w:r>
        <w:rPr>
          <w:rFonts w:hint="eastAsia" w:ascii="仿宋_GB2312" w:hAnsi="仿宋_GB2312" w:eastAsia="仿宋_GB2312" w:cs="仿宋_GB2312"/>
          <w:color w:val="000000"/>
          <w:sz w:val="72"/>
          <w:szCs w:val="72"/>
          <w:highlight w:val="none"/>
        </w:rPr>
        <w:t>件</w:t>
      </w:r>
    </w:p>
    <w:p>
      <w:pPr>
        <w:snapToGrid w:val="0"/>
        <w:spacing w:line="360" w:lineRule="auto"/>
        <w:ind w:firstLine="1680" w:firstLineChars="600"/>
        <w:rPr>
          <w:rFonts w:ascii="仿宋_GB2312" w:hAnsi="仿宋_GB2312" w:eastAsia="仿宋_GB2312" w:cs="仿宋_GB2312"/>
          <w:color w:val="000000"/>
          <w:sz w:val="28"/>
          <w:szCs w:val="28"/>
          <w:highlight w:val="none"/>
        </w:rPr>
      </w:pPr>
    </w:p>
    <w:p>
      <w:pPr>
        <w:snapToGrid w:val="0"/>
        <w:spacing w:line="360" w:lineRule="auto"/>
        <w:ind w:firstLine="1920" w:firstLineChars="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投标人全称：（单位公章或电子公章）</w:t>
      </w:r>
    </w:p>
    <w:p>
      <w:pPr>
        <w:snapToGrid w:val="0"/>
        <w:spacing w:line="360" w:lineRule="auto"/>
        <w:ind w:firstLine="1920" w:firstLineChars="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投标人地址：</w:t>
      </w:r>
    </w:p>
    <w:p>
      <w:pPr>
        <w:snapToGrid w:val="0"/>
        <w:spacing w:line="360" w:lineRule="auto"/>
        <w:jc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   月   日</w:t>
      </w:r>
    </w:p>
    <w:p>
      <w:pPr>
        <w:pStyle w:val="4"/>
        <w:snapToGrid w:val="0"/>
        <w:rPr>
          <w:rFonts w:ascii="仿宋_GB2312" w:hAnsi="仿宋_GB2312" w:eastAsia="仿宋_GB2312" w:cs="仿宋_GB2312"/>
          <w:color w:val="000000"/>
          <w:sz w:val="32"/>
          <w:szCs w:val="32"/>
          <w:highlight w:val="none"/>
        </w:rPr>
        <w:sectPr>
          <w:headerReference r:id="rId10" w:type="default"/>
          <w:footerReference r:id="rId11" w:type="default"/>
          <w:pgSz w:w="11906" w:h="16838"/>
          <w:pgMar w:top="993" w:right="1474" w:bottom="1134" w:left="1474" w:header="851" w:footer="641" w:gutter="0"/>
          <w:cols w:space="720" w:num="1"/>
          <w:docGrid w:type="lines" w:linePitch="315" w:charSpace="0"/>
        </w:sectPr>
      </w:pPr>
    </w:p>
    <w:p>
      <w:pPr>
        <w:pStyle w:val="2"/>
        <w:ind w:firstLine="420"/>
        <w:rPr>
          <w:highlight w:val="none"/>
        </w:rPr>
      </w:pPr>
    </w:p>
    <w:p>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 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pPr>
        <w:snapToGrid w:val="0"/>
        <w:spacing w:line="360" w:lineRule="auto"/>
        <w:ind w:right="480"/>
        <w:rPr>
          <w:rFonts w:ascii="宋体" w:hAnsi="宋体" w:cs="宋体"/>
          <w:b/>
          <w:kern w:val="0"/>
          <w:sz w:val="32"/>
          <w:szCs w:val="32"/>
          <w:highlight w:val="none"/>
        </w:rPr>
      </w:pPr>
    </w:p>
    <w:p>
      <w:pPr>
        <w:pStyle w:val="5"/>
        <w:rPr>
          <w:rFonts w:ascii="宋体" w:hAnsi="宋体" w:cs="宋体"/>
          <w:b/>
          <w:kern w:val="0"/>
          <w:highlight w:val="none"/>
        </w:rPr>
      </w:pPr>
    </w:p>
    <w:p>
      <w:pPr>
        <w:rPr>
          <w:rFonts w:ascii="宋体" w:hAnsi="宋体" w:cs="宋体"/>
          <w:b/>
          <w:kern w:val="0"/>
          <w:sz w:val="32"/>
          <w:szCs w:val="32"/>
          <w:highlight w:val="none"/>
        </w:rPr>
      </w:pPr>
    </w:p>
    <w:p>
      <w:pPr>
        <w:pStyle w:val="5"/>
        <w:rPr>
          <w:rFonts w:ascii="宋体" w:hAnsi="宋体" w:cs="宋体"/>
          <w:b/>
          <w:kern w:val="0"/>
          <w:highlight w:val="none"/>
        </w:rPr>
      </w:pPr>
    </w:p>
    <w:p>
      <w:pPr>
        <w:rPr>
          <w:rFonts w:ascii="宋体" w:hAnsi="宋体" w:cs="宋体"/>
          <w:b/>
          <w:kern w:val="0"/>
          <w:sz w:val="32"/>
          <w:szCs w:val="32"/>
          <w:highlight w:val="none"/>
        </w:rPr>
      </w:pPr>
    </w:p>
    <w:p>
      <w:pPr>
        <w:pStyle w:val="5"/>
        <w:rPr>
          <w:rFonts w:ascii="宋体" w:hAnsi="宋体" w:cs="宋体"/>
          <w:b/>
          <w:kern w:val="0"/>
          <w:highlight w:val="none"/>
        </w:rPr>
      </w:pPr>
    </w:p>
    <w:p>
      <w:pPr>
        <w:rPr>
          <w:rFonts w:ascii="宋体" w:hAnsi="宋体" w:cs="宋体"/>
          <w:b/>
          <w:kern w:val="0"/>
          <w:sz w:val="32"/>
          <w:szCs w:val="32"/>
          <w:highlight w:val="none"/>
        </w:rPr>
      </w:pPr>
    </w:p>
    <w:p>
      <w:pPr>
        <w:pStyle w:val="5"/>
        <w:rPr>
          <w:rFonts w:ascii="宋体" w:hAnsi="宋体" w:cs="宋体"/>
          <w:b/>
          <w:kern w:val="0"/>
          <w:highlight w:val="none"/>
        </w:rPr>
      </w:pPr>
    </w:p>
    <w:p>
      <w:pPr>
        <w:rPr>
          <w:rFonts w:ascii="宋体" w:hAnsi="宋体" w:cs="宋体"/>
          <w:b/>
          <w:kern w:val="0"/>
          <w:sz w:val="32"/>
          <w:szCs w:val="32"/>
          <w:highlight w:val="none"/>
        </w:rPr>
      </w:pPr>
    </w:p>
    <w:p>
      <w:pPr>
        <w:pStyle w:val="5"/>
        <w:rPr>
          <w:rFonts w:ascii="宋体" w:hAnsi="宋体" w:cs="宋体"/>
          <w:b/>
          <w:kern w:val="0"/>
          <w:highlight w:val="none"/>
        </w:rPr>
      </w:pPr>
    </w:p>
    <w:p>
      <w:pPr>
        <w:rPr>
          <w:rFonts w:ascii="宋体" w:hAnsi="宋体" w:cs="宋体"/>
          <w:b/>
          <w:kern w:val="0"/>
          <w:sz w:val="32"/>
          <w:szCs w:val="32"/>
          <w:highlight w:val="none"/>
        </w:rPr>
      </w:pPr>
    </w:p>
    <w:p>
      <w:pPr>
        <w:pStyle w:val="5"/>
        <w:rPr>
          <w:rFonts w:ascii="宋体" w:hAnsi="宋体" w:cs="宋体"/>
          <w:b/>
          <w:kern w:val="0"/>
          <w:highlight w:val="none"/>
        </w:rPr>
      </w:pPr>
    </w:p>
    <w:p>
      <w:pPr>
        <w:rPr>
          <w:rFonts w:ascii="宋体" w:hAnsi="宋体" w:cs="宋体"/>
          <w:b/>
          <w:kern w:val="0"/>
          <w:sz w:val="32"/>
          <w:szCs w:val="32"/>
          <w:highlight w:val="none"/>
        </w:rPr>
      </w:pPr>
    </w:p>
    <w:p>
      <w:pPr>
        <w:pStyle w:val="5"/>
        <w:rPr>
          <w:rFonts w:ascii="宋体" w:hAnsi="宋体" w:cs="宋体"/>
          <w:b/>
          <w:kern w:val="0"/>
          <w:highlight w:val="none"/>
        </w:rPr>
      </w:pPr>
    </w:p>
    <w:p>
      <w:pPr>
        <w:rPr>
          <w:rFonts w:ascii="宋体" w:hAnsi="宋体" w:cs="宋体"/>
          <w:b/>
          <w:kern w:val="0"/>
          <w:sz w:val="32"/>
          <w:szCs w:val="32"/>
          <w:highlight w:val="none"/>
        </w:rPr>
      </w:pPr>
    </w:p>
    <w:p>
      <w:pPr>
        <w:pStyle w:val="5"/>
        <w:rPr>
          <w:rFonts w:ascii="宋体" w:hAnsi="宋体" w:cs="宋体"/>
          <w:b/>
          <w:kern w:val="0"/>
          <w:highlight w:val="none"/>
        </w:rPr>
      </w:pPr>
    </w:p>
    <w:p>
      <w:pPr>
        <w:rPr>
          <w:rFonts w:ascii="宋体" w:hAnsi="宋体" w:cs="宋体"/>
          <w:b/>
          <w:kern w:val="0"/>
          <w:sz w:val="32"/>
          <w:szCs w:val="32"/>
          <w:highlight w:val="none"/>
        </w:rPr>
      </w:pPr>
    </w:p>
    <w:p>
      <w:pPr>
        <w:pStyle w:val="5"/>
        <w:rPr>
          <w:rFonts w:ascii="宋体" w:hAnsi="宋体" w:cs="宋体"/>
          <w:b/>
          <w:kern w:val="0"/>
          <w:highlight w:val="none"/>
        </w:rPr>
      </w:pPr>
    </w:p>
    <w:p>
      <w:pPr>
        <w:rPr>
          <w:rFonts w:ascii="宋体" w:hAnsi="宋体" w:cs="宋体"/>
          <w:b/>
          <w:kern w:val="0"/>
          <w:sz w:val="32"/>
          <w:szCs w:val="32"/>
          <w:highlight w:val="none"/>
        </w:rPr>
      </w:pPr>
    </w:p>
    <w:p>
      <w:pPr>
        <w:pStyle w:val="5"/>
        <w:rPr>
          <w:rFonts w:ascii="宋体" w:hAnsi="宋体" w:cs="宋体"/>
          <w:b/>
          <w:kern w:val="0"/>
          <w:highlight w:val="none"/>
        </w:rPr>
      </w:pPr>
    </w:p>
    <w:p>
      <w:pPr>
        <w:rPr>
          <w:rFonts w:ascii="宋体" w:hAnsi="宋体" w:cs="宋体"/>
          <w:b/>
          <w:kern w:val="0"/>
          <w:sz w:val="32"/>
          <w:szCs w:val="32"/>
          <w:highlight w:val="none"/>
        </w:rPr>
      </w:pPr>
    </w:p>
    <w:p>
      <w:pPr>
        <w:pStyle w:val="5"/>
        <w:rPr>
          <w:rFonts w:ascii="宋体" w:hAnsi="宋体" w:cs="宋体"/>
          <w:b/>
          <w:kern w:val="0"/>
          <w:highlight w:val="none"/>
        </w:rPr>
      </w:pPr>
    </w:p>
    <w:p>
      <w:pPr>
        <w:rPr>
          <w:highlight w:val="none"/>
        </w:rPr>
      </w:pPr>
    </w:p>
    <w:p>
      <w:pPr>
        <w:rPr>
          <w:rFonts w:ascii="宋体" w:hAnsi="宋体" w:cs="宋体"/>
          <w:b/>
          <w:kern w:val="0"/>
          <w:sz w:val="32"/>
          <w:szCs w:val="32"/>
          <w:highlight w:val="none"/>
        </w:rPr>
      </w:pPr>
    </w:p>
    <w:p>
      <w:pPr>
        <w:rPr>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4"/>
          <w:highlight w:val="none"/>
        </w:rPr>
      </w:pP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rPr>
          <w:rFonts w:ascii="宋体" w:hAnsi="宋体" w:cs="宋体"/>
          <w:b/>
          <w:kern w:val="0"/>
          <w:sz w:val="32"/>
          <w:szCs w:val="32"/>
          <w:highlight w:val="none"/>
          <w:lang w:val="zh-CN"/>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07" w:name="_Hlk101257010"/>
      <w:r>
        <w:rPr>
          <w:rFonts w:hint="eastAsia" w:ascii="宋体" w:hAnsi="宋体" w:cs="宋体"/>
          <w:sz w:val="24"/>
          <w:highlight w:val="none"/>
        </w:rPr>
        <w:t>（如果有)</w:t>
      </w:r>
      <w:bookmarkEnd w:id="407"/>
      <w:r>
        <w:rPr>
          <w:rFonts w:hint="eastAsia" w:ascii="宋体" w:hAnsi="宋体" w:cs="宋体"/>
          <w:snapToGrid w:val="0"/>
          <w:kern w:val="28"/>
          <w:sz w:val="24"/>
          <w:szCs w:val="20"/>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pStyle w:val="5"/>
        <w:rPr>
          <w:highlight w:val="none"/>
        </w:rPr>
      </w:pPr>
    </w:p>
    <w:p>
      <w:pPr>
        <w:rPr>
          <w:highlight w:val="none"/>
        </w:rPr>
      </w:pPr>
    </w:p>
    <w:p>
      <w:pPr>
        <w:jc w:val="center"/>
        <w:rPr>
          <w:rFonts w:ascii="宋体" w:hAnsi="宋体" w:cs="宋体"/>
          <w:b/>
          <w:kern w:val="0"/>
          <w:sz w:val="32"/>
          <w:szCs w:val="32"/>
          <w:highlight w:val="none"/>
        </w:rPr>
      </w:pPr>
    </w:p>
    <w:p>
      <w:pPr>
        <w:pStyle w:val="2"/>
        <w:rPr>
          <w:rFonts w:ascii="宋体" w:hAnsi="宋体" w:cs="宋体"/>
          <w:b/>
          <w:kern w:val="0"/>
          <w:sz w:val="32"/>
          <w:szCs w:val="32"/>
          <w:highlight w:val="none"/>
        </w:rPr>
      </w:pPr>
    </w:p>
    <w:p>
      <w:pPr>
        <w:pStyle w:val="2"/>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95"/>
        <w:spacing w:line="360" w:lineRule="auto"/>
        <w:rPr>
          <w:rFonts w:hAnsi="宋体" w:cs="宋体"/>
          <w:bCs/>
          <w:sz w:val="24"/>
          <w:highlight w:val="none"/>
        </w:rPr>
      </w:pPr>
      <w:r>
        <w:rPr>
          <w:rFonts w:hint="eastAsia" w:hAnsi="宋体"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5"/>
              <w:adjustRightInd w:val="0"/>
              <w:spacing w:line="360" w:lineRule="auto"/>
              <w:rPr>
                <w:rFonts w:hAnsi="宋体" w:cs="宋体"/>
                <w:bCs/>
                <w:sz w:val="24"/>
                <w:highlight w:val="none"/>
              </w:rPr>
            </w:pPr>
            <w:r>
              <w:rPr>
                <w:rFonts w:hint="eastAsia" w:hAnsi="宋体" w:cs="宋体"/>
                <w:bCs/>
                <w:sz w:val="24"/>
                <w:highlight w:val="none"/>
              </w:rPr>
              <w:t>正面：                                 反面：</w:t>
            </w:r>
          </w:p>
          <w:p>
            <w:pPr>
              <w:pStyle w:val="95"/>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right="480"/>
        <w:rPr>
          <w:rFonts w:ascii="宋体" w:hAnsi="宋体" w:cs="宋体"/>
          <w:b/>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pPr>
        <w:snapToGrid w:val="0"/>
        <w:spacing w:line="360" w:lineRule="auto"/>
        <w:rPr>
          <w:rFonts w:ascii="宋体" w:hAnsi="宋体" w:cs="宋体"/>
          <w:kern w:val="0"/>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pPr>
              <w:rPr>
                <w:rFonts w:ascii="宋体" w:hAnsi="宋体" w:cs="宋体"/>
                <w:sz w:val="24"/>
                <w:highlight w:val="none"/>
              </w:rPr>
            </w:pPr>
            <w:r>
              <w:rPr>
                <w:rFonts w:hint="eastAsia" w:ascii="宋体" w:hAnsi="宋体" w:cs="宋体"/>
                <w:sz w:val="24"/>
                <w:highlight w:val="none"/>
              </w:rPr>
              <w:t>见投标文件</w:t>
            </w:r>
          </w:p>
          <w:p>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投标函</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五、不为项目有关人员个人装修住房、婚丧嫁娶、配偶子女工作安排等提供好处；</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44"/>
          <w:szCs w:val="44"/>
          <w:highlight w:val="none"/>
        </w:rPr>
      </w:pPr>
      <w:r>
        <w:rPr>
          <w:rFonts w:hint="eastAsia" w:ascii="仿宋_GB2312" w:hAnsi="仿宋" w:eastAsia="仿宋_GB2312" w:cs="仿宋_GB2312"/>
          <w:b/>
          <w:kern w:val="0"/>
          <w:sz w:val="44"/>
          <w:szCs w:val="44"/>
          <w:highlight w:val="none"/>
        </w:rPr>
        <w:t>报价文件部分</w:t>
      </w:r>
      <w:r>
        <w:rPr>
          <w:rFonts w:hint="eastAsia" w:ascii="仿宋_GB2312" w:hAnsi="仿宋_GB2312" w:eastAsia="仿宋_GB2312" w:cs="仿宋_GB2312"/>
          <w:b/>
          <w:bCs/>
          <w:color w:val="000000"/>
          <w:sz w:val="44"/>
          <w:szCs w:val="44"/>
          <w:highlight w:val="none"/>
        </w:rPr>
        <w:t>（封面）</w:t>
      </w:r>
    </w:p>
    <w:p>
      <w:pPr>
        <w:spacing w:line="360" w:lineRule="auto"/>
        <w:jc w:val="center"/>
        <w:outlineLvl w:val="0"/>
        <w:rPr>
          <w:rFonts w:ascii="仿宋_GB2312" w:hAnsi="仿宋" w:eastAsia="仿宋_GB2312" w:cs="仿宋_GB2312"/>
          <w:b/>
          <w:kern w:val="0"/>
          <w:sz w:val="36"/>
          <w:szCs w:val="36"/>
          <w:highlight w:val="none"/>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highlight w:val="none"/>
        </w:rPr>
      </w:pPr>
      <w:r>
        <w:rPr>
          <w:rFonts w:hint="eastAsia" w:ascii="仿宋_GB2312" w:hAnsi="仿宋_GB2312" w:eastAsia="仿宋_GB2312" w:cs="仿宋_GB2312"/>
          <w:b/>
          <w:bCs/>
          <w:color w:val="000000"/>
          <w:sz w:val="44"/>
          <w:szCs w:val="44"/>
          <w:highlight w:val="none"/>
        </w:rPr>
        <w:t xml:space="preserve"> （项目名称）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highlight w:val="none"/>
        </w:rPr>
      </w:pPr>
      <w:bookmarkStart w:id="408" w:name="_Toc105"/>
      <w:r>
        <w:rPr>
          <w:rFonts w:hint="eastAsia" w:ascii="仿宋_GB2312" w:hAnsi="仿宋_GB2312" w:eastAsia="仿宋_GB2312" w:cs="仿宋_GB2312"/>
          <w:b/>
          <w:bCs/>
          <w:color w:val="000000"/>
          <w:sz w:val="52"/>
          <w:szCs w:val="52"/>
          <w:highlight w:val="none"/>
        </w:rPr>
        <w:t>报 价 文 件</w:t>
      </w:r>
      <w:bookmarkEnd w:id="408"/>
    </w:p>
    <w:p>
      <w:pPr>
        <w:widowControl/>
        <w:spacing w:line="360" w:lineRule="auto"/>
        <w:ind w:right="-2"/>
        <w:jc w:val="center"/>
        <w:outlineLvl w:val="1"/>
        <w:rPr>
          <w:rFonts w:ascii="仿宋_GB2312" w:hAnsi="仿宋_GB2312" w:eastAsia="仿宋_GB2312" w:cs="仿宋_GB2312"/>
          <w:b/>
          <w:color w:val="000000"/>
          <w:sz w:val="36"/>
          <w:szCs w:val="36"/>
          <w:highlight w:val="none"/>
        </w:rPr>
      </w:pPr>
      <w:bookmarkStart w:id="409" w:name="_Toc22501"/>
      <w:r>
        <w:rPr>
          <w:rFonts w:hint="eastAsia" w:ascii="仿宋_GB2312" w:hAnsi="仿宋_GB2312" w:eastAsia="仿宋_GB2312" w:cs="仿宋_GB2312"/>
          <w:b/>
          <w:color w:val="000000"/>
          <w:sz w:val="36"/>
          <w:szCs w:val="36"/>
          <w:highlight w:val="none"/>
        </w:rPr>
        <w:t>（线上电子招投标）</w:t>
      </w:r>
      <w:bookmarkEnd w:id="409"/>
    </w:p>
    <w:p>
      <w:pPr>
        <w:shd w:val="clear" w:color="auto" w:fill="FFFFFF"/>
        <w:snapToGrid w:val="0"/>
        <w:spacing w:line="360" w:lineRule="auto"/>
        <w:jc w:val="center"/>
        <w:outlineLvl w:val="1"/>
        <w:rPr>
          <w:rFonts w:ascii="仿宋_GB2312" w:hAnsi="仿宋_GB2312" w:eastAsia="仿宋_GB2312" w:cs="仿宋_GB2312"/>
          <w:b/>
          <w:bCs/>
          <w:color w:val="000000"/>
          <w:sz w:val="36"/>
          <w:szCs w:val="36"/>
          <w:highlight w:val="none"/>
        </w:rPr>
      </w:pPr>
      <w:bookmarkStart w:id="410" w:name="_Toc13670"/>
    </w:p>
    <w:p>
      <w:pPr>
        <w:shd w:val="clear" w:color="auto" w:fill="FFFFFF"/>
        <w:snapToGrid w:val="0"/>
        <w:spacing w:line="360" w:lineRule="auto"/>
        <w:jc w:val="center"/>
        <w:outlineLvl w:val="1"/>
        <w:rPr>
          <w:rFonts w:ascii="仿宋_GB2312" w:hAnsi="仿宋_GB2312" w:eastAsia="仿宋_GB2312" w:cs="仿宋_GB2312"/>
          <w:b/>
          <w:bCs/>
          <w:color w:val="000000"/>
          <w:sz w:val="36"/>
          <w:szCs w:val="36"/>
          <w:highlight w:val="none"/>
        </w:rPr>
      </w:pPr>
      <w:r>
        <w:rPr>
          <w:rFonts w:hint="eastAsia" w:ascii="仿宋_GB2312" w:hAnsi="仿宋_GB2312" w:eastAsia="仿宋_GB2312" w:cs="仿宋_GB2312"/>
          <w:b/>
          <w:bCs/>
          <w:color w:val="000000"/>
          <w:sz w:val="36"/>
          <w:szCs w:val="36"/>
          <w:highlight w:val="none"/>
        </w:rPr>
        <w:t xml:space="preserve">  招标编号：</w:t>
      </w:r>
      <w:bookmarkEnd w:id="410"/>
      <w:r>
        <w:rPr>
          <w:rFonts w:hint="eastAsia" w:ascii="仿宋_GB2312" w:hAnsi="仿宋_GB2312" w:eastAsia="仿宋_GB2312" w:cs="仿宋_GB2312"/>
          <w:b/>
          <w:bCs/>
          <w:color w:val="000000"/>
          <w:sz w:val="36"/>
          <w:szCs w:val="36"/>
          <w:highlight w:val="none"/>
        </w:rPr>
        <w:t xml:space="preserve"> </w:t>
      </w:r>
    </w:p>
    <w:p>
      <w:pPr>
        <w:pStyle w:val="84"/>
        <w:spacing w:line="360" w:lineRule="auto"/>
        <w:rPr>
          <w:rFonts w:ascii="仿宋_GB2312" w:hAnsi="仿宋_GB2312" w:eastAsia="仿宋_GB2312" w:cs="仿宋_GB2312"/>
          <w:sz w:val="72"/>
          <w:szCs w:val="72"/>
          <w:highlight w:val="none"/>
        </w:rPr>
      </w:pPr>
    </w:p>
    <w:p>
      <w:pPr>
        <w:snapToGrid w:val="0"/>
        <w:spacing w:line="360" w:lineRule="auto"/>
        <w:jc w:val="center"/>
        <w:rPr>
          <w:rFonts w:ascii="仿宋_GB2312" w:hAnsi="仿宋_GB2312" w:eastAsia="仿宋_GB2312" w:cs="仿宋_GB2312"/>
          <w:color w:val="000000"/>
          <w:sz w:val="72"/>
          <w:szCs w:val="72"/>
          <w:highlight w:val="none"/>
        </w:rPr>
      </w:pPr>
      <w:r>
        <w:rPr>
          <w:rFonts w:hint="eastAsia" w:ascii="仿宋_GB2312" w:hAnsi="仿宋_GB2312" w:eastAsia="仿宋_GB2312" w:cs="仿宋_GB2312"/>
          <w:color w:val="000000"/>
          <w:sz w:val="72"/>
          <w:szCs w:val="72"/>
          <w:highlight w:val="none"/>
        </w:rPr>
        <w:t>投</w:t>
      </w:r>
    </w:p>
    <w:p>
      <w:pPr>
        <w:snapToGrid w:val="0"/>
        <w:spacing w:line="360" w:lineRule="auto"/>
        <w:jc w:val="center"/>
        <w:rPr>
          <w:rFonts w:ascii="仿宋_GB2312" w:hAnsi="仿宋_GB2312" w:eastAsia="仿宋_GB2312" w:cs="仿宋_GB2312"/>
          <w:color w:val="000000"/>
          <w:sz w:val="72"/>
          <w:szCs w:val="72"/>
          <w:highlight w:val="none"/>
        </w:rPr>
      </w:pPr>
      <w:r>
        <w:rPr>
          <w:rFonts w:hint="eastAsia" w:ascii="仿宋_GB2312" w:hAnsi="仿宋_GB2312" w:eastAsia="仿宋_GB2312" w:cs="仿宋_GB2312"/>
          <w:color w:val="000000"/>
          <w:sz w:val="72"/>
          <w:szCs w:val="72"/>
          <w:highlight w:val="none"/>
        </w:rPr>
        <w:t>标</w:t>
      </w:r>
    </w:p>
    <w:p>
      <w:pPr>
        <w:snapToGrid w:val="0"/>
        <w:spacing w:line="360" w:lineRule="auto"/>
        <w:jc w:val="center"/>
        <w:rPr>
          <w:rFonts w:ascii="仿宋_GB2312" w:hAnsi="仿宋_GB2312" w:eastAsia="仿宋_GB2312" w:cs="仿宋_GB2312"/>
          <w:color w:val="000000"/>
          <w:sz w:val="72"/>
          <w:szCs w:val="72"/>
          <w:highlight w:val="none"/>
        </w:rPr>
      </w:pPr>
      <w:r>
        <w:rPr>
          <w:rFonts w:hint="eastAsia" w:ascii="仿宋_GB2312" w:hAnsi="仿宋_GB2312" w:eastAsia="仿宋_GB2312" w:cs="仿宋_GB2312"/>
          <w:color w:val="000000"/>
          <w:sz w:val="72"/>
          <w:szCs w:val="72"/>
          <w:highlight w:val="none"/>
        </w:rPr>
        <w:t>文</w:t>
      </w:r>
    </w:p>
    <w:p>
      <w:pPr>
        <w:snapToGrid w:val="0"/>
        <w:spacing w:line="360" w:lineRule="auto"/>
        <w:jc w:val="center"/>
        <w:rPr>
          <w:rFonts w:ascii="仿宋_GB2312" w:hAnsi="仿宋_GB2312" w:eastAsia="仿宋_GB2312" w:cs="仿宋_GB2312"/>
          <w:color w:val="000000"/>
          <w:sz w:val="72"/>
          <w:szCs w:val="72"/>
          <w:highlight w:val="none"/>
        </w:rPr>
      </w:pPr>
      <w:r>
        <w:rPr>
          <w:rFonts w:hint="eastAsia" w:ascii="仿宋_GB2312" w:hAnsi="仿宋_GB2312" w:eastAsia="仿宋_GB2312" w:cs="仿宋_GB2312"/>
          <w:color w:val="000000"/>
          <w:sz w:val="72"/>
          <w:szCs w:val="72"/>
          <w:highlight w:val="none"/>
        </w:rPr>
        <w:t>件</w:t>
      </w:r>
    </w:p>
    <w:p>
      <w:pPr>
        <w:snapToGrid w:val="0"/>
        <w:spacing w:line="360" w:lineRule="auto"/>
        <w:ind w:firstLine="1920" w:firstLineChars="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投标人全称：</w:t>
      </w:r>
      <w:r>
        <w:rPr>
          <w:rFonts w:hint="eastAsia" w:ascii="宋体" w:hAnsi="宋体" w:cs="宋体"/>
          <w:color w:val="000000"/>
          <w:sz w:val="32"/>
          <w:szCs w:val="32"/>
          <w:highlight w:val="none"/>
        </w:rPr>
        <w:t>（单位公章或电子公章）</w:t>
      </w:r>
    </w:p>
    <w:p>
      <w:pPr>
        <w:snapToGrid w:val="0"/>
        <w:spacing w:line="360" w:lineRule="auto"/>
        <w:ind w:firstLine="1920" w:firstLineChars="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投标人地址：</w:t>
      </w:r>
    </w:p>
    <w:p>
      <w:pPr>
        <w:snapToGrid w:val="0"/>
        <w:spacing w:line="360" w:lineRule="auto"/>
        <w:jc w:val="center"/>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color w:val="000000"/>
          <w:sz w:val="32"/>
          <w:szCs w:val="32"/>
          <w:highlight w:val="none"/>
        </w:rPr>
        <w:t>年   月   日</w:t>
      </w:r>
    </w:p>
    <w:p>
      <w:pPr>
        <w:pageBreakBefore/>
        <w:shd w:val="clear" w:color="auto" w:fill="FFFFFF"/>
        <w:snapToGrid w:val="0"/>
        <w:spacing w:line="360" w:lineRule="auto"/>
        <w:jc w:val="center"/>
        <w:rPr>
          <w:rFonts w:ascii="仿宋_GB2312" w:hAnsi="仿宋_GB2312" w:eastAsia="仿宋_GB2312" w:cs="仿宋_GB2312"/>
          <w:b/>
          <w:bCs/>
          <w:color w:val="000000"/>
          <w:kern w:val="0"/>
          <w:sz w:val="32"/>
          <w:szCs w:val="32"/>
          <w:highlight w:val="none"/>
        </w:rPr>
        <w:sectPr>
          <w:headerReference r:id="rId20" w:type="default"/>
          <w:footerReference r:id="rId21"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_GB2312" w:hAnsi="仿宋" w:eastAsia="仿宋_GB2312" w:cs="仿宋_GB2312"/>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38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pStyle w:val="38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992"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268"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2410"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268"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1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2127"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992"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992"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992"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highlight w:val="none"/>
              </w:rPr>
            </w:pPr>
          </w:p>
        </w:tc>
        <w:tc>
          <w:tcPr>
            <w:tcW w:w="992"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highlight w:val="none"/>
              </w:rPr>
            </w:pPr>
          </w:p>
        </w:tc>
        <w:tc>
          <w:tcPr>
            <w:tcW w:w="992"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647" w:type="dxa"/>
            <w:gridSpan w:val="4"/>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647" w:type="dxa"/>
            <w:gridSpan w:val="4"/>
          </w:tcPr>
          <w:p>
            <w:pPr>
              <w:spacing w:line="360" w:lineRule="auto"/>
              <w:jc w:val="center"/>
              <w:rPr>
                <w:rFonts w:ascii="宋体" w:hAnsi="宋体" w:cs="宋体"/>
                <w:sz w:val="24"/>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highlight w:val="none"/>
        </w:rPr>
      </w:pPr>
    </w:p>
    <w:p>
      <w:pPr>
        <w:pStyle w:val="38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38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84"/>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pPr>
        <w:pStyle w:val="384"/>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411" w:name="OLE_LINK14"/>
      <w:bookmarkStart w:id="412" w:name="OLE_LINK13"/>
      <w:r>
        <w:rPr>
          <w:rFonts w:hint="eastAsia" w:ascii="宋体" w:hAnsi="宋体" w:cs="宋体"/>
          <w:b/>
          <w:spacing w:val="6"/>
          <w:sz w:val="32"/>
          <w:szCs w:val="32"/>
          <w:highlight w:val="none"/>
        </w:rPr>
        <w:t>残疾人福利性单位声明函</w:t>
      </w:r>
    </w:p>
    <w:bookmarkEnd w:id="411"/>
    <w:bookmarkEnd w:id="412"/>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sz w:val="24"/>
          <w:highlight w:val="none"/>
          <w:u w:val="single"/>
        </w:rPr>
      </w:pPr>
    </w:p>
    <w:p>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13"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13"/>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14"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14"/>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15"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15"/>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ind w:firstLine="3666" w:firstLineChars="1100"/>
        <w:rPr>
          <w:rFonts w:ascii="宋体" w:hAnsi="宋体" w:cs="宋体"/>
          <w:b/>
          <w:spacing w:val="6"/>
          <w:sz w:val="32"/>
          <w:szCs w:val="32"/>
          <w:highlight w:val="none"/>
        </w:rPr>
      </w:pPr>
    </w:p>
    <w:p>
      <w:pPr>
        <w:widowControl/>
        <w:adjustRightInd/>
        <w:jc w:val="left"/>
        <w:rPr>
          <w:rFonts w:ascii="宋体" w:hAnsi="宋体" w:cs="宋体"/>
          <w:b/>
          <w:spacing w:val="6"/>
          <w:sz w:val="32"/>
          <w:szCs w:val="32"/>
          <w:highlight w:val="none"/>
        </w:rPr>
      </w:pPr>
      <w:r>
        <w:rPr>
          <w:rFonts w:ascii="宋体" w:hAnsi="宋体" w:cs="宋体"/>
          <w:b/>
          <w:spacing w:val="6"/>
          <w:sz w:val="32"/>
          <w:szCs w:val="32"/>
          <w:highlight w:val="none"/>
        </w:rPr>
        <w:br w:type="page"/>
      </w:r>
    </w:p>
    <w:p>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5"/>
        <w:ind w:left="664" w:leftChars="316" w:firstLine="228"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rPr>
          <w:highlight w:val="none"/>
        </w:rPr>
      </w:pPr>
      <w:r>
        <w:rPr>
          <w:rFonts w:hint="eastAsia"/>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pPr>
        <w:spacing w:line="360" w:lineRule="auto"/>
        <w:ind w:right="420"/>
        <w:rPr>
          <w:rFonts w:ascii="宋体" w:hAnsi="宋体" w:cs="宋体"/>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jc w:val="center"/>
        <w:rPr>
          <w:rFonts w:ascii="仿宋" w:hAnsi="仿宋" w:eastAsia="仿宋"/>
          <w:b/>
          <w:strike/>
          <w:spacing w:val="6"/>
          <w:sz w:val="32"/>
          <w:szCs w:val="32"/>
          <w:highlight w:val="none"/>
        </w:rPr>
      </w:pPr>
    </w:p>
    <w:p>
      <w:pPr>
        <w:pStyle w:val="5"/>
        <w:rPr>
          <w:rFonts w:ascii="仿宋" w:eastAsia="仿宋"/>
          <w:b/>
          <w:strike/>
          <w:spacing w:val="6"/>
          <w:highlight w:val="none"/>
        </w:rPr>
      </w:pPr>
    </w:p>
    <w:p>
      <w:pPr>
        <w:rPr>
          <w:rFonts w:ascii="仿宋" w:hAnsi="仿宋" w:eastAsia="仿宋"/>
          <w:b/>
          <w:strike/>
          <w:spacing w:val="6"/>
          <w:sz w:val="32"/>
          <w:szCs w:val="32"/>
          <w:highlight w:val="none"/>
        </w:rPr>
      </w:pPr>
    </w:p>
    <w:p>
      <w:pPr>
        <w:pStyle w:val="5"/>
        <w:rPr>
          <w:rFonts w:ascii="仿宋" w:eastAsia="仿宋"/>
          <w:b/>
          <w:strike/>
          <w:spacing w:val="6"/>
          <w:highlight w:val="none"/>
        </w:rPr>
      </w:pPr>
    </w:p>
    <w:p>
      <w:pPr>
        <w:rPr>
          <w:rFonts w:ascii="仿宋" w:hAnsi="仿宋" w:eastAsia="仿宋"/>
          <w:b/>
          <w:strike/>
          <w:spacing w:val="6"/>
          <w:sz w:val="32"/>
          <w:szCs w:val="32"/>
          <w:highlight w:val="none"/>
        </w:rPr>
      </w:pPr>
    </w:p>
    <w:p>
      <w:pPr>
        <w:pStyle w:val="5"/>
        <w:rPr>
          <w:rFonts w:ascii="仿宋" w:eastAsia="仿宋"/>
          <w:b/>
          <w:strike/>
          <w:spacing w:val="6"/>
          <w:highlight w:val="none"/>
        </w:rPr>
      </w:pPr>
    </w:p>
    <w:p>
      <w:pPr>
        <w:rPr>
          <w:rFonts w:ascii="仿宋" w:hAnsi="仿宋" w:eastAsia="仿宋"/>
          <w:b/>
          <w:strike/>
          <w:spacing w:val="6"/>
          <w:sz w:val="32"/>
          <w:szCs w:val="32"/>
          <w:highlight w:val="none"/>
        </w:rPr>
      </w:pPr>
    </w:p>
    <w:p>
      <w:pPr>
        <w:pStyle w:val="5"/>
        <w:rPr>
          <w:rFonts w:ascii="仿宋" w:eastAsia="仿宋"/>
          <w:b/>
          <w:strike/>
          <w:spacing w:val="6"/>
          <w:highlight w:val="none"/>
        </w:rPr>
      </w:pPr>
    </w:p>
    <w:p>
      <w:pPr>
        <w:rPr>
          <w:rFonts w:ascii="仿宋" w:hAnsi="仿宋" w:eastAsia="仿宋"/>
          <w:b/>
          <w:strike/>
          <w:spacing w:val="6"/>
          <w:sz w:val="32"/>
          <w:szCs w:val="32"/>
          <w:highlight w:val="none"/>
        </w:rPr>
      </w:pPr>
    </w:p>
    <w:p>
      <w:pPr>
        <w:pStyle w:val="5"/>
        <w:rPr>
          <w:rFonts w:ascii="仿宋" w:eastAsia="仿宋"/>
          <w:b/>
          <w:strike/>
          <w:spacing w:val="6"/>
          <w:highlight w:val="none"/>
        </w:rPr>
      </w:pPr>
    </w:p>
    <w:p>
      <w:pPr>
        <w:rPr>
          <w:rFonts w:ascii="仿宋" w:hAnsi="仿宋" w:eastAsia="仿宋"/>
          <w:b/>
          <w:strike/>
          <w:spacing w:val="6"/>
          <w:sz w:val="32"/>
          <w:szCs w:val="32"/>
          <w:highlight w:val="none"/>
        </w:rPr>
      </w:pPr>
    </w:p>
    <w:p>
      <w:pPr>
        <w:pStyle w:val="5"/>
        <w:rPr>
          <w:rFonts w:ascii="仿宋" w:eastAsia="仿宋"/>
          <w:b/>
          <w:strike/>
          <w:spacing w:val="6"/>
          <w:highlight w:val="none"/>
        </w:rPr>
      </w:pPr>
    </w:p>
    <w:p>
      <w:pPr>
        <w:rPr>
          <w:rFonts w:ascii="仿宋" w:hAnsi="仿宋" w:eastAsia="仿宋"/>
          <w:b/>
          <w:strike/>
          <w:spacing w:val="6"/>
          <w:sz w:val="32"/>
          <w:szCs w:val="32"/>
          <w:highlight w:val="none"/>
        </w:rPr>
      </w:pPr>
    </w:p>
    <w:p>
      <w:pPr>
        <w:pStyle w:val="5"/>
        <w:rPr>
          <w:rFonts w:ascii="仿宋" w:eastAsia="仿宋"/>
          <w:b/>
          <w:strike/>
          <w:spacing w:val="6"/>
          <w:highlight w:val="none"/>
        </w:rPr>
      </w:pPr>
    </w:p>
    <w:p>
      <w:pPr>
        <w:rPr>
          <w:rFonts w:ascii="仿宋" w:hAnsi="仿宋" w:eastAsia="仿宋"/>
          <w:b/>
          <w:strike/>
          <w:spacing w:val="6"/>
          <w:sz w:val="32"/>
          <w:szCs w:val="32"/>
          <w:highlight w:val="none"/>
        </w:rPr>
      </w:pPr>
    </w:p>
    <w:p>
      <w:pPr>
        <w:pStyle w:val="5"/>
        <w:rPr>
          <w:rFonts w:ascii="仿宋" w:eastAsia="仿宋"/>
          <w:b/>
          <w:strike/>
          <w:spacing w:val="6"/>
          <w:highlight w:val="none"/>
        </w:rPr>
      </w:pPr>
    </w:p>
    <w:p>
      <w:pPr>
        <w:rPr>
          <w:rFonts w:ascii="仿宋" w:hAnsi="仿宋" w:eastAsia="仿宋"/>
          <w:b/>
          <w:strike/>
          <w:spacing w:val="6"/>
          <w:sz w:val="32"/>
          <w:szCs w:val="32"/>
          <w:highlight w:val="none"/>
        </w:rPr>
      </w:pPr>
    </w:p>
    <w:p>
      <w:pPr>
        <w:pStyle w:val="5"/>
        <w:rPr>
          <w:rFonts w:ascii="仿宋" w:eastAsia="仿宋"/>
          <w:b/>
          <w:strike/>
          <w:spacing w:val="6"/>
          <w:highlight w:val="none"/>
        </w:rPr>
      </w:pPr>
    </w:p>
    <w:p>
      <w:pPr>
        <w:rPr>
          <w:rFonts w:ascii="仿宋" w:hAnsi="仿宋" w:eastAsia="仿宋"/>
          <w:b/>
          <w:strike/>
          <w:spacing w:val="6"/>
          <w:sz w:val="32"/>
          <w:szCs w:val="32"/>
          <w:highlight w:val="none"/>
        </w:rPr>
      </w:pPr>
    </w:p>
    <w:p>
      <w:pPr>
        <w:pStyle w:val="5"/>
        <w:rPr>
          <w:rFonts w:ascii="仿宋" w:eastAsia="仿宋"/>
          <w:b/>
          <w:strike/>
          <w:spacing w:val="6"/>
          <w:highlight w:val="none"/>
        </w:rPr>
      </w:pPr>
    </w:p>
    <w:p>
      <w:pPr>
        <w:rPr>
          <w:rFonts w:ascii="仿宋" w:hAnsi="仿宋" w:eastAsia="仿宋"/>
          <w:b/>
          <w:strike/>
          <w:spacing w:val="6"/>
          <w:sz w:val="32"/>
          <w:szCs w:val="32"/>
          <w:highlight w:val="none"/>
        </w:rPr>
      </w:pPr>
    </w:p>
    <w:p>
      <w:pPr>
        <w:pStyle w:val="5"/>
        <w:rPr>
          <w:rFonts w:ascii="仿宋" w:eastAsia="仿宋"/>
          <w:b/>
          <w:strike/>
          <w:spacing w:val="6"/>
          <w:highlight w:val="none"/>
        </w:rPr>
      </w:pPr>
    </w:p>
    <w:p>
      <w:pPr>
        <w:rPr>
          <w:rFonts w:ascii="仿宋" w:hAnsi="仿宋" w:eastAsia="仿宋" w:cs="仿宋"/>
          <w:b/>
          <w:sz w:val="48"/>
          <w:szCs w:val="48"/>
          <w:highlight w:val="none"/>
        </w:rPr>
      </w:pPr>
      <w:r>
        <w:rPr>
          <w:rFonts w:hint="eastAsia" w:ascii="仿宋" w:hAnsi="仿宋" w:eastAsia="仿宋" w:cs="仿宋"/>
          <w:sz w:val="30"/>
          <w:szCs w:val="30"/>
          <w:highlight w:val="none"/>
        </w:rPr>
        <w:t>附件（中标后提供）：</w:t>
      </w:r>
    </w:p>
    <w:p>
      <w:pPr>
        <w:jc w:val="center"/>
        <w:rPr>
          <w:rFonts w:ascii="仿宋" w:hAnsi="仿宋" w:eastAsia="仿宋" w:cs="仿宋"/>
          <w:b/>
          <w:sz w:val="48"/>
          <w:szCs w:val="48"/>
          <w:highlight w:val="none"/>
        </w:rPr>
      </w:pPr>
    </w:p>
    <w:p>
      <w:pPr>
        <w:jc w:val="center"/>
        <w:rPr>
          <w:rFonts w:ascii="仿宋" w:hAnsi="仿宋" w:eastAsia="仿宋" w:cs="仿宋"/>
          <w:b/>
          <w:sz w:val="48"/>
          <w:szCs w:val="48"/>
          <w:highlight w:val="none"/>
        </w:rPr>
      </w:pPr>
      <w:r>
        <w:rPr>
          <w:rFonts w:hint="eastAsia" w:ascii="仿宋" w:hAnsi="仿宋" w:eastAsia="仿宋" w:cs="仿宋"/>
          <w:b/>
          <w:sz w:val="48"/>
          <w:szCs w:val="48"/>
          <w:highlight w:val="none"/>
        </w:rPr>
        <w:t>承 诺 书</w:t>
      </w:r>
    </w:p>
    <w:p>
      <w:pPr>
        <w:rPr>
          <w:rFonts w:ascii="仿宋" w:hAnsi="仿宋" w:eastAsia="仿宋" w:cs="仿宋"/>
          <w:sz w:val="30"/>
          <w:szCs w:val="30"/>
          <w:highlight w:val="none"/>
        </w:rPr>
      </w:pPr>
    </w:p>
    <w:p>
      <w:pPr>
        <w:rPr>
          <w:rFonts w:ascii="仿宋" w:hAnsi="仿宋" w:eastAsia="仿宋" w:cs="仿宋"/>
          <w:sz w:val="30"/>
          <w:szCs w:val="30"/>
          <w:highlight w:val="none"/>
        </w:rPr>
      </w:pPr>
      <w:r>
        <w:rPr>
          <w:rFonts w:hint="eastAsia" w:ascii="仿宋" w:hAnsi="仿宋" w:eastAsia="仿宋" w:cs="仿宋"/>
          <w:sz w:val="30"/>
          <w:szCs w:val="30"/>
          <w:highlight w:val="none"/>
          <w:u w:val="single"/>
          <w:lang w:eastAsia="zh-CN"/>
        </w:rPr>
        <w:t>浙江恒合瑞建设工程有限公司</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w:t>
      </w:r>
    </w:p>
    <w:p>
      <w:pPr>
        <w:spacing w:line="78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我单位参与投标的</w:t>
      </w:r>
      <w:r>
        <w:rPr>
          <w:rFonts w:hint="eastAsia" w:ascii="仿宋" w:hAnsi="仿宋" w:eastAsia="仿宋" w:cs="仿宋"/>
          <w:sz w:val="30"/>
          <w:szCs w:val="30"/>
          <w:highlight w:val="none"/>
          <w:u w:val="single"/>
        </w:rPr>
        <w:t xml:space="preserve">   （项目名称）   </w:t>
      </w:r>
      <w:r>
        <w:rPr>
          <w:rFonts w:hint="eastAsia" w:ascii="仿宋" w:hAnsi="仿宋" w:eastAsia="仿宋" w:cs="仿宋"/>
          <w:sz w:val="30"/>
          <w:szCs w:val="30"/>
          <w:highlight w:val="none"/>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本单位提交给招标代理机构备案的</w:t>
      </w:r>
      <w:r>
        <w:rPr>
          <w:rFonts w:hint="eastAsia" w:ascii="仿宋" w:hAnsi="仿宋" w:eastAsia="仿宋" w:cs="仿宋"/>
          <w:sz w:val="30"/>
          <w:szCs w:val="30"/>
          <w:highlight w:val="none"/>
          <w:u w:val="single"/>
        </w:rPr>
        <w:t>投标文件纸质版</w:t>
      </w:r>
      <w:r>
        <w:rPr>
          <w:rFonts w:hint="eastAsia" w:ascii="仿宋" w:hAnsi="仿宋" w:eastAsia="仿宋" w:cs="仿宋"/>
          <w:sz w:val="30"/>
          <w:szCs w:val="30"/>
          <w:highlight w:val="none"/>
        </w:rPr>
        <w:t>与</w:t>
      </w:r>
      <w:r>
        <w:rPr>
          <w:rFonts w:hint="eastAsia" w:ascii="仿宋" w:hAnsi="仿宋" w:eastAsia="仿宋" w:cs="仿宋"/>
          <w:sz w:val="30"/>
          <w:szCs w:val="30"/>
          <w:highlight w:val="none"/>
          <w:u w:val="single"/>
        </w:rPr>
        <w:t>电子投标文件</w:t>
      </w:r>
      <w:r>
        <w:rPr>
          <w:rFonts w:hint="eastAsia" w:ascii="仿宋" w:hAnsi="仿宋" w:eastAsia="仿宋" w:cs="仿宋"/>
          <w:sz w:val="30"/>
          <w:szCs w:val="30"/>
          <w:highlight w:val="none"/>
        </w:rPr>
        <w:t>内容均一致，如不一致导致的任何法律责任自负。特此承诺！</w:t>
      </w:r>
    </w:p>
    <w:p>
      <w:pPr>
        <w:spacing w:line="780" w:lineRule="exact"/>
        <w:ind w:firstLine="450" w:firstLineChars="150"/>
        <w:rPr>
          <w:rFonts w:ascii="仿宋" w:hAnsi="仿宋" w:eastAsia="仿宋" w:cs="仿宋"/>
          <w:sz w:val="30"/>
          <w:szCs w:val="30"/>
          <w:highlight w:val="none"/>
        </w:rPr>
      </w:pPr>
    </w:p>
    <w:p>
      <w:pPr>
        <w:spacing w:line="780" w:lineRule="exact"/>
        <w:rPr>
          <w:rFonts w:ascii="仿宋" w:hAnsi="仿宋" w:eastAsia="仿宋" w:cs="仿宋"/>
          <w:sz w:val="30"/>
          <w:szCs w:val="30"/>
          <w:highlight w:val="none"/>
        </w:rPr>
      </w:pPr>
    </w:p>
    <w:p>
      <w:pPr>
        <w:spacing w:line="780" w:lineRule="exact"/>
        <w:rPr>
          <w:rFonts w:ascii="仿宋" w:hAnsi="仿宋" w:eastAsia="仿宋" w:cs="仿宋"/>
          <w:sz w:val="30"/>
          <w:szCs w:val="30"/>
          <w:highlight w:val="none"/>
        </w:rPr>
      </w:pPr>
    </w:p>
    <w:p>
      <w:pPr>
        <w:spacing w:line="780" w:lineRule="exact"/>
        <w:rPr>
          <w:rFonts w:ascii="仿宋" w:hAnsi="仿宋" w:eastAsia="仿宋" w:cs="仿宋"/>
          <w:sz w:val="30"/>
          <w:szCs w:val="30"/>
          <w:highlight w:val="none"/>
        </w:rPr>
      </w:pPr>
      <w:r>
        <w:rPr>
          <w:rFonts w:hint="eastAsia" w:ascii="仿宋" w:hAnsi="仿宋" w:eastAsia="仿宋" w:cs="仿宋"/>
          <w:sz w:val="30"/>
          <w:szCs w:val="30"/>
          <w:highlight w:val="none"/>
        </w:rPr>
        <w:t>投标人名称（盖公章）：</w:t>
      </w:r>
    </w:p>
    <w:p>
      <w:pPr>
        <w:spacing w:line="780" w:lineRule="exact"/>
        <w:ind w:firstLine="5850" w:firstLineChars="1950"/>
        <w:rPr>
          <w:rFonts w:ascii="仿宋" w:hAnsi="仿宋" w:eastAsia="仿宋" w:cs="仿宋"/>
          <w:sz w:val="30"/>
          <w:szCs w:val="30"/>
          <w:highlight w:val="none"/>
        </w:rPr>
      </w:pPr>
      <w:r>
        <w:rPr>
          <w:rFonts w:hint="eastAsia" w:ascii="仿宋" w:hAnsi="仿宋" w:eastAsia="仿宋" w:cs="仿宋"/>
          <w:sz w:val="30"/>
          <w:szCs w:val="30"/>
          <w:highlight w:val="none"/>
        </w:rPr>
        <w:t>2023年   月   日</w:t>
      </w:r>
    </w:p>
    <w:p>
      <w:pPr>
        <w:spacing w:line="360" w:lineRule="auto"/>
        <w:ind w:firstLine="480" w:firstLineChars="200"/>
        <w:rPr>
          <w:rFonts w:ascii="仿宋" w:hAnsi="仿宋" w:eastAsia="仿宋" w:cs="仿宋"/>
          <w:color w:val="000000"/>
          <w:sz w:val="24"/>
          <w:highlight w:val="none"/>
        </w:rPr>
      </w:pPr>
    </w:p>
    <w:p>
      <w:pPr>
        <w:rPr>
          <w:rFonts w:ascii="仿宋" w:hAnsi="仿宋" w:eastAsia="仿宋" w:cs="仿宋"/>
          <w:highlight w:val="none"/>
        </w:rPr>
      </w:pPr>
    </w:p>
    <w:p>
      <w:pPr>
        <w:pStyle w:val="7"/>
        <w:ind w:firstLine="0"/>
        <w:rPr>
          <w:rFonts w:ascii="仿宋" w:hAnsi="仿宋" w:eastAsia="仿宋" w:cs="仿宋"/>
          <w:highlight w:val="none"/>
        </w:rPr>
      </w:pPr>
    </w:p>
    <w:p>
      <w:pPr>
        <w:pStyle w:val="5"/>
        <w:rPr>
          <w:rFonts w:ascii="仿宋" w:eastAsia="仿宋" w:cs="仿宋"/>
          <w:highlight w:val="none"/>
        </w:rPr>
      </w:pPr>
    </w:p>
    <w:p>
      <w:pPr>
        <w:rPr>
          <w:rFonts w:ascii="仿宋" w:hAnsi="仿宋" w:eastAsia="仿宋" w:cs="仿宋"/>
          <w:highlight w:val="none"/>
        </w:rPr>
      </w:pPr>
    </w:p>
    <w:p>
      <w:pPr>
        <w:snapToGrid w:val="0"/>
        <w:spacing w:line="360" w:lineRule="auto"/>
        <w:jc w:val="left"/>
        <w:rPr>
          <w:sz w:val="24"/>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19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2"/>
                    </w:pP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42"/>
                    </w:pPr>
                  </w:p>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62</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42"/>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2"/>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42"/>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42"/>
                    </w:pP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color w:val="0000FF"/>
        <w:u w:val="thick"/>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21</w:t>
                    </w:r>
                    <w:r>
                      <w:fldChar w:fldCharType="end"/>
                    </w:r>
                  </w:p>
                </w:txbxContent>
              </v:textbox>
            </v:shape>
          </w:pict>
        </mc:Fallback>
      </mc:AlternateContent>
    </w:r>
    <w:r>
      <w:rPr>
        <w:rFonts w:eastAsia="??"/>
        <w:color w:val="0000FF"/>
        <w:szCs w:val="28"/>
        <w:u w:val="thick"/>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矩形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750xDAAQAAjg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7DizAlLN/7n+8/fv34wKpA7&#10;fcCKmp7CI0wZUpikDi3Y9CYRbMiOni+OqiEyScXlerVel2S2pLM5IZzi+fMAGD8pb1kKag50ZdlJ&#10;cfqCcWydW9I05++0MVQXlXH/FAgzVYrEeOSYojjsh4n43jdnEtvTbdfc0XJzZj47MjMtxhzAHOzn&#10;4BhAHzqitsy8MNweI5HI3NKEEXYaTNeU1U0rlfbgZZ67nn+j7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DvnTEMABAACOAwAADgAAAAAAAAABACAAAAAfAQAAZHJzL2Uyb0RvYy54bWxQSwUG&#10;AAAAAAYABgBZAQAAUQU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CE0B0"/>
    <w:multiLevelType w:val="singleLevel"/>
    <w:tmpl w:val="881CE0B0"/>
    <w:lvl w:ilvl="0" w:tentative="0">
      <w:start w:val="3"/>
      <w:numFmt w:val="chineseCounting"/>
      <w:suff w:val="nothing"/>
      <w:lvlText w:val="%1、"/>
      <w:lvlJc w:val="left"/>
      <w:rPr>
        <w:rFonts w:hint="eastAsia"/>
      </w:rPr>
    </w:lvl>
  </w:abstractNum>
  <w:abstractNum w:abstractNumId="1">
    <w:nsid w:val="98E9A51A"/>
    <w:multiLevelType w:val="singleLevel"/>
    <w:tmpl w:val="98E9A51A"/>
    <w:lvl w:ilvl="0" w:tentative="0">
      <w:start w:val="16"/>
      <w:numFmt w:val="decimal"/>
      <w:suff w:val="space"/>
      <w:lvlText w:val="%1."/>
      <w:lvlJc w:val="left"/>
    </w:lvl>
  </w:abstractNum>
  <w:abstractNum w:abstractNumId="2">
    <w:nsid w:val="2A107D1F"/>
    <w:multiLevelType w:val="singleLevel"/>
    <w:tmpl w:val="2A107D1F"/>
    <w:lvl w:ilvl="0" w:tentative="0">
      <w:start w:val="13"/>
      <w:numFmt w:val="decimal"/>
      <w:suff w:val="space"/>
      <w:lvlText w:val="%1."/>
      <w:lvlJc w:val="left"/>
    </w:lvl>
  </w:abstractNum>
  <w:abstractNum w:abstractNumId="3">
    <w:nsid w:val="517C102A"/>
    <w:multiLevelType w:val="singleLevel"/>
    <w:tmpl w:val="517C102A"/>
    <w:lvl w:ilvl="0" w:tentative="0">
      <w:start w:val="28"/>
      <w:numFmt w:val="decimal"/>
      <w:suff w:val="space"/>
      <w:lvlText w:val="%1."/>
      <w:lvlJc w:val="left"/>
      <w:pPr>
        <w:ind w:left="120" w:firstLine="0"/>
      </w:pPr>
    </w:lvl>
  </w:abstractNum>
  <w:abstractNum w:abstractNumId="4">
    <w:nsid w:val="73414110"/>
    <w:multiLevelType w:val="singleLevel"/>
    <w:tmpl w:val="73414110"/>
    <w:lvl w:ilvl="0" w:tentative="0">
      <w:start w:val="8"/>
      <w:numFmt w:val="decimal"/>
      <w:suff w:val="space"/>
      <w:lvlText w:val="%1."/>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NTI5OTEzMDMwMTk4MzYyOTE1MmVhZTcyODNm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69E5"/>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9F8"/>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E80"/>
    <w:rsid w:val="00040447"/>
    <w:rsid w:val="00040494"/>
    <w:rsid w:val="00040B70"/>
    <w:rsid w:val="00041392"/>
    <w:rsid w:val="00042441"/>
    <w:rsid w:val="00042533"/>
    <w:rsid w:val="000428BA"/>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C66"/>
    <w:rsid w:val="00081671"/>
    <w:rsid w:val="00082AD4"/>
    <w:rsid w:val="0008378C"/>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C9B"/>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9EC"/>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735"/>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9C9"/>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A4"/>
    <w:rsid w:val="00167478"/>
    <w:rsid w:val="00167594"/>
    <w:rsid w:val="001702BE"/>
    <w:rsid w:val="001704B3"/>
    <w:rsid w:val="0017059C"/>
    <w:rsid w:val="0017105C"/>
    <w:rsid w:val="00171622"/>
    <w:rsid w:val="00171785"/>
    <w:rsid w:val="00171AB5"/>
    <w:rsid w:val="0017204F"/>
    <w:rsid w:val="001721CF"/>
    <w:rsid w:val="00172836"/>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157"/>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2FBE"/>
    <w:rsid w:val="001F386B"/>
    <w:rsid w:val="001F5DA1"/>
    <w:rsid w:val="001F612E"/>
    <w:rsid w:val="001F6A92"/>
    <w:rsid w:val="001F77E8"/>
    <w:rsid w:val="00201A0C"/>
    <w:rsid w:val="00201B0F"/>
    <w:rsid w:val="0020255A"/>
    <w:rsid w:val="002025D7"/>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99"/>
    <w:rsid w:val="00221AF7"/>
    <w:rsid w:val="00222494"/>
    <w:rsid w:val="00222775"/>
    <w:rsid w:val="00222A31"/>
    <w:rsid w:val="00222CF6"/>
    <w:rsid w:val="00224037"/>
    <w:rsid w:val="002244E4"/>
    <w:rsid w:val="00224D2A"/>
    <w:rsid w:val="00224D8D"/>
    <w:rsid w:val="0022555A"/>
    <w:rsid w:val="00225A55"/>
    <w:rsid w:val="002260B6"/>
    <w:rsid w:val="00227214"/>
    <w:rsid w:val="00227DDC"/>
    <w:rsid w:val="0023079F"/>
    <w:rsid w:val="00231135"/>
    <w:rsid w:val="00231B0B"/>
    <w:rsid w:val="00232555"/>
    <w:rsid w:val="00233538"/>
    <w:rsid w:val="00233F6A"/>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07A"/>
    <w:rsid w:val="0027232B"/>
    <w:rsid w:val="0027244F"/>
    <w:rsid w:val="00273052"/>
    <w:rsid w:val="00273984"/>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87FC0"/>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08C"/>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CA0"/>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B5"/>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52A"/>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5A3"/>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856"/>
    <w:rsid w:val="003A7E2B"/>
    <w:rsid w:val="003A7E40"/>
    <w:rsid w:val="003B0336"/>
    <w:rsid w:val="003B0A3A"/>
    <w:rsid w:val="003B0D79"/>
    <w:rsid w:val="003B2930"/>
    <w:rsid w:val="003B31A7"/>
    <w:rsid w:val="003B4587"/>
    <w:rsid w:val="003B4B51"/>
    <w:rsid w:val="003B4FE1"/>
    <w:rsid w:val="003B514E"/>
    <w:rsid w:val="003B53EA"/>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145"/>
    <w:rsid w:val="003C62EC"/>
    <w:rsid w:val="003C685A"/>
    <w:rsid w:val="003C699D"/>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B2E"/>
    <w:rsid w:val="003E20F7"/>
    <w:rsid w:val="003E336A"/>
    <w:rsid w:val="003E3E2F"/>
    <w:rsid w:val="003E4048"/>
    <w:rsid w:val="003E4CE5"/>
    <w:rsid w:val="003E5244"/>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157"/>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A65"/>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2DD"/>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DF5"/>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F7"/>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29B"/>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51C"/>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990"/>
    <w:rsid w:val="004E6746"/>
    <w:rsid w:val="004E6CAC"/>
    <w:rsid w:val="004E6DBE"/>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A7"/>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881"/>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08"/>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59"/>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858"/>
    <w:rsid w:val="00583D43"/>
    <w:rsid w:val="005846C3"/>
    <w:rsid w:val="00584F04"/>
    <w:rsid w:val="0058544C"/>
    <w:rsid w:val="00585623"/>
    <w:rsid w:val="005857F7"/>
    <w:rsid w:val="005865E9"/>
    <w:rsid w:val="005868FD"/>
    <w:rsid w:val="00587D4B"/>
    <w:rsid w:val="00587D7B"/>
    <w:rsid w:val="00587F3A"/>
    <w:rsid w:val="005904DB"/>
    <w:rsid w:val="005905ED"/>
    <w:rsid w:val="00590D11"/>
    <w:rsid w:val="00591BA6"/>
    <w:rsid w:val="00592825"/>
    <w:rsid w:val="00594437"/>
    <w:rsid w:val="00594B70"/>
    <w:rsid w:val="00596CFA"/>
    <w:rsid w:val="00596EC6"/>
    <w:rsid w:val="005975CE"/>
    <w:rsid w:val="005976C7"/>
    <w:rsid w:val="005A0088"/>
    <w:rsid w:val="005A04F6"/>
    <w:rsid w:val="005A14F0"/>
    <w:rsid w:val="005A1861"/>
    <w:rsid w:val="005A1A31"/>
    <w:rsid w:val="005A361D"/>
    <w:rsid w:val="005A36C2"/>
    <w:rsid w:val="005A3719"/>
    <w:rsid w:val="005A3DD7"/>
    <w:rsid w:val="005A40FA"/>
    <w:rsid w:val="005A49D1"/>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A93"/>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EF8"/>
    <w:rsid w:val="005D65BF"/>
    <w:rsid w:val="005D6D84"/>
    <w:rsid w:val="005D70A1"/>
    <w:rsid w:val="005D79F2"/>
    <w:rsid w:val="005D7CB1"/>
    <w:rsid w:val="005D7F57"/>
    <w:rsid w:val="005E0067"/>
    <w:rsid w:val="005E0141"/>
    <w:rsid w:val="005E09CA"/>
    <w:rsid w:val="005E1AB4"/>
    <w:rsid w:val="005E255B"/>
    <w:rsid w:val="005E2CF7"/>
    <w:rsid w:val="005E4543"/>
    <w:rsid w:val="005E48E6"/>
    <w:rsid w:val="005E4A1C"/>
    <w:rsid w:val="005E5409"/>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630"/>
    <w:rsid w:val="005F77F8"/>
    <w:rsid w:val="005F7CA8"/>
    <w:rsid w:val="00600DE1"/>
    <w:rsid w:val="00601506"/>
    <w:rsid w:val="00601596"/>
    <w:rsid w:val="00601C92"/>
    <w:rsid w:val="00601F66"/>
    <w:rsid w:val="006025EB"/>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4C"/>
    <w:rsid w:val="00611B59"/>
    <w:rsid w:val="00611FBA"/>
    <w:rsid w:val="00612098"/>
    <w:rsid w:val="006126CC"/>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3C2"/>
    <w:rsid w:val="00623571"/>
    <w:rsid w:val="00623A5E"/>
    <w:rsid w:val="00625008"/>
    <w:rsid w:val="0062548B"/>
    <w:rsid w:val="00626710"/>
    <w:rsid w:val="00626930"/>
    <w:rsid w:val="00626AD3"/>
    <w:rsid w:val="00626BAC"/>
    <w:rsid w:val="006271C3"/>
    <w:rsid w:val="00627B14"/>
    <w:rsid w:val="0063001E"/>
    <w:rsid w:val="00630023"/>
    <w:rsid w:val="00630488"/>
    <w:rsid w:val="006308EE"/>
    <w:rsid w:val="00630C70"/>
    <w:rsid w:val="00630D67"/>
    <w:rsid w:val="00631005"/>
    <w:rsid w:val="00631C79"/>
    <w:rsid w:val="00631E52"/>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8B5"/>
    <w:rsid w:val="00665030"/>
    <w:rsid w:val="00665670"/>
    <w:rsid w:val="006659EA"/>
    <w:rsid w:val="006661E8"/>
    <w:rsid w:val="00666424"/>
    <w:rsid w:val="0066676C"/>
    <w:rsid w:val="006673B9"/>
    <w:rsid w:val="0066790C"/>
    <w:rsid w:val="00667CA2"/>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F2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1EB"/>
    <w:rsid w:val="0068790B"/>
    <w:rsid w:val="00687AF2"/>
    <w:rsid w:val="006901AC"/>
    <w:rsid w:val="00690C8D"/>
    <w:rsid w:val="00691890"/>
    <w:rsid w:val="00691AAD"/>
    <w:rsid w:val="00692416"/>
    <w:rsid w:val="00692AFF"/>
    <w:rsid w:val="00692D2D"/>
    <w:rsid w:val="00692D67"/>
    <w:rsid w:val="00693B73"/>
    <w:rsid w:val="006945A1"/>
    <w:rsid w:val="00694A53"/>
    <w:rsid w:val="006952DE"/>
    <w:rsid w:val="006956D3"/>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71A"/>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759"/>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1C1"/>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B90"/>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4FF"/>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C15"/>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06"/>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C15"/>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80E"/>
    <w:rsid w:val="007C60A8"/>
    <w:rsid w:val="007C660F"/>
    <w:rsid w:val="007C6664"/>
    <w:rsid w:val="007C66FF"/>
    <w:rsid w:val="007C699E"/>
    <w:rsid w:val="007C69AE"/>
    <w:rsid w:val="007C6FE9"/>
    <w:rsid w:val="007C7688"/>
    <w:rsid w:val="007C76E3"/>
    <w:rsid w:val="007C76F3"/>
    <w:rsid w:val="007C7DD9"/>
    <w:rsid w:val="007D03BC"/>
    <w:rsid w:val="007D0DC9"/>
    <w:rsid w:val="007D0ECD"/>
    <w:rsid w:val="007D0F19"/>
    <w:rsid w:val="007D2882"/>
    <w:rsid w:val="007D296C"/>
    <w:rsid w:val="007D2C31"/>
    <w:rsid w:val="007D2E50"/>
    <w:rsid w:val="007D2F4A"/>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E52"/>
    <w:rsid w:val="007E347E"/>
    <w:rsid w:val="007E41A4"/>
    <w:rsid w:val="007E43E3"/>
    <w:rsid w:val="007E4B92"/>
    <w:rsid w:val="007E54B8"/>
    <w:rsid w:val="007E5D12"/>
    <w:rsid w:val="007E6420"/>
    <w:rsid w:val="007E677F"/>
    <w:rsid w:val="007E6B25"/>
    <w:rsid w:val="007E6E06"/>
    <w:rsid w:val="007E6F4A"/>
    <w:rsid w:val="007E79CC"/>
    <w:rsid w:val="007F1124"/>
    <w:rsid w:val="007F152D"/>
    <w:rsid w:val="007F20C4"/>
    <w:rsid w:val="007F20EE"/>
    <w:rsid w:val="007F23D8"/>
    <w:rsid w:val="007F263A"/>
    <w:rsid w:val="007F307A"/>
    <w:rsid w:val="007F30C6"/>
    <w:rsid w:val="007F38FD"/>
    <w:rsid w:val="007F3C18"/>
    <w:rsid w:val="007F4318"/>
    <w:rsid w:val="007F4709"/>
    <w:rsid w:val="007F47DA"/>
    <w:rsid w:val="007F4E52"/>
    <w:rsid w:val="007F4F84"/>
    <w:rsid w:val="007F5382"/>
    <w:rsid w:val="007F55A4"/>
    <w:rsid w:val="007F5B5E"/>
    <w:rsid w:val="007F5D28"/>
    <w:rsid w:val="007F6260"/>
    <w:rsid w:val="007F682B"/>
    <w:rsid w:val="007F78E8"/>
    <w:rsid w:val="007F7F8F"/>
    <w:rsid w:val="00800509"/>
    <w:rsid w:val="0080078E"/>
    <w:rsid w:val="00800B7F"/>
    <w:rsid w:val="008012B1"/>
    <w:rsid w:val="00801D63"/>
    <w:rsid w:val="00802669"/>
    <w:rsid w:val="0080348B"/>
    <w:rsid w:val="00803D82"/>
    <w:rsid w:val="00803D98"/>
    <w:rsid w:val="008052CE"/>
    <w:rsid w:val="008058D0"/>
    <w:rsid w:val="00806A4C"/>
    <w:rsid w:val="0080705B"/>
    <w:rsid w:val="0080723C"/>
    <w:rsid w:val="00807F71"/>
    <w:rsid w:val="0081000F"/>
    <w:rsid w:val="00812657"/>
    <w:rsid w:val="008129C5"/>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217"/>
    <w:rsid w:val="008425CC"/>
    <w:rsid w:val="00842A46"/>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7B9"/>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6C2"/>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4F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CEB"/>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236"/>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728"/>
    <w:rsid w:val="00931AB8"/>
    <w:rsid w:val="00931C19"/>
    <w:rsid w:val="00931C63"/>
    <w:rsid w:val="00931D10"/>
    <w:rsid w:val="0093218A"/>
    <w:rsid w:val="0093386D"/>
    <w:rsid w:val="0093403B"/>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86"/>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48E"/>
    <w:rsid w:val="009716D8"/>
    <w:rsid w:val="00971F41"/>
    <w:rsid w:val="00971F54"/>
    <w:rsid w:val="00972057"/>
    <w:rsid w:val="0097227B"/>
    <w:rsid w:val="0097262E"/>
    <w:rsid w:val="0097293F"/>
    <w:rsid w:val="00973103"/>
    <w:rsid w:val="00973845"/>
    <w:rsid w:val="00974022"/>
    <w:rsid w:val="009743E8"/>
    <w:rsid w:val="009745D8"/>
    <w:rsid w:val="00974CF4"/>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F2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C58"/>
    <w:rsid w:val="009A113D"/>
    <w:rsid w:val="009A1ECA"/>
    <w:rsid w:val="009A2BE9"/>
    <w:rsid w:val="009A2BF3"/>
    <w:rsid w:val="009A3688"/>
    <w:rsid w:val="009A3713"/>
    <w:rsid w:val="009A3AD9"/>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2DB"/>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81E"/>
    <w:rsid w:val="009D1AAC"/>
    <w:rsid w:val="009D1BDB"/>
    <w:rsid w:val="009D298F"/>
    <w:rsid w:val="009D2F9C"/>
    <w:rsid w:val="009D3824"/>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F35"/>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ABE"/>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5A9"/>
    <w:rsid w:val="00A3023E"/>
    <w:rsid w:val="00A305C5"/>
    <w:rsid w:val="00A30919"/>
    <w:rsid w:val="00A31F05"/>
    <w:rsid w:val="00A31FD2"/>
    <w:rsid w:val="00A3404D"/>
    <w:rsid w:val="00A341AB"/>
    <w:rsid w:val="00A341BA"/>
    <w:rsid w:val="00A34290"/>
    <w:rsid w:val="00A355F9"/>
    <w:rsid w:val="00A357D3"/>
    <w:rsid w:val="00A35AA9"/>
    <w:rsid w:val="00A35F3C"/>
    <w:rsid w:val="00A36CF6"/>
    <w:rsid w:val="00A371E5"/>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C1A"/>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867"/>
    <w:rsid w:val="00A9196B"/>
    <w:rsid w:val="00A91BB5"/>
    <w:rsid w:val="00A91BEE"/>
    <w:rsid w:val="00A91D4B"/>
    <w:rsid w:val="00A920B2"/>
    <w:rsid w:val="00A92A96"/>
    <w:rsid w:val="00A92AF0"/>
    <w:rsid w:val="00A92EA4"/>
    <w:rsid w:val="00A933FE"/>
    <w:rsid w:val="00A937D5"/>
    <w:rsid w:val="00A93C70"/>
    <w:rsid w:val="00A94A32"/>
    <w:rsid w:val="00A94AFC"/>
    <w:rsid w:val="00A94BF5"/>
    <w:rsid w:val="00A9686A"/>
    <w:rsid w:val="00A96923"/>
    <w:rsid w:val="00A96B4A"/>
    <w:rsid w:val="00A97404"/>
    <w:rsid w:val="00A97BDA"/>
    <w:rsid w:val="00AA043A"/>
    <w:rsid w:val="00AA0779"/>
    <w:rsid w:val="00AA08F3"/>
    <w:rsid w:val="00AA0A7E"/>
    <w:rsid w:val="00AA0F23"/>
    <w:rsid w:val="00AA1067"/>
    <w:rsid w:val="00AA1163"/>
    <w:rsid w:val="00AA1DA8"/>
    <w:rsid w:val="00AA222C"/>
    <w:rsid w:val="00AA2264"/>
    <w:rsid w:val="00AA22A9"/>
    <w:rsid w:val="00AA238E"/>
    <w:rsid w:val="00AA2483"/>
    <w:rsid w:val="00AA249D"/>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881"/>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D62"/>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D89"/>
    <w:rsid w:val="00B066FE"/>
    <w:rsid w:val="00B06912"/>
    <w:rsid w:val="00B07316"/>
    <w:rsid w:val="00B07F74"/>
    <w:rsid w:val="00B10618"/>
    <w:rsid w:val="00B10B04"/>
    <w:rsid w:val="00B10CC6"/>
    <w:rsid w:val="00B11932"/>
    <w:rsid w:val="00B11A61"/>
    <w:rsid w:val="00B11D7C"/>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2CE"/>
    <w:rsid w:val="00B53623"/>
    <w:rsid w:val="00B53D1D"/>
    <w:rsid w:val="00B53E98"/>
    <w:rsid w:val="00B53F9B"/>
    <w:rsid w:val="00B54853"/>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D37"/>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BC4"/>
    <w:rsid w:val="00B93CF3"/>
    <w:rsid w:val="00B9407F"/>
    <w:rsid w:val="00B944E9"/>
    <w:rsid w:val="00B945D7"/>
    <w:rsid w:val="00B94896"/>
    <w:rsid w:val="00B94CDD"/>
    <w:rsid w:val="00B94DA7"/>
    <w:rsid w:val="00B95163"/>
    <w:rsid w:val="00B954D0"/>
    <w:rsid w:val="00B961F1"/>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586"/>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AF7"/>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7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0EE"/>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389D"/>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0D"/>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DCE"/>
    <w:rsid w:val="00C304E9"/>
    <w:rsid w:val="00C30B0B"/>
    <w:rsid w:val="00C31320"/>
    <w:rsid w:val="00C316B4"/>
    <w:rsid w:val="00C32F6B"/>
    <w:rsid w:val="00C332D4"/>
    <w:rsid w:val="00C33A66"/>
    <w:rsid w:val="00C33E51"/>
    <w:rsid w:val="00C34C45"/>
    <w:rsid w:val="00C34C47"/>
    <w:rsid w:val="00C34FCE"/>
    <w:rsid w:val="00C35411"/>
    <w:rsid w:val="00C35E64"/>
    <w:rsid w:val="00C35EED"/>
    <w:rsid w:val="00C36B2C"/>
    <w:rsid w:val="00C3701A"/>
    <w:rsid w:val="00C379EF"/>
    <w:rsid w:val="00C37E98"/>
    <w:rsid w:val="00C405C8"/>
    <w:rsid w:val="00C40C2F"/>
    <w:rsid w:val="00C415AC"/>
    <w:rsid w:val="00C4297A"/>
    <w:rsid w:val="00C4360C"/>
    <w:rsid w:val="00C4393A"/>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4A7"/>
    <w:rsid w:val="00C53CE9"/>
    <w:rsid w:val="00C5531B"/>
    <w:rsid w:val="00C55375"/>
    <w:rsid w:val="00C5551C"/>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D93"/>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7BD"/>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A24"/>
    <w:rsid w:val="00CA2528"/>
    <w:rsid w:val="00CA3888"/>
    <w:rsid w:val="00CA3CAB"/>
    <w:rsid w:val="00CA3FC0"/>
    <w:rsid w:val="00CA5256"/>
    <w:rsid w:val="00CA5685"/>
    <w:rsid w:val="00CA6A2E"/>
    <w:rsid w:val="00CA6B56"/>
    <w:rsid w:val="00CA7D3E"/>
    <w:rsid w:val="00CB0317"/>
    <w:rsid w:val="00CB0501"/>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1BB"/>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983"/>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160"/>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58B"/>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6E0"/>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9A8"/>
    <w:rsid w:val="00D3497A"/>
    <w:rsid w:val="00D35F2F"/>
    <w:rsid w:val="00D35FC6"/>
    <w:rsid w:val="00D36BB8"/>
    <w:rsid w:val="00D377D4"/>
    <w:rsid w:val="00D401A1"/>
    <w:rsid w:val="00D40217"/>
    <w:rsid w:val="00D40385"/>
    <w:rsid w:val="00D404CE"/>
    <w:rsid w:val="00D40E8F"/>
    <w:rsid w:val="00D412BF"/>
    <w:rsid w:val="00D417C6"/>
    <w:rsid w:val="00D417D0"/>
    <w:rsid w:val="00D41E97"/>
    <w:rsid w:val="00D42B0C"/>
    <w:rsid w:val="00D42D6E"/>
    <w:rsid w:val="00D42FF2"/>
    <w:rsid w:val="00D43DEF"/>
    <w:rsid w:val="00D44259"/>
    <w:rsid w:val="00D45C61"/>
    <w:rsid w:val="00D45DDC"/>
    <w:rsid w:val="00D5064C"/>
    <w:rsid w:val="00D50BBD"/>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31"/>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10C"/>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34B"/>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4F49"/>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69A"/>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9C3"/>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6D9"/>
    <w:rsid w:val="00E31687"/>
    <w:rsid w:val="00E31699"/>
    <w:rsid w:val="00E31761"/>
    <w:rsid w:val="00E31812"/>
    <w:rsid w:val="00E31889"/>
    <w:rsid w:val="00E31CE7"/>
    <w:rsid w:val="00E323B3"/>
    <w:rsid w:val="00E333D5"/>
    <w:rsid w:val="00E3394F"/>
    <w:rsid w:val="00E33A0B"/>
    <w:rsid w:val="00E34A2F"/>
    <w:rsid w:val="00E35A45"/>
    <w:rsid w:val="00E35F7F"/>
    <w:rsid w:val="00E36392"/>
    <w:rsid w:val="00E36B32"/>
    <w:rsid w:val="00E377CC"/>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A9F"/>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4D2E"/>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2F8"/>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6A2"/>
    <w:rsid w:val="00E87A37"/>
    <w:rsid w:val="00E87CF7"/>
    <w:rsid w:val="00E9036E"/>
    <w:rsid w:val="00E9078A"/>
    <w:rsid w:val="00E912FD"/>
    <w:rsid w:val="00E91958"/>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4B8C"/>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1E8B"/>
    <w:rsid w:val="00EE2087"/>
    <w:rsid w:val="00EE20C2"/>
    <w:rsid w:val="00EE2A9D"/>
    <w:rsid w:val="00EE3384"/>
    <w:rsid w:val="00EE470D"/>
    <w:rsid w:val="00EE499F"/>
    <w:rsid w:val="00EE56E2"/>
    <w:rsid w:val="00EE5FCD"/>
    <w:rsid w:val="00EE6091"/>
    <w:rsid w:val="00EE63BF"/>
    <w:rsid w:val="00EE6D45"/>
    <w:rsid w:val="00EE6DCE"/>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7AC"/>
    <w:rsid w:val="00F0058A"/>
    <w:rsid w:val="00F00630"/>
    <w:rsid w:val="00F00922"/>
    <w:rsid w:val="00F00924"/>
    <w:rsid w:val="00F0187E"/>
    <w:rsid w:val="00F01BE6"/>
    <w:rsid w:val="00F01F75"/>
    <w:rsid w:val="00F0217A"/>
    <w:rsid w:val="00F023EF"/>
    <w:rsid w:val="00F026D3"/>
    <w:rsid w:val="00F027E8"/>
    <w:rsid w:val="00F02A83"/>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197"/>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A55"/>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3EEE"/>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2FA"/>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2EE"/>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77C"/>
    <w:rsid w:val="00FF5C6A"/>
    <w:rsid w:val="00FF651D"/>
    <w:rsid w:val="00FF6843"/>
    <w:rsid w:val="00FF6C25"/>
    <w:rsid w:val="010651D9"/>
    <w:rsid w:val="011F6449"/>
    <w:rsid w:val="01236AFB"/>
    <w:rsid w:val="01563159"/>
    <w:rsid w:val="016E6084"/>
    <w:rsid w:val="017C7CCD"/>
    <w:rsid w:val="019F7441"/>
    <w:rsid w:val="01A17F94"/>
    <w:rsid w:val="01A53138"/>
    <w:rsid w:val="01B37585"/>
    <w:rsid w:val="01BA1319"/>
    <w:rsid w:val="01D55165"/>
    <w:rsid w:val="01DF6BF8"/>
    <w:rsid w:val="01EC2C57"/>
    <w:rsid w:val="01ED6FD3"/>
    <w:rsid w:val="01FF31C9"/>
    <w:rsid w:val="024D7D13"/>
    <w:rsid w:val="02642858"/>
    <w:rsid w:val="026B2E25"/>
    <w:rsid w:val="02824D4D"/>
    <w:rsid w:val="02CB1CF7"/>
    <w:rsid w:val="02DC4B10"/>
    <w:rsid w:val="02DD76CE"/>
    <w:rsid w:val="02F36323"/>
    <w:rsid w:val="02F5619C"/>
    <w:rsid w:val="0326446A"/>
    <w:rsid w:val="032D5555"/>
    <w:rsid w:val="0341645D"/>
    <w:rsid w:val="036634D2"/>
    <w:rsid w:val="037A624F"/>
    <w:rsid w:val="037B768C"/>
    <w:rsid w:val="038C7DA2"/>
    <w:rsid w:val="03A2514E"/>
    <w:rsid w:val="03B41ADC"/>
    <w:rsid w:val="03DD35E4"/>
    <w:rsid w:val="03DF7856"/>
    <w:rsid w:val="03FE1DD3"/>
    <w:rsid w:val="04074FB1"/>
    <w:rsid w:val="04076900"/>
    <w:rsid w:val="040A5050"/>
    <w:rsid w:val="041A5A3B"/>
    <w:rsid w:val="042311BA"/>
    <w:rsid w:val="042355D7"/>
    <w:rsid w:val="042B157A"/>
    <w:rsid w:val="04640655"/>
    <w:rsid w:val="048F763B"/>
    <w:rsid w:val="049F330E"/>
    <w:rsid w:val="04AA775C"/>
    <w:rsid w:val="04AF1889"/>
    <w:rsid w:val="04C42EA2"/>
    <w:rsid w:val="04F66F48"/>
    <w:rsid w:val="05251E14"/>
    <w:rsid w:val="054B313A"/>
    <w:rsid w:val="05740424"/>
    <w:rsid w:val="05831998"/>
    <w:rsid w:val="05850F7F"/>
    <w:rsid w:val="05A16594"/>
    <w:rsid w:val="05A7762D"/>
    <w:rsid w:val="05BE3D95"/>
    <w:rsid w:val="05C32B5B"/>
    <w:rsid w:val="060E5941"/>
    <w:rsid w:val="06110FAF"/>
    <w:rsid w:val="06316DF5"/>
    <w:rsid w:val="06345D05"/>
    <w:rsid w:val="06493CA7"/>
    <w:rsid w:val="065A6178"/>
    <w:rsid w:val="066F1CF3"/>
    <w:rsid w:val="06930BB8"/>
    <w:rsid w:val="06A002FD"/>
    <w:rsid w:val="06DC58DB"/>
    <w:rsid w:val="0706025D"/>
    <w:rsid w:val="07245D42"/>
    <w:rsid w:val="07264C62"/>
    <w:rsid w:val="0779354C"/>
    <w:rsid w:val="07D06867"/>
    <w:rsid w:val="08061376"/>
    <w:rsid w:val="08452D77"/>
    <w:rsid w:val="086401F8"/>
    <w:rsid w:val="08751CAA"/>
    <w:rsid w:val="087E4C40"/>
    <w:rsid w:val="08AC4379"/>
    <w:rsid w:val="08D66AD6"/>
    <w:rsid w:val="08D77648"/>
    <w:rsid w:val="08DA33A3"/>
    <w:rsid w:val="08E80F13"/>
    <w:rsid w:val="08FA74E5"/>
    <w:rsid w:val="08FD1DEA"/>
    <w:rsid w:val="090B38A8"/>
    <w:rsid w:val="091C330D"/>
    <w:rsid w:val="09335624"/>
    <w:rsid w:val="09336957"/>
    <w:rsid w:val="0944690F"/>
    <w:rsid w:val="09535675"/>
    <w:rsid w:val="095F057D"/>
    <w:rsid w:val="09642282"/>
    <w:rsid w:val="09733572"/>
    <w:rsid w:val="09772C16"/>
    <w:rsid w:val="098353B5"/>
    <w:rsid w:val="098E09A3"/>
    <w:rsid w:val="09A92330"/>
    <w:rsid w:val="09B06B87"/>
    <w:rsid w:val="09C13146"/>
    <w:rsid w:val="09E04166"/>
    <w:rsid w:val="0A1C0718"/>
    <w:rsid w:val="0A1E3055"/>
    <w:rsid w:val="0A3E7710"/>
    <w:rsid w:val="0A5B7E63"/>
    <w:rsid w:val="0A9E263B"/>
    <w:rsid w:val="0AA374A5"/>
    <w:rsid w:val="0AAB7649"/>
    <w:rsid w:val="0ABC5606"/>
    <w:rsid w:val="0AD656DD"/>
    <w:rsid w:val="0AF4451F"/>
    <w:rsid w:val="0B30404E"/>
    <w:rsid w:val="0B4C6C14"/>
    <w:rsid w:val="0B631A88"/>
    <w:rsid w:val="0B683D45"/>
    <w:rsid w:val="0B7F3F11"/>
    <w:rsid w:val="0B884417"/>
    <w:rsid w:val="0B8F4947"/>
    <w:rsid w:val="0B953FC7"/>
    <w:rsid w:val="0BC042E6"/>
    <w:rsid w:val="0BC12A34"/>
    <w:rsid w:val="0BCF6505"/>
    <w:rsid w:val="0BD41D11"/>
    <w:rsid w:val="0BF6188C"/>
    <w:rsid w:val="0BF73C91"/>
    <w:rsid w:val="0C0360CB"/>
    <w:rsid w:val="0C170175"/>
    <w:rsid w:val="0C370E2F"/>
    <w:rsid w:val="0C571A41"/>
    <w:rsid w:val="0C5C1171"/>
    <w:rsid w:val="0C5E1CBC"/>
    <w:rsid w:val="0C615B50"/>
    <w:rsid w:val="0C83507D"/>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826F4"/>
    <w:rsid w:val="0E297747"/>
    <w:rsid w:val="0E40144B"/>
    <w:rsid w:val="0E5604B2"/>
    <w:rsid w:val="0E6179B4"/>
    <w:rsid w:val="0E6D5D79"/>
    <w:rsid w:val="0E8D69FB"/>
    <w:rsid w:val="0E9D0089"/>
    <w:rsid w:val="0EB803EE"/>
    <w:rsid w:val="0EDE2DB2"/>
    <w:rsid w:val="0EE62C1A"/>
    <w:rsid w:val="0EF94D4B"/>
    <w:rsid w:val="0F0942D3"/>
    <w:rsid w:val="0F467CDF"/>
    <w:rsid w:val="0F4958DC"/>
    <w:rsid w:val="0F515DF7"/>
    <w:rsid w:val="0F596BA8"/>
    <w:rsid w:val="0F6248D2"/>
    <w:rsid w:val="0F693536"/>
    <w:rsid w:val="0F7B0511"/>
    <w:rsid w:val="0F7B76D9"/>
    <w:rsid w:val="0F816ACD"/>
    <w:rsid w:val="0F9832DB"/>
    <w:rsid w:val="0FA8600F"/>
    <w:rsid w:val="0FBF3FD2"/>
    <w:rsid w:val="0FBF7FF3"/>
    <w:rsid w:val="0FCD437E"/>
    <w:rsid w:val="103319CE"/>
    <w:rsid w:val="104E5D16"/>
    <w:rsid w:val="10646583"/>
    <w:rsid w:val="10743176"/>
    <w:rsid w:val="107D4B15"/>
    <w:rsid w:val="108A3C80"/>
    <w:rsid w:val="10A02A07"/>
    <w:rsid w:val="10A22BBA"/>
    <w:rsid w:val="10B71B0D"/>
    <w:rsid w:val="10C26171"/>
    <w:rsid w:val="10F33360"/>
    <w:rsid w:val="10FC16EA"/>
    <w:rsid w:val="110A1045"/>
    <w:rsid w:val="110F1D40"/>
    <w:rsid w:val="111B5819"/>
    <w:rsid w:val="11266F33"/>
    <w:rsid w:val="116023BF"/>
    <w:rsid w:val="11645C1A"/>
    <w:rsid w:val="118963A1"/>
    <w:rsid w:val="11B77A5C"/>
    <w:rsid w:val="11BA77EF"/>
    <w:rsid w:val="11C6522A"/>
    <w:rsid w:val="11E104CC"/>
    <w:rsid w:val="11E20309"/>
    <w:rsid w:val="11FE246E"/>
    <w:rsid w:val="12255233"/>
    <w:rsid w:val="122F7199"/>
    <w:rsid w:val="12530213"/>
    <w:rsid w:val="12761D1D"/>
    <w:rsid w:val="127723A9"/>
    <w:rsid w:val="12862074"/>
    <w:rsid w:val="12883966"/>
    <w:rsid w:val="129427A7"/>
    <w:rsid w:val="129E45B4"/>
    <w:rsid w:val="12AA36D7"/>
    <w:rsid w:val="12D81596"/>
    <w:rsid w:val="13072A44"/>
    <w:rsid w:val="13172C53"/>
    <w:rsid w:val="13484B32"/>
    <w:rsid w:val="135D7869"/>
    <w:rsid w:val="135F4BE2"/>
    <w:rsid w:val="139B1A0A"/>
    <w:rsid w:val="139D25C7"/>
    <w:rsid w:val="13BF3CE4"/>
    <w:rsid w:val="13C90F7E"/>
    <w:rsid w:val="13EA12E4"/>
    <w:rsid w:val="13FF8D36"/>
    <w:rsid w:val="14045069"/>
    <w:rsid w:val="140674DA"/>
    <w:rsid w:val="141008D8"/>
    <w:rsid w:val="14125FE6"/>
    <w:rsid w:val="146D271E"/>
    <w:rsid w:val="14731F34"/>
    <w:rsid w:val="14982588"/>
    <w:rsid w:val="149A5AD9"/>
    <w:rsid w:val="14A7619D"/>
    <w:rsid w:val="150536C3"/>
    <w:rsid w:val="150C1963"/>
    <w:rsid w:val="151447A0"/>
    <w:rsid w:val="154A6454"/>
    <w:rsid w:val="154F2FA5"/>
    <w:rsid w:val="15762120"/>
    <w:rsid w:val="15AE2D7F"/>
    <w:rsid w:val="15CC1BB7"/>
    <w:rsid w:val="15DE6F34"/>
    <w:rsid w:val="16301C52"/>
    <w:rsid w:val="16351E52"/>
    <w:rsid w:val="1686445B"/>
    <w:rsid w:val="16A8729C"/>
    <w:rsid w:val="16B33777"/>
    <w:rsid w:val="16BC70A7"/>
    <w:rsid w:val="16C6339E"/>
    <w:rsid w:val="16E11DEE"/>
    <w:rsid w:val="16E41182"/>
    <w:rsid w:val="172F2D79"/>
    <w:rsid w:val="17557BEF"/>
    <w:rsid w:val="177E0790"/>
    <w:rsid w:val="17BF5F86"/>
    <w:rsid w:val="17D349C1"/>
    <w:rsid w:val="17E31439"/>
    <w:rsid w:val="17E7150C"/>
    <w:rsid w:val="1830729E"/>
    <w:rsid w:val="1870062C"/>
    <w:rsid w:val="18817102"/>
    <w:rsid w:val="18830A15"/>
    <w:rsid w:val="18852B28"/>
    <w:rsid w:val="188B5321"/>
    <w:rsid w:val="19401D80"/>
    <w:rsid w:val="19932372"/>
    <w:rsid w:val="19A20DD5"/>
    <w:rsid w:val="19AE03F1"/>
    <w:rsid w:val="1A071A03"/>
    <w:rsid w:val="1A1F16AE"/>
    <w:rsid w:val="1A3B5C77"/>
    <w:rsid w:val="1A984BAD"/>
    <w:rsid w:val="1AB8220E"/>
    <w:rsid w:val="1ABF0FF7"/>
    <w:rsid w:val="1ADA1B38"/>
    <w:rsid w:val="1AE4166C"/>
    <w:rsid w:val="1AF06CFB"/>
    <w:rsid w:val="1AF11B8D"/>
    <w:rsid w:val="1B11359C"/>
    <w:rsid w:val="1B2A271F"/>
    <w:rsid w:val="1B530544"/>
    <w:rsid w:val="1B713184"/>
    <w:rsid w:val="1BA209CF"/>
    <w:rsid w:val="1BA301E7"/>
    <w:rsid w:val="1BB4777D"/>
    <w:rsid w:val="1BD75AB8"/>
    <w:rsid w:val="1BDABCB4"/>
    <w:rsid w:val="1BDC68CC"/>
    <w:rsid w:val="1C0459C2"/>
    <w:rsid w:val="1C1B3B4A"/>
    <w:rsid w:val="1C8431EB"/>
    <w:rsid w:val="1C88086E"/>
    <w:rsid w:val="1D266CE1"/>
    <w:rsid w:val="1D3963AF"/>
    <w:rsid w:val="1D5F262B"/>
    <w:rsid w:val="1D6A673C"/>
    <w:rsid w:val="1D9247AE"/>
    <w:rsid w:val="1D926BE2"/>
    <w:rsid w:val="1DB2180F"/>
    <w:rsid w:val="1DB567EC"/>
    <w:rsid w:val="1DF51A98"/>
    <w:rsid w:val="1E3D060F"/>
    <w:rsid w:val="1E3F7D2E"/>
    <w:rsid w:val="1E4134E4"/>
    <w:rsid w:val="1E5062B3"/>
    <w:rsid w:val="1E523514"/>
    <w:rsid w:val="1E714A66"/>
    <w:rsid w:val="1E802593"/>
    <w:rsid w:val="1E870D71"/>
    <w:rsid w:val="1EA703CC"/>
    <w:rsid w:val="1EB7330C"/>
    <w:rsid w:val="1F0A0FF3"/>
    <w:rsid w:val="1F5771FF"/>
    <w:rsid w:val="1F5E1D3F"/>
    <w:rsid w:val="1F6B09CC"/>
    <w:rsid w:val="1F796E16"/>
    <w:rsid w:val="1F890B18"/>
    <w:rsid w:val="1F911058"/>
    <w:rsid w:val="1FE868A9"/>
    <w:rsid w:val="1FED554B"/>
    <w:rsid w:val="20034907"/>
    <w:rsid w:val="20173E4B"/>
    <w:rsid w:val="204E48BC"/>
    <w:rsid w:val="20567085"/>
    <w:rsid w:val="207D067D"/>
    <w:rsid w:val="208921B3"/>
    <w:rsid w:val="20973DEB"/>
    <w:rsid w:val="20A93C8E"/>
    <w:rsid w:val="20B26522"/>
    <w:rsid w:val="20B44310"/>
    <w:rsid w:val="20FE5F27"/>
    <w:rsid w:val="211116EB"/>
    <w:rsid w:val="215B4CA0"/>
    <w:rsid w:val="216133FC"/>
    <w:rsid w:val="21C42E7D"/>
    <w:rsid w:val="21D45AC3"/>
    <w:rsid w:val="21D56769"/>
    <w:rsid w:val="21E52EF3"/>
    <w:rsid w:val="21FB5D7B"/>
    <w:rsid w:val="220B1C3D"/>
    <w:rsid w:val="221D1D20"/>
    <w:rsid w:val="22334A87"/>
    <w:rsid w:val="22477E35"/>
    <w:rsid w:val="2297354C"/>
    <w:rsid w:val="22BE6801"/>
    <w:rsid w:val="233500BF"/>
    <w:rsid w:val="23377FF7"/>
    <w:rsid w:val="236B425F"/>
    <w:rsid w:val="2383244E"/>
    <w:rsid w:val="23836192"/>
    <w:rsid w:val="23901F29"/>
    <w:rsid w:val="23971A56"/>
    <w:rsid w:val="239816A9"/>
    <w:rsid w:val="239C0061"/>
    <w:rsid w:val="23B908A4"/>
    <w:rsid w:val="23CE11F0"/>
    <w:rsid w:val="23D47425"/>
    <w:rsid w:val="23DB5C07"/>
    <w:rsid w:val="23E95BEF"/>
    <w:rsid w:val="23FC5D5D"/>
    <w:rsid w:val="23FD0064"/>
    <w:rsid w:val="240A0748"/>
    <w:rsid w:val="245375B0"/>
    <w:rsid w:val="24642C0A"/>
    <w:rsid w:val="24B22173"/>
    <w:rsid w:val="24B95AD9"/>
    <w:rsid w:val="24BE24DA"/>
    <w:rsid w:val="24CF5825"/>
    <w:rsid w:val="24D663E6"/>
    <w:rsid w:val="24D77F2B"/>
    <w:rsid w:val="24E175C6"/>
    <w:rsid w:val="253E6F3E"/>
    <w:rsid w:val="25585215"/>
    <w:rsid w:val="258B00E2"/>
    <w:rsid w:val="259E6EE0"/>
    <w:rsid w:val="25A917A6"/>
    <w:rsid w:val="25BE27CC"/>
    <w:rsid w:val="25F74A5C"/>
    <w:rsid w:val="26134C37"/>
    <w:rsid w:val="2628662C"/>
    <w:rsid w:val="262D45DE"/>
    <w:rsid w:val="26A53EF9"/>
    <w:rsid w:val="26A94201"/>
    <w:rsid w:val="26AC025C"/>
    <w:rsid w:val="26AC274F"/>
    <w:rsid w:val="27044A29"/>
    <w:rsid w:val="27135B8A"/>
    <w:rsid w:val="271D34C8"/>
    <w:rsid w:val="276142BF"/>
    <w:rsid w:val="27783712"/>
    <w:rsid w:val="27907362"/>
    <w:rsid w:val="280923BD"/>
    <w:rsid w:val="28133675"/>
    <w:rsid w:val="28333E1D"/>
    <w:rsid w:val="28454BD6"/>
    <w:rsid w:val="28455253"/>
    <w:rsid w:val="28551971"/>
    <w:rsid w:val="285B1C53"/>
    <w:rsid w:val="289F7086"/>
    <w:rsid w:val="28C32028"/>
    <w:rsid w:val="28CC490F"/>
    <w:rsid w:val="28CE678A"/>
    <w:rsid w:val="28DE40AA"/>
    <w:rsid w:val="29345E77"/>
    <w:rsid w:val="294C65AD"/>
    <w:rsid w:val="296E1FE3"/>
    <w:rsid w:val="29806583"/>
    <w:rsid w:val="298B3C4C"/>
    <w:rsid w:val="299D769A"/>
    <w:rsid w:val="29AA44E3"/>
    <w:rsid w:val="29C966E1"/>
    <w:rsid w:val="29F01EC0"/>
    <w:rsid w:val="29F26D24"/>
    <w:rsid w:val="2A15033F"/>
    <w:rsid w:val="2A1662C1"/>
    <w:rsid w:val="2A1C7367"/>
    <w:rsid w:val="2A2815FA"/>
    <w:rsid w:val="2A5C57A7"/>
    <w:rsid w:val="2A6D6092"/>
    <w:rsid w:val="2A7D76B4"/>
    <w:rsid w:val="2AEB4417"/>
    <w:rsid w:val="2B202B57"/>
    <w:rsid w:val="2B437463"/>
    <w:rsid w:val="2B520026"/>
    <w:rsid w:val="2B623AE5"/>
    <w:rsid w:val="2B717030"/>
    <w:rsid w:val="2B7807EE"/>
    <w:rsid w:val="2B8F395A"/>
    <w:rsid w:val="2BBF00EC"/>
    <w:rsid w:val="2BC37CFD"/>
    <w:rsid w:val="2BD5237F"/>
    <w:rsid w:val="2BE536CE"/>
    <w:rsid w:val="2BE758D9"/>
    <w:rsid w:val="2C07444B"/>
    <w:rsid w:val="2C09049E"/>
    <w:rsid w:val="2C0A653C"/>
    <w:rsid w:val="2C191F85"/>
    <w:rsid w:val="2C857573"/>
    <w:rsid w:val="2C8A7339"/>
    <w:rsid w:val="2CA0159A"/>
    <w:rsid w:val="2CE82D6F"/>
    <w:rsid w:val="2CE96454"/>
    <w:rsid w:val="2D343236"/>
    <w:rsid w:val="2DD15014"/>
    <w:rsid w:val="2DF72DE4"/>
    <w:rsid w:val="2E0220AF"/>
    <w:rsid w:val="2E2E026D"/>
    <w:rsid w:val="2E4B082A"/>
    <w:rsid w:val="2E5D4E86"/>
    <w:rsid w:val="2E5D790B"/>
    <w:rsid w:val="2E9A3C18"/>
    <w:rsid w:val="2EA5266D"/>
    <w:rsid w:val="2EBB0FEE"/>
    <w:rsid w:val="2EC63002"/>
    <w:rsid w:val="2F0A6B38"/>
    <w:rsid w:val="2F5B70A6"/>
    <w:rsid w:val="2F9341F7"/>
    <w:rsid w:val="2F946CCB"/>
    <w:rsid w:val="2FD25781"/>
    <w:rsid w:val="2FFD7934"/>
    <w:rsid w:val="303C03E0"/>
    <w:rsid w:val="30733ACD"/>
    <w:rsid w:val="308C3862"/>
    <w:rsid w:val="309379D8"/>
    <w:rsid w:val="30A270F7"/>
    <w:rsid w:val="30DF1478"/>
    <w:rsid w:val="30EC586F"/>
    <w:rsid w:val="310E1743"/>
    <w:rsid w:val="3116622E"/>
    <w:rsid w:val="319C6071"/>
    <w:rsid w:val="31AC537E"/>
    <w:rsid w:val="31AE67F8"/>
    <w:rsid w:val="31E3679B"/>
    <w:rsid w:val="31E732FD"/>
    <w:rsid w:val="324E00CB"/>
    <w:rsid w:val="32517576"/>
    <w:rsid w:val="32BA70F6"/>
    <w:rsid w:val="32BE5C2C"/>
    <w:rsid w:val="32FB6478"/>
    <w:rsid w:val="33263B3F"/>
    <w:rsid w:val="334C47E1"/>
    <w:rsid w:val="336963EB"/>
    <w:rsid w:val="33711CEE"/>
    <w:rsid w:val="33816EEB"/>
    <w:rsid w:val="339E0DDD"/>
    <w:rsid w:val="33EB55CD"/>
    <w:rsid w:val="33EC4C02"/>
    <w:rsid w:val="340D2360"/>
    <w:rsid w:val="3410665D"/>
    <w:rsid w:val="34211214"/>
    <w:rsid w:val="342E63AB"/>
    <w:rsid w:val="34572B3B"/>
    <w:rsid w:val="3489220E"/>
    <w:rsid w:val="34923951"/>
    <w:rsid w:val="34950E68"/>
    <w:rsid w:val="34986E94"/>
    <w:rsid w:val="34AF62C9"/>
    <w:rsid w:val="34CB4388"/>
    <w:rsid w:val="34FA6E12"/>
    <w:rsid w:val="352C05B5"/>
    <w:rsid w:val="354D11F5"/>
    <w:rsid w:val="35527ED3"/>
    <w:rsid w:val="358931C8"/>
    <w:rsid w:val="358D5588"/>
    <w:rsid w:val="35981D80"/>
    <w:rsid w:val="35CD1665"/>
    <w:rsid w:val="35CF507F"/>
    <w:rsid w:val="363A3B40"/>
    <w:rsid w:val="365302AE"/>
    <w:rsid w:val="36607A0A"/>
    <w:rsid w:val="366E227C"/>
    <w:rsid w:val="366F2E0D"/>
    <w:rsid w:val="367B6A5C"/>
    <w:rsid w:val="36A74ADA"/>
    <w:rsid w:val="36AD60D5"/>
    <w:rsid w:val="36B224F9"/>
    <w:rsid w:val="36EC0CC9"/>
    <w:rsid w:val="36FC5E87"/>
    <w:rsid w:val="37206361"/>
    <w:rsid w:val="373F410B"/>
    <w:rsid w:val="378660C8"/>
    <w:rsid w:val="37C347CB"/>
    <w:rsid w:val="37D7045D"/>
    <w:rsid w:val="37EE7094"/>
    <w:rsid w:val="38296C89"/>
    <w:rsid w:val="383002EB"/>
    <w:rsid w:val="38586797"/>
    <w:rsid w:val="38BC0149"/>
    <w:rsid w:val="38C20BE6"/>
    <w:rsid w:val="38D87D1C"/>
    <w:rsid w:val="391B3084"/>
    <w:rsid w:val="392C0A3B"/>
    <w:rsid w:val="39636459"/>
    <w:rsid w:val="396B7F6C"/>
    <w:rsid w:val="39A66F77"/>
    <w:rsid w:val="39B417A9"/>
    <w:rsid w:val="39C24D4F"/>
    <w:rsid w:val="39E36117"/>
    <w:rsid w:val="39FC5695"/>
    <w:rsid w:val="3A006D8E"/>
    <w:rsid w:val="3A1E0383"/>
    <w:rsid w:val="3A3651E5"/>
    <w:rsid w:val="3A616A18"/>
    <w:rsid w:val="3A744481"/>
    <w:rsid w:val="3A8C7BEF"/>
    <w:rsid w:val="3A906246"/>
    <w:rsid w:val="3AA54601"/>
    <w:rsid w:val="3ADE3FB6"/>
    <w:rsid w:val="3B0741BF"/>
    <w:rsid w:val="3B2349B7"/>
    <w:rsid w:val="3B4C2D64"/>
    <w:rsid w:val="3B616CFF"/>
    <w:rsid w:val="3B6259F6"/>
    <w:rsid w:val="3B916CB3"/>
    <w:rsid w:val="3B976654"/>
    <w:rsid w:val="3BC01EFC"/>
    <w:rsid w:val="3BCA786A"/>
    <w:rsid w:val="3BD00A1F"/>
    <w:rsid w:val="3BD31E2F"/>
    <w:rsid w:val="3BF15831"/>
    <w:rsid w:val="3C063CB7"/>
    <w:rsid w:val="3C105946"/>
    <w:rsid w:val="3C471448"/>
    <w:rsid w:val="3C553E04"/>
    <w:rsid w:val="3C5F759A"/>
    <w:rsid w:val="3C6C525A"/>
    <w:rsid w:val="3CCE23CB"/>
    <w:rsid w:val="3CD17D17"/>
    <w:rsid w:val="3CD53D12"/>
    <w:rsid w:val="3D3C7F39"/>
    <w:rsid w:val="3D440F09"/>
    <w:rsid w:val="3D4504A0"/>
    <w:rsid w:val="3D74475E"/>
    <w:rsid w:val="3D8734BB"/>
    <w:rsid w:val="3D952C0B"/>
    <w:rsid w:val="3D9A11D4"/>
    <w:rsid w:val="3D9B6F7F"/>
    <w:rsid w:val="3DA16D89"/>
    <w:rsid w:val="3DA364BE"/>
    <w:rsid w:val="3DCE0312"/>
    <w:rsid w:val="3DE041CB"/>
    <w:rsid w:val="3E0D48F6"/>
    <w:rsid w:val="3E1868B4"/>
    <w:rsid w:val="3E377251"/>
    <w:rsid w:val="3E42664B"/>
    <w:rsid w:val="3E4740D5"/>
    <w:rsid w:val="3E5A7334"/>
    <w:rsid w:val="3E7B5D6B"/>
    <w:rsid w:val="3E843E66"/>
    <w:rsid w:val="3E8F51FE"/>
    <w:rsid w:val="3E926F87"/>
    <w:rsid w:val="3E9A59DE"/>
    <w:rsid w:val="3EAF4836"/>
    <w:rsid w:val="3EBC016B"/>
    <w:rsid w:val="3EC33DFA"/>
    <w:rsid w:val="3EC6723B"/>
    <w:rsid w:val="3F060E16"/>
    <w:rsid w:val="3F1D1096"/>
    <w:rsid w:val="3F2F0234"/>
    <w:rsid w:val="3F6363FE"/>
    <w:rsid w:val="3F756B8F"/>
    <w:rsid w:val="3F95482B"/>
    <w:rsid w:val="3FF46A69"/>
    <w:rsid w:val="400420D2"/>
    <w:rsid w:val="4019356B"/>
    <w:rsid w:val="40381A73"/>
    <w:rsid w:val="40592157"/>
    <w:rsid w:val="406E1CAE"/>
    <w:rsid w:val="407C22A8"/>
    <w:rsid w:val="40A0133A"/>
    <w:rsid w:val="40A74181"/>
    <w:rsid w:val="40C31A53"/>
    <w:rsid w:val="40FF545D"/>
    <w:rsid w:val="410067C8"/>
    <w:rsid w:val="413E3059"/>
    <w:rsid w:val="418F0D2A"/>
    <w:rsid w:val="419B38C1"/>
    <w:rsid w:val="41AC44C7"/>
    <w:rsid w:val="41D01505"/>
    <w:rsid w:val="41D349BD"/>
    <w:rsid w:val="41E2613A"/>
    <w:rsid w:val="41F76AC7"/>
    <w:rsid w:val="42383FAC"/>
    <w:rsid w:val="42474939"/>
    <w:rsid w:val="424C3C57"/>
    <w:rsid w:val="425B181D"/>
    <w:rsid w:val="42613FF3"/>
    <w:rsid w:val="42660D96"/>
    <w:rsid w:val="428667D2"/>
    <w:rsid w:val="42BA0E65"/>
    <w:rsid w:val="42CD1CE0"/>
    <w:rsid w:val="42E1381E"/>
    <w:rsid w:val="42ED6459"/>
    <w:rsid w:val="42FE58DD"/>
    <w:rsid w:val="43174B3D"/>
    <w:rsid w:val="434B790E"/>
    <w:rsid w:val="4360274F"/>
    <w:rsid w:val="43977AB6"/>
    <w:rsid w:val="43A3342B"/>
    <w:rsid w:val="43C168D5"/>
    <w:rsid w:val="43C77C27"/>
    <w:rsid w:val="43DE09EE"/>
    <w:rsid w:val="43F85D4D"/>
    <w:rsid w:val="44002FAD"/>
    <w:rsid w:val="4404182E"/>
    <w:rsid w:val="44467546"/>
    <w:rsid w:val="44716B9A"/>
    <w:rsid w:val="449101DD"/>
    <w:rsid w:val="44DE1391"/>
    <w:rsid w:val="450C780B"/>
    <w:rsid w:val="451B225C"/>
    <w:rsid w:val="452410C9"/>
    <w:rsid w:val="45246A6A"/>
    <w:rsid w:val="4530540F"/>
    <w:rsid w:val="45317DFB"/>
    <w:rsid w:val="45415D40"/>
    <w:rsid w:val="456D3CE4"/>
    <w:rsid w:val="4579042C"/>
    <w:rsid w:val="457F0571"/>
    <w:rsid w:val="457F1EFB"/>
    <w:rsid w:val="45851176"/>
    <w:rsid w:val="45C63B94"/>
    <w:rsid w:val="460E7DA5"/>
    <w:rsid w:val="46162856"/>
    <w:rsid w:val="46226200"/>
    <w:rsid w:val="463074C6"/>
    <w:rsid w:val="46422483"/>
    <w:rsid w:val="4659254A"/>
    <w:rsid w:val="465B0637"/>
    <w:rsid w:val="465E3F0D"/>
    <w:rsid w:val="466A16E6"/>
    <w:rsid w:val="467C3BC0"/>
    <w:rsid w:val="46893F2B"/>
    <w:rsid w:val="46BF6057"/>
    <w:rsid w:val="46C4686E"/>
    <w:rsid w:val="46ED66AF"/>
    <w:rsid w:val="477B778F"/>
    <w:rsid w:val="478203EC"/>
    <w:rsid w:val="47B025FA"/>
    <w:rsid w:val="47B332AF"/>
    <w:rsid w:val="47B61ED4"/>
    <w:rsid w:val="47CA7D9C"/>
    <w:rsid w:val="47D51F4A"/>
    <w:rsid w:val="47DF40A4"/>
    <w:rsid w:val="4809698F"/>
    <w:rsid w:val="4811697D"/>
    <w:rsid w:val="48135E3E"/>
    <w:rsid w:val="48542939"/>
    <w:rsid w:val="48713C67"/>
    <w:rsid w:val="487A3E25"/>
    <w:rsid w:val="488B5503"/>
    <w:rsid w:val="48937E21"/>
    <w:rsid w:val="489A0361"/>
    <w:rsid w:val="48B94FF3"/>
    <w:rsid w:val="48C447EC"/>
    <w:rsid w:val="48E37AAB"/>
    <w:rsid w:val="48F863BB"/>
    <w:rsid w:val="48FD4B4C"/>
    <w:rsid w:val="490A68E0"/>
    <w:rsid w:val="491055FE"/>
    <w:rsid w:val="495F5B3E"/>
    <w:rsid w:val="496F77D7"/>
    <w:rsid w:val="497654FD"/>
    <w:rsid w:val="49862D98"/>
    <w:rsid w:val="49B64211"/>
    <w:rsid w:val="49F6167F"/>
    <w:rsid w:val="49FA46A4"/>
    <w:rsid w:val="4A064FA0"/>
    <w:rsid w:val="4A16615C"/>
    <w:rsid w:val="4A4424D7"/>
    <w:rsid w:val="4A547DF1"/>
    <w:rsid w:val="4AB82D0F"/>
    <w:rsid w:val="4AEB7664"/>
    <w:rsid w:val="4AFD7C19"/>
    <w:rsid w:val="4B0567D1"/>
    <w:rsid w:val="4B071261"/>
    <w:rsid w:val="4B236AAE"/>
    <w:rsid w:val="4B3527A5"/>
    <w:rsid w:val="4B707271"/>
    <w:rsid w:val="4B9739F7"/>
    <w:rsid w:val="4BD45567"/>
    <w:rsid w:val="4BEE2503"/>
    <w:rsid w:val="4C245A30"/>
    <w:rsid w:val="4CB22BAD"/>
    <w:rsid w:val="4CB6685F"/>
    <w:rsid w:val="4CC367FE"/>
    <w:rsid w:val="4D077F3C"/>
    <w:rsid w:val="4D0D2958"/>
    <w:rsid w:val="4D123355"/>
    <w:rsid w:val="4D270FBF"/>
    <w:rsid w:val="4D2A3B31"/>
    <w:rsid w:val="4D312C52"/>
    <w:rsid w:val="4D905305"/>
    <w:rsid w:val="4D964A72"/>
    <w:rsid w:val="4D9C1254"/>
    <w:rsid w:val="4DC05E89"/>
    <w:rsid w:val="4E3718A3"/>
    <w:rsid w:val="4E610EB0"/>
    <w:rsid w:val="4E793892"/>
    <w:rsid w:val="4E800872"/>
    <w:rsid w:val="4EC569ED"/>
    <w:rsid w:val="4ED50EA1"/>
    <w:rsid w:val="4EEC050C"/>
    <w:rsid w:val="4F104EC3"/>
    <w:rsid w:val="4F471CD3"/>
    <w:rsid w:val="4F47354A"/>
    <w:rsid w:val="4F6F7E52"/>
    <w:rsid w:val="4F7B7070"/>
    <w:rsid w:val="4F911C54"/>
    <w:rsid w:val="4FE625E0"/>
    <w:rsid w:val="4FF736F9"/>
    <w:rsid w:val="501D1400"/>
    <w:rsid w:val="5021480F"/>
    <w:rsid w:val="50373AF5"/>
    <w:rsid w:val="504B7753"/>
    <w:rsid w:val="50750E8F"/>
    <w:rsid w:val="508056A4"/>
    <w:rsid w:val="50962ECB"/>
    <w:rsid w:val="50A42E38"/>
    <w:rsid w:val="50A4577F"/>
    <w:rsid w:val="50B73D1F"/>
    <w:rsid w:val="50BD5BC9"/>
    <w:rsid w:val="50C11EEE"/>
    <w:rsid w:val="50C52695"/>
    <w:rsid w:val="50E97CFC"/>
    <w:rsid w:val="50FA4028"/>
    <w:rsid w:val="51093F81"/>
    <w:rsid w:val="510D65B7"/>
    <w:rsid w:val="511157AB"/>
    <w:rsid w:val="5142540C"/>
    <w:rsid w:val="517805D6"/>
    <w:rsid w:val="518832C8"/>
    <w:rsid w:val="51A0432A"/>
    <w:rsid w:val="51A86090"/>
    <w:rsid w:val="51B7396D"/>
    <w:rsid w:val="51D0165A"/>
    <w:rsid w:val="522E4CC3"/>
    <w:rsid w:val="5244713B"/>
    <w:rsid w:val="52615633"/>
    <w:rsid w:val="52873552"/>
    <w:rsid w:val="52977FD4"/>
    <w:rsid w:val="52A25790"/>
    <w:rsid w:val="52A96B6F"/>
    <w:rsid w:val="52B45975"/>
    <w:rsid w:val="52C917FE"/>
    <w:rsid w:val="52D94AA4"/>
    <w:rsid w:val="52EA3A62"/>
    <w:rsid w:val="52F50BB8"/>
    <w:rsid w:val="53097272"/>
    <w:rsid w:val="532D19BD"/>
    <w:rsid w:val="533B37EB"/>
    <w:rsid w:val="53414394"/>
    <w:rsid w:val="53544462"/>
    <w:rsid w:val="5397158E"/>
    <w:rsid w:val="53AF75D0"/>
    <w:rsid w:val="53B4545D"/>
    <w:rsid w:val="53E75832"/>
    <w:rsid w:val="54013861"/>
    <w:rsid w:val="540868D8"/>
    <w:rsid w:val="5415414D"/>
    <w:rsid w:val="542A104D"/>
    <w:rsid w:val="54487265"/>
    <w:rsid w:val="544D6070"/>
    <w:rsid w:val="545E28FC"/>
    <w:rsid w:val="54601646"/>
    <w:rsid w:val="54605E1E"/>
    <w:rsid w:val="54B3506A"/>
    <w:rsid w:val="54C61495"/>
    <w:rsid w:val="54CA0D16"/>
    <w:rsid w:val="54DD4057"/>
    <w:rsid w:val="54E7490F"/>
    <w:rsid w:val="550764A4"/>
    <w:rsid w:val="550B2BF6"/>
    <w:rsid w:val="55214EB5"/>
    <w:rsid w:val="55364EFD"/>
    <w:rsid w:val="55376345"/>
    <w:rsid w:val="555D4828"/>
    <w:rsid w:val="557A4C8B"/>
    <w:rsid w:val="557B0F98"/>
    <w:rsid w:val="558931E1"/>
    <w:rsid w:val="55923347"/>
    <w:rsid w:val="55925180"/>
    <w:rsid w:val="55983B1B"/>
    <w:rsid w:val="55A8376B"/>
    <w:rsid w:val="55C02308"/>
    <w:rsid w:val="55DC29B6"/>
    <w:rsid w:val="55DD4241"/>
    <w:rsid w:val="561617E7"/>
    <w:rsid w:val="562E14F6"/>
    <w:rsid w:val="563D3E2F"/>
    <w:rsid w:val="566B6D1E"/>
    <w:rsid w:val="569357FD"/>
    <w:rsid w:val="56DE4BC1"/>
    <w:rsid w:val="56EE0C86"/>
    <w:rsid w:val="57032A2C"/>
    <w:rsid w:val="570F5219"/>
    <w:rsid w:val="57184197"/>
    <w:rsid w:val="57527466"/>
    <w:rsid w:val="575D12B5"/>
    <w:rsid w:val="57610A87"/>
    <w:rsid w:val="5768746A"/>
    <w:rsid w:val="577B1140"/>
    <w:rsid w:val="577B7F21"/>
    <w:rsid w:val="577F181B"/>
    <w:rsid w:val="57827D4C"/>
    <w:rsid w:val="57921984"/>
    <w:rsid w:val="579737F0"/>
    <w:rsid w:val="57AB7B30"/>
    <w:rsid w:val="57AF5251"/>
    <w:rsid w:val="57B26373"/>
    <w:rsid w:val="57B63F04"/>
    <w:rsid w:val="57CD20C2"/>
    <w:rsid w:val="57CE2F91"/>
    <w:rsid w:val="57D675AB"/>
    <w:rsid w:val="57D95FDD"/>
    <w:rsid w:val="588A7068"/>
    <w:rsid w:val="58917D2F"/>
    <w:rsid w:val="5894085C"/>
    <w:rsid w:val="58AE4F0C"/>
    <w:rsid w:val="58B4291C"/>
    <w:rsid w:val="58B85899"/>
    <w:rsid w:val="58D565A1"/>
    <w:rsid w:val="58E363A9"/>
    <w:rsid w:val="5900361E"/>
    <w:rsid w:val="594F3EA6"/>
    <w:rsid w:val="595E1678"/>
    <w:rsid w:val="596D5BD4"/>
    <w:rsid w:val="597E3DD8"/>
    <w:rsid w:val="59A1552F"/>
    <w:rsid w:val="59A65B29"/>
    <w:rsid w:val="59DB3E62"/>
    <w:rsid w:val="59F80043"/>
    <w:rsid w:val="5A09252F"/>
    <w:rsid w:val="5A0B2778"/>
    <w:rsid w:val="5A1E7905"/>
    <w:rsid w:val="5A2A7C7B"/>
    <w:rsid w:val="5A3E2560"/>
    <w:rsid w:val="5A5D3B6E"/>
    <w:rsid w:val="5A637A76"/>
    <w:rsid w:val="5A6D33BA"/>
    <w:rsid w:val="5A792B1F"/>
    <w:rsid w:val="5A824FB6"/>
    <w:rsid w:val="5A874767"/>
    <w:rsid w:val="5A9B71F2"/>
    <w:rsid w:val="5AAD6F28"/>
    <w:rsid w:val="5AC152B3"/>
    <w:rsid w:val="5AC635BB"/>
    <w:rsid w:val="5AC73CC7"/>
    <w:rsid w:val="5AD50114"/>
    <w:rsid w:val="5AD63A24"/>
    <w:rsid w:val="5B2E1A1D"/>
    <w:rsid w:val="5B6F05E7"/>
    <w:rsid w:val="5B843A1C"/>
    <w:rsid w:val="5B873E3F"/>
    <w:rsid w:val="5B94004E"/>
    <w:rsid w:val="5B9F6406"/>
    <w:rsid w:val="5C02690E"/>
    <w:rsid w:val="5C196DA7"/>
    <w:rsid w:val="5C2A048C"/>
    <w:rsid w:val="5C38556A"/>
    <w:rsid w:val="5C80234E"/>
    <w:rsid w:val="5C872197"/>
    <w:rsid w:val="5C8A680C"/>
    <w:rsid w:val="5CFA37F2"/>
    <w:rsid w:val="5D0336DD"/>
    <w:rsid w:val="5D0C4701"/>
    <w:rsid w:val="5D0F0395"/>
    <w:rsid w:val="5D221076"/>
    <w:rsid w:val="5D397964"/>
    <w:rsid w:val="5D437F7D"/>
    <w:rsid w:val="5D5A391C"/>
    <w:rsid w:val="5D5F10C0"/>
    <w:rsid w:val="5D891B7B"/>
    <w:rsid w:val="5D981E59"/>
    <w:rsid w:val="5DAD38EE"/>
    <w:rsid w:val="5DEB56F0"/>
    <w:rsid w:val="5E006862"/>
    <w:rsid w:val="5E0207B9"/>
    <w:rsid w:val="5E1834A1"/>
    <w:rsid w:val="5E261785"/>
    <w:rsid w:val="5E40270F"/>
    <w:rsid w:val="5E421FE3"/>
    <w:rsid w:val="5E4A7017"/>
    <w:rsid w:val="5E552BBA"/>
    <w:rsid w:val="5E611C10"/>
    <w:rsid w:val="5E792877"/>
    <w:rsid w:val="5EFC7377"/>
    <w:rsid w:val="5F06174D"/>
    <w:rsid w:val="5F06522E"/>
    <w:rsid w:val="5F30217A"/>
    <w:rsid w:val="5F3A3602"/>
    <w:rsid w:val="5F6277C6"/>
    <w:rsid w:val="5F6D0B1D"/>
    <w:rsid w:val="5F8D0B82"/>
    <w:rsid w:val="5FCC5339"/>
    <w:rsid w:val="5FE34A5B"/>
    <w:rsid w:val="5FFE1E36"/>
    <w:rsid w:val="601D1D3E"/>
    <w:rsid w:val="60232584"/>
    <w:rsid w:val="605E54D0"/>
    <w:rsid w:val="607330CE"/>
    <w:rsid w:val="60825176"/>
    <w:rsid w:val="608368E3"/>
    <w:rsid w:val="609F2AC4"/>
    <w:rsid w:val="60E5134B"/>
    <w:rsid w:val="60FA2EE8"/>
    <w:rsid w:val="61054A27"/>
    <w:rsid w:val="610A52BC"/>
    <w:rsid w:val="611D2366"/>
    <w:rsid w:val="61322180"/>
    <w:rsid w:val="61421856"/>
    <w:rsid w:val="615227C4"/>
    <w:rsid w:val="61654E3F"/>
    <w:rsid w:val="6182292A"/>
    <w:rsid w:val="619F7F92"/>
    <w:rsid w:val="61F94C26"/>
    <w:rsid w:val="62000E56"/>
    <w:rsid w:val="620152D8"/>
    <w:rsid w:val="62232D89"/>
    <w:rsid w:val="624F3E49"/>
    <w:rsid w:val="62632286"/>
    <w:rsid w:val="62744735"/>
    <w:rsid w:val="62885958"/>
    <w:rsid w:val="62EB66B3"/>
    <w:rsid w:val="62F40B65"/>
    <w:rsid w:val="62FB6C04"/>
    <w:rsid w:val="62FC2CFE"/>
    <w:rsid w:val="63024505"/>
    <w:rsid w:val="63091321"/>
    <w:rsid w:val="63266364"/>
    <w:rsid w:val="635B1DB5"/>
    <w:rsid w:val="63711FED"/>
    <w:rsid w:val="63880DDC"/>
    <w:rsid w:val="638D750D"/>
    <w:rsid w:val="63AC6CC0"/>
    <w:rsid w:val="63DF054D"/>
    <w:rsid w:val="63EF7892"/>
    <w:rsid w:val="64055776"/>
    <w:rsid w:val="64184872"/>
    <w:rsid w:val="64240056"/>
    <w:rsid w:val="643E143A"/>
    <w:rsid w:val="64435456"/>
    <w:rsid w:val="646F78AA"/>
    <w:rsid w:val="648B6EEF"/>
    <w:rsid w:val="64A64465"/>
    <w:rsid w:val="64C158BF"/>
    <w:rsid w:val="64CE2EAA"/>
    <w:rsid w:val="651A79AA"/>
    <w:rsid w:val="653C3090"/>
    <w:rsid w:val="65854376"/>
    <w:rsid w:val="658767BE"/>
    <w:rsid w:val="65892531"/>
    <w:rsid w:val="65C926FF"/>
    <w:rsid w:val="65EA4748"/>
    <w:rsid w:val="660D5738"/>
    <w:rsid w:val="66195831"/>
    <w:rsid w:val="662E75B1"/>
    <w:rsid w:val="662F4228"/>
    <w:rsid w:val="66342C2E"/>
    <w:rsid w:val="663E784C"/>
    <w:rsid w:val="668B6A45"/>
    <w:rsid w:val="669C4947"/>
    <w:rsid w:val="66B17FEB"/>
    <w:rsid w:val="66E23FF5"/>
    <w:rsid w:val="67227D57"/>
    <w:rsid w:val="672A5D0A"/>
    <w:rsid w:val="672F3F24"/>
    <w:rsid w:val="673E055F"/>
    <w:rsid w:val="67551CE3"/>
    <w:rsid w:val="675E5CB8"/>
    <w:rsid w:val="67625388"/>
    <w:rsid w:val="67A22552"/>
    <w:rsid w:val="67B22DCC"/>
    <w:rsid w:val="67BE71AA"/>
    <w:rsid w:val="67D90273"/>
    <w:rsid w:val="67DC7FE5"/>
    <w:rsid w:val="67DE5875"/>
    <w:rsid w:val="67E55852"/>
    <w:rsid w:val="67EB1AB4"/>
    <w:rsid w:val="67F0048D"/>
    <w:rsid w:val="67FA1285"/>
    <w:rsid w:val="68551F4F"/>
    <w:rsid w:val="687C10C9"/>
    <w:rsid w:val="68840C16"/>
    <w:rsid w:val="68876EFB"/>
    <w:rsid w:val="68884654"/>
    <w:rsid w:val="689B3ABC"/>
    <w:rsid w:val="689F3C9C"/>
    <w:rsid w:val="689F444F"/>
    <w:rsid w:val="68B96DBB"/>
    <w:rsid w:val="68CA2805"/>
    <w:rsid w:val="68E937A3"/>
    <w:rsid w:val="693E15D3"/>
    <w:rsid w:val="69627681"/>
    <w:rsid w:val="6977531D"/>
    <w:rsid w:val="6985191D"/>
    <w:rsid w:val="69CC2BFF"/>
    <w:rsid w:val="69FD55B8"/>
    <w:rsid w:val="6A0B1C62"/>
    <w:rsid w:val="6A2406C8"/>
    <w:rsid w:val="6A330664"/>
    <w:rsid w:val="6A927E4E"/>
    <w:rsid w:val="6AB9362D"/>
    <w:rsid w:val="6ADE0BD1"/>
    <w:rsid w:val="6AE96859"/>
    <w:rsid w:val="6AFF68CB"/>
    <w:rsid w:val="6B147746"/>
    <w:rsid w:val="6B24787C"/>
    <w:rsid w:val="6B573233"/>
    <w:rsid w:val="6B5B6274"/>
    <w:rsid w:val="6B935D53"/>
    <w:rsid w:val="6BD61E9B"/>
    <w:rsid w:val="6C196F71"/>
    <w:rsid w:val="6C1D0DCA"/>
    <w:rsid w:val="6C226FCB"/>
    <w:rsid w:val="6C31226F"/>
    <w:rsid w:val="6C506213"/>
    <w:rsid w:val="6C552F0B"/>
    <w:rsid w:val="6C6116EB"/>
    <w:rsid w:val="6C6E3AF0"/>
    <w:rsid w:val="6C8C67B7"/>
    <w:rsid w:val="6C9D744C"/>
    <w:rsid w:val="6CDE381E"/>
    <w:rsid w:val="6D167928"/>
    <w:rsid w:val="6D26299B"/>
    <w:rsid w:val="6D310192"/>
    <w:rsid w:val="6D4772EC"/>
    <w:rsid w:val="6D8D7B94"/>
    <w:rsid w:val="6D9078AF"/>
    <w:rsid w:val="6DA71E62"/>
    <w:rsid w:val="6DAA3FEF"/>
    <w:rsid w:val="6DC0172B"/>
    <w:rsid w:val="6DCB690C"/>
    <w:rsid w:val="6DD41A5B"/>
    <w:rsid w:val="6DF43C2E"/>
    <w:rsid w:val="6DF51CA3"/>
    <w:rsid w:val="6E655927"/>
    <w:rsid w:val="6E7C509D"/>
    <w:rsid w:val="6E8335BD"/>
    <w:rsid w:val="6E8E12EF"/>
    <w:rsid w:val="6E972936"/>
    <w:rsid w:val="6ED446C5"/>
    <w:rsid w:val="6F2A7D94"/>
    <w:rsid w:val="6F312E00"/>
    <w:rsid w:val="6F743CD3"/>
    <w:rsid w:val="6F8331F1"/>
    <w:rsid w:val="6FAE1A09"/>
    <w:rsid w:val="6FD75BF8"/>
    <w:rsid w:val="70613802"/>
    <w:rsid w:val="707723D0"/>
    <w:rsid w:val="70D93627"/>
    <w:rsid w:val="70F5661B"/>
    <w:rsid w:val="71317516"/>
    <w:rsid w:val="71360107"/>
    <w:rsid w:val="713A123F"/>
    <w:rsid w:val="713B688E"/>
    <w:rsid w:val="7143471F"/>
    <w:rsid w:val="71535E5D"/>
    <w:rsid w:val="71613D0A"/>
    <w:rsid w:val="71D43752"/>
    <w:rsid w:val="71F1796A"/>
    <w:rsid w:val="72154626"/>
    <w:rsid w:val="72262B5D"/>
    <w:rsid w:val="72283FF7"/>
    <w:rsid w:val="722E7212"/>
    <w:rsid w:val="723A0474"/>
    <w:rsid w:val="724B7EB3"/>
    <w:rsid w:val="725923E4"/>
    <w:rsid w:val="72692FC4"/>
    <w:rsid w:val="72864BF7"/>
    <w:rsid w:val="729023FC"/>
    <w:rsid w:val="72A70177"/>
    <w:rsid w:val="731955B0"/>
    <w:rsid w:val="73C0646E"/>
    <w:rsid w:val="742222F5"/>
    <w:rsid w:val="74476126"/>
    <w:rsid w:val="744960A7"/>
    <w:rsid w:val="74706664"/>
    <w:rsid w:val="747F3682"/>
    <w:rsid w:val="749C4185"/>
    <w:rsid w:val="75067759"/>
    <w:rsid w:val="752E6DCD"/>
    <w:rsid w:val="75495E1C"/>
    <w:rsid w:val="7551380D"/>
    <w:rsid w:val="75600BE5"/>
    <w:rsid w:val="7564475C"/>
    <w:rsid w:val="75736BB0"/>
    <w:rsid w:val="7583797F"/>
    <w:rsid w:val="75D20F1D"/>
    <w:rsid w:val="75DA2C18"/>
    <w:rsid w:val="75F54412"/>
    <w:rsid w:val="761D08E0"/>
    <w:rsid w:val="765D347C"/>
    <w:rsid w:val="76826699"/>
    <w:rsid w:val="76873D7E"/>
    <w:rsid w:val="76C2663F"/>
    <w:rsid w:val="76C87133"/>
    <w:rsid w:val="76CD08D5"/>
    <w:rsid w:val="76DB4B92"/>
    <w:rsid w:val="77010D02"/>
    <w:rsid w:val="77052AA4"/>
    <w:rsid w:val="77136511"/>
    <w:rsid w:val="77340A39"/>
    <w:rsid w:val="773437F6"/>
    <w:rsid w:val="77351FD0"/>
    <w:rsid w:val="77472422"/>
    <w:rsid w:val="77533873"/>
    <w:rsid w:val="777F31F2"/>
    <w:rsid w:val="77D1700D"/>
    <w:rsid w:val="77EC04CC"/>
    <w:rsid w:val="78192AA1"/>
    <w:rsid w:val="78775729"/>
    <w:rsid w:val="788B1499"/>
    <w:rsid w:val="78982777"/>
    <w:rsid w:val="78A42DB0"/>
    <w:rsid w:val="78A656AB"/>
    <w:rsid w:val="78B2245C"/>
    <w:rsid w:val="78C24964"/>
    <w:rsid w:val="78C45332"/>
    <w:rsid w:val="78DB50B6"/>
    <w:rsid w:val="78E172CC"/>
    <w:rsid w:val="78EA1D1F"/>
    <w:rsid w:val="7904172F"/>
    <w:rsid w:val="790F7E27"/>
    <w:rsid w:val="792A231A"/>
    <w:rsid w:val="79316829"/>
    <w:rsid w:val="797E66A9"/>
    <w:rsid w:val="79A97383"/>
    <w:rsid w:val="79E27E8B"/>
    <w:rsid w:val="79F850CE"/>
    <w:rsid w:val="79FD443C"/>
    <w:rsid w:val="7A0A1346"/>
    <w:rsid w:val="7A1D1975"/>
    <w:rsid w:val="7A3E5150"/>
    <w:rsid w:val="7A3E76AA"/>
    <w:rsid w:val="7A4670D6"/>
    <w:rsid w:val="7A534B63"/>
    <w:rsid w:val="7A615382"/>
    <w:rsid w:val="7A67303B"/>
    <w:rsid w:val="7AAB1D04"/>
    <w:rsid w:val="7ABA4368"/>
    <w:rsid w:val="7ABC4865"/>
    <w:rsid w:val="7AD05746"/>
    <w:rsid w:val="7B1228E5"/>
    <w:rsid w:val="7B257FFD"/>
    <w:rsid w:val="7B343476"/>
    <w:rsid w:val="7B5A2978"/>
    <w:rsid w:val="7B5A4286"/>
    <w:rsid w:val="7B5A7E4C"/>
    <w:rsid w:val="7B667AF9"/>
    <w:rsid w:val="7B670E83"/>
    <w:rsid w:val="7B7468F8"/>
    <w:rsid w:val="7BEE0103"/>
    <w:rsid w:val="7C0A0FE4"/>
    <w:rsid w:val="7C162241"/>
    <w:rsid w:val="7C1939AF"/>
    <w:rsid w:val="7C224DAA"/>
    <w:rsid w:val="7C254906"/>
    <w:rsid w:val="7C590818"/>
    <w:rsid w:val="7C6819CF"/>
    <w:rsid w:val="7C7C10F6"/>
    <w:rsid w:val="7C853BEA"/>
    <w:rsid w:val="7C881368"/>
    <w:rsid w:val="7CD51E1C"/>
    <w:rsid w:val="7CE27788"/>
    <w:rsid w:val="7CF7112C"/>
    <w:rsid w:val="7D0C32F1"/>
    <w:rsid w:val="7D0F408D"/>
    <w:rsid w:val="7D133070"/>
    <w:rsid w:val="7D2F777E"/>
    <w:rsid w:val="7D491C6C"/>
    <w:rsid w:val="7D5429C0"/>
    <w:rsid w:val="7D54367E"/>
    <w:rsid w:val="7D553C43"/>
    <w:rsid w:val="7D6E6D43"/>
    <w:rsid w:val="7DB57A34"/>
    <w:rsid w:val="7DDC005F"/>
    <w:rsid w:val="7DE60973"/>
    <w:rsid w:val="7DEF0916"/>
    <w:rsid w:val="7E167186"/>
    <w:rsid w:val="7E1E5218"/>
    <w:rsid w:val="7E1E5516"/>
    <w:rsid w:val="7E576F8D"/>
    <w:rsid w:val="7E6474C5"/>
    <w:rsid w:val="7E9A4E1F"/>
    <w:rsid w:val="7EA7723A"/>
    <w:rsid w:val="7EB42631"/>
    <w:rsid w:val="7ED152B8"/>
    <w:rsid w:val="7EDA196C"/>
    <w:rsid w:val="7EF56FBB"/>
    <w:rsid w:val="7F0768EB"/>
    <w:rsid w:val="7F1430D0"/>
    <w:rsid w:val="7F143BEC"/>
    <w:rsid w:val="7F594514"/>
    <w:rsid w:val="7F715AF2"/>
    <w:rsid w:val="7F886E69"/>
    <w:rsid w:val="7FA6330E"/>
    <w:rsid w:val="7FC05959"/>
    <w:rsid w:val="7FC7D40D"/>
    <w:rsid w:val="BB7FA927"/>
    <w:rsid w:val="EB3FE41E"/>
    <w:rsid w:val="F5FFD31F"/>
    <w:rsid w:val="FF3F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6"/>
    <w:next w:val="1"/>
    <w:qFormat/>
    <w:uiPriority w:val="0"/>
    <w:pPr>
      <w:tabs>
        <w:tab w:val="left" w:pos="432"/>
      </w:tabs>
      <w:adjustRightInd/>
      <w:jc w:val="left"/>
      <w:outlineLvl w:val="1"/>
    </w:pPr>
    <w:rPr>
      <w:rFonts w:ascii="仿宋_GB2312" w:hAnsi="仿宋" w:eastAsia="仿宋_GB2312"/>
      <w:sz w:val="32"/>
      <w:szCs w:val="32"/>
    </w:rPr>
  </w:style>
  <w:style w:type="paragraph" w:styleId="9">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58"/>
    <w:qFormat/>
    <w:uiPriority w:val="0"/>
    <w:pPr>
      <w:adjustRightInd/>
      <w:spacing w:after="120" w:line="240" w:lineRule="auto"/>
      <w:ind w:left="420" w:leftChars="200" w:firstLine="210"/>
    </w:pPr>
    <w:rPr>
      <w:sz w:val="21"/>
    </w:rPr>
  </w:style>
  <w:style w:type="paragraph" w:styleId="3">
    <w:name w:val="Body Text Indent"/>
    <w:basedOn w:val="1"/>
    <w:link w:val="786"/>
    <w:qFormat/>
    <w:uiPriority w:val="0"/>
    <w:pPr>
      <w:spacing w:line="480" w:lineRule="exact"/>
      <w:ind w:firstLine="480" w:firstLineChars="200"/>
    </w:pPr>
    <w:rPr>
      <w:rFonts w:ascii="宋体" w:hAnsi="宋体"/>
      <w:sz w:val="24"/>
    </w:rPr>
  </w:style>
  <w:style w:type="paragraph" w:styleId="6">
    <w:name w:val="Body Text"/>
    <w:basedOn w:val="1"/>
    <w:next w:val="7"/>
    <w:link w:val="935"/>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8"/>
    <w:link w:val="837"/>
    <w:qFormat/>
    <w:uiPriority w:val="0"/>
    <w:pPr>
      <w:ind w:firstLine="420"/>
    </w:pPr>
    <w:rPr>
      <w:rFonts w:hAnsi="Calibri" w:cs="Times New Roman"/>
      <w:szCs w:val="20"/>
    </w:rPr>
  </w:style>
  <w:style w:type="paragraph" w:styleId="8">
    <w:name w:val="toc 6"/>
    <w:basedOn w:val="1"/>
    <w:next w:val="1"/>
    <w:qFormat/>
    <w:uiPriority w:val="0"/>
    <w:pPr>
      <w:ind w:left="2100" w:leftChars="1000"/>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next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755"/>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30"/>
    <w:qFormat/>
    <w:uiPriority w:val="0"/>
    <w:pPr>
      <w:shd w:val="clear" w:color="auto" w:fill="000080"/>
    </w:pPr>
  </w:style>
  <w:style w:type="paragraph" w:styleId="24">
    <w:name w:val="annotation text"/>
    <w:basedOn w:val="1"/>
    <w:link w:val="858"/>
    <w:qFormat/>
    <w:uiPriority w:val="99"/>
    <w:pPr>
      <w:jc w:val="left"/>
    </w:pPr>
  </w:style>
  <w:style w:type="paragraph" w:styleId="25">
    <w:name w:val="Salutation"/>
    <w:basedOn w:val="1"/>
    <w:next w:val="1"/>
    <w:link w:val="818"/>
    <w:qFormat/>
    <w:uiPriority w:val="0"/>
    <w:rPr>
      <w:rFonts w:ascii="仿宋_GB2312" w:eastAsia="仿宋_GB2312"/>
      <w:sz w:val="28"/>
      <w:szCs w:val="20"/>
    </w:rPr>
  </w:style>
  <w:style w:type="paragraph" w:styleId="26">
    <w:name w:val="Body Text 3"/>
    <w:basedOn w:val="1"/>
    <w:link w:val="846"/>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2"/>
    <w:qFormat/>
    <w:uiPriority w:val="0"/>
    <w:pPr>
      <w:ind w:left="100" w:leftChars="2500"/>
    </w:pPr>
    <w:rPr>
      <w:rFonts w:ascii="宋体"/>
      <w:sz w:val="24"/>
      <w:szCs w:val="21"/>
      <w:lang w:val="zh-CN"/>
    </w:rPr>
  </w:style>
  <w:style w:type="paragraph" w:styleId="39">
    <w:name w:val="Body Text Indent 2"/>
    <w:basedOn w:val="1"/>
    <w:link w:val="826"/>
    <w:qFormat/>
    <w:uiPriority w:val="0"/>
    <w:pPr>
      <w:spacing w:line="360" w:lineRule="auto"/>
      <w:ind w:firstLine="601"/>
      <w:textAlignment w:val="baseline"/>
    </w:pPr>
    <w:rPr>
      <w:rFonts w:ascii="宋体"/>
      <w:kern w:val="0"/>
      <w:sz w:val="28"/>
      <w:szCs w:val="20"/>
    </w:rPr>
  </w:style>
  <w:style w:type="paragraph" w:styleId="40">
    <w:name w:val="endnote text"/>
    <w:basedOn w:val="1"/>
    <w:link w:val="943"/>
    <w:qFormat/>
    <w:uiPriority w:val="0"/>
    <w:rPr>
      <w:lang w:val="zh-CN"/>
    </w:rPr>
  </w:style>
  <w:style w:type="paragraph" w:styleId="41">
    <w:name w:val="Balloon Text"/>
    <w:basedOn w:val="1"/>
    <w:link w:val="719"/>
    <w:qFormat/>
    <w:uiPriority w:val="0"/>
    <w:rPr>
      <w:sz w:val="18"/>
      <w:szCs w:val="18"/>
    </w:rPr>
  </w:style>
  <w:style w:type="paragraph" w:styleId="42">
    <w:name w:val="footer"/>
    <w:basedOn w:val="1"/>
    <w:link w:val="894"/>
    <w:qFormat/>
    <w:uiPriority w:val="99"/>
    <w:pPr>
      <w:tabs>
        <w:tab w:val="center" w:pos="4153"/>
        <w:tab w:val="right" w:pos="8306"/>
      </w:tabs>
      <w:snapToGrid w:val="0"/>
      <w:jc w:val="left"/>
    </w:pPr>
    <w:rPr>
      <w:sz w:val="18"/>
      <w:szCs w:val="18"/>
    </w:rPr>
  </w:style>
  <w:style w:type="paragraph" w:styleId="43">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0"/>
    <w:link w:val="828"/>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2"/>
    <w:qFormat/>
    <w:uiPriority w:val="0"/>
    <w:pPr>
      <w:spacing w:after="120" w:line="480" w:lineRule="auto"/>
    </w:pPr>
  </w:style>
  <w:style w:type="paragraph" w:styleId="58">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6"/>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4"/>
    <w:next w:val="24"/>
    <w:link w:val="63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缩进1"/>
    <w:basedOn w:val="80"/>
    <w:next w:val="3"/>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0">
    <w:name w:val="正文1"/>
    <w:basedOn w:val="34"/>
    <w:next w:val="81"/>
    <w:qFormat/>
    <w:uiPriority w:val="0"/>
    <w:pPr>
      <w:ind w:left="0" w:leftChars="0" w:firstLine="480" w:firstLineChars="200"/>
    </w:pPr>
    <w:rPr>
      <w:rFonts w:ascii="仿宋_GB2312" w:hAnsi="Courier New" w:eastAsia="仿宋_GB2312"/>
      <w:kern w:val="28"/>
      <w:sz w:val="24"/>
    </w:rPr>
  </w:style>
  <w:style w:type="paragraph" w:customStyle="1" w:styleId="81">
    <w:name w:val="标题 21"/>
    <w:basedOn w:val="80"/>
    <w:next w:val="80"/>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2">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83">
    <w:name w:val="正文文本首行缩进 21"/>
    <w:basedOn w:val="79"/>
    <w:qFormat/>
    <w:uiPriority w:val="99"/>
    <w:pPr>
      <w:spacing w:line="200" w:lineRule="atLeast"/>
      <w:ind w:firstLine="420"/>
    </w:pPr>
    <w:rPr>
      <w:spacing w:val="-4"/>
      <w:sz w:val="18"/>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正文文本首行缩进 211"/>
    <w:basedOn w:val="3"/>
    <w:qFormat/>
    <w:uiPriority w:val="99"/>
    <w:pPr>
      <w:spacing w:line="200" w:lineRule="atLeast"/>
      <w:ind w:firstLine="420"/>
    </w:pPr>
    <w:rPr>
      <w:rFonts w:hAnsi="Courier New"/>
      <w:spacing w:val="-4"/>
      <w:sz w:val="18"/>
    </w:rPr>
  </w:style>
  <w:style w:type="paragraph" w:customStyle="1" w:styleId="86">
    <w:name w:val="正文首行缩进 21"/>
    <w:basedOn w:val="87"/>
    <w:next w:val="1"/>
    <w:qFormat/>
    <w:uiPriority w:val="0"/>
    <w:pPr>
      <w:ind w:firstLine="210"/>
    </w:pPr>
  </w:style>
  <w:style w:type="paragraph" w:customStyle="1" w:styleId="87">
    <w:name w:val="正文文本缩进1"/>
    <w:basedOn w:val="1"/>
    <w:next w:val="1"/>
    <w:qFormat/>
    <w:uiPriority w:val="0"/>
    <w:pPr>
      <w:widowControl/>
      <w:spacing w:after="120"/>
      <w:ind w:left="420"/>
    </w:pPr>
    <w:rPr>
      <w:color w:val="000000"/>
    </w:rPr>
  </w:style>
  <w:style w:type="paragraph" w:customStyle="1" w:styleId="88">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67"/>
    <w:qFormat/>
    <w:uiPriority w:val="0"/>
    <w:pPr>
      <w:spacing w:before="156" w:line="360" w:lineRule="auto"/>
      <w:ind w:firstLine="510" w:firstLineChars="200"/>
    </w:pPr>
    <w:rPr>
      <w:sz w:val="24"/>
      <w:szCs w:val="20"/>
    </w:rPr>
  </w:style>
  <w:style w:type="paragraph" w:customStyle="1" w:styleId="94">
    <w:name w:val="无间隔1"/>
    <w:link w:val="675"/>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3"/>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5"/>
    <w:link w:val="702"/>
    <w:qFormat/>
    <w:uiPriority w:val="0"/>
    <w:pPr>
      <w:snapToGrid w:val="0"/>
      <w:spacing w:before="240" w:after="240"/>
      <w:jc w:val="center"/>
    </w:pPr>
    <w:rPr>
      <w:rFonts w:ascii="Calibri" w:hAnsi="Calibri" w:eastAsia="宋体"/>
      <w:kern w:val="0"/>
      <w:szCs w:val="20"/>
    </w:rPr>
  </w:style>
  <w:style w:type="paragraph" w:customStyle="1" w:styleId="99">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28"/>
    <w:qFormat/>
    <w:uiPriority w:val="0"/>
    <w:pPr>
      <w:ind w:left="0" w:right="466" w:firstLine="288"/>
    </w:pPr>
    <w:rPr>
      <w:rFonts w:hAnsi="宋体"/>
    </w:rPr>
  </w:style>
  <w:style w:type="paragraph" w:customStyle="1" w:styleId="101">
    <w:name w:val="样式 标题 3h33rd level3BOD 0H3l3CTHeading 3 - oldLevel 3 He..."/>
    <w:basedOn w:val="9"/>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10"/>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0"/>
    <w:qFormat/>
    <w:uiPriority w:val="0"/>
    <w:pPr>
      <w:adjustRightInd/>
      <w:spacing w:line="360" w:lineRule="auto"/>
      <w:ind w:firstLine="480" w:firstLineChars="200"/>
    </w:pPr>
    <w:rPr>
      <w:kern w:val="0"/>
      <w:sz w:val="24"/>
    </w:rPr>
  </w:style>
  <w:style w:type="paragraph" w:customStyle="1" w:styleId="106">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列表段落1"/>
    <w:basedOn w:val="1"/>
    <w:qFormat/>
    <w:uiPriority w:val="34"/>
    <w:pPr>
      <w:spacing w:line="360" w:lineRule="auto"/>
      <w:ind w:firstLine="200" w:firstLineChars="200"/>
    </w:pPr>
    <w:rPr>
      <w:rFonts w:eastAsia="楷体_GB2312" w:cs="Lucida Sans"/>
      <w:sz w:val="24"/>
    </w:rPr>
  </w:style>
  <w:style w:type="paragraph" w:customStyle="1" w:styleId="109">
    <w:name w:val="此正文"/>
    <w:basedOn w:val="1"/>
    <w:link w:val="801"/>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23"/>
    <w:qFormat/>
    <w:uiPriority w:val="0"/>
    <w:pPr>
      <w:tabs>
        <w:tab w:val="left" w:pos="2356"/>
      </w:tabs>
    </w:pPr>
  </w:style>
  <w:style w:type="paragraph" w:customStyle="1" w:styleId="111">
    <w:name w:val="样式 标题 4h4H4Fab-4T5Ref Heading 1rh1Heading sqlsect 1.2.3...."/>
    <w:basedOn w:val="10"/>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36"/>
    <w:qFormat/>
    <w:uiPriority w:val="0"/>
    <w:pPr>
      <w:adjustRightInd/>
    </w:pPr>
    <w:rPr>
      <w:rFonts w:ascii="宋体" w:hAnsi="Courier New"/>
      <w:kern w:val="0"/>
      <w:sz w:val="20"/>
      <w:szCs w:val="20"/>
    </w:rPr>
  </w:style>
  <w:style w:type="paragraph" w:customStyle="1" w:styleId="114">
    <w:name w:val="正文说明"/>
    <w:basedOn w:val="1"/>
    <w:link w:val="848"/>
    <w:qFormat/>
    <w:uiPriority w:val="0"/>
    <w:pPr>
      <w:adjustRightInd/>
      <w:spacing w:line="360" w:lineRule="auto"/>
    </w:pPr>
    <w:rPr>
      <w:kern w:val="0"/>
      <w:sz w:val="24"/>
    </w:rPr>
  </w:style>
  <w:style w:type="paragraph" w:customStyle="1" w:styleId="115">
    <w:name w:val="Table Text"/>
    <w:basedOn w:val="1"/>
    <w:link w:val="854"/>
    <w:qFormat/>
    <w:uiPriority w:val="0"/>
    <w:pPr>
      <w:widowControl/>
      <w:spacing w:before="60" w:after="60"/>
      <w:jc w:val="left"/>
    </w:pPr>
    <w:rPr>
      <w:kern w:val="0"/>
      <w:sz w:val="24"/>
    </w:rPr>
  </w:style>
  <w:style w:type="paragraph" w:customStyle="1" w:styleId="116">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20"/>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10"/>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qFormat/>
    <w:uiPriority w:val="0"/>
    <w:pPr>
      <w:spacing w:before="120" w:line="360" w:lineRule="auto"/>
      <w:ind w:firstLine="567"/>
    </w:pPr>
    <w:rPr>
      <w:rFonts w:ascii="Arial" w:hAnsi="Arial"/>
      <w:sz w:val="20"/>
      <w:szCs w:val="20"/>
    </w:rPr>
  </w:style>
  <w:style w:type="paragraph" w:customStyle="1" w:styleId="1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2">
    <w:name w:val="封面公司名"/>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qFormat/>
    <w:uiPriority w:val="0"/>
    <w:pPr>
      <w:adjustRightInd/>
      <w:ind w:firstLine="200" w:firstLineChars="200"/>
    </w:pPr>
    <w:rPr>
      <w:rFonts w:ascii="Tahoma" w:hAnsi="Tahoma"/>
      <w:sz w:val="24"/>
      <w:szCs w:val="20"/>
    </w:rPr>
  </w:style>
  <w:style w:type="paragraph" w:customStyle="1" w:styleId="14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qFormat/>
    <w:uiPriority w:val="0"/>
    <w:pPr>
      <w:tabs>
        <w:tab w:val="left" w:pos="360"/>
      </w:tabs>
    </w:pPr>
    <w:rPr>
      <w:sz w:val="24"/>
      <w:szCs w:val="20"/>
    </w:rPr>
  </w:style>
  <w:style w:type="paragraph" w:customStyle="1" w:styleId="147">
    <w:name w:val="Char Char11 Char Char Char"/>
    <w:basedOn w:val="1"/>
    <w:qFormat/>
    <w:uiPriority w:val="0"/>
    <w:pPr>
      <w:spacing w:line="360" w:lineRule="auto"/>
    </w:pPr>
    <w:rPr>
      <w:szCs w:val="20"/>
    </w:rPr>
  </w:style>
  <w:style w:type="paragraph" w:customStyle="1" w:styleId="14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qFormat/>
    <w:uiPriority w:val="0"/>
    <w:pPr>
      <w:tabs>
        <w:tab w:val="left" w:pos="2790"/>
        <w:tab w:val="left" w:pos="4230"/>
      </w:tabs>
      <w:spacing w:before="312" w:beforeLines="100"/>
      <w:jc w:val="left"/>
    </w:pPr>
  </w:style>
  <w:style w:type="paragraph" w:customStyle="1" w:styleId="15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qFormat/>
    <w:uiPriority w:val="0"/>
    <w:pPr>
      <w:tabs>
        <w:tab w:val="left" w:pos="840"/>
      </w:tabs>
      <w:ind w:left="840" w:hanging="420"/>
    </w:pPr>
    <w:rPr>
      <w:rFonts w:ascii="Tahoma" w:hAnsi="Tahoma"/>
      <w:sz w:val="24"/>
    </w:rPr>
  </w:style>
  <w:style w:type="paragraph" w:customStyle="1" w:styleId="15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kern w:val="0"/>
      <w:szCs w:val="20"/>
    </w:rPr>
  </w:style>
  <w:style w:type="paragraph" w:customStyle="1" w:styleId="1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qFormat/>
    <w:uiPriority w:val="0"/>
    <w:pPr>
      <w:adjustRightInd/>
      <w:spacing w:before="156" w:line="360" w:lineRule="auto"/>
      <w:ind w:firstLine="510" w:firstLineChars="200"/>
    </w:pPr>
    <w:rPr>
      <w:sz w:val="24"/>
      <w:szCs w:val="20"/>
    </w:rPr>
  </w:style>
  <w:style w:type="paragraph" w:customStyle="1" w:styleId="157">
    <w:name w:val="Test2"/>
    <w:basedOn w:val="5"/>
    <w:qFormat/>
    <w:uiPriority w:val="0"/>
    <w:pPr>
      <w:widowControl/>
      <w:adjustRightInd w:val="0"/>
      <w:snapToGrid w:val="0"/>
      <w:spacing w:before="360" w:after="360" w:line="240" w:lineRule="atLeast"/>
    </w:pPr>
    <w:rPr>
      <w:rFonts w:ascii="宋体" w:hAnsi="Arial" w:eastAsia="宋体"/>
      <w:kern w:val="0"/>
      <w:sz w:val="28"/>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qFormat/>
    <w:uiPriority w:val="0"/>
    <w:rPr>
      <w:rFonts w:ascii="仿宋_GB2312" w:eastAsia="仿宋_GB2312"/>
      <w:b/>
      <w:sz w:val="32"/>
      <w:szCs w:val="32"/>
    </w:rPr>
  </w:style>
  <w:style w:type="paragraph" w:customStyle="1" w:styleId="1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qFormat/>
    <w:uiPriority w:val="0"/>
    <w:pPr>
      <w:keepNext/>
      <w:tabs>
        <w:tab w:val="left" w:pos="360"/>
      </w:tabs>
      <w:spacing w:before="0" w:after="0"/>
      <w:outlineLvl w:val="5"/>
    </w:pPr>
  </w:style>
  <w:style w:type="paragraph" w:customStyle="1" w:styleId="165">
    <w:name w:val="5级标题"/>
    <w:basedOn w:val="166"/>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6">
    <w:name w:val="4级标题"/>
    <w:basedOn w:val="10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qFormat/>
    <w:uiPriority w:val="0"/>
    <w:pPr>
      <w:adjustRightInd/>
      <w:ind w:left="420" w:leftChars="200"/>
      <w:jc w:val="left"/>
    </w:pPr>
    <w:rPr>
      <w:sz w:val="28"/>
      <w:szCs w:val="20"/>
      <w:lang w:eastAsia="zh-TW"/>
    </w:rPr>
  </w:style>
  <w:style w:type="paragraph" w:customStyle="1" w:styleId="168">
    <w:name w:val="Char2 Char Char"/>
    <w:basedOn w:val="1"/>
    <w:qFormat/>
    <w:uiPriority w:val="0"/>
    <w:pPr>
      <w:adjustRightInd/>
    </w:pPr>
    <w:rPr>
      <w:rFonts w:ascii="Tahoma" w:hAnsi="Tahoma"/>
      <w:sz w:val="24"/>
      <w:szCs w:val="20"/>
    </w:rPr>
  </w:style>
  <w:style w:type="paragraph" w:customStyle="1" w:styleId="169">
    <w:name w:val="_Style 11"/>
    <w:basedOn w:val="1"/>
    <w:qFormat/>
    <w:uiPriority w:val="34"/>
    <w:pPr>
      <w:adjustRightInd/>
      <w:ind w:firstLine="420" w:firstLineChars="200"/>
    </w:pPr>
    <w:rPr>
      <w:rFonts w:eastAsia="仿宋_GB2312"/>
      <w:sz w:val="28"/>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无间隔2"/>
    <w:basedOn w:val="1"/>
    <w:link w:val="944"/>
    <w:qFormat/>
    <w:uiPriority w:val="99"/>
    <w:rPr>
      <w:szCs w:val="22"/>
    </w:rPr>
  </w:style>
  <w:style w:type="paragraph" w:customStyle="1" w:styleId="1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qFormat/>
    <w:uiPriority w:val="6"/>
    <w:rPr>
      <w:rFonts w:ascii="Tahoma" w:hAnsi="Tahoma" w:cs="仿宋_GB2312"/>
      <w:sz w:val="24"/>
      <w:szCs w:val="20"/>
    </w:rPr>
  </w:style>
  <w:style w:type="paragraph" w:customStyle="1" w:styleId="17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5"/>
    <w:qFormat/>
    <w:uiPriority w:val="0"/>
    <w:pPr>
      <w:tabs>
        <w:tab w:val="left" w:pos="1260"/>
        <w:tab w:val="clear" w:pos="432"/>
      </w:tabs>
      <w:ind w:left="1260" w:hanging="420"/>
    </w:pPr>
    <w:rPr>
      <w:rFonts w:ascii="Arial" w:hAnsi="Arial" w:eastAsia="黑体"/>
    </w:rPr>
  </w:style>
  <w:style w:type="paragraph" w:customStyle="1" w:styleId="181">
    <w:name w:val="五级无标题条"/>
    <w:basedOn w:val="1"/>
    <w:qFormat/>
    <w:uiPriority w:val="0"/>
    <w:pPr>
      <w:adjustRightInd/>
    </w:pPr>
  </w:style>
  <w:style w:type="paragraph" w:customStyle="1" w:styleId="182">
    <w:name w:val="Char5"/>
    <w:basedOn w:val="1"/>
    <w:qFormat/>
    <w:uiPriority w:val="0"/>
    <w:rPr>
      <w:rFonts w:ascii="仿宋_GB2312" w:eastAsia="仿宋_GB2312"/>
      <w:b/>
      <w:sz w:val="32"/>
      <w:szCs w:val="32"/>
    </w:rPr>
  </w:style>
  <w:style w:type="paragraph" w:customStyle="1" w:styleId="18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4">
    <w:name w:val="彩色列表 - 强调文字颜色 12"/>
    <w:basedOn w:val="1"/>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qFormat/>
    <w:uiPriority w:val="0"/>
    <w:rPr>
      <w:rFonts w:ascii="仿宋_GB2312" w:eastAsia="仿宋_GB2312"/>
      <w:b/>
      <w:sz w:val="32"/>
      <w:szCs w:val="32"/>
    </w:rPr>
  </w:style>
  <w:style w:type="paragraph" w:customStyle="1" w:styleId="187">
    <w:name w:val="数字标题3"/>
    <w:basedOn w:val="9"/>
    <w:next w:val="1"/>
    <w:qFormat/>
    <w:uiPriority w:val="0"/>
    <w:pPr>
      <w:spacing w:line="240" w:lineRule="auto"/>
    </w:pPr>
    <w:rPr>
      <w:sz w:val="28"/>
      <w:szCs w:val="28"/>
    </w:rPr>
  </w:style>
  <w:style w:type="paragraph" w:customStyle="1" w:styleId="188">
    <w:name w:val="FA正文"/>
    <w:basedOn w:val="1"/>
    <w:qFormat/>
    <w:uiPriority w:val="0"/>
    <w:pPr>
      <w:spacing w:line="360" w:lineRule="auto"/>
      <w:ind w:firstLine="480" w:firstLineChars="200"/>
    </w:pPr>
    <w:rPr>
      <w:rFonts w:hAnsi="宋体"/>
      <w:sz w:val="24"/>
      <w:szCs w:val="20"/>
    </w:rPr>
  </w:style>
  <w:style w:type="paragraph" w:customStyle="1" w:styleId="189">
    <w:name w:val="MM Topic 5"/>
    <w:basedOn w:val="11"/>
    <w:qFormat/>
    <w:uiPriority w:val="0"/>
    <w:pPr>
      <w:tabs>
        <w:tab w:val="left" w:pos="2520"/>
        <w:tab w:val="clear" w:pos="1008"/>
      </w:tabs>
      <w:adjustRightInd/>
      <w:ind w:left="2520" w:hanging="420"/>
    </w:pPr>
  </w:style>
  <w:style w:type="paragraph" w:customStyle="1" w:styleId="190">
    <w:name w:val="Char Char Char Char Char Char Char Char Char Char1"/>
    <w:basedOn w:val="1"/>
    <w:qFormat/>
    <w:uiPriority w:val="0"/>
    <w:rPr>
      <w:rFonts w:ascii="仿宋_GB2312" w:eastAsia="仿宋_GB2312"/>
      <w:b/>
      <w:sz w:val="32"/>
      <w:szCs w:val="32"/>
    </w:rPr>
  </w:style>
  <w:style w:type="paragraph" w:customStyle="1" w:styleId="19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qFormat/>
    <w:uiPriority w:val="0"/>
    <w:rPr>
      <w:rFonts w:ascii="仿宋_GB2312" w:eastAsia="仿宋_GB2312"/>
      <w:b/>
      <w:sz w:val="32"/>
      <w:szCs w:val="32"/>
    </w:rPr>
  </w:style>
  <w:style w:type="paragraph" w:customStyle="1" w:styleId="194">
    <w:name w:val="Char2 Char Char Char1"/>
    <w:basedOn w:val="1"/>
    <w:qFormat/>
    <w:uiPriority w:val="6"/>
    <w:rPr>
      <w:rFonts w:ascii="仿宋_GB2312" w:eastAsia="仿宋_GB2312"/>
      <w:b/>
      <w:sz w:val="32"/>
      <w:szCs w:val="32"/>
    </w:rPr>
  </w:style>
  <w:style w:type="paragraph" w:customStyle="1" w:styleId="195">
    <w:name w:val="默认段落样式"/>
    <w:basedOn w:val="93"/>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qFormat/>
    <w:uiPriority w:val="0"/>
    <w:pPr>
      <w:snapToGrid w:val="0"/>
      <w:spacing w:line="0" w:lineRule="atLeast"/>
      <w:ind w:firstLine="200" w:firstLineChars="200"/>
      <w:jc w:val="center"/>
    </w:pPr>
    <w:rPr>
      <w:sz w:val="24"/>
      <w:szCs w:val="20"/>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9"/>
    <w:qFormat/>
    <w:uiPriority w:val="0"/>
    <w:pPr>
      <w:tabs>
        <w:tab w:val="left" w:pos="1680"/>
        <w:tab w:val="clear" w:pos="900"/>
      </w:tabs>
      <w:adjustRightInd/>
      <w:ind w:left="1680" w:hanging="420"/>
    </w:pPr>
  </w:style>
  <w:style w:type="paragraph" w:customStyle="1" w:styleId="199">
    <w:name w:val="标准小四"/>
    <w:basedOn w:val="1"/>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rPr>
  </w:style>
  <w:style w:type="paragraph" w:customStyle="1" w:styleId="201">
    <w:name w:val="表格（小）"/>
    <w:basedOn w:val="1"/>
    <w:qFormat/>
    <w:uiPriority w:val="0"/>
    <w:pPr>
      <w:adjustRightInd/>
      <w:snapToGrid w:val="0"/>
      <w:spacing w:line="300" w:lineRule="auto"/>
    </w:pPr>
    <w:rPr>
      <w:rFonts w:eastAsia="仿宋"/>
      <w:szCs w:val="21"/>
    </w:rPr>
  </w:style>
  <w:style w:type="paragraph" w:customStyle="1" w:styleId="20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qFormat/>
    <w:uiPriority w:val="6"/>
    <w:pPr>
      <w:adjustRightInd/>
    </w:pPr>
    <w:rPr>
      <w:rFonts w:ascii="Tahoma" w:hAnsi="Tahoma"/>
      <w:sz w:val="24"/>
      <w:szCs w:val="20"/>
    </w:rPr>
  </w:style>
  <w:style w:type="paragraph" w:customStyle="1" w:styleId="204">
    <w:name w:val="列出段落5"/>
    <w:basedOn w:val="1"/>
    <w:qFormat/>
    <w:uiPriority w:val="0"/>
    <w:pPr>
      <w:spacing w:line="360" w:lineRule="auto"/>
      <w:ind w:firstLine="200" w:firstLineChars="200"/>
    </w:pPr>
    <w:rPr>
      <w:rFonts w:eastAsia="楷体_GB2312" w:cs="Lucida Sans"/>
      <w:sz w:val="24"/>
    </w:rPr>
  </w:style>
  <w:style w:type="paragraph" w:customStyle="1" w:styleId="20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next w:val="1"/>
    <w:qFormat/>
    <w:uiPriority w:val="0"/>
    <w:pPr>
      <w:adjustRightInd/>
      <w:ind w:firstLine="420" w:firstLineChars="200"/>
    </w:pPr>
    <w:rPr>
      <w:rFonts w:eastAsia="仿宋_GB2312"/>
      <w:sz w:val="28"/>
    </w:rPr>
  </w:style>
  <w:style w:type="paragraph" w:customStyle="1" w:styleId="21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qFormat/>
    <w:uiPriority w:val="0"/>
    <w:pPr>
      <w:adjustRightInd/>
      <w:ind w:firstLine="200" w:firstLineChars="200"/>
      <w:jc w:val="right"/>
    </w:pPr>
  </w:style>
  <w:style w:type="paragraph" w:customStyle="1" w:styleId="216">
    <w:name w:val="Char Char11 Char Char Char Char Char Char Char Char Char"/>
    <w:basedOn w:val="1"/>
    <w:qFormat/>
    <w:uiPriority w:val="0"/>
    <w:pPr>
      <w:spacing w:line="360" w:lineRule="auto"/>
    </w:pPr>
    <w:rPr>
      <w:szCs w:val="20"/>
    </w:rPr>
  </w:style>
  <w:style w:type="paragraph" w:customStyle="1" w:styleId="217">
    <w:name w:val="正文1.25"/>
    <w:basedOn w:val="1"/>
    <w:qFormat/>
    <w:uiPriority w:val="0"/>
    <w:pPr>
      <w:adjustRightInd/>
      <w:spacing w:line="300" w:lineRule="auto"/>
      <w:ind w:firstLine="480" w:firstLineChars="200"/>
    </w:pPr>
    <w:rPr>
      <w:sz w:val="24"/>
      <w:szCs w:val="20"/>
    </w:rPr>
  </w:style>
  <w:style w:type="paragraph" w:customStyle="1" w:styleId="21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qFormat/>
    <w:uiPriority w:val="6"/>
    <w:rPr>
      <w:rFonts w:ascii="仿宋_GB2312" w:eastAsia="仿宋_GB2312"/>
      <w:b/>
      <w:sz w:val="32"/>
      <w:szCs w:val="20"/>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qFormat/>
    <w:uiPriority w:val="0"/>
    <w:rPr>
      <w:rFonts w:eastAsia="仿宋_GB2312"/>
      <w:sz w:val="28"/>
      <w:szCs w:val="20"/>
    </w:rPr>
  </w:style>
  <w:style w:type="paragraph" w:customStyle="1" w:styleId="22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10"/>
    <w:qFormat/>
    <w:uiPriority w:val="0"/>
    <w:pPr>
      <w:widowControl/>
      <w:jc w:val="left"/>
    </w:pPr>
    <w:rPr>
      <w:rFonts w:cs="宋体"/>
      <w:sz w:val="24"/>
      <w:szCs w:val="20"/>
    </w:rPr>
  </w:style>
  <w:style w:type="paragraph" w:customStyle="1" w:styleId="226">
    <w:name w:val="彩色列表 - 强调文字颜色 11"/>
    <w:basedOn w:val="1"/>
    <w:qFormat/>
    <w:uiPriority w:val="0"/>
    <w:pPr>
      <w:adjustRightInd/>
      <w:ind w:firstLine="420" w:firstLineChars="200"/>
    </w:pPr>
    <w:rPr>
      <w:rFonts w:ascii="Calibri" w:hAnsi="Calibri"/>
      <w:szCs w:val="22"/>
    </w:rPr>
  </w:style>
  <w:style w:type="paragraph" w:customStyle="1" w:styleId="22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qFormat/>
    <w:uiPriority w:val="6"/>
    <w:rPr>
      <w:szCs w:val="20"/>
    </w:rPr>
  </w:style>
  <w:style w:type="paragraph" w:customStyle="1" w:styleId="23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5"/>
    <w:qFormat/>
    <w:uiPriority w:val="0"/>
    <w:pPr>
      <w:tabs>
        <w:tab w:val="left" w:pos="0"/>
        <w:tab w:val="clear" w:pos="432"/>
      </w:tabs>
      <w:spacing w:before="260" w:after="260" w:line="415" w:lineRule="auto"/>
      <w:ind w:firstLine="200" w:firstLineChars="200"/>
      <w:jc w:val="both"/>
    </w:pPr>
    <w:rPr>
      <w:rFonts w:ascii="宋体" w:hAnsi="Cambria" w:eastAsia="宋体" w:cs="宋体"/>
      <w:szCs w:val="20"/>
    </w:rPr>
  </w:style>
  <w:style w:type="paragraph" w:customStyle="1" w:styleId="23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104"/>
    <w:next w:val="104"/>
    <w:qFormat/>
    <w:uiPriority w:val="0"/>
    <w:pPr>
      <w:spacing w:after="68"/>
    </w:pPr>
    <w:rPr>
      <w:rFonts w:ascii="FHLHE E+ Futura Bk" w:eastAsia="FHLHE E+ Futura Bk" w:cs="Times New Roman"/>
      <w:color w:val="auto"/>
    </w:rPr>
  </w:style>
  <w:style w:type="paragraph" w:customStyle="1" w:styleId="23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104"/>
    <w:next w:val="104"/>
    <w:qFormat/>
    <w:uiPriority w:val="0"/>
    <w:rPr>
      <w:rFonts w:ascii="宋体" w:eastAsia="宋体" w:cs="Times New Roman"/>
      <w:color w:val="auto"/>
    </w:rPr>
  </w:style>
  <w:style w:type="paragraph" w:customStyle="1" w:styleId="24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qFormat/>
    <w:uiPriority w:val="0"/>
    <w:rPr>
      <w:rFonts w:ascii="仿宋_GB2312" w:eastAsia="仿宋_GB2312"/>
      <w:b/>
      <w:sz w:val="32"/>
      <w:szCs w:val="32"/>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qFormat/>
    <w:uiPriority w:val="0"/>
    <w:pPr>
      <w:spacing w:line="360" w:lineRule="auto"/>
    </w:pPr>
    <w:rPr>
      <w:szCs w:val="20"/>
    </w:rPr>
  </w:style>
  <w:style w:type="paragraph" w:customStyle="1" w:styleId="246">
    <w:name w:val="Char"/>
    <w:basedOn w:val="1"/>
    <w:qFormat/>
    <w:uiPriority w:val="0"/>
    <w:rPr>
      <w:rFonts w:ascii="仿宋_GB2312" w:eastAsia="仿宋_GB2312"/>
      <w:b/>
      <w:sz w:val="32"/>
      <w:szCs w:val="32"/>
    </w:rPr>
  </w:style>
  <w:style w:type="paragraph" w:customStyle="1" w:styleId="24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qFormat/>
    <w:uiPriority w:val="0"/>
    <w:rPr>
      <w:szCs w:val="20"/>
    </w:rPr>
  </w:style>
  <w:style w:type="paragraph" w:customStyle="1" w:styleId="250">
    <w:name w:val="正文标准"/>
    <w:basedOn w:val="1"/>
    <w:qFormat/>
    <w:uiPriority w:val="0"/>
    <w:pPr>
      <w:adjustRightInd/>
      <w:spacing w:line="360" w:lineRule="auto"/>
      <w:ind w:firstLine="200" w:firstLineChars="200"/>
    </w:pPr>
    <w:rPr>
      <w:rFonts w:ascii="宋体" w:hAnsi="Calibri"/>
      <w:sz w:val="24"/>
    </w:rPr>
  </w:style>
  <w:style w:type="paragraph" w:customStyle="1" w:styleId="2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20"/>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5">
    <w:name w:val="_正文段落"/>
    <w:basedOn w:val="1"/>
    <w:qFormat/>
    <w:uiPriority w:val="0"/>
    <w:pPr>
      <w:adjustRightInd/>
      <w:ind w:firstLine="560"/>
    </w:pPr>
    <w:rPr>
      <w:rFonts w:ascii="仿宋_GB2312" w:hAnsi="仿宋" w:eastAsia="仿宋_GB2312"/>
      <w:kern w:val="0"/>
      <w:sz w:val="28"/>
      <w:szCs w:val="28"/>
    </w:rPr>
  </w:style>
  <w:style w:type="paragraph" w:customStyle="1" w:styleId="26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0"/>
    <w:rPr>
      <w:szCs w:val="20"/>
    </w:rPr>
  </w:style>
  <w:style w:type="paragraph" w:customStyle="1" w:styleId="27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qFormat/>
    <w:uiPriority w:val="0"/>
    <w:rPr>
      <w:rFonts w:ascii="Tahoma" w:hAnsi="Tahoma"/>
      <w:sz w:val="24"/>
      <w:szCs w:val="20"/>
    </w:rPr>
  </w:style>
  <w:style w:type="paragraph" w:customStyle="1" w:styleId="275">
    <w:name w:val="标题五"/>
    <w:basedOn w:val="1"/>
    <w:qFormat/>
    <w:uiPriority w:val="0"/>
    <w:pPr>
      <w:adjustRightInd/>
      <w:spacing w:before="156" w:beforeLines="50" w:line="360" w:lineRule="auto"/>
    </w:pPr>
    <w:rPr>
      <w:b/>
      <w:sz w:val="24"/>
    </w:rPr>
  </w:style>
  <w:style w:type="paragraph" w:customStyle="1" w:styleId="276">
    <w:name w:val="Char Char1101"/>
    <w:basedOn w:val="1"/>
    <w:qFormat/>
    <w:uiPriority w:val="0"/>
    <w:pPr>
      <w:spacing w:line="360" w:lineRule="auto"/>
    </w:pPr>
    <w:rPr>
      <w:rFonts w:ascii="Tahoma" w:hAnsi="Tahoma"/>
      <w:sz w:val="24"/>
      <w:szCs w:val="20"/>
    </w:rPr>
  </w:style>
  <w:style w:type="paragraph" w:customStyle="1" w:styleId="277">
    <w:name w:val="Char Char Char Char Char Char Char Char1"/>
    <w:basedOn w:val="1"/>
    <w:qFormat/>
    <w:uiPriority w:val="0"/>
    <w:pPr>
      <w:tabs>
        <w:tab w:val="left" w:pos="360"/>
      </w:tabs>
    </w:pPr>
    <w:rPr>
      <w:sz w:val="24"/>
      <w:szCs w:val="20"/>
    </w:rPr>
  </w:style>
  <w:style w:type="paragraph" w:customStyle="1" w:styleId="278">
    <w:name w:val="Char Char Char 字元 字元"/>
    <w:basedOn w:val="1"/>
    <w:qFormat/>
    <w:uiPriority w:val="0"/>
    <w:pPr>
      <w:adjustRightInd/>
      <w:spacing w:line="360" w:lineRule="auto"/>
      <w:ind w:firstLine="200" w:firstLineChars="200"/>
    </w:pPr>
    <w:rPr>
      <w:szCs w:val="20"/>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qFormat/>
    <w:uiPriority w:val="0"/>
    <w:pPr>
      <w:adjustRightInd/>
    </w:pPr>
    <w:rPr>
      <w:sz w:val="18"/>
      <w:szCs w:val="20"/>
    </w:rPr>
  </w:style>
  <w:style w:type="paragraph" w:customStyle="1" w:styleId="28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0">
    <w:name w:val="索引 11"/>
    <w:basedOn w:val="1"/>
    <w:next w:val="1"/>
    <w:qFormat/>
    <w:uiPriority w:val="99"/>
    <w:pPr>
      <w:adjustRightInd/>
      <w:spacing w:line="360" w:lineRule="auto"/>
    </w:pPr>
    <w:rPr>
      <w:rFonts w:ascii="仿宋_GB2312" w:eastAsia="仿宋_GB2312"/>
      <w:sz w:val="24"/>
      <w:szCs w:val="20"/>
    </w:rPr>
  </w:style>
  <w:style w:type="paragraph" w:customStyle="1" w:styleId="2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57"/>
    <w:qFormat/>
    <w:uiPriority w:val="0"/>
    <w:pPr>
      <w:snapToGrid w:val="0"/>
      <w:spacing w:line="360" w:lineRule="auto"/>
    </w:pPr>
    <w:rPr>
      <w:rFonts w:ascii="宋体"/>
      <w:b/>
      <w:sz w:val="24"/>
      <w:szCs w:val="20"/>
    </w:rPr>
  </w:style>
  <w:style w:type="paragraph" w:customStyle="1" w:styleId="2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7">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qFormat/>
    <w:uiPriority w:val="7"/>
    <w:pPr>
      <w:adjustRightInd/>
    </w:pPr>
    <w:rPr>
      <w:rFonts w:ascii="宋体" w:hAnsi="Courier New"/>
    </w:rPr>
  </w:style>
  <w:style w:type="paragraph" w:customStyle="1" w:styleId="299">
    <w:name w:val="Char3"/>
    <w:basedOn w:val="1"/>
    <w:qFormat/>
    <w:uiPriority w:val="0"/>
    <w:pPr>
      <w:adjustRightInd/>
    </w:pPr>
    <w:rPr>
      <w:rFonts w:ascii="仿宋_GB2312" w:eastAsia="仿宋_GB2312"/>
      <w:b/>
      <w:sz w:val="32"/>
      <w:szCs w:val="32"/>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5"/>
    <w:next w:val="1"/>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303">
    <w:name w:val="List Paragraph1"/>
    <w:basedOn w:val="1"/>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qFormat/>
    <w:uiPriority w:val="0"/>
    <w:pPr>
      <w:widowControl/>
      <w:adjustRightInd/>
      <w:spacing w:after="160" w:line="240" w:lineRule="exact"/>
      <w:jc w:val="left"/>
    </w:pPr>
    <w:rPr>
      <w:szCs w:val="20"/>
    </w:rPr>
  </w:style>
  <w:style w:type="paragraph" w:customStyle="1" w:styleId="308">
    <w:name w:val="表格标题2"/>
    <w:basedOn w:val="309"/>
    <w:qFormat/>
    <w:uiPriority w:val="0"/>
    <w:rPr>
      <w:b/>
    </w:rPr>
  </w:style>
  <w:style w:type="paragraph" w:customStyle="1" w:styleId="309">
    <w:name w:val="表格内文"/>
    <w:basedOn w:val="1"/>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qFormat/>
    <w:uiPriority w:val="0"/>
    <w:rPr>
      <w:rFonts w:ascii="仿宋_GB2312" w:eastAsia="仿宋_GB2312"/>
      <w:b/>
      <w:sz w:val="32"/>
      <w:szCs w:val="32"/>
    </w:rPr>
  </w:style>
  <w:style w:type="paragraph" w:customStyle="1" w:styleId="31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qFormat/>
    <w:uiPriority w:val="0"/>
    <w:pPr>
      <w:spacing w:line="360" w:lineRule="auto"/>
    </w:pPr>
    <w:rPr>
      <w:szCs w:val="20"/>
    </w:rPr>
  </w:style>
  <w:style w:type="paragraph" w:customStyle="1" w:styleId="31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6">
    <w:name w:val="MM Topic 1"/>
    <w:basedOn w:val="4"/>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5"/>
    <w:qFormat/>
    <w:uiPriority w:val="0"/>
    <w:pPr>
      <w:widowControl/>
      <w:spacing w:before="260" w:after="260" w:line="416" w:lineRule="auto"/>
    </w:pPr>
    <w:rPr>
      <w:rFonts w:ascii="Arial" w:hAnsi="Arial" w:eastAsia="黑体"/>
      <w:sz w:val="30"/>
      <w:szCs w:val="21"/>
    </w:rPr>
  </w:style>
  <w:style w:type="paragraph" w:customStyle="1" w:styleId="318">
    <w:name w:val="文本正文 Char"/>
    <w:basedOn w:val="1"/>
    <w:qFormat/>
    <w:uiPriority w:val="0"/>
    <w:pPr>
      <w:spacing w:line="360" w:lineRule="auto"/>
      <w:ind w:firstLine="200" w:firstLineChars="200"/>
    </w:pPr>
    <w:rPr>
      <w:kern w:val="0"/>
      <w:sz w:val="24"/>
      <w:szCs w:val="20"/>
    </w:rPr>
  </w:style>
  <w:style w:type="paragraph" w:customStyle="1" w:styleId="319">
    <w:name w:val="表格"/>
    <w:basedOn w:val="1"/>
    <w:qFormat/>
    <w:uiPriority w:val="0"/>
    <w:pPr>
      <w:snapToGrid w:val="0"/>
      <w:ind w:firstLine="42" w:firstLineChars="21"/>
    </w:pPr>
    <w:rPr>
      <w:rFonts w:ascii="宋体" w:hAnsi="宋体"/>
      <w:kern w:val="0"/>
      <w:sz w:val="20"/>
      <w:szCs w:val="20"/>
    </w:rPr>
  </w:style>
  <w:style w:type="paragraph" w:customStyle="1" w:styleId="320">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qFormat/>
    <w:uiPriority w:val="0"/>
    <w:pPr>
      <w:adjustRightInd/>
      <w:spacing w:line="300" w:lineRule="auto"/>
      <w:jc w:val="center"/>
    </w:pPr>
  </w:style>
  <w:style w:type="paragraph" w:customStyle="1" w:styleId="325">
    <w:name w:val="_Style 6"/>
    <w:basedOn w:val="1"/>
    <w:qFormat/>
    <w:uiPriority w:val="34"/>
    <w:pPr>
      <w:adjustRightInd/>
      <w:ind w:firstLine="420" w:firstLineChars="200"/>
    </w:pPr>
    <w:rPr>
      <w:rFonts w:eastAsia="仿宋_GB2312"/>
      <w:sz w:val="28"/>
    </w:rPr>
  </w:style>
  <w:style w:type="paragraph" w:customStyle="1" w:styleId="32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5"/>
    <w:qFormat/>
    <w:uiPriority w:val="0"/>
    <w:pPr>
      <w:spacing w:before="260" w:after="260" w:line="415" w:lineRule="auto"/>
      <w:ind w:left="420" w:hanging="420"/>
    </w:pPr>
    <w:rPr>
      <w:rFonts w:ascii="Arial" w:hAnsi="Arial" w:eastAsia="微软雅黑"/>
    </w:rPr>
  </w:style>
  <w:style w:type="paragraph" w:customStyle="1" w:styleId="32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qFormat/>
    <w:uiPriority w:val="0"/>
    <w:rPr>
      <w:rFonts w:ascii="仿宋_GB2312" w:eastAsia="仿宋_GB2312"/>
      <w:b/>
      <w:sz w:val="32"/>
      <w:szCs w:val="20"/>
    </w:rPr>
  </w:style>
  <w:style w:type="paragraph" w:customStyle="1" w:styleId="33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qFormat/>
    <w:uiPriority w:val="0"/>
    <w:pPr>
      <w:adjustRightInd/>
      <w:ind w:firstLine="200" w:firstLineChars="200"/>
    </w:pPr>
    <w:rPr>
      <w:rFonts w:ascii="Tahoma" w:hAnsi="Tahoma"/>
      <w:sz w:val="24"/>
      <w:szCs w:val="20"/>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qFormat/>
    <w:uiPriority w:val="0"/>
    <w:pPr>
      <w:spacing w:after="156" w:afterLines="50"/>
      <w:jc w:val="left"/>
      <w:outlineLvl w:val="3"/>
    </w:pPr>
    <w:rPr>
      <w:sz w:val="24"/>
      <w:szCs w:val="24"/>
    </w:rPr>
  </w:style>
  <w:style w:type="paragraph" w:customStyle="1" w:styleId="34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qFormat/>
    <w:uiPriority w:val="0"/>
    <w:pPr>
      <w:adjustRightInd/>
    </w:pPr>
    <w:rPr>
      <w:rFonts w:ascii="Tahoma" w:hAnsi="Tahoma"/>
      <w:sz w:val="24"/>
      <w:szCs w:val="20"/>
    </w:rPr>
  </w:style>
  <w:style w:type="paragraph" w:customStyle="1" w:styleId="34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0"/>
    <w:pPr>
      <w:tabs>
        <w:tab w:val="left" w:pos="1260"/>
        <w:tab w:val="left" w:pos="1680"/>
        <w:tab w:val="left" w:pos="2100"/>
      </w:tabs>
      <w:ind w:left="0"/>
      <w:outlineLvl w:val="3"/>
    </w:pPr>
  </w:style>
  <w:style w:type="paragraph" w:customStyle="1" w:styleId="348">
    <w:name w:val="一级条标题"/>
    <w:basedOn w:val="349"/>
    <w:next w:val="331"/>
    <w:qFormat/>
    <w:uiPriority w:val="0"/>
    <w:pPr>
      <w:tabs>
        <w:tab w:val="left" w:pos="1260"/>
        <w:tab w:val="left" w:pos="1680"/>
      </w:tabs>
      <w:spacing w:before="0" w:beforeLines="0" w:after="0" w:afterLines="0"/>
      <w:ind w:left="1680"/>
      <w:outlineLvl w:val="2"/>
    </w:pPr>
  </w:style>
  <w:style w:type="paragraph" w:customStyle="1" w:styleId="349">
    <w:name w:val="章标题"/>
    <w:next w:val="33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5"/>
    <w:next w:val="1"/>
    <w:qFormat/>
    <w:uiPriority w:val="0"/>
    <w:pPr>
      <w:tabs>
        <w:tab w:val="left" w:pos="480"/>
        <w:tab w:val="clear" w:pos="432"/>
      </w:tabs>
      <w:ind w:left="480" w:hanging="480"/>
    </w:pPr>
    <w:rPr>
      <w:rFonts w:ascii="Times New Roman" w:eastAsia="宋体"/>
      <w:i/>
      <w:sz w:val="36"/>
      <w:szCs w:val="36"/>
    </w:rPr>
  </w:style>
  <w:style w:type="paragraph" w:customStyle="1" w:styleId="35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qFormat/>
    <w:uiPriority w:val="6"/>
    <w:pPr>
      <w:widowControl/>
      <w:adjustRightInd/>
      <w:ind w:left="720" w:hanging="720"/>
    </w:pPr>
    <w:rPr>
      <w:color w:val="000000"/>
      <w:kern w:val="0"/>
      <w:sz w:val="24"/>
      <w:szCs w:val="20"/>
    </w:rPr>
  </w:style>
  <w:style w:type="paragraph" w:customStyle="1" w:styleId="359">
    <w:name w:val="表1"/>
    <w:basedOn w:val="1"/>
    <w:qFormat/>
    <w:uiPriority w:val="0"/>
    <w:pPr>
      <w:tabs>
        <w:tab w:val="left" w:pos="703"/>
      </w:tabs>
      <w:adjustRightInd/>
      <w:spacing w:line="360" w:lineRule="auto"/>
      <w:ind w:left="703"/>
      <w:jc w:val="center"/>
    </w:pPr>
  </w:style>
  <w:style w:type="paragraph" w:customStyle="1" w:styleId="36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3">
    <w:name w:val="2级标题"/>
    <w:basedOn w:val="364"/>
    <w:qFormat/>
    <w:uiPriority w:val="0"/>
    <w:pPr>
      <w:jc w:val="left"/>
      <w:outlineLvl w:val="1"/>
    </w:pPr>
    <w:rPr>
      <w:rFonts w:ascii="Times New Roman" w:hAnsi="Times New Roman" w:eastAsia="仿宋"/>
      <w:sz w:val="30"/>
    </w:rPr>
  </w:style>
  <w:style w:type="paragraph" w:customStyle="1" w:styleId="36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qFormat/>
    <w:uiPriority w:val="0"/>
    <w:pPr>
      <w:tabs>
        <w:tab w:val="left" w:pos="840"/>
      </w:tabs>
      <w:adjustRightInd/>
      <w:ind w:left="840" w:hanging="420"/>
    </w:pPr>
  </w:style>
  <w:style w:type="paragraph" w:customStyle="1" w:styleId="3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10"/>
    <w:qFormat/>
    <w:uiPriority w:val="0"/>
    <w:pPr>
      <w:tabs>
        <w:tab w:val="left" w:pos="2100"/>
        <w:tab w:val="clear" w:pos="864"/>
      </w:tabs>
      <w:adjustRightInd/>
      <w:ind w:left="2100" w:hanging="420"/>
    </w:pPr>
    <w:rPr>
      <w:lang w:val="en-US"/>
    </w:rPr>
  </w:style>
  <w:style w:type="paragraph" w:customStyle="1" w:styleId="37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80">
    <w:name w:val="Char Char11 Char Char Char Char Char Char Char Char Char1"/>
    <w:basedOn w:val="1"/>
    <w:qFormat/>
    <w:uiPriority w:val="6"/>
    <w:pPr>
      <w:spacing w:line="360" w:lineRule="auto"/>
    </w:pPr>
    <w:rPr>
      <w:szCs w:val="20"/>
    </w:rPr>
  </w:style>
  <w:style w:type="paragraph" w:customStyle="1" w:styleId="3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qFormat/>
    <w:uiPriority w:val="6"/>
    <w:rPr>
      <w:rFonts w:ascii="仿宋_GB2312" w:eastAsia="仿宋_GB2312"/>
      <w:b/>
      <w:sz w:val="32"/>
      <w:szCs w:val="32"/>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8"/>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5"/>
    <w:qFormat/>
    <w:uiPriority w:val="0"/>
    <w:pPr>
      <w:spacing w:before="120" w:after="120"/>
      <w:jc w:val="both"/>
    </w:pPr>
    <w:rPr>
      <w:rFonts w:ascii="宋体" w:hAnsi="Arial" w:eastAsia="宋体"/>
      <w:sz w:val="28"/>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39"/>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9"/>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6"/>
    <w:qFormat/>
    <w:uiPriority w:val="0"/>
    <w:pPr>
      <w:snapToGrid w:val="0"/>
      <w:ind w:firstLine="480" w:firstLineChars="200"/>
    </w:pPr>
    <w:rPr>
      <w:rFonts w:ascii="Times New Roman"/>
      <w:szCs w:val="24"/>
      <w:lang w:val="en-US"/>
    </w:rPr>
  </w:style>
  <w:style w:type="paragraph" w:customStyle="1" w:styleId="46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qFormat/>
    <w:uiPriority w:val="0"/>
    <w:pPr>
      <w:widowControl/>
      <w:adjustRightInd/>
    </w:pPr>
    <w:rPr>
      <w:kern w:val="0"/>
      <w:szCs w:val="21"/>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47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qFormat/>
    <w:uiPriority w:val="0"/>
    <w:pPr>
      <w:adjustRightInd/>
      <w:ind w:firstLine="200" w:firstLineChars="200"/>
    </w:pPr>
    <w:rPr>
      <w:rFonts w:ascii="Tahoma" w:hAnsi="Tahoma"/>
      <w:sz w:val="24"/>
      <w:szCs w:val="20"/>
    </w:rPr>
  </w:style>
  <w:style w:type="paragraph" w:customStyle="1" w:styleId="48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3">
    <w:name w:val="Char Char Char Char Char Char Char2"/>
    <w:basedOn w:val="1"/>
    <w:qFormat/>
    <w:uiPriority w:val="0"/>
    <w:rPr>
      <w:rFonts w:ascii="仿宋_GB2312" w:eastAsia="仿宋_GB2312"/>
      <w:b/>
      <w:sz w:val="32"/>
      <w:szCs w:val="32"/>
    </w:rPr>
  </w:style>
  <w:style w:type="paragraph" w:customStyle="1" w:styleId="484">
    <w:name w:val="五级条标题"/>
    <w:basedOn w:val="485"/>
    <w:next w:val="331"/>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qFormat/>
    <w:uiPriority w:val="0"/>
    <w:pPr>
      <w:tabs>
        <w:tab w:val="left" w:pos="2940"/>
        <w:tab w:val="clear" w:pos="2520"/>
      </w:tabs>
      <w:ind w:left="2940"/>
      <w:outlineLvl w:val="5"/>
    </w:pPr>
  </w:style>
  <w:style w:type="paragraph" w:customStyle="1" w:styleId="48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qFormat/>
    <w:uiPriority w:val="0"/>
    <w:rPr>
      <w:rFonts w:ascii="仿宋_GB2312" w:eastAsia="仿宋_GB2312"/>
      <w:b/>
      <w:sz w:val="32"/>
      <w:szCs w:val="32"/>
    </w:rPr>
  </w:style>
  <w:style w:type="paragraph" w:customStyle="1" w:styleId="48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2">
    <w:name w:val="单元格左对齐"/>
    <w:basedOn w:val="1"/>
    <w:qFormat/>
    <w:uiPriority w:val="0"/>
    <w:pPr>
      <w:adjustRightInd/>
      <w:spacing w:line="360" w:lineRule="auto"/>
    </w:pPr>
    <w:rPr>
      <w:sz w:val="24"/>
    </w:rPr>
  </w:style>
  <w:style w:type="paragraph" w:customStyle="1" w:styleId="493">
    <w:name w:val="正文主体"/>
    <w:basedOn w:val="315"/>
    <w:qFormat/>
    <w:uiPriority w:val="0"/>
  </w:style>
  <w:style w:type="paragraph" w:customStyle="1" w:styleId="4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qFormat/>
    <w:uiPriority w:val="0"/>
    <w:pPr>
      <w:adjustRightInd/>
      <w:spacing w:line="360" w:lineRule="auto"/>
      <w:ind w:firstLine="480" w:firstLineChars="200"/>
    </w:pPr>
    <w:rPr>
      <w:sz w:val="24"/>
      <w:szCs w:val="20"/>
    </w:rPr>
  </w:style>
  <w:style w:type="paragraph" w:customStyle="1" w:styleId="498">
    <w:name w:val="P1"/>
    <w:basedOn w:val="1"/>
    <w:qFormat/>
    <w:uiPriority w:val="0"/>
    <w:pPr>
      <w:adjustRightInd/>
      <w:spacing w:line="288" w:lineRule="auto"/>
      <w:ind w:firstLine="425" w:firstLineChars="200"/>
    </w:pPr>
  </w:style>
  <w:style w:type="paragraph" w:customStyle="1" w:styleId="499">
    <w:name w:val="列表内容"/>
    <w:basedOn w:val="1"/>
    <w:next w:val="1"/>
    <w:qFormat/>
    <w:uiPriority w:val="0"/>
    <w:pPr>
      <w:widowControl/>
      <w:tabs>
        <w:tab w:val="left" w:pos="840"/>
      </w:tabs>
      <w:ind w:left="840" w:hanging="420"/>
      <w:jc w:val="left"/>
    </w:pPr>
    <w:rPr>
      <w:kern w:val="0"/>
      <w:sz w:val="18"/>
    </w:rPr>
  </w:style>
  <w:style w:type="paragraph" w:customStyle="1" w:styleId="500">
    <w:name w:val="Char Char11 Char Char Char1"/>
    <w:basedOn w:val="1"/>
    <w:qFormat/>
    <w:uiPriority w:val="6"/>
    <w:pPr>
      <w:spacing w:line="360" w:lineRule="auto"/>
    </w:pPr>
    <w:rPr>
      <w:szCs w:val="20"/>
    </w:rPr>
  </w:style>
  <w:style w:type="paragraph" w:customStyle="1" w:styleId="50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6"/>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qFormat/>
    <w:uiPriority w:val="0"/>
    <w:pPr>
      <w:spacing w:line="360" w:lineRule="auto"/>
    </w:pPr>
    <w:rPr>
      <w:szCs w:val="20"/>
    </w:rPr>
  </w:style>
  <w:style w:type="paragraph" w:customStyle="1" w:styleId="5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qFormat/>
    <w:uiPriority w:val="0"/>
    <w:rPr>
      <w:rFonts w:ascii="仿宋_GB2312" w:eastAsia="仿宋_GB2312"/>
      <w:b/>
      <w:sz w:val="32"/>
      <w:szCs w:val="32"/>
    </w:rPr>
  </w:style>
  <w:style w:type="paragraph" w:customStyle="1" w:styleId="51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qFormat/>
    <w:uiPriority w:val="0"/>
    <w:pPr>
      <w:adjustRightInd/>
      <w:spacing w:line="360" w:lineRule="auto"/>
      <w:ind w:firstLine="480"/>
    </w:pPr>
    <w:rPr>
      <w:rFonts w:cs="宋体"/>
      <w:sz w:val="24"/>
      <w:szCs w:val="20"/>
    </w:rPr>
  </w:style>
  <w:style w:type="paragraph" w:customStyle="1" w:styleId="513">
    <w:name w:val="Char Char4 Char Char"/>
    <w:basedOn w:val="1"/>
    <w:qFormat/>
    <w:uiPriority w:val="0"/>
    <w:pPr>
      <w:widowControl/>
      <w:adjustRightInd/>
      <w:spacing w:after="160" w:line="240" w:lineRule="exact"/>
      <w:jc w:val="left"/>
    </w:pPr>
  </w:style>
  <w:style w:type="paragraph" w:customStyle="1" w:styleId="51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qFormat/>
    <w:uiPriority w:val="0"/>
    <w:pPr>
      <w:spacing w:line="360" w:lineRule="auto"/>
    </w:pPr>
    <w:rPr>
      <w:szCs w:val="20"/>
    </w:rPr>
  </w:style>
  <w:style w:type="paragraph" w:customStyle="1" w:styleId="51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0"/>
    <w:pPr>
      <w:adjustRightInd/>
      <w:ind w:firstLine="200" w:firstLineChars="200"/>
    </w:pPr>
    <w:rPr>
      <w:rFonts w:ascii="Tahoma" w:hAnsi="Tahoma"/>
      <w:sz w:val="24"/>
      <w:szCs w:val="20"/>
    </w:rPr>
  </w:style>
  <w:style w:type="paragraph" w:customStyle="1" w:styleId="52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0"/>
    <w:qFormat/>
    <w:uiPriority w:val="0"/>
    <w:pPr>
      <w:tabs>
        <w:tab w:val="left" w:pos="0"/>
      </w:tabs>
      <w:ind w:left="900" w:firstLine="0" w:firstLineChars="0"/>
    </w:pPr>
  </w:style>
  <w:style w:type="paragraph" w:customStyle="1" w:styleId="526">
    <w:name w:val="Bulleted List"/>
    <w:basedOn w:val="1"/>
    <w:qFormat/>
    <w:uiPriority w:val="0"/>
    <w:pPr>
      <w:tabs>
        <w:tab w:val="left" w:pos="1260"/>
      </w:tabs>
      <w:adjustRightInd/>
      <w:ind w:left="1260" w:hanging="420"/>
    </w:pPr>
  </w:style>
  <w:style w:type="paragraph" w:customStyle="1" w:styleId="52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qFormat/>
    <w:uiPriority w:val="0"/>
    <w:rPr>
      <w:rFonts w:ascii="Tahoma" w:hAnsi="Tahoma" w:cs="仿宋_GB2312"/>
      <w:sz w:val="24"/>
      <w:szCs w:val="20"/>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23"/>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8"/>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3"/>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29"/>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9"/>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9"/>
    <w:qFormat/>
    <w:uiPriority w:val="0"/>
    <w:rPr>
      <w:b w:val="0"/>
      <w:sz w:val="20"/>
    </w:rPr>
  </w:style>
  <w:style w:type="paragraph" w:customStyle="1" w:styleId="583">
    <w:name w:val="正文首行缩进1"/>
    <w:basedOn w:val="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11"/>
    <w:next w:val="1"/>
    <w:qFormat/>
    <w:uiPriority w:val="0"/>
    <w:pPr>
      <w:tabs>
        <w:tab w:val="left" w:pos="1080"/>
        <w:tab w:val="clear" w:pos="1008"/>
      </w:tabs>
      <w:ind w:left="1080" w:hanging="1080"/>
    </w:pPr>
  </w:style>
  <w:style w:type="paragraph" w:customStyle="1" w:styleId="586">
    <w:name w:val="数字标题1"/>
    <w:basedOn w:val="4"/>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4"/>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3"/>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12">
    <w:name w:val="_Style 947"/>
    <w:basedOn w:val="1"/>
    <w:next w:val="108"/>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5"/>
    <w:qFormat/>
    <w:uiPriority w:val="0"/>
    <w:pPr>
      <w:tabs>
        <w:tab w:val="clear" w:pos="432"/>
      </w:tabs>
      <w:spacing w:before="160" w:after="160" w:line="720" w:lineRule="exact"/>
      <w:jc w:val="center"/>
    </w:pPr>
    <w:rPr>
      <w:rFonts w:ascii="Arial" w:hAnsi="Arial" w:eastAsia="楷体"/>
      <w:color w:val="000000"/>
      <w:spacing w:val="14"/>
      <w:kern w:val="24"/>
      <w:sz w:val="28"/>
      <w:szCs w:val="20"/>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4">
    <w:name w:val="表格非标题文字 Char"/>
    <w:link w:val="88"/>
    <w:qFormat/>
    <w:uiPriority w:val="0"/>
    <w:rPr>
      <w:rFonts w:ascii="Futura Bk" w:hAnsi="Futura Bk"/>
      <w:kern w:val="2"/>
      <w:sz w:val="18"/>
      <w:szCs w:val="21"/>
      <w:lang w:val="en-US" w:eastAsia="zh-CN" w:bidi="ar-SA"/>
    </w:rPr>
  </w:style>
  <w:style w:type="character" w:customStyle="1" w:styleId="625">
    <w:name w:val="*正文 Char"/>
    <w:link w:val="89"/>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90"/>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字符"/>
    <w:link w:val="61"/>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91"/>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92"/>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文本首行缩进 2 字符"/>
    <w:link w:val="2"/>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69"/>
    <w:qFormat/>
    <w:uiPriority w:val="0"/>
    <w:rPr>
      <w:rFonts w:ascii="Arial" w:hAnsi="Arial" w:eastAsia="黑体" w:cs="Arial"/>
      <w:snapToGrid w:val="0"/>
      <w:kern w:val="0"/>
      <w:szCs w:val="21"/>
    </w:rPr>
  </w:style>
  <w:style w:type="character" w:customStyle="1" w:styleId="66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93"/>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字符"/>
    <w:link w:val="49"/>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94"/>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basedOn w:val="69"/>
    <w:qFormat/>
    <w:uiPriority w:val="0"/>
    <w:rPr>
      <w:rFonts w:hint="eastAsia" w:ascii="仿宋_GB2312" w:eastAsia="仿宋_GB2312" w:cs="仿宋_GB2312"/>
      <w:color w:val="000000"/>
      <w:sz w:val="22"/>
      <w:szCs w:val="22"/>
      <w:u w:val="none"/>
    </w:rPr>
  </w:style>
  <w:style w:type="character" w:customStyle="1" w:styleId="682">
    <w:name w:val="标题 6 字符"/>
    <w:link w:val="12"/>
    <w:qFormat/>
    <w:uiPriority w:val="0"/>
    <w:rPr>
      <w:rFonts w:ascii="Arial" w:hAnsi="Arial" w:eastAsia="黑体"/>
      <w:b/>
      <w:bCs/>
      <w:kern w:val="2"/>
      <w:sz w:val="24"/>
      <w:szCs w:val="24"/>
    </w:rPr>
  </w:style>
  <w:style w:type="character" w:customStyle="1" w:styleId="683">
    <w:name w:val="纯文本 Char_0"/>
    <w:link w:val="95"/>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7"/>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8"/>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字符"/>
    <w:link w:val="38"/>
    <w:qFormat/>
    <w:uiPriority w:val="0"/>
    <w:rPr>
      <w:rFonts w:ascii="宋体"/>
      <w:kern w:val="2"/>
      <w:sz w:val="24"/>
      <w:szCs w:val="21"/>
      <w:lang w:val="zh-CN"/>
    </w:rPr>
  </w:style>
  <w:style w:type="character" w:customStyle="1" w:styleId="713">
    <w:name w:val="标题 9 字符"/>
    <w:link w:val="15"/>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99"/>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字符1"/>
    <w:link w:val="41"/>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9"/>
    <w:qFormat/>
    <w:locked/>
    <w:uiPriority w:val="0"/>
    <w:rPr>
      <w:rFonts w:ascii="Tahoma" w:hAnsi="Tahoma"/>
      <w:sz w:val="24"/>
      <w:szCs w:val="24"/>
    </w:rPr>
  </w:style>
  <w:style w:type="character" w:customStyle="1" w:styleId="723">
    <w:name w:val="正文缩进 字符2"/>
    <w:link w:val="20"/>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100"/>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字符"/>
    <w:link w:val="23"/>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69"/>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字符"/>
    <w:link w:val="32"/>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102"/>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103"/>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字符"/>
    <w:link w:val="21"/>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104"/>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5"/>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6"/>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7"/>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字符1"/>
    <w:link w:val="3"/>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9"/>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字符1"/>
    <w:link w:val="4"/>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字符"/>
    <w:link w:val="60"/>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字符"/>
    <w:link w:val="11"/>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字符"/>
    <w:link w:val="25"/>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字符"/>
    <w:link w:val="58"/>
    <w:qFormat/>
    <w:uiPriority w:val="0"/>
    <w:rPr>
      <w:rFonts w:ascii="黑体" w:hAnsi="Courier New" w:eastAsia="黑体"/>
    </w:rPr>
  </w:style>
  <w:style w:type="character" w:customStyle="1" w:styleId="822">
    <w:name w:val="正文文本 2 字符1"/>
    <w:link w:val="57"/>
    <w:qFormat/>
    <w:uiPriority w:val="0"/>
    <w:rPr>
      <w:kern w:val="2"/>
      <w:sz w:val="21"/>
      <w:szCs w:val="24"/>
    </w:rPr>
  </w:style>
  <w:style w:type="character" w:customStyle="1" w:styleId="823">
    <w:name w:val="样式 样式 标题 4h4H4Fab-4T5Ref Heading 1rh1Heading sqlsect 1.2.3.... +... Char"/>
    <w:link w:val="110"/>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字符"/>
    <w:link w:val="13"/>
    <w:qFormat/>
    <w:uiPriority w:val="0"/>
    <w:rPr>
      <w:b/>
      <w:bCs/>
      <w:kern w:val="2"/>
      <w:sz w:val="24"/>
      <w:szCs w:val="24"/>
    </w:rPr>
  </w:style>
  <w:style w:type="character" w:customStyle="1" w:styleId="826">
    <w:name w:val="正文文本缩进 2 字符"/>
    <w:link w:val="39"/>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字符"/>
    <w:link w:val="52"/>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12"/>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13"/>
    <w:qFormat/>
    <w:uiPriority w:val="0"/>
    <w:rPr>
      <w:rFonts w:ascii="宋体" w:hAnsi="Courier New"/>
    </w:rPr>
  </w:style>
  <w:style w:type="character" w:customStyle="1" w:styleId="837">
    <w:name w:val="正文文本首行缩进 字符"/>
    <w:link w:val="7"/>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字符1"/>
    <w:link w:val="10"/>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字符"/>
    <w:link w:val="26"/>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14"/>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5"/>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字符1"/>
    <w:link w:val="24"/>
    <w:qFormat/>
    <w:uiPriority w:val="0"/>
    <w:rPr>
      <w:kern w:val="2"/>
      <w:sz w:val="21"/>
      <w:szCs w:val="24"/>
    </w:rPr>
  </w:style>
  <w:style w:type="character" w:customStyle="1" w:styleId="859">
    <w:name w:val="签名 字符"/>
    <w:link w:val="44"/>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6"/>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7"/>
    <w:qFormat/>
    <w:uiPriority w:val="0"/>
    <w:rPr>
      <w:rFonts w:ascii="宋体"/>
    </w:rPr>
  </w:style>
  <w:style w:type="character" w:customStyle="1" w:styleId="870">
    <w:name w:val="标题 8 字符"/>
    <w:link w:val="14"/>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字符"/>
    <w:link w:val="54"/>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8"/>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字符2"/>
    <w:link w:val="42"/>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9"/>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字符2"/>
    <w:link w:val="43"/>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20"/>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21"/>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22"/>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11"/>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23"/>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69"/>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24"/>
    <w:qFormat/>
    <w:uiPriority w:val="0"/>
    <w:rPr>
      <w:rFonts w:cs="宋体"/>
      <w:kern w:val="2"/>
      <w:sz w:val="24"/>
    </w:rPr>
  </w:style>
  <w:style w:type="character" w:customStyle="1" w:styleId="935">
    <w:name w:val="正文文本 字符"/>
    <w:link w:val="6"/>
    <w:qFormat/>
    <w:uiPriority w:val="0"/>
    <w:rPr>
      <w:rFonts w:ascii="宋体" w:hAnsi="Arial" w:eastAsia="宋体" w:cs="Arial"/>
      <w:snapToGrid w:val="0"/>
      <w:kern w:val="2"/>
      <w:sz w:val="24"/>
      <w:szCs w:val="21"/>
      <w:lang w:val="zh-CN" w:eastAsia="zh-CN" w:bidi="ar-SA"/>
    </w:rPr>
  </w:style>
  <w:style w:type="character" w:customStyle="1" w:styleId="936">
    <w:name w:val="gray6"/>
    <w:basedOn w:val="69"/>
    <w:qFormat/>
    <w:uiPriority w:val="0"/>
    <w:rPr>
      <w:rFonts w:ascii="Arial" w:hAnsi="Arial" w:eastAsia="黑体" w:cs="Arial"/>
      <w:snapToGrid w:val="0"/>
      <w:kern w:val="0"/>
      <w:szCs w:val="21"/>
    </w:rPr>
  </w:style>
  <w:style w:type="character" w:customStyle="1" w:styleId="937">
    <w:name w:val="hui"/>
    <w:basedOn w:val="69"/>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字符"/>
    <w:link w:val="40"/>
    <w:qFormat/>
    <w:uiPriority w:val="0"/>
    <w:rPr>
      <w:kern w:val="2"/>
      <w:sz w:val="21"/>
      <w:szCs w:val="24"/>
      <w:lang w:val="zh-CN"/>
    </w:rPr>
  </w:style>
  <w:style w:type="character" w:customStyle="1" w:styleId="944">
    <w:name w:val="无间隔 Char"/>
    <w:link w:val="174"/>
    <w:qFormat/>
    <w:uiPriority w:val="99"/>
    <w:rPr>
      <w:kern w:val="2"/>
      <w:sz w:val="21"/>
      <w:szCs w:val="22"/>
    </w:rPr>
  </w:style>
  <w:style w:type="character" w:customStyle="1" w:styleId="945">
    <w:name w:val="标准文本 Char Char"/>
    <w:link w:val="611"/>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table" w:customStyle="1" w:styleId="96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8">
    <w:name w:val="No Spacing1"/>
    <w:qFormat/>
    <w:uiPriority w:val="0"/>
    <w:rPr>
      <w:rFonts w:ascii="Times New Roman" w:hAnsi="Times New Roman" w:eastAsia="??" w:cs="宋体"/>
      <w:sz w:val="22"/>
      <w:szCs w:val="22"/>
      <w:lang w:val="en-US" w:eastAsia="en-US" w:bidi="ar-SA"/>
    </w:r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Normal Indent1"/>
    <w:basedOn w:val="1"/>
    <w:qFormat/>
    <w:uiPriority w:val="0"/>
    <w:pPr>
      <w:ind w:firstLine="420"/>
    </w:pPr>
    <w:rPr>
      <w:szCs w:val="20"/>
    </w:rPr>
  </w:style>
  <w:style w:type="paragraph" w:customStyle="1" w:styleId="971">
    <w:name w:val="列表段落2"/>
    <w:basedOn w:val="1"/>
    <w:qFormat/>
    <w:uiPriority w:val="34"/>
    <w:pPr>
      <w:ind w:firstLine="420" w:firstLineChars="200"/>
    </w:pPr>
  </w:style>
  <w:style w:type="paragraph" w:customStyle="1" w:styleId="972">
    <w:name w:val="纯文本3"/>
    <w:basedOn w:val="1"/>
    <w:qFormat/>
    <w:uiPriority w:val="0"/>
    <w:pPr>
      <w:spacing w:before="156" w:beforeLines="50" w:after="156" w:afterLines="50" w:line="400" w:lineRule="exact"/>
    </w:pPr>
    <w:rPr>
      <w:rFonts w:ascii="宋体" w:hAnsi="Courier New"/>
      <w:sz w:val="24"/>
    </w:rPr>
  </w:style>
  <w:style w:type="paragraph" w:customStyle="1" w:styleId="973">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4">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5">
    <w:name w:val="正文文本首行缩进 22"/>
    <w:basedOn w:val="3"/>
    <w:qFormat/>
    <w:uiPriority w:val="99"/>
    <w:pPr>
      <w:spacing w:line="200" w:lineRule="atLeast"/>
      <w:ind w:firstLine="420"/>
    </w:pPr>
    <w:rPr>
      <w:rFonts w:hAnsi="Courier New"/>
      <w:spacing w:val="-4"/>
      <w:sz w:val="18"/>
    </w:rPr>
  </w:style>
  <w:style w:type="paragraph" w:customStyle="1" w:styleId="976">
    <w:name w:val="列表段落3"/>
    <w:basedOn w:val="1"/>
    <w:qFormat/>
    <w:uiPriority w:val="34"/>
    <w:pPr>
      <w:spacing w:line="360" w:lineRule="auto"/>
      <w:ind w:firstLine="200" w:firstLineChars="200"/>
    </w:pPr>
    <w:rPr>
      <w:rFonts w:eastAsia="楷体_GB2312" w:cs="Lucida Sans"/>
      <w:sz w:val="24"/>
    </w:rPr>
  </w:style>
  <w:style w:type="paragraph" w:styleId="977">
    <w:name w:val="List Paragraph"/>
    <w:basedOn w:val="1"/>
    <w:qFormat/>
    <w:uiPriority w:val="99"/>
    <w:pPr>
      <w:ind w:firstLine="420" w:firstLineChars="200"/>
    </w:pPr>
  </w:style>
  <w:style w:type="paragraph" w:customStyle="1" w:styleId="978">
    <w:name w:val="款下正文"/>
    <w:basedOn w:val="1"/>
    <w:link w:val="979"/>
    <w:qFormat/>
    <w:uiPriority w:val="99"/>
    <w:pPr>
      <w:adjustRightInd/>
      <w:spacing w:before="240" w:beforeLines="50" w:after="240" w:afterLines="50" w:line="480" w:lineRule="exact"/>
      <w:ind w:firstLine="480" w:firstLineChars="200"/>
    </w:pPr>
    <w:rPr>
      <w:sz w:val="24"/>
      <w:szCs w:val="28"/>
    </w:rPr>
  </w:style>
  <w:style w:type="character" w:customStyle="1" w:styleId="979">
    <w:name w:val="款下正文 Char"/>
    <w:link w:val="978"/>
    <w:qFormat/>
    <w:uiPriority w:val="99"/>
    <w:rPr>
      <w:kern w:val="2"/>
      <w:sz w:val="24"/>
      <w:szCs w:val="28"/>
    </w:rPr>
  </w:style>
  <w:style w:type="paragraph" w:customStyle="1" w:styleId="98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81">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32047</Words>
  <Characters>34245</Characters>
  <Lines>291</Lines>
  <Paragraphs>82</Paragraphs>
  <TotalTime>18</TotalTime>
  <ScaleCrop>false</ScaleCrop>
  <LinksUpToDate>false</LinksUpToDate>
  <CharactersWithSpaces>38528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2023-04-25T15:30:00Z</dcterms:created>
  <dc:creator>玥</dc:creator>
  <cp:lastModifiedBy>倪锋</cp:lastModifiedBy>
  <cp:lastPrinted>2023-04-14T16:36:00Z</cp:lastPrinted>
  <dcterms:modified xsi:type="dcterms:W3CDTF">2023-10-31T06:23:02Z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0DFF96E4A3374E87830B194DAB122485_13</vt:lpwstr>
  </property>
</Properties>
</file>