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539C1551">
      <w:pPr>
        <w:adjustRightInd/>
        <w:spacing w:line="360" w:lineRule="auto"/>
        <w:jc w:val="both"/>
        <w:rPr>
          <w:rFonts w:hint="eastAsia" w:ascii="宋体" w:hAnsi="宋体" w:eastAsia="宋体" w:cs="宋体"/>
          <w:color w:val="auto"/>
          <w:sz w:val="48"/>
          <w:szCs w:val="48"/>
          <w:highlight w:val="none"/>
          <w:lang w:eastAsia="zh-CN"/>
        </w:rPr>
      </w:pPr>
      <w:r>
        <w:rPr>
          <w:rFonts w:hint="eastAsia" w:ascii="宋体" w:hAnsi="宋体" w:cs="宋体"/>
          <w:color w:val="auto"/>
          <w:sz w:val="44"/>
          <w:szCs w:val="44"/>
          <w:highlight w:val="none"/>
          <w:lang w:eastAsia="zh-CN"/>
        </w:rPr>
        <w:t xml:space="preserve">2025年度仓前中学运动场所塑胶面层采购项目 </w:t>
      </w:r>
    </w:p>
    <w:p w14:paraId="56D67A3A">
      <w:pPr>
        <w:adjustRightInd/>
        <w:spacing w:line="360" w:lineRule="auto"/>
        <w:jc w:val="center"/>
        <w:rPr>
          <w:rFonts w:hint="eastAsia" w:ascii="宋体" w:hAnsi="宋体" w:cs="宋体"/>
          <w:color w:val="auto"/>
          <w:sz w:val="48"/>
          <w:szCs w:val="48"/>
          <w:highlight w:val="none"/>
        </w:rPr>
      </w:pPr>
    </w:p>
    <w:p w14:paraId="7302D156">
      <w:pPr>
        <w:adjustRightInd/>
        <w:spacing w:line="360" w:lineRule="auto"/>
        <w:jc w:val="center"/>
        <w:rPr>
          <w:rFonts w:hint="eastAsia" w:ascii="宋体" w:hAnsi="宋体" w:cs="宋体"/>
          <w:color w:val="auto"/>
          <w:sz w:val="48"/>
          <w:szCs w:val="48"/>
          <w:highlight w:val="none"/>
        </w:rPr>
      </w:pP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编号:ZFCGY2025-044</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4A114DA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：杭州市余杭区人民政府仓前街道办事处</w:t>
      </w:r>
    </w:p>
    <w:p w14:paraId="306510D6">
      <w:pPr>
        <w:spacing w:line="360" w:lineRule="auto"/>
        <w:ind w:firstLine="1280" w:firstLineChars="400"/>
        <w:jc w:val="both"/>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：浙江质安工程管理有限公司</w:t>
      </w:r>
    </w:p>
    <w:p w14:paraId="18B27DC9">
      <w:pPr>
        <w:spacing w:line="360" w:lineRule="auto"/>
        <w:jc w:val="center"/>
        <w:rPr>
          <w:rFonts w:hint="eastAsia" w:ascii="宋体" w:hAnsi="宋体" w:eastAsia="宋体" w:cs="宋体"/>
          <w:bCs/>
          <w:color w:val="auto"/>
          <w:sz w:val="32"/>
          <w:szCs w:val="32"/>
          <w:highlight w:val="none"/>
          <w:lang w:eastAsia="zh-CN"/>
        </w:rPr>
      </w:pPr>
    </w:p>
    <w:p w14:paraId="51C830E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日</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both"/>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2025年度仓前中学运动场所塑胶面层采购项目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08</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01</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10</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42D2B10">
      <w:pPr>
        <w:spacing w:line="360" w:lineRule="auto"/>
        <w:ind w:firstLine="480"/>
        <w:rPr>
          <w:rFonts w:hint="eastAsia" w:ascii="宋体" w:hAnsi="宋体" w:cs="宋体"/>
          <w:b w:val="0"/>
          <w:bCs/>
          <w:color w:val="auto"/>
          <w:sz w:val="24"/>
          <w:highlight w:val="none"/>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rPr>
        <w:t>ZFCGY2025-044</w:t>
      </w:r>
    </w:p>
    <w:p w14:paraId="4155E44C">
      <w:pPr>
        <w:spacing w:line="360" w:lineRule="auto"/>
        <w:ind w:firstLine="480"/>
        <w:rPr>
          <w:rFonts w:ascii="宋体" w:hAnsi="宋体" w:cs="宋体"/>
          <w:b w:val="0"/>
          <w:bCs/>
          <w:color w:val="auto"/>
          <w:sz w:val="24"/>
          <w:highlight w:val="none"/>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lang w:eastAsia="zh-CN"/>
        </w:rPr>
        <w:t xml:space="preserve">2025年度仓前中学运动场所塑胶面层采购项目 </w:t>
      </w:r>
      <w:r>
        <w:rPr>
          <w:rFonts w:hint="eastAsia" w:ascii="宋体" w:hAnsi="宋体" w:cs="宋体"/>
          <w:b w:val="0"/>
          <w:bCs/>
          <w:color w:val="auto"/>
          <w:sz w:val="24"/>
          <w:highlight w:val="none"/>
        </w:rPr>
        <w:t> </w:t>
      </w:r>
    </w:p>
    <w:p w14:paraId="038FAFFF">
      <w:pPr>
        <w:spacing w:line="360" w:lineRule="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3500000</w:t>
      </w:r>
      <w:r>
        <w:rPr>
          <w:rFonts w:hint="eastAsia" w:ascii="宋体" w:hAnsi="宋体" w:cs="宋体"/>
          <w:b w:val="0"/>
          <w:bCs/>
          <w:color w:val="auto"/>
          <w:sz w:val="24"/>
          <w:highlight w:val="none"/>
        </w:rPr>
        <w:t xml:space="preserve"> </w:t>
      </w:r>
    </w:p>
    <w:p w14:paraId="664174EC">
      <w:pPr>
        <w:spacing w:line="360" w:lineRule="auto"/>
        <w:ind w:firstLine="480"/>
        <w:rPr>
          <w:rFonts w:ascii="宋体" w:hAnsi="宋体" w:cs="宋体"/>
          <w:b w:val="0"/>
          <w:bCs/>
          <w:color w:val="auto"/>
          <w:sz w:val="24"/>
          <w:highlight w:val="none"/>
        </w:rPr>
      </w:pPr>
      <w:r>
        <w:rPr>
          <w:rFonts w:hint="eastAsia" w:ascii="宋体" w:hAnsi="宋体" w:cs="宋体"/>
          <w:b/>
          <w:bCs w:val="0"/>
          <w:color w:val="auto"/>
          <w:sz w:val="24"/>
          <w:highlight w:val="none"/>
        </w:rPr>
        <w:t>最高限价（元）：</w:t>
      </w:r>
      <w:r>
        <w:rPr>
          <w:rFonts w:hint="eastAsia" w:ascii="宋体" w:hAnsi="宋体" w:cs="宋体"/>
          <w:b w:val="0"/>
          <w:bCs/>
          <w:color w:val="auto"/>
          <w:sz w:val="24"/>
          <w:highlight w:val="none"/>
          <w:lang w:val="en-US" w:eastAsia="zh-CN"/>
        </w:rPr>
        <w:t>3500000</w:t>
      </w:r>
      <w:r>
        <w:rPr>
          <w:rFonts w:hint="eastAsia" w:ascii="宋体" w:hAnsi="宋体" w:cs="宋体"/>
          <w:b w:val="0"/>
          <w:bCs/>
          <w:color w:val="auto"/>
          <w:sz w:val="24"/>
          <w:highlight w:val="none"/>
        </w:rPr>
        <w:t xml:space="preserve"> </w:t>
      </w:r>
    </w:p>
    <w:p w14:paraId="5B41C99A">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2025年度仓前中学运动场所塑胶面层采购项目，</w:t>
      </w:r>
      <w:r>
        <w:rPr>
          <w:rFonts w:hint="eastAsia" w:hAnsi="宋体" w:cs="宋体"/>
          <w:bCs/>
          <w:snapToGrid/>
          <w:color w:val="auto"/>
          <w:kern w:val="2"/>
          <w:sz w:val="24"/>
          <w:szCs w:val="24"/>
          <w:highlight w:val="none"/>
        </w:rPr>
        <w:t>主要内容：成仓前中学田径场跑道、篮球、排球、乒乓球等室外运动场所塑胶翻新（运动场所面积约为13800平方），包括但不限于配合学校、设计等完成该采购的实施、质检、第三方验收工作。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EBA74">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合同签订后</w:t>
      </w:r>
      <w:r>
        <w:rPr>
          <w:rFonts w:hint="eastAsia" w:ascii="宋体" w:hAnsi="宋体" w:cs="宋体"/>
          <w:b w:val="0"/>
          <w:bCs/>
          <w:color w:val="auto"/>
          <w:highlight w:val="none"/>
          <w:lang w:val="en-US" w:eastAsia="zh-CN"/>
        </w:rPr>
        <w:t>30日历天</w:t>
      </w:r>
      <w:r>
        <w:rPr>
          <w:rFonts w:hint="eastAsia" w:ascii="宋体" w:hAnsi="宋体" w:cs="宋体"/>
          <w:b w:val="0"/>
          <w:bCs/>
          <w:color w:val="auto"/>
          <w:highlight w:val="none"/>
        </w:rPr>
        <w:t>内完成供货并</w:t>
      </w:r>
      <w:r>
        <w:rPr>
          <w:rFonts w:hint="eastAsia" w:ascii="宋体" w:hAnsi="宋体" w:cs="宋体"/>
          <w:b w:val="0"/>
          <w:bCs/>
          <w:color w:val="auto"/>
          <w:highlight w:val="none"/>
          <w:lang w:val="en-US" w:eastAsia="zh-CN"/>
        </w:rPr>
        <w:t>完成安装</w:t>
      </w:r>
      <w:r>
        <w:rPr>
          <w:rFonts w:hint="eastAsia" w:ascii="宋体" w:hAnsi="宋体" w:cs="宋体"/>
          <w:b w:val="0"/>
          <w:bCs/>
          <w:color w:val="auto"/>
          <w:highlight w:val="none"/>
        </w:rPr>
        <w:t>，具体按采购人要求执行</w:t>
      </w:r>
      <w:r>
        <w:rPr>
          <w:rFonts w:hint="eastAsia" w:ascii="宋体" w:hAnsi="宋体" w:cs="宋体"/>
          <w:b w:val="0"/>
          <w:bCs/>
          <w:color w:val="auto"/>
          <w:highlight w:val="none"/>
          <w:lang w:eastAsia="zh-CN"/>
        </w:rPr>
        <w:t>。</w:t>
      </w:r>
    </w:p>
    <w:p w14:paraId="43F20924">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DFD5E1C">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杭州市余杭区人民政府仓前街道办事处</w:t>
      </w:r>
    </w:p>
    <w:p w14:paraId="76B055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杭州市余杭区仓前街道向往街</w:t>
      </w:r>
      <w:r>
        <w:rPr>
          <w:rFonts w:hint="eastAsia" w:ascii="宋体" w:hAnsi="宋体" w:cs="宋体"/>
          <w:color w:val="auto"/>
          <w:sz w:val="24"/>
          <w:highlight w:val="none"/>
          <w:lang w:val="en-US" w:eastAsia="zh-CN"/>
        </w:rPr>
        <w:t>1008号乐富海邦园18幢</w:t>
      </w:r>
      <w:r>
        <w:rPr>
          <w:rFonts w:hint="eastAsia" w:ascii="宋体" w:hAnsi="宋体" w:cs="宋体"/>
          <w:color w:val="auto"/>
          <w:sz w:val="24"/>
          <w:highlight w:val="none"/>
        </w:rPr>
        <w:t xml:space="preserve">       </w:t>
      </w:r>
    </w:p>
    <w:p w14:paraId="2AD3E7F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913E5B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项目联系人（询问）：黄</w:t>
      </w:r>
      <w:r>
        <w:rPr>
          <w:rFonts w:hint="eastAsia" w:ascii="宋体" w:hAnsi="宋体" w:cs="宋体"/>
          <w:color w:val="auto"/>
          <w:sz w:val="24"/>
          <w:highlight w:val="none"/>
          <w:lang w:val="en-US" w:eastAsia="zh-CN"/>
        </w:rPr>
        <w:t>主任</w:t>
      </w:r>
      <w:r>
        <w:rPr>
          <w:rFonts w:hint="eastAsia" w:ascii="宋体" w:hAnsi="宋体" w:cs="宋体"/>
          <w:color w:val="auto"/>
          <w:sz w:val="24"/>
          <w:highlight w:val="none"/>
        </w:rPr>
        <w:t xml:space="preserve">      </w:t>
      </w:r>
    </w:p>
    <w:p w14:paraId="052071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项目联系方式（询问）：13868066444 </w:t>
      </w:r>
    </w:p>
    <w:p w14:paraId="748B88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质疑联系人：周工 </w:t>
      </w:r>
    </w:p>
    <w:p w14:paraId="2C7346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0571-88613825</w:t>
      </w:r>
      <w:r>
        <w:rPr>
          <w:rFonts w:hint="eastAsia" w:ascii="宋体" w:hAnsi="宋体" w:cs="宋体"/>
          <w:color w:val="auto"/>
          <w:sz w:val="24"/>
          <w:highlight w:val="none"/>
        </w:rPr>
        <w:t xml:space="preserve"> </w:t>
      </w:r>
    </w:p>
    <w:p w14:paraId="0201B0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3DF9E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50D632A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浙江质安工程管理有限公司</w:t>
      </w:r>
    </w:p>
    <w:p w14:paraId="13BEAEF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bookmarkStart w:id="13" w:name="OLE_LINK8"/>
      <w:r>
        <w:rPr>
          <w:rFonts w:hint="eastAsia" w:ascii="宋体" w:hAnsi="宋体" w:cs="宋体"/>
          <w:color w:val="auto"/>
          <w:sz w:val="24"/>
          <w:highlight w:val="none"/>
        </w:rPr>
        <w:t>浙江省杭州市余杭区中泰街道南湖大厦1幢1914室</w:t>
      </w:r>
      <w:bookmarkEnd w:id="13"/>
    </w:p>
    <w:p w14:paraId="439913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7F4C04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项目联系人（询问）：曹俊杰 </w:t>
      </w:r>
    </w:p>
    <w:p w14:paraId="5F54BA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项目联系方式（询问）：0571-88775963</w:t>
      </w:r>
    </w:p>
    <w:p w14:paraId="5B6DC5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质疑联系人：徐礼杰 </w:t>
      </w:r>
    </w:p>
    <w:p w14:paraId="6CBF62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13735483636</w:t>
      </w:r>
    </w:p>
    <w:p w14:paraId="7746E8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987720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杭州市余杭区财政局、浙江省政府采购行政裁决服务中心（杭州）</w:t>
      </w:r>
    </w:p>
    <w:p w14:paraId="4039B9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5E11EA3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0D22B6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eastAsia="zh-CN"/>
        </w:rPr>
        <w:t>匡老师</w:t>
      </w:r>
    </w:p>
    <w:p w14:paraId="41973D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i w:val="0"/>
          <w:caps w:val="0"/>
          <w:color w:val="auto"/>
          <w:spacing w:val="0"/>
          <w:sz w:val="24"/>
          <w:szCs w:val="24"/>
          <w:highlight w:val="none"/>
          <w:lang w:eastAsia="zh-CN"/>
        </w:rPr>
        <w:t>0571-87807798</w:t>
      </w:r>
      <w:r>
        <w:rPr>
          <w:rFonts w:hint="eastAsia" w:ascii="宋体" w:hAnsi="宋体" w:cs="宋体"/>
          <w:color w:val="auto"/>
          <w:sz w:val="24"/>
          <w:highlight w:val="none"/>
          <w:lang w:val="en-US" w:eastAsia="zh-CN"/>
        </w:rPr>
        <w:t>政策咨询电话：陈先生、厉先生，0571-89580460、89580456政府采购监管部门工作人员</w:t>
      </w:r>
      <w:r>
        <w:rPr>
          <w:rFonts w:hint="eastAsia" w:ascii="宋体" w:hAnsi="宋体" w:cs="宋体"/>
          <w:color w:val="auto"/>
          <w:sz w:val="24"/>
          <w:highlight w:val="none"/>
        </w:rPr>
        <w:t xml:space="preserve">    </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2"/>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95BB0">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38B51D">
            <w:pPr>
              <w:spacing w:line="360" w:lineRule="auto"/>
              <w:rPr>
                <w:rFonts w:ascii="宋体" w:hAnsi="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2025年度仓前中学运动场所塑胶面层采购</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 </w:t>
            </w:r>
            <w:r>
              <w:rPr>
                <w:rFonts w:hint="eastAsia" w:ascii="宋体" w:hAnsi="宋体" w:cs="宋体"/>
                <w:color w:val="auto"/>
                <w:kern w:val="0"/>
                <w:sz w:val="24"/>
                <w:highlight w:val="none"/>
              </w:rPr>
              <w:t>行业；</w:t>
            </w:r>
          </w:p>
          <w:p w14:paraId="1994D902">
            <w:pPr>
              <w:pStyle w:val="2"/>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ascii="宋体" w:hAnsi="宋体" w:cs="宋体"/>
                <w:color w:val="auto"/>
                <w:sz w:val="24"/>
                <w:highlight w:val="none"/>
              </w:rPr>
            </w:pPr>
          </w:p>
          <w:p w14:paraId="20C143AE">
            <w:pPr>
              <w:snapToGrid w:val="0"/>
              <w:spacing w:line="360" w:lineRule="auto"/>
              <w:jc w:val="center"/>
              <w:rPr>
                <w:rFonts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79"/>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default" w:ascii="Calibri" w:hAnsi="Calibri" w:cs="Calibri"/>
                <w:color w:val="auto"/>
                <w:sz w:val="24"/>
                <w:highlight w:val="none"/>
                <w:u w:val="single"/>
              </w:rPr>
              <w:t>①</w:t>
            </w:r>
            <w:r>
              <w:rPr>
                <w:rFonts w:hint="default" w:ascii="Calibri" w:hAnsi="Calibri" w:cs="Calibri"/>
                <w:color w:val="auto"/>
                <w:sz w:val="24"/>
                <w:highlight w:val="none"/>
                <w:u w:val="single"/>
                <w:lang w:val="en-US" w:eastAsia="zh-CN"/>
              </w:rPr>
              <w:t>45CM×45CM</w:t>
            </w:r>
            <w:r>
              <w:rPr>
                <w:rFonts w:hint="eastAsia" w:ascii="Calibri" w:hAnsi="Calibri" w:cs="Calibri"/>
                <w:color w:val="auto"/>
                <w:sz w:val="24"/>
                <w:highlight w:val="none"/>
                <w:u w:val="single"/>
                <w:lang w:val="en-US" w:eastAsia="zh-CN"/>
              </w:rPr>
              <w:t>的14</w:t>
            </w:r>
            <w:r>
              <w:rPr>
                <w:rFonts w:hint="default" w:ascii="Calibri" w:hAnsi="Calibri" w:cs="Calibri"/>
                <w:color w:val="auto"/>
                <w:sz w:val="24"/>
                <w:highlight w:val="none"/>
                <w:u w:val="single"/>
                <w:lang w:val="en-US" w:eastAsia="zh-CN"/>
              </w:rPr>
              <w:t>mm厚混合型塑胶跑道面层</w:t>
            </w:r>
            <w:r>
              <w:rPr>
                <w:rFonts w:hint="eastAsia" w:ascii="Calibri" w:hAnsi="Calibri" w:cs="Calibri"/>
                <w:color w:val="auto"/>
                <w:sz w:val="24"/>
                <w:highlight w:val="none"/>
                <w:u w:val="single"/>
                <w:lang w:val="en-US" w:eastAsia="zh-CN"/>
              </w:rPr>
              <w:t>一块，</w:t>
            </w:r>
            <w:r>
              <w:rPr>
                <w:rFonts w:hint="default" w:ascii="Calibri" w:hAnsi="Calibri" w:cs="Calibri"/>
                <w:color w:val="auto"/>
                <w:sz w:val="24"/>
                <w:highlight w:val="none"/>
                <w:u w:val="single"/>
                <w:lang w:val="en-US" w:eastAsia="zh-CN"/>
              </w:rPr>
              <w:t>②45CM×45CM</w:t>
            </w:r>
            <w:r>
              <w:rPr>
                <w:rFonts w:hint="eastAsia" w:ascii="Calibri" w:hAnsi="Calibri" w:cs="Calibri"/>
                <w:color w:val="auto"/>
                <w:sz w:val="24"/>
                <w:highlight w:val="none"/>
                <w:u w:val="single"/>
                <w:lang w:val="en-US" w:eastAsia="zh-CN"/>
              </w:rPr>
              <w:t>的8</w:t>
            </w:r>
            <w:r>
              <w:rPr>
                <w:rFonts w:hint="default" w:ascii="Calibri" w:hAnsi="Calibri" w:cs="Calibri"/>
                <w:color w:val="auto"/>
                <w:sz w:val="24"/>
                <w:highlight w:val="none"/>
                <w:u w:val="single"/>
                <w:lang w:val="en-US" w:eastAsia="zh-CN"/>
              </w:rPr>
              <w:t>mm厚硅PU面层</w:t>
            </w:r>
            <w:r>
              <w:rPr>
                <w:rFonts w:hint="eastAsia" w:ascii="Calibri" w:hAnsi="Calibri" w:cs="Calibri"/>
                <w:color w:val="auto"/>
                <w:sz w:val="24"/>
                <w:highlight w:val="none"/>
                <w:u w:val="single"/>
                <w:lang w:val="en-US" w:eastAsia="zh-CN"/>
              </w:rPr>
              <w:t>一块</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详见第三部分 采购需求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lang w:val="en-US" w:eastAsia="zh-CN"/>
              </w:rPr>
              <w:t>2025年08月01日09点00分至10点00</w:t>
            </w:r>
            <w:bookmarkStart w:id="416" w:name="_GoBack"/>
            <w:bookmarkEnd w:id="416"/>
            <w:r>
              <w:rPr>
                <w:rFonts w:hint="eastAsia" w:ascii="宋体" w:hAnsi="宋体" w:cs="宋体"/>
                <w:color w:val="auto"/>
                <w:sz w:val="24"/>
                <w:highlight w:val="none"/>
                <w:u w:val="single"/>
                <w:lang w:val="en-US" w:eastAsia="zh-CN"/>
              </w:rPr>
              <w:t>分</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杭州市余杭区仓前街道向往街1008号乐富海邦园14座1楼</w:t>
            </w:r>
            <w:r>
              <w:rPr>
                <w:rFonts w:hint="eastAsia" w:ascii="宋体" w:hAnsi="宋体" w:cs="宋体"/>
                <w:color w:val="auto"/>
                <w:sz w:val="24"/>
                <w:highlight w:val="none"/>
                <w:u w:val="single"/>
                <w:lang w:val="en-US" w:eastAsia="zh-CN"/>
              </w:rPr>
              <w:t>小额开标室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陈老师</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lang w:val="en-US" w:eastAsia="zh-CN"/>
              </w:rPr>
              <w:t>15389175400</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hint="eastAsia" w:ascii="宋体" w:hAnsi="宋体" w:cs="宋体"/>
                <w:color w:val="auto"/>
                <w:sz w:val="24"/>
                <w:highlight w:val="none"/>
              </w:rPr>
            </w:pPr>
            <w:r>
              <w:rPr>
                <w:rFonts w:hint="eastAsia" w:ascii="宋体" w:hAnsi="宋体" w:cs="宋体"/>
                <w:color w:val="auto"/>
                <w:sz w:val="24"/>
                <w:highlight w:val="none"/>
              </w:rPr>
              <w:t>（7）制作、运输、安装和保管样品所发生的一切费用由投标人自理。</w:t>
            </w:r>
          </w:p>
          <w:p w14:paraId="21D0BB4E">
            <w:pPr>
              <w:pStyle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（8）本次提供的样品为暗标，样品上不得出现任何有关投</w:t>
            </w:r>
          </w:p>
          <w:p w14:paraId="157EEE3E">
            <w:pPr>
              <w:pStyle w:val="2"/>
              <w:rPr>
                <w:rFonts w:hint="default" w:eastAsia="仿宋_GB2312"/>
                <w:lang w:val="en-US" w:eastAsia="zh-CN"/>
              </w:rPr>
            </w:pPr>
            <w:r>
              <w:rPr>
                <w:rFonts w:hint="eastAsia" w:ascii="宋体" w:hAnsi="宋体" w:eastAsia="宋体" w:cs="宋体"/>
                <w:b w:val="0"/>
                <w:bCs w:val="0"/>
                <w:color w:val="auto"/>
                <w:kern w:val="2"/>
                <w:sz w:val="24"/>
                <w:szCs w:val="24"/>
                <w:highlight w:val="none"/>
                <w:lang w:val="en-US" w:eastAsia="zh-CN" w:bidi="ar-SA"/>
              </w:rPr>
              <w:t>标供应商的标签字样符号等标志。</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ascii="宋体" w:hAnsi="宋体" w:cs="宋体"/>
                <w:color w:val="auto"/>
                <w:sz w:val="24"/>
                <w:highlight w:val="none"/>
              </w:rPr>
            </w:pPr>
          </w:p>
          <w:p w14:paraId="309AC3D1">
            <w:pPr>
              <w:snapToGrid w:val="0"/>
              <w:spacing w:line="360" w:lineRule="auto"/>
              <w:jc w:val="center"/>
              <w:rPr>
                <w:rFonts w:ascii="宋体" w:hAnsi="宋体" w:cs="宋体"/>
                <w:color w:val="auto"/>
                <w:sz w:val="24"/>
                <w:highlight w:val="none"/>
              </w:rPr>
            </w:pPr>
          </w:p>
          <w:p w14:paraId="3EA5D7C8">
            <w:pPr>
              <w:snapToGrid w:val="0"/>
              <w:spacing w:line="360" w:lineRule="auto"/>
              <w:jc w:val="center"/>
              <w:rPr>
                <w:rFonts w:ascii="宋体" w:hAnsi="宋体" w:cs="宋体"/>
                <w:color w:val="auto"/>
                <w:sz w:val="24"/>
                <w:highlight w:val="none"/>
              </w:rPr>
            </w:pPr>
          </w:p>
          <w:p w14:paraId="26622736">
            <w:pPr>
              <w:snapToGrid w:val="0"/>
              <w:spacing w:line="360" w:lineRule="auto"/>
              <w:jc w:val="center"/>
              <w:rPr>
                <w:rFonts w:ascii="宋体" w:hAnsi="宋体" w:cs="宋体"/>
                <w:color w:val="auto"/>
                <w:sz w:val="24"/>
                <w:highlight w:val="none"/>
              </w:rPr>
            </w:pPr>
          </w:p>
          <w:p w14:paraId="56ABDF4F">
            <w:pPr>
              <w:snapToGrid w:val="0"/>
              <w:spacing w:line="360" w:lineRule="auto"/>
              <w:jc w:val="center"/>
              <w:rPr>
                <w:rFonts w:ascii="宋体" w:hAnsi="宋体" w:cs="宋体"/>
                <w:color w:val="auto"/>
                <w:sz w:val="24"/>
                <w:highlight w:val="none"/>
              </w:rPr>
            </w:pPr>
          </w:p>
          <w:p w14:paraId="43992E49">
            <w:pPr>
              <w:snapToGrid w:val="0"/>
              <w:spacing w:line="360" w:lineRule="auto"/>
              <w:jc w:val="center"/>
              <w:rPr>
                <w:rFonts w:ascii="宋体" w:hAnsi="宋体" w:cs="宋体"/>
                <w:color w:val="auto"/>
                <w:sz w:val="24"/>
                <w:highlight w:val="none"/>
              </w:rPr>
            </w:pPr>
          </w:p>
          <w:p w14:paraId="06C2578F">
            <w:pPr>
              <w:snapToGrid w:val="0"/>
              <w:spacing w:line="360" w:lineRule="auto"/>
              <w:jc w:val="center"/>
              <w:rPr>
                <w:rFonts w:ascii="宋体" w:hAnsi="宋体" w:cs="宋体"/>
                <w:color w:val="auto"/>
                <w:sz w:val="24"/>
                <w:highlight w:val="none"/>
              </w:rPr>
            </w:pPr>
          </w:p>
          <w:p w14:paraId="7704412C">
            <w:pPr>
              <w:snapToGrid w:val="0"/>
              <w:spacing w:line="360" w:lineRule="auto"/>
              <w:jc w:val="center"/>
              <w:rPr>
                <w:rFonts w:ascii="宋体" w:hAnsi="宋体" w:cs="宋体"/>
                <w:color w:val="auto"/>
                <w:sz w:val="24"/>
                <w:highlight w:val="none"/>
              </w:rPr>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417E5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DF7AF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C0B09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D5CB8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8AE59B">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21" w:hRule="atLeast"/>
          <w:tblHeader/>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ascii="宋体" w:hAnsi="宋体" w:cs="宋体"/>
                <w:color w:val="auto"/>
                <w:sz w:val="24"/>
                <w:highlight w:val="none"/>
              </w:rPr>
            </w:pPr>
          </w:p>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浙江省杭州市余杭区余杭街道城南路668号</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15389175400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bookmarkStart w:id="14" w:name="_Toc164416483"/>
            <w:bookmarkStart w:id="15"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1家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9A6FA4C">
            <w:pPr>
              <w:snapToGrid w:val="0"/>
              <w:spacing w:line="360" w:lineRule="auto"/>
              <w:jc w:val="center"/>
              <w:rPr>
                <w:rFonts w:hint="eastAsia" w:ascii="宋体" w:hAnsi="宋体" w:cs="宋体"/>
                <w:color w:val="auto"/>
                <w:sz w:val="24"/>
                <w:highlight w:val="none"/>
                <w:lang w:val="en-US" w:eastAsia="zh-CN"/>
              </w:rPr>
            </w:pPr>
          </w:p>
          <w:p w14:paraId="0F1292DD">
            <w:pPr>
              <w:snapToGrid w:val="0"/>
              <w:spacing w:line="360" w:lineRule="auto"/>
              <w:jc w:val="center"/>
              <w:rPr>
                <w:rFonts w:hint="eastAsia" w:ascii="宋体" w:hAnsi="宋体" w:cs="宋体"/>
                <w:color w:val="auto"/>
                <w:sz w:val="24"/>
                <w:highlight w:val="none"/>
                <w:lang w:val="en-US" w:eastAsia="zh-CN"/>
              </w:rPr>
            </w:pPr>
          </w:p>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129343D">
            <w:pPr>
              <w:spacing w:line="360" w:lineRule="auto"/>
              <w:rPr>
                <w:rFonts w:hint="eastAsia" w:ascii="宋体" w:hAnsi="宋体" w:cs="宋体"/>
                <w:color w:val="auto"/>
                <w:kern w:val="0"/>
                <w:sz w:val="24"/>
                <w:highlight w:val="none"/>
                <w:lang w:val="en" w:eastAsia="zh-CN"/>
              </w:rPr>
            </w:pPr>
            <w:r>
              <w:rPr>
                <w:rFonts w:hint="eastAsia" w:ascii="宋体" w:hAnsi="宋体" w:cs="宋体"/>
                <w:b/>
                <w:bCs/>
                <w:color w:val="auto"/>
                <w:sz w:val="24"/>
              </w:rPr>
              <w:t>招标服务费：代理服务费按《关于规范余杭区政府投资项目中介服务付费限额标准的通知》(余财政(2018)24号)</w:t>
            </w:r>
            <w:r>
              <w:rPr>
                <w:rFonts w:hint="eastAsia" w:ascii="宋体" w:hAnsi="宋体" w:cs="宋体"/>
                <w:b/>
                <w:bCs/>
                <w:color w:val="auto"/>
                <w:sz w:val="24"/>
                <w:lang w:val="en-US" w:eastAsia="zh-CN"/>
              </w:rPr>
              <w:t>的95%</w:t>
            </w:r>
            <w:r>
              <w:rPr>
                <w:rFonts w:hint="eastAsia" w:ascii="宋体" w:hAnsi="宋体" w:cs="宋体"/>
                <w:b/>
                <w:bCs/>
                <w:color w:val="auto"/>
                <w:sz w:val="24"/>
              </w:rPr>
              <w:t>计取;但不单列进投标总价，由</w:t>
            </w:r>
            <w:r>
              <w:rPr>
                <w:rFonts w:hint="eastAsia" w:ascii="宋体" w:hAnsi="宋体" w:cs="宋体"/>
                <w:b/>
                <w:bCs/>
                <w:color w:val="auto"/>
                <w:sz w:val="24"/>
                <w:lang w:eastAsia="zh-CN"/>
              </w:rPr>
              <w:t>中标人</w:t>
            </w:r>
            <w:r>
              <w:rPr>
                <w:rFonts w:hint="eastAsia" w:ascii="宋体" w:hAnsi="宋体" w:cs="宋体"/>
                <w:b/>
                <w:bCs/>
                <w:color w:val="auto"/>
                <w:sz w:val="24"/>
              </w:rPr>
              <w:t>在领取中标通知书前支付给招标代理机构，各投标人应在投标报价中予以考虑。</w:t>
            </w:r>
          </w:p>
        </w:tc>
      </w:tr>
      <w:tr w14:paraId="52342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F99FBF4">
            <w:pPr>
              <w:snapToGrid w:val="0"/>
              <w:spacing w:line="360" w:lineRule="auto"/>
              <w:jc w:val="center"/>
              <w:rPr>
                <w:rFonts w:hint="eastAsia" w:ascii="宋体" w:hAnsi="宋体" w:cs="宋体"/>
                <w:color w:val="auto"/>
                <w:sz w:val="24"/>
                <w:highlight w:val="none"/>
                <w:lang w:val="en-US" w:eastAsia="zh-CN"/>
              </w:rPr>
            </w:pPr>
          </w:p>
          <w:p w14:paraId="525AD895">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71E0710B">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其他要求</w:t>
            </w:r>
          </w:p>
        </w:tc>
        <w:tc>
          <w:tcPr>
            <w:tcW w:w="6095" w:type="dxa"/>
            <w:tcBorders>
              <w:top w:val="single" w:color="000000" w:sz="8" w:space="0"/>
              <w:left w:val="single" w:color="auto" w:sz="4" w:space="0"/>
              <w:bottom w:val="single" w:color="auto" w:sz="4" w:space="0"/>
              <w:right w:val="single" w:color="auto" w:sz="4" w:space="0"/>
            </w:tcBorders>
            <w:vAlign w:val="center"/>
          </w:tcPr>
          <w:p w14:paraId="4C824411">
            <w:pPr>
              <w:spacing w:line="360" w:lineRule="auto"/>
              <w:rPr>
                <w:rFonts w:hint="eastAsia" w:ascii="宋体" w:hAnsi="宋体" w:cs="宋体"/>
                <w:color w:val="auto"/>
                <w:kern w:val="0"/>
                <w:sz w:val="24"/>
                <w:highlight w:val="none"/>
                <w:lang w:val="en" w:eastAsia="zh-CN"/>
              </w:rPr>
            </w:pPr>
            <w:r>
              <w:rPr>
                <w:rFonts w:hint="eastAsia" w:ascii="宋体" w:hAnsi="宋体" w:cs="宋体"/>
                <w:b/>
                <w:bCs/>
                <w:color w:val="auto"/>
                <w:sz w:val="24"/>
              </w:rPr>
              <w:t>中标后提供承诺书和纸质版投标文件一式</w:t>
            </w:r>
            <w:r>
              <w:rPr>
                <w:rFonts w:hint="eastAsia" w:ascii="宋体" w:hAnsi="宋体" w:cs="宋体"/>
                <w:b/>
                <w:bCs/>
                <w:color w:val="auto"/>
                <w:sz w:val="24"/>
                <w:lang w:val="en-US" w:eastAsia="zh-CN"/>
              </w:rPr>
              <w:t>四</w:t>
            </w:r>
            <w:r>
              <w:rPr>
                <w:rFonts w:hint="eastAsia" w:ascii="宋体" w:hAnsi="宋体" w:cs="宋体"/>
                <w:b/>
                <w:bCs/>
                <w:color w:val="auto"/>
                <w:sz w:val="24"/>
              </w:rPr>
              <w:t>份（正本一份红章版，副本</w:t>
            </w:r>
            <w:r>
              <w:rPr>
                <w:rFonts w:hint="eastAsia" w:ascii="宋体" w:hAnsi="宋体" w:cs="宋体"/>
                <w:b/>
                <w:bCs/>
                <w:color w:val="auto"/>
                <w:sz w:val="24"/>
                <w:lang w:val="en-US" w:eastAsia="zh-CN"/>
              </w:rPr>
              <w:t>三</w:t>
            </w:r>
            <w:r>
              <w:rPr>
                <w:rFonts w:hint="eastAsia" w:ascii="宋体" w:hAnsi="宋体" w:cs="宋体"/>
                <w:b/>
                <w:bCs/>
                <w:color w:val="auto"/>
                <w:sz w:val="24"/>
              </w:rPr>
              <w:t>份，</w:t>
            </w:r>
            <w:r>
              <w:rPr>
                <w:rFonts w:hint="eastAsia" w:ascii="宋体" w:hAnsi="宋体" w:cs="宋体"/>
                <w:b/>
                <w:bCs/>
                <w:color w:val="auto"/>
                <w:sz w:val="24"/>
                <w:lang w:val="en-US" w:eastAsia="zh-CN"/>
              </w:rPr>
              <w:t>副本</w:t>
            </w:r>
            <w:r>
              <w:rPr>
                <w:rFonts w:hint="eastAsia" w:ascii="宋体" w:hAnsi="宋体" w:cs="宋体"/>
                <w:b/>
                <w:bCs/>
                <w:color w:val="auto"/>
                <w:sz w:val="24"/>
              </w:rPr>
              <w:t>可为正本</w:t>
            </w:r>
            <w:r>
              <w:rPr>
                <w:rFonts w:hint="eastAsia" w:ascii="宋体" w:hAnsi="宋体" w:cs="宋体"/>
                <w:b/>
                <w:bCs/>
                <w:color w:val="auto"/>
                <w:sz w:val="24"/>
                <w:lang w:val="en-US" w:eastAsia="zh-CN"/>
              </w:rPr>
              <w:t>盖章后的</w:t>
            </w:r>
            <w:r>
              <w:rPr>
                <w:rFonts w:hint="eastAsia" w:ascii="宋体" w:hAnsi="宋体" w:cs="宋体"/>
                <w:b/>
                <w:bCs/>
                <w:color w:val="auto"/>
                <w:sz w:val="24"/>
              </w:rPr>
              <w:t>复印件），承诺书详见附件。</w:t>
            </w:r>
          </w:p>
        </w:tc>
      </w:tr>
      <w:bookmarkEnd w:id="10"/>
    </w:tbl>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default" w:eastAsia="宋体"/>
          <w:color w:val="auto"/>
          <w:highlight w:val="none"/>
          <w:lang w:val="en-US" w:eastAsia="zh-CN"/>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w:t>
      </w:r>
      <w:r>
        <w:rPr>
          <w:rFonts w:hint="eastAsia"/>
          <w:color w:val="auto"/>
          <w:highlight w:val="none"/>
          <w:lang w:val="en-US" w:eastAsia="zh-CN"/>
        </w:rPr>
        <w:t>匡老师</w:t>
      </w:r>
      <w:r>
        <w:rPr>
          <w:rFonts w:hint="eastAsia"/>
          <w:color w:val="auto"/>
          <w:highlight w:val="none"/>
        </w:rPr>
        <w:t>，电话：0571-</w:t>
      </w:r>
      <w:r>
        <w:rPr>
          <w:rFonts w:hint="eastAsia" w:cs="宋体"/>
          <w:i w:val="0"/>
          <w:caps w:val="0"/>
          <w:color w:val="auto"/>
          <w:spacing w:val="0"/>
          <w:sz w:val="24"/>
          <w:szCs w:val="24"/>
          <w:highlight w:val="none"/>
          <w:lang w:val="en-US" w:eastAsia="zh-CN"/>
        </w:rPr>
        <w:t>87807798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0"/>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4"/>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75236101"/>
      <w:bookmarkEnd w:id="20"/>
      <w:bookmarkStart w:id="21" w:name="_Hlt74729768"/>
      <w:bookmarkEnd w:id="21"/>
      <w:bookmarkStart w:id="22" w:name="_Hlt75236011"/>
      <w:bookmarkEnd w:id="22"/>
      <w:bookmarkStart w:id="23" w:name="_Hlt68072990"/>
      <w:bookmarkEnd w:id="23"/>
      <w:bookmarkStart w:id="24" w:name="_Hlt74714665"/>
      <w:bookmarkEnd w:id="24"/>
      <w:bookmarkStart w:id="25" w:name="_Hlt75236290"/>
      <w:bookmarkEnd w:id="25"/>
      <w:bookmarkStart w:id="26" w:name="_Hlt68403820"/>
      <w:bookmarkEnd w:id="26"/>
      <w:bookmarkStart w:id="27" w:name="_Hlt68057669"/>
      <w:bookmarkEnd w:id="27"/>
      <w:bookmarkStart w:id="28" w:name="_Hlt68072998"/>
      <w:bookmarkEnd w:id="28"/>
      <w:bookmarkStart w:id="29" w:name="_Hlt74707468"/>
      <w:bookmarkEnd w:id="29"/>
      <w:bookmarkStart w:id="30" w:name="_Hlt74730295"/>
      <w:bookmarkEnd w:id="30"/>
      <w:bookmarkStart w:id="31" w:name="_Hlt68073093"/>
      <w:bookmarkEnd w:id="31"/>
    </w:p>
    <w:p w14:paraId="6708D7E0">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4"/>
    <w:bookmarkEnd w:id="15"/>
    <w:p w14:paraId="75C644A7">
      <w:pPr>
        <w:spacing w:line="360" w:lineRule="auto"/>
        <w:jc w:val="center"/>
        <w:outlineLvl w:val="0"/>
        <w:rPr>
          <w:rFonts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第三部分   采购需求</w:t>
      </w:r>
    </w:p>
    <w:p w14:paraId="69963FCB">
      <w:pPr>
        <w:pageBreakBefore w:val="0"/>
        <w:kinsoku/>
        <w:wordWrap/>
        <w:overflowPunct/>
        <w:topLinePunct w:val="0"/>
        <w:autoSpaceDE/>
        <w:autoSpaceDN/>
        <w:bidi w:val="0"/>
        <w:adjustRightInd w:val="0"/>
        <w:snapToGrid/>
        <w:spacing w:line="60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一、项目概述：</w:t>
      </w:r>
    </w:p>
    <w:p w14:paraId="00F18285">
      <w:pPr>
        <w:snapToGrid w:val="0"/>
        <w:spacing w:line="600" w:lineRule="exact"/>
        <w:ind w:firstLine="480" w:firstLineChars="200"/>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 xml:space="preserve">    本项目为“交钥匙”项目，采购内容为2025年度仓前中学运动场所塑胶面层采购、运输、安装、调试、质检、第三方验收和相关维护等工作。投标报价包括设备费、材料费、安装调试费、所有的检测费、垃圾清运费及成品保护费、验收费、税金、运输及运输保险费、质保期内维修保养费、特殊工具费、售后服务费、招标代理费、培训费、有关部门的验收费、政策性文件规定及合同包含的所有风险、责任及其他因本项目而产生的一切费用。</w:t>
      </w:r>
    </w:p>
    <w:p w14:paraId="3C15891E">
      <w:pPr>
        <w:pStyle w:val="4"/>
        <w:tabs>
          <w:tab w:val="left" w:pos="1260"/>
          <w:tab w:val="clear" w:pos="900"/>
        </w:tabs>
        <w:spacing w:before="0" w:after="0" w:line="600" w:lineRule="atLeast"/>
        <w:ind w:left="0" w:firstLine="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国家、省、市、区在供货安装、检测和验收方面若有新规范、新要求的，必须按照新的规定要求检测和验收，所有费用均包含在本次投标费用内。</w:t>
      </w:r>
    </w:p>
    <w:p w14:paraId="1D30C65D">
      <w:pPr>
        <w:pStyle w:val="4"/>
        <w:tabs>
          <w:tab w:val="left" w:pos="1260"/>
          <w:tab w:val="clear" w:pos="900"/>
        </w:tabs>
        <w:spacing w:before="0" w:after="0" w:line="600" w:lineRule="atLeast"/>
        <w:ind w:left="0" w:firstLine="482"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本项目按采购需求指定的技术标准和规范验收。</w:t>
      </w:r>
    </w:p>
    <w:p w14:paraId="4D1AC65D">
      <w:pPr>
        <w:pStyle w:val="4"/>
        <w:numPr>
          <w:ilvl w:val="0"/>
          <w:numId w:val="1"/>
        </w:numPr>
        <w:tabs>
          <w:tab w:val="left" w:pos="1260"/>
          <w:tab w:val="clear" w:pos="900"/>
        </w:tabs>
        <w:spacing w:before="0" w:after="0" w:line="600" w:lineRule="atLeast"/>
        <w:ind w:left="0" w:firstLine="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采购清单：</w:t>
      </w:r>
    </w:p>
    <w:tbl>
      <w:tblPr>
        <w:tblStyle w:val="62"/>
        <w:tblW w:w="86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1577"/>
        <w:gridCol w:w="4462"/>
        <w:gridCol w:w="825"/>
        <w:gridCol w:w="1000"/>
      </w:tblGrid>
      <w:tr w14:paraId="272F3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C59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773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4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5BE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F72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单位</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EED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数</w:t>
            </w:r>
            <w:r>
              <w:rPr>
                <w:rFonts w:hint="eastAsia" w:ascii="宋体" w:hAnsi="宋体" w:eastAsia="宋体" w:cs="宋体"/>
                <w:i w:val="0"/>
                <w:iCs w:val="0"/>
                <w:color w:val="000000"/>
                <w:kern w:val="0"/>
                <w:sz w:val="24"/>
                <w:szCs w:val="24"/>
                <w:u w:val="none"/>
                <w:lang w:val="en-US" w:eastAsia="zh-CN" w:bidi="ar"/>
              </w:rPr>
              <w:t>量</w:t>
            </w:r>
          </w:p>
        </w:tc>
      </w:tr>
      <w:tr w14:paraId="74F5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E7FD1">
            <w:pPr>
              <w:jc w:val="center"/>
              <w:rPr>
                <w:rFonts w:hint="eastAsia" w:ascii="宋体" w:hAnsi="宋体" w:eastAsia="宋体" w:cs="宋体"/>
                <w:i w:val="0"/>
                <w:iCs w:val="0"/>
                <w:color w:val="000000"/>
                <w:sz w:val="24"/>
                <w:szCs w:val="24"/>
                <w:u w:val="none"/>
              </w:rPr>
            </w:pP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A17AB">
            <w:pPr>
              <w:jc w:val="center"/>
              <w:rPr>
                <w:rFonts w:hint="eastAsia" w:ascii="宋体" w:hAnsi="宋体" w:eastAsia="宋体" w:cs="宋体"/>
                <w:i w:val="0"/>
                <w:iCs w:val="0"/>
                <w:color w:val="000000"/>
                <w:sz w:val="24"/>
                <w:szCs w:val="24"/>
                <w:u w:val="none"/>
              </w:rPr>
            </w:pPr>
          </w:p>
        </w:tc>
        <w:tc>
          <w:tcPr>
            <w:tcW w:w="44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C643A">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E91DD">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5EBEA">
            <w:pPr>
              <w:jc w:val="center"/>
              <w:rPr>
                <w:rFonts w:hint="eastAsia" w:ascii="宋体" w:hAnsi="宋体" w:eastAsia="宋体" w:cs="宋体"/>
                <w:i w:val="0"/>
                <w:iCs w:val="0"/>
                <w:color w:val="000000"/>
                <w:sz w:val="24"/>
                <w:szCs w:val="24"/>
                <w:u w:val="none"/>
              </w:rPr>
            </w:pPr>
          </w:p>
        </w:tc>
      </w:tr>
      <w:tr w14:paraId="10D1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E07BF">
            <w:pPr>
              <w:jc w:val="center"/>
              <w:rPr>
                <w:rFonts w:hint="eastAsia" w:ascii="宋体" w:hAnsi="宋体" w:eastAsia="宋体" w:cs="宋体"/>
                <w:i w:val="0"/>
                <w:iCs w:val="0"/>
                <w:color w:val="000000"/>
                <w:sz w:val="24"/>
                <w:szCs w:val="24"/>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0A52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体育场跑道</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3C961">
            <w:pPr>
              <w:jc w:val="left"/>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7A297">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B188C">
            <w:pPr>
              <w:jc w:val="right"/>
              <w:rPr>
                <w:rFonts w:hint="eastAsia" w:ascii="宋体" w:hAnsi="宋体" w:eastAsia="宋体" w:cs="宋体"/>
                <w:i w:val="0"/>
                <w:iCs w:val="0"/>
                <w:color w:val="000000"/>
                <w:sz w:val="24"/>
                <w:szCs w:val="24"/>
                <w:u w:val="none"/>
              </w:rPr>
            </w:pPr>
          </w:p>
        </w:tc>
      </w:tr>
      <w:tr w14:paraId="19086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6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D74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面层拆除</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9E4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原跑道、辅助区及器械区塑胶面层拆除，垃圾外 运无公害化处理，运距自定。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08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82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8517</w:t>
            </w:r>
          </w:p>
        </w:tc>
      </w:tr>
      <w:tr w14:paraId="0856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27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06A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铣刨沥青层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642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铣刨机铣刨跑道、辅助区及器械区沥青层厚度40mm，因含有塑胶胶粘剂，沥青无残值利用，垃圾外运，运距自定。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FF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8E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8517</w:t>
            </w:r>
          </w:p>
        </w:tc>
      </w:tr>
      <w:tr w14:paraId="7890B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A6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0BF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沥青混凝土</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F1B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跑道、辅助区及器械区细粒式沥青混凝土AC-10， 机械摊铺厚度40mm。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77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B1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8517</w:t>
            </w:r>
          </w:p>
        </w:tc>
      </w:tr>
      <w:tr w14:paraId="2AD3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64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7D7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高低杠拆除</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184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原器械区高低杠拆除，垃圾外运，运距自定。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9E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65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14CF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63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FD1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弹性面层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17E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跑道及辅助区：14mm厚混合型塑胶跑道。</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62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5B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8156</w:t>
            </w:r>
          </w:p>
        </w:tc>
      </w:tr>
      <w:tr w14:paraId="1BBDA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76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08D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弹性面层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F9C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器械区：50mm厚软塑区</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29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C0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w:t>
            </w:r>
          </w:p>
        </w:tc>
      </w:tr>
      <w:tr w14:paraId="6B02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9DA4E">
            <w:pPr>
              <w:jc w:val="center"/>
              <w:rPr>
                <w:rFonts w:hint="eastAsia" w:ascii="宋体" w:hAnsi="宋体" w:eastAsia="宋体" w:cs="宋体"/>
                <w:i w:val="0"/>
                <w:iCs w:val="0"/>
                <w:color w:val="000000"/>
                <w:sz w:val="24"/>
                <w:szCs w:val="24"/>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8779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排球场</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FE6E4">
            <w:pPr>
              <w:jc w:val="left"/>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1D6E3">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B0640">
            <w:pPr>
              <w:jc w:val="center"/>
              <w:rPr>
                <w:rFonts w:hint="eastAsia" w:ascii="宋体" w:hAnsi="宋体" w:eastAsia="宋体" w:cs="宋体"/>
                <w:i w:val="0"/>
                <w:iCs w:val="0"/>
                <w:color w:val="000000"/>
                <w:sz w:val="24"/>
                <w:szCs w:val="24"/>
                <w:u w:val="none"/>
              </w:rPr>
            </w:pPr>
          </w:p>
        </w:tc>
      </w:tr>
      <w:tr w14:paraId="7651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44A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3E0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面层拆除</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178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原排球场塑胶面层拆除，垃圾外 运无公害化处理，运距自定。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60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98BF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700</w:t>
            </w:r>
          </w:p>
        </w:tc>
      </w:tr>
      <w:tr w14:paraId="00AC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FD99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E80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铣刨沥青层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3C5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铣刨机铣刨排球场沥青层厚度40mm，因含有塑胶胶粘剂，沥青无残值利用，垃圾外运，运距自定。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42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D13A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700</w:t>
            </w:r>
          </w:p>
        </w:tc>
      </w:tr>
      <w:tr w14:paraId="5BE2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C2D8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551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沥青混凝土</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F6E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排球场细粒式沥青混凝土AC-10， 机械摊铺厚度40mm。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A6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7F20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700</w:t>
            </w:r>
          </w:p>
        </w:tc>
      </w:tr>
      <w:tr w14:paraId="2EB4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7499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76D0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弹性面层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E78C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排球场：8mm厚硅PU面层</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9A7D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BE8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700</w:t>
            </w:r>
          </w:p>
        </w:tc>
      </w:tr>
      <w:tr w14:paraId="26A0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B5C44">
            <w:pPr>
              <w:jc w:val="center"/>
              <w:rPr>
                <w:rFonts w:hint="eastAsia" w:ascii="宋体" w:hAnsi="宋体" w:eastAsia="宋体" w:cs="宋体"/>
                <w:i w:val="0"/>
                <w:iCs w:val="0"/>
                <w:color w:val="000000"/>
                <w:sz w:val="24"/>
                <w:szCs w:val="24"/>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7EFE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篮球场</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CE951">
            <w:pPr>
              <w:jc w:val="left"/>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070DC">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757AF">
            <w:pPr>
              <w:jc w:val="center"/>
              <w:rPr>
                <w:rFonts w:hint="eastAsia" w:ascii="宋体" w:hAnsi="宋体" w:eastAsia="宋体" w:cs="宋体"/>
                <w:i w:val="0"/>
                <w:iCs w:val="0"/>
                <w:color w:val="000000"/>
                <w:sz w:val="24"/>
                <w:szCs w:val="24"/>
                <w:u w:val="none"/>
              </w:rPr>
            </w:pPr>
          </w:p>
        </w:tc>
      </w:tr>
      <w:tr w14:paraId="7E71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65B6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892D3">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面层拆除</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FC91C">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原篮球场塑胶面层拆除，垃圾外 运无公害化处理，运距自定。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5F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3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1576</w:t>
            </w:r>
          </w:p>
        </w:tc>
      </w:tr>
      <w:tr w14:paraId="34DA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754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6CD4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铣刨沥青层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0FD0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铣刨机铣刨篮球场沥青层厚度40mm，因含有塑胶胶粘剂，沥青无残值利用，垃圾外运，运距自定。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668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F3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1576</w:t>
            </w:r>
          </w:p>
        </w:tc>
      </w:tr>
      <w:tr w14:paraId="3B3FA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00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E77B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沥青混凝土</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9ADE7">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篮球场细粒式沥青混凝土AC-10， 机械摊铺厚度40mm。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2F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08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1576</w:t>
            </w:r>
          </w:p>
        </w:tc>
      </w:tr>
      <w:tr w14:paraId="3EB82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D00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8FBF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弹性面层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925C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篮球场：8mm厚硅PU面层。</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A834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1852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1576</w:t>
            </w:r>
          </w:p>
        </w:tc>
      </w:tr>
      <w:tr w14:paraId="6E23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10D0F">
            <w:pPr>
              <w:jc w:val="center"/>
              <w:rPr>
                <w:rFonts w:hint="eastAsia" w:ascii="宋体" w:hAnsi="宋体" w:eastAsia="宋体" w:cs="宋体"/>
                <w:i w:val="0"/>
                <w:iCs w:val="0"/>
                <w:color w:val="000000"/>
                <w:kern w:val="2"/>
                <w:sz w:val="24"/>
                <w:szCs w:val="24"/>
                <w:u w:val="none"/>
                <w:lang w:val="en-US" w:eastAsia="zh-CN" w:bidi="ar-SA"/>
              </w:rPr>
            </w:pP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E6925">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原乒乓球场改排球场</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0E427">
            <w:pPr>
              <w:jc w:val="left"/>
              <w:rPr>
                <w:rFonts w:hint="eastAsia" w:ascii="宋体" w:hAnsi="宋体" w:eastAsia="宋体" w:cs="宋体"/>
                <w:i w:val="0"/>
                <w:iCs w:val="0"/>
                <w:color w:val="000000"/>
                <w:kern w:val="2"/>
                <w:sz w:val="24"/>
                <w:szCs w:val="24"/>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4209B">
            <w:pPr>
              <w:jc w:val="center"/>
              <w:rPr>
                <w:rFonts w:hint="eastAsia" w:ascii="宋体" w:hAnsi="宋体" w:eastAsia="宋体" w:cs="宋体"/>
                <w:i w:val="0"/>
                <w:iCs w:val="0"/>
                <w:color w:val="000000"/>
                <w:kern w:val="2"/>
                <w:sz w:val="24"/>
                <w:szCs w:val="24"/>
                <w:u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89D9F">
            <w:pPr>
              <w:jc w:val="center"/>
              <w:rPr>
                <w:rFonts w:hint="eastAsia" w:ascii="宋体" w:hAnsi="宋体" w:eastAsia="宋体" w:cs="宋体"/>
                <w:i w:val="0"/>
                <w:iCs w:val="0"/>
                <w:color w:val="000000"/>
                <w:kern w:val="2"/>
                <w:sz w:val="24"/>
                <w:szCs w:val="24"/>
                <w:u w:val="none"/>
                <w:lang w:val="en-US" w:eastAsia="zh-CN" w:bidi="ar-SA"/>
              </w:rPr>
            </w:pPr>
          </w:p>
        </w:tc>
      </w:tr>
      <w:tr w14:paraId="7AB9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F3C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9364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面层拆除</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4F2F4">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原乒乓球场塑胶面层拆除，垃圾外 运无公害化处理，运距自定。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AFB5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953C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600</w:t>
            </w:r>
          </w:p>
        </w:tc>
      </w:tr>
      <w:tr w14:paraId="1A5A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6E2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EC1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铣刨沥青层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AE276">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铣刨机铣刨原乒乓球场沥青层厚度40mm，因含有塑胶胶粘剂，垃圾外运，运距自定。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5D1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F45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w:t>
            </w:r>
          </w:p>
        </w:tc>
      </w:tr>
      <w:tr w14:paraId="31DB3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2DD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426AA">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沥青混凝土</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F5957">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原乒乓球场细粒式沥青混凝土AC-10， 机械摊铺厚度40mm。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8510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7CB0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600</w:t>
            </w:r>
          </w:p>
        </w:tc>
      </w:tr>
      <w:tr w14:paraId="06F9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21C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7A34A">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弹性面层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5581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原乒乓球场改排球场：8mm厚硅PU面层。</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16D0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227E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600</w:t>
            </w:r>
          </w:p>
        </w:tc>
      </w:tr>
      <w:tr w14:paraId="79D36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4332C">
            <w:pPr>
              <w:jc w:val="center"/>
              <w:rPr>
                <w:rFonts w:hint="eastAsia" w:ascii="宋体" w:hAnsi="宋体" w:eastAsia="宋体" w:cs="宋体"/>
                <w:i w:val="0"/>
                <w:iCs w:val="0"/>
                <w:color w:val="000000"/>
                <w:sz w:val="24"/>
                <w:szCs w:val="24"/>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F6CB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1D6D4">
            <w:pPr>
              <w:jc w:val="left"/>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B5CC9">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6EF44">
            <w:pPr>
              <w:jc w:val="center"/>
              <w:rPr>
                <w:rFonts w:hint="eastAsia" w:ascii="宋体" w:hAnsi="宋体" w:eastAsia="宋体" w:cs="宋体"/>
                <w:i w:val="0"/>
                <w:iCs w:val="0"/>
                <w:color w:val="000000"/>
                <w:sz w:val="24"/>
                <w:szCs w:val="24"/>
                <w:u w:val="none"/>
              </w:rPr>
            </w:pPr>
          </w:p>
        </w:tc>
      </w:tr>
      <w:tr w14:paraId="39801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C7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74B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排水沟</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835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原排水沟盖板拆除、清理沟底、垃圾外 运，重新安装新的排水沟盖板。</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17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838F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800</w:t>
            </w:r>
          </w:p>
        </w:tc>
      </w:tr>
      <w:tr w14:paraId="6778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AD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97A8E">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围网新做</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ECFD2">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rPr>
              <w:t>1.组装式围网（含大门），高4m；立柱采用φ76mm镀锌钢管，基础采用C25砼基础；上、中、下横杆采用φ60镀锌钢管；50*50mm墨绿色套塑网；含钢板、螺栓等所有安装配件；由专业厂家施工；</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09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4F70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400</w:t>
            </w:r>
          </w:p>
        </w:tc>
      </w:tr>
      <w:tr w14:paraId="0FA7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22A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CB5B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原围网网片更换及修复</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0064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原围网网片更换及修复。</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D3D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102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350</w:t>
            </w:r>
          </w:p>
        </w:tc>
      </w:tr>
      <w:tr w14:paraId="7DC25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8C9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E847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排球场训练墙</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238D6">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高4m，长8m，砖混结构训练墙。</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129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53D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bl>
    <w:p w14:paraId="2C11FBAE">
      <w:pPr>
        <w:pStyle w:val="5"/>
        <w:numPr>
          <w:ilvl w:val="0"/>
          <w:numId w:val="0"/>
        </w:numPr>
        <w:rPr>
          <w:rFonts w:hint="eastAsia"/>
          <w:lang w:val="en-US" w:eastAsia="zh-CN"/>
        </w:rPr>
      </w:pPr>
    </w:p>
    <w:p w14:paraId="4B672AC5">
      <w:pPr>
        <w:numPr>
          <w:ilvl w:val="0"/>
          <w:numId w:val="2"/>
        </w:numPr>
        <w:spacing w:line="600" w:lineRule="exact"/>
        <w:rPr>
          <w:rFonts w:hint="eastAsia" w:ascii="宋体" w:hAnsi="宋体" w:eastAsia="宋体" w:cs="宋体"/>
          <w:b w:val="0"/>
          <w:bCs w:val="0"/>
          <w:sz w:val="24"/>
          <w:szCs w:val="24"/>
          <w:lang w:val="en-US" w:eastAsia="zh-CN"/>
        </w:rPr>
      </w:pPr>
      <w:r>
        <w:rPr>
          <w:rFonts w:hint="eastAsia" w:ascii="宋体" w:hAnsi="宋体" w:cs="宋体"/>
          <w:b/>
          <w:bCs/>
          <w:color w:val="auto"/>
          <w:kern w:val="0"/>
          <w:sz w:val="24"/>
          <w:szCs w:val="24"/>
          <w:highlight w:val="none"/>
          <w:lang w:val="en-US" w:eastAsia="zh-CN" w:bidi="ar-SA"/>
        </w:rPr>
        <w:t>质保期：</w:t>
      </w:r>
      <w:r>
        <w:rPr>
          <w:rFonts w:hint="eastAsia" w:ascii="宋体" w:hAnsi="宋体" w:eastAsia="宋体" w:cs="宋体"/>
          <w:b w:val="0"/>
          <w:bCs w:val="0"/>
          <w:sz w:val="24"/>
          <w:szCs w:val="24"/>
          <w:lang w:val="en-US" w:eastAsia="zh-CN"/>
        </w:rPr>
        <w:t>本项目要求质保期为5年。</w:t>
      </w:r>
    </w:p>
    <w:p w14:paraId="5D1AA625">
      <w:pPr>
        <w:numPr>
          <w:ilvl w:val="0"/>
          <w:numId w:val="0"/>
        </w:numPr>
        <w:spacing w:line="600" w:lineRule="exact"/>
        <w:rPr>
          <w:rFonts w:hint="eastAsia"/>
          <w:lang w:val="en-US" w:eastAsia="zh-CN"/>
        </w:rPr>
      </w:pPr>
      <w:r>
        <w:rPr>
          <w:rFonts w:hint="eastAsia" w:ascii="宋体" w:hAnsi="宋体" w:cs="宋体"/>
          <w:b/>
          <w:bCs/>
          <w:color w:val="auto"/>
          <w:kern w:val="0"/>
          <w:sz w:val="24"/>
          <w:szCs w:val="24"/>
          <w:highlight w:val="none"/>
          <w:lang w:val="en-US" w:eastAsia="zh-CN" w:bidi="ar-SA"/>
        </w:rPr>
        <w:t>四、</w:t>
      </w:r>
      <w:r>
        <w:rPr>
          <w:rFonts w:hint="eastAsia" w:ascii="宋体" w:hAnsi="宋体" w:eastAsia="宋体" w:cs="宋体"/>
          <w:b/>
          <w:bCs/>
          <w:color w:val="auto"/>
          <w:kern w:val="0"/>
          <w:sz w:val="24"/>
          <w:szCs w:val="24"/>
          <w:highlight w:val="none"/>
          <w:lang w:val="en-US" w:eastAsia="zh-CN" w:bidi="ar-SA"/>
        </w:rPr>
        <w:t>本项目采用的主要技术标准和规范：</w:t>
      </w:r>
    </w:p>
    <w:p w14:paraId="3B39CFA3">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1、GB36246-2018《中小学合成材料面层运动场地》；</w:t>
      </w:r>
    </w:p>
    <w:p w14:paraId="09B55697">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cs="宋体"/>
          <w:color w:val="auto"/>
          <w:sz w:val="24"/>
          <w:szCs w:val="24"/>
          <w:highlight w:val="none"/>
          <w:lang w:val="en-US" w:eastAsia="zh-CN"/>
        </w:rPr>
        <w:t>GB/T43564-2023《中小学合成材料面层田径场地》、GB/T43565-2023《中小学合成材料面层篮球场地》</w:t>
      </w:r>
      <w:r>
        <w:rPr>
          <w:rFonts w:hint="eastAsia" w:ascii="宋体" w:hAnsi="宋体" w:eastAsia="宋体" w:cs="宋体"/>
          <w:b w:val="0"/>
          <w:bCs w:val="0"/>
          <w:color w:val="auto"/>
          <w:kern w:val="0"/>
          <w:sz w:val="24"/>
          <w:szCs w:val="24"/>
          <w:highlight w:val="none"/>
          <w:lang w:val="en-US" w:eastAsia="zh-CN" w:bidi="ar-SA"/>
        </w:rPr>
        <w:t>；</w:t>
      </w:r>
    </w:p>
    <w:p w14:paraId="3779035D">
      <w:pPr>
        <w:spacing w:line="600" w:lineRule="exact"/>
        <w:ind w:firstLine="480" w:firstLineChars="200"/>
        <w:rPr>
          <w:rFonts w:hint="default" w:ascii="宋体" w:hAnsi="宋体" w:eastAsia="宋体" w:cs="宋体"/>
          <w:bCs/>
          <w:kern w:val="0"/>
          <w:sz w:val="24"/>
          <w:highlight w:val="none"/>
          <w:lang w:val="en-US" w:eastAsia="zh-CN"/>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“混合型跑道塑胶面层”物理机械性能</w:t>
      </w:r>
      <w:r>
        <w:rPr>
          <w:rFonts w:hint="eastAsia" w:ascii="宋体" w:hAnsi="宋体" w:cs="宋体"/>
          <w:bCs/>
          <w:kern w:val="0"/>
          <w:sz w:val="24"/>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25"/>
        <w:gridCol w:w="1485"/>
      </w:tblGrid>
      <w:tr w14:paraId="10A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261D608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125" w:type="dxa"/>
            <w:noWrap w:val="0"/>
            <w:vAlign w:val="center"/>
          </w:tcPr>
          <w:p w14:paraId="7113C2D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检验项目</w:t>
            </w:r>
          </w:p>
        </w:tc>
        <w:tc>
          <w:tcPr>
            <w:tcW w:w="1485" w:type="dxa"/>
            <w:noWrap w:val="0"/>
            <w:vAlign w:val="center"/>
          </w:tcPr>
          <w:p w14:paraId="154FB9F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标准要求</w:t>
            </w:r>
          </w:p>
        </w:tc>
      </w:tr>
      <w:tr w14:paraId="0783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5" w:type="dxa"/>
            <w:gridSpan w:val="3"/>
            <w:noWrap w:val="0"/>
            <w:vAlign w:val="center"/>
          </w:tcPr>
          <w:p w14:paraId="6EBBCB29">
            <w:pPr>
              <w:ind w:firstLine="3360" w:firstLineChars="14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物理机械性能</w:t>
            </w:r>
          </w:p>
        </w:tc>
      </w:tr>
      <w:tr w14:paraId="1B60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3D4A643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125" w:type="dxa"/>
            <w:noWrap w:val="0"/>
            <w:vAlign w:val="center"/>
          </w:tcPr>
          <w:p w14:paraId="7E3AAE5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冲击吸收/%</w:t>
            </w:r>
          </w:p>
        </w:tc>
        <w:tc>
          <w:tcPr>
            <w:tcW w:w="1485" w:type="dxa"/>
            <w:noWrap w:val="0"/>
            <w:vAlign w:val="center"/>
          </w:tcPr>
          <w:p w14:paraId="22D4F89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35-50</w:t>
            </w:r>
          </w:p>
        </w:tc>
      </w:tr>
      <w:tr w14:paraId="2EEB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52D42EC3">
            <w:pPr>
              <w:jc w:val="center"/>
              <w:rPr>
                <w:rFonts w:hint="eastAsia" w:ascii="宋体" w:hAnsi="宋体" w:eastAsia="宋体" w:cs="宋体"/>
                <w:sz w:val="24"/>
                <w:szCs w:val="24"/>
              </w:rPr>
            </w:pPr>
            <w:r>
              <w:rPr>
                <w:rFonts w:hint="eastAsia" w:ascii="宋体" w:hAnsi="宋体" w:eastAsia="宋体" w:cs="宋体"/>
                <w:sz w:val="24"/>
                <w:szCs w:val="24"/>
              </w:rPr>
              <w:t>2</w:t>
            </w:r>
          </w:p>
        </w:tc>
        <w:tc>
          <w:tcPr>
            <w:tcW w:w="7125" w:type="dxa"/>
            <w:noWrap w:val="0"/>
            <w:vAlign w:val="center"/>
          </w:tcPr>
          <w:p w14:paraId="5C659801">
            <w:pPr>
              <w:jc w:val="center"/>
              <w:rPr>
                <w:rFonts w:hint="eastAsia" w:ascii="宋体" w:hAnsi="宋体" w:eastAsia="宋体" w:cs="宋体"/>
                <w:sz w:val="24"/>
                <w:szCs w:val="24"/>
              </w:rPr>
            </w:pPr>
            <w:r>
              <w:rPr>
                <w:rFonts w:hint="eastAsia" w:ascii="宋体" w:hAnsi="宋体" w:eastAsia="宋体" w:cs="宋体"/>
                <w:sz w:val="24"/>
                <w:szCs w:val="24"/>
              </w:rPr>
              <w:t>垂直变形/mm</w:t>
            </w:r>
          </w:p>
        </w:tc>
        <w:tc>
          <w:tcPr>
            <w:tcW w:w="1485" w:type="dxa"/>
            <w:noWrap w:val="0"/>
            <w:vAlign w:val="center"/>
          </w:tcPr>
          <w:p w14:paraId="4D1F7C91">
            <w:pPr>
              <w:jc w:val="center"/>
              <w:rPr>
                <w:rFonts w:hint="eastAsia" w:ascii="宋体" w:hAnsi="宋体" w:eastAsia="宋体" w:cs="宋体"/>
                <w:sz w:val="24"/>
                <w:szCs w:val="24"/>
              </w:rPr>
            </w:pPr>
            <w:r>
              <w:rPr>
                <w:rFonts w:hint="eastAsia" w:ascii="宋体" w:hAnsi="宋体" w:eastAsia="宋体" w:cs="宋体"/>
                <w:sz w:val="24"/>
                <w:szCs w:val="24"/>
              </w:rPr>
              <w:t>0.6-3.0</w:t>
            </w:r>
          </w:p>
        </w:tc>
      </w:tr>
      <w:tr w14:paraId="00FC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27DAB30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125" w:type="dxa"/>
            <w:noWrap w:val="0"/>
            <w:vAlign w:val="center"/>
          </w:tcPr>
          <w:p w14:paraId="3D43217A">
            <w:pPr>
              <w:jc w:val="center"/>
              <w:rPr>
                <w:rFonts w:hint="eastAsia" w:ascii="宋体" w:hAnsi="宋体" w:eastAsia="宋体" w:cs="宋体"/>
                <w:sz w:val="24"/>
                <w:szCs w:val="24"/>
              </w:rPr>
            </w:pPr>
            <w:r>
              <w:rPr>
                <w:rFonts w:hint="eastAsia" w:ascii="宋体" w:hAnsi="宋体" w:eastAsia="宋体" w:cs="宋体"/>
                <w:sz w:val="24"/>
                <w:szCs w:val="24"/>
              </w:rPr>
              <w:t>拉伸强度/MPa</w:t>
            </w:r>
          </w:p>
        </w:tc>
        <w:tc>
          <w:tcPr>
            <w:tcW w:w="1485" w:type="dxa"/>
            <w:noWrap w:val="0"/>
            <w:vAlign w:val="center"/>
          </w:tcPr>
          <w:p w14:paraId="04294E53">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50</w:t>
            </w:r>
          </w:p>
        </w:tc>
      </w:tr>
      <w:tr w14:paraId="7E6C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29D611A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125" w:type="dxa"/>
            <w:noWrap w:val="0"/>
            <w:vAlign w:val="center"/>
          </w:tcPr>
          <w:p w14:paraId="6A808801">
            <w:pPr>
              <w:jc w:val="center"/>
              <w:rPr>
                <w:rFonts w:hint="eastAsia" w:ascii="宋体" w:hAnsi="宋体" w:eastAsia="宋体" w:cs="宋体"/>
                <w:sz w:val="24"/>
                <w:szCs w:val="24"/>
              </w:rPr>
            </w:pPr>
            <w:r>
              <w:rPr>
                <w:rFonts w:hint="eastAsia" w:ascii="宋体" w:hAnsi="宋体" w:eastAsia="宋体" w:cs="宋体"/>
                <w:sz w:val="24"/>
                <w:szCs w:val="24"/>
              </w:rPr>
              <w:t>拉断伸长率/%</w:t>
            </w:r>
          </w:p>
        </w:tc>
        <w:tc>
          <w:tcPr>
            <w:tcW w:w="1485" w:type="dxa"/>
            <w:noWrap w:val="0"/>
            <w:vAlign w:val="center"/>
          </w:tcPr>
          <w:p w14:paraId="3B5E3DE6">
            <w:pPr>
              <w:jc w:val="center"/>
              <w:rPr>
                <w:rFonts w:hint="eastAsia" w:ascii="宋体" w:hAnsi="宋体" w:eastAsia="宋体" w:cs="宋体"/>
                <w:sz w:val="24"/>
                <w:szCs w:val="24"/>
              </w:rPr>
            </w:pPr>
            <w:r>
              <w:rPr>
                <w:rFonts w:hint="eastAsia" w:ascii="宋体" w:hAnsi="宋体" w:eastAsia="宋体" w:cs="宋体"/>
                <w:sz w:val="24"/>
                <w:szCs w:val="24"/>
              </w:rPr>
              <w:t>≥40</w:t>
            </w:r>
          </w:p>
        </w:tc>
      </w:tr>
      <w:tr w14:paraId="5CF2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0F77E69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125" w:type="dxa"/>
            <w:noWrap w:val="0"/>
            <w:vAlign w:val="center"/>
          </w:tcPr>
          <w:p w14:paraId="6B4C6139">
            <w:pPr>
              <w:jc w:val="center"/>
              <w:rPr>
                <w:rFonts w:hint="eastAsia" w:ascii="宋体" w:hAnsi="宋体" w:eastAsia="宋体" w:cs="宋体"/>
                <w:sz w:val="24"/>
                <w:szCs w:val="24"/>
              </w:rPr>
            </w:pPr>
            <w:r>
              <w:rPr>
                <w:rFonts w:hint="eastAsia" w:ascii="宋体" w:hAnsi="宋体" w:eastAsia="宋体" w:cs="宋体"/>
                <w:sz w:val="24"/>
                <w:szCs w:val="24"/>
              </w:rPr>
              <w:t>抗滑值（20℃）/BPN</w:t>
            </w:r>
          </w:p>
        </w:tc>
        <w:tc>
          <w:tcPr>
            <w:tcW w:w="1485" w:type="dxa"/>
            <w:noWrap w:val="0"/>
            <w:vAlign w:val="center"/>
          </w:tcPr>
          <w:p w14:paraId="2FA5F98E">
            <w:pPr>
              <w:jc w:val="center"/>
              <w:rPr>
                <w:rFonts w:hint="eastAsia" w:ascii="宋体" w:hAnsi="宋体" w:eastAsia="宋体" w:cs="宋体"/>
                <w:sz w:val="24"/>
                <w:szCs w:val="24"/>
              </w:rPr>
            </w:pPr>
            <w:r>
              <w:rPr>
                <w:rFonts w:hint="eastAsia" w:ascii="宋体" w:hAnsi="宋体" w:eastAsia="宋体" w:cs="宋体"/>
                <w:sz w:val="24"/>
                <w:szCs w:val="24"/>
              </w:rPr>
              <w:t>≥47（湿测）</w:t>
            </w:r>
          </w:p>
        </w:tc>
      </w:tr>
      <w:tr w14:paraId="2B3F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62F6D74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125" w:type="dxa"/>
            <w:noWrap w:val="0"/>
            <w:vAlign w:val="center"/>
          </w:tcPr>
          <w:p w14:paraId="63F5315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耐磨性/g</w:t>
            </w:r>
          </w:p>
        </w:tc>
        <w:tc>
          <w:tcPr>
            <w:tcW w:w="1485" w:type="dxa"/>
            <w:noWrap w:val="0"/>
            <w:vAlign w:val="center"/>
          </w:tcPr>
          <w:p w14:paraId="0A63B646">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.0</w:t>
            </w:r>
          </w:p>
        </w:tc>
      </w:tr>
      <w:tr w14:paraId="364F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314085A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7125" w:type="dxa"/>
            <w:noWrap w:val="0"/>
            <w:vAlign w:val="center"/>
          </w:tcPr>
          <w:p w14:paraId="767D5435">
            <w:pPr>
              <w:jc w:val="center"/>
              <w:rPr>
                <w:rFonts w:hint="eastAsia" w:ascii="宋体" w:hAnsi="宋体" w:eastAsia="宋体" w:cs="宋体"/>
                <w:sz w:val="24"/>
                <w:szCs w:val="24"/>
                <w:lang w:val="en-US" w:eastAsia="zh-CN"/>
              </w:rPr>
            </w:pPr>
            <w:r>
              <w:rPr>
                <w:rFonts w:hint="eastAsia" w:ascii="宋体" w:hAnsi="宋体" w:eastAsia="宋体" w:cs="宋体"/>
                <w:sz w:val="24"/>
                <w:szCs w:val="24"/>
              </w:rPr>
              <w:t>阻燃性能/级</w:t>
            </w:r>
          </w:p>
        </w:tc>
        <w:tc>
          <w:tcPr>
            <w:tcW w:w="1485" w:type="dxa"/>
            <w:noWrap w:val="0"/>
            <w:vAlign w:val="center"/>
          </w:tcPr>
          <w:p w14:paraId="78D0FA11">
            <w:pPr>
              <w:jc w:val="center"/>
              <w:rPr>
                <w:rFonts w:hint="eastAsia" w:ascii="宋体" w:hAnsi="宋体" w:eastAsia="宋体" w:cs="宋体"/>
                <w:sz w:val="24"/>
                <w:szCs w:val="24"/>
              </w:rPr>
            </w:pPr>
            <w:r>
              <w:rPr>
                <w:rFonts w:hint="eastAsia" w:ascii="宋体" w:hAnsi="宋体" w:eastAsia="宋体" w:cs="宋体"/>
                <w:sz w:val="24"/>
                <w:szCs w:val="24"/>
              </w:rPr>
              <w:t>I</w:t>
            </w:r>
          </w:p>
        </w:tc>
      </w:tr>
      <w:tr w14:paraId="2CBA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16138D25">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7125" w:type="dxa"/>
            <w:noWrap w:val="0"/>
            <w:vAlign w:val="center"/>
          </w:tcPr>
          <w:p w14:paraId="37F2F64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色牢度</w:t>
            </w:r>
          </w:p>
        </w:tc>
        <w:tc>
          <w:tcPr>
            <w:tcW w:w="1485" w:type="dxa"/>
            <w:noWrap w:val="0"/>
            <w:vAlign w:val="center"/>
          </w:tcPr>
          <w:p w14:paraId="546F272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干、</w:t>
            </w:r>
            <w:r>
              <w:rPr>
                <w:rFonts w:hint="eastAsia" w:ascii="宋体" w:hAnsi="宋体" w:eastAsia="宋体" w:cs="宋体"/>
                <w:sz w:val="24"/>
                <w:szCs w:val="24"/>
              </w:rPr>
              <w:t>湿</w:t>
            </w:r>
            <w:r>
              <w:rPr>
                <w:rFonts w:hint="eastAsia" w:ascii="宋体" w:hAnsi="宋体" w:eastAsia="宋体" w:cs="宋体"/>
                <w:sz w:val="24"/>
                <w:szCs w:val="24"/>
                <w:lang w:val="en-US" w:eastAsia="zh-CN"/>
              </w:rPr>
              <w:t>两种条件下均无脱色</w:t>
            </w:r>
          </w:p>
        </w:tc>
      </w:tr>
      <w:tr w14:paraId="1E9D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5" w:type="dxa"/>
            <w:gridSpan w:val="3"/>
            <w:noWrap w:val="0"/>
            <w:vAlign w:val="center"/>
          </w:tcPr>
          <w:p w14:paraId="6E17072A">
            <w:pPr>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耐老化性能</w:t>
            </w:r>
          </w:p>
        </w:tc>
      </w:tr>
      <w:tr w14:paraId="3228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189F2B2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610" w:type="dxa"/>
            <w:gridSpan w:val="2"/>
            <w:noWrap w:val="0"/>
            <w:vAlign w:val="center"/>
          </w:tcPr>
          <w:p w14:paraId="7F32E67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合成材料面层人工气候加速老化1500h后，拉伸强度和拉断伸长率应符合上表要求。</w:t>
            </w:r>
          </w:p>
        </w:tc>
      </w:tr>
      <w:tr w14:paraId="1A64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5941D4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610" w:type="dxa"/>
            <w:gridSpan w:val="2"/>
            <w:noWrap w:val="0"/>
            <w:vAlign w:val="center"/>
          </w:tcPr>
          <w:p w14:paraId="27809C7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合成材料面层湿热老化336h后，拉伸强度和拉断伸长率应符合上表要求，且老化后测定值应不低于老化前测定值的80%。</w:t>
            </w:r>
          </w:p>
        </w:tc>
      </w:tr>
    </w:tbl>
    <w:p w14:paraId="2E5FCA82">
      <w:pPr>
        <w:keepNext w:val="0"/>
        <w:keepLines w:val="0"/>
        <w:pageBreakBefore w:val="0"/>
        <w:widowControl w:val="0"/>
        <w:kinsoku/>
        <w:wordWrap/>
        <w:overflowPunct/>
        <w:topLinePunct w:val="0"/>
        <w:bidi w:val="0"/>
        <w:adjustRightInd w:val="0"/>
        <w:snapToGrid/>
        <w:spacing w:line="60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4、“混合型跑道塑胶面层”化学性能</w:t>
      </w:r>
      <w:r>
        <w:rPr>
          <w:rFonts w:hint="eastAsia" w:ascii="宋体" w:hAnsi="宋体" w:eastAsia="宋体" w:cs="宋体"/>
          <w:bCs/>
          <w:kern w:val="0"/>
          <w:sz w:val="24"/>
          <w:szCs w:val="24"/>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697"/>
        <w:gridCol w:w="3428"/>
        <w:gridCol w:w="1485"/>
      </w:tblGrid>
      <w:tr w14:paraId="5568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35" w:type="dxa"/>
            <w:noWrap w:val="0"/>
            <w:vAlign w:val="center"/>
          </w:tcPr>
          <w:p w14:paraId="5914E16E">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序号</w:t>
            </w:r>
          </w:p>
        </w:tc>
        <w:tc>
          <w:tcPr>
            <w:tcW w:w="7125" w:type="dxa"/>
            <w:gridSpan w:val="2"/>
            <w:noWrap w:val="0"/>
            <w:vAlign w:val="center"/>
          </w:tcPr>
          <w:p w14:paraId="64DBD8F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检验项目</w:t>
            </w:r>
          </w:p>
        </w:tc>
        <w:tc>
          <w:tcPr>
            <w:tcW w:w="1485" w:type="dxa"/>
            <w:noWrap w:val="0"/>
            <w:vAlign w:val="center"/>
          </w:tcPr>
          <w:p w14:paraId="7F099D9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标准要求</w:t>
            </w:r>
          </w:p>
        </w:tc>
      </w:tr>
      <w:tr w14:paraId="16B5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593609C7">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7125" w:type="dxa"/>
            <w:gridSpan w:val="2"/>
            <w:noWrap w:val="0"/>
            <w:vAlign w:val="center"/>
          </w:tcPr>
          <w:p w14:paraId="78D9D5EC">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3种邻苯二甲酸酯类化合物（DBP、BBP、DEHP）总和/（g/kg）</w:t>
            </w:r>
          </w:p>
        </w:tc>
        <w:tc>
          <w:tcPr>
            <w:tcW w:w="1485" w:type="dxa"/>
            <w:noWrap w:val="0"/>
            <w:vAlign w:val="center"/>
          </w:tcPr>
          <w:p w14:paraId="746262D5">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w:t>
            </w:r>
          </w:p>
        </w:tc>
      </w:tr>
      <w:tr w14:paraId="5BE1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58974184">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7125" w:type="dxa"/>
            <w:gridSpan w:val="2"/>
            <w:noWrap w:val="0"/>
            <w:vAlign w:val="center"/>
          </w:tcPr>
          <w:p w14:paraId="72FEAE8E">
            <w:pPr>
              <w:jc w:val="center"/>
              <w:rPr>
                <w:rFonts w:hint="eastAsia" w:ascii="宋体" w:hAnsi="宋体" w:eastAsia="宋体" w:cs="宋体"/>
                <w:sz w:val="24"/>
                <w:szCs w:val="24"/>
              </w:rPr>
            </w:pPr>
            <w:r>
              <w:rPr>
                <w:rFonts w:hint="eastAsia" w:ascii="宋体" w:hAnsi="宋体" w:eastAsia="宋体" w:cs="宋体"/>
                <w:sz w:val="24"/>
                <w:szCs w:val="24"/>
              </w:rPr>
              <w:t>3种邻苯二甲酸酯类化合物（DNOP、DINP、DIDP）总和/（g/kg）</w:t>
            </w:r>
          </w:p>
        </w:tc>
        <w:tc>
          <w:tcPr>
            <w:tcW w:w="1485" w:type="dxa"/>
            <w:noWrap w:val="0"/>
            <w:vAlign w:val="center"/>
          </w:tcPr>
          <w:p w14:paraId="25318139">
            <w:pPr>
              <w:jc w:val="center"/>
              <w:rPr>
                <w:rFonts w:hint="eastAsia" w:ascii="宋体" w:hAnsi="宋体" w:eastAsia="宋体" w:cs="宋体"/>
                <w:sz w:val="24"/>
                <w:szCs w:val="24"/>
              </w:rPr>
            </w:pPr>
            <w:r>
              <w:rPr>
                <w:rFonts w:hint="eastAsia" w:ascii="宋体" w:hAnsi="宋体" w:eastAsia="宋体" w:cs="宋体"/>
                <w:sz w:val="24"/>
                <w:szCs w:val="24"/>
              </w:rPr>
              <w:t>≤1.0</w:t>
            </w:r>
          </w:p>
        </w:tc>
      </w:tr>
      <w:tr w14:paraId="415C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14:paraId="4B1FA643">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7125" w:type="dxa"/>
            <w:gridSpan w:val="2"/>
            <w:vMerge w:val="restart"/>
            <w:noWrap w:val="0"/>
            <w:vAlign w:val="center"/>
          </w:tcPr>
          <w:p w14:paraId="05C8C1A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18种多环芳烃总和/（mg/kg）</w:t>
            </w:r>
          </w:p>
        </w:tc>
        <w:tc>
          <w:tcPr>
            <w:tcW w:w="1485" w:type="dxa"/>
            <w:noWrap w:val="0"/>
            <w:vAlign w:val="center"/>
          </w:tcPr>
          <w:p w14:paraId="6CD18B3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2BE8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0D74A6A0">
            <w:pPr>
              <w:jc w:val="center"/>
              <w:rPr>
                <w:rFonts w:hint="eastAsia" w:ascii="宋体" w:hAnsi="宋体" w:eastAsia="宋体" w:cs="宋体"/>
                <w:sz w:val="24"/>
                <w:szCs w:val="24"/>
              </w:rPr>
            </w:pPr>
          </w:p>
        </w:tc>
        <w:tc>
          <w:tcPr>
            <w:tcW w:w="7125" w:type="dxa"/>
            <w:gridSpan w:val="2"/>
            <w:vMerge w:val="continue"/>
            <w:noWrap w:val="0"/>
            <w:vAlign w:val="center"/>
          </w:tcPr>
          <w:p w14:paraId="2A7C28AA">
            <w:pPr>
              <w:jc w:val="center"/>
              <w:rPr>
                <w:rFonts w:hint="eastAsia" w:ascii="宋体" w:hAnsi="宋体" w:eastAsia="宋体" w:cs="宋体"/>
                <w:color w:val="auto"/>
                <w:sz w:val="24"/>
                <w:szCs w:val="24"/>
              </w:rPr>
            </w:pPr>
          </w:p>
        </w:tc>
        <w:tc>
          <w:tcPr>
            <w:tcW w:w="1485" w:type="dxa"/>
            <w:noWrap w:val="0"/>
            <w:vAlign w:val="center"/>
          </w:tcPr>
          <w:p w14:paraId="108F10B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14:paraId="5EB1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7C0905EA">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7125" w:type="dxa"/>
            <w:gridSpan w:val="2"/>
            <w:noWrap w:val="0"/>
            <w:vAlign w:val="center"/>
          </w:tcPr>
          <w:p w14:paraId="49B2D08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苯并【a】芘/（mg/kg）</w:t>
            </w:r>
          </w:p>
        </w:tc>
        <w:tc>
          <w:tcPr>
            <w:tcW w:w="1485" w:type="dxa"/>
            <w:noWrap w:val="0"/>
            <w:vAlign w:val="center"/>
          </w:tcPr>
          <w:p w14:paraId="71E5BFD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2D2E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77D8F9F2">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7125" w:type="dxa"/>
            <w:gridSpan w:val="2"/>
            <w:noWrap w:val="0"/>
            <w:vAlign w:val="center"/>
          </w:tcPr>
          <w:p w14:paraId="2012F59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短链氯化石蜡（C</w:t>
            </w:r>
            <w:r>
              <w:rPr>
                <w:rFonts w:hint="eastAsia" w:ascii="宋体" w:hAnsi="宋体" w:eastAsia="宋体" w:cs="宋体"/>
                <w:color w:val="auto"/>
                <w:sz w:val="24"/>
                <w:szCs w:val="24"/>
                <w:vertAlign w:val="subscript"/>
              </w:rPr>
              <w:t>10</w:t>
            </w:r>
            <w:r>
              <w:rPr>
                <w:rFonts w:hint="eastAsia" w:ascii="宋体" w:hAnsi="宋体" w:eastAsia="宋体" w:cs="宋体"/>
                <w:color w:val="auto"/>
                <w:sz w:val="24"/>
                <w:szCs w:val="24"/>
              </w:rPr>
              <w:t>-C</w:t>
            </w:r>
            <w:r>
              <w:rPr>
                <w:rFonts w:hint="eastAsia" w:ascii="宋体" w:hAnsi="宋体" w:eastAsia="宋体" w:cs="宋体"/>
                <w:color w:val="auto"/>
                <w:sz w:val="24"/>
                <w:szCs w:val="24"/>
                <w:vertAlign w:val="subscript"/>
              </w:rPr>
              <w:t>13</w:t>
            </w:r>
            <w:r>
              <w:rPr>
                <w:rFonts w:hint="eastAsia" w:ascii="宋体" w:hAnsi="宋体" w:eastAsia="宋体" w:cs="宋体"/>
                <w:color w:val="auto"/>
                <w:sz w:val="24"/>
                <w:szCs w:val="24"/>
              </w:rPr>
              <w:t>）/（g/kg）</w:t>
            </w:r>
          </w:p>
        </w:tc>
        <w:tc>
          <w:tcPr>
            <w:tcW w:w="1485" w:type="dxa"/>
            <w:noWrap w:val="0"/>
            <w:vAlign w:val="center"/>
          </w:tcPr>
          <w:p w14:paraId="34181470">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0.1</w:t>
            </w:r>
          </w:p>
        </w:tc>
      </w:tr>
      <w:tr w14:paraId="0F5B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52446586">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7125" w:type="dxa"/>
            <w:gridSpan w:val="2"/>
            <w:noWrap w:val="0"/>
            <w:vAlign w:val="center"/>
          </w:tcPr>
          <w:p w14:paraId="45CC392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4，4'-二氨基-3，3'-二氯二苯甲烷（MOCA）/（g/kg）</w:t>
            </w:r>
          </w:p>
        </w:tc>
        <w:tc>
          <w:tcPr>
            <w:tcW w:w="1485" w:type="dxa"/>
            <w:noWrap w:val="0"/>
            <w:vAlign w:val="center"/>
          </w:tcPr>
          <w:p w14:paraId="0DC4057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w:t>
            </w:r>
          </w:p>
        </w:tc>
      </w:tr>
      <w:tr w14:paraId="12C6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2B9071BE">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7125" w:type="dxa"/>
            <w:gridSpan w:val="2"/>
            <w:noWrap w:val="0"/>
            <w:vAlign w:val="center"/>
          </w:tcPr>
          <w:p w14:paraId="662D8B0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游离甲苯二异氰酸酯（TDI）和游离六亚甲基二异氰酸酯（HDI）总和/（g/kg）</w:t>
            </w:r>
          </w:p>
        </w:tc>
        <w:tc>
          <w:tcPr>
            <w:tcW w:w="1485" w:type="dxa"/>
            <w:noWrap w:val="0"/>
            <w:vAlign w:val="center"/>
          </w:tcPr>
          <w:p w14:paraId="56A5C20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≤0.2</w:t>
            </w:r>
          </w:p>
        </w:tc>
      </w:tr>
      <w:tr w14:paraId="1698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671FA71A">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7125" w:type="dxa"/>
            <w:gridSpan w:val="2"/>
            <w:noWrap w:val="0"/>
            <w:vAlign w:val="center"/>
          </w:tcPr>
          <w:p w14:paraId="05F0507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游离二苯基甲烷二异氰酸酯（MDI）/（g/kg）</w:t>
            </w:r>
          </w:p>
        </w:tc>
        <w:tc>
          <w:tcPr>
            <w:tcW w:w="1485" w:type="dxa"/>
            <w:noWrap w:val="0"/>
            <w:vAlign w:val="center"/>
          </w:tcPr>
          <w:p w14:paraId="7F7D5E0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682D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14:paraId="5EF7B106">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3697" w:type="dxa"/>
            <w:vMerge w:val="restart"/>
            <w:noWrap w:val="0"/>
            <w:vAlign w:val="center"/>
          </w:tcPr>
          <w:p w14:paraId="66198464">
            <w:pPr>
              <w:jc w:val="center"/>
              <w:rPr>
                <w:rFonts w:hint="eastAsia" w:ascii="宋体" w:hAnsi="宋体" w:eastAsia="宋体" w:cs="宋体"/>
                <w:sz w:val="24"/>
                <w:szCs w:val="24"/>
              </w:rPr>
            </w:pPr>
            <w:r>
              <w:rPr>
                <w:rFonts w:hint="eastAsia" w:ascii="宋体" w:hAnsi="宋体" w:eastAsia="宋体" w:cs="宋体"/>
                <w:sz w:val="24"/>
                <w:szCs w:val="24"/>
              </w:rPr>
              <w:t>有害物质释放量</w:t>
            </w:r>
          </w:p>
        </w:tc>
        <w:tc>
          <w:tcPr>
            <w:tcW w:w="3428" w:type="dxa"/>
            <w:noWrap w:val="0"/>
            <w:vAlign w:val="center"/>
          </w:tcPr>
          <w:p w14:paraId="749B7B1C">
            <w:pPr>
              <w:jc w:val="center"/>
              <w:rPr>
                <w:rFonts w:hint="eastAsia" w:ascii="宋体" w:hAnsi="宋体" w:eastAsia="宋体" w:cs="宋体"/>
                <w:sz w:val="24"/>
                <w:szCs w:val="24"/>
              </w:rPr>
            </w:pPr>
            <w:r>
              <w:rPr>
                <w:rFonts w:hint="eastAsia" w:ascii="宋体" w:hAnsi="宋体" w:eastAsia="宋体" w:cs="宋体"/>
                <w:sz w:val="24"/>
                <w:szCs w:val="24"/>
              </w:rPr>
              <w:t>挥发性有机化合物（TVOC）/【mg/（㎡.h）】</w:t>
            </w:r>
          </w:p>
        </w:tc>
        <w:tc>
          <w:tcPr>
            <w:tcW w:w="1485" w:type="dxa"/>
            <w:noWrap w:val="0"/>
            <w:vAlign w:val="center"/>
          </w:tcPr>
          <w:p w14:paraId="72ECE844">
            <w:pPr>
              <w:jc w:val="center"/>
              <w:rPr>
                <w:rFonts w:hint="eastAsia" w:ascii="宋体" w:hAnsi="宋体" w:eastAsia="宋体" w:cs="宋体"/>
                <w:sz w:val="24"/>
                <w:szCs w:val="24"/>
              </w:rPr>
            </w:pPr>
            <w:r>
              <w:rPr>
                <w:rFonts w:hint="eastAsia" w:ascii="宋体" w:hAnsi="宋体" w:eastAsia="宋体" w:cs="宋体"/>
                <w:sz w:val="24"/>
                <w:szCs w:val="24"/>
              </w:rPr>
              <w:t>≤5.0</w:t>
            </w:r>
          </w:p>
        </w:tc>
      </w:tr>
      <w:tr w14:paraId="2DE3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07191E3C">
            <w:pPr>
              <w:jc w:val="center"/>
              <w:rPr>
                <w:rFonts w:hint="eastAsia" w:ascii="宋体" w:hAnsi="宋体" w:eastAsia="宋体" w:cs="宋体"/>
                <w:sz w:val="24"/>
                <w:szCs w:val="24"/>
              </w:rPr>
            </w:pPr>
          </w:p>
        </w:tc>
        <w:tc>
          <w:tcPr>
            <w:tcW w:w="3697" w:type="dxa"/>
            <w:vMerge w:val="continue"/>
            <w:noWrap w:val="0"/>
            <w:vAlign w:val="center"/>
          </w:tcPr>
          <w:p w14:paraId="0AD1E63D">
            <w:pPr>
              <w:jc w:val="center"/>
              <w:rPr>
                <w:rFonts w:hint="eastAsia" w:ascii="宋体" w:hAnsi="宋体" w:eastAsia="宋体" w:cs="宋体"/>
                <w:sz w:val="24"/>
                <w:szCs w:val="24"/>
              </w:rPr>
            </w:pPr>
          </w:p>
        </w:tc>
        <w:tc>
          <w:tcPr>
            <w:tcW w:w="3428" w:type="dxa"/>
            <w:noWrap w:val="0"/>
            <w:vAlign w:val="center"/>
          </w:tcPr>
          <w:p w14:paraId="75F72220">
            <w:pPr>
              <w:jc w:val="center"/>
              <w:rPr>
                <w:rFonts w:hint="eastAsia" w:ascii="宋体" w:hAnsi="宋体" w:eastAsia="宋体" w:cs="宋体"/>
                <w:sz w:val="24"/>
                <w:szCs w:val="24"/>
              </w:rPr>
            </w:pPr>
            <w:r>
              <w:rPr>
                <w:rFonts w:hint="eastAsia" w:ascii="宋体" w:hAnsi="宋体" w:eastAsia="宋体" w:cs="宋体"/>
                <w:sz w:val="24"/>
                <w:szCs w:val="24"/>
                <w:lang w:eastAsia="zh-CN"/>
              </w:rPr>
              <w:t>苯</w:t>
            </w:r>
            <w:r>
              <w:rPr>
                <w:rFonts w:hint="eastAsia" w:ascii="宋体" w:hAnsi="宋体" w:eastAsia="宋体" w:cs="宋体"/>
                <w:sz w:val="24"/>
                <w:szCs w:val="24"/>
              </w:rPr>
              <w:t>/【mg/（㎡.h）】</w:t>
            </w:r>
          </w:p>
        </w:tc>
        <w:tc>
          <w:tcPr>
            <w:tcW w:w="1485" w:type="dxa"/>
            <w:noWrap w:val="0"/>
            <w:vAlign w:val="center"/>
          </w:tcPr>
          <w:p w14:paraId="3F958429">
            <w:pPr>
              <w:jc w:val="center"/>
              <w:rPr>
                <w:rFonts w:hint="eastAsia" w:ascii="宋体" w:hAnsi="宋体" w:eastAsia="宋体" w:cs="宋体"/>
                <w:sz w:val="24"/>
                <w:szCs w:val="24"/>
              </w:rPr>
            </w:pPr>
            <w:r>
              <w:rPr>
                <w:rFonts w:hint="eastAsia" w:ascii="宋体" w:hAnsi="宋体" w:eastAsia="宋体" w:cs="宋体"/>
                <w:sz w:val="24"/>
                <w:szCs w:val="24"/>
              </w:rPr>
              <w:t>≤0.1</w:t>
            </w:r>
          </w:p>
        </w:tc>
      </w:tr>
      <w:tr w14:paraId="3F06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0A068110">
            <w:pPr>
              <w:jc w:val="center"/>
              <w:rPr>
                <w:rFonts w:hint="eastAsia" w:ascii="宋体" w:hAnsi="宋体" w:eastAsia="宋体" w:cs="宋体"/>
                <w:sz w:val="24"/>
                <w:szCs w:val="24"/>
              </w:rPr>
            </w:pPr>
          </w:p>
        </w:tc>
        <w:tc>
          <w:tcPr>
            <w:tcW w:w="3697" w:type="dxa"/>
            <w:vMerge w:val="continue"/>
            <w:noWrap w:val="0"/>
            <w:vAlign w:val="center"/>
          </w:tcPr>
          <w:p w14:paraId="394F5C0D">
            <w:pPr>
              <w:jc w:val="center"/>
              <w:rPr>
                <w:rFonts w:hint="eastAsia" w:ascii="宋体" w:hAnsi="宋体" w:eastAsia="宋体" w:cs="宋体"/>
                <w:sz w:val="24"/>
                <w:szCs w:val="24"/>
              </w:rPr>
            </w:pPr>
          </w:p>
        </w:tc>
        <w:tc>
          <w:tcPr>
            <w:tcW w:w="3428" w:type="dxa"/>
            <w:noWrap w:val="0"/>
            <w:vAlign w:val="center"/>
          </w:tcPr>
          <w:p w14:paraId="57783D0B">
            <w:pPr>
              <w:jc w:val="center"/>
              <w:rPr>
                <w:rFonts w:hint="eastAsia" w:ascii="宋体" w:hAnsi="宋体" w:eastAsia="宋体" w:cs="宋体"/>
                <w:sz w:val="24"/>
                <w:szCs w:val="24"/>
              </w:rPr>
            </w:pPr>
            <w:r>
              <w:rPr>
                <w:rFonts w:hint="eastAsia" w:ascii="宋体" w:hAnsi="宋体" w:eastAsia="宋体" w:cs="宋体"/>
                <w:sz w:val="24"/>
                <w:szCs w:val="24"/>
              </w:rPr>
              <w:t>甲苯、二甲苯和乙苯总和/【mg/（㎡.h）】</w:t>
            </w:r>
          </w:p>
        </w:tc>
        <w:tc>
          <w:tcPr>
            <w:tcW w:w="1485" w:type="dxa"/>
            <w:noWrap w:val="0"/>
            <w:vAlign w:val="center"/>
          </w:tcPr>
          <w:p w14:paraId="2A9EAD23">
            <w:pPr>
              <w:jc w:val="center"/>
              <w:rPr>
                <w:rFonts w:hint="eastAsia" w:ascii="宋体" w:hAnsi="宋体" w:eastAsia="宋体" w:cs="宋体"/>
                <w:sz w:val="24"/>
                <w:szCs w:val="24"/>
              </w:rPr>
            </w:pPr>
            <w:r>
              <w:rPr>
                <w:rFonts w:hint="eastAsia" w:ascii="宋体" w:hAnsi="宋体" w:eastAsia="宋体" w:cs="宋体"/>
                <w:sz w:val="24"/>
                <w:szCs w:val="24"/>
              </w:rPr>
              <w:t>≤1.0</w:t>
            </w:r>
          </w:p>
        </w:tc>
      </w:tr>
      <w:tr w14:paraId="0E78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02A8436C">
            <w:pPr>
              <w:jc w:val="center"/>
              <w:rPr>
                <w:rFonts w:hint="eastAsia" w:ascii="宋体" w:hAnsi="宋体" w:eastAsia="宋体" w:cs="宋体"/>
                <w:sz w:val="24"/>
                <w:szCs w:val="24"/>
              </w:rPr>
            </w:pPr>
          </w:p>
        </w:tc>
        <w:tc>
          <w:tcPr>
            <w:tcW w:w="3697" w:type="dxa"/>
            <w:vMerge w:val="continue"/>
            <w:noWrap w:val="0"/>
            <w:vAlign w:val="center"/>
          </w:tcPr>
          <w:p w14:paraId="7C0096B8">
            <w:pPr>
              <w:jc w:val="center"/>
              <w:rPr>
                <w:rFonts w:hint="eastAsia" w:ascii="宋体" w:hAnsi="宋体" w:eastAsia="宋体" w:cs="宋体"/>
                <w:sz w:val="24"/>
                <w:szCs w:val="24"/>
              </w:rPr>
            </w:pPr>
          </w:p>
        </w:tc>
        <w:tc>
          <w:tcPr>
            <w:tcW w:w="3428" w:type="dxa"/>
            <w:noWrap w:val="0"/>
            <w:vAlign w:val="center"/>
          </w:tcPr>
          <w:p w14:paraId="25D75125">
            <w:pPr>
              <w:jc w:val="center"/>
              <w:rPr>
                <w:rFonts w:hint="eastAsia" w:ascii="宋体" w:hAnsi="宋体" w:eastAsia="宋体" w:cs="宋体"/>
                <w:sz w:val="24"/>
                <w:szCs w:val="24"/>
              </w:rPr>
            </w:pPr>
            <w:r>
              <w:rPr>
                <w:rFonts w:hint="eastAsia" w:ascii="宋体" w:hAnsi="宋体" w:eastAsia="宋体" w:cs="宋体"/>
                <w:sz w:val="24"/>
                <w:szCs w:val="24"/>
              </w:rPr>
              <w:t>甲醛/【mg/（㎡.h）】</w:t>
            </w:r>
          </w:p>
        </w:tc>
        <w:tc>
          <w:tcPr>
            <w:tcW w:w="1485" w:type="dxa"/>
            <w:noWrap w:val="0"/>
            <w:vAlign w:val="center"/>
          </w:tcPr>
          <w:p w14:paraId="7FD64965">
            <w:pPr>
              <w:jc w:val="center"/>
              <w:rPr>
                <w:rFonts w:hint="eastAsia" w:ascii="宋体" w:hAnsi="宋体" w:eastAsia="宋体" w:cs="宋体"/>
                <w:sz w:val="24"/>
                <w:szCs w:val="24"/>
              </w:rPr>
            </w:pPr>
            <w:r>
              <w:rPr>
                <w:rFonts w:hint="eastAsia" w:ascii="宋体" w:hAnsi="宋体" w:eastAsia="宋体" w:cs="宋体"/>
                <w:sz w:val="24"/>
                <w:szCs w:val="24"/>
              </w:rPr>
              <w:t>≤0.4</w:t>
            </w:r>
          </w:p>
        </w:tc>
      </w:tr>
      <w:tr w14:paraId="536D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1A3CF97B">
            <w:pPr>
              <w:jc w:val="center"/>
              <w:rPr>
                <w:rFonts w:hint="eastAsia" w:ascii="宋体" w:hAnsi="宋体" w:eastAsia="宋体" w:cs="宋体"/>
                <w:sz w:val="24"/>
                <w:szCs w:val="24"/>
              </w:rPr>
            </w:pPr>
          </w:p>
        </w:tc>
        <w:tc>
          <w:tcPr>
            <w:tcW w:w="3697" w:type="dxa"/>
            <w:vMerge w:val="continue"/>
            <w:noWrap w:val="0"/>
            <w:vAlign w:val="center"/>
          </w:tcPr>
          <w:p w14:paraId="6B94A7F3">
            <w:pPr>
              <w:jc w:val="center"/>
              <w:rPr>
                <w:rFonts w:hint="eastAsia" w:ascii="宋体" w:hAnsi="宋体" w:eastAsia="宋体" w:cs="宋体"/>
                <w:sz w:val="24"/>
                <w:szCs w:val="24"/>
              </w:rPr>
            </w:pPr>
          </w:p>
        </w:tc>
        <w:tc>
          <w:tcPr>
            <w:tcW w:w="3428" w:type="dxa"/>
            <w:noWrap w:val="0"/>
            <w:vAlign w:val="center"/>
          </w:tcPr>
          <w:p w14:paraId="7133A9DE">
            <w:pPr>
              <w:jc w:val="center"/>
              <w:rPr>
                <w:rFonts w:hint="eastAsia" w:ascii="宋体" w:hAnsi="宋体" w:eastAsia="宋体" w:cs="宋体"/>
                <w:sz w:val="24"/>
                <w:szCs w:val="24"/>
              </w:rPr>
            </w:pPr>
            <w:r>
              <w:rPr>
                <w:rFonts w:hint="eastAsia" w:ascii="宋体" w:hAnsi="宋体" w:eastAsia="宋体" w:cs="宋体"/>
                <w:sz w:val="24"/>
                <w:szCs w:val="24"/>
              </w:rPr>
              <w:t>二硫化碳/【mg/（㎡.h）】</w:t>
            </w:r>
          </w:p>
        </w:tc>
        <w:tc>
          <w:tcPr>
            <w:tcW w:w="1485" w:type="dxa"/>
            <w:noWrap w:val="0"/>
            <w:vAlign w:val="center"/>
          </w:tcPr>
          <w:p w14:paraId="2F820C67">
            <w:pPr>
              <w:jc w:val="center"/>
              <w:rPr>
                <w:rFonts w:hint="eastAsia" w:ascii="宋体" w:hAnsi="宋体" w:eastAsia="宋体" w:cs="宋体"/>
                <w:sz w:val="24"/>
                <w:szCs w:val="24"/>
              </w:rPr>
            </w:pPr>
            <w:r>
              <w:rPr>
                <w:rFonts w:hint="eastAsia" w:ascii="宋体" w:hAnsi="宋体" w:eastAsia="宋体" w:cs="宋体"/>
                <w:sz w:val="24"/>
                <w:szCs w:val="24"/>
              </w:rPr>
              <w:t>≤7.0</w:t>
            </w:r>
          </w:p>
        </w:tc>
      </w:tr>
      <w:tr w14:paraId="4878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14:paraId="45A78424">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3697" w:type="dxa"/>
            <w:vMerge w:val="restart"/>
            <w:noWrap w:val="0"/>
            <w:vAlign w:val="center"/>
          </w:tcPr>
          <w:p w14:paraId="124936FA">
            <w:pPr>
              <w:jc w:val="center"/>
              <w:rPr>
                <w:rFonts w:hint="eastAsia" w:ascii="宋体" w:hAnsi="宋体" w:eastAsia="宋体" w:cs="宋体"/>
                <w:sz w:val="24"/>
                <w:szCs w:val="24"/>
              </w:rPr>
            </w:pPr>
          </w:p>
          <w:p w14:paraId="1B9FA694">
            <w:pPr>
              <w:jc w:val="center"/>
              <w:rPr>
                <w:rFonts w:hint="eastAsia" w:ascii="宋体" w:hAnsi="宋体" w:eastAsia="宋体" w:cs="宋体"/>
                <w:sz w:val="24"/>
                <w:szCs w:val="24"/>
              </w:rPr>
            </w:pPr>
            <w:r>
              <w:rPr>
                <w:rFonts w:hint="eastAsia" w:ascii="宋体" w:hAnsi="宋体" w:eastAsia="宋体" w:cs="宋体"/>
                <w:sz w:val="24"/>
                <w:szCs w:val="24"/>
              </w:rPr>
              <w:t>有害物质含量</w:t>
            </w:r>
          </w:p>
        </w:tc>
        <w:tc>
          <w:tcPr>
            <w:tcW w:w="3428" w:type="dxa"/>
            <w:noWrap w:val="0"/>
            <w:vAlign w:val="center"/>
          </w:tcPr>
          <w:p w14:paraId="37264832">
            <w:pPr>
              <w:jc w:val="center"/>
              <w:rPr>
                <w:rFonts w:hint="eastAsia" w:ascii="宋体" w:hAnsi="宋体" w:eastAsia="宋体" w:cs="宋体"/>
                <w:sz w:val="24"/>
                <w:szCs w:val="24"/>
              </w:rPr>
            </w:pPr>
            <w:r>
              <w:rPr>
                <w:rFonts w:hint="eastAsia" w:ascii="宋体" w:hAnsi="宋体" w:eastAsia="宋体" w:cs="宋体"/>
                <w:sz w:val="24"/>
                <w:szCs w:val="24"/>
              </w:rPr>
              <w:t>可溶性铅/（mg/kg）</w:t>
            </w:r>
          </w:p>
        </w:tc>
        <w:tc>
          <w:tcPr>
            <w:tcW w:w="1485" w:type="dxa"/>
            <w:noWrap w:val="0"/>
            <w:vAlign w:val="center"/>
          </w:tcPr>
          <w:p w14:paraId="448216A2">
            <w:pPr>
              <w:jc w:val="center"/>
              <w:rPr>
                <w:rFonts w:hint="eastAsia" w:ascii="宋体" w:hAnsi="宋体" w:eastAsia="宋体" w:cs="宋体"/>
                <w:sz w:val="24"/>
                <w:szCs w:val="24"/>
              </w:rPr>
            </w:pPr>
            <w:r>
              <w:rPr>
                <w:rFonts w:hint="eastAsia" w:ascii="宋体" w:hAnsi="宋体" w:eastAsia="宋体" w:cs="宋体"/>
                <w:sz w:val="24"/>
                <w:szCs w:val="24"/>
              </w:rPr>
              <w:t>≤50</w:t>
            </w:r>
          </w:p>
        </w:tc>
      </w:tr>
      <w:tr w14:paraId="351E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163BEBA7">
            <w:pPr>
              <w:jc w:val="center"/>
              <w:rPr>
                <w:rFonts w:hint="eastAsia" w:ascii="宋体" w:hAnsi="宋体" w:eastAsia="宋体" w:cs="宋体"/>
                <w:sz w:val="24"/>
                <w:szCs w:val="24"/>
              </w:rPr>
            </w:pPr>
          </w:p>
        </w:tc>
        <w:tc>
          <w:tcPr>
            <w:tcW w:w="3697" w:type="dxa"/>
            <w:vMerge w:val="continue"/>
            <w:noWrap w:val="0"/>
            <w:vAlign w:val="center"/>
          </w:tcPr>
          <w:p w14:paraId="695B5F18">
            <w:pPr>
              <w:jc w:val="center"/>
              <w:rPr>
                <w:rFonts w:hint="eastAsia" w:ascii="宋体" w:hAnsi="宋体" w:eastAsia="宋体" w:cs="宋体"/>
                <w:sz w:val="24"/>
                <w:szCs w:val="24"/>
              </w:rPr>
            </w:pPr>
          </w:p>
        </w:tc>
        <w:tc>
          <w:tcPr>
            <w:tcW w:w="3428" w:type="dxa"/>
            <w:noWrap w:val="0"/>
            <w:vAlign w:val="center"/>
          </w:tcPr>
          <w:p w14:paraId="71AF6933">
            <w:pPr>
              <w:jc w:val="center"/>
              <w:rPr>
                <w:rFonts w:hint="eastAsia" w:ascii="宋体" w:hAnsi="宋体" w:eastAsia="宋体" w:cs="宋体"/>
                <w:sz w:val="24"/>
                <w:szCs w:val="24"/>
              </w:rPr>
            </w:pPr>
            <w:r>
              <w:rPr>
                <w:rFonts w:hint="eastAsia" w:ascii="宋体" w:hAnsi="宋体" w:eastAsia="宋体" w:cs="宋体"/>
                <w:sz w:val="24"/>
                <w:szCs w:val="24"/>
              </w:rPr>
              <w:t>可溶性镉/（mg/kg）</w:t>
            </w:r>
          </w:p>
        </w:tc>
        <w:tc>
          <w:tcPr>
            <w:tcW w:w="1485" w:type="dxa"/>
            <w:noWrap w:val="0"/>
            <w:vAlign w:val="center"/>
          </w:tcPr>
          <w:p w14:paraId="5E38CD3D">
            <w:pPr>
              <w:jc w:val="center"/>
              <w:rPr>
                <w:rFonts w:hint="eastAsia" w:ascii="宋体" w:hAnsi="宋体" w:eastAsia="宋体" w:cs="宋体"/>
                <w:sz w:val="24"/>
                <w:szCs w:val="24"/>
              </w:rPr>
            </w:pPr>
            <w:r>
              <w:rPr>
                <w:rFonts w:hint="eastAsia" w:ascii="宋体" w:hAnsi="宋体" w:eastAsia="宋体" w:cs="宋体"/>
                <w:sz w:val="24"/>
                <w:szCs w:val="24"/>
              </w:rPr>
              <w:t>≤10</w:t>
            </w:r>
          </w:p>
        </w:tc>
      </w:tr>
      <w:tr w14:paraId="0589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3BAAE9B9">
            <w:pPr>
              <w:jc w:val="center"/>
              <w:rPr>
                <w:rFonts w:hint="eastAsia" w:ascii="宋体" w:hAnsi="宋体" w:eastAsia="宋体" w:cs="宋体"/>
                <w:sz w:val="24"/>
                <w:szCs w:val="24"/>
              </w:rPr>
            </w:pPr>
          </w:p>
        </w:tc>
        <w:tc>
          <w:tcPr>
            <w:tcW w:w="3697" w:type="dxa"/>
            <w:vMerge w:val="continue"/>
            <w:noWrap w:val="0"/>
            <w:vAlign w:val="center"/>
          </w:tcPr>
          <w:p w14:paraId="37F8AA50">
            <w:pPr>
              <w:jc w:val="center"/>
              <w:rPr>
                <w:rFonts w:hint="eastAsia" w:ascii="宋体" w:hAnsi="宋体" w:eastAsia="宋体" w:cs="宋体"/>
                <w:sz w:val="24"/>
                <w:szCs w:val="24"/>
              </w:rPr>
            </w:pPr>
          </w:p>
        </w:tc>
        <w:tc>
          <w:tcPr>
            <w:tcW w:w="3428" w:type="dxa"/>
            <w:noWrap w:val="0"/>
            <w:vAlign w:val="center"/>
          </w:tcPr>
          <w:p w14:paraId="3974338C">
            <w:pPr>
              <w:jc w:val="center"/>
              <w:rPr>
                <w:rFonts w:hint="eastAsia" w:ascii="宋体" w:hAnsi="宋体" w:eastAsia="宋体" w:cs="宋体"/>
                <w:sz w:val="24"/>
                <w:szCs w:val="24"/>
              </w:rPr>
            </w:pPr>
            <w:r>
              <w:rPr>
                <w:rFonts w:hint="eastAsia" w:ascii="宋体" w:hAnsi="宋体" w:eastAsia="宋体" w:cs="宋体"/>
                <w:sz w:val="24"/>
                <w:szCs w:val="24"/>
              </w:rPr>
              <w:t>可溶性铬/（mg/kg）</w:t>
            </w:r>
          </w:p>
        </w:tc>
        <w:tc>
          <w:tcPr>
            <w:tcW w:w="1485" w:type="dxa"/>
            <w:noWrap w:val="0"/>
            <w:vAlign w:val="center"/>
          </w:tcPr>
          <w:p w14:paraId="460DDB0E">
            <w:pPr>
              <w:jc w:val="center"/>
              <w:rPr>
                <w:rFonts w:hint="eastAsia" w:ascii="宋体" w:hAnsi="宋体" w:eastAsia="宋体" w:cs="宋体"/>
                <w:sz w:val="24"/>
                <w:szCs w:val="24"/>
              </w:rPr>
            </w:pPr>
            <w:r>
              <w:rPr>
                <w:rFonts w:hint="eastAsia" w:ascii="宋体" w:hAnsi="宋体" w:eastAsia="宋体" w:cs="宋体"/>
                <w:sz w:val="24"/>
                <w:szCs w:val="24"/>
              </w:rPr>
              <w:t>≤10</w:t>
            </w:r>
          </w:p>
        </w:tc>
      </w:tr>
      <w:tr w14:paraId="4837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2B327D30">
            <w:pPr>
              <w:jc w:val="center"/>
              <w:rPr>
                <w:rFonts w:hint="eastAsia" w:ascii="宋体" w:hAnsi="宋体" w:eastAsia="宋体" w:cs="宋体"/>
                <w:sz w:val="24"/>
                <w:szCs w:val="24"/>
              </w:rPr>
            </w:pPr>
          </w:p>
        </w:tc>
        <w:tc>
          <w:tcPr>
            <w:tcW w:w="3697" w:type="dxa"/>
            <w:vMerge w:val="continue"/>
            <w:noWrap w:val="0"/>
            <w:vAlign w:val="center"/>
          </w:tcPr>
          <w:p w14:paraId="20823B16">
            <w:pPr>
              <w:jc w:val="center"/>
              <w:rPr>
                <w:rFonts w:hint="eastAsia" w:ascii="宋体" w:hAnsi="宋体" w:eastAsia="宋体" w:cs="宋体"/>
                <w:sz w:val="24"/>
                <w:szCs w:val="24"/>
              </w:rPr>
            </w:pPr>
          </w:p>
        </w:tc>
        <w:tc>
          <w:tcPr>
            <w:tcW w:w="3428" w:type="dxa"/>
            <w:noWrap w:val="0"/>
            <w:vAlign w:val="center"/>
          </w:tcPr>
          <w:p w14:paraId="3C24495B">
            <w:pPr>
              <w:jc w:val="center"/>
              <w:rPr>
                <w:rFonts w:hint="eastAsia" w:ascii="宋体" w:hAnsi="宋体" w:eastAsia="宋体" w:cs="宋体"/>
                <w:sz w:val="24"/>
                <w:szCs w:val="24"/>
              </w:rPr>
            </w:pPr>
            <w:r>
              <w:rPr>
                <w:rFonts w:hint="eastAsia" w:ascii="宋体" w:hAnsi="宋体" w:eastAsia="宋体" w:cs="宋体"/>
                <w:sz w:val="24"/>
                <w:szCs w:val="24"/>
              </w:rPr>
              <w:t>可溶性汞/（mg/kg）</w:t>
            </w:r>
          </w:p>
        </w:tc>
        <w:tc>
          <w:tcPr>
            <w:tcW w:w="1485" w:type="dxa"/>
            <w:noWrap w:val="0"/>
            <w:vAlign w:val="center"/>
          </w:tcPr>
          <w:p w14:paraId="670BBA31">
            <w:pPr>
              <w:jc w:val="center"/>
              <w:rPr>
                <w:rFonts w:hint="eastAsia" w:ascii="宋体" w:hAnsi="宋体" w:eastAsia="宋体" w:cs="宋体"/>
                <w:sz w:val="24"/>
                <w:szCs w:val="24"/>
              </w:rPr>
            </w:pPr>
            <w:r>
              <w:rPr>
                <w:rFonts w:hint="eastAsia" w:ascii="宋体" w:hAnsi="宋体" w:eastAsia="宋体" w:cs="宋体"/>
                <w:sz w:val="24"/>
                <w:szCs w:val="24"/>
              </w:rPr>
              <w:t>≤2</w:t>
            </w:r>
          </w:p>
        </w:tc>
      </w:tr>
      <w:tr w14:paraId="1DB0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548D846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3697" w:type="dxa"/>
            <w:noWrap w:val="0"/>
            <w:vAlign w:val="center"/>
          </w:tcPr>
          <w:p w14:paraId="373D074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气味</w:t>
            </w:r>
          </w:p>
        </w:tc>
        <w:tc>
          <w:tcPr>
            <w:tcW w:w="3428" w:type="dxa"/>
            <w:noWrap w:val="0"/>
            <w:vAlign w:val="center"/>
          </w:tcPr>
          <w:p w14:paraId="513CDD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气味等级/级</w:t>
            </w:r>
          </w:p>
        </w:tc>
        <w:tc>
          <w:tcPr>
            <w:tcW w:w="1485" w:type="dxa"/>
            <w:noWrap w:val="0"/>
            <w:vAlign w:val="center"/>
          </w:tcPr>
          <w:p w14:paraId="40113DB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313A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5" w:type="dxa"/>
            <w:noWrap w:val="0"/>
            <w:vAlign w:val="center"/>
          </w:tcPr>
          <w:p w14:paraId="73B08DB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7125" w:type="dxa"/>
            <w:gridSpan w:val="2"/>
            <w:noWrap w:val="0"/>
            <w:vAlign w:val="center"/>
          </w:tcPr>
          <w:p w14:paraId="45D21BA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无机填料含量/%</w:t>
            </w:r>
          </w:p>
        </w:tc>
        <w:tc>
          <w:tcPr>
            <w:tcW w:w="1485" w:type="dxa"/>
            <w:noWrap w:val="0"/>
            <w:vAlign w:val="center"/>
          </w:tcPr>
          <w:p w14:paraId="0D9791A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0</w:t>
            </w:r>
          </w:p>
        </w:tc>
      </w:tr>
    </w:tbl>
    <w:p w14:paraId="0E977734">
      <w:pPr>
        <w:numPr>
          <w:ilvl w:val="0"/>
          <w:numId w:val="3"/>
        </w:numPr>
        <w:spacing w:line="600" w:lineRule="exact"/>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“硅PU球场面层”物理机械性能</w:t>
      </w:r>
      <w:r>
        <w:rPr>
          <w:rFonts w:hint="eastAsia" w:ascii="宋体" w:hAnsi="宋体" w:eastAsia="宋体" w:cs="宋体"/>
          <w:bCs/>
          <w:color w:val="auto"/>
          <w:kern w:val="0"/>
          <w:sz w:val="24"/>
          <w:szCs w:val="24"/>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25"/>
        <w:gridCol w:w="1485"/>
      </w:tblGrid>
      <w:tr w14:paraId="6012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97C535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125" w:type="dxa"/>
            <w:noWrap w:val="0"/>
            <w:vAlign w:val="center"/>
          </w:tcPr>
          <w:p w14:paraId="65F7053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检验项目</w:t>
            </w:r>
          </w:p>
        </w:tc>
        <w:tc>
          <w:tcPr>
            <w:tcW w:w="1485" w:type="dxa"/>
            <w:noWrap w:val="0"/>
            <w:vAlign w:val="center"/>
          </w:tcPr>
          <w:p w14:paraId="09DAF19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标准要求</w:t>
            </w:r>
          </w:p>
        </w:tc>
      </w:tr>
      <w:tr w14:paraId="4789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5" w:type="dxa"/>
            <w:gridSpan w:val="3"/>
            <w:noWrap w:val="0"/>
            <w:vAlign w:val="center"/>
          </w:tcPr>
          <w:p w14:paraId="12D4F77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物理机械性能</w:t>
            </w:r>
          </w:p>
        </w:tc>
      </w:tr>
      <w:tr w14:paraId="5FE6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5DDC8B4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125" w:type="dxa"/>
            <w:noWrap w:val="0"/>
            <w:vAlign w:val="center"/>
          </w:tcPr>
          <w:p w14:paraId="4D957F9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冲击吸收/%</w:t>
            </w:r>
          </w:p>
        </w:tc>
        <w:tc>
          <w:tcPr>
            <w:tcW w:w="1485" w:type="dxa"/>
            <w:noWrap w:val="0"/>
            <w:vAlign w:val="center"/>
          </w:tcPr>
          <w:p w14:paraId="4A7369C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-50</w:t>
            </w:r>
          </w:p>
        </w:tc>
      </w:tr>
      <w:tr w14:paraId="5FFB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29DE00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125" w:type="dxa"/>
            <w:noWrap w:val="0"/>
            <w:vAlign w:val="center"/>
          </w:tcPr>
          <w:p w14:paraId="094F03F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垂直变形/mm</w:t>
            </w:r>
          </w:p>
        </w:tc>
        <w:tc>
          <w:tcPr>
            <w:tcW w:w="1485" w:type="dxa"/>
            <w:noWrap w:val="0"/>
            <w:vAlign w:val="center"/>
          </w:tcPr>
          <w:p w14:paraId="671D169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0.6-3.0</w:t>
            </w:r>
          </w:p>
        </w:tc>
      </w:tr>
      <w:tr w14:paraId="2B98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526CEEB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125" w:type="dxa"/>
            <w:noWrap w:val="0"/>
            <w:vAlign w:val="center"/>
          </w:tcPr>
          <w:p w14:paraId="30D00C6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球反弹率/%</w:t>
            </w:r>
          </w:p>
        </w:tc>
        <w:tc>
          <w:tcPr>
            <w:tcW w:w="1485" w:type="dxa"/>
            <w:noWrap w:val="0"/>
            <w:vAlign w:val="center"/>
          </w:tcPr>
          <w:p w14:paraId="6E37F2C7">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75</w:t>
            </w:r>
          </w:p>
        </w:tc>
      </w:tr>
      <w:tr w14:paraId="15A5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30DEE28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125" w:type="dxa"/>
            <w:noWrap w:val="0"/>
            <w:vAlign w:val="center"/>
          </w:tcPr>
          <w:p w14:paraId="2465C0D6">
            <w:pPr>
              <w:jc w:val="center"/>
              <w:rPr>
                <w:rFonts w:hint="eastAsia" w:ascii="宋体" w:hAnsi="宋体" w:eastAsia="宋体" w:cs="宋体"/>
                <w:sz w:val="24"/>
                <w:szCs w:val="24"/>
              </w:rPr>
            </w:pPr>
            <w:r>
              <w:rPr>
                <w:rFonts w:hint="eastAsia" w:ascii="宋体" w:hAnsi="宋体" w:eastAsia="宋体" w:cs="宋体"/>
                <w:sz w:val="24"/>
                <w:szCs w:val="24"/>
              </w:rPr>
              <w:t>拉伸强度/MPa</w:t>
            </w:r>
          </w:p>
        </w:tc>
        <w:tc>
          <w:tcPr>
            <w:tcW w:w="1485" w:type="dxa"/>
            <w:noWrap w:val="0"/>
            <w:vAlign w:val="center"/>
          </w:tcPr>
          <w:p w14:paraId="195523C1">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50</w:t>
            </w:r>
          </w:p>
        </w:tc>
      </w:tr>
      <w:tr w14:paraId="769B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2DB2F24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125" w:type="dxa"/>
            <w:noWrap w:val="0"/>
            <w:vAlign w:val="center"/>
          </w:tcPr>
          <w:p w14:paraId="75FA682E">
            <w:pPr>
              <w:jc w:val="center"/>
              <w:rPr>
                <w:rFonts w:hint="eastAsia" w:ascii="宋体" w:hAnsi="宋体" w:eastAsia="宋体" w:cs="宋体"/>
                <w:sz w:val="24"/>
                <w:szCs w:val="24"/>
              </w:rPr>
            </w:pPr>
            <w:r>
              <w:rPr>
                <w:rFonts w:hint="eastAsia" w:ascii="宋体" w:hAnsi="宋体" w:eastAsia="宋体" w:cs="宋体"/>
                <w:sz w:val="24"/>
                <w:szCs w:val="24"/>
              </w:rPr>
              <w:t>拉断伸长率/%</w:t>
            </w:r>
          </w:p>
        </w:tc>
        <w:tc>
          <w:tcPr>
            <w:tcW w:w="1485" w:type="dxa"/>
            <w:noWrap w:val="0"/>
            <w:vAlign w:val="center"/>
          </w:tcPr>
          <w:p w14:paraId="47C487CE">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0</w:t>
            </w:r>
          </w:p>
        </w:tc>
      </w:tr>
      <w:tr w14:paraId="6554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0AA9CA4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125" w:type="dxa"/>
            <w:noWrap w:val="0"/>
            <w:vAlign w:val="center"/>
          </w:tcPr>
          <w:p w14:paraId="1A877EAA">
            <w:pPr>
              <w:jc w:val="center"/>
              <w:rPr>
                <w:rFonts w:hint="eastAsia" w:ascii="宋体" w:hAnsi="宋体" w:eastAsia="宋体" w:cs="宋体"/>
                <w:sz w:val="24"/>
                <w:szCs w:val="24"/>
              </w:rPr>
            </w:pPr>
            <w:r>
              <w:rPr>
                <w:rFonts w:hint="eastAsia" w:ascii="宋体" w:hAnsi="宋体" w:eastAsia="宋体" w:cs="宋体"/>
                <w:sz w:val="24"/>
                <w:szCs w:val="24"/>
              </w:rPr>
              <w:t>抗滑值（20℃）/BPN</w:t>
            </w:r>
          </w:p>
        </w:tc>
        <w:tc>
          <w:tcPr>
            <w:tcW w:w="1485" w:type="dxa"/>
            <w:noWrap w:val="0"/>
            <w:vAlign w:val="center"/>
          </w:tcPr>
          <w:p w14:paraId="145B9D07">
            <w:pPr>
              <w:jc w:val="center"/>
              <w:rPr>
                <w:rFonts w:hint="eastAsia" w:ascii="宋体" w:hAnsi="宋体" w:eastAsia="宋体" w:cs="宋体"/>
                <w:sz w:val="24"/>
                <w:szCs w:val="24"/>
              </w:rPr>
            </w:pPr>
            <w:r>
              <w:rPr>
                <w:rFonts w:hint="eastAsia" w:ascii="宋体" w:hAnsi="宋体" w:eastAsia="宋体" w:cs="宋体"/>
                <w:sz w:val="24"/>
                <w:szCs w:val="24"/>
                <w:lang w:val="en-US" w:eastAsia="zh-CN"/>
              </w:rPr>
              <w:t>80-110</w:t>
            </w:r>
            <w:r>
              <w:rPr>
                <w:rFonts w:hint="eastAsia" w:ascii="宋体" w:hAnsi="宋体" w:eastAsia="宋体" w:cs="宋体"/>
                <w:sz w:val="24"/>
                <w:szCs w:val="24"/>
              </w:rPr>
              <w:t>（</w:t>
            </w:r>
            <w:r>
              <w:rPr>
                <w:rFonts w:hint="eastAsia" w:ascii="宋体" w:hAnsi="宋体" w:eastAsia="宋体" w:cs="宋体"/>
                <w:sz w:val="24"/>
                <w:szCs w:val="24"/>
                <w:lang w:val="en-US" w:eastAsia="zh-CN"/>
              </w:rPr>
              <w:t>干</w:t>
            </w:r>
            <w:r>
              <w:rPr>
                <w:rFonts w:hint="eastAsia" w:ascii="宋体" w:hAnsi="宋体" w:eastAsia="宋体" w:cs="宋体"/>
                <w:sz w:val="24"/>
                <w:szCs w:val="24"/>
              </w:rPr>
              <w:t>测）</w:t>
            </w:r>
          </w:p>
        </w:tc>
      </w:tr>
      <w:tr w14:paraId="2EC6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3498782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7125" w:type="dxa"/>
            <w:noWrap w:val="0"/>
            <w:vAlign w:val="center"/>
          </w:tcPr>
          <w:p w14:paraId="3B24C210">
            <w:pPr>
              <w:jc w:val="center"/>
              <w:rPr>
                <w:rFonts w:hint="eastAsia" w:ascii="宋体" w:hAnsi="宋体" w:eastAsia="宋体" w:cs="宋体"/>
                <w:sz w:val="24"/>
                <w:szCs w:val="24"/>
                <w:lang w:val="en-US" w:eastAsia="zh-CN"/>
              </w:rPr>
            </w:pPr>
            <w:r>
              <w:rPr>
                <w:rFonts w:hint="eastAsia" w:ascii="宋体" w:hAnsi="宋体" w:eastAsia="宋体" w:cs="宋体"/>
                <w:sz w:val="24"/>
                <w:szCs w:val="24"/>
              </w:rPr>
              <w:t>阻燃性能/级</w:t>
            </w:r>
          </w:p>
        </w:tc>
        <w:tc>
          <w:tcPr>
            <w:tcW w:w="1485" w:type="dxa"/>
            <w:noWrap w:val="0"/>
            <w:vAlign w:val="center"/>
          </w:tcPr>
          <w:p w14:paraId="51B4E312">
            <w:pPr>
              <w:jc w:val="center"/>
              <w:rPr>
                <w:rFonts w:hint="eastAsia" w:ascii="宋体" w:hAnsi="宋体" w:eastAsia="宋体" w:cs="宋体"/>
                <w:sz w:val="24"/>
                <w:szCs w:val="24"/>
              </w:rPr>
            </w:pPr>
            <w:r>
              <w:rPr>
                <w:rFonts w:hint="eastAsia" w:ascii="宋体" w:hAnsi="宋体" w:eastAsia="宋体" w:cs="宋体"/>
                <w:sz w:val="24"/>
                <w:szCs w:val="24"/>
              </w:rPr>
              <w:t>I</w:t>
            </w:r>
          </w:p>
        </w:tc>
      </w:tr>
      <w:tr w14:paraId="6F8C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3BDEE9B2">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7125" w:type="dxa"/>
            <w:noWrap w:val="0"/>
            <w:vAlign w:val="center"/>
          </w:tcPr>
          <w:p w14:paraId="711AC00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色牢度</w:t>
            </w:r>
          </w:p>
        </w:tc>
        <w:tc>
          <w:tcPr>
            <w:tcW w:w="1485" w:type="dxa"/>
            <w:noWrap w:val="0"/>
            <w:vAlign w:val="center"/>
          </w:tcPr>
          <w:p w14:paraId="13B6ADDD">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干、</w:t>
            </w:r>
            <w:r>
              <w:rPr>
                <w:rFonts w:hint="eastAsia" w:ascii="宋体" w:hAnsi="宋体" w:eastAsia="宋体" w:cs="宋体"/>
                <w:sz w:val="24"/>
                <w:szCs w:val="24"/>
                <w:highlight w:val="none"/>
              </w:rPr>
              <w:t>湿</w:t>
            </w:r>
            <w:r>
              <w:rPr>
                <w:rFonts w:hint="eastAsia" w:ascii="宋体" w:hAnsi="宋体" w:eastAsia="宋体" w:cs="宋体"/>
                <w:sz w:val="24"/>
                <w:szCs w:val="24"/>
                <w:highlight w:val="none"/>
                <w:lang w:val="en-US" w:eastAsia="zh-CN"/>
              </w:rPr>
              <w:t>两种条件下均无脱色</w:t>
            </w:r>
          </w:p>
        </w:tc>
      </w:tr>
      <w:tr w14:paraId="4580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5" w:type="dxa"/>
            <w:gridSpan w:val="3"/>
            <w:noWrap w:val="0"/>
            <w:vAlign w:val="center"/>
          </w:tcPr>
          <w:p w14:paraId="4C5A46B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耐老化性能</w:t>
            </w:r>
          </w:p>
        </w:tc>
      </w:tr>
      <w:tr w14:paraId="7100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6702063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8610" w:type="dxa"/>
            <w:gridSpan w:val="2"/>
            <w:noWrap w:val="0"/>
            <w:vAlign w:val="center"/>
          </w:tcPr>
          <w:p w14:paraId="06CD180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合成材料面层人工气候加速老化1500h后，拉伸强度和拉断伸长率应符合上表要求。</w:t>
            </w:r>
          </w:p>
        </w:tc>
      </w:tr>
      <w:tr w14:paraId="190A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6791AB5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8610" w:type="dxa"/>
            <w:gridSpan w:val="2"/>
            <w:noWrap w:val="0"/>
            <w:vAlign w:val="center"/>
          </w:tcPr>
          <w:p w14:paraId="6C25DEB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合成材料面层湿热老化336h后，拉伸强度和拉断伸长率应符合上表要求，且老化后测定值应不低于老化前测定值的80%。</w:t>
            </w:r>
          </w:p>
        </w:tc>
      </w:tr>
    </w:tbl>
    <w:p w14:paraId="794C2727">
      <w:pPr>
        <w:keepNext w:val="0"/>
        <w:keepLines w:val="0"/>
        <w:pageBreakBefore w:val="0"/>
        <w:widowControl w:val="0"/>
        <w:kinsoku/>
        <w:wordWrap/>
        <w:overflowPunct/>
        <w:topLinePunct w:val="0"/>
        <w:bidi w:val="0"/>
        <w:adjustRightInd w:val="0"/>
        <w:snapToGrid/>
        <w:spacing w:line="60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6、“硅PU球场面层”化学性能</w:t>
      </w:r>
      <w:r>
        <w:rPr>
          <w:rFonts w:hint="eastAsia" w:ascii="宋体" w:hAnsi="宋体" w:eastAsia="宋体" w:cs="宋体"/>
          <w:bCs/>
          <w:kern w:val="0"/>
          <w:sz w:val="24"/>
          <w:szCs w:val="24"/>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697"/>
        <w:gridCol w:w="3428"/>
        <w:gridCol w:w="1485"/>
      </w:tblGrid>
      <w:tr w14:paraId="1EAB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70F7C304">
            <w:pPr>
              <w:jc w:val="center"/>
              <w:rPr>
                <w:rFonts w:hint="eastAsia" w:ascii="宋体" w:hAnsi="宋体" w:eastAsia="宋体" w:cs="宋体"/>
                <w:sz w:val="24"/>
                <w:szCs w:val="24"/>
                <w:lang w:eastAsia="zh-CN"/>
              </w:rPr>
            </w:pPr>
            <w:r>
              <w:rPr>
                <w:rFonts w:hint="eastAsia" w:ascii="宋体" w:hAnsi="宋体" w:eastAsia="宋体" w:cs="宋体"/>
                <w:sz w:val="24"/>
                <w:szCs w:val="24"/>
                <w:highlight w:val="none"/>
              </w:rPr>
              <w:t>序号</w:t>
            </w:r>
          </w:p>
        </w:tc>
        <w:tc>
          <w:tcPr>
            <w:tcW w:w="7125" w:type="dxa"/>
            <w:gridSpan w:val="2"/>
            <w:noWrap w:val="0"/>
            <w:vAlign w:val="center"/>
          </w:tcPr>
          <w:p w14:paraId="179AE4E2">
            <w:pPr>
              <w:jc w:val="center"/>
              <w:rPr>
                <w:rFonts w:hint="eastAsia" w:ascii="宋体" w:hAnsi="宋体" w:eastAsia="宋体" w:cs="宋体"/>
                <w:sz w:val="24"/>
                <w:szCs w:val="24"/>
              </w:rPr>
            </w:pPr>
            <w:r>
              <w:rPr>
                <w:rFonts w:hint="eastAsia" w:ascii="宋体" w:hAnsi="宋体" w:eastAsia="宋体" w:cs="宋体"/>
                <w:sz w:val="24"/>
                <w:szCs w:val="24"/>
                <w:highlight w:val="none"/>
              </w:rPr>
              <w:t>检验项目</w:t>
            </w:r>
          </w:p>
        </w:tc>
        <w:tc>
          <w:tcPr>
            <w:tcW w:w="1485" w:type="dxa"/>
            <w:noWrap w:val="0"/>
            <w:vAlign w:val="center"/>
          </w:tcPr>
          <w:p w14:paraId="119491F1">
            <w:pPr>
              <w:jc w:val="center"/>
              <w:rPr>
                <w:rFonts w:hint="eastAsia" w:ascii="宋体" w:hAnsi="宋体" w:eastAsia="宋体" w:cs="宋体"/>
                <w:sz w:val="24"/>
                <w:szCs w:val="24"/>
              </w:rPr>
            </w:pPr>
            <w:r>
              <w:rPr>
                <w:rFonts w:hint="eastAsia" w:ascii="宋体" w:hAnsi="宋体" w:eastAsia="宋体" w:cs="宋体"/>
                <w:sz w:val="24"/>
                <w:szCs w:val="24"/>
                <w:highlight w:val="none"/>
              </w:rPr>
              <w:t>标准要求</w:t>
            </w:r>
          </w:p>
        </w:tc>
      </w:tr>
      <w:tr w14:paraId="5C49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2D9019A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7125" w:type="dxa"/>
            <w:gridSpan w:val="2"/>
            <w:noWrap w:val="0"/>
            <w:vAlign w:val="center"/>
          </w:tcPr>
          <w:p w14:paraId="14D95DB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3种邻苯二甲酸酯类化合物（DBP、BBP、DEHP）总和/（g/kg）</w:t>
            </w:r>
          </w:p>
        </w:tc>
        <w:tc>
          <w:tcPr>
            <w:tcW w:w="1485" w:type="dxa"/>
            <w:noWrap w:val="0"/>
            <w:vAlign w:val="center"/>
          </w:tcPr>
          <w:p w14:paraId="6FB53F3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w:t>
            </w:r>
          </w:p>
        </w:tc>
      </w:tr>
      <w:tr w14:paraId="4E82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0218D4F4">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7125" w:type="dxa"/>
            <w:gridSpan w:val="2"/>
            <w:noWrap w:val="0"/>
            <w:vAlign w:val="center"/>
          </w:tcPr>
          <w:p w14:paraId="477A4D8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3种邻苯二甲酸酯类化合物（DNOP、DINP、DIDP）总和/（g/kg）</w:t>
            </w:r>
          </w:p>
        </w:tc>
        <w:tc>
          <w:tcPr>
            <w:tcW w:w="1485" w:type="dxa"/>
            <w:noWrap w:val="0"/>
            <w:vAlign w:val="center"/>
          </w:tcPr>
          <w:p w14:paraId="643129D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288F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14:paraId="3792EC04">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7125" w:type="dxa"/>
            <w:gridSpan w:val="2"/>
            <w:vMerge w:val="restart"/>
            <w:noWrap w:val="0"/>
            <w:vAlign w:val="center"/>
          </w:tcPr>
          <w:p w14:paraId="396F28A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18种多环芳烃总和/（mg/kg）</w:t>
            </w:r>
          </w:p>
        </w:tc>
        <w:tc>
          <w:tcPr>
            <w:tcW w:w="1485" w:type="dxa"/>
            <w:noWrap w:val="0"/>
            <w:vAlign w:val="center"/>
          </w:tcPr>
          <w:p w14:paraId="2FB8403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04B9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5487C631">
            <w:pPr>
              <w:jc w:val="center"/>
              <w:rPr>
                <w:rFonts w:hint="eastAsia" w:ascii="宋体" w:hAnsi="宋体" w:eastAsia="宋体" w:cs="宋体"/>
                <w:sz w:val="24"/>
                <w:szCs w:val="24"/>
              </w:rPr>
            </w:pPr>
          </w:p>
        </w:tc>
        <w:tc>
          <w:tcPr>
            <w:tcW w:w="7125" w:type="dxa"/>
            <w:gridSpan w:val="2"/>
            <w:vMerge w:val="continue"/>
            <w:noWrap w:val="0"/>
            <w:vAlign w:val="center"/>
          </w:tcPr>
          <w:p w14:paraId="7E770127">
            <w:pPr>
              <w:jc w:val="center"/>
              <w:rPr>
                <w:rFonts w:hint="eastAsia" w:ascii="宋体" w:hAnsi="宋体" w:eastAsia="宋体" w:cs="宋体"/>
                <w:color w:val="auto"/>
                <w:sz w:val="24"/>
                <w:szCs w:val="24"/>
              </w:rPr>
            </w:pPr>
          </w:p>
        </w:tc>
        <w:tc>
          <w:tcPr>
            <w:tcW w:w="1485" w:type="dxa"/>
            <w:noWrap w:val="0"/>
            <w:vAlign w:val="center"/>
          </w:tcPr>
          <w:p w14:paraId="2F8622A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14:paraId="0F64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27184BA">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7125" w:type="dxa"/>
            <w:gridSpan w:val="2"/>
            <w:noWrap w:val="0"/>
            <w:vAlign w:val="center"/>
          </w:tcPr>
          <w:p w14:paraId="125A45D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苯并【a】芘/（mg/kg）</w:t>
            </w:r>
          </w:p>
        </w:tc>
        <w:tc>
          <w:tcPr>
            <w:tcW w:w="1485" w:type="dxa"/>
            <w:noWrap w:val="0"/>
            <w:vAlign w:val="center"/>
          </w:tcPr>
          <w:p w14:paraId="1AEECDD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004A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21E658B8">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7125" w:type="dxa"/>
            <w:gridSpan w:val="2"/>
            <w:noWrap w:val="0"/>
            <w:vAlign w:val="center"/>
          </w:tcPr>
          <w:p w14:paraId="54C5400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短链氯化石蜡（C</w:t>
            </w:r>
            <w:r>
              <w:rPr>
                <w:rFonts w:hint="eastAsia" w:ascii="宋体" w:hAnsi="宋体" w:eastAsia="宋体" w:cs="宋体"/>
                <w:color w:val="auto"/>
                <w:sz w:val="24"/>
                <w:szCs w:val="24"/>
                <w:vertAlign w:val="subscript"/>
              </w:rPr>
              <w:t>10</w:t>
            </w:r>
            <w:r>
              <w:rPr>
                <w:rFonts w:hint="eastAsia" w:ascii="宋体" w:hAnsi="宋体" w:eastAsia="宋体" w:cs="宋体"/>
                <w:color w:val="auto"/>
                <w:sz w:val="24"/>
                <w:szCs w:val="24"/>
              </w:rPr>
              <w:t>-C</w:t>
            </w:r>
            <w:r>
              <w:rPr>
                <w:rFonts w:hint="eastAsia" w:ascii="宋体" w:hAnsi="宋体" w:eastAsia="宋体" w:cs="宋体"/>
                <w:color w:val="auto"/>
                <w:sz w:val="24"/>
                <w:szCs w:val="24"/>
                <w:vertAlign w:val="subscript"/>
              </w:rPr>
              <w:t>13</w:t>
            </w:r>
            <w:r>
              <w:rPr>
                <w:rFonts w:hint="eastAsia" w:ascii="宋体" w:hAnsi="宋体" w:eastAsia="宋体" w:cs="宋体"/>
                <w:color w:val="auto"/>
                <w:sz w:val="24"/>
                <w:szCs w:val="24"/>
              </w:rPr>
              <w:t>）/（g/kg）</w:t>
            </w:r>
          </w:p>
        </w:tc>
        <w:tc>
          <w:tcPr>
            <w:tcW w:w="1485" w:type="dxa"/>
            <w:noWrap w:val="0"/>
            <w:vAlign w:val="center"/>
          </w:tcPr>
          <w:p w14:paraId="05460D6C">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0.1</w:t>
            </w:r>
          </w:p>
        </w:tc>
      </w:tr>
      <w:tr w14:paraId="4543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39480DF">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7125" w:type="dxa"/>
            <w:gridSpan w:val="2"/>
            <w:noWrap w:val="0"/>
            <w:vAlign w:val="center"/>
          </w:tcPr>
          <w:p w14:paraId="773A549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4，4'-二氨基-3，3'-二氯二苯甲烷（MOCA）/（g/kg）</w:t>
            </w:r>
          </w:p>
        </w:tc>
        <w:tc>
          <w:tcPr>
            <w:tcW w:w="1485" w:type="dxa"/>
            <w:noWrap w:val="0"/>
            <w:vAlign w:val="center"/>
          </w:tcPr>
          <w:p w14:paraId="65DBB3D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w:t>
            </w:r>
          </w:p>
        </w:tc>
      </w:tr>
      <w:tr w14:paraId="6AB7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6E6DCFC3">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7125" w:type="dxa"/>
            <w:gridSpan w:val="2"/>
            <w:noWrap w:val="0"/>
            <w:vAlign w:val="center"/>
          </w:tcPr>
          <w:p w14:paraId="27EDEB2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游离甲苯二异氰酸酯（TDI）和游离六亚甲基二异氰酸酯（HDI）总和/（g/kg）</w:t>
            </w:r>
          </w:p>
        </w:tc>
        <w:tc>
          <w:tcPr>
            <w:tcW w:w="1485" w:type="dxa"/>
            <w:noWrap w:val="0"/>
            <w:vAlign w:val="center"/>
          </w:tcPr>
          <w:p w14:paraId="23A76D0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≤0.2</w:t>
            </w:r>
          </w:p>
        </w:tc>
      </w:tr>
      <w:tr w14:paraId="0FCE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217561D5">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7125" w:type="dxa"/>
            <w:gridSpan w:val="2"/>
            <w:noWrap w:val="0"/>
            <w:vAlign w:val="center"/>
          </w:tcPr>
          <w:p w14:paraId="3239B91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游离二苯基甲烷二异氰酸酯（MDI）/（g/kg）</w:t>
            </w:r>
          </w:p>
        </w:tc>
        <w:tc>
          <w:tcPr>
            <w:tcW w:w="1485" w:type="dxa"/>
            <w:noWrap w:val="0"/>
            <w:vAlign w:val="center"/>
          </w:tcPr>
          <w:p w14:paraId="5D1FE4F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4509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14:paraId="418EFCB3">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3697" w:type="dxa"/>
            <w:vMerge w:val="restart"/>
            <w:noWrap w:val="0"/>
            <w:vAlign w:val="center"/>
          </w:tcPr>
          <w:p w14:paraId="3FCD86BD">
            <w:pPr>
              <w:jc w:val="center"/>
              <w:rPr>
                <w:rFonts w:hint="eastAsia" w:ascii="宋体" w:hAnsi="宋体" w:eastAsia="宋体" w:cs="宋体"/>
                <w:sz w:val="24"/>
                <w:szCs w:val="24"/>
              </w:rPr>
            </w:pPr>
            <w:r>
              <w:rPr>
                <w:rFonts w:hint="eastAsia" w:ascii="宋体" w:hAnsi="宋体" w:eastAsia="宋体" w:cs="宋体"/>
                <w:sz w:val="24"/>
                <w:szCs w:val="24"/>
              </w:rPr>
              <w:t>有害物质释放量</w:t>
            </w:r>
          </w:p>
        </w:tc>
        <w:tc>
          <w:tcPr>
            <w:tcW w:w="3428" w:type="dxa"/>
            <w:noWrap w:val="0"/>
            <w:vAlign w:val="center"/>
          </w:tcPr>
          <w:p w14:paraId="0524F8C3">
            <w:pPr>
              <w:jc w:val="center"/>
              <w:rPr>
                <w:rFonts w:hint="eastAsia" w:ascii="宋体" w:hAnsi="宋体" w:eastAsia="宋体" w:cs="宋体"/>
                <w:sz w:val="24"/>
                <w:szCs w:val="24"/>
              </w:rPr>
            </w:pPr>
            <w:r>
              <w:rPr>
                <w:rFonts w:hint="eastAsia" w:ascii="宋体" w:hAnsi="宋体" w:eastAsia="宋体" w:cs="宋体"/>
                <w:sz w:val="24"/>
                <w:szCs w:val="24"/>
              </w:rPr>
              <w:t>挥发性有机化合物（TVOC）/【mg/（㎡.h）】</w:t>
            </w:r>
          </w:p>
        </w:tc>
        <w:tc>
          <w:tcPr>
            <w:tcW w:w="1485" w:type="dxa"/>
            <w:noWrap w:val="0"/>
            <w:vAlign w:val="center"/>
          </w:tcPr>
          <w:p w14:paraId="3AB0763C">
            <w:pPr>
              <w:jc w:val="center"/>
              <w:rPr>
                <w:rFonts w:hint="eastAsia" w:ascii="宋体" w:hAnsi="宋体" w:eastAsia="宋体" w:cs="宋体"/>
                <w:sz w:val="24"/>
                <w:szCs w:val="24"/>
              </w:rPr>
            </w:pPr>
            <w:r>
              <w:rPr>
                <w:rFonts w:hint="eastAsia" w:ascii="宋体" w:hAnsi="宋体" w:eastAsia="宋体" w:cs="宋体"/>
                <w:sz w:val="24"/>
                <w:szCs w:val="24"/>
              </w:rPr>
              <w:t>≤5.0</w:t>
            </w:r>
          </w:p>
        </w:tc>
      </w:tr>
      <w:tr w14:paraId="3A74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542426A3">
            <w:pPr>
              <w:jc w:val="center"/>
              <w:rPr>
                <w:rFonts w:hint="eastAsia" w:ascii="宋体" w:hAnsi="宋体" w:eastAsia="宋体" w:cs="宋体"/>
                <w:sz w:val="24"/>
                <w:szCs w:val="24"/>
              </w:rPr>
            </w:pPr>
          </w:p>
        </w:tc>
        <w:tc>
          <w:tcPr>
            <w:tcW w:w="3697" w:type="dxa"/>
            <w:vMerge w:val="continue"/>
            <w:noWrap w:val="0"/>
            <w:vAlign w:val="center"/>
          </w:tcPr>
          <w:p w14:paraId="4EE3D2DF">
            <w:pPr>
              <w:jc w:val="center"/>
              <w:rPr>
                <w:rFonts w:hint="eastAsia" w:ascii="宋体" w:hAnsi="宋体" w:eastAsia="宋体" w:cs="宋体"/>
                <w:sz w:val="24"/>
                <w:szCs w:val="24"/>
              </w:rPr>
            </w:pPr>
          </w:p>
        </w:tc>
        <w:tc>
          <w:tcPr>
            <w:tcW w:w="3428" w:type="dxa"/>
            <w:noWrap w:val="0"/>
            <w:vAlign w:val="center"/>
          </w:tcPr>
          <w:p w14:paraId="11C0402D">
            <w:pPr>
              <w:jc w:val="center"/>
              <w:rPr>
                <w:rFonts w:hint="eastAsia" w:ascii="宋体" w:hAnsi="宋体" w:eastAsia="宋体" w:cs="宋体"/>
                <w:sz w:val="24"/>
                <w:szCs w:val="24"/>
              </w:rPr>
            </w:pPr>
            <w:r>
              <w:rPr>
                <w:rFonts w:hint="eastAsia" w:ascii="宋体" w:hAnsi="宋体" w:eastAsia="宋体" w:cs="宋体"/>
                <w:sz w:val="24"/>
                <w:szCs w:val="24"/>
                <w:lang w:eastAsia="zh-CN"/>
              </w:rPr>
              <w:t>苯</w:t>
            </w:r>
            <w:r>
              <w:rPr>
                <w:rFonts w:hint="eastAsia" w:ascii="宋体" w:hAnsi="宋体" w:eastAsia="宋体" w:cs="宋体"/>
                <w:sz w:val="24"/>
                <w:szCs w:val="24"/>
              </w:rPr>
              <w:t>/【mg/（㎡.h）】</w:t>
            </w:r>
          </w:p>
        </w:tc>
        <w:tc>
          <w:tcPr>
            <w:tcW w:w="1485" w:type="dxa"/>
            <w:noWrap w:val="0"/>
            <w:vAlign w:val="center"/>
          </w:tcPr>
          <w:p w14:paraId="50B1AB90">
            <w:pPr>
              <w:jc w:val="center"/>
              <w:rPr>
                <w:rFonts w:hint="eastAsia" w:ascii="宋体" w:hAnsi="宋体" w:eastAsia="宋体" w:cs="宋体"/>
                <w:sz w:val="24"/>
                <w:szCs w:val="24"/>
              </w:rPr>
            </w:pPr>
            <w:r>
              <w:rPr>
                <w:rFonts w:hint="eastAsia" w:ascii="宋体" w:hAnsi="宋体" w:eastAsia="宋体" w:cs="宋体"/>
                <w:sz w:val="24"/>
                <w:szCs w:val="24"/>
              </w:rPr>
              <w:t>≤0.1</w:t>
            </w:r>
          </w:p>
        </w:tc>
      </w:tr>
      <w:tr w14:paraId="6D58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3A46DAB0">
            <w:pPr>
              <w:jc w:val="center"/>
              <w:rPr>
                <w:rFonts w:hint="eastAsia" w:ascii="宋体" w:hAnsi="宋体" w:eastAsia="宋体" w:cs="宋体"/>
                <w:sz w:val="24"/>
                <w:szCs w:val="24"/>
              </w:rPr>
            </w:pPr>
          </w:p>
        </w:tc>
        <w:tc>
          <w:tcPr>
            <w:tcW w:w="3697" w:type="dxa"/>
            <w:vMerge w:val="continue"/>
            <w:noWrap w:val="0"/>
            <w:vAlign w:val="center"/>
          </w:tcPr>
          <w:p w14:paraId="1E587C28">
            <w:pPr>
              <w:jc w:val="center"/>
              <w:rPr>
                <w:rFonts w:hint="eastAsia" w:ascii="宋体" w:hAnsi="宋体" w:eastAsia="宋体" w:cs="宋体"/>
                <w:sz w:val="24"/>
                <w:szCs w:val="24"/>
              </w:rPr>
            </w:pPr>
          </w:p>
        </w:tc>
        <w:tc>
          <w:tcPr>
            <w:tcW w:w="3428" w:type="dxa"/>
            <w:noWrap w:val="0"/>
            <w:vAlign w:val="center"/>
          </w:tcPr>
          <w:p w14:paraId="108CBB9E">
            <w:pPr>
              <w:jc w:val="center"/>
              <w:rPr>
                <w:rFonts w:hint="eastAsia" w:ascii="宋体" w:hAnsi="宋体" w:eastAsia="宋体" w:cs="宋体"/>
                <w:sz w:val="24"/>
                <w:szCs w:val="24"/>
              </w:rPr>
            </w:pPr>
            <w:r>
              <w:rPr>
                <w:rFonts w:hint="eastAsia" w:ascii="宋体" w:hAnsi="宋体" w:eastAsia="宋体" w:cs="宋体"/>
                <w:sz w:val="24"/>
                <w:szCs w:val="24"/>
              </w:rPr>
              <w:t>甲苯、二甲苯和乙苯总和/【mg/（㎡.h）】</w:t>
            </w:r>
          </w:p>
        </w:tc>
        <w:tc>
          <w:tcPr>
            <w:tcW w:w="1485" w:type="dxa"/>
            <w:noWrap w:val="0"/>
            <w:vAlign w:val="center"/>
          </w:tcPr>
          <w:p w14:paraId="38A56ED1">
            <w:pPr>
              <w:jc w:val="center"/>
              <w:rPr>
                <w:rFonts w:hint="eastAsia" w:ascii="宋体" w:hAnsi="宋体" w:eastAsia="宋体" w:cs="宋体"/>
                <w:sz w:val="24"/>
                <w:szCs w:val="24"/>
              </w:rPr>
            </w:pPr>
            <w:r>
              <w:rPr>
                <w:rFonts w:hint="eastAsia" w:ascii="宋体" w:hAnsi="宋体" w:eastAsia="宋体" w:cs="宋体"/>
                <w:sz w:val="24"/>
                <w:szCs w:val="24"/>
              </w:rPr>
              <w:t>≤1.0</w:t>
            </w:r>
          </w:p>
        </w:tc>
      </w:tr>
      <w:tr w14:paraId="3CA7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213304F1">
            <w:pPr>
              <w:jc w:val="center"/>
              <w:rPr>
                <w:rFonts w:hint="eastAsia" w:ascii="宋体" w:hAnsi="宋体" w:eastAsia="宋体" w:cs="宋体"/>
                <w:sz w:val="24"/>
                <w:szCs w:val="24"/>
              </w:rPr>
            </w:pPr>
          </w:p>
        </w:tc>
        <w:tc>
          <w:tcPr>
            <w:tcW w:w="3697" w:type="dxa"/>
            <w:vMerge w:val="continue"/>
            <w:noWrap w:val="0"/>
            <w:vAlign w:val="center"/>
          </w:tcPr>
          <w:p w14:paraId="72B0B49F">
            <w:pPr>
              <w:jc w:val="center"/>
              <w:rPr>
                <w:rFonts w:hint="eastAsia" w:ascii="宋体" w:hAnsi="宋体" w:eastAsia="宋体" w:cs="宋体"/>
                <w:sz w:val="24"/>
                <w:szCs w:val="24"/>
              </w:rPr>
            </w:pPr>
          </w:p>
        </w:tc>
        <w:tc>
          <w:tcPr>
            <w:tcW w:w="3428" w:type="dxa"/>
            <w:noWrap w:val="0"/>
            <w:vAlign w:val="center"/>
          </w:tcPr>
          <w:p w14:paraId="300B1D1B">
            <w:pPr>
              <w:jc w:val="center"/>
              <w:rPr>
                <w:rFonts w:hint="eastAsia" w:ascii="宋体" w:hAnsi="宋体" w:eastAsia="宋体" w:cs="宋体"/>
                <w:sz w:val="24"/>
                <w:szCs w:val="24"/>
              </w:rPr>
            </w:pPr>
            <w:r>
              <w:rPr>
                <w:rFonts w:hint="eastAsia" w:ascii="宋体" w:hAnsi="宋体" w:eastAsia="宋体" w:cs="宋体"/>
                <w:sz w:val="24"/>
                <w:szCs w:val="24"/>
              </w:rPr>
              <w:t>甲醛/【mg/（㎡.h）】</w:t>
            </w:r>
          </w:p>
        </w:tc>
        <w:tc>
          <w:tcPr>
            <w:tcW w:w="1485" w:type="dxa"/>
            <w:noWrap w:val="0"/>
            <w:vAlign w:val="center"/>
          </w:tcPr>
          <w:p w14:paraId="01057564">
            <w:pPr>
              <w:jc w:val="center"/>
              <w:rPr>
                <w:rFonts w:hint="eastAsia" w:ascii="宋体" w:hAnsi="宋体" w:eastAsia="宋体" w:cs="宋体"/>
                <w:sz w:val="24"/>
                <w:szCs w:val="24"/>
              </w:rPr>
            </w:pPr>
            <w:r>
              <w:rPr>
                <w:rFonts w:hint="eastAsia" w:ascii="宋体" w:hAnsi="宋体" w:eastAsia="宋体" w:cs="宋体"/>
                <w:sz w:val="24"/>
                <w:szCs w:val="24"/>
              </w:rPr>
              <w:t>≤0.4</w:t>
            </w:r>
          </w:p>
        </w:tc>
      </w:tr>
      <w:tr w14:paraId="686A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69C0E919">
            <w:pPr>
              <w:jc w:val="center"/>
              <w:rPr>
                <w:rFonts w:hint="eastAsia" w:ascii="宋体" w:hAnsi="宋体" w:eastAsia="宋体" w:cs="宋体"/>
                <w:sz w:val="24"/>
                <w:szCs w:val="24"/>
              </w:rPr>
            </w:pPr>
          </w:p>
        </w:tc>
        <w:tc>
          <w:tcPr>
            <w:tcW w:w="3697" w:type="dxa"/>
            <w:vMerge w:val="continue"/>
            <w:noWrap w:val="0"/>
            <w:vAlign w:val="center"/>
          </w:tcPr>
          <w:p w14:paraId="5CD5B867">
            <w:pPr>
              <w:jc w:val="center"/>
              <w:rPr>
                <w:rFonts w:hint="eastAsia" w:ascii="宋体" w:hAnsi="宋体" w:eastAsia="宋体" w:cs="宋体"/>
                <w:sz w:val="24"/>
                <w:szCs w:val="24"/>
              </w:rPr>
            </w:pPr>
          </w:p>
        </w:tc>
        <w:tc>
          <w:tcPr>
            <w:tcW w:w="3428" w:type="dxa"/>
            <w:noWrap w:val="0"/>
            <w:vAlign w:val="center"/>
          </w:tcPr>
          <w:p w14:paraId="6B9996E9">
            <w:pPr>
              <w:jc w:val="center"/>
              <w:rPr>
                <w:rFonts w:hint="eastAsia" w:ascii="宋体" w:hAnsi="宋体" w:eastAsia="宋体" w:cs="宋体"/>
                <w:sz w:val="24"/>
                <w:szCs w:val="24"/>
              </w:rPr>
            </w:pPr>
            <w:r>
              <w:rPr>
                <w:rFonts w:hint="eastAsia" w:ascii="宋体" w:hAnsi="宋体" w:eastAsia="宋体" w:cs="宋体"/>
                <w:sz w:val="24"/>
                <w:szCs w:val="24"/>
              </w:rPr>
              <w:t>二硫化碳/【mg/（㎡.h）】</w:t>
            </w:r>
          </w:p>
        </w:tc>
        <w:tc>
          <w:tcPr>
            <w:tcW w:w="1485" w:type="dxa"/>
            <w:noWrap w:val="0"/>
            <w:vAlign w:val="center"/>
          </w:tcPr>
          <w:p w14:paraId="28BE3555">
            <w:pPr>
              <w:jc w:val="center"/>
              <w:rPr>
                <w:rFonts w:hint="eastAsia" w:ascii="宋体" w:hAnsi="宋体" w:eastAsia="宋体" w:cs="宋体"/>
                <w:sz w:val="24"/>
                <w:szCs w:val="24"/>
              </w:rPr>
            </w:pPr>
            <w:r>
              <w:rPr>
                <w:rFonts w:hint="eastAsia" w:ascii="宋体" w:hAnsi="宋体" w:eastAsia="宋体" w:cs="宋体"/>
                <w:sz w:val="24"/>
                <w:szCs w:val="24"/>
              </w:rPr>
              <w:t>≤7.0</w:t>
            </w:r>
          </w:p>
        </w:tc>
      </w:tr>
      <w:tr w14:paraId="3B94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14:paraId="341D72D2">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3697" w:type="dxa"/>
            <w:vMerge w:val="restart"/>
            <w:noWrap w:val="0"/>
            <w:vAlign w:val="center"/>
          </w:tcPr>
          <w:p w14:paraId="0764E5DF">
            <w:pPr>
              <w:jc w:val="center"/>
              <w:rPr>
                <w:rFonts w:hint="eastAsia" w:ascii="宋体" w:hAnsi="宋体" w:eastAsia="宋体" w:cs="宋体"/>
                <w:sz w:val="24"/>
                <w:szCs w:val="24"/>
              </w:rPr>
            </w:pPr>
          </w:p>
          <w:p w14:paraId="414FACB9">
            <w:pPr>
              <w:jc w:val="center"/>
              <w:rPr>
                <w:rFonts w:hint="eastAsia" w:ascii="宋体" w:hAnsi="宋体" w:eastAsia="宋体" w:cs="宋体"/>
                <w:sz w:val="24"/>
                <w:szCs w:val="24"/>
              </w:rPr>
            </w:pPr>
            <w:r>
              <w:rPr>
                <w:rFonts w:hint="eastAsia" w:ascii="宋体" w:hAnsi="宋体" w:eastAsia="宋体" w:cs="宋体"/>
                <w:sz w:val="24"/>
                <w:szCs w:val="24"/>
              </w:rPr>
              <w:t>有害物质含量</w:t>
            </w:r>
          </w:p>
        </w:tc>
        <w:tc>
          <w:tcPr>
            <w:tcW w:w="3428" w:type="dxa"/>
            <w:noWrap w:val="0"/>
            <w:vAlign w:val="center"/>
          </w:tcPr>
          <w:p w14:paraId="29C6043D">
            <w:pPr>
              <w:jc w:val="center"/>
              <w:rPr>
                <w:rFonts w:hint="eastAsia" w:ascii="宋体" w:hAnsi="宋体" w:eastAsia="宋体" w:cs="宋体"/>
                <w:sz w:val="24"/>
                <w:szCs w:val="24"/>
              </w:rPr>
            </w:pPr>
            <w:r>
              <w:rPr>
                <w:rFonts w:hint="eastAsia" w:ascii="宋体" w:hAnsi="宋体" w:eastAsia="宋体" w:cs="宋体"/>
                <w:sz w:val="24"/>
                <w:szCs w:val="24"/>
              </w:rPr>
              <w:t>可溶性铅/（mg/kg）</w:t>
            </w:r>
          </w:p>
        </w:tc>
        <w:tc>
          <w:tcPr>
            <w:tcW w:w="1485" w:type="dxa"/>
            <w:noWrap w:val="0"/>
            <w:vAlign w:val="center"/>
          </w:tcPr>
          <w:p w14:paraId="2F4B7EAF">
            <w:pPr>
              <w:jc w:val="center"/>
              <w:rPr>
                <w:rFonts w:hint="eastAsia" w:ascii="宋体" w:hAnsi="宋体" w:eastAsia="宋体" w:cs="宋体"/>
                <w:sz w:val="24"/>
                <w:szCs w:val="24"/>
              </w:rPr>
            </w:pPr>
            <w:r>
              <w:rPr>
                <w:rFonts w:hint="eastAsia" w:ascii="宋体" w:hAnsi="宋体" w:eastAsia="宋体" w:cs="宋体"/>
                <w:sz w:val="24"/>
                <w:szCs w:val="24"/>
              </w:rPr>
              <w:t>≤50</w:t>
            </w:r>
          </w:p>
        </w:tc>
      </w:tr>
      <w:tr w14:paraId="3417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00D3EADD">
            <w:pPr>
              <w:jc w:val="center"/>
              <w:rPr>
                <w:rFonts w:hint="eastAsia" w:ascii="宋体" w:hAnsi="宋体" w:eastAsia="宋体" w:cs="宋体"/>
                <w:sz w:val="24"/>
                <w:szCs w:val="24"/>
              </w:rPr>
            </w:pPr>
          </w:p>
        </w:tc>
        <w:tc>
          <w:tcPr>
            <w:tcW w:w="3697" w:type="dxa"/>
            <w:vMerge w:val="continue"/>
            <w:noWrap w:val="0"/>
            <w:vAlign w:val="center"/>
          </w:tcPr>
          <w:p w14:paraId="3C7CEC0D">
            <w:pPr>
              <w:jc w:val="center"/>
              <w:rPr>
                <w:rFonts w:hint="eastAsia" w:ascii="宋体" w:hAnsi="宋体" w:eastAsia="宋体" w:cs="宋体"/>
                <w:sz w:val="24"/>
                <w:szCs w:val="24"/>
              </w:rPr>
            </w:pPr>
          </w:p>
        </w:tc>
        <w:tc>
          <w:tcPr>
            <w:tcW w:w="3428" w:type="dxa"/>
            <w:noWrap w:val="0"/>
            <w:vAlign w:val="center"/>
          </w:tcPr>
          <w:p w14:paraId="5B8E8F43">
            <w:pPr>
              <w:jc w:val="center"/>
              <w:rPr>
                <w:rFonts w:hint="eastAsia" w:ascii="宋体" w:hAnsi="宋体" w:eastAsia="宋体" w:cs="宋体"/>
                <w:sz w:val="24"/>
                <w:szCs w:val="24"/>
              </w:rPr>
            </w:pPr>
            <w:r>
              <w:rPr>
                <w:rFonts w:hint="eastAsia" w:ascii="宋体" w:hAnsi="宋体" w:eastAsia="宋体" w:cs="宋体"/>
                <w:sz w:val="24"/>
                <w:szCs w:val="24"/>
              </w:rPr>
              <w:t>可溶性镉/（mg/kg）</w:t>
            </w:r>
          </w:p>
        </w:tc>
        <w:tc>
          <w:tcPr>
            <w:tcW w:w="1485" w:type="dxa"/>
            <w:noWrap w:val="0"/>
            <w:vAlign w:val="center"/>
          </w:tcPr>
          <w:p w14:paraId="4EB6355C">
            <w:pPr>
              <w:jc w:val="center"/>
              <w:rPr>
                <w:rFonts w:hint="eastAsia" w:ascii="宋体" w:hAnsi="宋体" w:eastAsia="宋体" w:cs="宋体"/>
                <w:sz w:val="24"/>
                <w:szCs w:val="24"/>
              </w:rPr>
            </w:pPr>
            <w:r>
              <w:rPr>
                <w:rFonts w:hint="eastAsia" w:ascii="宋体" w:hAnsi="宋体" w:eastAsia="宋体" w:cs="宋体"/>
                <w:sz w:val="24"/>
                <w:szCs w:val="24"/>
              </w:rPr>
              <w:t>≤10</w:t>
            </w:r>
          </w:p>
        </w:tc>
      </w:tr>
      <w:tr w14:paraId="70F8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7AD32768">
            <w:pPr>
              <w:jc w:val="center"/>
              <w:rPr>
                <w:rFonts w:hint="eastAsia" w:ascii="宋体" w:hAnsi="宋体" w:eastAsia="宋体" w:cs="宋体"/>
                <w:sz w:val="24"/>
                <w:szCs w:val="24"/>
              </w:rPr>
            </w:pPr>
          </w:p>
        </w:tc>
        <w:tc>
          <w:tcPr>
            <w:tcW w:w="3697" w:type="dxa"/>
            <w:vMerge w:val="continue"/>
            <w:noWrap w:val="0"/>
            <w:vAlign w:val="center"/>
          </w:tcPr>
          <w:p w14:paraId="74ED2EB7">
            <w:pPr>
              <w:jc w:val="center"/>
              <w:rPr>
                <w:rFonts w:hint="eastAsia" w:ascii="宋体" w:hAnsi="宋体" w:eastAsia="宋体" w:cs="宋体"/>
                <w:sz w:val="24"/>
                <w:szCs w:val="24"/>
              </w:rPr>
            </w:pPr>
          </w:p>
        </w:tc>
        <w:tc>
          <w:tcPr>
            <w:tcW w:w="3428" w:type="dxa"/>
            <w:noWrap w:val="0"/>
            <w:vAlign w:val="center"/>
          </w:tcPr>
          <w:p w14:paraId="5B28BD10">
            <w:pPr>
              <w:jc w:val="center"/>
              <w:rPr>
                <w:rFonts w:hint="eastAsia" w:ascii="宋体" w:hAnsi="宋体" w:eastAsia="宋体" w:cs="宋体"/>
                <w:sz w:val="24"/>
                <w:szCs w:val="24"/>
              </w:rPr>
            </w:pPr>
            <w:r>
              <w:rPr>
                <w:rFonts w:hint="eastAsia" w:ascii="宋体" w:hAnsi="宋体" w:eastAsia="宋体" w:cs="宋体"/>
                <w:sz w:val="24"/>
                <w:szCs w:val="24"/>
              </w:rPr>
              <w:t>可溶性铬/（mg/kg）</w:t>
            </w:r>
          </w:p>
        </w:tc>
        <w:tc>
          <w:tcPr>
            <w:tcW w:w="1485" w:type="dxa"/>
            <w:noWrap w:val="0"/>
            <w:vAlign w:val="center"/>
          </w:tcPr>
          <w:p w14:paraId="5FDDF015">
            <w:pPr>
              <w:jc w:val="center"/>
              <w:rPr>
                <w:rFonts w:hint="eastAsia" w:ascii="宋体" w:hAnsi="宋体" w:eastAsia="宋体" w:cs="宋体"/>
                <w:sz w:val="24"/>
                <w:szCs w:val="24"/>
              </w:rPr>
            </w:pPr>
            <w:r>
              <w:rPr>
                <w:rFonts w:hint="eastAsia" w:ascii="宋体" w:hAnsi="宋体" w:eastAsia="宋体" w:cs="宋体"/>
                <w:sz w:val="24"/>
                <w:szCs w:val="24"/>
              </w:rPr>
              <w:t>≤10</w:t>
            </w:r>
          </w:p>
        </w:tc>
      </w:tr>
      <w:tr w14:paraId="3C75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0BD02B62">
            <w:pPr>
              <w:jc w:val="center"/>
              <w:rPr>
                <w:rFonts w:hint="eastAsia" w:ascii="宋体" w:hAnsi="宋体" w:eastAsia="宋体" w:cs="宋体"/>
                <w:sz w:val="24"/>
                <w:szCs w:val="24"/>
              </w:rPr>
            </w:pPr>
          </w:p>
        </w:tc>
        <w:tc>
          <w:tcPr>
            <w:tcW w:w="3697" w:type="dxa"/>
            <w:vMerge w:val="continue"/>
            <w:noWrap w:val="0"/>
            <w:vAlign w:val="center"/>
          </w:tcPr>
          <w:p w14:paraId="3E7A9B94">
            <w:pPr>
              <w:jc w:val="center"/>
              <w:rPr>
                <w:rFonts w:hint="eastAsia" w:ascii="宋体" w:hAnsi="宋体" w:eastAsia="宋体" w:cs="宋体"/>
                <w:sz w:val="24"/>
                <w:szCs w:val="24"/>
              </w:rPr>
            </w:pPr>
          </w:p>
        </w:tc>
        <w:tc>
          <w:tcPr>
            <w:tcW w:w="3428" w:type="dxa"/>
            <w:noWrap w:val="0"/>
            <w:vAlign w:val="center"/>
          </w:tcPr>
          <w:p w14:paraId="5920CDB4">
            <w:pPr>
              <w:jc w:val="center"/>
              <w:rPr>
                <w:rFonts w:hint="eastAsia" w:ascii="宋体" w:hAnsi="宋体" w:eastAsia="宋体" w:cs="宋体"/>
                <w:sz w:val="24"/>
                <w:szCs w:val="24"/>
              </w:rPr>
            </w:pPr>
            <w:r>
              <w:rPr>
                <w:rFonts w:hint="eastAsia" w:ascii="宋体" w:hAnsi="宋体" w:eastAsia="宋体" w:cs="宋体"/>
                <w:sz w:val="24"/>
                <w:szCs w:val="24"/>
              </w:rPr>
              <w:t>可溶性汞/（mg/kg）</w:t>
            </w:r>
          </w:p>
        </w:tc>
        <w:tc>
          <w:tcPr>
            <w:tcW w:w="1485" w:type="dxa"/>
            <w:noWrap w:val="0"/>
            <w:vAlign w:val="center"/>
          </w:tcPr>
          <w:p w14:paraId="5C41104A">
            <w:pPr>
              <w:jc w:val="center"/>
              <w:rPr>
                <w:rFonts w:hint="eastAsia" w:ascii="宋体" w:hAnsi="宋体" w:eastAsia="宋体" w:cs="宋体"/>
                <w:sz w:val="24"/>
                <w:szCs w:val="24"/>
              </w:rPr>
            </w:pPr>
            <w:r>
              <w:rPr>
                <w:rFonts w:hint="eastAsia" w:ascii="宋体" w:hAnsi="宋体" w:eastAsia="宋体" w:cs="宋体"/>
                <w:sz w:val="24"/>
                <w:szCs w:val="24"/>
              </w:rPr>
              <w:t>≤2</w:t>
            </w:r>
          </w:p>
        </w:tc>
      </w:tr>
      <w:tr w14:paraId="059E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159A994">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p>
        </w:tc>
        <w:tc>
          <w:tcPr>
            <w:tcW w:w="3697" w:type="dxa"/>
            <w:noWrap w:val="0"/>
            <w:vAlign w:val="center"/>
          </w:tcPr>
          <w:p w14:paraId="6323D39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气味</w:t>
            </w:r>
          </w:p>
        </w:tc>
        <w:tc>
          <w:tcPr>
            <w:tcW w:w="3428" w:type="dxa"/>
            <w:noWrap w:val="0"/>
            <w:vAlign w:val="center"/>
          </w:tcPr>
          <w:p w14:paraId="748F698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气味等级/级</w:t>
            </w:r>
          </w:p>
        </w:tc>
        <w:tc>
          <w:tcPr>
            <w:tcW w:w="1485" w:type="dxa"/>
            <w:noWrap w:val="0"/>
            <w:vAlign w:val="center"/>
          </w:tcPr>
          <w:p w14:paraId="6C4BCDF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14:paraId="1C1B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5" w:type="dxa"/>
            <w:noWrap w:val="0"/>
            <w:vAlign w:val="center"/>
          </w:tcPr>
          <w:p w14:paraId="1AF38AF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7125" w:type="dxa"/>
            <w:gridSpan w:val="2"/>
            <w:noWrap w:val="0"/>
            <w:vAlign w:val="center"/>
          </w:tcPr>
          <w:p w14:paraId="13E0BC6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无机填料含量/%</w:t>
            </w:r>
          </w:p>
        </w:tc>
        <w:tc>
          <w:tcPr>
            <w:tcW w:w="1485" w:type="dxa"/>
            <w:noWrap w:val="0"/>
            <w:vAlign w:val="center"/>
          </w:tcPr>
          <w:p w14:paraId="45E163F4">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0</w:t>
            </w:r>
          </w:p>
        </w:tc>
      </w:tr>
    </w:tbl>
    <w:p w14:paraId="6BCFADD7">
      <w:pPr>
        <w:spacing w:line="600" w:lineRule="exact"/>
        <w:rPr>
          <w:rFonts w:hint="eastAsia" w:ascii="宋体" w:hAnsi="宋体" w:cs="宋体"/>
          <w:b/>
          <w:color w:val="auto"/>
          <w:sz w:val="24"/>
        </w:rPr>
      </w:pPr>
      <w:r>
        <w:rPr>
          <w:rFonts w:hint="eastAsia" w:ascii="宋体" w:hAnsi="宋体" w:cs="宋体"/>
          <w:b/>
          <w:color w:val="auto"/>
          <w:sz w:val="24"/>
          <w:lang w:val="en-US" w:eastAsia="zh-CN"/>
        </w:rPr>
        <w:t>五</w:t>
      </w:r>
      <w:r>
        <w:rPr>
          <w:rFonts w:hint="eastAsia" w:ascii="宋体" w:hAnsi="宋体" w:cs="宋体"/>
          <w:b/>
          <w:color w:val="auto"/>
          <w:sz w:val="24"/>
        </w:rPr>
        <w:t>、技术要求：</w:t>
      </w:r>
    </w:p>
    <w:p w14:paraId="6503EEF0">
      <w:pPr>
        <w:spacing w:line="600" w:lineRule="exact"/>
        <w:ind w:firstLine="480" w:firstLineChars="200"/>
        <w:rPr>
          <w:rFonts w:hint="eastAsia"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eastAsia="zh-CN"/>
        </w:rPr>
        <w:t>中标供应商</w:t>
      </w:r>
      <w:r>
        <w:rPr>
          <w:rFonts w:hint="eastAsia" w:ascii="宋体" w:hAnsi="宋体" w:cs="宋体"/>
          <w:bCs/>
          <w:color w:val="auto"/>
          <w:sz w:val="24"/>
        </w:rPr>
        <w:t>使用的原厂生产的胶水、EPDM</w:t>
      </w:r>
      <w:r>
        <w:rPr>
          <w:rFonts w:hint="eastAsia" w:ascii="宋体" w:hAnsi="宋体" w:cs="宋体"/>
          <w:bCs/>
          <w:color w:val="auto"/>
          <w:sz w:val="24"/>
          <w:lang w:val="en-US" w:eastAsia="zh-CN"/>
        </w:rPr>
        <w:t>颗粒</w:t>
      </w:r>
      <w:r>
        <w:rPr>
          <w:rFonts w:hint="eastAsia" w:ascii="宋体" w:hAnsi="宋体" w:cs="宋体"/>
          <w:bCs/>
          <w:color w:val="auto"/>
          <w:sz w:val="24"/>
          <w:lang w:eastAsia="zh-CN"/>
        </w:rPr>
        <w:t>、</w:t>
      </w:r>
      <w:r>
        <w:rPr>
          <w:rFonts w:hint="eastAsia" w:ascii="宋体" w:hAnsi="宋体" w:cs="宋体"/>
          <w:bCs/>
          <w:color w:val="auto"/>
          <w:sz w:val="24"/>
          <w:lang w:val="en-US" w:eastAsia="zh-CN"/>
        </w:rPr>
        <w:t>硅</w:t>
      </w:r>
      <w:r>
        <w:rPr>
          <w:rFonts w:hint="eastAsia" w:ascii="宋体" w:hAnsi="宋体" w:cs="宋体"/>
          <w:bCs/>
          <w:color w:val="auto"/>
          <w:sz w:val="24"/>
        </w:rPr>
        <w:t xml:space="preserve">PU面层等所有主要原料成分必须为正规厂家生产的符合国家标准和环保要求的合格产品。 </w:t>
      </w:r>
    </w:p>
    <w:p w14:paraId="34586748">
      <w:pPr>
        <w:spacing w:line="600" w:lineRule="exact"/>
        <w:ind w:firstLine="480" w:firstLineChars="200"/>
        <w:rPr>
          <w:rFonts w:hint="eastAsia" w:ascii="宋体" w:hAnsi="宋体" w:cs="宋体"/>
          <w:bCs/>
          <w:color w:val="auto"/>
          <w:sz w:val="24"/>
        </w:rPr>
      </w:pPr>
      <w:r>
        <w:rPr>
          <w:rFonts w:hint="eastAsia" w:ascii="宋体" w:hAnsi="宋体" w:cs="宋体"/>
          <w:bCs/>
          <w:color w:val="auto"/>
          <w:sz w:val="24"/>
        </w:rPr>
        <w:t>2、面层材料的环保与物理性能需达到国家的现行新国标GB36246-2018《中小学合成材料面层运动场地》</w:t>
      </w:r>
      <w:r>
        <w:rPr>
          <w:rFonts w:hint="eastAsia" w:ascii="宋体" w:hAnsi="宋体" w:cs="宋体"/>
          <w:bCs/>
          <w:color w:val="auto"/>
          <w:sz w:val="24"/>
          <w:lang w:eastAsia="zh-CN"/>
        </w:rPr>
        <w:t>、</w:t>
      </w:r>
      <w:r>
        <w:rPr>
          <w:rFonts w:hint="eastAsia" w:ascii="宋体" w:hAnsi="宋体" w:cs="宋体"/>
          <w:color w:val="auto"/>
          <w:sz w:val="24"/>
          <w:szCs w:val="24"/>
          <w:highlight w:val="none"/>
          <w:lang w:val="en-US" w:eastAsia="zh-CN"/>
        </w:rPr>
        <w:t>GB/T43564-2023《中小学合成材料面层田径场地》</w:t>
      </w:r>
      <w:r>
        <w:rPr>
          <w:rFonts w:hint="eastAsia" w:ascii="宋体" w:hAnsi="宋体" w:cs="宋体"/>
          <w:bCs/>
          <w:color w:val="auto"/>
          <w:sz w:val="24"/>
        </w:rPr>
        <w:t>标准</w:t>
      </w:r>
      <w:r>
        <w:rPr>
          <w:rFonts w:hint="eastAsia" w:ascii="宋体" w:hAnsi="宋体" w:cs="宋体"/>
          <w:bCs/>
          <w:color w:val="auto"/>
          <w:sz w:val="24"/>
          <w:lang w:eastAsia="zh-CN"/>
        </w:rPr>
        <w:t>、</w:t>
      </w:r>
      <w:r>
        <w:rPr>
          <w:rFonts w:hint="eastAsia" w:ascii="宋体" w:hAnsi="宋体" w:cs="宋体"/>
          <w:color w:val="auto"/>
          <w:sz w:val="24"/>
          <w:szCs w:val="24"/>
          <w:highlight w:val="none"/>
          <w:lang w:val="en-US" w:eastAsia="zh-CN"/>
        </w:rPr>
        <w:t>GB/T43565-2023《中小学合成材料面层篮球场地》</w:t>
      </w:r>
      <w:r>
        <w:rPr>
          <w:rFonts w:hint="eastAsia" w:ascii="宋体" w:hAnsi="宋体" w:cs="宋体"/>
          <w:bCs/>
          <w:color w:val="auto"/>
          <w:sz w:val="24"/>
        </w:rPr>
        <w:t>标准；</w:t>
      </w:r>
    </w:p>
    <w:p w14:paraId="3D63D814">
      <w:pPr>
        <w:spacing w:line="600" w:lineRule="exact"/>
        <w:ind w:firstLine="480" w:firstLineChars="200"/>
        <w:rPr>
          <w:rFonts w:hint="eastAsia" w:ascii="宋体" w:hAnsi="宋体" w:cs="宋体"/>
          <w:bCs/>
          <w:sz w:val="24"/>
        </w:rPr>
      </w:pPr>
      <w:r>
        <w:rPr>
          <w:rFonts w:hint="eastAsia" w:ascii="宋体" w:hAnsi="宋体" w:cs="宋体"/>
          <w:bCs/>
          <w:sz w:val="24"/>
        </w:rPr>
        <w:t>3、</w:t>
      </w:r>
      <w:r>
        <w:rPr>
          <w:rFonts w:hint="eastAsia" w:ascii="宋体" w:hAnsi="宋体" w:cs="宋体"/>
          <w:bCs/>
          <w:sz w:val="24"/>
          <w:lang w:eastAsia="zh-CN"/>
        </w:rPr>
        <w:t>中标供应商</w:t>
      </w:r>
      <w:r>
        <w:rPr>
          <w:rFonts w:hint="eastAsia" w:ascii="宋体" w:hAnsi="宋体" w:cs="宋体"/>
          <w:bCs/>
          <w:sz w:val="24"/>
        </w:rPr>
        <w:t>严禁使用废轮胎等胶粒，颗粒均为EPDM胶粒；</w:t>
      </w:r>
    </w:p>
    <w:p w14:paraId="2A99F846">
      <w:pPr>
        <w:spacing w:line="600" w:lineRule="exact"/>
        <w:ind w:firstLine="480" w:firstLineChars="200"/>
        <w:rPr>
          <w:rFonts w:hint="eastAsia" w:ascii="宋体" w:hAnsi="宋体" w:cs="宋体"/>
          <w:bCs/>
          <w:sz w:val="24"/>
        </w:rPr>
      </w:pPr>
      <w:r>
        <w:rPr>
          <w:rFonts w:hint="eastAsia" w:ascii="宋体" w:hAnsi="宋体" w:cs="宋体"/>
          <w:bCs/>
          <w:sz w:val="24"/>
        </w:rPr>
        <w:t>4、</w:t>
      </w:r>
      <w:r>
        <w:rPr>
          <w:rFonts w:hint="eastAsia" w:ascii="宋体" w:hAnsi="宋体" w:cs="宋体"/>
          <w:bCs/>
          <w:sz w:val="24"/>
          <w:lang w:eastAsia="zh-CN"/>
        </w:rPr>
        <w:t>中标供应商</w:t>
      </w:r>
      <w:r>
        <w:rPr>
          <w:rFonts w:hint="eastAsia" w:ascii="宋体" w:hAnsi="宋体" w:cs="宋体"/>
          <w:bCs/>
          <w:sz w:val="24"/>
        </w:rPr>
        <w:t>在施工过程中严禁添加不环保材料(溶剂、催化剂等)。</w:t>
      </w:r>
    </w:p>
    <w:p w14:paraId="0E1F8007">
      <w:pPr>
        <w:spacing w:line="600" w:lineRule="exact"/>
        <w:ind w:firstLine="480" w:firstLineChars="200"/>
        <w:rPr>
          <w:rFonts w:hint="eastAsia" w:ascii="宋体" w:hAnsi="宋体" w:cs="宋体"/>
          <w:bCs/>
          <w:sz w:val="24"/>
        </w:rPr>
      </w:pPr>
      <w:r>
        <w:rPr>
          <w:rFonts w:hint="eastAsia" w:ascii="宋体" w:hAnsi="宋体" w:cs="宋体"/>
          <w:bCs/>
          <w:sz w:val="24"/>
        </w:rPr>
        <w:t>5、</w:t>
      </w:r>
      <w:r>
        <w:rPr>
          <w:rFonts w:hint="eastAsia" w:ascii="宋体" w:hAnsi="宋体" w:cs="宋体"/>
          <w:bCs/>
          <w:sz w:val="24"/>
          <w:lang w:eastAsia="zh-CN"/>
        </w:rPr>
        <w:t>中标供应商</w:t>
      </w:r>
      <w:r>
        <w:rPr>
          <w:rFonts w:hint="eastAsia" w:ascii="宋体" w:hAnsi="宋体" w:cs="宋体"/>
          <w:bCs/>
          <w:sz w:val="24"/>
        </w:rPr>
        <w:t>施工时，所有材料必须一次性进场，统一封存。对进场材料由</w:t>
      </w:r>
      <w:r>
        <w:rPr>
          <w:rFonts w:hint="eastAsia" w:ascii="宋体" w:hAnsi="宋体" w:cs="宋体"/>
          <w:bCs/>
          <w:sz w:val="24"/>
          <w:lang w:val="en-US" w:eastAsia="zh-CN"/>
        </w:rPr>
        <w:t>采购人</w:t>
      </w:r>
      <w:r>
        <w:rPr>
          <w:rFonts w:hint="eastAsia" w:ascii="宋体" w:hAnsi="宋体" w:cs="宋体"/>
          <w:bCs/>
          <w:sz w:val="24"/>
        </w:rPr>
        <w:t>、监理方、</w:t>
      </w:r>
      <w:r>
        <w:rPr>
          <w:rFonts w:hint="eastAsia" w:ascii="宋体" w:hAnsi="宋体" w:cs="宋体"/>
          <w:bCs/>
          <w:sz w:val="24"/>
          <w:lang w:val="en-US" w:eastAsia="zh-CN"/>
        </w:rPr>
        <w:t>中标供应商</w:t>
      </w:r>
      <w:r>
        <w:rPr>
          <w:rFonts w:hint="eastAsia" w:ascii="宋体" w:hAnsi="宋体" w:cs="宋体"/>
          <w:bCs/>
          <w:sz w:val="24"/>
        </w:rPr>
        <w:t>一起取样并封样样品，三方签字盖章后送经权威机构认可的第三方检测机构检验，出具检测报告一旦为不合格，</w:t>
      </w:r>
      <w:r>
        <w:rPr>
          <w:rFonts w:hint="eastAsia" w:ascii="宋体" w:hAnsi="宋体" w:cs="宋体"/>
          <w:bCs/>
          <w:sz w:val="24"/>
          <w:lang w:eastAsia="zh-CN"/>
        </w:rPr>
        <w:t>中标供应商</w:t>
      </w:r>
      <w:r>
        <w:rPr>
          <w:rFonts w:hint="eastAsia" w:ascii="宋体" w:hAnsi="宋体" w:cs="宋体"/>
          <w:bCs/>
          <w:sz w:val="24"/>
        </w:rPr>
        <w:t>必须无条件返工，返工相关费用由</w:t>
      </w:r>
      <w:r>
        <w:rPr>
          <w:rFonts w:hint="eastAsia" w:ascii="宋体" w:hAnsi="宋体" w:cs="宋体"/>
          <w:bCs/>
          <w:sz w:val="24"/>
          <w:lang w:eastAsia="zh-CN"/>
        </w:rPr>
        <w:t>中标供应商</w:t>
      </w:r>
      <w:r>
        <w:rPr>
          <w:rFonts w:hint="eastAsia" w:ascii="宋体" w:hAnsi="宋体" w:cs="宋体"/>
          <w:bCs/>
          <w:sz w:val="24"/>
        </w:rPr>
        <w:t>自行负责。材料出场必须经</w:t>
      </w:r>
      <w:r>
        <w:rPr>
          <w:rFonts w:hint="eastAsia" w:ascii="宋体" w:hAnsi="宋体" w:cs="宋体"/>
          <w:bCs/>
          <w:sz w:val="24"/>
          <w:lang w:eastAsia="zh-CN"/>
        </w:rPr>
        <w:t>采购人</w:t>
      </w:r>
      <w:r>
        <w:rPr>
          <w:rFonts w:hint="eastAsia" w:ascii="宋体" w:hAnsi="宋体" w:cs="宋体"/>
          <w:bCs/>
          <w:sz w:val="24"/>
        </w:rPr>
        <w:t>同意并签证；</w:t>
      </w:r>
    </w:p>
    <w:p w14:paraId="283E21EC">
      <w:pPr>
        <w:spacing w:line="600" w:lineRule="exact"/>
        <w:ind w:firstLine="480" w:firstLineChars="200"/>
        <w:rPr>
          <w:rFonts w:hint="eastAsia" w:ascii="宋体" w:hAnsi="宋体" w:cs="宋体"/>
          <w:bCs/>
          <w:sz w:val="24"/>
        </w:rPr>
      </w:pPr>
      <w:r>
        <w:rPr>
          <w:rFonts w:hint="eastAsia" w:ascii="宋体" w:hAnsi="宋体" w:cs="宋体"/>
          <w:bCs/>
          <w:sz w:val="24"/>
        </w:rPr>
        <w:t>6、标志线的划分：</w:t>
      </w:r>
    </w:p>
    <w:p w14:paraId="436CDDC1">
      <w:pPr>
        <w:spacing w:line="600" w:lineRule="exact"/>
        <w:ind w:firstLine="480" w:firstLineChars="200"/>
        <w:rPr>
          <w:rFonts w:hint="eastAsia" w:ascii="宋体" w:hAnsi="宋体" w:cs="宋体"/>
          <w:bCs/>
          <w:sz w:val="24"/>
        </w:rPr>
      </w:pPr>
      <w:r>
        <w:rPr>
          <w:rFonts w:hint="eastAsia" w:ascii="宋体" w:hAnsi="宋体" w:cs="宋体"/>
          <w:bCs/>
          <w:sz w:val="24"/>
        </w:rPr>
        <w:t>（1）根据《田径场地设施标准手册》按体育工艺要求打底线；</w:t>
      </w:r>
    </w:p>
    <w:p w14:paraId="2D6396BC">
      <w:pPr>
        <w:spacing w:line="600" w:lineRule="exact"/>
        <w:ind w:firstLine="480" w:firstLineChars="200"/>
        <w:rPr>
          <w:rFonts w:hint="eastAsia" w:ascii="宋体" w:hAnsi="宋体" w:cs="宋体"/>
          <w:bCs/>
          <w:sz w:val="24"/>
        </w:rPr>
      </w:pPr>
      <w:r>
        <w:rPr>
          <w:rFonts w:hint="eastAsia" w:ascii="宋体" w:hAnsi="宋体" w:cs="宋体"/>
          <w:bCs/>
          <w:sz w:val="24"/>
        </w:rPr>
        <w:t>（2）根据体育工艺要求用白、蓝、黄三色作分道线、栏位线及各类气跑线的标示，要求所划线段顺直、无卷边、虚边，线段间交接柔和。</w:t>
      </w:r>
    </w:p>
    <w:p w14:paraId="51545DD7">
      <w:pPr>
        <w:spacing w:line="600" w:lineRule="exact"/>
        <w:ind w:firstLine="480" w:firstLineChars="200"/>
        <w:rPr>
          <w:rFonts w:hint="eastAsia" w:ascii="宋体" w:hAnsi="宋体" w:cs="宋体"/>
          <w:bCs/>
          <w:sz w:val="24"/>
        </w:rPr>
      </w:pPr>
      <w:r>
        <w:rPr>
          <w:rFonts w:hint="eastAsia" w:ascii="宋体" w:hAnsi="宋体" w:cs="宋体"/>
          <w:bCs/>
          <w:sz w:val="24"/>
        </w:rPr>
        <w:t>（3）球场划线：按标准尺寸量度定位，标出界线位置，用美纹线沿界线两边贴在球场上，用专用划线漆涂刷于美纹纸间，待表面干后撕掉美纹纸。划线漆为双组份材料，必须按规定比例（A：B=100:7）把A、B两组份充分混合均匀，分两道涂刷。若球场表面为粗糙面，第一道可加20%面层专用砂涂刷，以防渗边。</w:t>
      </w:r>
    </w:p>
    <w:p w14:paraId="70365CAF">
      <w:pPr>
        <w:spacing w:line="600" w:lineRule="exact"/>
        <w:ind w:firstLine="480" w:firstLineChars="200"/>
        <w:rPr>
          <w:rFonts w:hint="eastAsia" w:ascii="宋体" w:hAnsi="宋体" w:cs="宋体"/>
          <w:bCs/>
          <w:sz w:val="24"/>
        </w:rPr>
      </w:pPr>
      <w:r>
        <w:rPr>
          <w:rFonts w:hint="eastAsia" w:ascii="宋体" w:hAnsi="宋体" w:cs="宋体"/>
          <w:bCs/>
          <w:sz w:val="24"/>
        </w:rPr>
        <w:t>（4）标志线间的误差严禁出现负误差、正误差不超过万分之一。</w:t>
      </w:r>
    </w:p>
    <w:p w14:paraId="20B51212">
      <w:pPr>
        <w:spacing w:line="600" w:lineRule="exact"/>
        <w:rPr>
          <w:rFonts w:hint="eastAsia" w:ascii="宋体" w:hAnsi="宋体" w:cs="宋体"/>
          <w:b/>
          <w:sz w:val="24"/>
        </w:rPr>
      </w:pPr>
      <w:r>
        <w:rPr>
          <w:rFonts w:hint="eastAsia" w:ascii="宋体" w:hAnsi="宋体" w:cs="宋体"/>
          <w:b/>
          <w:sz w:val="24"/>
          <w:lang w:val="en-US" w:eastAsia="zh-CN"/>
        </w:rPr>
        <w:t>六</w:t>
      </w:r>
      <w:r>
        <w:rPr>
          <w:rFonts w:hint="eastAsia" w:ascii="宋体" w:hAnsi="宋体" w:cs="宋体"/>
          <w:b/>
          <w:sz w:val="24"/>
        </w:rPr>
        <w:t>、施工工艺：</w:t>
      </w:r>
    </w:p>
    <w:p w14:paraId="346AB97C">
      <w:pPr>
        <w:spacing w:line="600" w:lineRule="exact"/>
        <w:ind w:firstLine="482" w:firstLineChars="200"/>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硅PU</w:t>
      </w:r>
      <w:r>
        <w:rPr>
          <w:rFonts w:hint="eastAsia" w:ascii="Times New Roman" w:hAnsi="Times New Roman" w:eastAsia="宋体" w:cs="Times New Roman"/>
          <w:b/>
          <w:bCs/>
          <w:sz w:val="24"/>
          <w:szCs w:val="24"/>
        </w:rPr>
        <w:t>面层施工工艺：</w:t>
      </w:r>
    </w:p>
    <w:p w14:paraId="637B7BE2">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1、施工基础面要求：基础为场地的质量的第一关， 好的基础是成功的开始， 基面采用沥青基础，则应满足下列要求：</w:t>
      </w:r>
    </w:p>
    <w:p w14:paraId="04B05D2A">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1.1、要有足够的养护时间（不少于 5 天）。</w:t>
      </w:r>
    </w:p>
    <w:p w14:paraId="301D9482">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1.2、表面平整度好， 3 米直尺允许误差≤ 3mm。</w:t>
      </w:r>
    </w:p>
    <w:p w14:paraId="3B0B013F">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1.3、按设计标号施工，基础强度 c15以上，无裂缝、脱层、返砂等现象。</w:t>
      </w:r>
    </w:p>
    <w:p w14:paraId="6A1DD40A">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1.4、四周设合理排水沟。为保证排水流畅，基面要找坡≤ 5‰，并且符合设计要求。</w:t>
      </w:r>
    </w:p>
    <w:p w14:paraId="7D55598D">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1.5、要留温度伸缩缝，一般按纵横 6m 宽 5mm，深 3cm 切缝。</w:t>
      </w:r>
    </w:p>
    <w:p w14:paraId="7CA42CD2">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1.6、下雨天不能施工，避免在烈日下或温度小 5℃的情况下施工。</w:t>
      </w:r>
    </w:p>
    <w:p w14:paraId="1FC69B4B">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1.7、室内场地应保持良好的对流通风效果。</w:t>
      </w:r>
    </w:p>
    <w:p w14:paraId="66AC069B">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2、主要施工工艺</w:t>
      </w:r>
    </w:p>
    <w:p w14:paraId="470B5E6E">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基面处理→填缝处理→底漆施工→缓冲层施工→加强层施工→面漆层施工→划线施工；</w:t>
      </w:r>
    </w:p>
    <w:p w14:paraId="4848CDD7">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基面处理：用盐酸满场清洗，清洗完用清水冲洗干净，观察存留水迹对基面进行平整度和坡度的检验，用记号笔圈划出积水处。清洗干燥后基面应无白色粉化物及浮尘物。填缝胶填充：硅PU球场填缝胶为单组份材料，施工时可直接将材料灌入混凝土伸缩缝内。</w:t>
      </w:r>
    </w:p>
    <w:p w14:paraId="6D0EC5BC">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填缝前要先将混凝土伸缩缝清洁干净，并打上一道单组份封闭底漆。如缝较深或较宽的可用棉条或橡胶颗粒先作一个垫底，然后再填充。基层干燥后，对明显凸出部分进行打磨处理，对特别凹陷部位用填缝材料及防裂整平漆修补。对基层密度不足之处，灌入塑胶底材进行加固。</w:t>
      </w:r>
    </w:p>
    <w:p w14:paraId="4E63497D">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底漆施工：此材料只适用在水泥混凝土基础面上的封闭，施工时水泥基面要求坚固、干燥、干净、平整，无油污及粉化现象。待施工基层干燥后用滚筒将材料均匀地滚涂在水泥基面上，起到封闭水泥基面的隙孔，提高塑胶层与水泥基面的粘结强度的作用，使之不易脱层和产生气泡。如有部分地面吸料较明显的要重复滚涂一至两遍。待底漆层干固后，再进行下一道工序施工。积处修补：积水处深度不超过5mm的地方用缓冲层加石英粉按配比来。</w:t>
      </w:r>
    </w:p>
    <w:p w14:paraId="6179E053">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缓冲层施工：加专用稀释剂搅拌均匀，并调节至合适施工稠度，用直尺或刮板涂刮于积水处，若积水深度超过5mm的地方，应用专用底漆加40～80目砂，按配比拌和均匀，平整摊铺于积水处并压实。修补时注意修边，不要让修补后的边高出，若有高出需打磨平整后方能进行缓冲层施工。在施工该涂层前检查确认基础处理符合施工要求，材料在施工前必须要按配比将定量的水加进材料内，并用电动搅拌机搅拌均匀(约3分钟)才可使用，已加水的材料必须在1小时内用完;已开启的材料尽量在当天用完。施工是采用薄涂多遍的方法施工，既能保证质量又能节省材料。施工时用有齿刮板将缓冲层涂刮于基面，每道涂刮厚度不能超过2mm，每道涂刮时间间隔为前一道干固为准(一般约10小时)，具体视现场天气情况而定，直至涂刮到要求厚度。涂刮时注意流平效果，若不能流平刮齿痕迹，需多加专用稀释剂调节稠度，以保证表面流平。缓冲层干固后，用积水法测试表面平整度，积水处用缓冲层修补平整，表面有粒状杂物混入或堆积处需用磨机打磨平整再进行下一道工序施工。</w:t>
      </w:r>
    </w:p>
    <w:p w14:paraId="1495799B">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2.4、面漆层施工：每一遍面漆的施工要等上遍面漆干固后才可进行，第一遍和第二遍面漆因有专用石英砂，施工时要尽量将砂滚到面层上才有效果。</w:t>
      </w:r>
    </w:p>
    <w:p w14:paraId="6AEDBF04">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default"/>
          <w:sz w:val="24"/>
          <w:szCs w:val="24"/>
        </w:rPr>
        <w:t>2.5、划线：面漆层固化后即可划线。该材料为单组份材料，使用前要先摇均匀。施工时按照球场的规格尺寸标准标出界线位置，用美纹纸沿界线两边贴好，用小油扫直接施工，在硅PU球场面层上要划标线的部位涂刷一至两遍划线漆，待表面干后撕掉美纹纸。</w:t>
      </w:r>
    </w:p>
    <w:p w14:paraId="05C5CC63">
      <w:pPr>
        <w:keepNext w:val="0"/>
        <w:keepLines w:val="0"/>
        <w:pageBreakBefore w:val="0"/>
        <w:widowControl w:val="0"/>
        <w:kinsoku/>
        <w:wordWrap/>
        <w:overflowPunct/>
        <w:topLinePunct w:val="0"/>
        <w:autoSpaceDE/>
        <w:autoSpaceDN/>
        <w:bidi w:val="0"/>
        <w:adjustRightInd w:val="0"/>
        <w:snapToGrid/>
        <w:spacing w:line="600" w:lineRule="exact"/>
        <w:ind w:firstLine="482" w:firstLineChars="200"/>
        <w:textAlignment w:val="auto"/>
        <w:rPr>
          <w:rFonts w:ascii="宋体" w:hAnsi="宋体" w:cs="宋体"/>
          <w:b/>
          <w:sz w:val="24"/>
        </w:rPr>
      </w:pPr>
      <w:r>
        <w:rPr>
          <w:rFonts w:hint="eastAsia" w:ascii="宋体" w:hAnsi="宋体" w:cs="宋体"/>
          <w:b/>
          <w:sz w:val="24"/>
          <w:lang w:val="en-US" w:eastAsia="zh-CN"/>
        </w:rPr>
        <w:t>混合</w:t>
      </w:r>
      <w:r>
        <w:rPr>
          <w:rFonts w:hint="eastAsia" w:ascii="宋体" w:hAnsi="宋体" w:cs="宋体"/>
          <w:b/>
          <w:sz w:val="24"/>
        </w:rPr>
        <w:t>型塑胶面层施工工艺：</w:t>
      </w:r>
    </w:p>
    <w:p w14:paraId="13F8F07E">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1、底涂处理（沥青基础）</w:t>
      </w:r>
    </w:p>
    <w:p w14:paraId="7217033F">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1.1采用专用封底材料进行封底，。</w:t>
      </w:r>
    </w:p>
    <w:p w14:paraId="536A5992">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1.2底涂需完全固化后方可进行下道施工。</w:t>
      </w:r>
    </w:p>
    <w:p w14:paraId="16F54689">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1.3底涂处理时对伸缩缝的里面亦须滚涂到位。若有超过10mm的伸缩缝，滚涂后须先用胶水和弹性颗粒（1:6-7）进行填补。</w:t>
      </w:r>
    </w:p>
    <w:p w14:paraId="04FCC8A9">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eastAsia="宋体"/>
          <w:bCs/>
          <w:sz w:val="24"/>
          <w:lang w:eastAsia="zh-CN"/>
        </w:rPr>
      </w:pPr>
      <w:r>
        <w:rPr>
          <w:rFonts w:hint="eastAsia" w:hAnsi="宋体"/>
          <w:bCs/>
          <w:sz w:val="24"/>
        </w:rPr>
        <w:t>1.4特别说明，无论水泥基础还是沥青基础排水沟盖板需用底涂处理，</w:t>
      </w:r>
    </w:p>
    <w:p w14:paraId="5395D3D6">
      <w:pPr>
        <w:pStyle w:val="33"/>
        <w:keepNext w:val="0"/>
        <w:keepLines w:val="0"/>
        <w:pageBreakBefore w:val="0"/>
        <w:widowControl w:val="0"/>
        <w:numPr>
          <w:ilvl w:val="0"/>
          <w:numId w:val="4"/>
        </w:numPr>
        <w:kinsoku/>
        <w:wordWrap/>
        <w:overflowPunct/>
        <w:topLinePunct w:val="0"/>
        <w:autoSpaceDE/>
        <w:autoSpaceDN/>
        <w:bidi w:val="0"/>
        <w:adjustRightInd w:val="0"/>
        <w:snapToGrid/>
        <w:spacing w:line="600" w:lineRule="exact"/>
        <w:ind w:firstLine="0"/>
        <w:textAlignment w:val="auto"/>
        <w:rPr>
          <w:rFonts w:hint="eastAsia" w:hAnsi="宋体"/>
          <w:bCs/>
          <w:sz w:val="24"/>
        </w:rPr>
      </w:pPr>
      <w:r>
        <w:rPr>
          <w:rFonts w:hint="eastAsia" w:hAnsi="宋体"/>
          <w:bCs/>
          <w:sz w:val="24"/>
        </w:rPr>
        <w:t>弹性底层摊铺</w:t>
      </w:r>
    </w:p>
    <w:p w14:paraId="45F0D105">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弹性底层分两层铺设，每层铺设厚度约5mm，两层累计铺设厚度10mm左右。</w:t>
      </w:r>
    </w:p>
    <w:p w14:paraId="16BFA6F4">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2.1弹性底层的组成原料有弹性颗粒（粒径2-</w:t>
      </w:r>
      <w:r>
        <w:rPr>
          <w:rFonts w:hint="eastAsia" w:hAnsi="宋体" w:eastAsia="宋体"/>
          <w:bCs/>
          <w:sz w:val="24"/>
          <w:lang w:val="en-US" w:eastAsia="zh-CN"/>
        </w:rPr>
        <w:t>4</w:t>
      </w:r>
      <w:r>
        <w:rPr>
          <w:rFonts w:hint="eastAsia" w:hAnsi="宋体"/>
          <w:bCs/>
          <w:sz w:val="24"/>
        </w:rPr>
        <w:t>mm）、PU主剂、PU基材固化剂。</w:t>
      </w:r>
    </w:p>
    <w:p w14:paraId="7F7C5ED1">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2.2根据场地现状确定铺设顺序；</w:t>
      </w:r>
    </w:p>
    <w:p w14:paraId="69446AA8">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2.3将PU主剂和PU固化剂按4:1的比例进行配比，经过充分搅拌并确保搅拌均匀；</w:t>
      </w:r>
    </w:p>
    <w:p w14:paraId="5D912213">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2.4在配置好的PU中掺入PU重量25%的弹性颗粒，经过充分搅拌并确保搅拌均匀；</w:t>
      </w:r>
    </w:p>
    <w:p w14:paraId="274111CA">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2.5将搅拌好的成品料均匀撒铺施工区域，沿场地纵横向拖刮，拖刮后的塑胶表面应确保平整；</w:t>
      </w:r>
    </w:p>
    <w:p w14:paraId="5F488412">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2.6采用塑胶专用大耙和镘刀沿场地多次来回拖耙，确保PU中气体充分释放，保证PU不起泡；</w:t>
      </w:r>
    </w:p>
    <w:p w14:paraId="5B97A870">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2.7PU接缝、边沿处，设专人采用馒刀修补，确保接头顺直、接缝平滑、无痕迹、无烂边现象；</w:t>
      </w:r>
    </w:p>
    <w:p w14:paraId="0F1C03BD">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2.8第一层铺设厚度约5mm左右，第一层弹性层通过24小时（具体时间根据施工期气温确定）固化后便可进行下道工序的施工；</w:t>
      </w:r>
    </w:p>
    <w:p w14:paraId="521E6FE8">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2.9第二层施工工艺同第一层。</w:t>
      </w:r>
    </w:p>
    <w:p w14:paraId="5454A741">
      <w:pPr>
        <w:pStyle w:val="33"/>
        <w:keepNext w:val="0"/>
        <w:keepLines w:val="0"/>
        <w:pageBreakBefore w:val="0"/>
        <w:widowControl w:val="0"/>
        <w:numPr>
          <w:ilvl w:val="0"/>
          <w:numId w:val="4"/>
        </w:numPr>
        <w:kinsoku/>
        <w:wordWrap/>
        <w:overflowPunct/>
        <w:topLinePunct w:val="0"/>
        <w:autoSpaceDE/>
        <w:autoSpaceDN/>
        <w:bidi w:val="0"/>
        <w:adjustRightInd w:val="0"/>
        <w:snapToGrid/>
        <w:spacing w:line="600" w:lineRule="exact"/>
        <w:textAlignment w:val="auto"/>
        <w:rPr>
          <w:rFonts w:hint="eastAsia" w:hAnsi="宋体"/>
          <w:bCs/>
          <w:sz w:val="24"/>
        </w:rPr>
      </w:pPr>
      <w:r>
        <w:rPr>
          <w:rFonts w:hint="eastAsia" w:hAnsi="宋体"/>
          <w:bCs/>
          <w:sz w:val="24"/>
        </w:rPr>
        <w:t>面层喷涂</w:t>
      </w:r>
    </w:p>
    <w:p w14:paraId="55A552F6">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3.1弹性层固化成型后方可对表面进行喷涂（一般情况第二天可进行）。</w:t>
      </w:r>
    </w:p>
    <w:p w14:paraId="57332E6B">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eastAsia="宋体"/>
          <w:bCs/>
          <w:sz w:val="24"/>
          <w:lang w:eastAsia="zh-CN"/>
        </w:rPr>
      </w:pPr>
      <w:r>
        <w:rPr>
          <w:rFonts w:hint="eastAsia" w:hAnsi="宋体"/>
          <w:bCs/>
          <w:sz w:val="24"/>
        </w:rPr>
        <w:t>3.2面层喷涂前须对弹性层进行检查。</w:t>
      </w:r>
    </w:p>
    <w:p w14:paraId="15C9DC97">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A：检查有无不成胶的弹性层，对不成胶区域必须挖除后重新补平。</w:t>
      </w:r>
    </w:p>
    <w:p w14:paraId="42CE49A5">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B：检查弹性层的平整度，直、弯道及半圆区平整度控制在±3mm。对超出范围的要进行挖除重新补平。</w:t>
      </w:r>
    </w:p>
    <w:p w14:paraId="5C9A784D">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C：检查喷涂设备是否运行正常。</w:t>
      </w:r>
    </w:p>
    <w:p w14:paraId="245B5181">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D：将</w:t>
      </w:r>
      <w:r>
        <w:rPr>
          <w:rFonts w:hint="eastAsia" w:hAnsi="宋体" w:eastAsia="宋体"/>
          <w:bCs/>
          <w:sz w:val="24"/>
          <w:lang w:val="en-US" w:eastAsia="zh-CN"/>
        </w:rPr>
        <w:t>胶水</w:t>
      </w:r>
      <w:r>
        <w:rPr>
          <w:rFonts w:hint="eastAsia" w:hAnsi="宋体"/>
          <w:bCs/>
          <w:sz w:val="24"/>
        </w:rPr>
        <w:t>和EPDM颗粒按比例搅拌均匀后加入喷涂机内进行喷涂，严禁添加苯类溶剂。</w:t>
      </w:r>
    </w:p>
    <w:p w14:paraId="4A9AE66F">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E：喷涂一般分</w:t>
      </w:r>
      <w:r>
        <w:rPr>
          <w:rFonts w:hint="eastAsia" w:hAnsi="宋体" w:eastAsia="宋体"/>
          <w:bCs/>
          <w:sz w:val="24"/>
          <w:lang w:val="en-US" w:eastAsia="zh-CN"/>
        </w:rPr>
        <w:t>2</w:t>
      </w:r>
      <w:r>
        <w:rPr>
          <w:rFonts w:hint="eastAsia" w:hAnsi="宋体"/>
          <w:bCs/>
          <w:sz w:val="24"/>
        </w:rPr>
        <w:t>遍完成，每次喷涂的方向相反，保证面层喷涂</w:t>
      </w:r>
      <w:r>
        <w:rPr>
          <w:rFonts w:hint="eastAsia" w:hAnsi="宋体" w:eastAsia="宋体"/>
          <w:bCs/>
          <w:sz w:val="24"/>
          <w:lang w:val="en-US" w:eastAsia="zh-CN"/>
        </w:rPr>
        <w:t>厚度约3mm</w:t>
      </w:r>
      <w:r>
        <w:rPr>
          <w:rFonts w:hint="eastAsia" w:hAnsi="宋体"/>
          <w:bCs/>
          <w:sz w:val="24"/>
        </w:rPr>
        <w:t>。</w:t>
      </w:r>
    </w:p>
    <w:p w14:paraId="4FB764BC">
      <w:pPr>
        <w:pStyle w:val="33"/>
        <w:keepNext w:val="0"/>
        <w:keepLines w:val="0"/>
        <w:pageBreakBefore w:val="0"/>
        <w:widowControl w:val="0"/>
        <w:numPr>
          <w:ilvl w:val="0"/>
          <w:numId w:val="4"/>
        </w:numPr>
        <w:kinsoku/>
        <w:wordWrap/>
        <w:overflowPunct/>
        <w:topLinePunct w:val="0"/>
        <w:autoSpaceDE/>
        <w:autoSpaceDN/>
        <w:bidi w:val="0"/>
        <w:adjustRightInd w:val="0"/>
        <w:snapToGrid/>
        <w:spacing w:line="600" w:lineRule="exact"/>
        <w:textAlignment w:val="auto"/>
        <w:rPr>
          <w:rFonts w:hint="eastAsia" w:hAnsi="宋体"/>
          <w:bCs/>
          <w:sz w:val="24"/>
        </w:rPr>
      </w:pPr>
      <w:r>
        <w:rPr>
          <w:rFonts w:hint="eastAsia" w:hAnsi="宋体"/>
          <w:bCs/>
          <w:sz w:val="24"/>
        </w:rPr>
        <w:t>质量控制：施工前，</w:t>
      </w:r>
      <w:r>
        <w:rPr>
          <w:rFonts w:hint="eastAsia" w:hAnsi="宋体"/>
          <w:bCs/>
          <w:sz w:val="24"/>
          <w:lang w:val="en-US" w:eastAsia="zh-CN"/>
        </w:rPr>
        <w:t>中标供应商</w:t>
      </w:r>
      <w:r>
        <w:rPr>
          <w:rFonts w:hint="eastAsia" w:hAnsi="宋体"/>
          <w:bCs/>
          <w:sz w:val="24"/>
        </w:rPr>
        <w:t>需备齐计量器具，设专人进行计量，保证各种材料的单位使用量，</w:t>
      </w:r>
      <w:r>
        <w:rPr>
          <w:rFonts w:hint="eastAsia" w:hAnsi="宋体"/>
          <w:bCs/>
          <w:sz w:val="24"/>
          <w:lang w:val="en-US" w:eastAsia="zh-CN"/>
        </w:rPr>
        <w:t>采购单位负责人</w:t>
      </w:r>
      <w:r>
        <w:rPr>
          <w:rFonts w:hint="eastAsia" w:hAnsi="宋体"/>
          <w:bCs/>
          <w:sz w:val="24"/>
        </w:rPr>
        <w:t>和专业监理工程师要做好旁站工作，不定期对配比进行抽查。PU、弹性颗粒应进行充分搅拌，倒入搅拌器内均匀搅拌2-3分钟。</w:t>
      </w:r>
    </w:p>
    <w:p w14:paraId="11182CD5">
      <w:pPr>
        <w:pStyle w:val="33"/>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宋体" w:hAnsi="宋体" w:eastAsia="宋体"/>
          <w:b/>
          <w:bCs w:val="0"/>
          <w:sz w:val="24"/>
          <w:lang w:val="en-US" w:eastAsia="zh-CN"/>
        </w:rPr>
      </w:pPr>
      <w:r>
        <w:rPr>
          <w:rFonts w:hint="eastAsia" w:hAnsi="宋体"/>
          <w:b/>
          <w:bCs w:val="0"/>
          <w:sz w:val="24"/>
          <w:lang w:val="en-US" w:eastAsia="zh-CN"/>
        </w:rPr>
        <w:t>七、</w:t>
      </w:r>
      <w:r>
        <w:rPr>
          <w:rFonts w:hint="eastAsia" w:ascii="宋体" w:hAnsi="宋体" w:eastAsia="宋体"/>
          <w:b/>
          <w:bCs w:val="0"/>
          <w:sz w:val="24"/>
          <w:lang w:val="en-US" w:eastAsia="zh-CN"/>
        </w:rPr>
        <w:t>付款方式：</w:t>
      </w:r>
    </w:p>
    <w:p w14:paraId="6E858DCB">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ascii="宋体" w:hAnsi="宋体" w:cs="宋体"/>
          <w:b/>
          <w:color w:val="auto"/>
          <w:sz w:val="36"/>
          <w:szCs w:val="36"/>
          <w:highlight w:val="none"/>
        </w:rPr>
      </w:pPr>
      <w:r>
        <w:rPr>
          <w:rFonts w:hint="eastAsia" w:ascii="宋体" w:hAnsi="宋体" w:eastAsia="宋体"/>
          <w:b w:val="0"/>
          <w:bCs/>
          <w:sz w:val="24"/>
        </w:rPr>
        <w:t>合同签订后5个工作日内预付</w:t>
      </w:r>
      <w:r>
        <w:rPr>
          <w:rFonts w:hint="eastAsia" w:ascii="宋体" w:hAnsi="宋体" w:eastAsia="宋体"/>
          <w:b w:val="0"/>
          <w:bCs/>
          <w:sz w:val="24"/>
          <w:lang w:val="en-US" w:eastAsia="zh-CN"/>
        </w:rPr>
        <w:t>合同价的50%作为预付款。</w:t>
      </w:r>
      <w:r>
        <w:rPr>
          <w:rFonts w:hint="eastAsia" w:ascii="宋体" w:hAnsi="宋体" w:eastAsia="宋体"/>
          <w:b w:val="0"/>
          <w:bCs/>
          <w:sz w:val="24"/>
        </w:rPr>
        <w:t>项目完成</w:t>
      </w:r>
      <w:r>
        <w:rPr>
          <w:rFonts w:hint="eastAsia" w:ascii="宋体" w:hAnsi="宋体" w:eastAsia="宋体"/>
          <w:b w:val="0"/>
          <w:bCs/>
          <w:sz w:val="24"/>
          <w:lang w:val="en-US" w:eastAsia="zh-CN"/>
        </w:rPr>
        <w:t>质量抽检验收并合格后支付剩余合同价款。（因采购人支付上述款项须报财政审批，中标</w:t>
      </w:r>
      <w:r>
        <w:rPr>
          <w:rFonts w:hint="eastAsia" w:hAnsi="宋体"/>
          <w:b w:val="0"/>
          <w:bCs/>
          <w:sz w:val="24"/>
          <w:lang w:val="en-US" w:eastAsia="zh-CN"/>
        </w:rPr>
        <w:t>供应商</w:t>
      </w:r>
      <w:r>
        <w:rPr>
          <w:rFonts w:hint="eastAsia" w:ascii="宋体" w:hAnsi="宋体" w:eastAsia="宋体"/>
          <w:b w:val="0"/>
          <w:bCs/>
          <w:sz w:val="24"/>
          <w:lang w:val="en-US" w:eastAsia="zh-CN"/>
        </w:rPr>
        <w:t>同意在采购人通过财政审批且取得相应款项后支付，具体审批付款流程按</w:t>
      </w:r>
      <w:r>
        <w:rPr>
          <w:rFonts w:hint="eastAsia" w:hAnsi="宋体"/>
          <w:b w:val="0"/>
          <w:bCs/>
          <w:sz w:val="24"/>
          <w:lang w:val="en-US" w:eastAsia="zh-CN"/>
        </w:rPr>
        <w:t>采购人</w:t>
      </w:r>
      <w:r>
        <w:rPr>
          <w:rFonts w:hint="eastAsia" w:ascii="宋体" w:hAnsi="宋体" w:eastAsia="宋体"/>
          <w:b w:val="0"/>
          <w:bCs/>
          <w:sz w:val="24"/>
          <w:lang w:val="en-US" w:eastAsia="zh-CN"/>
        </w:rPr>
        <w:t>规定执行</w:t>
      </w:r>
      <w:r>
        <w:rPr>
          <w:rFonts w:hint="eastAsia" w:hAnsi="宋体"/>
          <w:b w:val="0"/>
          <w:bCs/>
          <w:sz w:val="24"/>
          <w:lang w:val="en-US" w:eastAsia="zh-CN"/>
        </w:rPr>
        <w:t>；且</w:t>
      </w:r>
      <w:r>
        <w:rPr>
          <w:rFonts w:hint="eastAsia" w:ascii="宋体" w:hAnsi="宋体" w:eastAsia="宋体"/>
          <w:b w:val="0"/>
          <w:bCs/>
          <w:sz w:val="24"/>
          <w:lang w:val="en-US" w:eastAsia="zh-CN"/>
        </w:rPr>
        <w:t>每次付款前中标供应商需按采购人要求提供相应金额的正规发票</w:t>
      </w:r>
      <w:r>
        <w:rPr>
          <w:rFonts w:hint="eastAsia" w:hAnsi="宋体"/>
          <w:b w:val="0"/>
          <w:bCs/>
          <w:sz w:val="24"/>
          <w:lang w:val="en-US" w:eastAsia="zh-CN"/>
        </w:rPr>
        <w:t>。</w:t>
      </w:r>
      <w:r>
        <w:rPr>
          <w:rFonts w:hint="eastAsia" w:ascii="宋体" w:hAnsi="宋体" w:eastAsia="宋体"/>
          <w:b w:val="0"/>
          <w:bCs/>
          <w:sz w:val="24"/>
          <w:lang w:val="en-US" w:eastAsia="zh-CN"/>
        </w:rPr>
        <w:t>）</w:t>
      </w:r>
    </w:p>
    <w:p w14:paraId="57F5FC30">
      <w:pPr>
        <w:spacing w:line="360" w:lineRule="auto"/>
        <w:rPr>
          <w:rFonts w:ascii="宋体" w:hAnsi="宋体" w:cs="宋体"/>
          <w:color w:val="auto"/>
          <w:sz w:val="24"/>
          <w:highlight w:val="none"/>
        </w:rPr>
      </w:pPr>
    </w:p>
    <w:p w14:paraId="2F9D3872">
      <w:pPr>
        <w:widowControl/>
        <w:ind w:firstLine="720" w:firstLineChars="300"/>
        <w:jc w:val="left"/>
        <w:rPr>
          <w:rFonts w:ascii="宋体" w:hAnsi="宋体" w:cs="宋体"/>
          <w:bCs/>
          <w:color w:val="auto"/>
          <w:sz w:val="24"/>
          <w:highlight w:val="none"/>
        </w:rPr>
      </w:pPr>
    </w:p>
    <w:p w14:paraId="64EB0AE1">
      <w:pPr>
        <w:rPr>
          <w:rFonts w:ascii="宋体" w:hAnsi="宋体" w:cs="宋体"/>
          <w:snapToGrid w:val="0"/>
          <w:color w:val="auto"/>
          <w:kern w:val="0"/>
          <w:sz w:val="24"/>
          <w:highlight w:val="none"/>
        </w:rPr>
      </w:pP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14433"/>
      <w:bookmarkEnd w:id="33"/>
      <w:bookmarkStart w:id="34" w:name="_Toc184310326"/>
      <w:bookmarkEnd w:id="34"/>
      <w:bookmarkStart w:id="35" w:name="_Toc184310284"/>
      <w:bookmarkEnd w:id="35"/>
      <w:bookmarkStart w:id="36" w:name="_Toc184310335"/>
      <w:bookmarkEnd w:id="36"/>
      <w:bookmarkStart w:id="37" w:name="_Toc184314478"/>
      <w:bookmarkEnd w:id="37"/>
      <w:bookmarkStart w:id="38" w:name="_Toc184308080"/>
      <w:bookmarkEnd w:id="38"/>
      <w:bookmarkStart w:id="39" w:name="_Toc184308073"/>
      <w:bookmarkEnd w:id="39"/>
      <w:bookmarkStart w:id="40" w:name="_Toc184308061"/>
      <w:bookmarkEnd w:id="40"/>
      <w:bookmarkStart w:id="41" w:name="_Toc184308087"/>
      <w:bookmarkEnd w:id="41"/>
      <w:bookmarkStart w:id="42" w:name="_Toc184310315"/>
      <w:bookmarkEnd w:id="42"/>
      <w:bookmarkStart w:id="43" w:name="_Toc184310275"/>
      <w:bookmarkEnd w:id="43"/>
      <w:bookmarkStart w:id="44" w:name="_Toc184313287"/>
      <w:bookmarkEnd w:id="44"/>
      <w:bookmarkStart w:id="45" w:name="_Toc184314423"/>
      <w:bookmarkEnd w:id="45"/>
      <w:bookmarkStart w:id="46" w:name="_Toc184313258"/>
      <w:bookmarkEnd w:id="46"/>
      <w:bookmarkStart w:id="47" w:name="_Toc184312132"/>
      <w:bookmarkEnd w:id="47"/>
      <w:bookmarkStart w:id="48" w:name="_Toc184314421"/>
      <w:bookmarkEnd w:id="48"/>
      <w:bookmarkStart w:id="49" w:name="_Toc184310303"/>
      <w:bookmarkEnd w:id="49"/>
      <w:bookmarkStart w:id="50" w:name="_Toc184313306"/>
      <w:bookmarkEnd w:id="50"/>
      <w:bookmarkStart w:id="51" w:name="_Toc184313263"/>
      <w:bookmarkEnd w:id="51"/>
      <w:bookmarkStart w:id="52" w:name="_Toc184313300"/>
      <w:bookmarkEnd w:id="52"/>
      <w:bookmarkStart w:id="53" w:name="_Toc184314416"/>
      <w:bookmarkEnd w:id="53"/>
      <w:bookmarkStart w:id="54" w:name="_Toc184313260"/>
      <w:bookmarkEnd w:id="54"/>
      <w:bookmarkStart w:id="55" w:name="_Toc184313294"/>
      <w:bookmarkEnd w:id="55"/>
      <w:bookmarkStart w:id="56" w:name="_Toc184308089"/>
      <w:bookmarkEnd w:id="56"/>
      <w:bookmarkStart w:id="57" w:name="_Toc184308101"/>
      <w:bookmarkEnd w:id="57"/>
      <w:bookmarkStart w:id="58" w:name="_Toc184310327"/>
      <w:bookmarkEnd w:id="58"/>
      <w:bookmarkStart w:id="59" w:name="_Toc184308091"/>
      <w:bookmarkEnd w:id="59"/>
      <w:bookmarkStart w:id="60" w:name="_Toc184308060"/>
      <w:bookmarkEnd w:id="60"/>
      <w:bookmarkStart w:id="61" w:name="_Toc184312096"/>
      <w:bookmarkEnd w:id="61"/>
      <w:bookmarkStart w:id="62" w:name="_Toc184312071"/>
      <w:bookmarkEnd w:id="62"/>
      <w:bookmarkStart w:id="63" w:name="_Toc184310319"/>
      <w:bookmarkEnd w:id="63"/>
      <w:bookmarkStart w:id="64" w:name="_Toc184308056"/>
      <w:bookmarkEnd w:id="64"/>
      <w:bookmarkStart w:id="65" w:name="_Toc184312134"/>
      <w:bookmarkEnd w:id="65"/>
      <w:bookmarkStart w:id="66" w:name="_Toc184312120"/>
      <w:bookmarkEnd w:id="66"/>
      <w:bookmarkStart w:id="67" w:name="_Toc184308106"/>
      <w:bookmarkEnd w:id="67"/>
      <w:bookmarkStart w:id="68" w:name="_Toc184312128"/>
      <w:bookmarkEnd w:id="68"/>
      <w:bookmarkStart w:id="69" w:name="_Toc184314444"/>
      <w:bookmarkEnd w:id="69"/>
      <w:bookmarkStart w:id="70" w:name="_Toc184314460"/>
      <w:bookmarkEnd w:id="70"/>
      <w:bookmarkStart w:id="71" w:name="_Toc184310336"/>
      <w:bookmarkEnd w:id="71"/>
      <w:bookmarkStart w:id="72" w:name="_Toc184313289"/>
      <w:bookmarkEnd w:id="72"/>
      <w:bookmarkStart w:id="73" w:name="_Toc184312083"/>
      <w:bookmarkEnd w:id="73"/>
      <w:bookmarkStart w:id="74" w:name="_Toc184310323"/>
      <w:bookmarkEnd w:id="74"/>
      <w:bookmarkStart w:id="75" w:name="_Toc184308050"/>
      <w:bookmarkEnd w:id="75"/>
      <w:bookmarkStart w:id="76" w:name="_Toc184312131"/>
      <w:bookmarkEnd w:id="76"/>
      <w:bookmarkStart w:id="77" w:name="_Toc184314463"/>
      <w:bookmarkEnd w:id="77"/>
      <w:bookmarkStart w:id="78" w:name="_Toc184313280"/>
      <w:bookmarkEnd w:id="78"/>
      <w:bookmarkStart w:id="79" w:name="_Toc184313292"/>
      <w:bookmarkEnd w:id="79"/>
      <w:bookmarkStart w:id="80" w:name="_Toc184314420"/>
      <w:bookmarkEnd w:id="80"/>
      <w:bookmarkStart w:id="81" w:name="_Toc184310341"/>
      <w:bookmarkEnd w:id="81"/>
      <w:bookmarkStart w:id="82" w:name="_Toc184313295"/>
      <w:bookmarkEnd w:id="82"/>
      <w:bookmarkStart w:id="83" w:name="_Toc184313249"/>
      <w:bookmarkEnd w:id="83"/>
      <w:bookmarkStart w:id="84" w:name="_Toc184308053"/>
      <w:bookmarkEnd w:id="84"/>
      <w:bookmarkStart w:id="85" w:name="_Toc184310320"/>
      <w:bookmarkEnd w:id="85"/>
      <w:bookmarkStart w:id="86" w:name="_Toc184314482"/>
      <w:bookmarkEnd w:id="86"/>
      <w:bookmarkStart w:id="87" w:name="_Toc184310342"/>
      <w:bookmarkEnd w:id="87"/>
      <w:bookmarkStart w:id="88" w:name="_Toc184314443"/>
      <w:bookmarkEnd w:id="88"/>
      <w:bookmarkStart w:id="89" w:name="_Toc184310298"/>
      <w:bookmarkEnd w:id="89"/>
      <w:bookmarkStart w:id="90" w:name="_Toc184312089"/>
      <w:bookmarkEnd w:id="90"/>
      <w:bookmarkStart w:id="91" w:name="_Toc184310289"/>
      <w:bookmarkEnd w:id="91"/>
      <w:bookmarkStart w:id="92" w:name="_Toc184308055"/>
      <w:bookmarkEnd w:id="92"/>
      <w:bookmarkStart w:id="93" w:name="_Toc184313282"/>
      <w:bookmarkEnd w:id="93"/>
      <w:bookmarkStart w:id="94" w:name="_Toc184308041"/>
      <w:bookmarkEnd w:id="94"/>
      <w:bookmarkStart w:id="95" w:name="_Toc184314461"/>
      <w:bookmarkEnd w:id="95"/>
      <w:bookmarkStart w:id="96" w:name="_Toc184308102"/>
      <w:bookmarkEnd w:id="96"/>
      <w:bookmarkStart w:id="97" w:name="_Toc184313299"/>
      <w:bookmarkEnd w:id="97"/>
      <w:bookmarkStart w:id="98" w:name="_Toc184310309"/>
      <w:bookmarkEnd w:id="98"/>
      <w:bookmarkStart w:id="99" w:name="_Toc184308042"/>
      <w:bookmarkEnd w:id="99"/>
      <w:bookmarkStart w:id="100" w:name="_Toc184308094"/>
      <w:bookmarkEnd w:id="100"/>
      <w:bookmarkStart w:id="101" w:name="_Toc184314452"/>
      <w:bookmarkEnd w:id="101"/>
      <w:bookmarkStart w:id="102" w:name="_Toc184310317"/>
      <w:bookmarkEnd w:id="102"/>
      <w:bookmarkStart w:id="103" w:name="_Toc184310314"/>
      <w:bookmarkEnd w:id="103"/>
      <w:bookmarkStart w:id="104" w:name="_Toc184308099"/>
      <w:bookmarkEnd w:id="104"/>
      <w:bookmarkStart w:id="105" w:name="_Toc184308093"/>
      <w:bookmarkEnd w:id="105"/>
      <w:bookmarkStart w:id="106" w:name="_Toc184313262"/>
      <w:bookmarkEnd w:id="106"/>
      <w:bookmarkStart w:id="107" w:name="_Toc184308069"/>
      <w:bookmarkEnd w:id="107"/>
      <w:bookmarkStart w:id="108" w:name="_Toc184313264"/>
      <w:bookmarkEnd w:id="108"/>
      <w:bookmarkStart w:id="109" w:name="_Toc184314480"/>
      <w:bookmarkEnd w:id="109"/>
      <w:bookmarkStart w:id="110" w:name="_Toc184308038"/>
      <w:bookmarkEnd w:id="110"/>
      <w:bookmarkStart w:id="111" w:name="_Toc184310340"/>
      <w:bookmarkEnd w:id="111"/>
      <w:bookmarkStart w:id="112" w:name="_Toc184314453"/>
      <w:bookmarkEnd w:id="112"/>
      <w:bookmarkStart w:id="113" w:name="_Toc184310295"/>
      <w:bookmarkEnd w:id="113"/>
      <w:bookmarkStart w:id="114" w:name="_Toc184312123"/>
      <w:bookmarkEnd w:id="114"/>
      <w:bookmarkStart w:id="115" w:name="_Toc184312127"/>
      <w:bookmarkEnd w:id="115"/>
      <w:bookmarkStart w:id="116" w:name="_Toc184314468"/>
      <w:bookmarkEnd w:id="116"/>
      <w:bookmarkStart w:id="117" w:name="_Toc184314439"/>
      <w:bookmarkEnd w:id="117"/>
      <w:bookmarkStart w:id="118" w:name="_Toc184310318"/>
      <w:bookmarkEnd w:id="118"/>
      <w:bookmarkStart w:id="119" w:name="_Toc184312125"/>
      <w:bookmarkEnd w:id="119"/>
      <w:bookmarkStart w:id="120" w:name="_Toc184312068"/>
      <w:bookmarkEnd w:id="120"/>
      <w:bookmarkStart w:id="121" w:name="_Toc184313293"/>
      <w:bookmarkEnd w:id="121"/>
      <w:bookmarkStart w:id="122" w:name="_Toc184313240"/>
      <w:bookmarkEnd w:id="122"/>
      <w:bookmarkStart w:id="123" w:name="_Toc184314440"/>
      <w:bookmarkEnd w:id="123"/>
      <w:bookmarkStart w:id="124" w:name="_Toc184310334"/>
      <w:bookmarkEnd w:id="124"/>
      <w:bookmarkStart w:id="125" w:name="_Toc184314450"/>
      <w:bookmarkEnd w:id="125"/>
      <w:bookmarkStart w:id="126" w:name="_Toc184314466"/>
      <w:bookmarkEnd w:id="126"/>
      <w:bookmarkStart w:id="127" w:name="_Toc184314449"/>
      <w:bookmarkEnd w:id="127"/>
      <w:bookmarkStart w:id="128" w:name="_Toc184308071"/>
      <w:bookmarkEnd w:id="128"/>
      <w:bookmarkStart w:id="129" w:name="_Toc184312091"/>
      <w:bookmarkEnd w:id="129"/>
      <w:bookmarkStart w:id="130" w:name="_Toc184313250"/>
      <w:bookmarkEnd w:id="130"/>
      <w:bookmarkStart w:id="131" w:name="_Toc184312113"/>
      <w:bookmarkEnd w:id="131"/>
      <w:bookmarkStart w:id="132" w:name="_Toc184312117"/>
      <w:bookmarkEnd w:id="132"/>
      <w:bookmarkStart w:id="133" w:name="_Toc184313247"/>
      <w:bookmarkEnd w:id="133"/>
      <w:bookmarkStart w:id="134" w:name="_Toc184312130"/>
      <w:bookmarkEnd w:id="134"/>
      <w:bookmarkStart w:id="135" w:name="_Toc184313246"/>
      <w:bookmarkEnd w:id="135"/>
      <w:bookmarkStart w:id="136" w:name="_Toc184310325"/>
      <w:bookmarkEnd w:id="136"/>
      <w:bookmarkStart w:id="137" w:name="_Toc184308057"/>
      <w:bookmarkEnd w:id="137"/>
      <w:bookmarkStart w:id="138" w:name="_Toc184314479"/>
      <w:bookmarkEnd w:id="138"/>
      <w:bookmarkStart w:id="139" w:name="_Toc184310307"/>
      <w:bookmarkEnd w:id="139"/>
      <w:bookmarkStart w:id="140" w:name="_Toc184312121"/>
      <w:bookmarkEnd w:id="140"/>
      <w:bookmarkStart w:id="141" w:name="_Toc184312079"/>
      <w:bookmarkEnd w:id="141"/>
      <w:bookmarkStart w:id="142" w:name="_Toc184314481"/>
      <w:bookmarkEnd w:id="142"/>
      <w:bookmarkStart w:id="143" w:name="_Toc184310281"/>
      <w:bookmarkEnd w:id="143"/>
      <w:bookmarkStart w:id="144" w:name="_Toc184308065"/>
      <w:bookmarkEnd w:id="144"/>
      <w:bookmarkStart w:id="145" w:name="_Toc184314474"/>
      <w:bookmarkEnd w:id="145"/>
      <w:bookmarkStart w:id="146" w:name="_Toc184312092"/>
      <w:bookmarkEnd w:id="146"/>
      <w:bookmarkStart w:id="147" w:name="_Toc184314475"/>
      <w:bookmarkEnd w:id="147"/>
      <w:bookmarkStart w:id="148" w:name="_Toc184310321"/>
      <w:bookmarkEnd w:id="148"/>
      <w:bookmarkStart w:id="149" w:name="_Toc184313244"/>
      <w:bookmarkEnd w:id="149"/>
      <w:bookmarkStart w:id="150" w:name="_Toc184308100"/>
      <w:bookmarkEnd w:id="150"/>
      <w:bookmarkStart w:id="151" w:name="_Toc184312105"/>
      <w:bookmarkEnd w:id="151"/>
      <w:bookmarkStart w:id="152" w:name="_Toc184313238"/>
      <w:bookmarkEnd w:id="152"/>
      <w:bookmarkStart w:id="153" w:name="_Toc184313278"/>
      <w:bookmarkEnd w:id="153"/>
      <w:bookmarkStart w:id="154" w:name="_Toc184314469"/>
      <w:bookmarkEnd w:id="154"/>
      <w:bookmarkStart w:id="155" w:name="_Toc184310280"/>
      <w:bookmarkEnd w:id="155"/>
      <w:bookmarkStart w:id="156" w:name="_Toc184310299"/>
      <w:bookmarkEnd w:id="156"/>
      <w:bookmarkStart w:id="157" w:name="_Toc184312100"/>
      <w:bookmarkEnd w:id="157"/>
      <w:bookmarkStart w:id="158" w:name="_Toc184310278"/>
      <w:bookmarkEnd w:id="158"/>
      <w:bookmarkStart w:id="159" w:name="_Toc184308044"/>
      <w:bookmarkEnd w:id="159"/>
      <w:bookmarkStart w:id="160" w:name="_Toc184314454"/>
      <w:bookmarkEnd w:id="160"/>
      <w:bookmarkStart w:id="161" w:name="_Toc184310300"/>
      <w:bookmarkEnd w:id="161"/>
      <w:bookmarkStart w:id="162" w:name="_Toc184312101"/>
      <w:bookmarkEnd w:id="162"/>
      <w:bookmarkStart w:id="163" w:name="_Toc184308105"/>
      <w:bookmarkEnd w:id="163"/>
      <w:bookmarkStart w:id="164" w:name="_Toc184313273"/>
      <w:bookmarkEnd w:id="164"/>
      <w:bookmarkStart w:id="165" w:name="_Toc184308083"/>
      <w:bookmarkEnd w:id="165"/>
      <w:bookmarkStart w:id="166" w:name="_Toc184313272"/>
      <w:bookmarkEnd w:id="166"/>
      <w:bookmarkStart w:id="167" w:name="_Toc184312136"/>
      <w:bookmarkEnd w:id="167"/>
      <w:bookmarkStart w:id="168" w:name="_Toc184310291"/>
      <w:bookmarkEnd w:id="168"/>
      <w:bookmarkStart w:id="169" w:name="_Toc184310297"/>
      <w:bookmarkEnd w:id="169"/>
      <w:bookmarkStart w:id="170" w:name="_Toc184314426"/>
      <w:bookmarkEnd w:id="170"/>
      <w:bookmarkStart w:id="171" w:name="_Toc184314414"/>
      <w:bookmarkEnd w:id="171"/>
      <w:bookmarkStart w:id="172" w:name="_Toc184310313"/>
      <w:bookmarkEnd w:id="172"/>
      <w:bookmarkStart w:id="173" w:name="_Toc184312084"/>
      <w:bookmarkEnd w:id="173"/>
      <w:bookmarkStart w:id="174" w:name="_Toc184314465"/>
      <w:bookmarkEnd w:id="174"/>
      <w:bookmarkStart w:id="175" w:name="_Toc184310305"/>
      <w:bookmarkEnd w:id="175"/>
      <w:bookmarkStart w:id="176" w:name="_Toc184310328"/>
      <w:bookmarkEnd w:id="176"/>
      <w:bookmarkStart w:id="177" w:name="_Toc184310308"/>
      <w:bookmarkEnd w:id="177"/>
      <w:bookmarkStart w:id="178" w:name="_Toc184314446"/>
      <w:bookmarkEnd w:id="178"/>
      <w:bookmarkStart w:id="179" w:name="_Toc184312069"/>
      <w:bookmarkEnd w:id="179"/>
      <w:bookmarkStart w:id="180" w:name="_Toc184308059"/>
      <w:bookmarkEnd w:id="180"/>
      <w:bookmarkStart w:id="181" w:name="_Toc184310276"/>
      <w:bookmarkEnd w:id="181"/>
      <w:bookmarkStart w:id="182" w:name="_Toc184313254"/>
      <w:bookmarkEnd w:id="182"/>
      <w:bookmarkStart w:id="183" w:name="_Toc184310344"/>
      <w:bookmarkEnd w:id="183"/>
      <w:bookmarkStart w:id="184" w:name="_Toc184313277"/>
      <w:bookmarkEnd w:id="184"/>
      <w:bookmarkStart w:id="185" w:name="_Toc184310331"/>
      <w:bookmarkEnd w:id="185"/>
      <w:bookmarkStart w:id="186" w:name="_Toc184313253"/>
      <w:bookmarkEnd w:id="186"/>
      <w:bookmarkStart w:id="187" w:name="_Toc184313241"/>
      <w:bookmarkEnd w:id="187"/>
      <w:bookmarkStart w:id="188" w:name="_Toc184308078"/>
      <w:bookmarkEnd w:id="188"/>
      <w:bookmarkStart w:id="189" w:name="_Toc184310302"/>
      <w:bookmarkEnd w:id="189"/>
      <w:bookmarkStart w:id="190" w:name="_Toc184314464"/>
      <w:bookmarkEnd w:id="190"/>
      <w:bookmarkStart w:id="191" w:name="_Toc184313285"/>
      <w:bookmarkEnd w:id="191"/>
      <w:bookmarkStart w:id="192" w:name="_Toc184313283"/>
      <w:bookmarkEnd w:id="192"/>
      <w:bookmarkStart w:id="193" w:name="_Toc184313270"/>
      <w:bookmarkEnd w:id="193"/>
      <w:bookmarkStart w:id="194" w:name="_Toc184314477"/>
      <w:bookmarkEnd w:id="194"/>
      <w:bookmarkStart w:id="195" w:name="_Toc184310272"/>
      <w:bookmarkEnd w:id="195"/>
      <w:bookmarkStart w:id="196" w:name="_Toc184313255"/>
      <w:bookmarkEnd w:id="196"/>
      <w:bookmarkStart w:id="197" w:name="_Toc184312137"/>
      <w:bookmarkEnd w:id="197"/>
      <w:bookmarkStart w:id="198" w:name="_Toc184314418"/>
      <w:bookmarkEnd w:id="198"/>
      <w:bookmarkStart w:id="199" w:name="_Toc184314447"/>
      <w:bookmarkEnd w:id="199"/>
      <w:bookmarkStart w:id="200" w:name="_Toc184312076"/>
      <w:bookmarkEnd w:id="200"/>
      <w:bookmarkStart w:id="201" w:name="_Toc184314472"/>
      <w:bookmarkEnd w:id="201"/>
      <w:bookmarkStart w:id="202" w:name="_Toc184308104"/>
      <w:bookmarkEnd w:id="202"/>
      <w:bookmarkStart w:id="203" w:name="_Toc184312114"/>
      <w:bookmarkEnd w:id="203"/>
      <w:bookmarkStart w:id="204" w:name="_Toc184310288"/>
      <w:bookmarkEnd w:id="204"/>
      <w:bookmarkStart w:id="205" w:name="_Toc184308046"/>
      <w:bookmarkEnd w:id="205"/>
      <w:bookmarkStart w:id="206" w:name="_Toc184312085"/>
      <w:bookmarkEnd w:id="206"/>
      <w:bookmarkStart w:id="207" w:name="_Toc184312129"/>
      <w:bookmarkEnd w:id="207"/>
      <w:bookmarkStart w:id="208" w:name="_Toc184308095"/>
      <w:bookmarkEnd w:id="208"/>
      <w:bookmarkStart w:id="209" w:name="_Toc184308037"/>
      <w:bookmarkEnd w:id="209"/>
      <w:bookmarkStart w:id="210" w:name="_Toc184312118"/>
      <w:bookmarkEnd w:id="210"/>
      <w:bookmarkStart w:id="211" w:name="_Toc184312078"/>
      <w:bookmarkEnd w:id="211"/>
      <w:bookmarkStart w:id="212" w:name="_Toc184312099"/>
      <w:bookmarkEnd w:id="212"/>
      <w:bookmarkStart w:id="213" w:name="_Toc184312111"/>
      <w:bookmarkEnd w:id="213"/>
      <w:bookmarkStart w:id="214" w:name="_Toc184314441"/>
      <w:bookmarkEnd w:id="214"/>
      <w:bookmarkStart w:id="215" w:name="_Toc184314445"/>
      <w:bookmarkEnd w:id="215"/>
      <w:bookmarkStart w:id="216" w:name="_Toc184310301"/>
      <w:bookmarkEnd w:id="216"/>
      <w:bookmarkStart w:id="217" w:name="_Toc184312115"/>
      <w:bookmarkEnd w:id="217"/>
      <w:bookmarkStart w:id="218" w:name="_Toc184313268"/>
      <w:bookmarkEnd w:id="218"/>
      <w:bookmarkStart w:id="219" w:name="_Toc184308047"/>
      <w:bookmarkEnd w:id="219"/>
      <w:bookmarkStart w:id="220" w:name="_Toc184308039"/>
      <w:bookmarkEnd w:id="220"/>
      <w:bookmarkStart w:id="221" w:name="_Toc184308049"/>
      <w:bookmarkEnd w:id="221"/>
      <w:bookmarkStart w:id="222" w:name="_Toc184314427"/>
      <w:bookmarkEnd w:id="222"/>
      <w:bookmarkStart w:id="223" w:name="_Toc184313305"/>
      <w:bookmarkEnd w:id="223"/>
      <w:bookmarkStart w:id="224" w:name="_Toc184312070"/>
      <w:bookmarkEnd w:id="224"/>
      <w:bookmarkStart w:id="225" w:name="_Toc184313296"/>
      <w:bookmarkEnd w:id="225"/>
      <w:bookmarkStart w:id="226" w:name="_Toc184310311"/>
      <w:bookmarkEnd w:id="226"/>
      <w:bookmarkStart w:id="227" w:name="_Toc184313274"/>
      <w:bookmarkEnd w:id="227"/>
      <w:bookmarkStart w:id="228" w:name="_Toc184308079"/>
      <w:bookmarkEnd w:id="228"/>
      <w:bookmarkStart w:id="229" w:name="_Toc184313276"/>
      <w:bookmarkEnd w:id="229"/>
      <w:bookmarkStart w:id="230" w:name="_Toc184308051"/>
      <w:bookmarkEnd w:id="230"/>
      <w:bookmarkStart w:id="231" w:name="_Toc184313248"/>
      <w:bookmarkEnd w:id="231"/>
      <w:bookmarkStart w:id="232" w:name="_Toc184308082"/>
      <w:bookmarkEnd w:id="232"/>
      <w:bookmarkStart w:id="233" w:name="_Toc184314430"/>
      <w:bookmarkEnd w:id="233"/>
      <w:bookmarkStart w:id="234" w:name="_Toc184312110"/>
      <w:bookmarkEnd w:id="234"/>
      <w:bookmarkStart w:id="235" w:name="_Toc184312138"/>
      <w:bookmarkEnd w:id="235"/>
      <w:bookmarkStart w:id="236" w:name="_Toc184308098"/>
      <w:bookmarkEnd w:id="236"/>
      <w:bookmarkStart w:id="237" w:name="_Toc184310296"/>
      <w:bookmarkEnd w:id="237"/>
      <w:bookmarkStart w:id="238" w:name="_Toc184314419"/>
      <w:bookmarkEnd w:id="238"/>
      <w:bookmarkStart w:id="239" w:name="_Toc184314422"/>
      <w:bookmarkEnd w:id="239"/>
      <w:bookmarkStart w:id="240" w:name="_Toc184310333"/>
      <w:bookmarkEnd w:id="240"/>
      <w:bookmarkStart w:id="241" w:name="_Toc184308054"/>
      <w:bookmarkEnd w:id="241"/>
      <w:bookmarkStart w:id="242" w:name="_Toc184312139"/>
      <w:bookmarkEnd w:id="242"/>
      <w:bookmarkStart w:id="243" w:name="_Toc184313297"/>
      <w:bookmarkEnd w:id="243"/>
      <w:bookmarkStart w:id="244" w:name="_Toc184312102"/>
      <w:bookmarkEnd w:id="244"/>
      <w:bookmarkStart w:id="245" w:name="_Toc184314415"/>
      <w:bookmarkEnd w:id="245"/>
      <w:bookmarkStart w:id="246" w:name="_Toc184313298"/>
      <w:bookmarkEnd w:id="246"/>
      <w:bookmarkStart w:id="247" w:name="_Toc184314424"/>
      <w:bookmarkEnd w:id="247"/>
      <w:bookmarkStart w:id="248" w:name="_Toc184312073"/>
      <w:bookmarkEnd w:id="248"/>
      <w:bookmarkStart w:id="249" w:name="_Toc184310343"/>
      <w:bookmarkEnd w:id="249"/>
      <w:bookmarkStart w:id="250" w:name="_Toc184308040"/>
      <w:bookmarkEnd w:id="250"/>
      <w:bookmarkStart w:id="251" w:name="_Toc184308088"/>
      <w:bookmarkEnd w:id="251"/>
      <w:bookmarkStart w:id="252" w:name="_Toc184313265"/>
      <w:bookmarkEnd w:id="252"/>
      <w:bookmarkStart w:id="253" w:name="_Toc184308081"/>
      <w:bookmarkEnd w:id="253"/>
      <w:bookmarkStart w:id="254" w:name="_Toc184310339"/>
      <w:bookmarkEnd w:id="254"/>
      <w:bookmarkStart w:id="255" w:name="_Toc184313251"/>
      <w:bookmarkEnd w:id="255"/>
      <w:bookmarkStart w:id="256" w:name="_Toc184310274"/>
      <w:bookmarkEnd w:id="256"/>
      <w:bookmarkStart w:id="257" w:name="_Toc184310330"/>
      <w:bookmarkEnd w:id="257"/>
      <w:bookmarkStart w:id="258" w:name="_Toc184308090"/>
      <w:bookmarkEnd w:id="258"/>
      <w:bookmarkStart w:id="259" w:name="_Toc184313243"/>
      <w:bookmarkEnd w:id="259"/>
      <w:bookmarkStart w:id="260" w:name="_Toc184314457"/>
      <w:bookmarkEnd w:id="260"/>
      <w:bookmarkStart w:id="261" w:name="_Toc184310294"/>
      <w:bookmarkEnd w:id="261"/>
      <w:bookmarkStart w:id="262" w:name="_Toc184313286"/>
      <w:bookmarkEnd w:id="262"/>
      <w:bookmarkStart w:id="263" w:name="_Toc184313239"/>
      <w:bookmarkEnd w:id="263"/>
      <w:bookmarkStart w:id="264" w:name="_Toc184312098"/>
      <w:bookmarkEnd w:id="264"/>
      <w:bookmarkStart w:id="265" w:name="_Toc184308092"/>
      <w:bookmarkEnd w:id="265"/>
      <w:bookmarkStart w:id="266" w:name="_Toc184308074"/>
      <w:bookmarkEnd w:id="266"/>
      <w:bookmarkStart w:id="267" w:name="_Toc184310304"/>
      <w:bookmarkEnd w:id="267"/>
      <w:bookmarkStart w:id="268" w:name="_Toc184310277"/>
      <w:bookmarkEnd w:id="268"/>
      <w:bookmarkStart w:id="269" w:name="_Toc184310324"/>
      <w:bookmarkEnd w:id="269"/>
      <w:bookmarkStart w:id="270" w:name="_Toc184313266"/>
      <w:bookmarkEnd w:id="270"/>
      <w:bookmarkStart w:id="271" w:name="_Toc184314411"/>
      <w:bookmarkEnd w:id="271"/>
      <w:bookmarkStart w:id="272" w:name="_Toc184310285"/>
      <w:bookmarkEnd w:id="272"/>
      <w:bookmarkStart w:id="273" w:name="_Toc184313302"/>
      <w:bookmarkEnd w:id="273"/>
      <w:bookmarkStart w:id="274" w:name="_Toc184310332"/>
      <w:bookmarkEnd w:id="274"/>
      <w:bookmarkStart w:id="275" w:name="_Toc184310310"/>
      <w:bookmarkEnd w:id="275"/>
      <w:bookmarkStart w:id="276" w:name="_Toc184313284"/>
      <w:bookmarkEnd w:id="276"/>
      <w:bookmarkStart w:id="277" w:name="_Toc184310312"/>
      <w:bookmarkEnd w:id="277"/>
      <w:bookmarkStart w:id="278" w:name="_Toc184310290"/>
      <w:bookmarkEnd w:id="278"/>
      <w:bookmarkStart w:id="279" w:name="_Toc184314428"/>
      <w:bookmarkEnd w:id="279"/>
      <w:bookmarkStart w:id="280" w:name="_Toc184312094"/>
      <w:bookmarkEnd w:id="280"/>
      <w:bookmarkStart w:id="281" w:name="_Toc184312067"/>
      <w:bookmarkEnd w:id="281"/>
      <w:bookmarkStart w:id="282" w:name="_Toc184313271"/>
      <w:bookmarkEnd w:id="282"/>
      <w:bookmarkStart w:id="283" w:name="_Toc184310316"/>
      <w:bookmarkEnd w:id="283"/>
      <w:bookmarkStart w:id="284" w:name="_Toc184310322"/>
      <w:bookmarkEnd w:id="284"/>
      <w:bookmarkStart w:id="285" w:name="_Toc184314437"/>
      <w:bookmarkEnd w:id="285"/>
      <w:bookmarkStart w:id="286" w:name="_Toc184310337"/>
      <w:bookmarkEnd w:id="286"/>
      <w:bookmarkStart w:id="287" w:name="_Toc184314432"/>
      <w:bookmarkEnd w:id="287"/>
      <w:bookmarkStart w:id="288" w:name="_Toc184312088"/>
      <w:bookmarkEnd w:id="288"/>
      <w:bookmarkStart w:id="289" w:name="_Toc184310306"/>
      <w:bookmarkEnd w:id="289"/>
      <w:bookmarkStart w:id="290" w:name="_Toc184312093"/>
      <w:bookmarkEnd w:id="290"/>
      <w:bookmarkStart w:id="291" w:name="_Toc184308103"/>
      <w:bookmarkEnd w:id="291"/>
      <w:bookmarkStart w:id="292" w:name="_Toc184314438"/>
      <w:bookmarkEnd w:id="292"/>
      <w:bookmarkStart w:id="293" w:name="_Toc184308072"/>
      <w:bookmarkEnd w:id="293"/>
      <w:bookmarkStart w:id="294" w:name="_Toc184313310"/>
      <w:bookmarkEnd w:id="294"/>
      <w:bookmarkStart w:id="295" w:name="_Toc184314459"/>
      <w:bookmarkEnd w:id="295"/>
      <w:bookmarkStart w:id="296" w:name="_Toc184314442"/>
      <w:bookmarkEnd w:id="296"/>
      <w:bookmarkStart w:id="297" w:name="_Toc184312107"/>
      <w:bookmarkEnd w:id="297"/>
      <w:bookmarkStart w:id="298" w:name="_Toc184313275"/>
      <w:bookmarkEnd w:id="298"/>
      <w:bookmarkStart w:id="299" w:name="_Toc184314413"/>
      <w:bookmarkEnd w:id="299"/>
      <w:bookmarkStart w:id="300" w:name="_Toc184312135"/>
      <w:bookmarkEnd w:id="300"/>
      <w:bookmarkStart w:id="301" w:name="_Toc184314448"/>
      <w:bookmarkEnd w:id="301"/>
      <w:bookmarkStart w:id="302" w:name="_Toc184314473"/>
      <w:bookmarkEnd w:id="302"/>
      <w:bookmarkStart w:id="303" w:name="_Toc184310329"/>
      <w:bookmarkEnd w:id="303"/>
      <w:bookmarkStart w:id="304" w:name="_Toc184310282"/>
      <w:bookmarkEnd w:id="304"/>
      <w:bookmarkStart w:id="305" w:name="_Toc184312081"/>
      <w:bookmarkEnd w:id="305"/>
      <w:bookmarkStart w:id="306" w:name="_Toc184308066"/>
      <w:bookmarkEnd w:id="306"/>
      <w:bookmarkStart w:id="307" w:name="_Toc184313259"/>
      <w:bookmarkEnd w:id="307"/>
      <w:bookmarkStart w:id="308" w:name="_Toc184313269"/>
      <w:bookmarkEnd w:id="308"/>
      <w:bookmarkStart w:id="309" w:name="_Toc184314467"/>
      <w:bookmarkEnd w:id="309"/>
      <w:bookmarkStart w:id="310" w:name="_Toc184308043"/>
      <w:bookmarkEnd w:id="310"/>
      <w:bookmarkStart w:id="311" w:name="_Toc184308070"/>
      <w:bookmarkEnd w:id="311"/>
      <w:bookmarkStart w:id="312" w:name="_Toc184310293"/>
      <w:bookmarkEnd w:id="312"/>
      <w:bookmarkStart w:id="313" w:name="_Toc184312103"/>
      <w:bookmarkEnd w:id="313"/>
      <w:bookmarkStart w:id="314" w:name="_Toc184312087"/>
      <w:bookmarkEnd w:id="314"/>
      <w:bookmarkStart w:id="315" w:name="_Toc184312072"/>
      <w:bookmarkEnd w:id="315"/>
      <w:bookmarkStart w:id="316" w:name="_Toc184312119"/>
      <w:bookmarkEnd w:id="316"/>
      <w:bookmarkStart w:id="317" w:name="_Toc184313288"/>
      <w:bookmarkEnd w:id="317"/>
      <w:bookmarkStart w:id="318" w:name="_Toc184312075"/>
      <w:bookmarkEnd w:id="318"/>
      <w:bookmarkStart w:id="319" w:name="_Toc184308048"/>
      <w:bookmarkEnd w:id="319"/>
      <w:bookmarkStart w:id="320" w:name="_Toc184312122"/>
      <w:bookmarkEnd w:id="320"/>
      <w:bookmarkStart w:id="321" w:name="_Toc184313267"/>
      <w:bookmarkEnd w:id="321"/>
      <w:bookmarkStart w:id="322" w:name="_Toc184314462"/>
      <w:bookmarkEnd w:id="322"/>
      <w:bookmarkStart w:id="323" w:name="_Toc184310286"/>
      <w:bookmarkEnd w:id="323"/>
      <w:bookmarkStart w:id="324" w:name="_Toc184314476"/>
      <w:bookmarkEnd w:id="324"/>
      <w:bookmarkStart w:id="325" w:name="_Toc184308068"/>
      <w:bookmarkEnd w:id="325"/>
      <w:bookmarkStart w:id="326" w:name="_Toc184308067"/>
      <w:bookmarkEnd w:id="326"/>
      <w:bookmarkStart w:id="327" w:name="_Toc184308108"/>
      <w:bookmarkEnd w:id="327"/>
      <w:bookmarkStart w:id="328" w:name="_Toc184312108"/>
      <w:bookmarkEnd w:id="328"/>
      <w:bookmarkStart w:id="329" w:name="_Toc184312109"/>
      <w:bookmarkEnd w:id="329"/>
      <w:bookmarkStart w:id="330" w:name="_Toc184310287"/>
      <w:bookmarkEnd w:id="330"/>
      <w:bookmarkStart w:id="331" w:name="_Toc184314412"/>
      <w:bookmarkEnd w:id="331"/>
      <w:bookmarkStart w:id="332" w:name="_Toc184308036"/>
      <w:bookmarkEnd w:id="332"/>
      <w:bookmarkStart w:id="333" w:name="_Toc184310279"/>
      <w:bookmarkEnd w:id="333"/>
      <w:bookmarkStart w:id="334" w:name="_Toc184314435"/>
      <w:bookmarkEnd w:id="334"/>
      <w:bookmarkStart w:id="335" w:name="_Toc184313256"/>
      <w:bookmarkEnd w:id="335"/>
      <w:bookmarkStart w:id="336" w:name="_Toc184312124"/>
      <w:bookmarkEnd w:id="336"/>
      <w:bookmarkStart w:id="337" w:name="_Toc184312077"/>
      <w:bookmarkEnd w:id="337"/>
      <w:bookmarkStart w:id="338" w:name="_Toc184313291"/>
      <w:bookmarkEnd w:id="338"/>
      <w:bookmarkStart w:id="339" w:name="_Toc184312104"/>
      <w:bookmarkEnd w:id="339"/>
      <w:bookmarkStart w:id="340" w:name="_Toc184314410"/>
      <w:bookmarkEnd w:id="340"/>
      <w:bookmarkStart w:id="341" w:name="_Toc184312090"/>
      <w:bookmarkEnd w:id="341"/>
      <w:bookmarkStart w:id="342" w:name="_Toc184312112"/>
      <w:bookmarkEnd w:id="342"/>
      <w:bookmarkStart w:id="343" w:name="_Toc184312082"/>
      <w:bookmarkEnd w:id="343"/>
      <w:bookmarkStart w:id="344" w:name="_Toc184314417"/>
      <w:bookmarkEnd w:id="344"/>
      <w:bookmarkStart w:id="345" w:name="_Toc184312116"/>
      <w:bookmarkEnd w:id="345"/>
      <w:bookmarkStart w:id="346" w:name="_Toc184313303"/>
      <w:bookmarkEnd w:id="346"/>
      <w:bookmarkStart w:id="347" w:name="_Toc184314429"/>
      <w:bookmarkEnd w:id="347"/>
      <w:bookmarkStart w:id="348" w:name="_Toc184313290"/>
      <w:bookmarkEnd w:id="348"/>
      <w:bookmarkStart w:id="349" w:name="_Toc184310273"/>
      <w:bookmarkEnd w:id="349"/>
      <w:bookmarkStart w:id="350" w:name="_Toc184312126"/>
      <w:bookmarkEnd w:id="350"/>
      <w:bookmarkStart w:id="351" w:name="_Toc184313245"/>
      <w:bookmarkEnd w:id="351"/>
      <w:bookmarkStart w:id="352" w:name="_Toc184308062"/>
      <w:bookmarkEnd w:id="352"/>
      <w:bookmarkStart w:id="353" w:name="_Toc184308077"/>
      <w:bookmarkEnd w:id="353"/>
      <w:bookmarkStart w:id="354" w:name="_Toc184312097"/>
      <w:bookmarkEnd w:id="354"/>
      <w:bookmarkStart w:id="355" w:name="_Toc184313261"/>
      <w:bookmarkEnd w:id="355"/>
      <w:bookmarkStart w:id="356" w:name="_Toc184308085"/>
      <w:bookmarkEnd w:id="356"/>
      <w:bookmarkStart w:id="357" w:name="_Toc184313242"/>
      <w:bookmarkEnd w:id="357"/>
      <w:bookmarkStart w:id="358" w:name="_Toc184314436"/>
      <w:bookmarkEnd w:id="358"/>
      <w:bookmarkStart w:id="359" w:name="_Toc184308097"/>
      <w:bookmarkEnd w:id="359"/>
      <w:bookmarkStart w:id="360" w:name="_Toc184308058"/>
      <w:bookmarkEnd w:id="360"/>
      <w:bookmarkStart w:id="361" w:name="_Toc184308075"/>
      <w:bookmarkEnd w:id="361"/>
      <w:bookmarkStart w:id="362" w:name="_Toc184308063"/>
      <w:bookmarkEnd w:id="362"/>
      <w:bookmarkStart w:id="363" w:name="_Toc184313307"/>
      <w:bookmarkEnd w:id="363"/>
      <w:bookmarkStart w:id="364" w:name="_Toc184313279"/>
      <w:bookmarkEnd w:id="364"/>
      <w:bookmarkStart w:id="365" w:name="_Toc184314471"/>
      <w:bookmarkEnd w:id="365"/>
      <w:bookmarkStart w:id="366" w:name="_Toc184308064"/>
      <w:bookmarkEnd w:id="366"/>
      <w:bookmarkStart w:id="367" w:name="_Toc184310338"/>
      <w:bookmarkEnd w:id="367"/>
      <w:bookmarkStart w:id="368" w:name="_Toc184314434"/>
      <w:bookmarkEnd w:id="368"/>
      <w:bookmarkStart w:id="369" w:name="_Toc184310283"/>
      <w:bookmarkEnd w:id="369"/>
      <w:bookmarkStart w:id="370" w:name="_Toc184314470"/>
      <w:bookmarkEnd w:id="370"/>
      <w:bookmarkStart w:id="371" w:name="_Toc184312095"/>
      <w:bookmarkEnd w:id="371"/>
      <w:bookmarkStart w:id="372" w:name="_Toc184314458"/>
      <w:bookmarkEnd w:id="372"/>
      <w:bookmarkStart w:id="373" w:name="_Toc184312080"/>
      <w:bookmarkEnd w:id="373"/>
      <w:bookmarkStart w:id="374" w:name="_Toc184313301"/>
      <w:bookmarkEnd w:id="374"/>
      <w:bookmarkStart w:id="375" w:name="_Toc184314451"/>
      <w:bookmarkEnd w:id="375"/>
      <w:bookmarkStart w:id="376" w:name="_Toc184313252"/>
      <w:bookmarkEnd w:id="376"/>
      <w:bookmarkStart w:id="377" w:name="_Toc184314455"/>
      <w:bookmarkEnd w:id="377"/>
      <w:bookmarkStart w:id="378" w:name="_Toc184313304"/>
      <w:bookmarkEnd w:id="378"/>
      <w:bookmarkStart w:id="379" w:name="_Toc184308076"/>
      <w:bookmarkEnd w:id="379"/>
      <w:bookmarkStart w:id="380" w:name="_Toc184313308"/>
      <w:bookmarkEnd w:id="380"/>
      <w:bookmarkStart w:id="381" w:name="_Toc184310292"/>
      <w:bookmarkEnd w:id="381"/>
      <w:bookmarkStart w:id="382" w:name="_Toc184312086"/>
      <w:bookmarkEnd w:id="382"/>
      <w:bookmarkStart w:id="383" w:name="_Toc184308096"/>
      <w:bookmarkEnd w:id="383"/>
      <w:bookmarkStart w:id="384" w:name="_Toc184314425"/>
      <w:bookmarkEnd w:id="384"/>
      <w:bookmarkStart w:id="385" w:name="_Toc184308084"/>
      <w:bookmarkEnd w:id="385"/>
      <w:bookmarkStart w:id="386" w:name="_Toc184308086"/>
      <w:bookmarkEnd w:id="386"/>
      <w:bookmarkStart w:id="387" w:name="_Toc184312106"/>
      <w:bookmarkEnd w:id="387"/>
      <w:bookmarkStart w:id="388" w:name="_Toc184312133"/>
      <w:bookmarkEnd w:id="388"/>
      <w:bookmarkStart w:id="389" w:name="_Toc184314456"/>
      <w:bookmarkEnd w:id="389"/>
      <w:bookmarkStart w:id="390" w:name="_Toc184313281"/>
      <w:bookmarkEnd w:id="390"/>
      <w:bookmarkStart w:id="391" w:name="_Toc184308107"/>
      <w:bookmarkEnd w:id="391"/>
      <w:bookmarkStart w:id="392" w:name="_Toc184312074"/>
      <w:bookmarkEnd w:id="392"/>
      <w:bookmarkStart w:id="393" w:name="_Toc184308045"/>
      <w:bookmarkEnd w:id="393"/>
      <w:bookmarkStart w:id="394" w:name="_Toc184308052"/>
      <w:bookmarkEnd w:id="394"/>
      <w:bookmarkStart w:id="395" w:name="_Toc184313309"/>
      <w:bookmarkEnd w:id="395"/>
      <w:bookmarkStart w:id="396" w:name="_Toc184314431"/>
      <w:bookmarkEnd w:id="396"/>
      <w:bookmarkStart w:id="397" w:name="_Toc184313257"/>
      <w:bookmarkEnd w:id="397"/>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643"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13"/>
        <w:gridCol w:w="5200"/>
        <w:gridCol w:w="710"/>
        <w:gridCol w:w="1060"/>
        <w:gridCol w:w="1222"/>
      </w:tblGrid>
      <w:tr w14:paraId="4AB6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00F3EBC4">
            <w:pPr>
              <w:rPr>
                <w:rFonts w:hint="eastAsia" w:ascii="宋体" w:hAnsi="宋体" w:eastAsia="宋体" w:cs="宋体"/>
                <w:sz w:val="24"/>
                <w:szCs w:val="24"/>
              </w:rPr>
            </w:pPr>
            <w:r>
              <w:rPr>
                <w:rFonts w:hint="eastAsia" w:ascii="宋体" w:hAnsi="宋体" w:eastAsia="宋体" w:cs="宋体"/>
                <w:sz w:val="24"/>
                <w:szCs w:val="24"/>
              </w:rPr>
              <w:t>序号</w:t>
            </w:r>
          </w:p>
        </w:tc>
        <w:tc>
          <w:tcPr>
            <w:tcW w:w="5913" w:type="dxa"/>
            <w:gridSpan w:val="2"/>
            <w:tcBorders>
              <w:tl2br w:val="nil"/>
              <w:tr2bl w:val="nil"/>
            </w:tcBorders>
            <w:noWrap w:val="0"/>
            <w:vAlign w:val="center"/>
          </w:tcPr>
          <w:p w14:paraId="4A34E3BA">
            <w:pPr>
              <w:rPr>
                <w:rFonts w:hint="eastAsia" w:ascii="宋体" w:hAnsi="宋体" w:eastAsia="宋体" w:cs="宋体"/>
                <w:sz w:val="24"/>
                <w:szCs w:val="24"/>
              </w:rPr>
            </w:pPr>
            <w:r>
              <w:rPr>
                <w:rFonts w:hint="eastAsia" w:ascii="宋体" w:hAnsi="宋体" w:eastAsia="宋体" w:cs="宋体"/>
                <w:sz w:val="24"/>
                <w:szCs w:val="24"/>
              </w:rPr>
              <w:t>评标标准</w:t>
            </w:r>
          </w:p>
        </w:tc>
        <w:tc>
          <w:tcPr>
            <w:tcW w:w="710" w:type="dxa"/>
            <w:tcBorders>
              <w:tl2br w:val="nil"/>
              <w:tr2bl w:val="nil"/>
            </w:tcBorders>
            <w:noWrap w:val="0"/>
            <w:vAlign w:val="center"/>
          </w:tcPr>
          <w:p w14:paraId="7C9B1851">
            <w:pPr>
              <w:rPr>
                <w:rFonts w:hint="eastAsia" w:ascii="宋体" w:hAnsi="宋体" w:eastAsia="宋体" w:cs="宋体"/>
                <w:sz w:val="24"/>
                <w:szCs w:val="24"/>
              </w:rPr>
            </w:pPr>
            <w:r>
              <w:rPr>
                <w:rFonts w:hint="eastAsia" w:ascii="宋体" w:hAnsi="宋体" w:eastAsia="宋体" w:cs="宋体"/>
                <w:sz w:val="24"/>
                <w:szCs w:val="24"/>
              </w:rPr>
              <w:t>权重</w:t>
            </w:r>
          </w:p>
        </w:tc>
        <w:tc>
          <w:tcPr>
            <w:tcW w:w="1060" w:type="dxa"/>
            <w:tcBorders>
              <w:tl2br w:val="nil"/>
              <w:tr2bl w:val="nil"/>
            </w:tcBorders>
            <w:noWrap w:val="0"/>
            <w:vAlign w:val="center"/>
          </w:tcPr>
          <w:p w14:paraId="5AAD44C3">
            <w:pPr>
              <w:rPr>
                <w:rFonts w:hint="eastAsia" w:ascii="宋体" w:hAnsi="宋体" w:eastAsia="宋体" w:cs="宋体"/>
                <w:sz w:val="24"/>
                <w:szCs w:val="24"/>
              </w:rPr>
            </w:pPr>
            <w:r>
              <w:rPr>
                <w:rFonts w:hint="eastAsia" w:ascii="宋体" w:hAnsi="宋体" w:eastAsia="宋体" w:cs="宋体"/>
                <w:sz w:val="24"/>
                <w:szCs w:val="24"/>
              </w:rPr>
              <w:t>主观分/客观分属性</w:t>
            </w:r>
          </w:p>
        </w:tc>
        <w:tc>
          <w:tcPr>
            <w:tcW w:w="1222" w:type="dxa"/>
            <w:tcBorders>
              <w:tl2br w:val="nil"/>
              <w:tr2bl w:val="nil"/>
            </w:tcBorders>
            <w:noWrap w:val="0"/>
            <w:vAlign w:val="top"/>
          </w:tcPr>
          <w:p w14:paraId="18D915AE">
            <w:pPr>
              <w:rPr>
                <w:rFonts w:hint="eastAsia" w:ascii="宋体" w:hAnsi="宋体" w:eastAsia="宋体" w:cs="宋体"/>
                <w:sz w:val="24"/>
                <w:szCs w:val="24"/>
              </w:rPr>
            </w:pPr>
            <w:r>
              <w:rPr>
                <w:rFonts w:hint="eastAsia" w:ascii="宋体" w:hAnsi="宋体" w:eastAsia="宋体" w:cs="宋体"/>
                <w:sz w:val="24"/>
                <w:szCs w:val="24"/>
              </w:rPr>
              <w:t>投标文件中评标标准相应的商务技术资料目录*</w:t>
            </w:r>
          </w:p>
        </w:tc>
      </w:tr>
      <w:tr w14:paraId="19A2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l2br w:val="nil"/>
              <w:tr2bl w:val="nil"/>
            </w:tcBorders>
            <w:noWrap w:val="0"/>
            <w:vAlign w:val="center"/>
          </w:tcPr>
          <w:p w14:paraId="4B4D341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13" w:type="dxa"/>
            <w:gridSpan w:val="2"/>
            <w:tcBorders>
              <w:tl2br w:val="nil"/>
              <w:tr2bl w:val="nil"/>
            </w:tcBorders>
            <w:noWrap w:val="0"/>
            <w:vAlign w:val="center"/>
          </w:tcPr>
          <w:p w14:paraId="4E93BE6F">
            <w:pPr>
              <w:spacing w:line="360" w:lineRule="auto"/>
              <w:rPr>
                <w:rFonts w:hint="eastAsia" w:ascii="宋体" w:hAnsi="宋体" w:eastAsia="宋体" w:cs="宋体"/>
                <w:sz w:val="24"/>
                <w:szCs w:val="24"/>
              </w:rPr>
            </w:pPr>
            <w:r>
              <w:rPr>
                <w:rFonts w:hint="eastAsia" w:ascii="宋体" w:hAnsi="宋体" w:eastAsia="宋体" w:cs="宋体"/>
                <w:b/>
                <w:bCs/>
                <w:sz w:val="24"/>
                <w:szCs w:val="24"/>
              </w:rPr>
              <w:t>类似项目实施业绩一览表</w:t>
            </w:r>
            <w:r>
              <w:rPr>
                <w:rFonts w:hint="eastAsia" w:ascii="宋体" w:hAnsi="宋体" w:cs="宋体"/>
                <w:b/>
                <w:bCs/>
                <w:sz w:val="24"/>
                <w:szCs w:val="24"/>
                <w:lang w:eastAsia="zh-CN"/>
              </w:rPr>
              <w:t>：</w:t>
            </w:r>
            <w:r>
              <w:rPr>
                <w:rFonts w:hint="eastAsia" w:ascii="宋体" w:hAnsi="宋体" w:eastAsia="宋体" w:cs="宋体"/>
                <w:sz w:val="24"/>
                <w:szCs w:val="24"/>
                <w:lang w:eastAsia="zh-CN"/>
              </w:rPr>
              <w:t>投标</w:t>
            </w:r>
            <w:r>
              <w:rPr>
                <w:rFonts w:hint="eastAsia" w:ascii="宋体" w:hAnsi="宋体" w:cs="宋体"/>
                <w:sz w:val="24"/>
                <w:szCs w:val="24"/>
                <w:lang w:val="en-US" w:eastAsia="zh-CN"/>
              </w:rPr>
              <w:t>人</w:t>
            </w:r>
            <w:r>
              <w:rPr>
                <w:rFonts w:hint="eastAsia" w:ascii="宋体" w:hAnsi="宋体" w:eastAsia="宋体" w:cs="宋体"/>
                <w:sz w:val="24"/>
                <w:szCs w:val="24"/>
              </w:rPr>
              <w:t>自20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月1日至今（以</w:t>
            </w:r>
            <w:r>
              <w:rPr>
                <w:rFonts w:hint="eastAsia" w:ascii="宋体" w:hAnsi="宋体" w:cs="宋体"/>
                <w:sz w:val="24"/>
                <w:szCs w:val="24"/>
                <w:lang w:val="en-US" w:eastAsia="zh-CN"/>
              </w:rPr>
              <w:t>合同签订日期</w:t>
            </w:r>
            <w:r>
              <w:rPr>
                <w:rFonts w:hint="eastAsia" w:ascii="宋体" w:hAnsi="宋体" w:eastAsia="宋体" w:cs="宋体"/>
                <w:sz w:val="24"/>
                <w:szCs w:val="24"/>
              </w:rPr>
              <w:t>为准）</w:t>
            </w:r>
            <w:r>
              <w:rPr>
                <w:rFonts w:hint="eastAsia" w:ascii="宋体" w:hAnsi="宋体" w:cs="宋体"/>
                <w:sz w:val="24"/>
                <w:szCs w:val="24"/>
                <w:lang w:val="en-US" w:eastAsia="zh-CN"/>
              </w:rPr>
              <w:t>承接过类似项目的</w:t>
            </w:r>
            <w:r>
              <w:rPr>
                <w:rFonts w:hint="eastAsia" w:ascii="宋体" w:hAnsi="宋体" w:eastAsia="宋体" w:cs="宋体"/>
                <w:sz w:val="24"/>
                <w:szCs w:val="24"/>
              </w:rPr>
              <w:t>，每提供一个得</w:t>
            </w:r>
            <w:r>
              <w:rPr>
                <w:rFonts w:hint="eastAsia" w:ascii="宋体" w:hAnsi="宋体" w:eastAsia="宋体" w:cs="宋体"/>
                <w:sz w:val="24"/>
                <w:szCs w:val="24"/>
                <w:lang w:val="en-US" w:eastAsia="zh-CN"/>
              </w:rPr>
              <w:t>1</w:t>
            </w:r>
            <w:r>
              <w:rPr>
                <w:rFonts w:hint="eastAsia" w:ascii="宋体" w:hAnsi="宋体" w:eastAsia="宋体" w:cs="宋体"/>
                <w:sz w:val="24"/>
                <w:szCs w:val="24"/>
              </w:rPr>
              <w:t>分，最多得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45D02B9E">
            <w:pPr>
              <w:spacing w:line="360" w:lineRule="auto"/>
              <w:rPr>
                <w:rFonts w:hint="eastAsia" w:ascii="宋体" w:hAnsi="宋体" w:eastAsia="宋体" w:cs="宋体"/>
                <w:sz w:val="24"/>
                <w:szCs w:val="24"/>
              </w:rPr>
            </w:pPr>
            <w:r>
              <w:rPr>
                <w:rFonts w:hint="eastAsia" w:ascii="宋体" w:hAnsi="宋体" w:eastAsia="宋体" w:cs="宋体"/>
                <w:b/>
                <w:bCs/>
                <w:sz w:val="24"/>
                <w:szCs w:val="24"/>
              </w:rPr>
              <w:t>投标文件中提供合同复印件</w:t>
            </w:r>
            <w:r>
              <w:rPr>
                <w:rFonts w:hint="eastAsia" w:ascii="宋体" w:hAnsi="宋体" w:eastAsia="宋体" w:cs="宋体"/>
                <w:b/>
                <w:bCs/>
                <w:sz w:val="24"/>
                <w:szCs w:val="24"/>
                <w:lang w:eastAsia="zh-CN"/>
              </w:rPr>
              <w:t>并加盖投标</w:t>
            </w:r>
            <w:r>
              <w:rPr>
                <w:rFonts w:hint="eastAsia" w:ascii="宋体" w:hAnsi="宋体" w:cs="宋体"/>
                <w:b/>
                <w:bCs/>
                <w:sz w:val="24"/>
                <w:szCs w:val="24"/>
                <w:lang w:val="en-US" w:eastAsia="zh-CN"/>
              </w:rPr>
              <w:t>人</w:t>
            </w:r>
            <w:r>
              <w:rPr>
                <w:rFonts w:hint="eastAsia" w:ascii="宋体" w:hAnsi="宋体" w:eastAsia="宋体" w:cs="宋体"/>
                <w:b/>
                <w:bCs/>
                <w:sz w:val="24"/>
                <w:szCs w:val="24"/>
                <w:lang w:eastAsia="zh-CN"/>
              </w:rPr>
              <w:t>公章，不提供不得分。</w:t>
            </w:r>
          </w:p>
        </w:tc>
        <w:tc>
          <w:tcPr>
            <w:tcW w:w="710" w:type="dxa"/>
            <w:tcBorders>
              <w:tl2br w:val="nil"/>
              <w:tr2bl w:val="nil"/>
            </w:tcBorders>
            <w:noWrap w:val="0"/>
            <w:vAlign w:val="center"/>
          </w:tcPr>
          <w:p w14:paraId="3669617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60" w:type="dxa"/>
            <w:tcBorders>
              <w:tl2br w:val="nil"/>
              <w:tr2bl w:val="nil"/>
            </w:tcBorders>
            <w:noWrap w:val="0"/>
            <w:vAlign w:val="center"/>
          </w:tcPr>
          <w:p w14:paraId="4F0F8F2D">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客观分</w:t>
            </w:r>
          </w:p>
        </w:tc>
        <w:tc>
          <w:tcPr>
            <w:tcW w:w="1222" w:type="dxa"/>
            <w:tcBorders>
              <w:tl2br w:val="nil"/>
              <w:tr2bl w:val="nil"/>
            </w:tcBorders>
            <w:noWrap w:val="0"/>
            <w:vAlign w:val="top"/>
          </w:tcPr>
          <w:p w14:paraId="23EBC9FF">
            <w:pPr>
              <w:spacing w:line="360" w:lineRule="auto"/>
              <w:rPr>
                <w:rFonts w:hint="eastAsia" w:ascii="宋体" w:hAnsi="宋体" w:eastAsia="宋体" w:cs="宋体"/>
                <w:sz w:val="24"/>
                <w:szCs w:val="24"/>
              </w:rPr>
            </w:pPr>
          </w:p>
        </w:tc>
      </w:tr>
      <w:tr w14:paraId="6568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38" w:type="dxa"/>
            <w:tcBorders>
              <w:tl2br w:val="nil"/>
              <w:tr2bl w:val="nil"/>
            </w:tcBorders>
            <w:noWrap w:val="0"/>
            <w:vAlign w:val="center"/>
          </w:tcPr>
          <w:p w14:paraId="52604692">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5913" w:type="dxa"/>
            <w:gridSpan w:val="2"/>
            <w:tcBorders>
              <w:tl2br w:val="nil"/>
              <w:tr2bl w:val="nil"/>
            </w:tcBorders>
            <w:noWrap w:val="0"/>
            <w:vAlign w:val="center"/>
          </w:tcPr>
          <w:p w14:paraId="66445F06">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成品</w:t>
            </w:r>
            <w:r>
              <w:rPr>
                <w:rFonts w:hint="eastAsia" w:ascii="宋体" w:hAnsi="宋体" w:eastAsia="宋体" w:cs="宋体"/>
                <w:b/>
                <w:bCs/>
                <w:sz w:val="24"/>
                <w:szCs w:val="24"/>
              </w:rPr>
              <w:t>检测报告：</w:t>
            </w:r>
            <w:r>
              <w:rPr>
                <w:rFonts w:hint="eastAsia" w:ascii="宋体" w:hAnsi="宋体" w:eastAsia="宋体" w:cs="宋体"/>
                <w:sz w:val="24"/>
                <w:szCs w:val="24"/>
              </w:rPr>
              <w:t>提供由</w:t>
            </w:r>
            <w:r>
              <w:rPr>
                <w:rFonts w:hint="eastAsia" w:ascii="宋体" w:hAnsi="宋体" w:cs="宋体"/>
                <w:sz w:val="24"/>
                <w:szCs w:val="24"/>
                <w:lang w:val="en-US" w:eastAsia="zh-CN"/>
              </w:rPr>
              <w:t>投标人</w:t>
            </w:r>
            <w:r>
              <w:rPr>
                <w:rFonts w:hint="eastAsia" w:ascii="宋体" w:hAnsi="宋体" w:eastAsia="宋体" w:cs="宋体"/>
                <w:sz w:val="24"/>
                <w:szCs w:val="24"/>
              </w:rPr>
              <w:t>送检的混合型塑胶</w:t>
            </w:r>
            <w:r>
              <w:rPr>
                <w:rFonts w:hint="eastAsia" w:ascii="宋体" w:hAnsi="宋体" w:eastAsia="宋体" w:cs="宋体"/>
                <w:sz w:val="24"/>
                <w:szCs w:val="24"/>
                <w:lang w:val="en-US" w:eastAsia="zh-CN"/>
              </w:rPr>
              <w:t>跑道</w:t>
            </w:r>
            <w:r>
              <w:rPr>
                <w:rFonts w:hint="eastAsia" w:ascii="宋体" w:hAnsi="宋体" w:eastAsia="宋体" w:cs="宋体"/>
                <w:sz w:val="24"/>
                <w:szCs w:val="24"/>
              </w:rPr>
              <w:t>面层</w:t>
            </w:r>
            <w:r>
              <w:rPr>
                <w:rFonts w:hint="eastAsia" w:ascii="宋体" w:hAnsi="宋体" w:eastAsia="宋体" w:cs="宋体"/>
                <w:sz w:val="24"/>
                <w:szCs w:val="24"/>
                <w:lang w:val="en-US" w:eastAsia="zh-CN"/>
              </w:rPr>
              <w:t>及</w:t>
            </w:r>
            <w:r>
              <w:rPr>
                <w:rFonts w:hint="eastAsia" w:ascii="宋体" w:hAnsi="宋体" w:eastAsia="宋体" w:cs="宋体"/>
                <w:sz w:val="24"/>
                <w:szCs w:val="24"/>
              </w:rPr>
              <w:t>硅PU</w:t>
            </w:r>
            <w:r>
              <w:rPr>
                <w:rFonts w:hint="eastAsia" w:ascii="宋体" w:hAnsi="宋体" w:eastAsia="宋体" w:cs="宋体"/>
                <w:sz w:val="24"/>
                <w:szCs w:val="24"/>
                <w:lang w:val="en-US" w:eastAsia="zh-CN"/>
              </w:rPr>
              <w:t>篮球场</w:t>
            </w:r>
            <w:r>
              <w:rPr>
                <w:rFonts w:hint="eastAsia" w:ascii="宋体" w:hAnsi="宋体" w:eastAsia="宋体" w:cs="宋体"/>
                <w:sz w:val="24"/>
                <w:szCs w:val="24"/>
              </w:rPr>
              <w:t>面层经第三方检测机构（具备CMA国家计量认证）出具的检测报告，其检测内容须根据</w:t>
            </w:r>
            <w:r>
              <w:rPr>
                <w:rFonts w:hint="eastAsia" w:ascii="宋体" w:hAnsi="宋体" w:eastAsia="宋体" w:cs="宋体"/>
                <w:sz w:val="24"/>
                <w:szCs w:val="24"/>
                <w:lang w:val="en-US" w:eastAsia="zh-CN"/>
              </w:rPr>
              <w:t>GB36246-2018</w:t>
            </w:r>
            <w:r>
              <w:rPr>
                <w:rFonts w:hint="eastAsia" w:ascii="宋体" w:hAnsi="宋体" w:eastAsia="宋体" w:cs="宋体"/>
                <w:sz w:val="24"/>
                <w:szCs w:val="24"/>
              </w:rPr>
              <w:t>《中小学合成材料面层</w:t>
            </w:r>
            <w:r>
              <w:rPr>
                <w:rFonts w:hint="eastAsia" w:ascii="宋体" w:hAnsi="宋体" w:eastAsia="宋体" w:cs="宋体"/>
                <w:sz w:val="24"/>
                <w:szCs w:val="24"/>
                <w:lang w:val="en-US" w:eastAsia="zh-CN"/>
              </w:rPr>
              <w:t>运动场地</w:t>
            </w:r>
            <w:r>
              <w:rPr>
                <w:rFonts w:hint="eastAsia" w:ascii="宋体" w:hAnsi="宋体" w:eastAsia="宋体" w:cs="宋体"/>
                <w:sz w:val="24"/>
                <w:szCs w:val="24"/>
              </w:rPr>
              <w:t>》</w:t>
            </w:r>
            <w:r>
              <w:rPr>
                <w:rFonts w:hint="eastAsia" w:ascii="宋体" w:hAnsi="宋体" w:eastAsia="宋体" w:cs="宋体"/>
                <w:sz w:val="24"/>
                <w:szCs w:val="24"/>
                <w:lang w:val="en-US" w:eastAsia="zh-CN"/>
              </w:rPr>
              <w:t>结合</w:t>
            </w:r>
            <w:r>
              <w:rPr>
                <w:rFonts w:hint="eastAsia" w:ascii="宋体" w:hAnsi="宋体" w:eastAsia="宋体" w:cs="宋体"/>
                <w:sz w:val="24"/>
                <w:szCs w:val="24"/>
              </w:rPr>
              <w:t>GB/T43564-2023《中小学合成材料面层田径场地》标准</w:t>
            </w:r>
            <w:r>
              <w:rPr>
                <w:rFonts w:hint="eastAsia" w:ascii="宋体" w:hAnsi="宋体" w:eastAsia="宋体" w:cs="宋体"/>
                <w:sz w:val="24"/>
                <w:szCs w:val="24"/>
                <w:lang w:eastAsia="zh-CN"/>
              </w:rPr>
              <w:t>、</w:t>
            </w:r>
            <w:r>
              <w:rPr>
                <w:rFonts w:hint="eastAsia" w:ascii="宋体" w:hAnsi="宋体" w:eastAsia="宋体" w:cs="宋体"/>
                <w:sz w:val="24"/>
                <w:szCs w:val="24"/>
              </w:rPr>
              <w:t>GB/T4356</w:t>
            </w:r>
            <w:r>
              <w:rPr>
                <w:rFonts w:hint="eastAsia" w:ascii="宋体" w:hAnsi="宋体" w:eastAsia="宋体" w:cs="宋体"/>
                <w:sz w:val="24"/>
                <w:szCs w:val="24"/>
                <w:lang w:val="en-US" w:eastAsia="zh-CN"/>
              </w:rPr>
              <w:t>5</w:t>
            </w:r>
            <w:r>
              <w:rPr>
                <w:rFonts w:hint="eastAsia" w:ascii="宋体" w:hAnsi="宋体" w:eastAsia="宋体" w:cs="宋体"/>
                <w:sz w:val="24"/>
                <w:szCs w:val="24"/>
              </w:rPr>
              <w:t>-2023《中小学合成材料面层</w:t>
            </w:r>
            <w:r>
              <w:rPr>
                <w:rFonts w:hint="eastAsia" w:ascii="宋体" w:hAnsi="宋体" w:eastAsia="宋体" w:cs="宋体"/>
                <w:sz w:val="24"/>
                <w:szCs w:val="24"/>
                <w:lang w:val="en-US" w:eastAsia="zh-CN"/>
              </w:rPr>
              <w:t>篮球</w:t>
            </w:r>
            <w:r>
              <w:rPr>
                <w:rFonts w:hint="eastAsia" w:ascii="宋体" w:hAnsi="宋体" w:eastAsia="宋体" w:cs="宋体"/>
                <w:sz w:val="24"/>
                <w:szCs w:val="24"/>
              </w:rPr>
              <w:t>场地》标准</w:t>
            </w:r>
            <w:r>
              <w:rPr>
                <w:rFonts w:hint="eastAsia" w:ascii="宋体" w:hAnsi="宋体" w:eastAsia="宋体" w:cs="宋体"/>
                <w:sz w:val="24"/>
                <w:szCs w:val="24"/>
                <w:lang w:eastAsia="zh-CN"/>
              </w:rPr>
              <w:t>，</w:t>
            </w:r>
            <w:r>
              <w:rPr>
                <w:rFonts w:hint="eastAsia" w:ascii="宋体" w:hAnsi="宋体" w:eastAsia="宋体" w:cs="宋体"/>
                <w:sz w:val="24"/>
                <w:szCs w:val="24"/>
              </w:rPr>
              <w:t>指标（详见</w:t>
            </w:r>
            <w:r>
              <w:rPr>
                <w:rFonts w:hint="eastAsia" w:ascii="宋体" w:hAnsi="宋体" w:cs="宋体"/>
                <w:sz w:val="24"/>
                <w:szCs w:val="24"/>
                <w:lang w:val="en-US" w:eastAsia="zh-CN"/>
              </w:rPr>
              <w:t>采购需求第四项本项目采用的主要技术标准和规范</w:t>
            </w:r>
            <w:r>
              <w:rPr>
                <w:rFonts w:hint="eastAsia" w:ascii="宋体" w:hAnsi="宋体" w:eastAsia="宋体" w:cs="宋体"/>
                <w:sz w:val="24"/>
                <w:szCs w:val="24"/>
              </w:rPr>
              <w:t>）进行检测；</w:t>
            </w:r>
          </w:p>
          <w:p w14:paraId="0E318887">
            <w:pPr>
              <w:spacing w:line="360" w:lineRule="auto"/>
              <w:rPr>
                <w:rFonts w:hint="eastAsia" w:ascii="宋体" w:hAnsi="宋体" w:eastAsia="宋体" w:cs="宋体"/>
                <w:sz w:val="24"/>
                <w:szCs w:val="24"/>
              </w:rPr>
            </w:pPr>
            <w:r>
              <w:rPr>
                <w:rFonts w:hint="eastAsia" w:ascii="宋体" w:hAnsi="宋体" w:eastAsia="宋体" w:cs="宋体"/>
                <w:sz w:val="24"/>
                <w:szCs w:val="24"/>
              </w:rPr>
              <w:t>检测结果判定结论必须为合格,且检测报告须在“全国认证认可信息公共服务平台”官网可查；</w:t>
            </w:r>
          </w:p>
          <w:p w14:paraId="4413B552">
            <w:pPr>
              <w:spacing w:line="360" w:lineRule="auto"/>
              <w:rPr>
                <w:rFonts w:hint="eastAsia" w:ascii="宋体" w:hAnsi="宋体" w:eastAsia="宋体" w:cs="宋体"/>
                <w:sz w:val="24"/>
                <w:szCs w:val="24"/>
              </w:rPr>
            </w:pPr>
            <w:r>
              <w:rPr>
                <w:rFonts w:hint="eastAsia" w:ascii="宋体" w:hAnsi="宋体" w:eastAsia="宋体" w:cs="宋体"/>
                <w:sz w:val="24"/>
                <w:szCs w:val="24"/>
              </w:rPr>
              <w:t>1）“混合型塑胶面层”的化学</w:t>
            </w:r>
            <w:r>
              <w:rPr>
                <w:rFonts w:hint="eastAsia" w:ascii="宋体" w:hAnsi="宋体" w:eastAsia="宋体" w:cs="宋体"/>
                <w:sz w:val="24"/>
                <w:szCs w:val="24"/>
                <w:lang w:val="en-US" w:eastAsia="zh-CN"/>
              </w:rPr>
              <w:t>性能</w:t>
            </w:r>
            <w:r>
              <w:rPr>
                <w:rFonts w:hint="eastAsia" w:ascii="宋体" w:hAnsi="宋体" w:eastAsia="宋体" w:cs="宋体"/>
                <w:sz w:val="24"/>
                <w:szCs w:val="24"/>
              </w:rPr>
              <w:t>检测报告</w:t>
            </w:r>
            <w:r>
              <w:rPr>
                <w:rFonts w:hint="eastAsia" w:ascii="宋体" w:hAnsi="宋体" w:eastAsia="宋体" w:cs="宋体"/>
                <w:sz w:val="24"/>
                <w:szCs w:val="24"/>
                <w:lang w:eastAsia="zh-CN"/>
              </w:rPr>
              <w:t>全项</w:t>
            </w:r>
            <w:r>
              <w:rPr>
                <w:rFonts w:hint="eastAsia" w:ascii="宋体" w:hAnsi="宋体" w:eastAsia="宋体" w:cs="宋体"/>
                <w:sz w:val="24"/>
                <w:szCs w:val="24"/>
              </w:rPr>
              <w:t>（2分）；</w:t>
            </w:r>
          </w:p>
          <w:p w14:paraId="4AEE9D49">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2）“混合型塑胶面层”的</w:t>
            </w:r>
            <w:r>
              <w:rPr>
                <w:rFonts w:hint="eastAsia" w:ascii="宋体" w:hAnsi="宋体" w:eastAsia="宋体" w:cs="宋体"/>
                <w:b w:val="0"/>
                <w:bCs w:val="0"/>
                <w:color w:val="auto"/>
                <w:kern w:val="0"/>
                <w:sz w:val="24"/>
                <w:szCs w:val="24"/>
                <w:highlight w:val="none"/>
                <w:lang w:val="en-US" w:eastAsia="zh-CN" w:bidi="ar-SA"/>
              </w:rPr>
              <w:t>物理机械性能检测报告</w:t>
            </w:r>
            <w:r>
              <w:rPr>
                <w:rFonts w:hint="eastAsia" w:ascii="宋体" w:hAnsi="宋体" w:eastAsia="宋体" w:cs="宋体"/>
                <w:sz w:val="24"/>
                <w:szCs w:val="24"/>
                <w:lang w:eastAsia="zh-CN"/>
              </w:rPr>
              <w:t>全项</w:t>
            </w:r>
            <w:r>
              <w:rPr>
                <w:rFonts w:hint="eastAsia" w:ascii="宋体" w:hAnsi="宋体" w:eastAsia="宋体" w:cs="宋体"/>
                <w:sz w:val="24"/>
                <w:szCs w:val="24"/>
              </w:rPr>
              <w:t>（2分）</w:t>
            </w:r>
            <w:r>
              <w:rPr>
                <w:rFonts w:hint="eastAsia" w:ascii="宋体" w:hAnsi="宋体" w:eastAsia="宋体" w:cs="宋体"/>
                <w:sz w:val="24"/>
                <w:szCs w:val="24"/>
                <w:lang w:eastAsia="zh-CN"/>
              </w:rPr>
              <w:t>；</w:t>
            </w:r>
          </w:p>
          <w:p w14:paraId="729340DE">
            <w:pPr>
              <w:spacing w:line="360" w:lineRule="auto"/>
              <w:rPr>
                <w:rFonts w:hint="eastAsia" w:ascii="宋体" w:hAnsi="宋体" w:eastAsia="宋体" w:cs="宋体"/>
                <w:sz w:val="24"/>
                <w:szCs w:val="24"/>
              </w:rPr>
            </w:pPr>
            <w:r>
              <w:rPr>
                <w:rFonts w:hint="eastAsia" w:ascii="宋体" w:hAnsi="宋体" w:eastAsia="宋体" w:cs="宋体"/>
                <w:sz w:val="24"/>
                <w:szCs w:val="24"/>
              </w:rPr>
              <w:t>3）“硅PU面层”</w:t>
            </w:r>
            <w:r>
              <w:rPr>
                <w:rFonts w:hint="eastAsia" w:ascii="宋体" w:hAnsi="宋体" w:eastAsia="宋体" w:cs="宋体"/>
                <w:sz w:val="24"/>
                <w:szCs w:val="24"/>
                <w:lang w:eastAsia="zh-CN"/>
              </w:rPr>
              <w:t>的</w:t>
            </w:r>
            <w:r>
              <w:rPr>
                <w:rFonts w:hint="eastAsia" w:ascii="宋体" w:hAnsi="宋体" w:eastAsia="宋体" w:cs="宋体"/>
                <w:sz w:val="24"/>
                <w:szCs w:val="24"/>
              </w:rPr>
              <w:t>化学</w:t>
            </w:r>
            <w:r>
              <w:rPr>
                <w:rFonts w:hint="eastAsia" w:ascii="宋体" w:hAnsi="宋体" w:eastAsia="宋体" w:cs="宋体"/>
                <w:sz w:val="24"/>
                <w:szCs w:val="24"/>
                <w:lang w:val="en-US" w:eastAsia="zh-CN"/>
              </w:rPr>
              <w:t>性能</w:t>
            </w:r>
            <w:r>
              <w:rPr>
                <w:rFonts w:hint="eastAsia" w:ascii="宋体" w:hAnsi="宋体" w:eastAsia="宋体" w:cs="宋体"/>
                <w:sz w:val="24"/>
                <w:szCs w:val="24"/>
              </w:rPr>
              <w:t>检测报告</w:t>
            </w:r>
            <w:r>
              <w:rPr>
                <w:rFonts w:hint="eastAsia" w:ascii="宋体" w:hAnsi="宋体" w:eastAsia="宋体" w:cs="宋体"/>
                <w:sz w:val="24"/>
                <w:szCs w:val="24"/>
                <w:lang w:eastAsia="zh-CN"/>
              </w:rPr>
              <w:t>全项</w:t>
            </w:r>
            <w:r>
              <w:rPr>
                <w:rFonts w:hint="eastAsia" w:ascii="宋体" w:hAnsi="宋体" w:eastAsia="宋体" w:cs="宋体"/>
                <w:sz w:val="24"/>
                <w:szCs w:val="24"/>
              </w:rPr>
              <w:t>（2分）；</w:t>
            </w:r>
          </w:p>
          <w:p w14:paraId="528C9A00">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4）“硅PU面层”</w:t>
            </w:r>
            <w:r>
              <w:rPr>
                <w:rFonts w:hint="eastAsia" w:ascii="宋体" w:hAnsi="宋体" w:eastAsia="宋体" w:cs="宋体"/>
                <w:sz w:val="24"/>
                <w:szCs w:val="24"/>
                <w:lang w:eastAsia="zh-CN"/>
              </w:rPr>
              <w:t>的</w:t>
            </w:r>
            <w:r>
              <w:rPr>
                <w:rFonts w:hint="eastAsia" w:ascii="宋体" w:hAnsi="宋体" w:eastAsia="宋体" w:cs="宋体"/>
                <w:b w:val="0"/>
                <w:bCs w:val="0"/>
                <w:color w:val="auto"/>
                <w:kern w:val="0"/>
                <w:sz w:val="24"/>
                <w:szCs w:val="24"/>
                <w:highlight w:val="none"/>
                <w:lang w:val="en-US" w:eastAsia="zh-CN" w:bidi="ar-SA"/>
              </w:rPr>
              <w:t>物理机械性能检测报告</w:t>
            </w:r>
            <w:r>
              <w:rPr>
                <w:rFonts w:hint="eastAsia" w:ascii="宋体" w:hAnsi="宋体" w:eastAsia="宋体" w:cs="宋体"/>
                <w:sz w:val="24"/>
                <w:szCs w:val="24"/>
                <w:lang w:eastAsia="zh-CN"/>
              </w:rPr>
              <w:t>全项</w:t>
            </w:r>
            <w:r>
              <w:rPr>
                <w:rFonts w:hint="eastAsia" w:ascii="宋体" w:hAnsi="宋体" w:eastAsia="宋体" w:cs="宋体"/>
                <w:sz w:val="24"/>
                <w:szCs w:val="24"/>
              </w:rPr>
              <w:t>（2分）</w:t>
            </w:r>
            <w:r>
              <w:rPr>
                <w:rFonts w:hint="eastAsia" w:ascii="宋体" w:hAnsi="宋体" w:eastAsia="宋体" w:cs="宋体"/>
                <w:sz w:val="24"/>
                <w:szCs w:val="24"/>
                <w:lang w:eastAsia="zh-CN"/>
              </w:rPr>
              <w:t>。</w:t>
            </w:r>
          </w:p>
          <w:p w14:paraId="291B8631">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rPr>
              <w:t>投标文件中同时提供检测报告复印件并加盖公章</w:t>
            </w:r>
            <w:r>
              <w:rPr>
                <w:rFonts w:hint="eastAsia" w:ascii="宋体" w:hAnsi="宋体" w:eastAsia="宋体" w:cs="宋体"/>
                <w:b/>
                <w:bCs/>
                <w:sz w:val="24"/>
                <w:szCs w:val="24"/>
                <w:lang w:val="en-US" w:eastAsia="zh-CN"/>
              </w:rPr>
              <w:t>和</w:t>
            </w:r>
            <w:r>
              <w:rPr>
                <w:rFonts w:hint="eastAsia" w:ascii="宋体" w:hAnsi="宋体" w:eastAsia="宋体" w:cs="宋体"/>
                <w:b/>
                <w:bCs/>
                <w:sz w:val="24"/>
                <w:szCs w:val="24"/>
              </w:rPr>
              <w:t>全国认证认可信息公共服务平台官网查询截图复印件并加盖公章，否则不得分</w:t>
            </w:r>
            <w:r>
              <w:rPr>
                <w:rFonts w:hint="eastAsia" w:ascii="宋体" w:hAnsi="宋体" w:eastAsia="宋体" w:cs="宋体"/>
                <w:b/>
                <w:bCs/>
                <w:sz w:val="24"/>
                <w:szCs w:val="24"/>
                <w:lang w:eastAsia="zh-CN"/>
              </w:rPr>
              <w:t>。</w:t>
            </w:r>
          </w:p>
        </w:tc>
        <w:tc>
          <w:tcPr>
            <w:tcW w:w="710" w:type="dxa"/>
            <w:tcBorders>
              <w:tl2br w:val="nil"/>
              <w:tr2bl w:val="nil"/>
            </w:tcBorders>
            <w:noWrap w:val="0"/>
            <w:vAlign w:val="center"/>
          </w:tcPr>
          <w:p w14:paraId="7BDE84B8">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1060" w:type="dxa"/>
            <w:tcBorders>
              <w:tl2br w:val="nil"/>
              <w:tr2bl w:val="nil"/>
            </w:tcBorders>
            <w:noWrap w:val="0"/>
            <w:vAlign w:val="center"/>
          </w:tcPr>
          <w:p w14:paraId="72E2C8D8">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客观分</w:t>
            </w:r>
          </w:p>
        </w:tc>
        <w:tc>
          <w:tcPr>
            <w:tcW w:w="1222" w:type="dxa"/>
            <w:tcBorders>
              <w:tl2br w:val="nil"/>
              <w:tr2bl w:val="nil"/>
            </w:tcBorders>
            <w:noWrap w:val="0"/>
            <w:vAlign w:val="top"/>
          </w:tcPr>
          <w:p w14:paraId="2C0DA4A3">
            <w:pPr>
              <w:spacing w:line="360" w:lineRule="auto"/>
              <w:rPr>
                <w:rFonts w:hint="eastAsia" w:ascii="宋体" w:hAnsi="宋体" w:eastAsia="宋体" w:cs="宋体"/>
                <w:sz w:val="24"/>
                <w:szCs w:val="24"/>
              </w:rPr>
            </w:pPr>
          </w:p>
        </w:tc>
      </w:tr>
      <w:tr w14:paraId="4B29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38" w:type="dxa"/>
            <w:tcBorders>
              <w:tl2br w:val="nil"/>
              <w:tr2bl w:val="nil"/>
            </w:tcBorders>
            <w:noWrap w:val="0"/>
            <w:vAlign w:val="center"/>
          </w:tcPr>
          <w:p w14:paraId="6A7D94CE">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5913" w:type="dxa"/>
            <w:gridSpan w:val="2"/>
            <w:tcBorders>
              <w:tl2br w:val="nil"/>
              <w:tr2bl w:val="nil"/>
            </w:tcBorders>
            <w:noWrap w:val="0"/>
            <w:vAlign w:val="center"/>
          </w:tcPr>
          <w:p w14:paraId="7B2AEEB8">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样品评分：</w:t>
            </w:r>
          </w:p>
          <w:p w14:paraId="431FA35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1、45CM×45CM的14mm厚混合型塑胶跑道面层一块：</w:t>
            </w:r>
          </w:p>
          <w:p w14:paraId="7D9BE9C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1）根据所投样品的制作工艺质量、材质尺寸等方面横向对比打分；（0—2分）</w:t>
            </w:r>
          </w:p>
          <w:p w14:paraId="2850134D">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2）根据所投样品的外观式样、气味等方面横向对比打分；（0—2分）</w:t>
            </w:r>
          </w:p>
          <w:p w14:paraId="3774257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2、45CM×45CM的8mm厚硅PU面层一块：</w:t>
            </w:r>
          </w:p>
          <w:p w14:paraId="5EC2CAAD">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1）根据所投样品的制作工艺质量、材质尺寸等方面横向对比打分；（0—2分）</w:t>
            </w:r>
          </w:p>
          <w:p w14:paraId="3759DEF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2）根据所投样品的外观式样、气味等方面横向对比打分；（0—2分）</w:t>
            </w:r>
          </w:p>
          <w:p w14:paraId="414CFCBB">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w:t>
            </w:r>
            <w:r>
              <w:rPr>
                <w:rFonts w:hint="eastAsia" w:ascii="宋体" w:hAnsi="宋体" w:cs="宋体"/>
                <w:b/>
                <w:bCs/>
                <w:sz w:val="24"/>
                <w:szCs w:val="24"/>
                <w:lang w:val="en-US" w:eastAsia="zh-CN"/>
              </w:rPr>
              <w:t>人</w:t>
            </w:r>
            <w:r>
              <w:rPr>
                <w:rFonts w:hint="eastAsia" w:ascii="宋体" w:hAnsi="宋体" w:eastAsia="宋体" w:cs="宋体"/>
                <w:b/>
                <w:bCs/>
                <w:sz w:val="24"/>
                <w:szCs w:val="24"/>
                <w:lang w:val="en-US" w:eastAsia="zh-CN"/>
              </w:rPr>
              <w:t>不提供样品或样品提供不全或外观尺寸和技术参数明显不符合招标文件要求的样品分为0分；</w:t>
            </w:r>
          </w:p>
        </w:tc>
        <w:tc>
          <w:tcPr>
            <w:tcW w:w="710" w:type="dxa"/>
            <w:tcBorders>
              <w:tl2br w:val="nil"/>
              <w:tr2bl w:val="nil"/>
            </w:tcBorders>
            <w:noWrap w:val="0"/>
            <w:vAlign w:val="center"/>
          </w:tcPr>
          <w:p w14:paraId="77B4C90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060" w:type="dxa"/>
            <w:tcBorders>
              <w:tl2br w:val="nil"/>
              <w:tr2bl w:val="nil"/>
            </w:tcBorders>
            <w:noWrap w:val="0"/>
            <w:vAlign w:val="center"/>
          </w:tcPr>
          <w:p w14:paraId="5AEF0EFC">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14:paraId="4F02D456">
            <w:pPr>
              <w:spacing w:line="360" w:lineRule="auto"/>
              <w:rPr>
                <w:rFonts w:hint="eastAsia" w:ascii="宋体" w:hAnsi="宋体" w:eastAsia="宋体" w:cs="宋体"/>
                <w:sz w:val="24"/>
                <w:szCs w:val="24"/>
              </w:rPr>
            </w:pPr>
          </w:p>
        </w:tc>
      </w:tr>
      <w:tr w14:paraId="47C0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vMerge w:val="restart"/>
            <w:tcBorders>
              <w:tl2br w:val="nil"/>
              <w:tr2bl w:val="nil"/>
            </w:tcBorders>
            <w:noWrap w:val="0"/>
            <w:vAlign w:val="center"/>
          </w:tcPr>
          <w:p w14:paraId="5CF15346">
            <w:pPr>
              <w:spacing w:line="360" w:lineRule="auto"/>
              <w:jc w:val="center"/>
              <w:rPr>
                <w:rFonts w:hint="eastAsia" w:ascii="宋体" w:hAnsi="宋体" w:cs="宋体"/>
                <w:sz w:val="24"/>
                <w:szCs w:val="24"/>
                <w:lang w:val="en-US" w:eastAsia="zh-CN"/>
              </w:rPr>
            </w:pPr>
          </w:p>
          <w:p w14:paraId="399CBA9C">
            <w:pPr>
              <w:spacing w:line="360" w:lineRule="auto"/>
              <w:jc w:val="center"/>
              <w:rPr>
                <w:rFonts w:hint="eastAsia" w:ascii="宋体" w:hAnsi="宋体" w:cs="宋体"/>
                <w:sz w:val="24"/>
                <w:szCs w:val="24"/>
                <w:lang w:val="en-US" w:eastAsia="zh-CN"/>
              </w:rPr>
            </w:pPr>
          </w:p>
          <w:p w14:paraId="37709C3C">
            <w:pPr>
              <w:spacing w:line="360" w:lineRule="auto"/>
              <w:jc w:val="center"/>
              <w:rPr>
                <w:rFonts w:hint="eastAsia" w:ascii="宋体" w:hAnsi="宋体" w:cs="宋体"/>
                <w:sz w:val="24"/>
                <w:szCs w:val="24"/>
                <w:lang w:val="en-US" w:eastAsia="zh-CN"/>
              </w:rPr>
            </w:pPr>
          </w:p>
          <w:p w14:paraId="72393E67">
            <w:pPr>
              <w:spacing w:line="360" w:lineRule="auto"/>
              <w:jc w:val="center"/>
              <w:rPr>
                <w:rFonts w:hint="eastAsia" w:ascii="宋体" w:hAnsi="宋体" w:cs="宋体"/>
                <w:sz w:val="24"/>
                <w:szCs w:val="24"/>
                <w:lang w:val="en-US" w:eastAsia="zh-CN"/>
              </w:rPr>
            </w:pPr>
          </w:p>
          <w:p w14:paraId="483967AA">
            <w:pPr>
              <w:spacing w:line="360" w:lineRule="auto"/>
              <w:jc w:val="center"/>
              <w:rPr>
                <w:rFonts w:hint="eastAsia" w:ascii="宋体" w:hAnsi="宋体" w:cs="宋体"/>
                <w:sz w:val="24"/>
                <w:szCs w:val="24"/>
                <w:lang w:val="en-US" w:eastAsia="zh-CN"/>
              </w:rPr>
            </w:pPr>
          </w:p>
          <w:p w14:paraId="18B5B5EF">
            <w:pPr>
              <w:spacing w:line="360" w:lineRule="auto"/>
              <w:jc w:val="center"/>
              <w:rPr>
                <w:rFonts w:hint="eastAsia" w:ascii="宋体" w:hAnsi="宋体" w:cs="宋体"/>
                <w:sz w:val="24"/>
                <w:szCs w:val="24"/>
                <w:lang w:val="en-US" w:eastAsia="zh-CN"/>
              </w:rPr>
            </w:pPr>
          </w:p>
          <w:p w14:paraId="68B239BB">
            <w:pPr>
              <w:spacing w:line="360" w:lineRule="auto"/>
              <w:jc w:val="center"/>
              <w:rPr>
                <w:rFonts w:hint="eastAsia" w:ascii="宋体" w:hAnsi="宋体" w:cs="宋体"/>
                <w:sz w:val="24"/>
                <w:szCs w:val="24"/>
                <w:lang w:val="en-US" w:eastAsia="zh-CN"/>
              </w:rPr>
            </w:pPr>
          </w:p>
          <w:p w14:paraId="3C9F0F55">
            <w:pPr>
              <w:spacing w:line="360" w:lineRule="auto"/>
              <w:jc w:val="center"/>
              <w:rPr>
                <w:rFonts w:hint="eastAsia" w:ascii="宋体" w:hAnsi="宋体" w:cs="宋体"/>
                <w:sz w:val="24"/>
                <w:szCs w:val="24"/>
                <w:lang w:val="en-US" w:eastAsia="zh-CN"/>
              </w:rPr>
            </w:pPr>
          </w:p>
          <w:p w14:paraId="607AE995">
            <w:pPr>
              <w:spacing w:line="360" w:lineRule="auto"/>
              <w:jc w:val="center"/>
              <w:rPr>
                <w:rFonts w:hint="eastAsia" w:ascii="宋体" w:hAnsi="宋体" w:cs="宋体"/>
                <w:sz w:val="24"/>
                <w:szCs w:val="24"/>
                <w:lang w:val="en-US" w:eastAsia="zh-CN"/>
              </w:rPr>
            </w:pPr>
          </w:p>
          <w:p w14:paraId="33D0166C">
            <w:pPr>
              <w:spacing w:line="360" w:lineRule="auto"/>
              <w:jc w:val="center"/>
              <w:rPr>
                <w:rFonts w:hint="eastAsia" w:ascii="宋体" w:hAnsi="宋体" w:cs="宋体"/>
                <w:sz w:val="24"/>
                <w:szCs w:val="24"/>
                <w:lang w:val="en-US" w:eastAsia="zh-CN"/>
              </w:rPr>
            </w:pPr>
          </w:p>
          <w:p w14:paraId="457ACF53">
            <w:pPr>
              <w:spacing w:line="360" w:lineRule="auto"/>
              <w:jc w:val="center"/>
              <w:rPr>
                <w:rFonts w:hint="eastAsia" w:ascii="宋体" w:hAnsi="宋体" w:cs="宋体"/>
                <w:sz w:val="24"/>
                <w:szCs w:val="24"/>
                <w:lang w:val="en-US" w:eastAsia="zh-CN"/>
              </w:rPr>
            </w:pPr>
          </w:p>
          <w:p w14:paraId="2DB6530A">
            <w:pPr>
              <w:spacing w:line="360" w:lineRule="auto"/>
              <w:jc w:val="center"/>
              <w:rPr>
                <w:rFonts w:hint="eastAsia" w:ascii="宋体" w:hAnsi="宋体" w:cs="宋体"/>
                <w:sz w:val="24"/>
                <w:szCs w:val="24"/>
                <w:lang w:val="en-US" w:eastAsia="zh-CN"/>
              </w:rPr>
            </w:pPr>
          </w:p>
          <w:p w14:paraId="1F5CFC65">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713" w:type="dxa"/>
            <w:vMerge w:val="restart"/>
            <w:tcBorders>
              <w:tl2br w:val="nil"/>
              <w:tr2bl w:val="nil"/>
            </w:tcBorders>
            <w:noWrap w:val="0"/>
            <w:vAlign w:val="center"/>
          </w:tcPr>
          <w:p w14:paraId="4E2E5109">
            <w:pPr>
              <w:spacing w:line="360" w:lineRule="auto"/>
              <w:jc w:val="center"/>
              <w:rPr>
                <w:rFonts w:hint="eastAsia" w:ascii="宋体" w:hAnsi="宋体" w:eastAsia="宋体" w:cs="宋体"/>
                <w:sz w:val="24"/>
                <w:szCs w:val="24"/>
              </w:rPr>
            </w:pPr>
          </w:p>
          <w:p w14:paraId="75C939DE">
            <w:pPr>
              <w:spacing w:line="360" w:lineRule="auto"/>
              <w:jc w:val="center"/>
              <w:rPr>
                <w:rFonts w:hint="eastAsia" w:ascii="宋体" w:hAnsi="宋体" w:eastAsia="宋体" w:cs="宋体"/>
                <w:sz w:val="24"/>
                <w:szCs w:val="24"/>
              </w:rPr>
            </w:pPr>
          </w:p>
          <w:p w14:paraId="1754BE61">
            <w:pPr>
              <w:spacing w:line="360" w:lineRule="auto"/>
              <w:jc w:val="center"/>
              <w:rPr>
                <w:rFonts w:hint="eastAsia" w:ascii="宋体" w:hAnsi="宋体" w:eastAsia="宋体" w:cs="宋体"/>
                <w:sz w:val="24"/>
                <w:szCs w:val="24"/>
              </w:rPr>
            </w:pPr>
          </w:p>
          <w:p w14:paraId="51A9924E">
            <w:pPr>
              <w:spacing w:line="360" w:lineRule="auto"/>
              <w:jc w:val="center"/>
              <w:rPr>
                <w:rFonts w:hint="eastAsia" w:ascii="宋体" w:hAnsi="宋体" w:eastAsia="宋体" w:cs="宋体"/>
                <w:sz w:val="24"/>
                <w:szCs w:val="24"/>
              </w:rPr>
            </w:pPr>
          </w:p>
          <w:p w14:paraId="102FBFAC">
            <w:pPr>
              <w:spacing w:line="360" w:lineRule="auto"/>
              <w:jc w:val="center"/>
              <w:rPr>
                <w:rFonts w:hint="eastAsia" w:ascii="宋体" w:hAnsi="宋体" w:eastAsia="宋体" w:cs="宋体"/>
                <w:sz w:val="24"/>
                <w:szCs w:val="24"/>
              </w:rPr>
            </w:pPr>
          </w:p>
          <w:p w14:paraId="2CC44E71">
            <w:pPr>
              <w:spacing w:line="360" w:lineRule="auto"/>
              <w:jc w:val="center"/>
              <w:rPr>
                <w:rFonts w:hint="eastAsia" w:ascii="宋体" w:hAnsi="宋体" w:eastAsia="宋体" w:cs="宋体"/>
                <w:sz w:val="24"/>
                <w:szCs w:val="24"/>
              </w:rPr>
            </w:pPr>
          </w:p>
          <w:p w14:paraId="15FB8198">
            <w:pPr>
              <w:spacing w:line="360" w:lineRule="auto"/>
              <w:jc w:val="center"/>
              <w:rPr>
                <w:rFonts w:hint="eastAsia" w:ascii="宋体" w:hAnsi="宋体" w:eastAsia="宋体" w:cs="宋体"/>
                <w:sz w:val="24"/>
                <w:szCs w:val="24"/>
              </w:rPr>
            </w:pPr>
          </w:p>
          <w:p w14:paraId="7186F524">
            <w:pPr>
              <w:spacing w:line="360" w:lineRule="auto"/>
              <w:jc w:val="center"/>
              <w:rPr>
                <w:rFonts w:hint="eastAsia" w:ascii="宋体" w:hAnsi="宋体" w:eastAsia="宋体" w:cs="宋体"/>
                <w:sz w:val="24"/>
                <w:szCs w:val="24"/>
              </w:rPr>
            </w:pPr>
          </w:p>
          <w:p w14:paraId="4CABD1F3">
            <w:pPr>
              <w:spacing w:line="360" w:lineRule="auto"/>
              <w:jc w:val="center"/>
              <w:rPr>
                <w:rFonts w:hint="eastAsia" w:ascii="宋体" w:hAnsi="宋体" w:eastAsia="宋体" w:cs="宋体"/>
                <w:sz w:val="24"/>
                <w:szCs w:val="24"/>
              </w:rPr>
            </w:pPr>
          </w:p>
          <w:p w14:paraId="00E0F49C">
            <w:pPr>
              <w:spacing w:line="360" w:lineRule="auto"/>
              <w:jc w:val="center"/>
              <w:rPr>
                <w:rFonts w:hint="eastAsia" w:ascii="宋体" w:hAnsi="宋体" w:eastAsia="宋体" w:cs="宋体"/>
                <w:sz w:val="24"/>
                <w:szCs w:val="24"/>
              </w:rPr>
            </w:pPr>
          </w:p>
          <w:p w14:paraId="78A1BEBD">
            <w:pPr>
              <w:spacing w:line="360" w:lineRule="auto"/>
              <w:jc w:val="center"/>
              <w:rPr>
                <w:rFonts w:hint="eastAsia" w:ascii="宋体" w:hAnsi="宋体" w:eastAsia="宋体" w:cs="宋体"/>
                <w:sz w:val="24"/>
                <w:szCs w:val="24"/>
              </w:rPr>
            </w:pPr>
          </w:p>
          <w:p w14:paraId="093D2D23">
            <w:pPr>
              <w:spacing w:line="360" w:lineRule="auto"/>
              <w:jc w:val="center"/>
              <w:rPr>
                <w:rFonts w:hint="eastAsia" w:ascii="宋体" w:hAnsi="宋体" w:eastAsia="宋体" w:cs="宋体"/>
                <w:sz w:val="24"/>
                <w:szCs w:val="24"/>
              </w:rPr>
            </w:pPr>
          </w:p>
          <w:p w14:paraId="3A80BA37">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项目方案内容</w:t>
            </w:r>
          </w:p>
        </w:tc>
        <w:tc>
          <w:tcPr>
            <w:tcW w:w="5200" w:type="dxa"/>
            <w:tcBorders>
              <w:tl2br w:val="nil"/>
              <w:tr2bl w:val="nil"/>
            </w:tcBorders>
            <w:noWrap w:val="0"/>
            <w:vAlign w:val="center"/>
          </w:tcPr>
          <w:p w14:paraId="5477824E">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1）根据投标人提供整体方案内容的科学性、完整性、合理性进行评分。方案内容科学合理、全面完整的得5分，比较科学合理、全面完整的得3分，方基本科学合理、全面完整的得1分，未提供不得分。</w:t>
            </w:r>
          </w:p>
        </w:tc>
        <w:tc>
          <w:tcPr>
            <w:tcW w:w="710" w:type="dxa"/>
            <w:tcBorders>
              <w:tl2br w:val="nil"/>
              <w:tr2bl w:val="nil"/>
            </w:tcBorders>
            <w:noWrap w:val="0"/>
            <w:vAlign w:val="center"/>
          </w:tcPr>
          <w:p w14:paraId="1AA495B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2E6C43AF">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14:paraId="5B50A14B">
            <w:pPr>
              <w:spacing w:line="360" w:lineRule="auto"/>
              <w:rPr>
                <w:rFonts w:hint="eastAsia" w:ascii="宋体" w:hAnsi="宋体" w:eastAsia="宋体" w:cs="宋体"/>
                <w:sz w:val="24"/>
                <w:szCs w:val="24"/>
              </w:rPr>
            </w:pPr>
          </w:p>
        </w:tc>
      </w:tr>
      <w:tr w14:paraId="7FFB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vMerge w:val="continue"/>
            <w:tcBorders>
              <w:tl2br w:val="nil"/>
              <w:tr2bl w:val="nil"/>
            </w:tcBorders>
            <w:noWrap w:val="0"/>
            <w:vAlign w:val="center"/>
          </w:tcPr>
          <w:p w14:paraId="1DA09D0C">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14:paraId="2C6CDF51">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14:paraId="7F94B79E">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rPr>
              <w:t>根据</w:t>
            </w:r>
            <w:r>
              <w:rPr>
                <w:rFonts w:hint="eastAsia" w:ascii="宋体" w:hAnsi="宋体" w:eastAsia="宋体" w:cs="宋体"/>
                <w:sz w:val="24"/>
                <w:szCs w:val="24"/>
                <w:lang w:val="en-US" w:eastAsia="zh-CN"/>
              </w:rPr>
              <w:t>投标人提供</w:t>
            </w:r>
            <w:r>
              <w:rPr>
                <w:rFonts w:hint="eastAsia" w:ascii="宋体" w:hAnsi="宋体" w:cs="宋体"/>
                <w:sz w:val="24"/>
                <w:szCs w:val="24"/>
                <w:lang w:val="en-US" w:eastAsia="zh-CN"/>
              </w:rPr>
              <w:t>安装</w:t>
            </w:r>
            <w:r>
              <w:rPr>
                <w:rFonts w:hint="eastAsia" w:ascii="宋体" w:hAnsi="宋体" w:eastAsia="宋体" w:cs="宋体"/>
                <w:sz w:val="24"/>
                <w:szCs w:val="24"/>
              </w:rPr>
              <w:t>工艺</w:t>
            </w:r>
            <w:r>
              <w:rPr>
                <w:rFonts w:hint="eastAsia" w:ascii="宋体" w:hAnsi="宋体" w:cs="宋体"/>
                <w:sz w:val="24"/>
                <w:szCs w:val="24"/>
                <w:lang w:val="en-US" w:eastAsia="zh-CN"/>
              </w:rPr>
              <w:t>方案</w:t>
            </w:r>
            <w:r>
              <w:rPr>
                <w:rFonts w:hint="eastAsia" w:ascii="宋体" w:hAnsi="宋体" w:eastAsia="宋体" w:cs="宋体"/>
                <w:sz w:val="24"/>
                <w:szCs w:val="24"/>
                <w:lang w:val="en-US" w:eastAsia="zh-CN"/>
              </w:rPr>
              <w:t>的先进性、安全性、合理性进行评分。</w:t>
            </w:r>
            <w:r>
              <w:rPr>
                <w:rFonts w:hint="eastAsia" w:ascii="宋体" w:hAnsi="宋体" w:eastAsia="宋体" w:cs="宋体"/>
                <w:sz w:val="24"/>
                <w:szCs w:val="24"/>
              </w:rPr>
              <w:t>工艺</w:t>
            </w:r>
            <w:r>
              <w:rPr>
                <w:rFonts w:hint="eastAsia" w:ascii="宋体" w:hAnsi="宋体" w:cs="宋体"/>
                <w:sz w:val="24"/>
                <w:szCs w:val="24"/>
                <w:lang w:val="en-US" w:eastAsia="zh-CN"/>
              </w:rPr>
              <w:t>方案</w:t>
            </w:r>
            <w:r>
              <w:rPr>
                <w:rFonts w:hint="eastAsia" w:ascii="宋体" w:hAnsi="宋体" w:eastAsia="宋体" w:cs="宋体"/>
                <w:sz w:val="24"/>
                <w:szCs w:val="24"/>
                <w:lang w:val="en-US" w:eastAsia="zh-CN"/>
              </w:rPr>
              <w:t>先进</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安全、合理的得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w:t>
            </w:r>
            <w:r>
              <w:rPr>
                <w:rFonts w:hint="eastAsia" w:ascii="宋体" w:hAnsi="宋体" w:eastAsia="宋体" w:cs="宋体"/>
                <w:sz w:val="24"/>
                <w:szCs w:val="24"/>
                <w:lang w:val="en-US" w:eastAsia="zh-CN"/>
              </w:rPr>
              <w:t>先进</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安全、合理的得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基本</w:t>
            </w:r>
            <w:r>
              <w:rPr>
                <w:rFonts w:hint="eastAsia" w:ascii="宋体" w:hAnsi="宋体" w:eastAsia="宋体" w:cs="宋体"/>
                <w:sz w:val="24"/>
                <w:szCs w:val="24"/>
                <w:lang w:val="en-US" w:eastAsia="zh-CN"/>
              </w:rPr>
              <w:t>先进、安全、合理的得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w:t>
            </w:r>
            <w:r>
              <w:rPr>
                <w:rFonts w:hint="eastAsia" w:ascii="宋体" w:hAnsi="宋体" w:eastAsia="宋体" w:cs="宋体"/>
                <w:sz w:val="24"/>
                <w:szCs w:val="24"/>
              </w:rPr>
              <w:t>；</w:t>
            </w:r>
            <w:r>
              <w:rPr>
                <w:rFonts w:hint="eastAsia" w:ascii="宋体" w:hAnsi="宋体" w:eastAsia="宋体" w:cs="宋体"/>
                <w:sz w:val="24"/>
                <w:szCs w:val="24"/>
                <w:lang w:val="en-US" w:eastAsia="zh-CN"/>
              </w:rPr>
              <w:t>未提供不得分。</w:t>
            </w:r>
          </w:p>
        </w:tc>
        <w:tc>
          <w:tcPr>
            <w:tcW w:w="710" w:type="dxa"/>
            <w:tcBorders>
              <w:tl2br w:val="nil"/>
              <w:tr2bl w:val="nil"/>
            </w:tcBorders>
            <w:noWrap w:val="0"/>
            <w:vAlign w:val="center"/>
          </w:tcPr>
          <w:p w14:paraId="18A4BF76">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16FB0EFD">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14:paraId="7E6D9979">
            <w:pPr>
              <w:spacing w:line="360" w:lineRule="auto"/>
              <w:rPr>
                <w:rFonts w:hint="eastAsia" w:ascii="宋体" w:hAnsi="宋体" w:eastAsia="宋体" w:cs="宋体"/>
                <w:sz w:val="24"/>
                <w:szCs w:val="24"/>
              </w:rPr>
            </w:pPr>
          </w:p>
        </w:tc>
      </w:tr>
      <w:tr w14:paraId="42FA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vMerge w:val="continue"/>
            <w:tcBorders>
              <w:tl2br w:val="nil"/>
              <w:tr2bl w:val="nil"/>
            </w:tcBorders>
            <w:noWrap w:val="0"/>
            <w:vAlign w:val="center"/>
          </w:tcPr>
          <w:p w14:paraId="4202B429">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14:paraId="28642A15">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14:paraId="664AFD26">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rPr>
              <w:t>根据</w:t>
            </w:r>
            <w:r>
              <w:rPr>
                <w:rFonts w:hint="eastAsia" w:ascii="宋体" w:hAnsi="宋体" w:eastAsia="宋体" w:cs="宋体"/>
                <w:sz w:val="24"/>
                <w:szCs w:val="24"/>
                <w:lang w:val="en-US" w:eastAsia="zh-CN"/>
              </w:rPr>
              <w:t>投标人提供的</w:t>
            </w:r>
            <w:r>
              <w:rPr>
                <w:rFonts w:hint="eastAsia" w:ascii="宋体" w:hAnsi="宋体" w:cs="宋体"/>
                <w:sz w:val="24"/>
                <w:szCs w:val="24"/>
                <w:lang w:val="en-US" w:eastAsia="zh-CN"/>
              </w:rPr>
              <w:t>针对项目</w:t>
            </w:r>
            <w:r>
              <w:rPr>
                <w:rFonts w:hint="eastAsia" w:ascii="宋体" w:hAnsi="宋体" w:eastAsia="宋体" w:cs="宋体"/>
                <w:sz w:val="24"/>
                <w:szCs w:val="24"/>
              </w:rPr>
              <w:t>重要节点</w:t>
            </w:r>
            <w:r>
              <w:rPr>
                <w:rFonts w:hint="eastAsia" w:ascii="宋体" w:hAnsi="宋体" w:cs="宋体"/>
                <w:sz w:val="24"/>
                <w:szCs w:val="24"/>
                <w:lang w:val="en-US" w:eastAsia="zh-CN"/>
              </w:rPr>
              <w:t>的把控</w:t>
            </w:r>
            <w:r>
              <w:rPr>
                <w:rFonts w:hint="eastAsia" w:ascii="宋体" w:hAnsi="宋体" w:eastAsia="宋体" w:cs="宋体"/>
                <w:sz w:val="24"/>
                <w:szCs w:val="24"/>
                <w:lang w:val="en-US" w:eastAsia="zh-CN"/>
              </w:rPr>
              <w:t>方案</w:t>
            </w:r>
            <w:r>
              <w:rPr>
                <w:rFonts w:hint="eastAsia" w:ascii="宋体" w:hAnsi="宋体" w:cs="宋体"/>
                <w:sz w:val="24"/>
                <w:szCs w:val="24"/>
                <w:lang w:val="en-US" w:eastAsia="zh-CN"/>
              </w:rPr>
              <w:t>进行评分</w:t>
            </w:r>
            <w:r>
              <w:rPr>
                <w:rFonts w:hint="eastAsia" w:ascii="宋体" w:hAnsi="宋体" w:cs="宋体"/>
                <w:sz w:val="24"/>
                <w:szCs w:val="24"/>
                <w:lang w:eastAsia="zh-CN"/>
              </w:rPr>
              <w:t>。</w:t>
            </w:r>
            <w:r>
              <w:rPr>
                <w:rFonts w:hint="eastAsia" w:ascii="宋体" w:hAnsi="宋体" w:eastAsia="宋体" w:cs="宋体"/>
                <w:sz w:val="24"/>
                <w:szCs w:val="24"/>
                <w:lang w:val="en-US" w:eastAsia="zh-CN"/>
              </w:rPr>
              <w:t>方案内容全面</w:t>
            </w:r>
            <w:r>
              <w:rPr>
                <w:rFonts w:hint="eastAsia" w:ascii="宋体" w:hAnsi="宋体" w:cs="宋体"/>
                <w:sz w:val="24"/>
                <w:szCs w:val="24"/>
                <w:lang w:val="en-US" w:eastAsia="zh-CN"/>
              </w:rPr>
              <w:t>合理</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，比较全面合理的得3分，基本全面合理的得1分，</w:t>
            </w:r>
            <w:r>
              <w:rPr>
                <w:rFonts w:hint="eastAsia" w:ascii="宋体" w:hAnsi="宋体" w:eastAsia="宋体" w:cs="宋体"/>
                <w:sz w:val="24"/>
                <w:szCs w:val="24"/>
                <w:lang w:val="en-US" w:eastAsia="zh-CN"/>
              </w:rPr>
              <w:t>未提供不得分。</w:t>
            </w:r>
          </w:p>
        </w:tc>
        <w:tc>
          <w:tcPr>
            <w:tcW w:w="710" w:type="dxa"/>
            <w:tcBorders>
              <w:tl2br w:val="nil"/>
              <w:tr2bl w:val="nil"/>
            </w:tcBorders>
            <w:noWrap w:val="0"/>
            <w:vAlign w:val="center"/>
          </w:tcPr>
          <w:p w14:paraId="36775DD7">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2906D563">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14:paraId="3EF627C3">
            <w:pPr>
              <w:spacing w:line="360" w:lineRule="auto"/>
              <w:rPr>
                <w:rFonts w:hint="eastAsia" w:ascii="宋体" w:hAnsi="宋体" w:eastAsia="宋体" w:cs="宋体"/>
                <w:sz w:val="24"/>
                <w:szCs w:val="24"/>
              </w:rPr>
            </w:pPr>
          </w:p>
        </w:tc>
      </w:tr>
      <w:tr w14:paraId="6B13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vMerge w:val="continue"/>
            <w:tcBorders>
              <w:tl2br w:val="nil"/>
              <w:tr2bl w:val="nil"/>
            </w:tcBorders>
            <w:noWrap w:val="0"/>
            <w:vAlign w:val="center"/>
          </w:tcPr>
          <w:p w14:paraId="4FFD5EA3">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14:paraId="2EB3896A">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14:paraId="402A28E8">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4）根据投标人提供的正对难点安装部位的处理方案进行评分。</w:t>
            </w:r>
            <w:r>
              <w:rPr>
                <w:rFonts w:hint="eastAsia" w:ascii="宋体" w:hAnsi="宋体" w:eastAsia="宋体" w:cs="宋体"/>
                <w:sz w:val="24"/>
                <w:szCs w:val="24"/>
                <w:lang w:val="en-US" w:eastAsia="zh-CN"/>
              </w:rPr>
              <w:t>方案内容全面</w:t>
            </w:r>
            <w:r>
              <w:rPr>
                <w:rFonts w:hint="eastAsia" w:ascii="宋体" w:hAnsi="宋体" w:cs="宋体"/>
                <w:sz w:val="24"/>
                <w:szCs w:val="24"/>
                <w:lang w:val="en-US" w:eastAsia="zh-CN"/>
              </w:rPr>
              <w:t>合理</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，比较全面合理的得3分，基本全面合理的得1分，</w:t>
            </w:r>
            <w:r>
              <w:rPr>
                <w:rFonts w:hint="eastAsia" w:ascii="宋体" w:hAnsi="宋体" w:eastAsia="宋体" w:cs="宋体"/>
                <w:sz w:val="24"/>
                <w:szCs w:val="24"/>
                <w:lang w:val="en-US" w:eastAsia="zh-CN"/>
              </w:rPr>
              <w:t>未提供不得分。</w:t>
            </w:r>
          </w:p>
        </w:tc>
        <w:tc>
          <w:tcPr>
            <w:tcW w:w="710" w:type="dxa"/>
            <w:tcBorders>
              <w:tl2br w:val="nil"/>
              <w:tr2bl w:val="nil"/>
            </w:tcBorders>
            <w:noWrap w:val="0"/>
            <w:vAlign w:val="center"/>
          </w:tcPr>
          <w:p w14:paraId="40F1B3C1">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113C25AF">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14:paraId="1964B64B">
            <w:pPr>
              <w:spacing w:line="360" w:lineRule="auto"/>
              <w:rPr>
                <w:rFonts w:hint="eastAsia" w:ascii="宋体" w:hAnsi="宋体" w:eastAsia="宋体" w:cs="宋体"/>
                <w:sz w:val="24"/>
                <w:szCs w:val="24"/>
              </w:rPr>
            </w:pPr>
          </w:p>
        </w:tc>
      </w:tr>
      <w:tr w14:paraId="6831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38" w:type="dxa"/>
            <w:vMerge w:val="continue"/>
            <w:tcBorders>
              <w:tl2br w:val="nil"/>
              <w:tr2bl w:val="nil"/>
            </w:tcBorders>
            <w:noWrap w:val="0"/>
            <w:vAlign w:val="center"/>
          </w:tcPr>
          <w:p w14:paraId="7F856EEC">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14:paraId="17E30F89">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14:paraId="46009E7F">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5）</w:t>
            </w:r>
            <w:r>
              <w:rPr>
                <w:rFonts w:hint="eastAsia" w:ascii="宋体" w:hAnsi="宋体" w:cs="宋体"/>
                <w:sz w:val="24"/>
              </w:rPr>
              <w:t>根据投标人提供的质量控制</w:t>
            </w:r>
            <w:r>
              <w:rPr>
                <w:rFonts w:hint="eastAsia" w:ascii="宋体" w:hAnsi="宋体" w:cs="宋体"/>
                <w:sz w:val="24"/>
                <w:lang w:val="en-US" w:eastAsia="zh-CN"/>
              </w:rPr>
              <w:t>措施</w:t>
            </w:r>
            <w:r>
              <w:rPr>
                <w:rFonts w:hint="eastAsia" w:ascii="宋体" w:hAnsi="宋体" w:cs="宋体"/>
                <w:sz w:val="24"/>
              </w:rPr>
              <w:t>进行评分</w:t>
            </w:r>
            <w:r>
              <w:rPr>
                <w:rFonts w:hint="eastAsia" w:ascii="宋体" w:hAnsi="宋体" w:cs="宋体"/>
                <w:sz w:val="24"/>
                <w:lang w:eastAsia="zh-CN"/>
              </w:rPr>
              <w:t>。</w:t>
            </w:r>
            <w:r>
              <w:rPr>
                <w:rFonts w:hint="eastAsia" w:ascii="宋体" w:hAnsi="宋体" w:eastAsia="宋体" w:cs="宋体"/>
                <w:sz w:val="24"/>
                <w:szCs w:val="24"/>
                <w:lang w:val="en-US" w:eastAsia="zh-CN"/>
              </w:rPr>
              <w:t>内容全面</w:t>
            </w:r>
            <w:r>
              <w:rPr>
                <w:rFonts w:hint="eastAsia" w:ascii="宋体" w:hAnsi="宋体" w:cs="宋体"/>
                <w:sz w:val="24"/>
                <w:szCs w:val="24"/>
                <w:lang w:val="en-US" w:eastAsia="zh-CN"/>
              </w:rPr>
              <w:t>合理</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，比较全面合理的得3分，基本全面合理的得1分，</w:t>
            </w:r>
            <w:r>
              <w:rPr>
                <w:rFonts w:hint="eastAsia" w:ascii="宋体" w:hAnsi="宋体" w:eastAsia="宋体" w:cs="宋体"/>
                <w:sz w:val="24"/>
                <w:szCs w:val="24"/>
                <w:lang w:val="en-US" w:eastAsia="zh-CN"/>
              </w:rPr>
              <w:t>未提供不得分。</w:t>
            </w:r>
          </w:p>
        </w:tc>
        <w:tc>
          <w:tcPr>
            <w:tcW w:w="710" w:type="dxa"/>
            <w:tcBorders>
              <w:tl2br w:val="nil"/>
              <w:tr2bl w:val="nil"/>
            </w:tcBorders>
            <w:noWrap w:val="0"/>
            <w:vAlign w:val="center"/>
          </w:tcPr>
          <w:p w14:paraId="27EFE57B">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467E792D">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14:paraId="40930DF3">
            <w:pPr>
              <w:spacing w:line="360" w:lineRule="auto"/>
              <w:rPr>
                <w:rFonts w:hint="eastAsia" w:ascii="宋体" w:hAnsi="宋体" w:eastAsia="宋体" w:cs="宋体"/>
                <w:sz w:val="24"/>
                <w:szCs w:val="24"/>
              </w:rPr>
            </w:pPr>
          </w:p>
        </w:tc>
      </w:tr>
      <w:tr w14:paraId="758C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vMerge w:val="continue"/>
            <w:tcBorders>
              <w:tl2br w:val="nil"/>
              <w:tr2bl w:val="nil"/>
            </w:tcBorders>
            <w:noWrap w:val="0"/>
            <w:vAlign w:val="center"/>
          </w:tcPr>
          <w:p w14:paraId="3BE0E160">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14:paraId="34E80244">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14:paraId="350A839A">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rPr>
              <w:t>根据</w:t>
            </w:r>
            <w:r>
              <w:rPr>
                <w:rFonts w:hint="eastAsia" w:ascii="宋体" w:hAnsi="宋体" w:eastAsia="宋体" w:cs="宋体"/>
                <w:sz w:val="24"/>
                <w:szCs w:val="24"/>
                <w:lang w:val="en-US" w:eastAsia="zh-CN"/>
              </w:rPr>
              <w:t>投标人提供的</w:t>
            </w:r>
            <w:r>
              <w:rPr>
                <w:rFonts w:hint="eastAsia" w:ascii="宋体" w:hAnsi="宋体" w:cs="宋体"/>
                <w:sz w:val="24"/>
                <w:szCs w:val="24"/>
                <w:lang w:val="en-US" w:eastAsia="zh-CN"/>
              </w:rPr>
              <w:t>供货安装期限的</w:t>
            </w:r>
            <w:r>
              <w:rPr>
                <w:rFonts w:hint="eastAsia" w:ascii="宋体" w:hAnsi="宋体" w:eastAsia="宋体" w:cs="宋体"/>
                <w:sz w:val="24"/>
                <w:szCs w:val="24"/>
              </w:rPr>
              <w:t>控制目标及相应的技术保障措施</w:t>
            </w:r>
            <w:r>
              <w:rPr>
                <w:rFonts w:hint="eastAsia" w:ascii="宋体" w:hAnsi="宋体" w:cs="宋体"/>
                <w:sz w:val="24"/>
                <w:szCs w:val="24"/>
                <w:lang w:val="en-US" w:eastAsia="zh-CN"/>
              </w:rPr>
              <w:t>进行评分</w:t>
            </w:r>
            <w:r>
              <w:rPr>
                <w:rFonts w:hint="eastAsia" w:ascii="宋体" w:hAnsi="宋体" w:cs="宋体"/>
                <w:sz w:val="24"/>
                <w:szCs w:val="24"/>
                <w:lang w:eastAsia="zh-CN"/>
              </w:rPr>
              <w:t>。</w:t>
            </w:r>
            <w:r>
              <w:rPr>
                <w:rFonts w:hint="eastAsia" w:ascii="宋体" w:hAnsi="宋体" w:cs="宋体"/>
                <w:sz w:val="24"/>
                <w:szCs w:val="24"/>
                <w:lang w:val="en-US" w:eastAsia="zh-CN"/>
              </w:rPr>
              <w:t>方案合理可行的得5分，比较合理可行的得3分，基本合理可行的1分，</w:t>
            </w:r>
            <w:r>
              <w:rPr>
                <w:rFonts w:hint="eastAsia" w:ascii="宋体" w:hAnsi="宋体" w:eastAsia="宋体" w:cs="宋体"/>
                <w:sz w:val="24"/>
                <w:szCs w:val="24"/>
                <w:lang w:val="en-US" w:eastAsia="zh-CN"/>
              </w:rPr>
              <w:t>未提供不得分。</w:t>
            </w:r>
          </w:p>
        </w:tc>
        <w:tc>
          <w:tcPr>
            <w:tcW w:w="710" w:type="dxa"/>
            <w:tcBorders>
              <w:tl2br w:val="nil"/>
              <w:tr2bl w:val="nil"/>
            </w:tcBorders>
            <w:noWrap w:val="0"/>
            <w:vAlign w:val="center"/>
          </w:tcPr>
          <w:p w14:paraId="676CCC99">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3550B846">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14:paraId="16606344">
            <w:pPr>
              <w:spacing w:line="360" w:lineRule="auto"/>
              <w:rPr>
                <w:rFonts w:hint="eastAsia" w:ascii="宋体" w:hAnsi="宋体" w:eastAsia="宋体" w:cs="宋体"/>
                <w:sz w:val="24"/>
                <w:szCs w:val="24"/>
              </w:rPr>
            </w:pPr>
          </w:p>
        </w:tc>
      </w:tr>
      <w:tr w14:paraId="17A0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Merge w:val="continue"/>
            <w:tcBorders>
              <w:tl2br w:val="nil"/>
              <w:tr2bl w:val="nil"/>
            </w:tcBorders>
            <w:noWrap w:val="0"/>
            <w:vAlign w:val="center"/>
          </w:tcPr>
          <w:p w14:paraId="5FF64125">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14:paraId="53AB9433">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14:paraId="143CF0FB">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7）根据投标人对安装场地</w:t>
            </w:r>
            <w:r>
              <w:rPr>
                <w:rFonts w:hint="eastAsia" w:ascii="宋体" w:hAnsi="宋体" w:eastAsia="宋体" w:cs="宋体"/>
                <w:sz w:val="24"/>
                <w:szCs w:val="24"/>
                <w:lang w:val="en-US" w:eastAsia="zh-CN"/>
              </w:rPr>
              <w:t>现状</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了解</w:t>
            </w:r>
            <w:r>
              <w:rPr>
                <w:rFonts w:hint="eastAsia" w:ascii="宋体" w:hAnsi="宋体" w:cs="宋体"/>
                <w:sz w:val="24"/>
                <w:szCs w:val="24"/>
                <w:lang w:val="en-US" w:eastAsia="zh-CN"/>
              </w:rPr>
              <w:t>，提供针对本项目开展需要注意事项的分析情况进行评分。内容全面合理的得5分，比较全面合理的得3分，基本全面合理的得1分，</w:t>
            </w:r>
            <w:r>
              <w:rPr>
                <w:rFonts w:hint="eastAsia" w:ascii="宋体" w:hAnsi="宋体" w:eastAsia="宋体" w:cs="宋体"/>
                <w:sz w:val="24"/>
                <w:szCs w:val="24"/>
                <w:lang w:val="en-US" w:eastAsia="zh-CN"/>
              </w:rPr>
              <w:t>未提供不得分。</w:t>
            </w:r>
          </w:p>
        </w:tc>
        <w:tc>
          <w:tcPr>
            <w:tcW w:w="710" w:type="dxa"/>
            <w:tcBorders>
              <w:tl2br w:val="nil"/>
              <w:tr2bl w:val="nil"/>
            </w:tcBorders>
            <w:noWrap w:val="0"/>
            <w:vAlign w:val="center"/>
          </w:tcPr>
          <w:p w14:paraId="2F4C26D0">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31DEF657">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14:paraId="64439F91">
            <w:pPr>
              <w:spacing w:line="360" w:lineRule="auto"/>
              <w:rPr>
                <w:rFonts w:hint="eastAsia" w:ascii="宋体" w:hAnsi="宋体" w:eastAsia="宋体" w:cs="宋体"/>
                <w:sz w:val="24"/>
                <w:szCs w:val="24"/>
              </w:rPr>
            </w:pPr>
          </w:p>
        </w:tc>
      </w:tr>
      <w:tr w14:paraId="1198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vMerge w:val="continue"/>
            <w:tcBorders>
              <w:tl2br w:val="nil"/>
              <w:tr2bl w:val="nil"/>
            </w:tcBorders>
            <w:noWrap w:val="0"/>
            <w:vAlign w:val="center"/>
          </w:tcPr>
          <w:p w14:paraId="5E830797">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14:paraId="54CB6B60">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14:paraId="616A2F43">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8）根据投标人针对本项目提供的合理化建议和改进措施进行评分，方案合理可行的得3分，比较合理可行的得2分，基本合理可行的1分，</w:t>
            </w:r>
            <w:r>
              <w:rPr>
                <w:rFonts w:hint="eastAsia" w:ascii="宋体" w:hAnsi="宋体" w:eastAsia="宋体" w:cs="宋体"/>
                <w:sz w:val="24"/>
                <w:szCs w:val="24"/>
                <w:lang w:val="en-US" w:eastAsia="zh-CN"/>
              </w:rPr>
              <w:t>未提供不得分。</w:t>
            </w:r>
          </w:p>
        </w:tc>
        <w:tc>
          <w:tcPr>
            <w:tcW w:w="710" w:type="dxa"/>
            <w:tcBorders>
              <w:tl2br w:val="nil"/>
              <w:tr2bl w:val="nil"/>
            </w:tcBorders>
            <w:noWrap w:val="0"/>
            <w:vAlign w:val="center"/>
          </w:tcPr>
          <w:p w14:paraId="2E9B9F3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060" w:type="dxa"/>
            <w:tcBorders>
              <w:tl2br w:val="nil"/>
              <w:tr2bl w:val="nil"/>
            </w:tcBorders>
            <w:noWrap w:val="0"/>
            <w:vAlign w:val="center"/>
          </w:tcPr>
          <w:p w14:paraId="5D994DB0">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14:paraId="25D3A14C">
            <w:pPr>
              <w:spacing w:line="360" w:lineRule="auto"/>
              <w:rPr>
                <w:rFonts w:hint="eastAsia" w:ascii="宋体" w:hAnsi="宋体" w:eastAsia="宋体" w:cs="宋体"/>
                <w:sz w:val="24"/>
                <w:szCs w:val="24"/>
              </w:rPr>
            </w:pPr>
          </w:p>
        </w:tc>
      </w:tr>
      <w:tr w14:paraId="58F5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vMerge w:val="continue"/>
            <w:tcBorders>
              <w:tl2br w:val="nil"/>
              <w:tr2bl w:val="nil"/>
            </w:tcBorders>
            <w:noWrap w:val="0"/>
            <w:vAlign w:val="center"/>
          </w:tcPr>
          <w:p w14:paraId="079A9FB9">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14:paraId="49971494">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14:paraId="53AC7F03">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9）根据投标人提供的针对本项目货物安装过程中的安全保障措施进行评分。</w:t>
            </w:r>
            <w:r>
              <w:rPr>
                <w:rFonts w:hint="eastAsia" w:ascii="宋体" w:hAnsi="宋体" w:eastAsia="宋体" w:cs="宋体"/>
                <w:sz w:val="24"/>
                <w:szCs w:val="24"/>
                <w:lang w:val="en-US" w:eastAsia="zh-CN"/>
              </w:rPr>
              <w:t>方案内容全面</w:t>
            </w:r>
            <w:r>
              <w:rPr>
                <w:rFonts w:hint="eastAsia" w:ascii="宋体" w:hAnsi="宋体" w:cs="宋体"/>
                <w:sz w:val="24"/>
                <w:szCs w:val="24"/>
                <w:lang w:val="en-US" w:eastAsia="zh-CN"/>
              </w:rPr>
              <w:t>合理</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，比较全面合理的得3分，基本全面合理的得1分，</w:t>
            </w:r>
            <w:r>
              <w:rPr>
                <w:rFonts w:hint="eastAsia" w:ascii="宋体" w:hAnsi="宋体" w:eastAsia="宋体" w:cs="宋体"/>
                <w:sz w:val="24"/>
                <w:szCs w:val="24"/>
                <w:lang w:val="en-US" w:eastAsia="zh-CN"/>
              </w:rPr>
              <w:t>未提供不得分。</w:t>
            </w:r>
          </w:p>
        </w:tc>
        <w:tc>
          <w:tcPr>
            <w:tcW w:w="710" w:type="dxa"/>
            <w:tcBorders>
              <w:tl2br w:val="nil"/>
              <w:tr2bl w:val="nil"/>
            </w:tcBorders>
            <w:noWrap w:val="0"/>
            <w:vAlign w:val="center"/>
          </w:tcPr>
          <w:p w14:paraId="699F3E74">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430F06AC">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14:paraId="61165C95">
            <w:pPr>
              <w:spacing w:line="360" w:lineRule="auto"/>
              <w:rPr>
                <w:rFonts w:hint="eastAsia" w:ascii="宋体" w:hAnsi="宋体" w:eastAsia="宋体" w:cs="宋体"/>
                <w:sz w:val="24"/>
                <w:szCs w:val="24"/>
              </w:rPr>
            </w:pPr>
          </w:p>
        </w:tc>
      </w:tr>
      <w:tr w14:paraId="70BF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vMerge w:val="continue"/>
            <w:tcBorders>
              <w:tl2br w:val="nil"/>
              <w:tr2bl w:val="nil"/>
            </w:tcBorders>
            <w:noWrap w:val="0"/>
            <w:vAlign w:val="center"/>
          </w:tcPr>
          <w:p w14:paraId="2DB0511E">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14:paraId="02B5079E">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14:paraId="30E59AD6">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根据投标人提供的成本控制措施进行评分。</w:t>
            </w:r>
            <w:r>
              <w:rPr>
                <w:rFonts w:hint="eastAsia" w:ascii="宋体" w:hAnsi="宋体" w:cs="宋体"/>
                <w:color w:val="auto"/>
                <w:spacing w:val="0"/>
                <w:position w:val="0"/>
                <w:sz w:val="24"/>
                <w:szCs w:val="24"/>
                <w:shd w:val="clear" w:fill="auto"/>
                <w:lang w:val="en-US" w:eastAsia="zh-CN"/>
              </w:rPr>
              <w:t>可行性进行评分。</w:t>
            </w:r>
            <w:r>
              <w:rPr>
                <w:rFonts w:hint="eastAsia" w:ascii="宋体" w:hAnsi="宋体" w:cs="宋体"/>
                <w:sz w:val="24"/>
                <w:szCs w:val="24"/>
                <w:lang w:val="en-US" w:eastAsia="zh-CN"/>
              </w:rPr>
              <w:t>方案合理可行的得5分，比较合理可行的得3分，基本合理可行的1分，</w:t>
            </w:r>
            <w:r>
              <w:rPr>
                <w:rFonts w:hint="eastAsia" w:ascii="宋体" w:hAnsi="宋体" w:eastAsia="宋体" w:cs="宋体"/>
                <w:sz w:val="24"/>
                <w:szCs w:val="24"/>
                <w:lang w:val="en-US" w:eastAsia="zh-CN"/>
              </w:rPr>
              <w:t>未提供不得分。</w:t>
            </w:r>
          </w:p>
        </w:tc>
        <w:tc>
          <w:tcPr>
            <w:tcW w:w="710" w:type="dxa"/>
            <w:tcBorders>
              <w:tl2br w:val="nil"/>
              <w:tr2bl w:val="nil"/>
            </w:tcBorders>
            <w:noWrap w:val="0"/>
            <w:vAlign w:val="center"/>
          </w:tcPr>
          <w:p w14:paraId="5F1C9FC6">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400502F1">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14:paraId="7B2EECD9">
            <w:pPr>
              <w:spacing w:line="360" w:lineRule="auto"/>
              <w:rPr>
                <w:rFonts w:hint="eastAsia" w:ascii="宋体" w:hAnsi="宋体" w:eastAsia="宋体" w:cs="宋体"/>
                <w:sz w:val="24"/>
                <w:szCs w:val="24"/>
              </w:rPr>
            </w:pPr>
          </w:p>
        </w:tc>
      </w:tr>
      <w:tr w14:paraId="170B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vMerge w:val="continue"/>
            <w:tcBorders>
              <w:tl2br w:val="nil"/>
              <w:tr2bl w:val="nil"/>
            </w:tcBorders>
            <w:noWrap w:val="0"/>
            <w:vAlign w:val="center"/>
          </w:tcPr>
          <w:p w14:paraId="57340108">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14:paraId="531449A2">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14:paraId="139261B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w:t>
            </w:r>
            <w:r>
              <w:rPr>
                <w:rFonts w:hint="eastAsia" w:ascii="宋体" w:hAnsi="宋体" w:eastAsia="宋体" w:cs="宋体"/>
                <w:b w:val="0"/>
                <w:bCs w:val="0"/>
                <w:sz w:val="24"/>
                <w:szCs w:val="24"/>
                <w:lang w:val="en-US" w:eastAsia="zh-CN"/>
              </w:rPr>
              <w:t>根据投标人售后服务保障能力</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售后服务人员</w:t>
            </w:r>
            <w:r>
              <w:rPr>
                <w:rFonts w:hint="eastAsia" w:ascii="宋体" w:hAnsi="宋体" w:cs="宋体"/>
                <w:b w:val="0"/>
                <w:bCs w:val="0"/>
                <w:sz w:val="24"/>
                <w:szCs w:val="24"/>
                <w:lang w:val="en-US" w:eastAsia="zh-CN"/>
              </w:rPr>
              <w:t>配备、</w:t>
            </w:r>
            <w:r>
              <w:rPr>
                <w:rFonts w:hint="eastAsia" w:ascii="宋体" w:hAnsi="宋体" w:eastAsia="宋体" w:cs="宋体"/>
                <w:b w:val="0"/>
                <w:bCs w:val="0"/>
                <w:sz w:val="24"/>
                <w:szCs w:val="24"/>
                <w:lang w:val="en-US" w:eastAsia="zh-CN"/>
              </w:rPr>
              <w:t>是否能及时解决项目</w:t>
            </w:r>
            <w:r>
              <w:rPr>
                <w:rFonts w:hint="eastAsia" w:ascii="宋体" w:hAnsi="宋体" w:cs="宋体"/>
                <w:b w:val="0"/>
                <w:bCs w:val="0"/>
                <w:sz w:val="24"/>
                <w:szCs w:val="24"/>
                <w:lang w:val="en-US" w:eastAsia="zh-CN"/>
              </w:rPr>
              <w:t>等</w:t>
            </w:r>
            <w:r>
              <w:rPr>
                <w:rFonts w:hint="eastAsia" w:ascii="宋体" w:hAnsi="宋体" w:eastAsia="宋体" w:cs="宋体"/>
                <w:b w:val="0"/>
                <w:bCs w:val="0"/>
                <w:sz w:val="24"/>
                <w:szCs w:val="24"/>
                <w:lang w:val="en-US" w:eastAsia="zh-CN"/>
              </w:rPr>
              <w:t>问题</w:t>
            </w:r>
            <w:r>
              <w:rPr>
                <w:rFonts w:hint="eastAsia" w:ascii="宋体" w:hAnsi="宋体" w:cs="宋体"/>
                <w:b w:val="0"/>
                <w:bCs w:val="0"/>
                <w:sz w:val="24"/>
                <w:szCs w:val="24"/>
                <w:lang w:val="en-US" w:eastAsia="zh-CN"/>
              </w:rPr>
              <w:t>的方案进行打分。方案完整可行的得3分，比较完整可行的得2分，基本完整可行的得1分，未提供不得分。</w:t>
            </w:r>
          </w:p>
        </w:tc>
        <w:tc>
          <w:tcPr>
            <w:tcW w:w="710" w:type="dxa"/>
            <w:tcBorders>
              <w:tl2br w:val="nil"/>
              <w:tr2bl w:val="nil"/>
            </w:tcBorders>
            <w:noWrap w:val="0"/>
            <w:vAlign w:val="center"/>
          </w:tcPr>
          <w:p w14:paraId="46D5B2F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w:t>
            </w:r>
          </w:p>
        </w:tc>
        <w:tc>
          <w:tcPr>
            <w:tcW w:w="1060" w:type="dxa"/>
            <w:tcBorders>
              <w:tl2br w:val="nil"/>
              <w:tr2bl w:val="nil"/>
            </w:tcBorders>
            <w:noWrap w:val="0"/>
            <w:vAlign w:val="center"/>
          </w:tcPr>
          <w:p w14:paraId="113F0264">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14:paraId="192E9E46">
            <w:pPr>
              <w:spacing w:line="360" w:lineRule="auto"/>
              <w:rPr>
                <w:rFonts w:hint="eastAsia" w:ascii="宋体" w:hAnsi="宋体" w:eastAsia="宋体" w:cs="宋体"/>
                <w:sz w:val="24"/>
                <w:szCs w:val="24"/>
              </w:rPr>
            </w:pPr>
          </w:p>
        </w:tc>
      </w:tr>
      <w:tr w14:paraId="59D0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38" w:type="dxa"/>
            <w:tcBorders>
              <w:tl2br w:val="nil"/>
              <w:tr2bl w:val="nil"/>
            </w:tcBorders>
            <w:noWrap w:val="0"/>
            <w:vAlign w:val="center"/>
          </w:tcPr>
          <w:p w14:paraId="60875CE8">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5913" w:type="dxa"/>
            <w:gridSpan w:val="2"/>
            <w:tcBorders>
              <w:tl2br w:val="nil"/>
              <w:tr2bl w:val="nil"/>
            </w:tcBorders>
            <w:noWrap w:val="0"/>
            <w:vAlign w:val="top"/>
          </w:tcPr>
          <w:p w14:paraId="4A3B7728">
            <w:pPr>
              <w:spacing w:line="360" w:lineRule="auto"/>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有效投标报价的最低价作为评标基准价，其最低报价为满分；按［投标报价得分=（评标基准价/投标报价）*权重］的计算公式计算。</w:t>
            </w:r>
          </w:p>
          <w:p w14:paraId="0631B925">
            <w:pPr>
              <w:spacing w:line="360" w:lineRule="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tc>
        <w:tc>
          <w:tcPr>
            <w:tcW w:w="710" w:type="dxa"/>
            <w:tcBorders>
              <w:tl2br w:val="nil"/>
              <w:tr2bl w:val="nil"/>
            </w:tcBorders>
            <w:noWrap w:val="0"/>
            <w:vAlign w:val="center"/>
          </w:tcPr>
          <w:p w14:paraId="42262CA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1060" w:type="dxa"/>
            <w:tcBorders>
              <w:tl2br w:val="nil"/>
              <w:tr2bl w:val="nil"/>
            </w:tcBorders>
            <w:noWrap w:val="0"/>
            <w:vAlign w:val="center"/>
          </w:tcPr>
          <w:p w14:paraId="7FE3731C">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w:t>
            </w:r>
          </w:p>
        </w:tc>
        <w:tc>
          <w:tcPr>
            <w:tcW w:w="1222" w:type="dxa"/>
            <w:tcBorders>
              <w:tl2br w:val="nil"/>
              <w:tr2bl w:val="nil"/>
            </w:tcBorders>
            <w:noWrap w:val="0"/>
            <w:vAlign w:val="center"/>
          </w:tcPr>
          <w:p w14:paraId="767B8DD7">
            <w:pPr>
              <w:spacing w:line="360" w:lineRule="auto"/>
              <w:rPr>
                <w:rFonts w:hint="eastAsia" w:ascii="宋体" w:hAnsi="宋体" w:eastAsia="宋体" w:cs="宋体"/>
                <w:sz w:val="24"/>
                <w:szCs w:val="24"/>
              </w:rPr>
            </w:pPr>
          </w:p>
        </w:tc>
      </w:tr>
    </w:tbl>
    <w:p w14:paraId="28FFE11A">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1家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4"/>
        <w:snapToGrid w:val="0"/>
        <w:spacing w:line="360" w:lineRule="auto"/>
        <w:ind w:firstLine="0" w:firstLineChars="0"/>
        <w:rPr>
          <w:rFonts w:cs="宋体"/>
          <w:color w:val="auto"/>
          <w:highlight w:val="none"/>
        </w:rPr>
      </w:pPr>
    </w:p>
    <w:bookmarkEnd w:id="32"/>
    <w:p w14:paraId="4723A345">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p>
    <w:p w14:paraId="2ABB40F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42CB77E">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0"/>
        <w:ind w:firstLine="0" w:firstLineChars="0"/>
        <w:rPr>
          <w:rFonts w:ascii="宋体" w:hAnsi="宋体" w:cs="宋体"/>
          <w:b/>
          <w:color w:val="auto"/>
          <w:sz w:val="28"/>
          <w:szCs w:val="28"/>
          <w:highlight w:val="none"/>
        </w:rPr>
      </w:pPr>
    </w:p>
    <w:p w14:paraId="0BF75C0B">
      <w:pPr>
        <w:pStyle w:val="23"/>
        <w:spacing w:after="0"/>
        <w:jc w:val="center"/>
        <w:rPr>
          <w:rFonts w:hint="eastAsia" w:ascii="宋体" w:hAnsi="宋体" w:cs="宋体"/>
          <w:b/>
          <w:bCs/>
          <w:color w:val="auto"/>
          <w:spacing w:val="-20"/>
          <w:kern w:val="44"/>
          <w:sz w:val="48"/>
          <w:szCs w:val="48"/>
          <w:highlight w:val="none"/>
        </w:rPr>
      </w:pPr>
      <w:bookmarkStart w:id="400"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2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3899E42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1A2E5E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27959F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63B7E3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2AD729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6487B7">
      <w:pPr>
        <w:rPr>
          <w:rFonts w:eastAsia="黑体"/>
          <w:color w:val="auto"/>
          <w:sz w:val="44"/>
          <w:szCs w:val="44"/>
          <w:highlight w:val="none"/>
        </w:rPr>
      </w:pPr>
    </w:p>
    <w:p w14:paraId="76CE3144">
      <w:pPr>
        <w:rPr>
          <w:rFonts w:eastAsia="黑体"/>
          <w:color w:val="auto"/>
          <w:sz w:val="44"/>
          <w:szCs w:val="44"/>
          <w:highlight w:val="none"/>
        </w:rPr>
      </w:pPr>
    </w:p>
    <w:p w14:paraId="61A20C8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00"/>
    <w:p w14:paraId="603A96E7">
      <w:pPr>
        <w:pStyle w:val="2"/>
        <w:adjustRightInd w:val="0"/>
        <w:snapToGrid w:val="0"/>
        <w:spacing w:beforeLines="0" w:line="400" w:lineRule="exact"/>
        <w:jc w:val="center"/>
        <w:rPr>
          <w:rFonts w:hint="eastAsia" w:ascii="黑体" w:hAnsi="黑体" w:eastAsia="黑体"/>
          <w:color w:val="auto"/>
          <w:sz w:val="28"/>
          <w:szCs w:val="28"/>
          <w:highlight w:val="none"/>
        </w:rPr>
      </w:pPr>
      <w:bookmarkStart w:id="401" w:name="_Toc22209"/>
    </w:p>
    <w:p w14:paraId="6BD6C5DD">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1"/>
    </w:p>
    <w:p w14:paraId="692FE3BD">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D30F01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93E15C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90CF1D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390BF35">
      <w:pPr>
        <w:spacing w:beforeLines="0" w:line="400" w:lineRule="exact"/>
        <w:rPr>
          <w:rFonts w:hint="default" w:eastAsia="宋体"/>
          <w:color w:val="auto"/>
          <w:highlight w:val="none"/>
          <w:lang w:val="en-US" w:eastAsia="zh-CN"/>
        </w:rPr>
      </w:pPr>
    </w:p>
    <w:p w14:paraId="6B0A98EA">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6883AE5A">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AD05609">
      <w:pPr>
        <w:pStyle w:val="24"/>
        <w:numPr>
          <w:ilvl w:val="0"/>
          <w:numId w:val="6"/>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99CEB1B">
      <w:pPr>
        <w:pStyle w:val="2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9CD7E78">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2E278FB">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43DC53D">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BFFC7C6">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227B4D74">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2D9CEF8">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9E59B22">
      <w:pPr>
        <w:pStyle w:val="7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8C94CF8">
      <w:pPr>
        <w:pStyle w:val="7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FDFC3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1D57501">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4AFDA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EA568F2">
      <w:pPr>
        <w:numPr>
          <w:ilvl w:val="0"/>
          <w:numId w:val="5"/>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2B1141F">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7"/>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26FDE3A">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667FC31">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CB74CE8">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903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791"/>
        <w:spacing w:beforeLines="0" w:line="400" w:lineRule="exact"/>
        <w:rPr>
          <w:color w:val="auto"/>
          <w:highlight w:val="none"/>
        </w:rPr>
      </w:pPr>
    </w:p>
    <w:p w14:paraId="0B1D678B">
      <w:pPr>
        <w:pStyle w:val="2"/>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DA30128">
      <w:pPr>
        <w:rPr>
          <w:rFonts w:hint="eastAsia"/>
          <w:color w:val="auto"/>
          <w:highlight w:val="none"/>
        </w:rPr>
      </w:pPr>
      <w:r>
        <w:rPr>
          <w:rFonts w:hint="eastAsia"/>
          <w:color w:val="auto"/>
          <w:highlight w:val="none"/>
        </w:rPr>
        <w:br w:type="page"/>
      </w:r>
    </w:p>
    <w:p w14:paraId="47BBEFF6">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color w:val="auto"/>
                <w:szCs w:val="21"/>
                <w:highlight w:val="none"/>
              </w:rPr>
            </w:pPr>
            <w:r>
              <w:rPr>
                <w:color w:val="auto"/>
                <w:szCs w:val="21"/>
                <w:highlight w:val="none"/>
              </w:rPr>
              <w:t>法定代表人</w:t>
            </w:r>
          </w:p>
          <w:p w14:paraId="4B46819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color w:val="auto"/>
                <w:szCs w:val="21"/>
                <w:highlight w:val="none"/>
              </w:rPr>
            </w:pPr>
            <w:r>
              <w:rPr>
                <w:color w:val="auto"/>
                <w:szCs w:val="21"/>
                <w:highlight w:val="none"/>
              </w:rPr>
              <w:t>法定代表人</w:t>
            </w:r>
          </w:p>
          <w:p w14:paraId="3E68819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4"/>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2"/>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2" w:name="_Toc27624"/>
      <w:r>
        <w:rPr>
          <w:rFonts w:hint="eastAsia" w:ascii="黑体" w:hAnsi="黑体" w:eastAsia="黑体"/>
          <w:b w:val="0"/>
          <w:bCs w:val="0"/>
          <w:color w:val="auto"/>
          <w:sz w:val="28"/>
          <w:szCs w:val="28"/>
          <w:highlight w:val="none"/>
        </w:rPr>
        <w:t>第二节 政府采购合同通用条款</w:t>
      </w:r>
      <w:bookmarkEnd w:id="402"/>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8"/>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35AA2EED">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1709F8B">
      <w:pPr>
        <w:numPr>
          <w:ilvl w:val="0"/>
          <w:numId w:val="9"/>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9DD594B">
      <w:pPr>
        <w:pStyle w:val="3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3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3"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3"/>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2"/>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FB32BD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819E97B">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23"/>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ACD4B6">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541F9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4"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2"/>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4"/>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47609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B82086B">
            <w:pPr>
              <w:adjustRightInd w:val="0"/>
              <w:snapToGrid w:val="0"/>
              <w:jc w:val="left"/>
              <w:rPr>
                <w:rFonts w:ascii="宋体" w:hAnsi="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DD92D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7AC860E3">
            <w:pPr>
              <w:adjustRightInd w:val="0"/>
              <w:snapToGrid w:val="0"/>
              <w:jc w:val="left"/>
              <w:rPr>
                <w:rFonts w:ascii="宋体" w:hAnsi="宋体" w:eastAsia="宋体" w:cs="Times New Roman"/>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FA8D0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ascii="宋体" w:hAnsi="宋体" w:eastAsia="宋体" w:cs="Times New Roman"/>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D21E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ascii="宋体" w:hAnsi="宋体" w:eastAsia="宋体" w:cs="Times New Roman"/>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ascii="宋体" w:hAnsi="宋体" w:eastAsia="宋体" w:cs="Times New Roman"/>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B3F468F">
            <w:pPr>
              <w:adjustRightInd w:val="0"/>
              <w:snapToGrid w:val="0"/>
              <w:jc w:val="left"/>
              <w:rPr>
                <w:rFonts w:ascii="宋体" w:hAnsi="宋体" w:eastAsia="宋体" w:cs="Times New Roman"/>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4B6ED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38F4F69">
            <w:pPr>
              <w:rPr>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color w:val="auto"/>
                <w:szCs w:val="21"/>
                <w:highlight w:val="none"/>
              </w:rPr>
            </w:pPr>
          </w:p>
        </w:tc>
        <w:tc>
          <w:tcPr>
            <w:tcW w:w="1742" w:type="dxa"/>
            <w:vAlign w:val="center"/>
          </w:tcPr>
          <w:p w14:paraId="6367A5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0EE0D077">
            <w:pPr>
              <w:rPr>
                <w:rFonts w:hint="eastAsia"/>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6510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87F46DE">
            <w:pPr>
              <w:rPr>
                <w:rFonts w:hint="eastAsia"/>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9F03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B84D584">
            <w:pPr>
              <w:rPr>
                <w:rFonts w:hint="eastAsia"/>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C83C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ascii="宋体" w:hAnsi="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D551D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248539A8">
            <w:pPr>
              <w:adjustRightInd w:val="0"/>
              <w:snapToGrid w:val="0"/>
              <w:jc w:val="left"/>
              <w:rPr>
                <w:rFonts w:ascii="宋体" w:hAnsi="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ascii="宋体" w:hAnsi="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340A9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A7A01BD">
            <w:pPr>
              <w:adjustRightInd w:val="0"/>
              <w:snapToGrid w:val="0"/>
              <w:jc w:val="left"/>
              <w:rPr>
                <w:rFonts w:ascii="宋体" w:hAnsi="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ascii="宋体" w:hAnsi="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CD66FD0">
            <w:pPr>
              <w:adjustRightInd w:val="0"/>
              <w:snapToGrid w:val="0"/>
              <w:jc w:val="left"/>
              <w:rPr>
                <w:rFonts w:ascii="宋体" w:hAnsi="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7E5FE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ED747A5">
            <w:pPr>
              <w:adjustRightInd w:val="0"/>
              <w:snapToGrid w:val="0"/>
              <w:jc w:val="left"/>
              <w:rPr>
                <w:rFonts w:ascii="宋体" w:hAnsi="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1398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406ECB70">
            <w:pPr>
              <w:adjustRightInd w:val="0"/>
              <w:snapToGrid w:val="0"/>
              <w:jc w:val="left"/>
              <w:rPr>
                <w:rFonts w:ascii="宋体" w:hAnsi="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3957C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A9ABA6B">
            <w:pPr>
              <w:adjustRightInd w:val="0"/>
              <w:snapToGrid w:val="0"/>
              <w:jc w:val="left"/>
              <w:rPr>
                <w:rFonts w:ascii="宋体" w:hAnsi="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1902E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29550D2C">
            <w:pPr>
              <w:adjustRightInd w:val="0"/>
              <w:snapToGrid w:val="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A1861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B0DCEDA">
            <w:pPr>
              <w:adjustRightInd w:val="0"/>
              <w:snapToGrid w:val="0"/>
              <w:jc w:val="left"/>
              <w:rPr>
                <w:rFonts w:ascii="宋体" w:hAnsi="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C16FF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0BDFDDC">
            <w:pPr>
              <w:adjustRightInd w:val="0"/>
              <w:snapToGrid w:val="0"/>
              <w:jc w:val="left"/>
              <w:rPr>
                <w:rFonts w:ascii="宋体" w:hAnsi="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A57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ascii="宋体" w:hAnsi="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A4E0F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DABD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D3115BE">
            <w:pPr>
              <w:adjustRightInd w:val="0"/>
              <w:snapToGrid w:val="0"/>
              <w:jc w:val="left"/>
              <w:rPr>
                <w:rFonts w:hint="default" w:ascii="宋体" w:hAnsi="宋体" w:eastAsia="宋体"/>
                <w:color w:val="auto"/>
                <w:szCs w:val="21"/>
                <w:highlight w:val="none"/>
                <w:lang w:val="en-US" w:eastAsia="zh-CN"/>
              </w:rPr>
            </w:pPr>
          </w:p>
        </w:tc>
      </w:tr>
    </w:tbl>
    <w:p w14:paraId="5074F89B">
      <w:pPr>
        <w:rPr>
          <w:color w:val="auto"/>
          <w:highlight w:val="none"/>
        </w:rPr>
      </w:pPr>
    </w:p>
    <w:p w14:paraId="50E020C4">
      <w:pPr>
        <w:rPr>
          <w:color w:val="auto"/>
          <w:highlight w:val="none"/>
        </w:rPr>
      </w:pPr>
    </w:p>
    <w:p w14:paraId="2539922B">
      <w:pPr>
        <w:pStyle w:val="80"/>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0700DA7">
      <w:pPr>
        <w:spacing w:line="360" w:lineRule="auto"/>
        <w:ind w:left="-420" w:leftChars="-200" w:right="-420" w:rightChars="-200"/>
        <w:rPr>
          <w:rFonts w:ascii="宋体" w:hAnsi="宋体" w:cs="宋体"/>
          <w:color w:val="auto"/>
          <w:sz w:val="24"/>
          <w:highlight w:val="none"/>
        </w:rPr>
      </w:pPr>
    </w:p>
    <w:p w14:paraId="6E0BFE59">
      <w:pPr>
        <w:pStyle w:val="2"/>
        <w:rPr>
          <w:color w:val="auto"/>
          <w:highlight w:val="none"/>
        </w:rPr>
      </w:pPr>
    </w:p>
    <w:p w14:paraId="4A32F591">
      <w:pPr>
        <w:rPr>
          <w:color w:val="auto"/>
          <w:highlight w:val="none"/>
        </w:rPr>
      </w:pPr>
    </w:p>
    <w:p w14:paraId="7C6EBD49">
      <w:pPr>
        <w:pStyle w:val="79"/>
        <w:rPr>
          <w:color w:val="auto"/>
          <w:highlight w:val="none"/>
        </w:rPr>
      </w:pPr>
    </w:p>
    <w:p w14:paraId="228D8E15">
      <w:pPr>
        <w:pStyle w:val="79"/>
        <w:rPr>
          <w:color w:val="auto"/>
          <w:highlight w:val="none"/>
        </w:rPr>
      </w:pPr>
    </w:p>
    <w:p w14:paraId="4E0275DF">
      <w:pPr>
        <w:pStyle w:val="79"/>
        <w:rPr>
          <w:color w:val="auto"/>
          <w:highlight w:val="none"/>
        </w:rPr>
      </w:pPr>
    </w:p>
    <w:p w14:paraId="4345F62D">
      <w:pPr>
        <w:pStyle w:val="79"/>
        <w:rPr>
          <w:color w:val="auto"/>
          <w:highlight w:val="none"/>
        </w:rPr>
      </w:pPr>
    </w:p>
    <w:p w14:paraId="758B87D9">
      <w:pPr>
        <w:pStyle w:val="79"/>
        <w:rPr>
          <w:color w:val="auto"/>
          <w:highlight w:val="none"/>
        </w:rPr>
      </w:pPr>
    </w:p>
    <w:p w14:paraId="77DE7B82">
      <w:pPr>
        <w:pStyle w:val="79"/>
        <w:rPr>
          <w:color w:val="auto"/>
          <w:highlight w:val="none"/>
        </w:rPr>
      </w:pPr>
    </w:p>
    <w:p w14:paraId="0FE66399">
      <w:pPr>
        <w:pStyle w:val="79"/>
        <w:rPr>
          <w:color w:val="auto"/>
          <w:highlight w:val="none"/>
        </w:rPr>
      </w:pPr>
    </w:p>
    <w:p w14:paraId="72C6B1AB">
      <w:pPr>
        <w:pStyle w:val="79"/>
        <w:rPr>
          <w:color w:val="auto"/>
          <w:highlight w:val="none"/>
        </w:rPr>
      </w:pPr>
    </w:p>
    <w:p w14:paraId="156219FE">
      <w:pPr>
        <w:pStyle w:val="79"/>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2BE37447">
      <w:pPr>
        <w:snapToGrid w:val="0"/>
        <w:spacing w:line="360" w:lineRule="auto"/>
        <w:ind w:right="480"/>
        <w:jc w:val="center"/>
        <w:rPr>
          <w:rFonts w:ascii="宋体" w:hAnsi="宋体" w:cs="宋体"/>
          <w:b/>
          <w:color w:val="auto"/>
          <w:kern w:val="0"/>
          <w:sz w:val="32"/>
          <w:szCs w:val="32"/>
          <w:highlight w:val="none"/>
        </w:rPr>
      </w:pPr>
    </w:p>
    <w:p w14:paraId="05C0BD5F">
      <w:pPr>
        <w:snapToGrid w:val="0"/>
        <w:spacing w:line="360" w:lineRule="auto"/>
        <w:ind w:right="480"/>
        <w:jc w:val="center"/>
        <w:rPr>
          <w:rFonts w:ascii="宋体" w:hAnsi="宋体" w:cs="宋体"/>
          <w:b/>
          <w:color w:val="auto"/>
          <w:kern w:val="0"/>
          <w:sz w:val="32"/>
          <w:szCs w:val="32"/>
          <w:highlight w:val="none"/>
        </w:rPr>
      </w:pPr>
    </w:p>
    <w:p w14:paraId="068EE017">
      <w:pPr>
        <w:snapToGrid w:val="0"/>
        <w:spacing w:line="360" w:lineRule="auto"/>
        <w:ind w:right="480"/>
        <w:jc w:val="center"/>
        <w:rPr>
          <w:rFonts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2"/>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08440FB3">
      <w:pPr>
        <w:snapToGrid w:val="0"/>
        <w:spacing w:line="360" w:lineRule="auto"/>
        <w:ind w:firstLine="3855" w:firstLineChars="1200"/>
        <w:outlineLvl w:val="0"/>
        <w:rPr>
          <w:rFonts w:ascii="宋体" w:hAnsi="宋体" w:cs="宋体"/>
          <w:b/>
          <w:color w:val="auto"/>
          <w:kern w:val="0"/>
          <w:sz w:val="32"/>
          <w:szCs w:val="32"/>
          <w:highlight w:val="none"/>
        </w:rPr>
      </w:pPr>
    </w:p>
    <w:p w14:paraId="3D434837">
      <w:pPr>
        <w:snapToGrid w:val="0"/>
        <w:spacing w:line="360" w:lineRule="auto"/>
        <w:ind w:firstLine="3855" w:firstLineChars="1200"/>
        <w:outlineLvl w:val="0"/>
        <w:rPr>
          <w:rFonts w:ascii="宋体" w:hAnsi="宋体" w:cs="宋体"/>
          <w:b/>
          <w:color w:val="auto"/>
          <w:kern w:val="0"/>
          <w:sz w:val="32"/>
          <w:szCs w:val="32"/>
          <w:highlight w:val="none"/>
        </w:rPr>
      </w:pPr>
    </w:p>
    <w:p w14:paraId="1FE603BF">
      <w:pPr>
        <w:snapToGrid w:val="0"/>
        <w:spacing w:line="360" w:lineRule="auto"/>
        <w:ind w:firstLine="3855" w:firstLineChars="1200"/>
        <w:outlineLvl w:val="0"/>
        <w:rPr>
          <w:rFonts w:ascii="宋体" w:hAnsi="宋体" w:cs="宋体"/>
          <w:b/>
          <w:color w:val="auto"/>
          <w:kern w:val="0"/>
          <w:sz w:val="32"/>
          <w:szCs w:val="32"/>
          <w:highlight w:val="none"/>
        </w:rPr>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5BA997EE">
      <w:pPr>
        <w:jc w:val="center"/>
        <w:rPr>
          <w:rFonts w:ascii="宋体" w:hAnsi="宋体" w:cs="宋体"/>
          <w:b/>
          <w:color w:val="auto"/>
          <w:kern w:val="0"/>
          <w:sz w:val="32"/>
          <w:szCs w:val="32"/>
          <w:highlight w:val="none"/>
        </w:rPr>
      </w:pPr>
    </w:p>
    <w:p w14:paraId="3D4B8488">
      <w:pPr>
        <w:jc w:val="center"/>
        <w:rPr>
          <w:rFonts w:ascii="宋体" w:hAnsi="宋体" w:cs="宋体"/>
          <w:b/>
          <w:color w:val="auto"/>
          <w:kern w:val="0"/>
          <w:sz w:val="32"/>
          <w:szCs w:val="32"/>
          <w:highlight w:val="none"/>
        </w:rPr>
      </w:pPr>
    </w:p>
    <w:p w14:paraId="1BFB81D7">
      <w:pPr>
        <w:jc w:val="center"/>
        <w:rPr>
          <w:rFonts w:ascii="宋体" w:hAnsi="宋体" w:cs="宋体"/>
          <w:b/>
          <w:color w:val="auto"/>
          <w:kern w:val="0"/>
          <w:sz w:val="32"/>
          <w:szCs w:val="32"/>
          <w:highlight w:val="none"/>
        </w:rPr>
      </w:pPr>
    </w:p>
    <w:p w14:paraId="4F107F9D">
      <w:pPr>
        <w:jc w:val="center"/>
        <w:rPr>
          <w:rFonts w:ascii="宋体" w:hAnsi="宋体" w:cs="宋体"/>
          <w:b/>
          <w:color w:val="auto"/>
          <w:kern w:val="0"/>
          <w:sz w:val="32"/>
          <w:szCs w:val="32"/>
          <w:highlight w:val="none"/>
        </w:rPr>
      </w:pPr>
    </w:p>
    <w:p w14:paraId="28EE9929">
      <w:pPr>
        <w:jc w:val="center"/>
        <w:rPr>
          <w:rFonts w:ascii="宋体" w:hAnsi="宋体" w:cs="宋体"/>
          <w:b/>
          <w:color w:val="auto"/>
          <w:kern w:val="0"/>
          <w:sz w:val="32"/>
          <w:szCs w:val="32"/>
          <w:highlight w:val="none"/>
        </w:rPr>
      </w:pPr>
    </w:p>
    <w:p w14:paraId="0C5D2A8B">
      <w:pPr>
        <w:jc w:val="center"/>
        <w:rPr>
          <w:rFonts w:ascii="宋体" w:hAnsi="宋体" w:cs="宋体"/>
          <w:b/>
          <w:color w:val="auto"/>
          <w:kern w:val="0"/>
          <w:sz w:val="32"/>
          <w:szCs w:val="32"/>
          <w:highlight w:val="none"/>
        </w:rPr>
      </w:pPr>
    </w:p>
    <w:p w14:paraId="0949B941">
      <w:pPr>
        <w:jc w:val="center"/>
        <w:rPr>
          <w:rFonts w:ascii="宋体" w:hAnsi="宋体" w:cs="宋体"/>
          <w:b/>
          <w:color w:val="auto"/>
          <w:kern w:val="0"/>
          <w:sz w:val="32"/>
          <w:szCs w:val="32"/>
          <w:highlight w:val="none"/>
        </w:rPr>
      </w:pPr>
    </w:p>
    <w:p w14:paraId="0CE4B595">
      <w:pPr>
        <w:jc w:val="center"/>
        <w:rPr>
          <w:rFonts w:ascii="宋体" w:hAnsi="宋体" w:cs="宋体"/>
          <w:b/>
          <w:color w:val="auto"/>
          <w:kern w:val="0"/>
          <w:sz w:val="32"/>
          <w:szCs w:val="32"/>
          <w:highlight w:val="none"/>
        </w:rPr>
      </w:pPr>
    </w:p>
    <w:p w14:paraId="3C409B64">
      <w:pPr>
        <w:jc w:val="center"/>
        <w:rPr>
          <w:rFonts w:ascii="宋体" w:hAnsi="宋体" w:cs="宋体"/>
          <w:b/>
          <w:color w:val="auto"/>
          <w:kern w:val="0"/>
          <w:sz w:val="32"/>
          <w:szCs w:val="32"/>
          <w:highlight w:val="none"/>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49"/>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0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5"/>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2"/>
        <w:rPr>
          <w:color w:val="auto"/>
          <w:highlight w:val="none"/>
          <w:lang w:val="en-US"/>
        </w:rPr>
      </w:pPr>
    </w:p>
    <w:p w14:paraId="30874314">
      <w:pPr>
        <w:rPr>
          <w:color w:val="auto"/>
          <w:highlight w:val="none"/>
        </w:rPr>
      </w:pPr>
    </w:p>
    <w:p w14:paraId="07890F6E">
      <w:pPr>
        <w:pStyle w:val="2"/>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color w:val="auto"/>
          <w:highlight w:val="none"/>
        </w:rPr>
      </w:pPr>
    </w:p>
    <w:p w14:paraId="7534AC6F">
      <w:pPr>
        <w:jc w:val="center"/>
        <w:rPr>
          <w:rFonts w:ascii="宋体" w:hAnsi="宋体" w:cs="宋体"/>
          <w:b/>
          <w:color w:val="auto"/>
          <w:kern w:val="0"/>
          <w:sz w:val="32"/>
          <w:szCs w:val="32"/>
          <w:highlight w:val="none"/>
        </w:rPr>
      </w:pPr>
    </w:p>
    <w:p w14:paraId="46EF44BC">
      <w:pPr>
        <w:jc w:val="center"/>
        <w:rPr>
          <w:rFonts w:hint="eastAsia" w:ascii="宋体" w:hAnsi="宋体" w:cs="宋体"/>
          <w:b/>
          <w:color w:val="auto"/>
          <w:kern w:val="0"/>
          <w:sz w:val="32"/>
          <w:szCs w:val="32"/>
          <w:highlight w:val="none"/>
        </w:rPr>
      </w:pPr>
    </w:p>
    <w:p w14:paraId="0DC71F5E">
      <w:pPr>
        <w:jc w:val="center"/>
        <w:rPr>
          <w:rFonts w:hint="eastAsia"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0"/>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5DB14DF2">
      <w:pPr>
        <w:snapToGrid w:val="0"/>
        <w:spacing w:line="360" w:lineRule="auto"/>
        <w:ind w:right="480"/>
        <w:jc w:val="center"/>
        <w:rPr>
          <w:rFonts w:ascii="宋体" w:hAnsi="宋体" w:cs="宋体"/>
          <w:b/>
          <w:color w:val="auto"/>
          <w:kern w:val="0"/>
          <w:sz w:val="32"/>
          <w:szCs w:val="32"/>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2CBB35E8">
      <w:pPr>
        <w:snapToGrid w:val="0"/>
        <w:spacing w:line="360" w:lineRule="auto"/>
        <w:ind w:right="480"/>
        <w:jc w:val="center"/>
        <w:rPr>
          <w:rFonts w:ascii="宋体" w:hAnsi="宋体" w:cs="宋体"/>
          <w:b/>
          <w:color w:val="auto"/>
          <w:kern w:val="0"/>
          <w:sz w:val="32"/>
          <w:szCs w:val="32"/>
          <w:highlight w:val="none"/>
        </w:rPr>
      </w:pPr>
    </w:p>
    <w:p w14:paraId="55E9186B">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B50E2D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15FD39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637BD7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6" w:name="_Hlk101259491"/>
      <w:r>
        <w:rPr>
          <w:rFonts w:hint="eastAsia" w:ascii="宋体" w:hAnsi="宋体" w:eastAsia="宋体" w:cs="宋体"/>
          <w:color w:val="auto"/>
          <w:sz w:val="32"/>
          <w:szCs w:val="32"/>
          <w:highlight w:val="none"/>
        </w:rPr>
        <w:t>（如果有）</w:t>
      </w:r>
      <w:bookmarkEnd w:id="406"/>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7" w:name="_Toc465665161"/>
      <w:r>
        <w:rPr>
          <w:rFonts w:hint="eastAsia" w:ascii="宋体" w:hAnsi="宋体" w:cs="宋体"/>
          <w:color w:val="auto"/>
          <w:highlight w:val="none"/>
        </w:rPr>
        <w:t>附件</w:t>
      </w:r>
      <w:bookmarkEnd w:id="407"/>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08" w:name="OLE_LINK14"/>
      <w:bookmarkStart w:id="409" w:name="OLE_LINK13"/>
      <w:r>
        <w:rPr>
          <w:rFonts w:hint="eastAsia" w:ascii="宋体" w:hAnsi="宋体" w:cs="宋体"/>
          <w:b/>
          <w:color w:val="auto"/>
          <w:spacing w:val="6"/>
          <w:sz w:val="32"/>
          <w:szCs w:val="32"/>
          <w:highlight w:val="none"/>
        </w:rPr>
        <w:t>残疾人福利性单位声明函</w:t>
      </w:r>
    </w:p>
    <w:bookmarkEnd w:id="408"/>
    <w:bookmarkEnd w:id="409"/>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46FCE1C6">
      <w:pPr>
        <w:spacing w:line="360" w:lineRule="auto"/>
        <w:rPr>
          <w:rFonts w:ascii="宋体" w:hAnsi="宋体" w:cs="宋体"/>
          <w:b/>
          <w:color w:val="auto"/>
          <w:sz w:val="24"/>
          <w:highlight w:val="none"/>
        </w:rPr>
      </w:pPr>
    </w:p>
    <w:p w14:paraId="295DB7BA">
      <w:pPr>
        <w:spacing w:line="360" w:lineRule="auto"/>
        <w:rPr>
          <w:rFonts w:ascii="宋体" w:hAnsi="宋体" w:cs="宋体"/>
          <w:b/>
          <w:color w:val="auto"/>
          <w:sz w:val="24"/>
          <w:highlight w:val="none"/>
        </w:rPr>
      </w:pPr>
    </w:p>
    <w:p w14:paraId="1AA286C5">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79"/>
        <w:rPr>
          <w:rFonts w:hint="eastAsia" w:ascii="宋体" w:hAnsi="宋体" w:cs="宋体"/>
          <w:b/>
          <w:color w:val="auto"/>
          <w:spacing w:val="6"/>
          <w:sz w:val="32"/>
          <w:szCs w:val="32"/>
          <w:highlight w:val="none"/>
        </w:rPr>
      </w:pPr>
    </w:p>
    <w:p w14:paraId="331A6004">
      <w:pPr>
        <w:pStyle w:val="79"/>
        <w:rPr>
          <w:rFonts w:hint="eastAsia" w:ascii="宋体" w:hAnsi="宋体" w:cs="宋体"/>
          <w:b/>
          <w:color w:val="auto"/>
          <w:spacing w:val="6"/>
          <w:sz w:val="32"/>
          <w:szCs w:val="32"/>
          <w:highlight w:val="none"/>
        </w:rPr>
      </w:pPr>
    </w:p>
    <w:p w14:paraId="69CBBC49">
      <w:pPr>
        <w:pStyle w:val="79"/>
        <w:rPr>
          <w:rFonts w:hint="eastAsia" w:ascii="宋体" w:hAnsi="宋体" w:cs="宋体"/>
          <w:b/>
          <w:color w:val="auto"/>
          <w:spacing w:val="6"/>
          <w:sz w:val="32"/>
          <w:szCs w:val="32"/>
          <w:highlight w:val="none"/>
        </w:rPr>
      </w:pPr>
    </w:p>
    <w:p w14:paraId="3E4A0683">
      <w:pPr>
        <w:pStyle w:val="79"/>
        <w:rPr>
          <w:rFonts w:hint="eastAsia" w:ascii="宋体" w:hAnsi="宋体" w:cs="宋体"/>
          <w:b/>
          <w:color w:val="auto"/>
          <w:spacing w:val="6"/>
          <w:sz w:val="32"/>
          <w:szCs w:val="32"/>
          <w:highlight w:val="none"/>
        </w:rPr>
      </w:pPr>
    </w:p>
    <w:p w14:paraId="088232A0">
      <w:pPr>
        <w:pStyle w:val="79"/>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18640B90">
      <w:pPr>
        <w:spacing w:line="360" w:lineRule="auto"/>
        <w:jc w:val="left"/>
        <w:rPr>
          <w:rFonts w:hint="eastAsia" w:ascii="宋体" w:hAnsi="宋体" w:cs="宋体"/>
          <w:b/>
          <w:color w:val="auto"/>
          <w:spacing w:val="6"/>
          <w:sz w:val="32"/>
          <w:szCs w:val="32"/>
          <w:highlight w:val="none"/>
        </w:rPr>
      </w:pPr>
    </w:p>
    <w:p w14:paraId="0983598C">
      <w:pPr>
        <w:spacing w:line="360" w:lineRule="auto"/>
        <w:jc w:val="left"/>
        <w:rPr>
          <w:rFonts w:hint="eastAsia" w:ascii="宋体" w:hAnsi="宋体" w:cs="宋体"/>
          <w:b/>
          <w:color w:val="auto"/>
          <w:spacing w:val="6"/>
          <w:sz w:val="32"/>
          <w:szCs w:val="32"/>
          <w:highlight w:val="none"/>
        </w:rPr>
      </w:pPr>
    </w:p>
    <w:p w14:paraId="1EF24366">
      <w:pPr>
        <w:spacing w:line="360" w:lineRule="auto"/>
        <w:jc w:val="left"/>
        <w:rPr>
          <w:rFonts w:hint="eastAsia" w:ascii="宋体" w:hAnsi="宋体" w:cs="宋体"/>
          <w:b/>
          <w:color w:val="auto"/>
          <w:spacing w:val="6"/>
          <w:sz w:val="32"/>
          <w:szCs w:val="32"/>
          <w:highlight w:val="none"/>
        </w:rPr>
      </w:pPr>
    </w:p>
    <w:p w14:paraId="1A92786C">
      <w:pPr>
        <w:spacing w:line="360" w:lineRule="auto"/>
        <w:jc w:val="left"/>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EE07B1D">
      <w:pPr>
        <w:autoSpaceDE w:val="0"/>
        <w:autoSpaceDN w:val="0"/>
        <w:jc w:val="center"/>
        <w:rPr>
          <w:rFonts w:hint="eastAsia" w:ascii="宋体" w:hAnsi="宋体" w:cs="宋体"/>
          <w:b/>
          <w:color w:val="auto"/>
          <w:spacing w:val="6"/>
          <w:sz w:val="32"/>
          <w:szCs w:val="32"/>
          <w:highlight w:val="none"/>
        </w:rPr>
      </w:pPr>
    </w:p>
    <w:p w14:paraId="0E108E43">
      <w:pPr>
        <w:autoSpaceDE w:val="0"/>
        <w:autoSpaceDN w:val="0"/>
        <w:jc w:val="center"/>
        <w:rPr>
          <w:rFonts w:hint="eastAsia" w:ascii="宋体" w:hAnsi="宋体" w:cs="宋体"/>
          <w:b/>
          <w:color w:val="auto"/>
          <w:spacing w:val="6"/>
          <w:sz w:val="32"/>
          <w:szCs w:val="32"/>
          <w:highlight w:val="none"/>
        </w:rPr>
      </w:pPr>
    </w:p>
    <w:p w14:paraId="766C2E44">
      <w:pPr>
        <w:autoSpaceDE w:val="0"/>
        <w:autoSpaceDN w:val="0"/>
        <w:jc w:val="center"/>
        <w:rPr>
          <w:rFonts w:hint="eastAsia" w:ascii="宋体" w:hAnsi="宋体" w:cs="宋体"/>
          <w:b/>
          <w:color w:val="auto"/>
          <w:spacing w:val="6"/>
          <w:sz w:val="32"/>
          <w:szCs w:val="32"/>
          <w:highlight w:val="none"/>
        </w:rPr>
      </w:pPr>
    </w:p>
    <w:p w14:paraId="7EDA6218">
      <w:pPr>
        <w:autoSpaceDE w:val="0"/>
        <w:autoSpaceDN w:val="0"/>
        <w:jc w:val="center"/>
        <w:rPr>
          <w:rFonts w:hint="eastAsia" w:ascii="宋体" w:hAnsi="宋体" w:cs="宋体"/>
          <w:b/>
          <w:color w:val="auto"/>
          <w:spacing w:val="6"/>
          <w:sz w:val="32"/>
          <w:szCs w:val="32"/>
          <w:highlight w:val="none"/>
        </w:rPr>
      </w:pPr>
    </w:p>
    <w:p w14:paraId="7C63AFA6">
      <w:pPr>
        <w:autoSpaceDE w:val="0"/>
        <w:autoSpaceDN w:val="0"/>
        <w:jc w:val="center"/>
        <w:rPr>
          <w:rFonts w:hint="eastAsia" w:ascii="宋体" w:hAnsi="宋体" w:cs="宋体"/>
          <w:b/>
          <w:color w:val="auto"/>
          <w:spacing w:val="6"/>
          <w:sz w:val="32"/>
          <w:szCs w:val="32"/>
          <w:highlight w:val="none"/>
        </w:rPr>
      </w:pPr>
    </w:p>
    <w:p w14:paraId="0D54BB16">
      <w:pPr>
        <w:autoSpaceDE w:val="0"/>
        <w:autoSpaceDN w:val="0"/>
        <w:jc w:val="center"/>
        <w:rPr>
          <w:rFonts w:hint="eastAsia" w:ascii="宋体" w:hAnsi="宋体" w:cs="宋体"/>
          <w:b/>
          <w:color w:val="auto"/>
          <w:spacing w:val="6"/>
          <w:sz w:val="32"/>
          <w:szCs w:val="32"/>
          <w:highlight w:val="none"/>
        </w:rPr>
      </w:pPr>
    </w:p>
    <w:p w14:paraId="4C0D7CE9">
      <w:pPr>
        <w:autoSpaceDE w:val="0"/>
        <w:autoSpaceDN w:val="0"/>
        <w:jc w:val="center"/>
        <w:rPr>
          <w:rFonts w:hint="eastAsia" w:ascii="宋体" w:hAnsi="宋体" w:cs="宋体"/>
          <w:b/>
          <w:color w:val="auto"/>
          <w:spacing w:val="6"/>
          <w:sz w:val="32"/>
          <w:szCs w:val="32"/>
          <w:highlight w:val="none"/>
        </w:rPr>
      </w:pP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5A13D28C">
      <w:pPr>
        <w:autoSpaceDE w:val="0"/>
        <w:autoSpaceDN w:val="0"/>
        <w:jc w:val="center"/>
        <w:rPr>
          <w:rFonts w:ascii="宋体" w:hAnsi="宋体" w:cs="宋体"/>
          <w:b/>
          <w:color w:val="auto"/>
          <w:spacing w:val="6"/>
          <w:sz w:val="32"/>
          <w:szCs w:val="32"/>
          <w:highlight w:val="none"/>
        </w:rPr>
      </w:pPr>
    </w:p>
    <w:p w14:paraId="10FAC511">
      <w:pPr>
        <w:autoSpaceDE w:val="0"/>
        <w:autoSpaceDN w:val="0"/>
        <w:jc w:val="center"/>
        <w:rPr>
          <w:rFonts w:ascii="宋体" w:hAnsi="宋体" w:cs="宋体"/>
          <w:b/>
          <w:color w:val="auto"/>
          <w:spacing w:val="6"/>
          <w:sz w:val="32"/>
          <w:szCs w:val="32"/>
          <w:highlight w:val="none"/>
        </w:rPr>
      </w:pPr>
    </w:p>
    <w:p w14:paraId="0B828ADC">
      <w:pPr>
        <w:autoSpaceDE w:val="0"/>
        <w:autoSpaceDN w:val="0"/>
        <w:jc w:val="center"/>
        <w:rPr>
          <w:rFonts w:ascii="宋体" w:hAnsi="宋体" w:cs="宋体"/>
          <w:b/>
          <w:color w:val="auto"/>
          <w:spacing w:val="6"/>
          <w:sz w:val="32"/>
          <w:szCs w:val="32"/>
          <w:highlight w:val="none"/>
        </w:rPr>
      </w:pPr>
    </w:p>
    <w:p w14:paraId="0E716617">
      <w:pPr>
        <w:autoSpaceDE w:val="0"/>
        <w:autoSpaceDN w:val="0"/>
        <w:jc w:val="center"/>
        <w:rPr>
          <w:rFonts w:ascii="宋体" w:hAnsi="宋体" w:cs="宋体"/>
          <w:b/>
          <w:color w:val="auto"/>
          <w:spacing w:val="6"/>
          <w:sz w:val="32"/>
          <w:szCs w:val="32"/>
          <w:highlight w:val="none"/>
        </w:rPr>
      </w:pP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1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0"/>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0A4C7335">
      <w:pPr>
        <w:autoSpaceDE w:val="0"/>
        <w:autoSpaceDN w:val="0"/>
        <w:jc w:val="center"/>
        <w:rPr>
          <w:rFonts w:ascii="宋体" w:hAnsi="宋体" w:cs="宋体"/>
          <w:b/>
          <w:color w:val="auto"/>
          <w:spacing w:val="6"/>
          <w:sz w:val="32"/>
          <w:szCs w:val="32"/>
          <w:highlight w:val="none"/>
        </w:rPr>
      </w:pPr>
    </w:p>
    <w:p w14:paraId="539411B5">
      <w:pPr>
        <w:autoSpaceDE w:val="0"/>
        <w:autoSpaceDN w:val="0"/>
        <w:jc w:val="center"/>
        <w:rPr>
          <w:rFonts w:ascii="宋体" w:hAnsi="宋体" w:cs="宋体"/>
          <w:b/>
          <w:color w:val="auto"/>
          <w:spacing w:val="6"/>
          <w:sz w:val="32"/>
          <w:szCs w:val="32"/>
          <w:highlight w:val="none"/>
        </w:rPr>
      </w:pPr>
    </w:p>
    <w:p w14:paraId="73819DBD">
      <w:pPr>
        <w:autoSpaceDE w:val="0"/>
        <w:autoSpaceDN w:val="0"/>
        <w:jc w:val="center"/>
        <w:rPr>
          <w:rFonts w:ascii="宋体" w:hAnsi="宋体" w:cs="宋体"/>
          <w:b/>
          <w:color w:val="auto"/>
          <w:spacing w:val="6"/>
          <w:sz w:val="32"/>
          <w:szCs w:val="32"/>
          <w:highlight w:val="none"/>
        </w:rPr>
      </w:pPr>
    </w:p>
    <w:p w14:paraId="78BF43F8">
      <w:pPr>
        <w:autoSpaceDE w:val="0"/>
        <w:autoSpaceDN w:val="0"/>
        <w:jc w:val="center"/>
        <w:rPr>
          <w:rFonts w:ascii="宋体" w:hAnsi="宋体" w:cs="宋体"/>
          <w:b/>
          <w:color w:val="auto"/>
          <w:spacing w:val="6"/>
          <w:sz w:val="32"/>
          <w:szCs w:val="32"/>
          <w:highlight w:val="none"/>
        </w:rPr>
      </w:pPr>
    </w:p>
    <w:p w14:paraId="3EE680D4">
      <w:pPr>
        <w:autoSpaceDE w:val="0"/>
        <w:autoSpaceDN w:val="0"/>
        <w:jc w:val="center"/>
        <w:rPr>
          <w:rFonts w:ascii="宋体" w:hAnsi="宋体" w:cs="宋体"/>
          <w:b/>
          <w:color w:val="auto"/>
          <w:spacing w:val="6"/>
          <w:sz w:val="32"/>
          <w:szCs w:val="32"/>
          <w:highlight w:val="none"/>
        </w:rPr>
      </w:pPr>
    </w:p>
    <w:p w14:paraId="075DEBE9">
      <w:pPr>
        <w:autoSpaceDE w:val="0"/>
        <w:autoSpaceDN w:val="0"/>
        <w:jc w:val="center"/>
        <w:rPr>
          <w:rFonts w:ascii="宋体" w:hAnsi="宋体" w:cs="宋体"/>
          <w:b/>
          <w:color w:val="auto"/>
          <w:spacing w:val="6"/>
          <w:sz w:val="32"/>
          <w:szCs w:val="32"/>
          <w:highlight w:val="none"/>
        </w:rPr>
      </w:pPr>
    </w:p>
    <w:p w14:paraId="7F867821">
      <w:pPr>
        <w:autoSpaceDE w:val="0"/>
        <w:autoSpaceDN w:val="0"/>
        <w:jc w:val="center"/>
        <w:rPr>
          <w:rFonts w:ascii="宋体" w:hAnsi="宋体" w:cs="宋体"/>
          <w:b/>
          <w:color w:val="auto"/>
          <w:spacing w:val="6"/>
          <w:sz w:val="32"/>
          <w:szCs w:val="32"/>
          <w:highlight w:val="none"/>
        </w:rPr>
      </w:pP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1"/>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24121A8F">
      <w:pPr>
        <w:autoSpaceDE w:val="0"/>
        <w:autoSpaceDN w:val="0"/>
        <w:jc w:val="center"/>
        <w:rPr>
          <w:rFonts w:ascii="宋体" w:hAnsi="宋体" w:cs="宋体"/>
          <w:b/>
          <w:color w:val="auto"/>
          <w:spacing w:val="6"/>
          <w:sz w:val="32"/>
          <w:szCs w:val="32"/>
          <w:highlight w:val="none"/>
        </w:rPr>
      </w:pPr>
    </w:p>
    <w:p w14:paraId="4527207B">
      <w:pPr>
        <w:autoSpaceDE w:val="0"/>
        <w:autoSpaceDN w:val="0"/>
        <w:jc w:val="center"/>
        <w:rPr>
          <w:rFonts w:ascii="宋体" w:hAnsi="宋体" w:cs="宋体"/>
          <w:b/>
          <w:color w:val="auto"/>
          <w:spacing w:val="6"/>
          <w:sz w:val="32"/>
          <w:szCs w:val="32"/>
          <w:highlight w:val="none"/>
        </w:rPr>
      </w:pPr>
    </w:p>
    <w:p w14:paraId="26A5A43F">
      <w:pPr>
        <w:autoSpaceDE w:val="0"/>
        <w:autoSpaceDN w:val="0"/>
        <w:jc w:val="center"/>
        <w:rPr>
          <w:rFonts w:ascii="宋体" w:hAnsi="宋体" w:cs="宋体"/>
          <w:b/>
          <w:color w:val="auto"/>
          <w:spacing w:val="6"/>
          <w:sz w:val="32"/>
          <w:szCs w:val="32"/>
          <w:highlight w:val="none"/>
        </w:rPr>
      </w:pPr>
    </w:p>
    <w:p w14:paraId="2CB31B6B">
      <w:pPr>
        <w:autoSpaceDE w:val="0"/>
        <w:autoSpaceDN w:val="0"/>
        <w:jc w:val="center"/>
        <w:rPr>
          <w:rFonts w:ascii="宋体" w:hAnsi="宋体" w:cs="宋体"/>
          <w:b/>
          <w:color w:val="auto"/>
          <w:spacing w:val="6"/>
          <w:sz w:val="32"/>
          <w:szCs w:val="32"/>
          <w:highlight w:val="none"/>
        </w:rPr>
      </w:pPr>
    </w:p>
    <w:p w14:paraId="2FD042A6">
      <w:pPr>
        <w:autoSpaceDE w:val="0"/>
        <w:autoSpaceDN w:val="0"/>
        <w:jc w:val="center"/>
        <w:rPr>
          <w:rFonts w:ascii="宋体" w:hAnsi="宋体" w:cs="宋体"/>
          <w:b/>
          <w:color w:val="auto"/>
          <w:spacing w:val="6"/>
          <w:sz w:val="32"/>
          <w:szCs w:val="32"/>
          <w:highlight w:val="none"/>
        </w:rPr>
      </w:pPr>
    </w:p>
    <w:p w14:paraId="7641EA80">
      <w:pPr>
        <w:autoSpaceDE w:val="0"/>
        <w:autoSpaceDN w:val="0"/>
        <w:jc w:val="center"/>
        <w:rPr>
          <w:rFonts w:ascii="宋体" w:hAnsi="宋体" w:cs="宋体"/>
          <w:b/>
          <w:color w:val="auto"/>
          <w:spacing w:val="6"/>
          <w:sz w:val="32"/>
          <w:szCs w:val="32"/>
          <w:highlight w:val="none"/>
        </w:rPr>
      </w:pPr>
    </w:p>
    <w:p w14:paraId="088C5BB8">
      <w:pPr>
        <w:autoSpaceDE w:val="0"/>
        <w:autoSpaceDN w:val="0"/>
        <w:jc w:val="center"/>
        <w:rPr>
          <w:rFonts w:ascii="宋体" w:hAnsi="宋体" w:cs="宋体"/>
          <w:b/>
          <w:color w:val="auto"/>
          <w:spacing w:val="6"/>
          <w:sz w:val="32"/>
          <w:szCs w:val="32"/>
          <w:highlight w:val="none"/>
        </w:rPr>
      </w:pPr>
    </w:p>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0"/>
      <w:framePr w:wrap="around" w:vAnchor="text" w:hAnchor="margin" w:xAlign="right" w:y="1"/>
      <w:rPr>
        <w:rStyle w:val="72"/>
      </w:rPr>
    </w:pPr>
    <w:r>
      <w:fldChar w:fldCharType="begin"/>
    </w:r>
    <w:r>
      <w:rPr>
        <w:rStyle w:val="72"/>
      </w:rPr>
      <w:instrText xml:space="preserve">PAGE  </w:instrText>
    </w:r>
    <w:r>
      <w:fldChar w:fldCharType="end"/>
    </w:r>
  </w:p>
  <w:p w14:paraId="6C3E18D1">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2" w:name="_Toc164085800"/>
    <w:bookmarkStart w:id="413" w:name="_Toc36110187"/>
    <w:bookmarkStart w:id="414" w:name="_Toc131845147"/>
    <w:bookmarkStart w:id="415" w:name="_Toc91899912"/>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0"/>
      <w:framePr w:wrap="around" w:vAnchor="text" w:hAnchor="margin" w:xAlign="right" w:y="1"/>
      <w:rPr>
        <w:rStyle w:val="72"/>
      </w:rPr>
    </w:pPr>
    <w:r>
      <w:fldChar w:fldCharType="begin"/>
    </w:r>
    <w:r>
      <w:rPr>
        <w:rStyle w:val="72"/>
      </w:rPr>
      <w:instrText xml:space="preserve">PAGE  </w:instrText>
    </w:r>
    <w:r>
      <w:fldChar w:fldCharType="end"/>
    </w:r>
  </w:p>
  <w:p w14:paraId="717DD9A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B2A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6123D51">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1"/>
      <w:pBdr>
        <w:bottom w:val="single" w:color="auto" w:sz="6" w:space="4"/>
      </w:pBdr>
      <w:jc w:val="right"/>
    </w:pPr>
    <w:r>
      <w:t></w:t>
    </w:r>
    <w:r>
      <w:rPr>
        <w:rFonts w:hint="eastAsia"/>
      </w:rPr>
      <w:t xml:space="preserve">             </w:t>
    </w:r>
    <w:r>
      <w:t>杭州市政府采购公开招标文件</w:t>
    </w:r>
  </w:p>
  <w:p w14:paraId="04A4D0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1"/>
    </w:pPr>
    <w:r>
      <w:t></w:t>
    </w:r>
    <w:r>
      <w:rPr>
        <w:rFonts w:hint="eastAsia"/>
      </w:rPr>
      <w:t xml:space="preserve">         </w:t>
    </w:r>
  </w:p>
  <w:p w14:paraId="7A5C9F01">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1"/>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1"/>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12CA7C94"/>
    <w:multiLevelType w:val="multilevel"/>
    <w:tmpl w:val="12CA7C94"/>
    <w:lvl w:ilvl="0" w:tentative="0">
      <w:start w:val="2"/>
      <w:numFmt w:val="decimal"/>
      <w:lvlText w:val="%1、"/>
      <w:lvlJc w:val="left"/>
      <w:pPr>
        <w:tabs>
          <w:tab w:val="left" w:pos="360"/>
        </w:tabs>
        <w:ind w:left="360" w:hanging="360"/>
      </w:pPr>
      <w:rPr>
        <w:rFonts w:hint="default"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452EF35"/>
    <w:multiLevelType w:val="singleLevel"/>
    <w:tmpl w:val="4452EF35"/>
    <w:lvl w:ilvl="0" w:tentative="0">
      <w:start w:val="2"/>
      <w:numFmt w:val="chineseCounting"/>
      <w:suff w:val="nothing"/>
      <w:lvlText w:val="%1、"/>
      <w:lvlJc w:val="left"/>
      <w:rPr>
        <w:rFonts w:hint="eastAsia"/>
      </w:rPr>
    </w:lvl>
  </w:abstractNum>
  <w:abstractNum w:abstractNumId="9">
    <w:nsid w:val="5EF122F8"/>
    <w:multiLevelType w:val="singleLevel"/>
    <w:tmpl w:val="5EF122F8"/>
    <w:lvl w:ilvl="0" w:tentative="0">
      <w:start w:val="3"/>
      <w:numFmt w:val="chineseCounting"/>
      <w:suff w:val="nothing"/>
      <w:lvlText w:val="%1、"/>
      <w:lvlJc w:val="left"/>
      <w:rPr>
        <w:rFonts w:hint="eastAsia"/>
        <w:sz w:val="24"/>
        <w:szCs w:val="24"/>
      </w:rPr>
    </w:lvl>
  </w:abstractNum>
  <w:abstractNum w:abstractNumId="10">
    <w:nsid w:val="6E58F6DA"/>
    <w:multiLevelType w:val="singleLevel"/>
    <w:tmpl w:val="6E58F6DA"/>
    <w:lvl w:ilvl="0" w:tentative="0">
      <w:start w:val="5"/>
      <w:numFmt w:val="decimal"/>
      <w:suff w:val="nothing"/>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8"/>
  </w:num>
  <w:num w:numId="2">
    <w:abstractNumId w:val="9"/>
  </w:num>
  <w:num w:numId="3">
    <w:abstractNumId w:val="10"/>
  </w:num>
  <w:num w:numId="4">
    <w:abstractNumId w:val="7"/>
  </w:num>
  <w:num w:numId="5">
    <w:abstractNumId w:val="11"/>
  </w:num>
  <w:num w:numId="6">
    <w:abstractNumId w:val="2"/>
  </w:num>
  <w:num w:numId="7">
    <w:abstractNumId w:val="6"/>
  </w:num>
  <w:num w:numId="8">
    <w:abstractNumId w:val="4"/>
  </w:num>
  <w:num w:numId="9">
    <w:abstractNumId w:val="3"/>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22EB7"/>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B90418"/>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BFE313E"/>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2B249C"/>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0165C"/>
    <w:rsid w:val="12D81596"/>
    <w:rsid w:val="13072A44"/>
    <w:rsid w:val="1312635A"/>
    <w:rsid w:val="135F4BE2"/>
    <w:rsid w:val="139B1A0A"/>
    <w:rsid w:val="139D25C7"/>
    <w:rsid w:val="13BF3CE4"/>
    <w:rsid w:val="13C77A9D"/>
    <w:rsid w:val="13EF28C0"/>
    <w:rsid w:val="141008D8"/>
    <w:rsid w:val="14125FE6"/>
    <w:rsid w:val="142C45C0"/>
    <w:rsid w:val="146D271E"/>
    <w:rsid w:val="14982588"/>
    <w:rsid w:val="149A5AD9"/>
    <w:rsid w:val="14A7619D"/>
    <w:rsid w:val="150536C3"/>
    <w:rsid w:val="150C1963"/>
    <w:rsid w:val="151447A0"/>
    <w:rsid w:val="154A6454"/>
    <w:rsid w:val="15762120"/>
    <w:rsid w:val="15FC181D"/>
    <w:rsid w:val="16A8729C"/>
    <w:rsid w:val="16B33777"/>
    <w:rsid w:val="16B56AEF"/>
    <w:rsid w:val="16BC70A7"/>
    <w:rsid w:val="16C6339E"/>
    <w:rsid w:val="172F2D79"/>
    <w:rsid w:val="17557BEF"/>
    <w:rsid w:val="17D349C1"/>
    <w:rsid w:val="18244F26"/>
    <w:rsid w:val="18304E79"/>
    <w:rsid w:val="1830729E"/>
    <w:rsid w:val="1852128A"/>
    <w:rsid w:val="1870062C"/>
    <w:rsid w:val="18817102"/>
    <w:rsid w:val="18830A15"/>
    <w:rsid w:val="18852B28"/>
    <w:rsid w:val="188B5321"/>
    <w:rsid w:val="18E5190D"/>
    <w:rsid w:val="19932372"/>
    <w:rsid w:val="19A20DD5"/>
    <w:rsid w:val="19AE03F1"/>
    <w:rsid w:val="1A071A03"/>
    <w:rsid w:val="1A1F16AE"/>
    <w:rsid w:val="1A3B5C77"/>
    <w:rsid w:val="1A6B1B55"/>
    <w:rsid w:val="1A984BAD"/>
    <w:rsid w:val="1AB8220E"/>
    <w:rsid w:val="1AE4166C"/>
    <w:rsid w:val="1AF06CFB"/>
    <w:rsid w:val="1AF11B8D"/>
    <w:rsid w:val="1B11359C"/>
    <w:rsid w:val="1B244243"/>
    <w:rsid w:val="1B2A271F"/>
    <w:rsid w:val="1B530544"/>
    <w:rsid w:val="1B713184"/>
    <w:rsid w:val="1BA209CF"/>
    <w:rsid w:val="1BB4777D"/>
    <w:rsid w:val="1BBA4601"/>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1958FA"/>
    <w:rsid w:val="1F2223CB"/>
    <w:rsid w:val="1F5771FF"/>
    <w:rsid w:val="1FD52574"/>
    <w:rsid w:val="1FE868A9"/>
    <w:rsid w:val="20034907"/>
    <w:rsid w:val="20173E4B"/>
    <w:rsid w:val="203C4A89"/>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A938EE"/>
    <w:rsid w:val="23B908A4"/>
    <w:rsid w:val="23E95BEF"/>
    <w:rsid w:val="23F560BE"/>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36A32"/>
    <w:rsid w:val="2BBF00EC"/>
    <w:rsid w:val="2BC37CFD"/>
    <w:rsid w:val="2BD5237F"/>
    <w:rsid w:val="2BE536CE"/>
    <w:rsid w:val="2BE758D9"/>
    <w:rsid w:val="2BF346BB"/>
    <w:rsid w:val="2C09049E"/>
    <w:rsid w:val="2C0A653C"/>
    <w:rsid w:val="2C191F85"/>
    <w:rsid w:val="2CE82D6F"/>
    <w:rsid w:val="2D343236"/>
    <w:rsid w:val="2D38455E"/>
    <w:rsid w:val="2D575011"/>
    <w:rsid w:val="2DD15014"/>
    <w:rsid w:val="2DD218DC"/>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6B6744"/>
    <w:rsid w:val="30733ACD"/>
    <w:rsid w:val="308C3862"/>
    <w:rsid w:val="309379D8"/>
    <w:rsid w:val="30A270F7"/>
    <w:rsid w:val="30C776F3"/>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8494C"/>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292CF8"/>
    <w:rsid w:val="39636459"/>
    <w:rsid w:val="396B7F6C"/>
    <w:rsid w:val="39B417A9"/>
    <w:rsid w:val="39FC5695"/>
    <w:rsid w:val="3A006D8E"/>
    <w:rsid w:val="3A3651E5"/>
    <w:rsid w:val="3A4A561C"/>
    <w:rsid w:val="3A704957"/>
    <w:rsid w:val="3A744481"/>
    <w:rsid w:val="3A8C7BEF"/>
    <w:rsid w:val="3A906246"/>
    <w:rsid w:val="3AC6278D"/>
    <w:rsid w:val="3B181276"/>
    <w:rsid w:val="3B2349B7"/>
    <w:rsid w:val="3B616CFF"/>
    <w:rsid w:val="3B6259F6"/>
    <w:rsid w:val="3B976654"/>
    <w:rsid w:val="3BC01EFC"/>
    <w:rsid w:val="3BC1546A"/>
    <w:rsid w:val="3BCA786A"/>
    <w:rsid w:val="3BD31E2F"/>
    <w:rsid w:val="3BF15831"/>
    <w:rsid w:val="3C105946"/>
    <w:rsid w:val="3C3321F5"/>
    <w:rsid w:val="3C35618C"/>
    <w:rsid w:val="3C471448"/>
    <w:rsid w:val="3C5F759A"/>
    <w:rsid w:val="3C6C525A"/>
    <w:rsid w:val="3CC316B6"/>
    <w:rsid w:val="3CCE23CB"/>
    <w:rsid w:val="3CD17D17"/>
    <w:rsid w:val="3D196A6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9A6073"/>
    <w:rsid w:val="42CD1CE0"/>
    <w:rsid w:val="42E1381E"/>
    <w:rsid w:val="42ED6459"/>
    <w:rsid w:val="42FE58DD"/>
    <w:rsid w:val="43174B3D"/>
    <w:rsid w:val="43342EA7"/>
    <w:rsid w:val="434B790E"/>
    <w:rsid w:val="4360274F"/>
    <w:rsid w:val="43977AB6"/>
    <w:rsid w:val="43A3342B"/>
    <w:rsid w:val="43C77C27"/>
    <w:rsid w:val="43DE09EE"/>
    <w:rsid w:val="44002FAD"/>
    <w:rsid w:val="447954B1"/>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26896"/>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0C644A"/>
    <w:rsid w:val="4A16615C"/>
    <w:rsid w:val="4A4424D7"/>
    <w:rsid w:val="4AB82D0F"/>
    <w:rsid w:val="4AC32699"/>
    <w:rsid w:val="4AEB7664"/>
    <w:rsid w:val="4AFD7C19"/>
    <w:rsid w:val="4B0567D1"/>
    <w:rsid w:val="4B236AAE"/>
    <w:rsid w:val="4B707271"/>
    <w:rsid w:val="4B9739F7"/>
    <w:rsid w:val="4BEE2503"/>
    <w:rsid w:val="4BFB6776"/>
    <w:rsid w:val="4C245A30"/>
    <w:rsid w:val="4CB6685F"/>
    <w:rsid w:val="4CC367FE"/>
    <w:rsid w:val="4D077F3C"/>
    <w:rsid w:val="4D123355"/>
    <w:rsid w:val="4D2A3B31"/>
    <w:rsid w:val="4D312C52"/>
    <w:rsid w:val="4D905305"/>
    <w:rsid w:val="4D964A72"/>
    <w:rsid w:val="4D9C1254"/>
    <w:rsid w:val="4DC4703C"/>
    <w:rsid w:val="4DE86773"/>
    <w:rsid w:val="4E755986"/>
    <w:rsid w:val="4E793892"/>
    <w:rsid w:val="4E800872"/>
    <w:rsid w:val="4EC569ED"/>
    <w:rsid w:val="4ED50EA1"/>
    <w:rsid w:val="4ED60DD5"/>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767185"/>
    <w:rsid w:val="58917D2F"/>
    <w:rsid w:val="5894085C"/>
    <w:rsid w:val="58AE4F0C"/>
    <w:rsid w:val="58B85899"/>
    <w:rsid w:val="58E363A9"/>
    <w:rsid w:val="59166304"/>
    <w:rsid w:val="59573EC9"/>
    <w:rsid w:val="595E1678"/>
    <w:rsid w:val="596D5BD4"/>
    <w:rsid w:val="597E3DD8"/>
    <w:rsid w:val="59F34F42"/>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51746"/>
    <w:rsid w:val="5AD63A24"/>
    <w:rsid w:val="5B2E1A1D"/>
    <w:rsid w:val="5B843A1C"/>
    <w:rsid w:val="5B873E3F"/>
    <w:rsid w:val="5C02690E"/>
    <w:rsid w:val="5C0C052C"/>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1398F"/>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86731A"/>
    <w:rsid w:val="609F2AC4"/>
    <w:rsid w:val="60B8172F"/>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907DFA"/>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7B284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BD3434"/>
    <w:rsid w:val="6DC0172B"/>
    <w:rsid w:val="6DCB690C"/>
    <w:rsid w:val="6DD41A5B"/>
    <w:rsid w:val="6DDE33AA"/>
    <w:rsid w:val="6DDEB12A"/>
    <w:rsid w:val="6DF43C2E"/>
    <w:rsid w:val="6DF51CA3"/>
    <w:rsid w:val="6E8335BD"/>
    <w:rsid w:val="6E8E12EF"/>
    <w:rsid w:val="6E972936"/>
    <w:rsid w:val="6ED446C5"/>
    <w:rsid w:val="6F125A01"/>
    <w:rsid w:val="6F2A7D94"/>
    <w:rsid w:val="6F6049BF"/>
    <w:rsid w:val="6F701B02"/>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DA164E"/>
    <w:rsid w:val="742222F5"/>
    <w:rsid w:val="74476126"/>
    <w:rsid w:val="74706664"/>
    <w:rsid w:val="747F3682"/>
    <w:rsid w:val="749C4185"/>
    <w:rsid w:val="75067759"/>
    <w:rsid w:val="752E6DCD"/>
    <w:rsid w:val="7551380D"/>
    <w:rsid w:val="75600BE5"/>
    <w:rsid w:val="7564475C"/>
    <w:rsid w:val="7583797F"/>
    <w:rsid w:val="75B23A9A"/>
    <w:rsid w:val="75BDC257"/>
    <w:rsid w:val="75D20F1D"/>
    <w:rsid w:val="75DA2C18"/>
    <w:rsid w:val="75F54412"/>
    <w:rsid w:val="761D08E0"/>
    <w:rsid w:val="765D347C"/>
    <w:rsid w:val="767E397C"/>
    <w:rsid w:val="76826699"/>
    <w:rsid w:val="76C87133"/>
    <w:rsid w:val="76CD08D5"/>
    <w:rsid w:val="76DB4B92"/>
    <w:rsid w:val="77052AA4"/>
    <w:rsid w:val="77136511"/>
    <w:rsid w:val="77340A39"/>
    <w:rsid w:val="77351FD0"/>
    <w:rsid w:val="77472422"/>
    <w:rsid w:val="777F31F2"/>
    <w:rsid w:val="77D1700D"/>
    <w:rsid w:val="77EC04CC"/>
    <w:rsid w:val="78393FFF"/>
    <w:rsid w:val="78775729"/>
    <w:rsid w:val="78A42DB0"/>
    <w:rsid w:val="78A656AB"/>
    <w:rsid w:val="78B2245C"/>
    <w:rsid w:val="78DF4BA6"/>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A07EF1"/>
    <w:rsid w:val="7BEE0103"/>
    <w:rsid w:val="7C0A0FE4"/>
    <w:rsid w:val="7C254906"/>
    <w:rsid w:val="7C590818"/>
    <w:rsid w:val="7C7C10F6"/>
    <w:rsid w:val="7C853BEA"/>
    <w:rsid w:val="7C881368"/>
    <w:rsid w:val="7CE27788"/>
    <w:rsid w:val="7D0C32F1"/>
    <w:rsid w:val="7D0F408D"/>
    <w:rsid w:val="7D491C6C"/>
    <w:rsid w:val="7D5429C0"/>
    <w:rsid w:val="7D6E6D43"/>
    <w:rsid w:val="7DB06B11"/>
    <w:rsid w:val="7DB57A34"/>
    <w:rsid w:val="7DD86F60"/>
    <w:rsid w:val="7DE60973"/>
    <w:rsid w:val="7DEF0916"/>
    <w:rsid w:val="7E1E5218"/>
    <w:rsid w:val="7E631DD5"/>
    <w:rsid w:val="7E9A4E1F"/>
    <w:rsid w:val="7EA7723A"/>
    <w:rsid w:val="7EF56FBB"/>
    <w:rsid w:val="7F0768EB"/>
    <w:rsid w:val="7F0D5C88"/>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styleId="25">
    <w:name w:val="Body Text First Indent 2"/>
    <w:basedOn w:val="24"/>
    <w:link w:val="121"/>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5"/>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15721</Words>
  <Characters>16880</Characters>
  <Lines>279</Lines>
  <Paragraphs>78</Paragraphs>
  <TotalTime>21</TotalTime>
  <ScaleCrop>false</ScaleCrop>
  <LinksUpToDate>false</LinksUpToDate>
  <CharactersWithSpaces>17389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张政</cp:lastModifiedBy>
  <cp:lastPrinted>2021-12-29T19:06:00Z</cp:lastPrinted>
  <dcterms:modified xsi:type="dcterms:W3CDTF">2025-07-11T08:26:08Z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eyJoZGlkIjoiNjg3OWVhNmI3MjRjMDQxMDUyNWQ0ODU0MWIzM2MxM2IiLCJ1c2VySWQiOiIxMTc0MjYxNjQ0In0=</vt:lpwstr>
  </property>
</Properties>
</file>