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塘栖镇2025年“环保管家”服务</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SYCG-2025013</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854E374">
      <w:pPr>
        <w:spacing w:line="360" w:lineRule="auto"/>
        <w:jc w:val="both"/>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CDCC725">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杭州市临平区塘栖镇人民政府</w:t>
      </w:r>
    </w:p>
    <w:p w14:paraId="0CE7D2D0">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杭州溯远工程咨询有限公司</w:t>
      </w:r>
      <w:r>
        <w:rPr>
          <w:rFonts w:hint="eastAsia" w:ascii="仿宋" w:hAnsi="仿宋" w:eastAsia="仿宋" w:cs="仿宋"/>
          <w:bCs/>
          <w:color w:val="auto"/>
          <w:sz w:val="32"/>
          <w:szCs w:val="32"/>
          <w:highlight w:val="none"/>
          <w:lang w:val="en-US" w:eastAsia="zh-CN"/>
        </w:rPr>
        <w:br w:type="textWrapping"/>
      </w:r>
      <w:r>
        <w:rPr>
          <w:rFonts w:hint="eastAsia" w:ascii="仿宋" w:hAnsi="仿宋" w:eastAsia="仿宋" w:cs="仿宋"/>
          <w:bCs/>
          <w:color w:val="auto"/>
          <w:sz w:val="32"/>
          <w:szCs w:val="32"/>
          <w:highlight w:val="none"/>
          <w:lang w:val="en-US" w:eastAsia="zh-CN"/>
        </w:rPr>
        <w:br w:type="textWrapping"/>
      </w:r>
    </w:p>
    <w:p w14:paraId="03C35607">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43"/>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塘栖镇2025年“环保管家”服务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6"/>
          <w:rFonts w:hint="eastAsia" w:ascii="宋体" w:hAnsi="宋体" w:eastAsia="宋体" w:cs="宋体"/>
          <w:snapToGrid/>
          <w:color w:val="auto"/>
          <w:kern w:val="2"/>
          <w:sz w:val="24"/>
          <w:szCs w:val="24"/>
          <w:highlight w:val="none"/>
        </w:rPr>
        <w:t>https://www.zcygov.cn/）获取（下载）招标文件，并于</w:t>
      </w:r>
      <w:r>
        <w:rPr>
          <w:rStyle w:val="86"/>
          <w:rFonts w:hint="eastAsia" w:ascii="宋体" w:hAnsi="宋体" w:cs="宋体"/>
          <w:snapToGrid/>
          <w:color w:val="auto"/>
          <w:kern w:val="2"/>
          <w:sz w:val="24"/>
          <w:szCs w:val="24"/>
          <w:highlight w:val="none"/>
          <w:lang w:val="en-US" w:eastAsia="zh-CN"/>
        </w:rPr>
        <w:t>2025</w:t>
      </w:r>
      <w:r>
        <w:rPr>
          <w:rStyle w:val="86"/>
          <w:rFonts w:hint="eastAsia" w:ascii="宋体" w:hAnsi="宋体" w:eastAsia="宋体" w:cs="宋体"/>
          <w:snapToGrid/>
          <w:color w:val="auto"/>
          <w:kern w:val="2"/>
          <w:sz w:val="24"/>
          <w:szCs w:val="24"/>
          <w:highlight w:val="none"/>
        </w:rPr>
        <w:t>年</w:t>
      </w:r>
      <w:r>
        <w:rPr>
          <w:rStyle w:val="86"/>
          <w:rFonts w:hint="eastAsia" w:ascii="宋体" w:hAnsi="宋体" w:cs="宋体"/>
          <w:snapToGrid/>
          <w:color w:val="auto"/>
          <w:kern w:val="2"/>
          <w:sz w:val="24"/>
          <w:szCs w:val="24"/>
          <w:highlight w:val="none"/>
          <w:lang w:val="en-US" w:eastAsia="zh-CN"/>
        </w:rPr>
        <w:t>7</w:t>
      </w:r>
      <w:r>
        <w:rPr>
          <w:rStyle w:val="86"/>
          <w:rFonts w:hint="eastAsia" w:ascii="宋体" w:hAnsi="宋体" w:eastAsia="宋体" w:cs="宋体"/>
          <w:snapToGrid/>
          <w:color w:val="auto"/>
          <w:kern w:val="2"/>
          <w:sz w:val="24"/>
          <w:szCs w:val="24"/>
          <w:highlight w:val="none"/>
        </w:rPr>
        <w:t xml:space="preserve">月 </w:t>
      </w:r>
      <w:r>
        <w:rPr>
          <w:rStyle w:val="86"/>
          <w:rFonts w:hint="eastAsia" w:ascii="宋体" w:hAnsi="宋体" w:cs="宋体"/>
          <w:snapToGrid/>
          <w:color w:val="auto"/>
          <w:kern w:val="2"/>
          <w:sz w:val="24"/>
          <w:szCs w:val="24"/>
          <w:highlight w:val="none"/>
          <w:lang w:val="en-US" w:eastAsia="zh-CN"/>
        </w:rPr>
        <w:t xml:space="preserve">21  </w:t>
      </w:r>
      <w:r>
        <w:rPr>
          <w:rStyle w:val="86"/>
          <w:rFonts w:hint="eastAsia" w:ascii="宋体" w:hAnsi="宋体" w:eastAsia="宋体" w:cs="宋体"/>
          <w:snapToGrid/>
          <w:color w:val="auto"/>
          <w:kern w:val="2"/>
          <w:sz w:val="24"/>
          <w:szCs w:val="24"/>
          <w:highlight w:val="none"/>
        </w:rPr>
        <w:t>日</w:t>
      </w:r>
      <w:r>
        <w:rPr>
          <w:rStyle w:val="86"/>
          <w:rFonts w:hint="eastAsia" w:ascii="宋体" w:hAnsi="宋体" w:cs="宋体"/>
          <w:snapToGrid/>
          <w:color w:val="auto"/>
          <w:kern w:val="2"/>
          <w:sz w:val="24"/>
          <w:szCs w:val="24"/>
          <w:highlight w:val="none"/>
          <w:lang w:val="en-US" w:eastAsia="zh-CN"/>
        </w:rPr>
        <w:t xml:space="preserve"> 9 </w:t>
      </w:r>
      <w:r>
        <w:rPr>
          <w:rStyle w:val="86"/>
          <w:rFonts w:hint="eastAsia" w:ascii="宋体" w:hAnsi="宋体" w:eastAsia="宋体" w:cs="宋体"/>
          <w:snapToGrid/>
          <w:color w:val="auto"/>
          <w:kern w:val="2"/>
          <w:sz w:val="24"/>
          <w:szCs w:val="24"/>
          <w:highlight w:val="none"/>
        </w:rPr>
        <w:t>点</w:t>
      </w:r>
      <w:r>
        <w:rPr>
          <w:rStyle w:val="86"/>
          <w:rFonts w:hint="eastAsia" w:ascii="宋体" w:hAnsi="宋体" w:cs="宋体"/>
          <w:snapToGrid/>
          <w:color w:val="auto"/>
          <w:kern w:val="2"/>
          <w:sz w:val="24"/>
          <w:szCs w:val="24"/>
          <w:highlight w:val="none"/>
          <w:lang w:val="en-US" w:eastAsia="zh-CN"/>
        </w:rPr>
        <w:t xml:space="preserve"> 00 </w:t>
      </w:r>
      <w:r>
        <w:rPr>
          <w:rStyle w:val="86"/>
          <w:rFonts w:hint="eastAsia" w:ascii="宋体" w:hAnsi="宋体" w:eastAsia="宋体" w:cs="宋体"/>
          <w:snapToGrid/>
          <w:color w:val="auto"/>
          <w:kern w:val="2"/>
          <w:sz w:val="24"/>
          <w:szCs w:val="24"/>
          <w:highlight w:val="none"/>
        </w:rPr>
        <w:t>分</w:t>
      </w:r>
      <w:r>
        <w:rPr>
          <w:rStyle w:val="86"/>
          <w:rFonts w:hint="eastAsia" w:ascii="宋体" w:hAnsi="宋体" w:eastAsia="宋体" w:cs="宋体"/>
          <w:bCs/>
          <w:snapToGrid/>
          <w:color w:val="auto"/>
          <w:kern w:val="2"/>
          <w:sz w:val="24"/>
          <w:szCs w:val="24"/>
          <w:highlight w:val="none"/>
        </w:rPr>
        <w:t>00秒</w:t>
      </w:r>
      <w:r>
        <w:rPr>
          <w:rStyle w:val="8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SYCG-2025013</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塘栖镇2025年“环保管家”服务</w:t>
      </w:r>
    </w:p>
    <w:p w14:paraId="3B96F1D5">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预算金额（元）：</w:t>
      </w:r>
      <w:r>
        <w:rPr>
          <w:rFonts w:hint="eastAsia" w:ascii="仿宋" w:hAnsi="仿宋" w:eastAsia="仿宋" w:cs="仿宋"/>
          <w:b/>
          <w:color w:val="auto"/>
          <w:sz w:val="24"/>
          <w:highlight w:val="none"/>
          <w:lang w:val="en-US" w:eastAsia="zh-CN"/>
        </w:rPr>
        <w:t>620000</w:t>
      </w:r>
    </w:p>
    <w:p w14:paraId="3E58D8A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仿宋" w:hAnsi="仿宋" w:eastAsia="仿宋" w:cs="仿宋"/>
          <w:b/>
          <w:color w:val="auto"/>
          <w:sz w:val="24"/>
          <w:highlight w:val="none"/>
          <w:lang w:val="en-US" w:eastAsia="zh-CN"/>
        </w:rPr>
        <w:t>620000</w:t>
      </w:r>
    </w:p>
    <w:p w14:paraId="110CC1A8">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仿宋" w:hAnsi="仿宋" w:eastAsia="仿宋" w:cs="仿宋"/>
          <w:b/>
          <w:color w:val="auto"/>
          <w:sz w:val="24"/>
          <w:highlight w:val="none"/>
          <w:lang w:val="en-US" w:eastAsia="zh-CN"/>
        </w:rPr>
        <w:t>采购内容为完成塘栖镇年度生态考核任务，重点工业企业全生命周期风险隐患排查，环境信访处理，日常环保咨询等工作。 </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0CF83623">
      <w:pPr>
        <w:pStyle w:val="14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eastAsia="zh-CN"/>
        </w:rPr>
        <w:t>详见</w:t>
      </w:r>
      <w:r>
        <w:rPr>
          <w:rFonts w:hint="eastAsia" w:ascii="宋体" w:hAnsi="宋体" w:cs="宋体"/>
          <w:b w:val="0"/>
          <w:bCs/>
          <w:color w:val="auto"/>
          <w:highlight w:val="none"/>
        </w:rPr>
        <w:t>招标文件“第三部分 采购需求”</w:t>
      </w:r>
      <w:r>
        <w:rPr>
          <w:rFonts w:hint="eastAsia" w:ascii="宋体" w:hAnsi="宋体" w:cs="宋体"/>
          <w:b w:val="0"/>
          <w:bCs/>
          <w:color w:val="auto"/>
          <w:highlight w:val="none"/>
          <w:lang w:eastAsia="zh-CN"/>
        </w:rPr>
        <w:t>。</w:t>
      </w:r>
      <w:r>
        <w:rPr>
          <w:rFonts w:ascii="宋体" w:hAnsi="宋体" w:cs="宋体"/>
          <w:b w:val="0"/>
          <w:bCs/>
          <w:color w:val="auto"/>
          <w:highlight w:val="none"/>
        </w:rPr>
        <w:t xml:space="preserve"> </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21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 xml:space="preserve">21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9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 xml:space="preserve">21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9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51122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 xml:space="preserve">  </w:t>
      </w:r>
    </w:p>
    <w:p w14:paraId="20B75E1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    址： </w:t>
      </w:r>
      <w:r>
        <w:rPr>
          <w:rFonts w:hint="eastAsia" w:ascii="宋体" w:hAnsi="宋体" w:cs="宋体"/>
          <w:color w:val="auto"/>
          <w:sz w:val="24"/>
          <w:highlight w:val="none"/>
          <w:lang w:eastAsia="zh-CN"/>
        </w:rPr>
        <w:t>塘栖镇人民路</w:t>
      </w:r>
      <w:r>
        <w:rPr>
          <w:rFonts w:hint="eastAsia" w:ascii="宋体" w:hAnsi="宋体" w:cs="宋体"/>
          <w:color w:val="auto"/>
          <w:sz w:val="24"/>
          <w:highlight w:val="none"/>
          <w:lang w:val="en-US" w:eastAsia="zh-CN"/>
        </w:rPr>
        <w:t>300号</w:t>
      </w:r>
      <w:r>
        <w:rPr>
          <w:rFonts w:hint="eastAsia" w:ascii="宋体" w:hAnsi="宋体" w:cs="宋体"/>
          <w:color w:val="auto"/>
          <w:sz w:val="24"/>
          <w:highlight w:val="none"/>
        </w:rPr>
        <w:t xml:space="preserve">   </w:t>
      </w:r>
    </w:p>
    <w:p w14:paraId="5C77E85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54D9D00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张挺</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3E1F83F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15394280204</w:t>
      </w:r>
    </w:p>
    <w:p w14:paraId="10480614">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项目联系人（质疑）：俞晨攀</w:t>
      </w:r>
    </w:p>
    <w:p w14:paraId="0E5BA4D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项目联系方式（质疑）：</w:t>
      </w:r>
      <w:r>
        <w:rPr>
          <w:rFonts w:hint="eastAsia" w:ascii="宋体" w:hAnsi="宋体" w:cs="宋体"/>
          <w:color w:val="auto"/>
          <w:sz w:val="24"/>
          <w:highlight w:val="none"/>
        </w:rPr>
        <w:t>0571-</w:t>
      </w:r>
      <w:r>
        <w:rPr>
          <w:rFonts w:hint="eastAsia" w:ascii="宋体" w:hAnsi="宋体" w:cs="宋体"/>
          <w:color w:val="auto"/>
          <w:sz w:val="24"/>
          <w:highlight w:val="none"/>
          <w:lang w:val="en-US" w:eastAsia="zh-CN"/>
        </w:rPr>
        <w:t>89021979</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D42BC6C">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杭州溯远工程咨询有限公司</w:t>
      </w:r>
    </w:p>
    <w:p w14:paraId="450F0A0D">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杭州市临平区东湖街道东湖北路488号-1号22幢401室</w:t>
      </w:r>
    </w:p>
    <w:p w14:paraId="1A859FB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传    真： </w:t>
      </w:r>
      <w:r>
        <w:rPr>
          <w:rFonts w:hint="eastAsia" w:ascii="宋体" w:hAnsi="宋体" w:cs="宋体"/>
          <w:color w:val="auto"/>
          <w:sz w:val="24"/>
          <w:highlight w:val="none"/>
          <w:lang w:val="en-US" w:eastAsia="zh-CN"/>
        </w:rPr>
        <w:t>/</w:t>
      </w:r>
    </w:p>
    <w:p w14:paraId="0CAC006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方佳棋</w:t>
      </w:r>
      <w:r>
        <w:rPr>
          <w:rFonts w:hint="eastAsia" w:ascii="宋体" w:hAnsi="宋体" w:cs="宋体"/>
          <w:color w:val="auto"/>
          <w:sz w:val="24"/>
          <w:highlight w:val="none"/>
        </w:rPr>
        <w:t xml:space="preserve">    </w:t>
      </w:r>
    </w:p>
    <w:p w14:paraId="234BB8A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17306899730</w:t>
      </w:r>
    </w:p>
    <w:p w14:paraId="61B7CAC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项目联系人（质疑）：沈越</w:t>
      </w:r>
    </w:p>
    <w:p w14:paraId="16A7833E">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项目联系方式（质疑）：13675850380</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u w:val="single"/>
              </w:rPr>
              <w:t>标的：</w:t>
            </w:r>
            <w:r>
              <w:rPr>
                <w:rFonts w:hint="eastAsia" w:ascii="宋体" w:hAnsi="宋体" w:cs="宋体"/>
                <w:color w:val="auto"/>
                <w:sz w:val="24"/>
                <w:highlight w:val="none"/>
                <w:u w:val="single"/>
                <w:lang w:val="en-US" w:eastAsia="zh-CN"/>
              </w:rPr>
              <w:t>塘栖镇2025年“环保管家”服务</w:t>
            </w:r>
            <w:r>
              <w:rPr>
                <w:rFonts w:hint="eastAsia" w:ascii="宋体" w:hAnsi="宋体" w:cs="宋体"/>
                <w:color w:val="auto"/>
                <w:sz w:val="24"/>
                <w:highlight w:val="none"/>
                <w:u w:val="single"/>
              </w:rPr>
              <w:t>，属于其他暂未列明行业；</w:t>
            </w:r>
          </w:p>
          <w:p w14:paraId="27019300">
            <w:pPr>
              <w:snapToGrid w:val="0"/>
              <w:rPr>
                <w:rFonts w:ascii="宋体" w:hAnsi="宋体" w:eastAsia="宋体" w:cs="宋体"/>
                <w:color w:val="auto"/>
                <w:highlight w:val="none"/>
                <w:lang w:val="en-US"/>
              </w:rPr>
            </w:pPr>
            <w:r>
              <w:rPr>
                <w:rFonts w:hint="eastAsia" w:ascii="宋体" w:hAnsi="宋体" w:cs="宋体"/>
                <w:color w:val="auto"/>
                <w:sz w:val="24"/>
                <w:highlight w:val="none"/>
                <w:u w:val="single"/>
                <w:lang w:val="en-US" w:eastAsia="zh-CN"/>
              </w:rPr>
              <w:t>根据《关于印发中小企业划型标准规定的通知》（工信部联企业〔2011〕300）第四条第（二）项规定：其他未列明行业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21"/>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sz w:val="24"/>
                <w:highlight w:val="none"/>
                <w:u w:val="single"/>
                <w:lang w:val="en-US" w:eastAsia="zh-CN"/>
              </w:rPr>
              <w:t>杭州市临平区东湖街道东湖北路488号-1号22幢401室</w:t>
            </w:r>
            <w:r>
              <w:rPr>
                <w:rFonts w:hint="eastAsia" w:ascii="宋体" w:hAnsi="宋体" w:eastAsia="宋体" w:cs="宋体"/>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17306899730</w:t>
            </w:r>
            <w:r>
              <w:rPr>
                <w:rFonts w:hint="eastAsia" w:ascii="宋体" w:hAnsi="宋体" w:eastAsia="宋体" w:cs="宋体"/>
                <w:sz w:val="24"/>
                <w:szCs w:val="24"/>
                <w:highlight w:val="none"/>
              </w:rPr>
              <w:t>。</w:t>
            </w:r>
            <w:r>
              <w:rPr>
                <w:rFonts w:hint="eastAsia" w:ascii="仿宋" w:hAnsi="仿宋" w:eastAsia="仿宋" w:cs="仿宋"/>
                <w:b/>
                <w:sz w:val="24"/>
                <w:szCs w:val="24"/>
                <w:highlight w:val="none"/>
              </w:rPr>
              <w:t>采购人、</w:t>
            </w:r>
            <w:r>
              <w:rPr>
                <w:rFonts w:hint="eastAsia" w:ascii="仿宋" w:hAnsi="仿宋" w:eastAsia="仿宋" w:cs="仿宋"/>
                <w:b/>
                <w:sz w:val="24"/>
                <w:szCs w:val="24"/>
                <w:highlight w:val="none"/>
                <w:lang w:eastAsia="zh-CN"/>
              </w:rPr>
              <w:t>采购代理机构</w:t>
            </w:r>
            <w:r>
              <w:rPr>
                <w:rFonts w:hint="eastAsia" w:ascii="仿宋" w:hAnsi="仿宋" w:eastAsia="仿宋" w:cs="仿宋"/>
                <w:b/>
                <w:sz w:val="24"/>
                <w:szCs w:val="24"/>
                <w:highlight w:val="none"/>
              </w:rPr>
              <w:t>不强制或变相强制</w:t>
            </w:r>
            <w:r>
              <w:rPr>
                <w:rFonts w:hint="eastAsia" w:ascii="仿宋" w:hAnsi="仿宋" w:eastAsia="仿宋" w:cs="仿宋"/>
                <w:b/>
                <w:sz w:val="24"/>
                <w:szCs w:val="24"/>
                <w:highlight w:val="none"/>
                <w:lang w:eastAsia="zh-CN"/>
              </w:rPr>
              <w:t>投标人</w:t>
            </w:r>
            <w:r>
              <w:rPr>
                <w:rFonts w:hint="eastAsia" w:ascii="仿宋" w:hAnsi="仿宋" w:eastAsia="仿宋" w:cs="仿宋"/>
                <w:b/>
                <w:sz w:val="24"/>
                <w:szCs w:val="24"/>
                <w:highlight w:val="none"/>
              </w:rPr>
              <w:t>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09F61A21">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招标服务费：本次代理服务费由中标人支付，代理服务费按照国家计委印发的《招标代理服务收费管理暂行办法》计价格[2002]1980号规定</w:t>
            </w:r>
            <w:r>
              <w:rPr>
                <w:rFonts w:hint="eastAsia" w:ascii="宋体" w:hAnsi="宋体" w:cs="宋体"/>
                <w:color w:val="auto"/>
                <w:kern w:val="0"/>
                <w:sz w:val="24"/>
                <w:highlight w:val="none"/>
                <w:lang w:val="en-US" w:eastAsia="zh-CN"/>
              </w:rPr>
              <w:t>的64%</w:t>
            </w:r>
            <w:r>
              <w:rPr>
                <w:rFonts w:hint="eastAsia" w:ascii="宋体" w:hAnsi="宋体" w:eastAsia="宋体" w:cs="宋体"/>
                <w:color w:val="auto"/>
                <w:kern w:val="0"/>
                <w:sz w:val="24"/>
                <w:highlight w:val="none"/>
                <w:lang w:val="en-US" w:eastAsia="zh-CN"/>
              </w:rPr>
              <w:t>进行收费。各投标人应在投标报价中予以考虑。</w:t>
            </w:r>
          </w:p>
          <w:p w14:paraId="1A5DC11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中标服务费的交纳方式:以转帐或支票的形式支付，开户名:杭州溯远工程咨询有限公司，开户行名称:浙江杭州市余杭农村商业银行股份有限公司临平支行，帐号:201000273727421 中标单位需在领取中标通知书时缴纳中标服务费，缴纳时注明招标编号。</w:t>
            </w:r>
          </w:p>
        </w:tc>
      </w:tr>
      <w:tr w14:paraId="07783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5739FF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12A18CE1">
            <w:pPr>
              <w:spacing w:line="360" w:lineRule="auto"/>
              <w:jc w:val="center"/>
              <w:rPr>
                <w:rFonts w:hint="eastAsia" w:ascii="宋体" w:hAnsi="宋体" w:eastAsia="宋体" w:cs="宋体"/>
                <w:color w:val="auto"/>
                <w:kern w:val="0"/>
                <w:sz w:val="24"/>
                <w:highlight w:val="none"/>
                <w:lang w:val="en" w:eastAsia="zh-CN"/>
              </w:rPr>
            </w:pPr>
            <w:r>
              <w:rPr>
                <w:rFonts w:hint="eastAsia" w:ascii="宋体" w:hAnsi="宋体" w:eastAsia="宋体" w:cs="宋体"/>
                <w:b/>
                <w:bCs/>
                <w:color w:val="auto"/>
                <w:kern w:val="0"/>
                <w:sz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auto" w:sz="4" w:space="0"/>
            </w:tcBorders>
            <w:vAlign w:val="center"/>
          </w:tcPr>
          <w:p w14:paraId="1531909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US" w:eastAsia="zh-CN"/>
              </w:rPr>
              <w:t>中标后提供承诺书和纸质版投标文件一式五份（正本一份红章版，副本四份，可为正本复印件），承诺书一式五份，格式详见附件。</w:t>
            </w:r>
          </w:p>
        </w:tc>
      </w:tr>
      <w:tr w14:paraId="6AA23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D3D658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tcBorders>
              <w:top w:val="single" w:color="auto" w:sz="4" w:space="0"/>
              <w:left w:val="single" w:color="000000" w:sz="2" w:space="0"/>
              <w:bottom w:val="single" w:color="auto" w:sz="4" w:space="0"/>
              <w:right w:val="single" w:color="auto" w:sz="4" w:space="0"/>
            </w:tcBorders>
            <w:vAlign w:val="center"/>
          </w:tcPr>
          <w:p w14:paraId="39F2F415">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US" w:eastAsia="zh-CN"/>
              </w:rPr>
              <w:t>评标委员会推荐中标候选人的人数</w:t>
            </w:r>
          </w:p>
        </w:tc>
        <w:tc>
          <w:tcPr>
            <w:tcW w:w="6095" w:type="dxa"/>
            <w:tcBorders>
              <w:top w:val="single" w:color="000000" w:sz="8" w:space="0"/>
              <w:left w:val="single" w:color="auto" w:sz="4" w:space="0"/>
              <w:bottom w:val="single" w:color="auto" w:sz="4" w:space="0"/>
              <w:right w:val="single" w:color="auto" w:sz="4" w:space="0"/>
            </w:tcBorders>
            <w:vAlign w:val="center"/>
          </w:tcPr>
          <w:p w14:paraId="100CB3AE">
            <w:pPr>
              <w:spacing w:line="360" w:lineRule="auto"/>
              <w:rPr>
                <w:rFonts w:hint="eastAsia" w:ascii="仿宋" w:hAnsi="仿宋" w:eastAsia="仿宋" w:cs="仿宋"/>
                <w:color w:val="auto"/>
                <w:kern w:val="0"/>
                <w:sz w:val="24"/>
                <w:highlight w:val="none"/>
                <w:lang w:val="en" w:eastAsia="zh-CN"/>
              </w:rPr>
            </w:pPr>
            <w:r>
              <w:rPr>
                <w:rFonts w:hint="eastAsia" w:ascii="宋体" w:hAnsi="宋体" w:eastAsia="宋体" w:cs="宋体"/>
                <w:color w:val="auto"/>
                <w:kern w:val="0"/>
                <w:sz w:val="24"/>
                <w:highlight w:val="none"/>
                <w:lang w:val="en-US" w:eastAsia="zh-CN"/>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eastAsia="宋体" w:cs="宋体"/>
                <w:color w:val="auto"/>
                <w:kern w:val="0"/>
                <w:sz w:val="24"/>
                <w:highlight w:val="none"/>
                <w:lang w:val="en" w:eastAsia="zh-CN"/>
              </w:rPr>
              <w:sym w:font="Wingdings" w:char="F0FE"/>
            </w:r>
            <w:r>
              <w:rPr>
                <w:rFonts w:hint="eastAsia" w:ascii="宋体" w:hAnsi="宋体" w:eastAsia="宋体" w:cs="宋体"/>
                <w:color w:val="auto"/>
                <w:kern w:val="0"/>
                <w:sz w:val="24"/>
                <w:highlight w:val="none"/>
                <w:lang w:val="en-US" w:eastAsia="zh-CN"/>
              </w:rPr>
              <w:t>重新招标 □按中标候选人名单排序依次确定其他中标候选人为中标人）</w:t>
            </w:r>
          </w:p>
        </w:tc>
      </w:tr>
    </w:tbl>
    <w:p w14:paraId="11B8AEBD">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21"/>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21"/>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21"/>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21"/>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2"/>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2"/>
        <w:shd w:val="clear" w:color="auto" w:fill="FFFFFF"/>
        <w:snapToGrid w:val="0"/>
        <w:spacing w:after="240" w:afterAutospacing="0" w:line="360" w:lineRule="auto"/>
        <w:ind w:firstLine="400"/>
        <w:contextualSpacing/>
        <w:rPr>
          <w:rFonts w:hint="eastAsia"/>
          <w:color w:val="auto"/>
          <w:highlight w:val="none"/>
        </w:rPr>
      </w:pPr>
    </w:p>
    <w:p w14:paraId="72BB4CFD">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4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31"/>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21"/>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FD59166">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D0B50E2">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0C6F1708">
      <w:pPr>
        <w:pStyle w:val="2"/>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6B10FD3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4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4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4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4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4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4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4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21"/>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21"/>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21"/>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4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3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4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4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4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41"/>
        <w:spacing w:before="0"/>
        <w:ind w:firstLine="643"/>
        <w:rPr>
          <w:rFonts w:ascii="宋体" w:hAnsi="宋体" w:cs="宋体"/>
          <w:b/>
          <w:color w:val="auto"/>
          <w:sz w:val="32"/>
          <w:highlight w:val="none"/>
        </w:rPr>
      </w:pPr>
    </w:p>
    <w:p w14:paraId="25870E80">
      <w:pPr>
        <w:pStyle w:val="14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6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6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6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6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4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4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4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4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4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4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4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4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4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3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4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4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41"/>
        <w:adjustRightInd w:val="0"/>
        <w:snapToGrid w:val="0"/>
        <w:spacing w:before="0"/>
        <w:ind w:firstLine="482" w:firstLineChars="200"/>
        <w:rPr>
          <w:rStyle w:val="8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9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3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32"/>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4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4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9BB2CC3">
      <w:pPr>
        <w:pStyle w:val="14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25.6 合同签订依据为相关法律法规文件、招标文件、乙方投标文件等，合同条款有与前者冲突的，以前者为准。</w:t>
      </w:r>
    </w:p>
    <w:p w14:paraId="686FF9F0">
      <w:pPr>
        <w:pStyle w:val="32"/>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拟签订的合同文本要求中标供应商提交履约保证金的，供应商应当以金融机构、担保机构出具的保函形式提交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56CFC2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napToGrid w:val="0"/>
          <w:color w:val="auto"/>
          <w:kern w:val="28"/>
          <w:sz w:val="24"/>
          <w:szCs w:val="32"/>
          <w:highlight w:val="none"/>
          <w:lang w:val="zh-CN" w:eastAsia="zh-CN" w:bidi="ar-SA"/>
        </w:rPr>
      </w:pPr>
      <w:r>
        <w:rPr>
          <w:rFonts w:hint="eastAsia" w:ascii="宋体" w:hAnsi="宋体" w:eastAsia="宋体" w:cs="宋体"/>
          <w:b w:val="0"/>
          <w:bCs w:val="0"/>
          <w:snapToGrid w:val="0"/>
          <w:color w:val="auto"/>
          <w:kern w:val="28"/>
          <w:sz w:val="24"/>
          <w:szCs w:val="32"/>
          <w:highlight w:val="none"/>
          <w:lang w:val="zh-CN" w:eastAsia="zh-CN" w:bidi="ar-SA"/>
        </w:rPr>
        <w:t>货物/服务费用阶段支付比例:最终经塘栖镇根据政府采购法等相关规定审核通过的合同相应条款为准。</w:t>
      </w:r>
    </w:p>
    <w:p w14:paraId="4E3F1AC0">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4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4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32"/>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9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07468"/>
      <w:bookmarkEnd w:id="16"/>
      <w:bookmarkStart w:id="17" w:name="_Hlt74729768"/>
      <w:bookmarkEnd w:id="17"/>
      <w:bookmarkStart w:id="18" w:name="_Hlt75236101"/>
      <w:bookmarkEnd w:id="18"/>
      <w:bookmarkStart w:id="19" w:name="_Hlt68072998"/>
      <w:bookmarkEnd w:id="19"/>
      <w:bookmarkStart w:id="20" w:name="_Hlt74730295"/>
      <w:bookmarkEnd w:id="20"/>
      <w:bookmarkStart w:id="21" w:name="_Hlt75236011"/>
      <w:bookmarkEnd w:id="21"/>
      <w:bookmarkStart w:id="22" w:name="_Hlt74714665"/>
      <w:bookmarkEnd w:id="22"/>
      <w:bookmarkStart w:id="23" w:name="_Hlt68072990"/>
      <w:bookmarkEnd w:id="23"/>
      <w:bookmarkStart w:id="24" w:name="_Hlt68057669"/>
      <w:bookmarkEnd w:id="24"/>
      <w:bookmarkStart w:id="25" w:name="_Hlt68073093"/>
      <w:bookmarkEnd w:id="25"/>
      <w:bookmarkStart w:id="26" w:name="_Hlt75236290"/>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78EA903">
      <w:pPr>
        <w:spacing w:line="600" w:lineRule="exact"/>
        <w:rPr>
          <w:rFonts w:ascii="仿宋" w:hAnsi="仿宋" w:eastAsia="仿宋" w:cs="仿宋"/>
          <w:b/>
          <w:bCs/>
          <w:sz w:val="24"/>
          <w:szCs w:val="24"/>
        </w:rPr>
      </w:pPr>
      <w:r>
        <w:rPr>
          <w:rFonts w:hint="eastAsia" w:ascii="仿宋" w:hAnsi="仿宋" w:eastAsia="仿宋" w:cs="仿宋"/>
          <w:b/>
          <w:bCs/>
          <w:sz w:val="24"/>
          <w:szCs w:val="24"/>
        </w:rPr>
        <w:t>一、项目概况：</w:t>
      </w:r>
    </w:p>
    <w:p w14:paraId="033C50CC">
      <w:pPr>
        <w:spacing w:line="360" w:lineRule="auto"/>
        <w:ind w:firstLine="486" w:firstLineChars="200"/>
        <w:rPr>
          <w:rFonts w:ascii="仿宋" w:hAnsi="仿宋" w:eastAsia="仿宋" w:cs="仿宋"/>
          <w:bCs/>
          <w:sz w:val="24"/>
          <w:szCs w:val="24"/>
        </w:rPr>
      </w:pPr>
      <w:r>
        <w:rPr>
          <w:rFonts w:hint="eastAsia" w:ascii="仿宋" w:hAnsi="仿宋" w:eastAsia="仿宋" w:cs="仿宋"/>
          <w:bCs/>
          <w:sz w:val="24"/>
          <w:szCs w:val="24"/>
        </w:rPr>
        <w:t>为提高塘栖镇范围内的污染治理专业化、规范化水平，将专业的事情交给专业单位完成，发挥第三方机构的人员和技术优势， 针对具体问题提供定制化的解决方案，弥补了环保管理上的短板，从源头上有效地监管和服务企业。通过引入“环保管家”，以现场检查等方式认真排查区域内工业企业环境隐患，督促指导企业依法履行污染防治法定责任，提高企业污染治理、减排和风险防范能力，增强政府部门监管效率。“环保管家”在开展服务过程中，针对纺织印染、建材等排污企业实际情况及存在的问题，进行合法性、合理性及达标性等排查、诊断，及时收集整理反馈指导，积极向企业普及环保相关法律、法规、监测标准、行业标准等内容，以支撑园区整体环保水平的提升。完成塘栖镇年度生态考核任务，重点工业企业全生命周期风险隐患排查，环境信访处理，日常环保咨询等工作。</w:t>
      </w:r>
    </w:p>
    <w:p w14:paraId="6C463737">
      <w:pPr>
        <w:spacing w:line="600" w:lineRule="exact"/>
        <w:rPr>
          <w:rFonts w:ascii="仿宋" w:hAnsi="仿宋" w:eastAsia="仿宋" w:cs="仿宋"/>
          <w:b/>
          <w:bCs/>
          <w:sz w:val="24"/>
          <w:szCs w:val="24"/>
        </w:rPr>
      </w:pPr>
      <w:r>
        <w:rPr>
          <w:rFonts w:hint="eastAsia" w:ascii="仿宋" w:hAnsi="仿宋" w:eastAsia="仿宋" w:cs="仿宋"/>
          <w:b/>
          <w:bCs/>
          <w:sz w:val="24"/>
          <w:szCs w:val="24"/>
        </w:rPr>
        <w:t>二、服务范围:</w:t>
      </w:r>
    </w:p>
    <w:p w14:paraId="4292DF08">
      <w:pPr>
        <w:spacing w:line="360" w:lineRule="auto"/>
        <w:ind w:firstLine="486" w:firstLineChars="200"/>
        <w:rPr>
          <w:rFonts w:ascii="仿宋" w:hAnsi="仿宋" w:eastAsia="仿宋" w:cs="仿宋"/>
          <w:bCs/>
          <w:sz w:val="24"/>
          <w:szCs w:val="24"/>
        </w:rPr>
      </w:pPr>
      <w:r>
        <w:rPr>
          <w:rFonts w:hint="eastAsia" w:ascii="仿宋" w:hAnsi="仿宋" w:eastAsia="仿宋" w:cs="仿宋"/>
          <w:bCs/>
          <w:sz w:val="24"/>
          <w:szCs w:val="24"/>
        </w:rPr>
        <w:t>塘栖镇管辖范围内的企业生态环境及街道周边的生态环境。合同签订后，由采购人向中标人提供详细企业名单（服务期内，采购人可根据企业新建、关停等情况对企业名单作相应调整）。</w:t>
      </w:r>
    </w:p>
    <w:p w14:paraId="57A6C021">
      <w:pPr>
        <w:spacing w:line="600" w:lineRule="exact"/>
        <w:rPr>
          <w:rFonts w:ascii="仿宋" w:hAnsi="仿宋" w:eastAsia="仿宋" w:cs="仿宋"/>
          <w:b/>
          <w:bCs/>
          <w:sz w:val="24"/>
          <w:szCs w:val="24"/>
        </w:rPr>
      </w:pPr>
      <w:r>
        <w:rPr>
          <w:rFonts w:hint="eastAsia" w:ascii="仿宋" w:hAnsi="仿宋" w:eastAsia="仿宋" w:cs="仿宋"/>
          <w:b/>
          <w:bCs/>
          <w:sz w:val="24"/>
          <w:szCs w:val="24"/>
        </w:rPr>
        <w:t>三、服务内容、工作目标及考核内容</w:t>
      </w:r>
    </w:p>
    <w:p w14:paraId="470C8689">
      <w:pPr>
        <w:spacing w:line="360" w:lineRule="auto"/>
        <w:ind w:firstLine="486" w:firstLineChars="200"/>
        <w:rPr>
          <w:rFonts w:hint="eastAsia" w:ascii="仿宋" w:hAnsi="仿宋" w:eastAsia="仿宋" w:cs="仿宋"/>
          <w:bCs/>
          <w:sz w:val="24"/>
          <w:szCs w:val="24"/>
          <w:lang w:eastAsia="zh-CN"/>
        </w:rPr>
      </w:pPr>
      <w:r>
        <w:rPr>
          <w:rFonts w:hint="eastAsia" w:ascii="仿宋" w:hAnsi="仿宋" w:eastAsia="仿宋" w:cs="仿宋"/>
          <w:bCs/>
          <w:sz w:val="24"/>
          <w:szCs w:val="24"/>
        </w:rPr>
        <w:t>本次“环保管家”服务</w:t>
      </w:r>
      <w:r>
        <w:rPr>
          <w:rFonts w:hint="eastAsia" w:ascii="仿宋" w:hAnsi="仿宋" w:eastAsia="仿宋" w:cs="仿宋"/>
          <w:bCs/>
          <w:sz w:val="24"/>
          <w:szCs w:val="24"/>
          <w:lang w:eastAsia="zh-CN"/>
        </w:rPr>
        <w:t>内容为</w:t>
      </w:r>
      <w:r>
        <w:rPr>
          <w:rFonts w:hint="eastAsia" w:ascii="仿宋" w:hAnsi="仿宋" w:eastAsia="仿宋" w:cs="仿宋"/>
          <w:bCs/>
          <w:sz w:val="24"/>
          <w:szCs w:val="24"/>
        </w:rPr>
        <w:t>完成塘栖镇年度生态考核任务，重点工业企业全生命周期风险隐患排查，环境信访处理，日常环保咨询等工作</w:t>
      </w:r>
      <w:r>
        <w:rPr>
          <w:rFonts w:hint="eastAsia" w:ascii="仿宋" w:hAnsi="仿宋" w:eastAsia="仿宋" w:cs="仿宋"/>
          <w:bCs/>
          <w:sz w:val="24"/>
          <w:szCs w:val="24"/>
          <w:lang w:eastAsia="zh-CN"/>
        </w:rPr>
        <w:t>，主要包括：</w:t>
      </w:r>
    </w:p>
    <w:p w14:paraId="6FF9B3DE">
      <w:pPr>
        <w:spacing w:line="360" w:lineRule="auto"/>
        <w:ind w:firstLine="486"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1.“环保管家”</w:t>
      </w:r>
      <w:r>
        <w:rPr>
          <w:rFonts w:hint="eastAsia" w:ascii="仿宋" w:hAnsi="仿宋" w:eastAsia="仿宋" w:cs="仿宋"/>
          <w:bCs/>
          <w:sz w:val="24"/>
          <w:szCs w:val="24"/>
          <w:lang w:val="en-US" w:eastAsia="zh-CN"/>
        </w:rPr>
        <w:t>日常工作：</w:t>
      </w:r>
    </w:p>
    <w:p w14:paraId="08A1D1CF">
      <w:pPr>
        <w:spacing w:line="360" w:lineRule="auto"/>
        <w:ind w:firstLine="486" w:firstLineChars="200"/>
        <w:rPr>
          <w:rFonts w:ascii="仿宋" w:hAnsi="仿宋" w:eastAsia="仿宋" w:cs="仿宋"/>
          <w:bCs/>
          <w:sz w:val="24"/>
          <w:szCs w:val="24"/>
        </w:rPr>
        <w:sectPr>
          <w:pgSz w:w="11906" w:h="16838"/>
          <w:pgMar w:top="1440" w:right="1797" w:bottom="1440" w:left="1797" w:header="851" w:footer="850" w:gutter="0"/>
          <w:cols w:space="720" w:num="1"/>
          <w:docGrid w:type="linesAndChars" w:linePitch="319" w:charSpace="640"/>
        </w:sectPr>
      </w:pPr>
      <w:r>
        <w:rPr>
          <w:rFonts w:hint="eastAsia" w:ascii="仿宋" w:hAnsi="仿宋" w:eastAsia="仿宋" w:cs="仿宋"/>
          <w:bCs/>
          <w:sz w:val="24"/>
          <w:szCs w:val="24"/>
        </w:rPr>
        <w:t xml:space="preserve">一方面，协助完成区委区政府 </w:t>
      </w:r>
      <w:r>
        <w:rPr>
          <w:rFonts w:hint="eastAsia" w:ascii="仿宋" w:hAnsi="仿宋" w:eastAsia="仿宋" w:cs="仿宋"/>
          <w:bCs/>
          <w:sz w:val="24"/>
          <w:szCs w:val="24"/>
          <w:lang w:val="en-US" w:eastAsia="zh-CN"/>
        </w:rPr>
        <w:t>2025年</w:t>
      </w:r>
      <w:r>
        <w:rPr>
          <w:rFonts w:hint="eastAsia" w:ascii="仿宋" w:hAnsi="仿宋" w:eastAsia="仿宋" w:cs="仿宋"/>
          <w:bCs/>
          <w:sz w:val="24"/>
          <w:szCs w:val="24"/>
        </w:rPr>
        <w:t>对塘栖镇综合考评中涉及生态环境类任务；另一方面，对塘栖镇范围内规上重点企业进行日常监管及风险排查</w:t>
      </w:r>
      <w:r>
        <w:rPr>
          <w:rFonts w:hint="eastAsia" w:ascii="仿宋" w:hAnsi="仿宋" w:eastAsia="仿宋" w:cs="仿宋"/>
          <w:bCs/>
          <w:sz w:val="24"/>
          <w:szCs w:val="24"/>
          <w:lang w:eastAsia="zh-CN"/>
        </w:rPr>
        <w:t>；</w:t>
      </w:r>
      <w:r>
        <w:rPr>
          <w:rFonts w:hint="eastAsia" w:ascii="仿宋" w:hAnsi="仿宋" w:eastAsia="仿宋" w:cs="仿宋"/>
          <w:bCs/>
          <w:color w:val="auto"/>
          <w:sz w:val="24"/>
          <w:szCs w:val="24"/>
          <w:lang w:eastAsia="zh-CN"/>
        </w:rPr>
        <w:t>提供数字化管理平台工具，对企业档案数据进行归集，</w:t>
      </w:r>
      <w:r>
        <w:rPr>
          <w:rFonts w:hint="eastAsia" w:ascii="仿宋" w:hAnsi="仿宋" w:eastAsia="仿宋" w:cs="仿宋"/>
          <w:bCs/>
          <w:color w:val="auto"/>
          <w:sz w:val="24"/>
          <w:szCs w:val="24"/>
        </w:rPr>
        <w:t>建</w:t>
      </w:r>
      <w:r>
        <w:rPr>
          <w:rFonts w:hint="eastAsia" w:ascii="仿宋" w:hAnsi="仿宋" w:eastAsia="仿宋" w:cs="仿宋"/>
          <w:bCs/>
          <w:sz w:val="24"/>
          <w:szCs w:val="24"/>
        </w:rPr>
        <w:t>立监管企业环保数据库</w:t>
      </w:r>
      <w:r>
        <w:rPr>
          <w:rFonts w:hint="eastAsia" w:ascii="仿宋" w:hAnsi="仿宋" w:eastAsia="仿宋" w:cs="仿宋"/>
          <w:bCs/>
          <w:sz w:val="24"/>
          <w:szCs w:val="24"/>
          <w:lang w:eastAsia="zh-CN"/>
        </w:rPr>
        <w:t>；</w:t>
      </w:r>
      <w:r>
        <w:rPr>
          <w:rFonts w:hint="eastAsia" w:ascii="仿宋" w:hAnsi="仿宋" w:eastAsia="仿宋" w:cs="仿宋"/>
          <w:bCs/>
          <w:sz w:val="24"/>
          <w:szCs w:val="24"/>
        </w:rPr>
        <w:t xml:space="preserve">企业环保咨询与培训等。为塘栖镇提供日常技术支持，协助管理部门解决各类环保问题，具体工作内容及考核目标见表 </w:t>
      </w:r>
      <w:r>
        <w:rPr>
          <w:rFonts w:hint="eastAsia" w:ascii="仿宋" w:hAnsi="仿宋" w:eastAsia="仿宋" w:cs="仿宋"/>
          <w:bCs/>
          <w:sz w:val="24"/>
          <w:szCs w:val="24"/>
          <w:lang w:val="en-US" w:eastAsia="zh-CN"/>
        </w:rPr>
        <w:t>1</w:t>
      </w:r>
      <w:r>
        <w:rPr>
          <w:rFonts w:hint="eastAsia" w:ascii="仿宋" w:hAnsi="仿宋" w:eastAsia="仿宋" w:cs="仿宋"/>
          <w:bCs/>
          <w:sz w:val="24"/>
          <w:szCs w:val="24"/>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rPr>
        <w:t xml:space="preserve">。 </w:t>
      </w:r>
    </w:p>
    <w:p w14:paraId="284BC96F">
      <w:pPr>
        <w:spacing w:line="360" w:lineRule="auto"/>
        <w:jc w:val="center"/>
        <w:outlineLvl w:val="1"/>
        <w:rPr>
          <w:rFonts w:ascii="Arial" w:hAnsi="Arial" w:cs="Arial"/>
          <w:b/>
          <w:sz w:val="24"/>
          <w:szCs w:val="28"/>
        </w:rPr>
      </w:pPr>
      <w:r>
        <w:rPr>
          <w:rFonts w:ascii="Arial" w:hAnsi="Arial" w:cs="Arial"/>
          <w:b/>
          <w:sz w:val="24"/>
        </w:rPr>
        <w:t>表</w:t>
      </w:r>
      <w:r>
        <w:rPr>
          <w:rFonts w:hint="eastAsia" w:ascii="Arial" w:hAnsi="Arial" w:cs="Arial"/>
          <w:b/>
          <w:sz w:val="24"/>
          <w:lang w:val="en-US" w:eastAsia="zh-CN"/>
        </w:rPr>
        <w:t>1</w:t>
      </w:r>
      <w:r>
        <w:rPr>
          <w:rFonts w:ascii="Arial" w:hAnsi="Arial" w:cs="Arial"/>
          <w:b/>
          <w:sz w:val="24"/>
        </w:rPr>
        <w:t xml:space="preserve">  政府层面环保管家服务内容、工作目标及考核内容</w:t>
      </w:r>
    </w:p>
    <w:tbl>
      <w:tblPr>
        <w:tblStyle w:val="7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57" w:type="dxa"/>
          <w:bottom w:w="0" w:type="dxa"/>
          <w:right w:w="57" w:type="dxa"/>
        </w:tblCellMar>
      </w:tblPr>
      <w:tblGrid>
        <w:gridCol w:w="1072"/>
        <w:gridCol w:w="845"/>
        <w:gridCol w:w="4093"/>
        <w:gridCol w:w="2416"/>
      </w:tblGrid>
      <w:tr w14:paraId="728B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78" w:hRule="atLeast"/>
          <w:tblHeader/>
          <w:jc w:val="center"/>
        </w:trPr>
        <w:tc>
          <w:tcPr>
            <w:tcW w:w="1137" w:type="pct"/>
            <w:gridSpan w:val="2"/>
            <w:vMerge w:val="restart"/>
            <w:shd w:val="clear" w:color="auto" w:fill="auto"/>
            <w:vAlign w:val="center"/>
          </w:tcPr>
          <w:p w14:paraId="76323449">
            <w:pPr>
              <w:contextualSpacing/>
              <w:jc w:val="center"/>
              <w:rPr>
                <w:rFonts w:ascii="仿宋" w:hAnsi="仿宋" w:eastAsia="仿宋" w:cs="Arial"/>
                <w:b/>
              </w:rPr>
            </w:pPr>
            <w:r>
              <w:rPr>
                <w:rFonts w:ascii="仿宋" w:hAnsi="仿宋" w:eastAsia="仿宋" w:cs="Arial"/>
                <w:b/>
                <w:bCs/>
              </w:rPr>
              <w:t>服务类别</w:t>
            </w:r>
          </w:p>
        </w:tc>
        <w:tc>
          <w:tcPr>
            <w:tcW w:w="2428" w:type="pct"/>
            <w:vMerge w:val="restart"/>
            <w:shd w:val="clear" w:color="auto" w:fill="auto"/>
            <w:vAlign w:val="center"/>
          </w:tcPr>
          <w:p w14:paraId="4C873945">
            <w:pPr>
              <w:contextualSpacing/>
              <w:jc w:val="center"/>
              <w:rPr>
                <w:rFonts w:ascii="仿宋" w:hAnsi="仿宋" w:eastAsia="仿宋" w:cs="Arial"/>
                <w:b/>
              </w:rPr>
            </w:pPr>
            <w:r>
              <w:rPr>
                <w:rFonts w:ascii="仿宋" w:hAnsi="仿宋" w:eastAsia="仿宋" w:cs="Arial"/>
                <w:b/>
                <w:bCs/>
              </w:rPr>
              <w:t>服 务 内 容</w:t>
            </w:r>
          </w:p>
        </w:tc>
        <w:tc>
          <w:tcPr>
            <w:tcW w:w="1433" w:type="pct"/>
            <w:vMerge w:val="restart"/>
            <w:shd w:val="clear" w:color="auto" w:fill="auto"/>
            <w:vAlign w:val="center"/>
          </w:tcPr>
          <w:p w14:paraId="1AEAE55B">
            <w:pPr>
              <w:contextualSpacing/>
              <w:jc w:val="center"/>
              <w:rPr>
                <w:rFonts w:ascii="仿宋" w:hAnsi="仿宋" w:eastAsia="仿宋" w:cs="Arial"/>
                <w:b/>
                <w:bCs/>
              </w:rPr>
            </w:pPr>
            <w:r>
              <w:rPr>
                <w:rFonts w:ascii="仿宋" w:hAnsi="仿宋" w:eastAsia="仿宋" w:cs="Arial"/>
                <w:b/>
                <w:bCs/>
              </w:rPr>
              <w:t>工作目标及考核内容</w:t>
            </w:r>
          </w:p>
        </w:tc>
      </w:tr>
      <w:tr w14:paraId="3C41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19" w:hRule="atLeast"/>
          <w:tblHeader/>
          <w:jc w:val="center"/>
        </w:trPr>
        <w:tc>
          <w:tcPr>
            <w:tcW w:w="1137" w:type="pct"/>
            <w:gridSpan w:val="2"/>
            <w:vMerge w:val="continue"/>
            <w:shd w:val="clear" w:color="auto" w:fill="auto"/>
            <w:vAlign w:val="center"/>
          </w:tcPr>
          <w:p w14:paraId="0C213769">
            <w:pPr>
              <w:contextualSpacing/>
              <w:jc w:val="center"/>
              <w:rPr>
                <w:rFonts w:ascii="仿宋" w:hAnsi="仿宋" w:eastAsia="仿宋" w:cs="Arial"/>
                <w:b/>
              </w:rPr>
            </w:pPr>
          </w:p>
        </w:tc>
        <w:tc>
          <w:tcPr>
            <w:tcW w:w="2428" w:type="pct"/>
            <w:vMerge w:val="continue"/>
            <w:shd w:val="clear" w:color="auto" w:fill="auto"/>
            <w:vAlign w:val="center"/>
          </w:tcPr>
          <w:p w14:paraId="2CB79F2B">
            <w:pPr>
              <w:contextualSpacing/>
              <w:jc w:val="center"/>
              <w:rPr>
                <w:rFonts w:ascii="仿宋" w:hAnsi="仿宋" w:eastAsia="仿宋" w:cs="Arial"/>
                <w:b/>
              </w:rPr>
            </w:pPr>
          </w:p>
        </w:tc>
        <w:tc>
          <w:tcPr>
            <w:tcW w:w="1433" w:type="pct"/>
            <w:vMerge w:val="continue"/>
            <w:shd w:val="clear" w:color="auto" w:fill="auto"/>
            <w:vAlign w:val="center"/>
          </w:tcPr>
          <w:p w14:paraId="293AEBEA">
            <w:pPr>
              <w:contextualSpacing/>
              <w:jc w:val="center"/>
              <w:rPr>
                <w:rFonts w:ascii="仿宋" w:hAnsi="仿宋" w:eastAsia="仿宋" w:cs="Arial"/>
                <w:b/>
                <w:bCs/>
              </w:rPr>
            </w:pPr>
          </w:p>
        </w:tc>
      </w:tr>
      <w:tr w14:paraId="2126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78" w:hRule="atLeast"/>
          <w:jc w:val="center"/>
        </w:trPr>
        <w:tc>
          <w:tcPr>
            <w:tcW w:w="636" w:type="pct"/>
            <w:vMerge w:val="restart"/>
            <w:shd w:val="clear" w:color="auto" w:fill="auto"/>
            <w:vAlign w:val="center"/>
          </w:tcPr>
          <w:p w14:paraId="1628A7AF">
            <w:pPr>
              <w:contextualSpacing/>
              <w:rPr>
                <w:rFonts w:ascii="仿宋" w:hAnsi="仿宋" w:eastAsia="仿宋" w:cs="Arial"/>
                <w:b/>
              </w:rPr>
            </w:pPr>
            <w:r>
              <w:rPr>
                <w:rFonts w:hint="eastAsia" w:ascii="仿宋" w:hAnsi="仿宋" w:eastAsia="仿宋" w:cs="Arial"/>
              </w:rPr>
              <w:t>以</w:t>
            </w:r>
            <w:r>
              <w:rPr>
                <w:rFonts w:ascii="仿宋" w:hAnsi="仿宋" w:eastAsia="仿宋" w:cs="Arial"/>
              </w:rPr>
              <w:t>区委区政府</w:t>
            </w:r>
            <w:r>
              <w:rPr>
                <w:rFonts w:hint="eastAsia" w:ascii="仿宋" w:hAnsi="仿宋" w:eastAsia="仿宋" w:cs="Arial"/>
                <w:lang w:eastAsia="zh-CN"/>
              </w:rPr>
              <w:t>2025年</w:t>
            </w:r>
            <w:r>
              <w:rPr>
                <w:rFonts w:ascii="仿宋" w:hAnsi="仿宋" w:eastAsia="仿宋" w:cs="Arial"/>
                <w:i/>
                <w:iCs/>
              </w:rPr>
              <w:t>对</w:t>
            </w:r>
            <w:r>
              <w:rPr>
                <w:rFonts w:hint="eastAsia" w:ascii="仿宋" w:hAnsi="仿宋" w:eastAsia="仿宋" w:cs="Arial"/>
                <w:i/>
                <w:iCs/>
              </w:rPr>
              <w:t>街道</w:t>
            </w:r>
            <w:r>
              <w:rPr>
                <w:rFonts w:ascii="仿宋" w:hAnsi="仿宋" w:eastAsia="仿宋" w:cs="Arial"/>
              </w:rPr>
              <w:t>下达的生态环境类任务配合开展工作</w:t>
            </w:r>
            <w:r>
              <w:rPr>
                <w:rFonts w:hint="eastAsia" w:ascii="仿宋" w:hAnsi="仿宋" w:eastAsia="仿宋" w:cs="Arial"/>
              </w:rPr>
              <w:t>为主</w:t>
            </w:r>
          </w:p>
        </w:tc>
        <w:tc>
          <w:tcPr>
            <w:tcW w:w="500" w:type="pct"/>
            <w:shd w:val="clear" w:color="auto" w:fill="auto"/>
            <w:vAlign w:val="center"/>
          </w:tcPr>
          <w:p w14:paraId="436F2637">
            <w:pPr>
              <w:contextualSpacing/>
              <w:jc w:val="center"/>
              <w:rPr>
                <w:rFonts w:ascii="仿宋" w:hAnsi="仿宋" w:eastAsia="仿宋" w:cs="Arial"/>
              </w:rPr>
            </w:pPr>
            <w:r>
              <w:rPr>
                <w:rFonts w:ascii="仿宋" w:hAnsi="仿宋" w:eastAsia="仿宋" w:cs="Arial"/>
              </w:rPr>
              <w:t>水污染防治</w:t>
            </w:r>
          </w:p>
        </w:tc>
        <w:tc>
          <w:tcPr>
            <w:tcW w:w="2428" w:type="pct"/>
            <w:shd w:val="clear" w:color="auto" w:fill="auto"/>
            <w:vAlign w:val="center"/>
          </w:tcPr>
          <w:p w14:paraId="082E3C08">
            <w:pPr>
              <w:contextualSpacing/>
              <w:rPr>
                <w:rFonts w:ascii="仿宋" w:hAnsi="仿宋" w:eastAsia="仿宋" w:cs="Arial"/>
              </w:rPr>
            </w:pPr>
            <w:r>
              <w:rPr>
                <w:rFonts w:ascii="仿宋" w:hAnsi="仿宋" w:eastAsia="仿宋" w:cs="Arial"/>
              </w:rPr>
              <w:t>（一）涉水工业企业整治。协助塘栖镇完成整治提升企业的治理成效检查，出具评估报告。</w:t>
            </w:r>
          </w:p>
          <w:p w14:paraId="37DD1623">
            <w:pPr>
              <w:contextualSpacing/>
              <w:rPr>
                <w:rFonts w:ascii="仿宋" w:hAnsi="仿宋" w:eastAsia="仿宋" w:cs="Arial"/>
              </w:rPr>
            </w:pPr>
            <w:r>
              <w:rPr>
                <w:rFonts w:ascii="仿宋" w:hAnsi="仿宋" w:eastAsia="仿宋" w:cs="Arial"/>
              </w:rPr>
              <w:t>（二）</w:t>
            </w:r>
            <w:r>
              <w:rPr>
                <w:rFonts w:hint="eastAsia" w:ascii="仿宋" w:hAnsi="仿宋" w:eastAsia="仿宋" w:cs="Arial"/>
              </w:rPr>
              <w:t>企业</w:t>
            </w:r>
            <w:r>
              <w:rPr>
                <w:rFonts w:ascii="仿宋" w:hAnsi="仿宋" w:eastAsia="仿宋" w:cs="Arial"/>
              </w:rPr>
              <w:t>污水零直排创建工作</w:t>
            </w:r>
          </w:p>
          <w:p w14:paraId="4ACC25CF">
            <w:pPr>
              <w:contextualSpacing/>
              <w:rPr>
                <w:rFonts w:ascii="仿宋" w:hAnsi="仿宋" w:eastAsia="仿宋" w:cs="Arial"/>
              </w:rPr>
            </w:pPr>
            <w:r>
              <w:rPr>
                <w:rFonts w:ascii="仿宋" w:hAnsi="仿宋" w:eastAsia="仿宋" w:cs="Arial"/>
              </w:rPr>
              <w:t>协助塘栖镇完成 “污水零直排”整治企业材料收集整理，汇编 “污水零直排”创建工作台账。</w:t>
            </w:r>
          </w:p>
        </w:tc>
        <w:tc>
          <w:tcPr>
            <w:tcW w:w="1433" w:type="pct"/>
            <w:shd w:val="clear" w:color="auto" w:fill="auto"/>
            <w:vAlign w:val="center"/>
          </w:tcPr>
          <w:p w14:paraId="368F3AD1">
            <w:pPr>
              <w:contextualSpacing/>
              <w:rPr>
                <w:rFonts w:ascii="仿宋" w:hAnsi="仿宋" w:eastAsia="仿宋" w:cs="Arial"/>
              </w:rPr>
            </w:pPr>
            <w:r>
              <w:rPr>
                <w:rFonts w:ascii="仿宋" w:hAnsi="仿宋" w:eastAsia="仿宋" w:cs="Arial"/>
              </w:rPr>
              <w:t>1、提交巡查、整改报告；</w:t>
            </w:r>
          </w:p>
          <w:p w14:paraId="456775C2">
            <w:pPr>
              <w:contextualSpacing/>
              <w:rPr>
                <w:rFonts w:ascii="仿宋" w:hAnsi="仿宋" w:eastAsia="仿宋" w:cs="Arial"/>
              </w:rPr>
            </w:pPr>
            <w:r>
              <w:rPr>
                <w:rFonts w:ascii="仿宋" w:hAnsi="仿宋" w:eastAsia="仿宋" w:cs="Arial"/>
              </w:rPr>
              <w:t>2、工业</w:t>
            </w:r>
            <w:r>
              <w:rPr>
                <w:rFonts w:hint="eastAsia" w:ascii="仿宋" w:hAnsi="仿宋" w:eastAsia="仿宋" w:cs="Arial"/>
              </w:rPr>
              <w:t>企业</w:t>
            </w:r>
            <w:r>
              <w:rPr>
                <w:rFonts w:ascii="仿宋" w:hAnsi="仿宋" w:eastAsia="仿宋" w:cs="Arial"/>
              </w:rPr>
              <w:t>污水零直排的创建工作，协助完成档案创建工作</w:t>
            </w:r>
          </w:p>
        </w:tc>
      </w:tr>
      <w:tr w14:paraId="7AE7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636" w:type="pct"/>
            <w:vMerge w:val="continue"/>
            <w:shd w:val="clear" w:color="auto" w:fill="auto"/>
            <w:vAlign w:val="center"/>
          </w:tcPr>
          <w:p w14:paraId="720EE857">
            <w:pPr>
              <w:contextualSpacing/>
              <w:jc w:val="center"/>
              <w:rPr>
                <w:rFonts w:ascii="仿宋" w:hAnsi="仿宋" w:eastAsia="仿宋" w:cs="Arial"/>
              </w:rPr>
            </w:pPr>
          </w:p>
        </w:tc>
        <w:tc>
          <w:tcPr>
            <w:tcW w:w="500" w:type="pct"/>
            <w:shd w:val="clear" w:color="auto" w:fill="auto"/>
            <w:vAlign w:val="center"/>
          </w:tcPr>
          <w:p w14:paraId="1E8B7520">
            <w:pPr>
              <w:contextualSpacing/>
              <w:jc w:val="center"/>
              <w:rPr>
                <w:rFonts w:ascii="仿宋" w:hAnsi="仿宋" w:eastAsia="仿宋" w:cs="Arial"/>
                <w:shd w:val="clear" w:color="auto" w:fill="FFFFFF"/>
              </w:rPr>
            </w:pPr>
            <w:r>
              <w:rPr>
                <w:rFonts w:ascii="仿宋" w:hAnsi="仿宋" w:eastAsia="仿宋" w:cs="Arial"/>
              </w:rPr>
              <w:t>大气污染防治</w:t>
            </w:r>
          </w:p>
        </w:tc>
        <w:tc>
          <w:tcPr>
            <w:tcW w:w="2428" w:type="pct"/>
            <w:shd w:val="clear" w:color="auto" w:fill="auto"/>
            <w:vAlign w:val="center"/>
          </w:tcPr>
          <w:p w14:paraId="789FFD75">
            <w:pPr>
              <w:contextualSpacing/>
              <w:rPr>
                <w:rFonts w:ascii="仿宋" w:hAnsi="仿宋" w:eastAsia="仿宋" w:cs="Arial"/>
              </w:rPr>
            </w:pPr>
            <w:r>
              <w:rPr>
                <w:rFonts w:ascii="仿宋" w:hAnsi="仿宋" w:eastAsia="仿宋"/>
              </w:rPr>
              <w:t>协助塘栖镇完成（临平区</w:t>
            </w:r>
            <w:r>
              <w:rPr>
                <w:rFonts w:hint="eastAsia" w:ascii="仿宋" w:hAnsi="仿宋" w:eastAsia="仿宋"/>
                <w:lang w:val="en-US" w:eastAsia="zh-CN"/>
              </w:rPr>
              <w:t>2025年</w:t>
            </w:r>
            <w:r>
              <w:rPr>
                <w:rFonts w:ascii="仿宋" w:hAnsi="仿宋" w:eastAsia="仿宋"/>
              </w:rPr>
              <w:t>政府下达的生态考核任务）文件中的相关任务（例如以下内容，具体内容以</w:t>
            </w:r>
            <w:r>
              <w:rPr>
                <w:rFonts w:hint="eastAsia" w:ascii="仿宋" w:hAnsi="仿宋" w:eastAsia="仿宋"/>
              </w:rPr>
              <w:t>每</w:t>
            </w:r>
            <w:r>
              <w:rPr>
                <w:rFonts w:ascii="仿宋" w:hAnsi="仿宋" w:eastAsia="仿宋"/>
              </w:rPr>
              <w:t>年下发的考核内容为准）：</w:t>
            </w:r>
          </w:p>
        </w:tc>
        <w:tc>
          <w:tcPr>
            <w:tcW w:w="1433" w:type="pct"/>
            <w:vMerge w:val="restart"/>
            <w:shd w:val="clear" w:color="auto" w:fill="auto"/>
            <w:vAlign w:val="center"/>
          </w:tcPr>
          <w:p w14:paraId="05F963E4">
            <w:pPr>
              <w:contextualSpacing/>
              <w:rPr>
                <w:rFonts w:ascii="仿宋" w:hAnsi="仿宋" w:eastAsia="仿宋" w:cs="Arial"/>
              </w:rPr>
            </w:pPr>
            <w:r>
              <w:rPr>
                <w:rFonts w:ascii="仿宋" w:hAnsi="仿宋" w:eastAsia="仿宋" w:cs="Arial"/>
              </w:rPr>
              <w:t>跟踪、指导企业完成整改，协助完成临平区</w:t>
            </w:r>
            <w:r>
              <w:rPr>
                <w:rFonts w:hint="eastAsia" w:ascii="仿宋" w:hAnsi="仿宋" w:eastAsia="仿宋" w:cs="Arial"/>
                <w:lang w:eastAsia="zh-CN"/>
              </w:rPr>
              <w:t>2025年</w:t>
            </w:r>
            <w:r>
              <w:rPr>
                <w:rFonts w:ascii="仿宋" w:hAnsi="仿宋" w:eastAsia="仿宋" w:cs="Arial"/>
              </w:rPr>
              <w:t>政府下达的生态考核任务，最终形成台账</w:t>
            </w:r>
            <w:r>
              <w:rPr>
                <w:rFonts w:hint="eastAsia" w:ascii="仿宋" w:hAnsi="仿宋" w:eastAsia="仿宋" w:cs="Arial"/>
              </w:rPr>
              <w:t>。</w:t>
            </w:r>
          </w:p>
        </w:tc>
      </w:tr>
      <w:tr w14:paraId="0580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501" w:hRule="atLeast"/>
          <w:jc w:val="center"/>
        </w:trPr>
        <w:tc>
          <w:tcPr>
            <w:tcW w:w="636" w:type="pct"/>
            <w:vMerge w:val="continue"/>
            <w:shd w:val="clear" w:color="auto" w:fill="auto"/>
            <w:vAlign w:val="center"/>
          </w:tcPr>
          <w:p w14:paraId="44E464CD">
            <w:pPr>
              <w:contextualSpacing/>
              <w:jc w:val="center"/>
              <w:rPr>
                <w:rFonts w:ascii="仿宋" w:hAnsi="仿宋" w:eastAsia="仿宋" w:cs="Arial"/>
              </w:rPr>
            </w:pPr>
          </w:p>
        </w:tc>
        <w:tc>
          <w:tcPr>
            <w:tcW w:w="500" w:type="pct"/>
            <w:shd w:val="clear" w:color="auto" w:fill="auto"/>
            <w:vAlign w:val="center"/>
          </w:tcPr>
          <w:p w14:paraId="3067CAB5">
            <w:pPr>
              <w:contextualSpacing/>
              <w:jc w:val="center"/>
              <w:rPr>
                <w:rFonts w:ascii="仿宋" w:hAnsi="仿宋" w:eastAsia="仿宋" w:cs="Arial"/>
              </w:rPr>
            </w:pPr>
            <w:r>
              <w:rPr>
                <w:rFonts w:hint="eastAsia" w:ascii="仿宋" w:hAnsi="仿宋" w:eastAsia="仿宋" w:cs="Arial"/>
              </w:rPr>
              <w:t>其他方面工作</w:t>
            </w:r>
          </w:p>
        </w:tc>
        <w:tc>
          <w:tcPr>
            <w:tcW w:w="2428" w:type="pct"/>
            <w:shd w:val="clear" w:color="auto" w:fill="auto"/>
            <w:vAlign w:val="center"/>
          </w:tcPr>
          <w:p w14:paraId="5BF2E813">
            <w:pPr>
              <w:contextualSpacing/>
              <w:rPr>
                <w:rFonts w:ascii="仿宋" w:hAnsi="仿宋" w:eastAsia="仿宋"/>
              </w:rPr>
            </w:pPr>
            <w:r>
              <w:rPr>
                <w:rFonts w:hint="eastAsia" w:ascii="仿宋" w:hAnsi="仿宋" w:eastAsia="仿宋"/>
              </w:rPr>
              <w:t>1、加强环境风险管控，落实环境应急管理；</w:t>
            </w:r>
          </w:p>
          <w:p w14:paraId="55511C4A">
            <w:pPr>
              <w:contextualSpacing/>
              <w:rPr>
                <w:rFonts w:ascii="仿宋" w:hAnsi="仿宋" w:eastAsia="仿宋"/>
              </w:rPr>
            </w:pPr>
            <w:r>
              <w:rPr>
                <w:rFonts w:hint="eastAsia" w:ascii="仿宋" w:hAnsi="仿宋" w:eastAsia="仿宋"/>
              </w:rPr>
              <w:t>2、落实土壤污染防治相关工作；</w:t>
            </w:r>
          </w:p>
          <w:p w14:paraId="11DE2F86">
            <w:pPr>
              <w:contextualSpacing/>
              <w:rPr>
                <w:rFonts w:ascii="仿宋" w:hAnsi="仿宋" w:eastAsia="仿宋"/>
              </w:rPr>
            </w:pPr>
            <w:r>
              <w:rPr>
                <w:rFonts w:hint="eastAsia" w:ascii="仿宋" w:hAnsi="仿宋" w:eastAsia="仿宋"/>
              </w:rPr>
              <w:t>3、落实固废环境污染防治相关工作；</w:t>
            </w:r>
          </w:p>
          <w:p w14:paraId="5C7A714D">
            <w:pPr>
              <w:contextualSpacing/>
              <w:rPr>
                <w:rFonts w:ascii="仿宋" w:hAnsi="仿宋" w:eastAsia="仿宋"/>
              </w:rPr>
            </w:pPr>
            <w:r>
              <w:rPr>
                <w:rFonts w:hint="eastAsia" w:ascii="仿宋" w:hAnsi="仿宋" w:eastAsia="仿宋"/>
              </w:rPr>
              <w:t>4、完成杭州生态智卫系统交办的任务</w:t>
            </w:r>
          </w:p>
          <w:p w14:paraId="4D30A18B">
            <w:pPr>
              <w:contextualSpacing/>
              <w:rPr>
                <w:rFonts w:ascii="仿宋" w:hAnsi="仿宋" w:eastAsia="仿宋" w:cs="仿宋_GB2312"/>
                <w:sz w:val="24"/>
                <w:szCs w:val="24"/>
              </w:rPr>
            </w:pPr>
            <w:r>
              <w:rPr>
                <w:rFonts w:hint="eastAsia" w:ascii="仿宋" w:hAnsi="仿宋" w:eastAsia="仿宋"/>
              </w:rPr>
              <w:t>5、加强“无废城市”建设</w:t>
            </w:r>
          </w:p>
        </w:tc>
        <w:tc>
          <w:tcPr>
            <w:tcW w:w="1433" w:type="pct"/>
            <w:vMerge w:val="continue"/>
            <w:shd w:val="clear" w:color="auto" w:fill="auto"/>
            <w:vAlign w:val="center"/>
          </w:tcPr>
          <w:p w14:paraId="2135DEFC">
            <w:pPr>
              <w:contextualSpacing/>
              <w:rPr>
                <w:rFonts w:ascii="仿宋" w:hAnsi="仿宋" w:eastAsia="仿宋" w:cs="Arial"/>
              </w:rPr>
            </w:pPr>
          </w:p>
        </w:tc>
      </w:tr>
      <w:tr w14:paraId="36EC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0" w:hRule="atLeast"/>
          <w:jc w:val="center"/>
        </w:trPr>
        <w:tc>
          <w:tcPr>
            <w:tcW w:w="636" w:type="pct"/>
            <w:vMerge w:val="restart"/>
            <w:shd w:val="clear" w:color="auto" w:fill="auto"/>
            <w:vAlign w:val="center"/>
          </w:tcPr>
          <w:p w14:paraId="5767E9D4">
            <w:pPr>
              <w:contextualSpacing/>
              <w:rPr>
                <w:rFonts w:ascii="仿宋" w:hAnsi="仿宋" w:eastAsia="仿宋" w:cs="Arial"/>
              </w:rPr>
            </w:pPr>
            <w:r>
              <w:rPr>
                <w:rFonts w:ascii="仿宋" w:hAnsi="仿宋" w:eastAsia="仿宋" w:cs="Arial"/>
              </w:rPr>
              <w:t>其他工作</w:t>
            </w:r>
          </w:p>
        </w:tc>
        <w:tc>
          <w:tcPr>
            <w:tcW w:w="500" w:type="pct"/>
            <w:shd w:val="clear" w:color="auto" w:fill="auto"/>
            <w:vAlign w:val="center"/>
          </w:tcPr>
          <w:p w14:paraId="7072A5A6">
            <w:pPr>
              <w:jc w:val="center"/>
              <w:rPr>
                <w:rFonts w:ascii="仿宋" w:hAnsi="仿宋" w:eastAsia="仿宋" w:cs="Arial"/>
                <w:bCs/>
              </w:rPr>
            </w:pPr>
            <w:r>
              <w:rPr>
                <w:rFonts w:ascii="仿宋" w:hAnsi="仿宋" w:eastAsia="仿宋" w:cs="Arial"/>
                <w:bCs/>
              </w:rPr>
              <w:t>信访投诉、各级督查的跟踪及维护</w:t>
            </w:r>
          </w:p>
        </w:tc>
        <w:tc>
          <w:tcPr>
            <w:tcW w:w="2428" w:type="pct"/>
            <w:shd w:val="clear" w:color="auto" w:fill="auto"/>
            <w:vAlign w:val="center"/>
          </w:tcPr>
          <w:p w14:paraId="482C702C">
            <w:pPr>
              <w:contextualSpacing/>
              <w:rPr>
                <w:rFonts w:ascii="仿宋" w:hAnsi="仿宋" w:eastAsia="仿宋" w:cs="Arial"/>
              </w:rPr>
            </w:pPr>
            <w:r>
              <w:rPr>
                <w:rFonts w:ascii="仿宋" w:hAnsi="仿宋" w:eastAsia="仿宋" w:cs="Arial"/>
              </w:rPr>
              <w:t>1、积极协助</w:t>
            </w:r>
            <w:r>
              <w:rPr>
                <w:rFonts w:hint="eastAsia" w:ascii="仿宋" w:hAnsi="仿宋" w:eastAsia="仿宋" w:cs="Arial"/>
              </w:rPr>
              <w:t>街道</w:t>
            </w:r>
            <w:r>
              <w:rPr>
                <w:rFonts w:ascii="仿宋" w:hAnsi="仿宋" w:eastAsia="仿宋" w:cs="Arial"/>
              </w:rPr>
              <w:t>化解环境信访投诉问题，对环境信访投诉问题及时回访，及时跟踪是否按要求整改、落实环保措施，杜绝重复信访问题。</w:t>
            </w:r>
          </w:p>
          <w:p w14:paraId="17FD0406">
            <w:pPr>
              <w:contextualSpacing/>
              <w:rPr>
                <w:rFonts w:ascii="仿宋" w:hAnsi="仿宋" w:eastAsia="仿宋" w:cs="Arial"/>
                <w:sz w:val="24"/>
              </w:rPr>
            </w:pPr>
            <w:r>
              <w:rPr>
                <w:rFonts w:ascii="仿宋" w:hAnsi="仿宋" w:eastAsia="仿宋" w:cs="Arial"/>
              </w:rPr>
              <w:t>2、积极协助</w:t>
            </w:r>
            <w:r>
              <w:rPr>
                <w:rFonts w:hint="eastAsia" w:ascii="仿宋" w:hAnsi="仿宋" w:eastAsia="仿宋" w:cs="Arial"/>
              </w:rPr>
              <w:t>街道</w:t>
            </w:r>
            <w:r>
              <w:rPr>
                <w:rFonts w:ascii="仿宋" w:hAnsi="仿宋" w:eastAsia="仿宋" w:cs="Arial"/>
              </w:rPr>
              <w:t>做好维稳工作、社会稳定风险评估等工作，杜绝处理异常、越级信访现象发生。</w:t>
            </w:r>
          </w:p>
        </w:tc>
        <w:tc>
          <w:tcPr>
            <w:tcW w:w="1433" w:type="pct"/>
            <w:shd w:val="clear" w:color="auto" w:fill="auto"/>
            <w:vAlign w:val="center"/>
          </w:tcPr>
          <w:p w14:paraId="618F34FB">
            <w:pPr>
              <w:contextualSpacing/>
              <w:rPr>
                <w:rFonts w:ascii="仿宋" w:hAnsi="仿宋" w:eastAsia="仿宋" w:cs="Arial"/>
                <w:bCs/>
              </w:rPr>
            </w:pPr>
            <w:r>
              <w:rPr>
                <w:rFonts w:ascii="仿宋" w:hAnsi="仿宋" w:eastAsia="仿宋" w:cs="Arial"/>
              </w:rPr>
              <w:t>1、积极跟进环境信访投诉事件的全过程，分析原因，</w:t>
            </w:r>
            <w:r>
              <w:rPr>
                <w:rFonts w:ascii="仿宋" w:hAnsi="仿宋" w:eastAsia="仿宋" w:cs="Arial"/>
                <w:bCs/>
              </w:rPr>
              <w:t>全程跟踪处理过程，包括环保局和投诉人之间调解工作的完，</w:t>
            </w:r>
            <w:r>
              <w:rPr>
                <w:rFonts w:ascii="仿宋" w:hAnsi="仿宋" w:eastAsia="仿宋" w:cs="Arial"/>
              </w:rPr>
              <w:t>协助制定解决方案，最终形成信访事件报告并归档，按20次计。</w:t>
            </w:r>
          </w:p>
        </w:tc>
      </w:tr>
      <w:tr w14:paraId="6ED8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6" w:hRule="atLeast"/>
          <w:jc w:val="center"/>
        </w:trPr>
        <w:tc>
          <w:tcPr>
            <w:tcW w:w="636" w:type="pct"/>
            <w:vMerge w:val="continue"/>
            <w:shd w:val="clear" w:color="auto" w:fill="auto"/>
            <w:vAlign w:val="center"/>
          </w:tcPr>
          <w:p w14:paraId="5F87AFDC">
            <w:pPr>
              <w:contextualSpacing/>
              <w:rPr>
                <w:rFonts w:ascii="仿宋" w:hAnsi="仿宋" w:eastAsia="仿宋" w:cs="Arial"/>
              </w:rPr>
            </w:pPr>
          </w:p>
        </w:tc>
        <w:tc>
          <w:tcPr>
            <w:tcW w:w="500" w:type="pct"/>
            <w:shd w:val="clear" w:color="auto" w:fill="auto"/>
            <w:vAlign w:val="center"/>
          </w:tcPr>
          <w:p w14:paraId="1886BC7B">
            <w:pPr>
              <w:jc w:val="center"/>
              <w:rPr>
                <w:rFonts w:ascii="仿宋" w:hAnsi="仿宋" w:eastAsia="仿宋" w:cs="Arial"/>
                <w:bCs/>
                <w:color w:val="auto"/>
                <w:kern w:val="2"/>
                <w:sz w:val="21"/>
                <w:szCs w:val="24"/>
                <w:lang w:val="en-US" w:eastAsia="zh-CN" w:bidi="ar-SA"/>
              </w:rPr>
            </w:pPr>
            <w:r>
              <w:rPr>
                <w:rFonts w:ascii="仿宋" w:hAnsi="仿宋" w:eastAsia="仿宋" w:cs="Arial"/>
                <w:bCs/>
                <w:color w:val="auto"/>
              </w:rPr>
              <w:t>环保检查</w:t>
            </w:r>
          </w:p>
        </w:tc>
        <w:tc>
          <w:tcPr>
            <w:tcW w:w="2428" w:type="pct"/>
            <w:shd w:val="clear" w:color="auto" w:fill="auto"/>
            <w:vAlign w:val="center"/>
          </w:tcPr>
          <w:p w14:paraId="148AD2BB">
            <w:pPr>
              <w:rPr>
                <w:rFonts w:ascii="仿宋" w:hAnsi="仿宋" w:eastAsia="仿宋" w:cs="Arial"/>
                <w:bCs/>
                <w:color w:val="auto"/>
                <w:kern w:val="2"/>
                <w:sz w:val="21"/>
                <w:szCs w:val="24"/>
                <w:lang w:val="en-US" w:eastAsia="zh-CN" w:bidi="ar-SA"/>
              </w:rPr>
            </w:pPr>
            <w:r>
              <w:rPr>
                <w:rFonts w:ascii="仿宋" w:hAnsi="仿宋" w:eastAsia="仿宋" w:cs="Arial"/>
                <w:bCs/>
                <w:color w:val="auto"/>
              </w:rPr>
              <w:t>陪同环保局莅临</w:t>
            </w:r>
            <w:r>
              <w:rPr>
                <w:rFonts w:ascii="仿宋" w:hAnsi="仿宋" w:eastAsia="仿宋" w:cs="Arial"/>
                <w:color w:val="auto"/>
              </w:rPr>
              <w:t>镇街、园区</w:t>
            </w:r>
            <w:r>
              <w:rPr>
                <w:rFonts w:ascii="仿宋" w:hAnsi="仿宋" w:eastAsia="仿宋" w:cs="Arial"/>
                <w:bCs/>
                <w:color w:val="auto"/>
              </w:rPr>
              <w:t>企业指导和检查。</w:t>
            </w:r>
          </w:p>
        </w:tc>
        <w:tc>
          <w:tcPr>
            <w:tcW w:w="1433" w:type="pct"/>
            <w:shd w:val="clear" w:color="auto" w:fill="auto"/>
            <w:vAlign w:val="center"/>
          </w:tcPr>
          <w:p w14:paraId="7A0AA147">
            <w:pPr>
              <w:rPr>
                <w:rFonts w:ascii="仿宋" w:hAnsi="仿宋" w:eastAsia="仿宋" w:cs="Arial"/>
                <w:bCs/>
                <w:color w:val="auto"/>
                <w:kern w:val="2"/>
                <w:sz w:val="21"/>
                <w:szCs w:val="24"/>
                <w:lang w:val="en-US" w:eastAsia="zh-CN" w:bidi="ar-SA"/>
              </w:rPr>
            </w:pPr>
            <w:r>
              <w:rPr>
                <w:rFonts w:ascii="仿宋" w:hAnsi="仿宋" w:eastAsia="仿宋" w:cs="Arial"/>
                <w:bCs/>
                <w:color w:val="auto"/>
              </w:rPr>
              <w:t>对环保局莅临</w:t>
            </w:r>
            <w:r>
              <w:rPr>
                <w:rFonts w:ascii="仿宋" w:hAnsi="仿宋" w:eastAsia="仿宋" w:cs="Arial"/>
                <w:color w:val="auto"/>
              </w:rPr>
              <w:t>镇街、园区</w:t>
            </w:r>
            <w:r>
              <w:rPr>
                <w:rFonts w:ascii="仿宋" w:hAnsi="仿宋" w:eastAsia="仿宋" w:cs="Arial"/>
                <w:bCs/>
                <w:color w:val="auto"/>
              </w:rPr>
              <w:t>企业指导和检查工作进行同程陪同参加，对环保局提出的相关疑问作出解答。</w:t>
            </w:r>
          </w:p>
        </w:tc>
      </w:tr>
      <w:tr w14:paraId="26A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6" w:hRule="atLeast"/>
          <w:jc w:val="center"/>
        </w:trPr>
        <w:tc>
          <w:tcPr>
            <w:tcW w:w="636" w:type="pct"/>
            <w:vMerge w:val="continue"/>
            <w:shd w:val="clear" w:color="auto" w:fill="auto"/>
            <w:vAlign w:val="center"/>
          </w:tcPr>
          <w:p w14:paraId="4AE2F658">
            <w:pPr>
              <w:contextualSpacing/>
              <w:rPr>
                <w:rFonts w:ascii="仿宋" w:hAnsi="仿宋" w:eastAsia="仿宋" w:cs="Arial"/>
              </w:rPr>
            </w:pPr>
          </w:p>
        </w:tc>
        <w:tc>
          <w:tcPr>
            <w:tcW w:w="500" w:type="pct"/>
            <w:shd w:val="clear" w:color="auto" w:fill="auto"/>
            <w:vAlign w:val="center"/>
          </w:tcPr>
          <w:p w14:paraId="6D38AE8A">
            <w:pPr>
              <w:jc w:val="center"/>
              <w:rPr>
                <w:rFonts w:hint="default" w:ascii="仿宋" w:hAnsi="仿宋" w:eastAsia="仿宋" w:cs="Arial"/>
                <w:bCs/>
                <w:color w:val="auto"/>
                <w:kern w:val="2"/>
                <w:sz w:val="21"/>
                <w:szCs w:val="24"/>
                <w:lang w:val="en-US" w:eastAsia="zh-CN" w:bidi="ar-SA"/>
              </w:rPr>
            </w:pPr>
            <w:r>
              <w:rPr>
                <w:rFonts w:hint="eastAsia" w:ascii="仿宋" w:hAnsi="仿宋" w:eastAsia="仿宋" w:cs="Arial"/>
                <w:bCs/>
                <w:color w:val="auto"/>
                <w:lang w:val="en-US" w:eastAsia="zh-CN"/>
              </w:rPr>
              <w:t>数字化平台开发</w:t>
            </w:r>
          </w:p>
        </w:tc>
        <w:tc>
          <w:tcPr>
            <w:tcW w:w="2428" w:type="pct"/>
            <w:shd w:val="clear" w:color="auto" w:fill="auto"/>
            <w:vAlign w:val="center"/>
          </w:tcPr>
          <w:p w14:paraId="692D33BE">
            <w:pPr>
              <w:rPr>
                <w:rFonts w:ascii="仿宋" w:hAnsi="仿宋" w:eastAsia="仿宋" w:cs="Arial"/>
                <w:bCs/>
                <w:color w:val="auto"/>
                <w:kern w:val="2"/>
                <w:sz w:val="21"/>
                <w:szCs w:val="24"/>
                <w:lang w:val="en-US" w:eastAsia="zh-CN" w:bidi="ar-SA"/>
              </w:rPr>
            </w:pPr>
            <w:r>
              <w:rPr>
                <w:rFonts w:hint="eastAsia" w:ascii="仿宋" w:hAnsi="仿宋" w:eastAsia="仿宋" w:cs="Arial"/>
                <w:bCs/>
                <w:color w:val="auto"/>
              </w:rPr>
              <w:t>提供数字化管理平台工具，</w:t>
            </w:r>
            <w:r>
              <w:rPr>
                <w:rFonts w:hint="eastAsia" w:ascii="仿宋" w:hAnsi="仿宋" w:eastAsia="仿宋" w:cs="仿宋"/>
                <w:bCs/>
                <w:color w:val="auto"/>
                <w:sz w:val="24"/>
                <w:szCs w:val="24"/>
                <w:lang w:eastAsia="zh-CN"/>
              </w:rPr>
              <w:t>对企业档案数据进行归集</w:t>
            </w:r>
          </w:p>
        </w:tc>
        <w:tc>
          <w:tcPr>
            <w:tcW w:w="1433" w:type="pct"/>
            <w:shd w:val="clear" w:color="auto" w:fill="auto"/>
            <w:vAlign w:val="center"/>
          </w:tcPr>
          <w:p w14:paraId="137A99B2">
            <w:pPr>
              <w:rPr>
                <w:rFonts w:ascii="仿宋" w:hAnsi="仿宋" w:eastAsia="仿宋" w:cs="Arial"/>
                <w:bCs/>
                <w:color w:val="auto"/>
                <w:kern w:val="2"/>
                <w:sz w:val="21"/>
                <w:szCs w:val="24"/>
                <w:lang w:val="en-US" w:eastAsia="zh-CN" w:bidi="ar-SA"/>
              </w:rPr>
            </w:pPr>
            <w:r>
              <w:rPr>
                <w:rFonts w:hint="eastAsia" w:ascii="仿宋" w:hAnsi="仿宋" w:eastAsia="仿宋" w:cs="Arial"/>
                <w:bCs/>
                <w:color w:val="auto"/>
              </w:rPr>
              <w:t>提供数字化管理平台工具，对企业档案数据进行归集，为环保管家日常开展各项服务工作提供数字化管理工具</w:t>
            </w:r>
          </w:p>
        </w:tc>
      </w:tr>
    </w:tbl>
    <w:p w14:paraId="053F0F89">
      <w:pPr>
        <w:rPr>
          <w:rFonts w:ascii="Arial" w:hAnsi="Arial" w:cs="Arial"/>
          <w:bCs/>
        </w:rPr>
      </w:pPr>
    </w:p>
    <w:p w14:paraId="3BE9995D">
      <w:pPr>
        <w:sectPr>
          <w:pgSz w:w="11906" w:h="16838"/>
          <w:pgMar w:top="1440" w:right="1797" w:bottom="1440" w:left="1797" w:header="851" w:footer="850" w:gutter="0"/>
          <w:cols w:space="720" w:num="1"/>
          <w:docGrid w:type="linesAndChars" w:linePitch="319" w:charSpace="640"/>
        </w:sectPr>
      </w:pPr>
    </w:p>
    <w:p w14:paraId="33538A84">
      <w:pPr>
        <w:jc w:val="center"/>
      </w:pPr>
      <w:r>
        <w:rPr>
          <w:rFonts w:ascii="仿宋" w:hAnsi="仿宋" w:eastAsia="仿宋" w:cs="Arial"/>
          <w:b/>
          <w:sz w:val="28"/>
        </w:rPr>
        <w:t>表</w:t>
      </w:r>
      <w:r>
        <w:rPr>
          <w:rFonts w:hint="eastAsia" w:ascii="仿宋" w:hAnsi="仿宋" w:eastAsia="仿宋" w:cs="Arial"/>
          <w:b/>
          <w:sz w:val="28"/>
          <w:lang w:val="en-US" w:eastAsia="zh-CN"/>
        </w:rPr>
        <w:t>2</w:t>
      </w:r>
      <w:r>
        <w:rPr>
          <w:rFonts w:ascii="仿宋" w:hAnsi="仿宋" w:eastAsia="仿宋" w:cs="Arial"/>
          <w:b/>
          <w:sz w:val="28"/>
        </w:rPr>
        <w:t xml:space="preserve"> 辖区内企业的全生命周期环保管家服务内容、工作目标及考核内容</w:t>
      </w:r>
    </w:p>
    <w:tbl>
      <w:tblPr>
        <w:tblStyle w:val="7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57" w:type="dxa"/>
          <w:bottom w:w="0" w:type="dxa"/>
          <w:right w:w="57" w:type="dxa"/>
        </w:tblCellMar>
      </w:tblPr>
      <w:tblGrid>
        <w:gridCol w:w="754"/>
        <w:gridCol w:w="1024"/>
        <w:gridCol w:w="6642"/>
        <w:gridCol w:w="5652"/>
      </w:tblGrid>
      <w:tr w14:paraId="51B1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78" w:hRule="atLeast"/>
          <w:jc w:val="center"/>
        </w:trPr>
        <w:tc>
          <w:tcPr>
            <w:tcW w:w="632" w:type="pct"/>
            <w:gridSpan w:val="2"/>
            <w:vMerge w:val="restart"/>
            <w:shd w:val="clear" w:color="auto" w:fill="FFFFFF"/>
            <w:vAlign w:val="center"/>
          </w:tcPr>
          <w:p w14:paraId="79A69D51">
            <w:pPr>
              <w:widowControl/>
              <w:jc w:val="center"/>
              <w:rPr>
                <w:rFonts w:ascii="Arial" w:hAnsi="Arial" w:cs="Arial"/>
                <w:b/>
                <w:bCs/>
                <w:color w:val="000000"/>
                <w:kern w:val="0"/>
              </w:rPr>
            </w:pPr>
            <w:r>
              <w:rPr>
                <w:rFonts w:ascii="Arial" w:hAnsi="Arial" w:cs="Arial"/>
                <w:b/>
                <w:bCs/>
                <w:color w:val="000000"/>
                <w:kern w:val="0"/>
              </w:rPr>
              <w:t>服务类别</w:t>
            </w:r>
          </w:p>
        </w:tc>
        <w:tc>
          <w:tcPr>
            <w:tcW w:w="2360" w:type="pct"/>
            <w:vMerge w:val="restart"/>
            <w:shd w:val="clear" w:color="auto" w:fill="FFFFFF"/>
            <w:vAlign w:val="center"/>
          </w:tcPr>
          <w:p w14:paraId="4A8340A2">
            <w:pPr>
              <w:widowControl/>
              <w:jc w:val="center"/>
              <w:rPr>
                <w:rFonts w:ascii="Arial" w:hAnsi="Arial" w:cs="Arial"/>
                <w:b/>
                <w:bCs/>
                <w:color w:val="000000"/>
                <w:kern w:val="0"/>
              </w:rPr>
            </w:pPr>
            <w:r>
              <w:rPr>
                <w:rFonts w:ascii="Arial" w:hAnsi="Arial" w:cs="Arial"/>
                <w:b/>
                <w:bCs/>
                <w:color w:val="000000"/>
                <w:kern w:val="0"/>
              </w:rPr>
              <w:t>服 务 内 容</w:t>
            </w:r>
          </w:p>
        </w:tc>
        <w:tc>
          <w:tcPr>
            <w:tcW w:w="2008" w:type="pct"/>
            <w:vMerge w:val="restart"/>
            <w:shd w:val="clear" w:color="auto" w:fill="FFFFFF"/>
            <w:vAlign w:val="center"/>
          </w:tcPr>
          <w:p w14:paraId="50E71F2D">
            <w:pPr>
              <w:widowControl/>
              <w:jc w:val="center"/>
              <w:rPr>
                <w:rFonts w:ascii="Arial" w:hAnsi="Arial" w:cs="Arial"/>
                <w:b/>
                <w:bCs/>
                <w:color w:val="000000"/>
                <w:kern w:val="0"/>
              </w:rPr>
            </w:pPr>
            <w:r>
              <w:rPr>
                <w:rFonts w:ascii="Arial" w:hAnsi="Arial" w:cs="Arial"/>
                <w:b/>
                <w:bCs/>
                <w:color w:val="000000"/>
                <w:kern w:val="0"/>
              </w:rPr>
              <w:t>工作目标及考核内容</w:t>
            </w:r>
          </w:p>
        </w:tc>
      </w:tr>
      <w:tr w14:paraId="2A7B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19" w:hRule="atLeast"/>
          <w:jc w:val="center"/>
        </w:trPr>
        <w:tc>
          <w:tcPr>
            <w:tcW w:w="632" w:type="pct"/>
            <w:gridSpan w:val="2"/>
            <w:vMerge w:val="continue"/>
            <w:shd w:val="clear" w:color="auto" w:fill="FFFFFF"/>
            <w:vAlign w:val="center"/>
          </w:tcPr>
          <w:p w14:paraId="3D8D0579">
            <w:pPr>
              <w:widowControl/>
              <w:jc w:val="center"/>
              <w:rPr>
                <w:rFonts w:ascii="Arial" w:hAnsi="Arial" w:cs="Arial"/>
                <w:b/>
                <w:bCs/>
                <w:color w:val="000000"/>
                <w:kern w:val="0"/>
              </w:rPr>
            </w:pPr>
          </w:p>
        </w:tc>
        <w:tc>
          <w:tcPr>
            <w:tcW w:w="2360" w:type="pct"/>
            <w:vMerge w:val="continue"/>
            <w:shd w:val="clear" w:color="auto" w:fill="FFFFFF"/>
            <w:vAlign w:val="center"/>
          </w:tcPr>
          <w:p w14:paraId="0E24F12D">
            <w:pPr>
              <w:widowControl/>
              <w:jc w:val="center"/>
              <w:rPr>
                <w:rFonts w:ascii="Arial" w:hAnsi="Arial" w:cs="Arial"/>
                <w:b/>
                <w:bCs/>
                <w:color w:val="000000"/>
                <w:kern w:val="0"/>
              </w:rPr>
            </w:pPr>
          </w:p>
        </w:tc>
        <w:tc>
          <w:tcPr>
            <w:tcW w:w="2008" w:type="pct"/>
            <w:vMerge w:val="continue"/>
            <w:shd w:val="clear" w:color="auto" w:fill="FFFFFF"/>
            <w:vAlign w:val="center"/>
          </w:tcPr>
          <w:p w14:paraId="7855B3D6">
            <w:pPr>
              <w:widowControl/>
              <w:jc w:val="center"/>
              <w:rPr>
                <w:rFonts w:ascii="Arial" w:hAnsi="Arial" w:cs="Arial"/>
                <w:b/>
                <w:bCs/>
                <w:color w:val="000000"/>
                <w:kern w:val="0"/>
              </w:rPr>
            </w:pPr>
          </w:p>
        </w:tc>
      </w:tr>
      <w:tr w14:paraId="2F0B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5" w:hRule="atLeast"/>
          <w:jc w:val="center"/>
        </w:trPr>
        <w:tc>
          <w:tcPr>
            <w:tcW w:w="268" w:type="pct"/>
            <w:vMerge w:val="restart"/>
            <w:shd w:val="clear" w:color="auto" w:fill="FFFFFF"/>
            <w:vAlign w:val="center"/>
          </w:tcPr>
          <w:p w14:paraId="7C9887A1">
            <w:pPr>
              <w:widowControl/>
              <w:jc w:val="center"/>
              <w:rPr>
                <w:rFonts w:ascii="Arial" w:hAnsi="Arial" w:cs="Arial"/>
                <w:b/>
                <w:bCs/>
                <w:color w:val="000000"/>
                <w:kern w:val="0"/>
              </w:rPr>
            </w:pPr>
            <w:r>
              <w:rPr>
                <w:rFonts w:ascii="Arial" w:hAnsi="Arial" w:cs="Arial"/>
                <w:b/>
                <w:bCs/>
                <w:color w:val="000000"/>
                <w:kern w:val="0"/>
              </w:rPr>
              <w:t>企业全生命周期环保管理</w:t>
            </w:r>
          </w:p>
        </w:tc>
        <w:tc>
          <w:tcPr>
            <w:tcW w:w="364" w:type="pct"/>
            <w:shd w:val="clear" w:color="auto" w:fill="FFFFFF"/>
            <w:vAlign w:val="center"/>
          </w:tcPr>
          <w:p w14:paraId="15EB4493">
            <w:pPr>
              <w:widowControl/>
              <w:jc w:val="center"/>
              <w:rPr>
                <w:rFonts w:ascii="Arial" w:hAnsi="Arial" w:cs="Arial"/>
                <w:bCs/>
                <w:color w:val="000000"/>
                <w:kern w:val="0"/>
              </w:rPr>
            </w:pPr>
            <w:r>
              <w:rPr>
                <w:rFonts w:ascii="Arial" w:hAnsi="Arial" w:cs="Arial"/>
                <w:bCs/>
                <w:color w:val="000000"/>
                <w:kern w:val="0"/>
              </w:rPr>
              <w:t>项目准入把关</w:t>
            </w:r>
          </w:p>
        </w:tc>
        <w:tc>
          <w:tcPr>
            <w:tcW w:w="2360" w:type="pct"/>
            <w:shd w:val="clear" w:color="auto" w:fill="FFFFFF"/>
            <w:vAlign w:val="center"/>
          </w:tcPr>
          <w:p w14:paraId="1EBA72E0">
            <w:pPr>
              <w:widowControl/>
              <w:rPr>
                <w:rFonts w:ascii="Arial" w:hAnsi="Arial" w:cs="Arial"/>
                <w:bCs/>
                <w:color w:val="000000"/>
                <w:kern w:val="0"/>
              </w:rPr>
            </w:pPr>
            <w:r>
              <w:rPr>
                <w:rFonts w:ascii="Arial" w:hAnsi="Arial" w:cs="Arial"/>
                <w:bCs/>
                <w:color w:val="000000"/>
                <w:kern w:val="0"/>
              </w:rPr>
              <w:t>1、针对各类新改扩建项目，重点从工艺技术和专项污染防治措施方面，协助</w:t>
            </w:r>
            <w:r>
              <w:rPr>
                <w:rFonts w:ascii="Arial" w:hAnsi="Arial" w:cs="Arial"/>
                <w:color w:val="000000"/>
              </w:rPr>
              <w:t>镇街、园区</w:t>
            </w:r>
            <w:r>
              <w:rPr>
                <w:rFonts w:ascii="Arial" w:hAnsi="Arial" w:cs="Arial"/>
                <w:bCs/>
                <w:color w:val="000000"/>
                <w:kern w:val="0"/>
              </w:rPr>
              <w:t>进行入驻企业环评初审技术评估。</w:t>
            </w:r>
          </w:p>
        </w:tc>
        <w:tc>
          <w:tcPr>
            <w:tcW w:w="2008" w:type="pct"/>
            <w:shd w:val="clear" w:color="auto" w:fill="FFFFFF"/>
            <w:vAlign w:val="center"/>
          </w:tcPr>
          <w:p w14:paraId="4CED8499">
            <w:pPr>
              <w:widowControl/>
              <w:rPr>
                <w:rFonts w:ascii="Arial" w:hAnsi="Arial" w:cs="Arial"/>
                <w:bCs/>
                <w:color w:val="000000"/>
                <w:kern w:val="0"/>
              </w:rPr>
            </w:pPr>
            <w:r>
              <w:rPr>
                <w:rFonts w:ascii="Arial" w:hAnsi="Arial" w:cs="Arial"/>
                <w:bCs/>
                <w:color w:val="000000"/>
                <w:kern w:val="0"/>
              </w:rPr>
              <w:t>需经现场踏勘、调研等工作，确定拟落地项目环保准入符合性，并出具书面建议书。每年预计完成20余项。</w:t>
            </w:r>
          </w:p>
        </w:tc>
      </w:tr>
      <w:tr w14:paraId="39B0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40" w:hRule="atLeast"/>
          <w:jc w:val="center"/>
        </w:trPr>
        <w:tc>
          <w:tcPr>
            <w:tcW w:w="268" w:type="pct"/>
            <w:vMerge w:val="continue"/>
            <w:shd w:val="clear" w:color="auto" w:fill="FFFFFF"/>
            <w:vAlign w:val="center"/>
          </w:tcPr>
          <w:p w14:paraId="7EF04EAE">
            <w:pPr>
              <w:widowControl/>
              <w:jc w:val="center"/>
              <w:rPr>
                <w:rFonts w:ascii="Arial" w:hAnsi="Arial" w:cs="Arial"/>
                <w:bCs/>
                <w:color w:val="000000"/>
                <w:kern w:val="0"/>
              </w:rPr>
            </w:pPr>
          </w:p>
        </w:tc>
        <w:tc>
          <w:tcPr>
            <w:tcW w:w="364" w:type="pct"/>
            <w:shd w:val="clear" w:color="auto" w:fill="FFFFFF"/>
            <w:vAlign w:val="center"/>
          </w:tcPr>
          <w:p w14:paraId="3CA8C3EF">
            <w:pPr>
              <w:widowControl/>
              <w:jc w:val="center"/>
              <w:rPr>
                <w:rFonts w:ascii="Arial" w:hAnsi="Arial" w:cs="Arial"/>
                <w:b/>
                <w:bCs/>
                <w:color w:val="000000"/>
                <w:kern w:val="0"/>
              </w:rPr>
            </w:pPr>
            <w:r>
              <w:rPr>
                <w:rFonts w:ascii="Arial" w:hAnsi="Arial" w:cs="Arial"/>
                <w:b/>
                <w:bCs/>
                <w:color w:val="000000"/>
                <w:kern w:val="0"/>
              </w:rPr>
              <w:t>重点企业日常监管</w:t>
            </w:r>
          </w:p>
        </w:tc>
        <w:tc>
          <w:tcPr>
            <w:tcW w:w="2360" w:type="pct"/>
            <w:shd w:val="clear" w:color="auto" w:fill="FFFFFF"/>
            <w:vAlign w:val="center"/>
          </w:tcPr>
          <w:p w14:paraId="367494F1">
            <w:pPr>
              <w:widowControl/>
              <w:rPr>
                <w:rFonts w:ascii="Arial" w:hAnsi="Arial" w:cs="Arial"/>
                <w:bCs/>
                <w:color w:val="000000"/>
                <w:kern w:val="0"/>
              </w:rPr>
            </w:pPr>
            <w:r>
              <w:rPr>
                <w:rFonts w:ascii="Arial" w:hAnsi="Arial" w:cs="Arial"/>
                <w:bCs/>
                <w:color w:val="000000"/>
                <w:kern w:val="0"/>
              </w:rPr>
              <w:t>1、</w:t>
            </w:r>
            <w:r>
              <w:rPr>
                <w:rFonts w:ascii="Arial" w:hAnsi="Arial" w:cs="Arial"/>
                <w:b/>
                <w:color w:val="000000"/>
                <w:kern w:val="0"/>
              </w:rPr>
              <w:t>重点工业企业全要素排查工作</w:t>
            </w:r>
            <w:r>
              <w:rPr>
                <w:rFonts w:ascii="Arial" w:hAnsi="Arial" w:cs="Arial"/>
                <w:bCs/>
                <w:color w:val="000000"/>
                <w:kern w:val="0"/>
              </w:rPr>
              <w:t>，包括：</w:t>
            </w:r>
          </w:p>
          <w:p w14:paraId="6F1DAF92">
            <w:pPr>
              <w:widowControl/>
              <w:rPr>
                <w:rFonts w:ascii="Arial" w:hAnsi="Arial" w:cs="Arial"/>
                <w:bCs/>
                <w:color w:val="000000"/>
                <w:kern w:val="0"/>
              </w:rPr>
            </w:pPr>
            <w:r>
              <w:rPr>
                <w:rFonts w:ascii="Arial" w:hAnsi="Arial" w:cs="Arial"/>
                <w:bCs/>
                <w:color w:val="000000"/>
                <w:kern w:val="0"/>
              </w:rPr>
              <w:t>(1)开展环保合法性检查，检查企业的批建符合情况（包括产品方案、设备、工艺、原料等）；指导企业建立健全环保“一厂一档”；</w:t>
            </w:r>
          </w:p>
          <w:p w14:paraId="3CDA0D71">
            <w:pPr>
              <w:widowControl/>
              <w:rPr>
                <w:rFonts w:ascii="Arial" w:hAnsi="Arial" w:cs="Arial"/>
                <w:bCs/>
                <w:color w:val="000000"/>
                <w:kern w:val="0"/>
              </w:rPr>
            </w:pPr>
            <w:r>
              <w:rPr>
                <w:rFonts w:ascii="Arial" w:hAnsi="Arial" w:cs="Arial"/>
                <w:bCs/>
                <w:color w:val="000000"/>
                <w:kern w:val="0"/>
              </w:rPr>
              <w:t xml:space="preserve">(2)开展环保设施“三同时”检查，建成企业建设项目环评及批复要求环保措施的落实情况；并在实施过程中提出优化建议； </w:t>
            </w:r>
          </w:p>
          <w:p w14:paraId="166203D0">
            <w:pPr>
              <w:widowControl/>
              <w:rPr>
                <w:rFonts w:ascii="Arial" w:hAnsi="Arial" w:cs="Arial"/>
                <w:bCs/>
                <w:color w:val="000000"/>
                <w:kern w:val="0"/>
              </w:rPr>
            </w:pPr>
            <w:r>
              <w:rPr>
                <w:rFonts w:ascii="Arial" w:hAnsi="Arial" w:cs="Arial"/>
                <w:bCs/>
                <w:color w:val="000000"/>
                <w:kern w:val="0"/>
              </w:rPr>
              <w:t>(3)开展“三废”达标性检查（包括企业废水、废气、固废处理设施和在线监控设施运行情况、达标情况）、固废(重点关注危险废物)处置规范性检查及厂界的污染物达标性检查，发现问题提出整改方案并指导实施；</w:t>
            </w:r>
          </w:p>
          <w:p w14:paraId="786CFB07">
            <w:pPr>
              <w:widowControl/>
              <w:rPr>
                <w:rFonts w:ascii="Arial" w:hAnsi="Arial" w:cs="Arial"/>
                <w:bCs/>
                <w:color w:val="000000"/>
                <w:kern w:val="0"/>
              </w:rPr>
            </w:pPr>
            <w:r>
              <w:rPr>
                <w:rFonts w:ascii="Arial" w:hAnsi="Arial" w:cs="Arial"/>
                <w:bCs/>
                <w:color w:val="000000"/>
                <w:kern w:val="0"/>
              </w:rPr>
              <w:t>(4)对重点监管企业进行全方位的环境风险排查（包括应急预案的编制和备案、应急体系的建设、应急物资/设施落实情况等）。</w:t>
            </w:r>
          </w:p>
          <w:p w14:paraId="1983E87A">
            <w:pPr>
              <w:widowControl/>
              <w:rPr>
                <w:rFonts w:ascii="Arial" w:hAnsi="Arial" w:cs="Arial"/>
                <w:bCs/>
                <w:color w:val="000000"/>
                <w:kern w:val="0"/>
              </w:rPr>
            </w:pPr>
            <w:r>
              <w:rPr>
                <w:rFonts w:ascii="Arial" w:hAnsi="Arial" w:cs="Arial"/>
                <w:bCs/>
                <w:color w:val="000000"/>
                <w:kern w:val="0"/>
              </w:rPr>
              <w:t>(5)针对已申领国家版排污许可证的简化、重点管理的企业，进行排污许可证管理的检查（包括自行监测、执行报告、相关台帐的建立情况）.</w:t>
            </w:r>
          </w:p>
          <w:p w14:paraId="127A65A4">
            <w:pPr>
              <w:widowControl/>
              <w:rPr>
                <w:rFonts w:ascii="Arial" w:hAnsi="Arial" w:cs="Arial"/>
                <w:bCs/>
                <w:color w:val="000000"/>
                <w:kern w:val="0"/>
              </w:rPr>
            </w:pPr>
            <w:r>
              <w:rPr>
                <w:rFonts w:ascii="Arial" w:hAnsi="Arial" w:cs="Arial"/>
                <w:bCs/>
                <w:color w:val="000000"/>
                <w:kern w:val="0"/>
              </w:rPr>
              <w:t>2、改+服务：针对检查发现的问题，及时汇报街道及环保所，协助制定整改方案，并服务和督促企业整改；</w:t>
            </w:r>
          </w:p>
          <w:p w14:paraId="5AC5E07A">
            <w:pPr>
              <w:widowControl/>
              <w:rPr>
                <w:rFonts w:ascii="Arial" w:hAnsi="Arial" w:cs="Arial"/>
                <w:bCs/>
                <w:color w:val="000000"/>
                <w:kern w:val="0"/>
              </w:rPr>
            </w:pPr>
            <w:r>
              <w:rPr>
                <w:rFonts w:ascii="Arial" w:hAnsi="Arial" w:cs="Arial"/>
                <w:bCs/>
                <w:color w:val="000000"/>
                <w:kern w:val="0"/>
              </w:rPr>
              <w:t>3、验收：形成整改完成报告，完成问题-整改-验收的闭合流程。</w:t>
            </w:r>
          </w:p>
        </w:tc>
        <w:tc>
          <w:tcPr>
            <w:tcW w:w="2008" w:type="pct"/>
            <w:shd w:val="clear" w:color="auto" w:fill="FFFFFF"/>
            <w:vAlign w:val="center"/>
          </w:tcPr>
          <w:p w14:paraId="18BEAF6A">
            <w:pPr>
              <w:rPr>
                <w:rFonts w:ascii="Arial" w:hAnsi="Arial" w:cs="Arial"/>
                <w:bCs/>
                <w:color w:val="000000"/>
                <w:kern w:val="0"/>
              </w:rPr>
            </w:pPr>
          </w:p>
          <w:p w14:paraId="3F68857D">
            <w:pPr>
              <w:rPr>
                <w:rFonts w:ascii="Arial" w:hAnsi="Arial" w:cs="Arial"/>
                <w:bCs/>
                <w:color w:val="000000"/>
                <w:kern w:val="0"/>
              </w:rPr>
            </w:pPr>
            <w:r>
              <w:rPr>
                <w:rFonts w:ascii="Arial" w:hAnsi="Arial" w:cs="Arial"/>
                <w:bCs/>
                <w:color w:val="000000"/>
                <w:kern w:val="0"/>
              </w:rPr>
              <w:t>（1）120家重点排污企业及规上企业全要素排查工作，出具“企业环保全要素诊断报告书”。</w:t>
            </w:r>
          </w:p>
          <w:p w14:paraId="5A6ED46C">
            <w:pPr>
              <w:pStyle w:val="968"/>
              <w:rPr>
                <w:rFonts w:ascii="Arial" w:hAnsi="Arial" w:cs="Arial"/>
                <w:bCs/>
                <w:color w:val="000000"/>
                <w:sz w:val="21"/>
                <w:szCs w:val="21"/>
                <w:lang w:val="en-US"/>
              </w:rPr>
            </w:pPr>
            <w:r>
              <w:rPr>
                <w:rFonts w:ascii="Arial" w:hAnsi="Arial" w:cs="Arial"/>
                <w:bCs/>
                <w:color w:val="000000"/>
                <w:sz w:val="21"/>
                <w:szCs w:val="21"/>
                <w:lang w:val="en-US"/>
              </w:rPr>
              <w:t>（2）督促和服务整改，出具服务日志。重点排污企业及规上企业（以120家计）每季度巡检及上门服务一次，出具检查日志。重要节日、重大活动期间加大频次。</w:t>
            </w:r>
          </w:p>
          <w:p w14:paraId="47BC6F22">
            <w:pPr>
              <w:pStyle w:val="968"/>
              <w:rPr>
                <w:rFonts w:ascii="Arial" w:hAnsi="Arial" w:cs="Arial"/>
                <w:bCs/>
                <w:color w:val="000000"/>
                <w:sz w:val="21"/>
                <w:szCs w:val="21"/>
                <w:lang w:val="en-US"/>
              </w:rPr>
            </w:pPr>
            <w:r>
              <w:rPr>
                <w:rFonts w:ascii="Arial" w:hAnsi="Arial" w:cs="Arial"/>
                <w:bCs/>
                <w:color w:val="000000"/>
                <w:sz w:val="21"/>
                <w:szCs w:val="21"/>
                <w:lang w:val="en-US"/>
              </w:rPr>
              <w:t>（3）针对国家版排污许可证简化和重点管理的企业，进行排污许可证证后监管：分月度、季度、年月证后管理检查，包括排污许可证管理、自行监测，执行报告、环保台账、信息公开等。</w:t>
            </w:r>
          </w:p>
          <w:p w14:paraId="0A29BD8B">
            <w:pPr>
              <w:rPr>
                <w:rFonts w:ascii="Arial" w:hAnsi="Arial" w:cs="Arial"/>
                <w:bCs/>
                <w:color w:val="000000"/>
                <w:kern w:val="0"/>
              </w:rPr>
            </w:pPr>
          </w:p>
        </w:tc>
      </w:tr>
      <w:tr w14:paraId="6704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40" w:hRule="atLeast"/>
          <w:jc w:val="center"/>
        </w:trPr>
        <w:tc>
          <w:tcPr>
            <w:tcW w:w="268" w:type="pct"/>
            <w:vMerge w:val="restart"/>
            <w:shd w:val="clear" w:color="auto" w:fill="FFFFFF"/>
            <w:vAlign w:val="center"/>
          </w:tcPr>
          <w:p w14:paraId="1B176B21">
            <w:pPr>
              <w:widowControl/>
              <w:jc w:val="center"/>
              <w:rPr>
                <w:rFonts w:ascii="Arial" w:hAnsi="Arial" w:cs="Arial"/>
                <w:bCs/>
                <w:color w:val="000000"/>
                <w:kern w:val="0"/>
              </w:rPr>
            </w:pPr>
            <w:r>
              <w:rPr>
                <w:rFonts w:hint="eastAsia" w:ascii="Arial" w:hAnsi="Arial" w:cs="Arial"/>
                <w:bCs/>
                <w:color w:val="000000"/>
                <w:kern w:val="0"/>
              </w:rPr>
              <w:t>特色服务</w:t>
            </w:r>
          </w:p>
        </w:tc>
        <w:tc>
          <w:tcPr>
            <w:tcW w:w="364" w:type="pct"/>
            <w:shd w:val="clear" w:color="auto" w:fill="FFFFFF"/>
            <w:vAlign w:val="center"/>
          </w:tcPr>
          <w:p w14:paraId="5B71DF65">
            <w:pPr>
              <w:widowControl/>
              <w:jc w:val="center"/>
              <w:rPr>
                <w:rFonts w:ascii="Arial" w:hAnsi="Arial" w:cs="Arial"/>
                <w:b/>
                <w:bCs/>
                <w:color w:val="000000"/>
                <w:kern w:val="0"/>
              </w:rPr>
            </w:pPr>
            <w:r>
              <w:rPr>
                <w:rFonts w:hint="eastAsia" w:ascii="Arial" w:hAnsi="Arial" w:cs="Arial"/>
                <w:b/>
                <w:bCs/>
                <w:color w:val="000000"/>
                <w:kern w:val="0"/>
              </w:rPr>
              <w:t>低小散企业专项检查</w:t>
            </w:r>
          </w:p>
        </w:tc>
        <w:tc>
          <w:tcPr>
            <w:tcW w:w="2360" w:type="pct"/>
            <w:shd w:val="clear" w:color="auto" w:fill="FFFFFF"/>
            <w:vAlign w:val="center"/>
          </w:tcPr>
          <w:p w14:paraId="6C14C4F7">
            <w:pPr>
              <w:widowControl/>
              <w:rPr>
                <w:rFonts w:ascii="Arial" w:hAnsi="Arial" w:cs="Arial"/>
                <w:bCs/>
                <w:color w:val="000000"/>
                <w:kern w:val="0"/>
              </w:rPr>
            </w:pPr>
            <w:r>
              <w:rPr>
                <w:rFonts w:hint="eastAsia" w:ascii="Arial" w:hAnsi="Arial" w:cs="Arial"/>
                <w:bCs/>
                <w:color w:val="000000"/>
                <w:kern w:val="0"/>
              </w:rPr>
              <w:t>塘栖镇境内有多处低小散集中租赁园区，导致部分区域环境脏乱差、环保违法风险大，部分企业存在未履行环保手续（包括环评、环保验收等），部分企业生产经营还存在内容擅自变更或放大，造成项目选址与用地和产业发展规划以等相冲突，增加了环保违法风险。</w:t>
            </w:r>
          </w:p>
        </w:tc>
        <w:tc>
          <w:tcPr>
            <w:tcW w:w="2008" w:type="pct"/>
            <w:shd w:val="clear" w:color="auto" w:fill="FFFFFF"/>
            <w:vAlign w:val="center"/>
          </w:tcPr>
          <w:p w14:paraId="22C8E43E">
            <w:pPr>
              <w:rPr>
                <w:rFonts w:ascii="Arial" w:hAnsi="Arial" w:cs="Arial"/>
                <w:bCs/>
                <w:color w:val="000000"/>
                <w:kern w:val="0"/>
              </w:rPr>
            </w:pPr>
            <w:r>
              <w:rPr>
                <w:rFonts w:hint="eastAsia" w:ascii="Arial" w:hAnsi="Arial" w:cs="Arial"/>
                <w:bCs/>
                <w:color w:val="000000"/>
                <w:kern w:val="0"/>
              </w:rPr>
              <w:t>针对低小散企业</w:t>
            </w:r>
            <w:r>
              <w:rPr>
                <w:rFonts w:ascii="Arial" w:hAnsi="Arial" w:cs="Arial"/>
                <w:bCs/>
                <w:color w:val="000000"/>
                <w:kern w:val="0"/>
              </w:rPr>
              <w:t>出具书面</w:t>
            </w:r>
            <w:r>
              <w:rPr>
                <w:rFonts w:hint="eastAsia" w:ascii="Arial" w:hAnsi="Arial" w:cs="Arial"/>
                <w:bCs/>
                <w:color w:val="000000"/>
                <w:kern w:val="0"/>
              </w:rPr>
              <w:t>整改</w:t>
            </w:r>
            <w:r>
              <w:rPr>
                <w:rFonts w:ascii="Arial" w:hAnsi="Arial" w:cs="Arial"/>
                <w:bCs/>
                <w:color w:val="000000"/>
                <w:kern w:val="0"/>
              </w:rPr>
              <w:t>建议书。</w:t>
            </w:r>
            <w:r>
              <w:rPr>
                <w:rFonts w:hint="eastAsia" w:ascii="Arial" w:hAnsi="Arial" w:cs="Arial"/>
                <w:bCs/>
                <w:color w:val="000000"/>
                <w:kern w:val="0"/>
                <w:lang w:val="en-US" w:eastAsia="zh-CN"/>
              </w:rPr>
              <w:t>年度</w:t>
            </w:r>
            <w:r>
              <w:rPr>
                <w:rFonts w:hint="eastAsia" w:ascii="Arial" w:hAnsi="Arial" w:cs="Arial"/>
                <w:bCs/>
                <w:color w:val="000000"/>
                <w:kern w:val="0"/>
              </w:rPr>
              <w:t>至少查出2</w:t>
            </w:r>
            <w:r>
              <w:rPr>
                <w:rFonts w:ascii="Arial" w:hAnsi="Arial" w:cs="Arial"/>
                <w:bCs/>
                <w:color w:val="000000"/>
                <w:kern w:val="0"/>
              </w:rPr>
              <w:t>0余</w:t>
            </w:r>
            <w:r>
              <w:rPr>
                <w:rFonts w:hint="eastAsia" w:ascii="Arial" w:hAnsi="Arial" w:cs="Arial"/>
                <w:bCs/>
                <w:color w:val="000000"/>
                <w:kern w:val="0"/>
              </w:rPr>
              <w:t>家未履行环保手续的低小散企业</w:t>
            </w:r>
            <w:r>
              <w:rPr>
                <w:rFonts w:ascii="Arial" w:hAnsi="Arial" w:cs="Arial"/>
                <w:bCs/>
                <w:color w:val="000000"/>
                <w:kern w:val="0"/>
              </w:rPr>
              <w:t>。</w:t>
            </w:r>
          </w:p>
        </w:tc>
      </w:tr>
      <w:tr w14:paraId="68B9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40" w:hRule="atLeast"/>
          <w:jc w:val="center"/>
        </w:trPr>
        <w:tc>
          <w:tcPr>
            <w:tcW w:w="268" w:type="pct"/>
            <w:vMerge w:val="continue"/>
            <w:shd w:val="clear" w:color="auto" w:fill="FFFFFF"/>
            <w:vAlign w:val="center"/>
          </w:tcPr>
          <w:p w14:paraId="099D63E6">
            <w:pPr>
              <w:widowControl/>
              <w:jc w:val="center"/>
              <w:rPr>
                <w:rFonts w:ascii="Arial" w:hAnsi="Arial" w:cs="Arial"/>
                <w:bCs/>
                <w:color w:val="000000"/>
                <w:kern w:val="0"/>
              </w:rPr>
            </w:pPr>
          </w:p>
        </w:tc>
        <w:tc>
          <w:tcPr>
            <w:tcW w:w="364" w:type="pct"/>
            <w:shd w:val="clear" w:color="auto" w:fill="FFFFFF"/>
            <w:vAlign w:val="center"/>
          </w:tcPr>
          <w:p w14:paraId="7A0E739E">
            <w:pPr>
              <w:widowControl/>
              <w:jc w:val="center"/>
              <w:rPr>
                <w:rFonts w:ascii="Arial" w:hAnsi="Arial" w:cs="Arial"/>
                <w:b/>
                <w:bCs/>
                <w:color w:val="000000"/>
                <w:kern w:val="0"/>
              </w:rPr>
            </w:pPr>
            <w:r>
              <w:rPr>
                <w:rFonts w:hint="eastAsia" w:ascii="Arial" w:hAnsi="Arial" w:cs="Arial"/>
                <w:b/>
                <w:bCs/>
                <w:color w:val="000000"/>
                <w:kern w:val="0"/>
              </w:rPr>
              <w:t>危化品仓库专项检查</w:t>
            </w:r>
          </w:p>
        </w:tc>
        <w:tc>
          <w:tcPr>
            <w:tcW w:w="2360" w:type="pct"/>
            <w:shd w:val="clear" w:color="auto" w:fill="FFFFFF"/>
            <w:vAlign w:val="center"/>
          </w:tcPr>
          <w:p w14:paraId="4643B352">
            <w:pPr>
              <w:widowControl/>
              <w:numPr>
                <w:ilvl w:val="0"/>
                <w:numId w:val="1"/>
              </w:numPr>
              <w:adjustRightInd/>
              <w:rPr>
                <w:rFonts w:ascii="Arial" w:hAnsi="Arial" w:cs="Arial"/>
                <w:bCs/>
                <w:color w:val="000000"/>
                <w:kern w:val="0"/>
              </w:rPr>
            </w:pPr>
            <w:r>
              <w:rPr>
                <w:rFonts w:hint="eastAsia" w:ascii="Arial" w:hAnsi="Arial" w:cs="Arial"/>
                <w:bCs/>
                <w:color w:val="000000"/>
                <w:kern w:val="0"/>
              </w:rPr>
              <w:t>对塘栖镇境内涉及危化品企业开展检查，对危化品仓库的建设规范性开展重点核查。</w:t>
            </w:r>
          </w:p>
          <w:p w14:paraId="27F87493">
            <w:pPr>
              <w:widowControl/>
              <w:numPr>
                <w:ilvl w:val="0"/>
                <w:numId w:val="1"/>
              </w:numPr>
              <w:adjustRightInd/>
              <w:rPr>
                <w:rFonts w:ascii="Arial" w:hAnsi="Arial" w:cs="Arial"/>
                <w:bCs/>
                <w:color w:val="000000"/>
                <w:kern w:val="0"/>
              </w:rPr>
            </w:pPr>
            <w:r>
              <w:rPr>
                <w:rFonts w:hint="eastAsia" w:ascii="Arial" w:hAnsi="Arial" w:cs="Arial"/>
                <w:bCs/>
                <w:color w:val="000000"/>
                <w:kern w:val="0"/>
              </w:rPr>
              <w:t>对企业甲类仓库的安全距离进行核查。</w:t>
            </w:r>
          </w:p>
          <w:p w14:paraId="36E8251D">
            <w:pPr>
              <w:widowControl/>
              <w:numPr>
                <w:ilvl w:val="0"/>
                <w:numId w:val="1"/>
              </w:numPr>
              <w:adjustRightInd/>
              <w:rPr>
                <w:color w:val="000000"/>
              </w:rPr>
            </w:pPr>
            <w:r>
              <w:rPr>
                <w:rFonts w:hint="eastAsia" w:ascii="Arial" w:hAnsi="Arial" w:cs="Arial"/>
                <w:bCs/>
                <w:color w:val="000000"/>
                <w:kern w:val="0"/>
              </w:rPr>
              <w:t>对企业“五双”制度的执行情况进行核查</w:t>
            </w:r>
          </w:p>
        </w:tc>
        <w:tc>
          <w:tcPr>
            <w:tcW w:w="2008" w:type="pct"/>
            <w:shd w:val="clear" w:color="auto" w:fill="FFFFFF"/>
            <w:vAlign w:val="center"/>
          </w:tcPr>
          <w:p w14:paraId="0F8C98B8">
            <w:pPr>
              <w:rPr>
                <w:rFonts w:ascii="Arial" w:hAnsi="Arial" w:cs="Arial"/>
                <w:bCs/>
                <w:color w:val="000000"/>
                <w:kern w:val="0"/>
              </w:rPr>
            </w:pPr>
            <w:r>
              <w:rPr>
                <w:rFonts w:hint="eastAsia" w:ascii="Arial" w:hAnsi="Arial" w:cs="Arial"/>
                <w:bCs/>
                <w:color w:val="000000"/>
                <w:kern w:val="0"/>
              </w:rPr>
              <w:t>针对塘栖镇辖区范围内涉危化品的企业进行检查，预计年度至少查出2</w:t>
            </w:r>
            <w:r>
              <w:rPr>
                <w:rFonts w:ascii="Arial" w:hAnsi="Arial" w:cs="Arial"/>
                <w:bCs/>
                <w:color w:val="000000"/>
                <w:kern w:val="0"/>
              </w:rPr>
              <w:t>0</w:t>
            </w:r>
            <w:r>
              <w:rPr>
                <w:rFonts w:hint="eastAsia" w:ascii="Arial" w:hAnsi="Arial" w:cs="Arial"/>
                <w:bCs/>
                <w:color w:val="000000"/>
                <w:kern w:val="0"/>
              </w:rPr>
              <w:t>家企业危化品仓库建设不规范，同时</w:t>
            </w:r>
            <w:r>
              <w:rPr>
                <w:rFonts w:ascii="Arial" w:hAnsi="Arial" w:cs="Arial"/>
                <w:bCs/>
                <w:color w:val="000000"/>
                <w:kern w:val="0"/>
              </w:rPr>
              <w:t>给出专业的</w:t>
            </w:r>
            <w:r>
              <w:rPr>
                <w:rFonts w:hint="eastAsia" w:ascii="Arial" w:hAnsi="Arial" w:cs="Arial"/>
                <w:bCs/>
                <w:color w:val="000000"/>
                <w:kern w:val="0"/>
              </w:rPr>
              <w:t>整改</w:t>
            </w:r>
            <w:r>
              <w:rPr>
                <w:rFonts w:ascii="Arial" w:hAnsi="Arial" w:cs="Arial"/>
                <w:bCs/>
                <w:color w:val="000000"/>
                <w:kern w:val="0"/>
              </w:rPr>
              <w:t>指导意见</w:t>
            </w:r>
          </w:p>
        </w:tc>
      </w:tr>
      <w:tr w14:paraId="364B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40" w:hRule="atLeast"/>
          <w:jc w:val="center"/>
        </w:trPr>
        <w:tc>
          <w:tcPr>
            <w:tcW w:w="268" w:type="pct"/>
            <w:vMerge w:val="continue"/>
            <w:shd w:val="clear" w:color="auto" w:fill="FFFFFF"/>
            <w:vAlign w:val="center"/>
          </w:tcPr>
          <w:p w14:paraId="4E1D2159">
            <w:pPr>
              <w:widowControl/>
              <w:jc w:val="center"/>
              <w:rPr>
                <w:rFonts w:ascii="Arial" w:hAnsi="Arial" w:cs="Arial"/>
                <w:bCs/>
                <w:color w:val="000000"/>
                <w:kern w:val="0"/>
              </w:rPr>
            </w:pPr>
          </w:p>
        </w:tc>
        <w:tc>
          <w:tcPr>
            <w:tcW w:w="364" w:type="pct"/>
            <w:shd w:val="clear" w:color="auto" w:fill="FFFFFF"/>
            <w:vAlign w:val="center"/>
          </w:tcPr>
          <w:p w14:paraId="212E1013">
            <w:pPr>
              <w:widowControl/>
              <w:jc w:val="center"/>
              <w:rPr>
                <w:rFonts w:ascii="Arial" w:hAnsi="Arial" w:cs="Arial"/>
                <w:b/>
                <w:bCs/>
                <w:color w:val="000000"/>
                <w:kern w:val="0"/>
              </w:rPr>
            </w:pPr>
            <w:r>
              <w:rPr>
                <w:rFonts w:hint="eastAsia" w:ascii="Arial" w:hAnsi="Arial" w:cs="Arial"/>
                <w:b/>
                <w:bCs/>
                <w:color w:val="000000"/>
                <w:kern w:val="0"/>
              </w:rPr>
              <w:t>危废仓库专项检查</w:t>
            </w:r>
          </w:p>
        </w:tc>
        <w:tc>
          <w:tcPr>
            <w:tcW w:w="2360" w:type="pct"/>
            <w:shd w:val="clear" w:color="auto" w:fill="FFFFFF"/>
            <w:vAlign w:val="center"/>
          </w:tcPr>
          <w:p w14:paraId="55663C4E">
            <w:pPr>
              <w:widowControl/>
              <w:numPr>
                <w:ilvl w:val="0"/>
                <w:numId w:val="2"/>
              </w:numPr>
              <w:adjustRightInd/>
              <w:rPr>
                <w:rFonts w:ascii="Arial" w:hAnsi="Arial" w:cs="Arial"/>
                <w:bCs/>
                <w:color w:val="000000"/>
                <w:kern w:val="0"/>
              </w:rPr>
            </w:pPr>
            <w:r>
              <w:rPr>
                <w:rFonts w:hint="eastAsia" w:ascii="Arial" w:hAnsi="Arial" w:cs="Arial"/>
                <w:bCs/>
                <w:color w:val="000000"/>
                <w:kern w:val="0"/>
              </w:rPr>
              <w:t>对危废仓库对建设情况进行核查；</w:t>
            </w:r>
          </w:p>
          <w:p w14:paraId="201488FF">
            <w:pPr>
              <w:widowControl/>
              <w:numPr>
                <w:ilvl w:val="0"/>
                <w:numId w:val="2"/>
              </w:numPr>
              <w:adjustRightInd/>
              <w:rPr>
                <w:rFonts w:ascii="Arial" w:hAnsi="Arial" w:cs="Arial"/>
                <w:bCs/>
                <w:color w:val="000000"/>
                <w:kern w:val="0"/>
              </w:rPr>
            </w:pPr>
            <w:r>
              <w:rPr>
                <w:rFonts w:hint="eastAsia" w:ascii="Arial" w:hAnsi="Arial" w:cs="Arial"/>
                <w:bCs/>
                <w:color w:val="000000"/>
                <w:kern w:val="0"/>
              </w:rPr>
              <w:t>对危废台账对制作情况进行核查；</w:t>
            </w:r>
          </w:p>
          <w:p w14:paraId="3A665911">
            <w:pPr>
              <w:widowControl/>
              <w:numPr>
                <w:ilvl w:val="0"/>
                <w:numId w:val="2"/>
              </w:numPr>
              <w:adjustRightInd/>
              <w:rPr>
                <w:rFonts w:ascii="Arial" w:hAnsi="Arial" w:cs="Arial"/>
                <w:bCs/>
                <w:color w:val="000000"/>
                <w:kern w:val="0"/>
              </w:rPr>
            </w:pPr>
            <w:r>
              <w:rPr>
                <w:rFonts w:hint="eastAsia" w:ascii="Arial" w:hAnsi="Arial" w:cs="Arial"/>
                <w:bCs/>
                <w:color w:val="000000"/>
                <w:kern w:val="0"/>
              </w:rPr>
              <w:t>对危废仓库的管理制度，标识制度进行核查；</w:t>
            </w:r>
          </w:p>
          <w:p w14:paraId="2FB599B9">
            <w:pPr>
              <w:widowControl/>
              <w:numPr>
                <w:ilvl w:val="0"/>
                <w:numId w:val="2"/>
              </w:numPr>
              <w:adjustRightInd/>
              <w:rPr>
                <w:rFonts w:ascii="Arial" w:hAnsi="Arial" w:cs="Arial"/>
                <w:bCs/>
                <w:color w:val="000000"/>
                <w:kern w:val="0"/>
              </w:rPr>
            </w:pPr>
            <w:r>
              <w:rPr>
                <w:rFonts w:hint="eastAsia" w:ascii="Arial" w:hAnsi="Arial" w:cs="Arial"/>
                <w:bCs/>
                <w:color w:val="000000"/>
                <w:kern w:val="0"/>
              </w:rPr>
              <w:t>对危废协议及转移联系制度进行核查；</w:t>
            </w:r>
          </w:p>
          <w:p w14:paraId="4F740E85">
            <w:pPr>
              <w:widowControl/>
              <w:numPr>
                <w:ilvl w:val="0"/>
                <w:numId w:val="2"/>
              </w:numPr>
              <w:adjustRightInd/>
              <w:rPr>
                <w:color w:val="000000"/>
              </w:rPr>
            </w:pPr>
            <w:r>
              <w:rPr>
                <w:rFonts w:hint="eastAsia" w:ascii="Arial" w:hAnsi="Arial" w:cs="Arial"/>
                <w:bCs/>
                <w:color w:val="000000"/>
                <w:kern w:val="0"/>
              </w:rPr>
              <w:t>对危废专项应急预案对编制情况进行核查</w:t>
            </w:r>
          </w:p>
        </w:tc>
        <w:tc>
          <w:tcPr>
            <w:tcW w:w="2008" w:type="pct"/>
            <w:shd w:val="clear" w:color="auto" w:fill="FFFFFF"/>
            <w:vAlign w:val="center"/>
          </w:tcPr>
          <w:p w14:paraId="4F6AA69A">
            <w:pPr>
              <w:rPr>
                <w:rFonts w:ascii="Arial" w:hAnsi="Arial" w:cs="Arial"/>
                <w:bCs/>
                <w:color w:val="000000"/>
                <w:kern w:val="0"/>
              </w:rPr>
            </w:pPr>
            <w:r>
              <w:rPr>
                <w:rFonts w:hint="eastAsia" w:ascii="Arial" w:hAnsi="Arial" w:cs="Arial"/>
                <w:bCs/>
                <w:color w:val="000000"/>
                <w:kern w:val="0"/>
              </w:rPr>
              <w:t>针对塘栖镇辖区范围内涉危废的企业进行检查，预计年度至少查出</w:t>
            </w:r>
            <w:r>
              <w:rPr>
                <w:rFonts w:ascii="Arial" w:hAnsi="Arial" w:cs="Arial"/>
                <w:bCs/>
                <w:color w:val="000000"/>
                <w:kern w:val="0"/>
              </w:rPr>
              <w:t>50</w:t>
            </w:r>
            <w:r>
              <w:rPr>
                <w:rFonts w:hint="eastAsia" w:ascii="Arial" w:hAnsi="Arial" w:cs="Arial"/>
                <w:bCs/>
                <w:color w:val="000000"/>
                <w:kern w:val="0"/>
              </w:rPr>
              <w:t>家企业危废仓库建设不规范的情况，同时</w:t>
            </w:r>
            <w:r>
              <w:rPr>
                <w:rFonts w:ascii="Arial" w:hAnsi="Arial" w:cs="Arial"/>
                <w:bCs/>
                <w:color w:val="000000"/>
                <w:kern w:val="0"/>
              </w:rPr>
              <w:t>给出专业的</w:t>
            </w:r>
            <w:r>
              <w:rPr>
                <w:rFonts w:hint="eastAsia" w:ascii="Arial" w:hAnsi="Arial" w:cs="Arial"/>
                <w:bCs/>
                <w:color w:val="000000"/>
                <w:kern w:val="0"/>
              </w:rPr>
              <w:t>整改</w:t>
            </w:r>
            <w:r>
              <w:rPr>
                <w:rFonts w:ascii="Arial" w:hAnsi="Arial" w:cs="Arial"/>
                <w:bCs/>
                <w:color w:val="000000"/>
                <w:kern w:val="0"/>
              </w:rPr>
              <w:t>指导意见</w:t>
            </w:r>
          </w:p>
        </w:tc>
      </w:tr>
    </w:tbl>
    <w:p w14:paraId="1868BBA7">
      <w:pPr>
        <w:pStyle w:val="21"/>
      </w:pPr>
    </w:p>
    <w:p w14:paraId="43BCE0F1"/>
    <w:p w14:paraId="79690B38">
      <w:pPr>
        <w:pStyle w:val="21"/>
      </w:pPr>
    </w:p>
    <w:p w14:paraId="5878E2D6"/>
    <w:p w14:paraId="6C742823">
      <w:pPr>
        <w:pStyle w:val="21"/>
      </w:pPr>
    </w:p>
    <w:p w14:paraId="184792D1">
      <w:pPr>
        <w:sectPr>
          <w:pgSz w:w="16838" w:h="11906" w:orient="landscape"/>
          <w:pgMar w:top="1797" w:right="1440" w:bottom="1797" w:left="1440" w:header="851" w:footer="850" w:gutter="0"/>
          <w:cols w:space="720" w:num="1"/>
          <w:docGrid w:type="linesAndChars" w:linePitch="319" w:charSpace="640"/>
        </w:sectPr>
      </w:pPr>
    </w:p>
    <w:p w14:paraId="422CB12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2、改+服务：针对检查发现的问题，及时汇报街道及</w:t>
      </w:r>
      <w:r>
        <w:rPr>
          <w:rFonts w:hint="eastAsia" w:ascii="仿宋" w:hAnsi="仿宋" w:eastAsia="仿宋" w:cs="仿宋"/>
          <w:bCs/>
          <w:sz w:val="24"/>
          <w:szCs w:val="24"/>
          <w:lang w:val="en-US" w:eastAsia="zh-CN"/>
        </w:rPr>
        <w:t>塘栖</w:t>
      </w:r>
      <w:r>
        <w:rPr>
          <w:rFonts w:hint="eastAsia" w:ascii="仿宋" w:hAnsi="仿宋" w:eastAsia="仿宋" w:cs="仿宋"/>
          <w:bCs/>
          <w:sz w:val="24"/>
          <w:szCs w:val="24"/>
        </w:rPr>
        <w:t>中队，协助制定整改方案，并服务和督促企业整改；</w:t>
      </w:r>
    </w:p>
    <w:p w14:paraId="467A5A07">
      <w:pPr>
        <w:spacing w:line="360" w:lineRule="auto"/>
        <w:ind w:firstLine="480" w:firstLineChars="200"/>
        <w:rPr>
          <w:rFonts w:ascii="仿宋" w:hAnsi="仿宋" w:eastAsia="仿宋" w:cs="仿宋"/>
          <w:b/>
          <w:bCs/>
          <w:sz w:val="24"/>
          <w:szCs w:val="24"/>
        </w:rPr>
      </w:pPr>
      <w:r>
        <w:rPr>
          <w:rFonts w:hint="eastAsia" w:ascii="仿宋" w:hAnsi="仿宋" w:eastAsia="仿宋" w:cs="仿宋"/>
          <w:bCs/>
          <w:sz w:val="24"/>
          <w:szCs w:val="24"/>
        </w:rPr>
        <w:t>3、验收：形成整改完成报告，完成问题-整改-验收的闭合流程。</w:t>
      </w:r>
      <w:r>
        <w:rPr>
          <w:rFonts w:hint="eastAsia" w:ascii="仿宋" w:hAnsi="仿宋" w:eastAsia="仿宋" w:cs="仿宋"/>
          <w:b/>
          <w:bCs/>
          <w:sz w:val="24"/>
          <w:szCs w:val="24"/>
        </w:rPr>
        <w:tab/>
      </w:r>
    </w:p>
    <w:p w14:paraId="3DCC2649">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（1）1</w:t>
      </w:r>
      <w:r>
        <w:rPr>
          <w:rFonts w:ascii="仿宋" w:hAnsi="仿宋" w:eastAsia="仿宋" w:cs="仿宋"/>
          <w:bCs/>
          <w:sz w:val="24"/>
          <w:szCs w:val="24"/>
        </w:rPr>
        <w:t>20</w:t>
      </w:r>
      <w:r>
        <w:rPr>
          <w:rFonts w:hint="eastAsia" w:ascii="仿宋" w:hAnsi="仿宋" w:eastAsia="仿宋" w:cs="仿宋"/>
          <w:bCs/>
          <w:sz w:val="24"/>
          <w:szCs w:val="24"/>
        </w:rPr>
        <w:t>家重点排污企业及规上企业全要素排查工作，出具“企业环保全要素诊断报告书”。</w:t>
      </w:r>
    </w:p>
    <w:p w14:paraId="442B4821">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（2）督促和服务整改，出具服务日志。重点排污企业及规上企业（以</w:t>
      </w:r>
      <w:r>
        <w:rPr>
          <w:rFonts w:ascii="仿宋" w:hAnsi="仿宋" w:eastAsia="仿宋" w:cs="仿宋"/>
          <w:bCs/>
          <w:sz w:val="24"/>
          <w:szCs w:val="24"/>
        </w:rPr>
        <w:t>120</w:t>
      </w:r>
      <w:r>
        <w:rPr>
          <w:rFonts w:hint="eastAsia" w:ascii="仿宋" w:hAnsi="仿宋" w:eastAsia="仿宋" w:cs="仿宋"/>
          <w:bCs/>
          <w:sz w:val="24"/>
          <w:szCs w:val="24"/>
        </w:rPr>
        <w:t>家，暂定）每季度巡检及上门服务一次，出具检查日志。重要节日、重大活动期间加大频次。</w:t>
      </w:r>
    </w:p>
    <w:p w14:paraId="3AAD153F">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（3）针对国家版排污许可证简化和重点管理的企业，进行排污许可证证后监管：分月度、季度、年月证后管理检查，包括排污许可证管理、自行监测，执行报告、环保台账、信息公开等，共22家计。</w:t>
      </w:r>
    </w:p>
    <w:p w14:paraId="0EE2A839">
      <w:pPr>
        <w:spacing w:line="600" w:lineRule="exact"/>
        <w:rPr>
          <w:rFonts w:ascii="仿宋" w:hAnsi="仿宋" w:eastAsia="仿宋" w:cs="仿宋"/>
          <w:b/>
          <w:bCs/>
          <w:sz w:val="24"/>
          <w:szCs w:val="24"/>
        </w:rPr>
      </w:pPr>
      <w:r>
        <w:rPr>
          <w:rFonts w:hint="eastAsia" w:ascii="仿宋" w:hAnsi="仿宋" w:eastAsia="仿宋" w:cs="仿宋"/>
          <w:b/>
          <w:bCs/>
          <w:sz w:val="24"/>
          <w:szCs w:val="24"/>
        </w:rPr>
        <w:t>四、工期要求：以合同约定时间为准。</w:t>
      </w:r>
    </w:p>
    <w:p w14:paraId="7017983C">
      <w:pPr>
        <w:spacing w:line="600" w:lineRule="exact"/>
        <w:rPr>
          <w:rFonts w:ascii="仿宋" w:hAnsi="仿宋" w:eastAsia="仿宋" w:cs="仿宋"/>
          <w:b/>
          <w:bCs/>
          <w:sz w:val="24"/>
          <w:szCs w:val="24"/>
        </w:rPr>
      </w:pPr>
      <w:r>
        <w:rPr>
          <w:rFonts w:hint="eastAsia" w:ascii="仿宋" w:hAnsi="仿宋" w:eastAsia="仿宋" w:cs="仿宋"/>
          <w:b/>
          <w:bCs/>
          <w:sz w:val="24"/>
          <w:szCs w:val="24"/>
        </w:rPr>
        <w:t>五、履约保证金：</w:t>
      </w:r>
      <w:r>
        <w:rPr>
          <w:rFonts w:hint="eastAsia" w:ascii="仿宋" w:hAnsi="仿宋" w:eastAsia="仿宋" w:cs="仿宋"/>
          <w:sz w:val="24"/>
          <w:szCs w:val="24"/>
          <w:highlight w:val="none"/>
        </w:rPr>
        <w:t>在合同签订前，由中标单位向采购人缴纳中标总额 1%的履约保证金， 在合同到期后 30 天内，经采购人考核合格后</w:t>
      </w:r>
      <w:r>
        <w:rPr>
          <w:rFonts w:hint="eastAsia" w:ascii="仿宋" w:hAnsi="仿宋" w:eastAsia="仿宋" w:cs="仿宋"/>
          <w:sz w:val="24"/>
          <w:szCs w:val="24"/>
          <w:highlight w:val="none"/>
          <w:lang w:val="en-US" w:eastAsia="zh-CN"/>
        </w:rPr>
        <w:t>及时</w:t>
      </w:r>
      <w:r>
        <w:rPr>
          <w:rFonts w:hint="eastAsia" w:ascii="仿宋" w:hAnsi="仿宋" w:eastAsia="仿宋" w:cs="仿宋"/>
          <w:sz w:val="24"/>
          <w:szCs w:val="24"/>
          <w:highlight w:val="none"/>
        </w:rPr>
        <w:t>退还全部保证金（本履约保证金不计息）。如在合同期限内，中标单位终止合同的，履约保证金不予归还。在合同期内如因中标单位原因造成采购人损失的，采购人有权酌情扣去一定的履约保证金作为赔偿金。</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未被“信用中国”（www.creditchina.gov.cn)、中国政府采购网（www.ccgp.gov.cn）列入失信被执行人、重大税收违法案件当事人名单、政府采购严重违法失信行为记录名单</w:t>
      </w:r>
      <w:r>
        <w:rPr>
          <w:rFonts w:hint="eastAsia" w:ascii="仿宋" w:hAnsi="仿宋" w:eastAsia="仿宋" w:cs="仿宋"/>
          <w:sz w:val="24"/>
          <w:szCs w:val="24"/>
          <w:highlight w:val="none"/>
          <w:lang w:val="en-US" w:eastAsia="zh-CN"/>
        </w:rPr>
        <w:t>的，可免收履约保证金，具体以合同签订为准。</w:t>
      </w:r>
    </w:p>
    <w:p w14:paraId="267AAD44">
      <w:pPr>
        <w:spacing w:line="600" w:lineRule="exact"/>
        <w:rPr>
          <w:rFonts w:hint="eastAsia" w:ascii="仿宋" w:hAnsi="仿宋" w:eastAsia="仿宋" w:cs="仿宋"/>
          <w:b/>
          <w:bCs/>
          <w:sz w:val="24"/>
          <w:szCs w:val="24"/>
        </w:rPr>
      </w:pPr>
      <w:r>
        <w:rPr>
          <w:rFonts w:hint="eastAsia" w:ascii="仿宋" w:hAnsi="仿宋" w:eastAsia="仿宋" w:cs="仿宋"/>
          <w:b/>
          <w:bCs/>
          <w:sz w:val="24"/>
          <w:szCs w:val="24"/>
        </w:rPr>
        <w:t>六、付款方式：</w:t>
      </w:r>
    </w:p>
    <w:p w14:paraId="730E3E9E">
      <w:pPr>
        <w:pStyle w:val="31"/>
        <w:spacing w:line="484" w:lineRule="auto"/>
        <w:ind w:left="260" w:right="340" w:firstLine="480"/>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第一期（合同签订后15 个工作日内）支付合同价的 30%作为预付款；</w:t>
      </w:r>
    </w:p>
    <w:p w14:paraId="5E81051B">
      <w:pPr>
        <w:ind w:firstLine="720" w:firstLineChars="300"/>
        <w:rPr>
          <w:rFonts w:hint="eastAsia" w:ascii="仿宋" w:hAnsi="仿宋" w:eastAsia="仿宋" w:cs="仿宋"/>
          <w:snapToGrid/>
          <w:kern w:val="2"/>
          <w:sz w:val="24"/>
          <w:szCs w:val="24"/>
          <w:highlight w:val="none"/>
          <w:lang w:val="zh-CN" w:eastAsia="zh-CN" w:bidi="ar-SA"/>
        </w:rPr>
      </w:pPr>
      <w:r>
        <w:rPr>
          <w:rFonts w:hint="eastAsia" w:ascii="仿宋" w:hAnsi="仿宋" w:eastAsia="仿宋" w:cs="仿宋"/>
          <w:snapToGrid/>
          <w:kern w:val="2"/>
          <w:sz w:val="24"/>
          <w:szCs w:val="24"/>
          <w:highlight w:val="none"/>
          <w:lang w:val="zh-CN" w:eastAsia="zh-CN" w:bidi="ar-SA"/>
        </w:rPr>
        <w:t>第二期 项目通过验收后，由甲方</w:t>
      </w:r>
      <w:r>
        <w:rPr>
          <w:rFonts w:hint="eastAsia" w:ascii="仿宋" w:hAnsi="仿宋" w:eastAsia="仿宋" w:cs="仿宋"/>
          <w:snapToGrid/>
          <w:kern w:val="2"/>
          <w:sz w:val="24"/>
          <w:szCs w:val="24"/>
          <w:highlight w:val="none"/>
          <w:lang w:val="en-US" w:eastAsia="zh-CN" w:bidi="ar-SA"/>
        </w:rPr>
        <w:t>结算支付尾款</w:t>
      </w:r>
      <w:r>
        <w:rPr>
          <w:rFonts w:hint="eastAsia" w:ascii="仿宋" w:hAnsi="仿宋" w:eastAsia="仿宋" w:cs="仿宋"/>
          <w:snapToGrid/>
          <w:kern w:val="2"/>
          <w:sz w:val="24"/>
          <w:szCs w:val="24"/>
          <w:highlight w:val="none"/>
          <w:lang w:val="zh-CN" w:eastAsia="zh-CN" w:bidi="ar-SA"/>
        </w:rPr>
        <w:t>。</w:t>
      </w:r>
    </w:p>
    <w:p w14:paraId="262A6668">
      <w:pPr>
        <w:pStyle w:val="968"/>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 xml:space="preserve">      </w:t>
      </w:r>
    </w:p>
    <w:p w14:paraId="678C539B">
      <w:pPr>
        <w:pStyle w:val="968"/>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 xml:space="preserve">      货物/服务费用阶段支付比例：以经塘栖镇根据政府采购法等相关规定审核通过的合同相应条款为准。</w:t>
      </w:r>
    </w:p>
    <w:p w14:paraId="1C46C5C1">
      <w:pPr>
        <w:spacing w:line="360" w:lineRule="auto"/>
        <w:ind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最终支付比例，以经塘栖镇财办相关规定审核通过的合同相应条款为准。</w:t>
      </w:r>
    </w:p>
    <w:p w14:paraId="300C9708">
      <w:pPr>
        <w:spacing w:line="360" w:lineRule="auto"/>
        <w:ind w:firstLine="480" w:firstLineChars="200"/>
        <w:rPr>
          <w:rFonts w:ascii="仿宋" w:hAnsi="仿宋" w:eastAsia="仿宋" w:cs="仿宋"/>
          <w:bCs/>
          <w:sz w:val="24"/>
          <w:szCs w:val="24"/>
        </w:rPr>
      </w:pPr>
    </w:p>
    <w:p w14:paraId="23A338C2">
      <w:pPr>
        <w:spacing w:line="440" w:lineRule="exact"/>
        <w:jc w:val="center"/>
        <w:rPr>
          <w:rFonts w:ascii="仿宋" w:hAnsi="仿宋" w:eastAsia="仿宋"/>
          <w:b/>
          <w:bCs/>
          <w:sz w:val="24"/>
        </w:rPr>
      </w:pPr>
      <w:r>
        <w:rPr>
          <w:rFonts w:hint="eastAsia" w:ascii="仿宋" w:hAnsi="仿宋" w:eastAsia="仿宋"/>
          <w:b/>
          <w:bCs/>
          <w:sz w:val="24"/>
        </w:rPr>
        <w:br w:type="textWrapping"/>
      </w:r>
      <w:r>
        <w:rPr>
          <w:rFonts w:hint="eastAsia" w:ascii="仿宋" w:hAnsi="仿宋" w:eastAsia="仿宋"/>
          <w:b/>
          <w:bCs/>
          <w:sz w:val="24"/>
        </w:rPr>
        <w:t>塘栖镇“环保管家”服务项目考核</w:t>
      </w:r>
    </w:p>
    <w:p w14:paraId="744021E1">
      <w:pPr>
        <w:spacing w:line="360" w:lineRule="auto"/>
        <w:outlineLvl w:val="0"/>
        <w:rPr>
          <w:rFonts w:ascii="仿宋" w:hAnsi="仿宋" w:eastAsia="仿宋"/>
          <w:b/>
          <w:sz w:val="24"/>
          <w:szCs w:val="24"/>
        </w:rPr>
      </w:pPr>
      <w:r>
        <w:rPr>
          <w:rFonts w:hint="eastAsia" w:ascii="仿宋" w:hAnsi="仿宋" w:eastAsia="仿宋"/>
          <w:b/>
          <w:sz w:val="24"/>
          <w:szCs w:val="24"/>
        </w:rPr>
        <w:t>1、考核评分细则</w:t>
      </w:r>
    </w:p>
    <w:p w14:paraId="5A9164D3">
      <w:pPr>
        <w:spacing w:line="360" w:lineRule="auto"/>
        <w:outlineLvl w:val="0"/>
        <w:rPr>
          <w:rFonts w:hint="default" w:ascii="仿宋" w:hAnsi="仿宋" w:eastAsia="仿宋"/>
          <w:sz w:val="22"/>
          <w:szCs w:val="22"/>
          <w:lang w:val="en-US" w:eastAsia="zh-CN"/>
        </w:rPr>
      </w:pPr>
      <w:r>
        <w:rPr>
          <w:rFonts w:hint="eastAsia" w:ascii="仿宋" w:hAnsi="仿宋" w:eastAsia="仿宋"/>
          <w:sz w:val="22"/>
          <w:szCs w:val="22"/>
        </w:rPr>
        <w:t>考核评分由环保管家服务内容完成情况和满意度两部分组成，其中环保管家服务内容完成情况考核占90%，满意度考核占10%。环保管家服务内容完成情况考核</w:t>
      </w:r>
      <w:r>
        <w:rPr>
          <w:rFonts w:hint="eastAsia" w:ascii="仿宋" w:hAnsi="仿宋" w:eastAsia="仿宋"/>
          <w:sz w:val="22"/>
          <w:szCs w:val="22"/>
          <w:lang w:eastAsia="zh-CN"/>
        </w:rPr>
        <w:t>详见附表</w:t>
      </w:r>
      <w:r>
        <w:rPr>
          <w:rFonts w:hint="eastAsia" w:ascii="仿宋" w:hAnsi="仿宋" w:eastAsia="仿宋"/>
          <w:sz w:val="22"/>
          <w:szCs w:val="22"/>
          <w:lang w:val="en-US" w:eastAsia="zh-CN"/>
        </w:rPr>
        <w:t>1，</w:t>
      </w:r>
      <w:r>
        <w:rPr>
          <w:rFonts w:hint="eastAsia" w:ascii="仿宋" w:hAnsi="仿宋" w:eastAsia="仿宋"/>
          <w:sz w:val="22"/>
          <w:szCs w:val="22"/>
        </w:rPr>
        <w:t>环保管家服务内容满意度考核</w:t>
      </w:r>
      <w:r>
        <w:rPr>
          <w:rFonts w:hint="eastAsia" w:ascii="仿宋" w:hAnsi="仿宋" w:eastAsia="仿宋"/>
          <w:sz w:val="22"/>
          <w:szCs w:val="22"/>
          <w:lang w:eastAsia="zh-CN"/>
        </w:rPr>
        <w:t>详见附表</w:t>
      </w:r>
      <w:r>
        <w:rPr>
          <w:rFonts w:hint="eastAsia" w:ascii="仿宋" w:hAnsi="仿宋" w:eastAsia="仿宋"/>
          <w:sz w:val="22"/>
          <w:szCs w:val="22"/>
          <w:lang w:val="en-US" w:eastAsia="zh-CN"/>
        </w:rPr>
        <w:t>2。</w:t>
      </w:r>
    </w:p>
    <w:p w14:paraId="512FDC6E">
      <w:pPr>
        <w:spacing w:line="360" w:lineRule="auto"/>
        <w:outlineLvl w:val="0"/>
        <w:rPr>
          <w:rFonts w:ascii="仿宋" w:hAnsi="仿宋" w:eastAsia="仿宋"/>
          <w:b/>
          <w:sz w:val="24"/>
          <w:szCs w:val="24"/>
        </w:rPr>
      </w:pPr>
      <w:r>
        <w:rPr>
          <w:rFonts w:hint="eastAsia" w:ascii="仿宋" w:hAnsi="仿宋" w:eastAsia="仿宋"/>
          <w:b/>
          <w:sz w:val="24"/>
          <w:szCs w:val="24"/>
        </w:rPr>
        <w:t>2、考核结果运用</w:t>
      </w:r>
    </w:p>
    <w:p w14:paraId="2BBE0063">
      <w:pPr>
        <w:spacing w:line="360" w:lineRule="auto"/>
        <w:ind w:firstLine="440" w:firstLineChars="200"/>
        <w:rPr>
          <w:rFonts w:ascii="仿宋" w:hAnsi="仿宋" w:eastAsia="仿宋"/>
          <w:sz w:val="22"/>
          <w:szCs w:val="22"/>
        </w:rPr>
      </w:pPr>
      <w:r>
        <w:rPr>
          <w:rFonts w:hint="eastAsia" w:ascii="仿宋" w:hAnsi="仿宋" w:eastAsia="仿宋"/>
          <w:sz w:val="22"/>
          <w:szCs w:val="22"/>
        </w:rPr>
        <w:t>一、考核的主要内容：</w:t>
      </w:r>
    </w:p>
    <w:p w14:paraId="482E48F4">
      <w:pPr>
        <w:spacing w:line="360" w:lineRule="auto"/>
        <w:ind w:firstLine="440" w:firstLineChars="200"/>
        <w:rPr>
          <w:rFonts w:ascii="仿宋" w:hAnsi="仿宋" w:eastAsia="仿宋"/>
          <w:sz w:val="22"/>
          <w:szCs w:val="22"/>
        </w:rPr>
      </w:pPr>
      <w:r>
        <w:rPr>
          <w:rFonts w:hint="eastAsia" w:ascii="仿宋" w:hAnsi="仿宋" w:eastAsia="仿宋"/>
          <w:sz w:val="22"/>
          <w:szCs w:val="22"/>
        </w:rPr>
        <w:t>(一)组织机构、人员、设备的履约情况；</w:t>
      </w:r>
    </w:p>
    <w:p w14:paraId="1CFA2475">
      <w:pPr>
        <w:spacing w:line="360" w:lineRule="auto"/>
        <w:ind w:firstLine="440" w:firstLineChars="200"/>
        <w:rPr>
          <w:rFonts w:ascii="仿宋" w:hAnsi="仿宋" w:eastAsia="仿宋"/>
          <w:sz w:val="22"/>
          <w:szCs w:val="22"/>
        </w:rPr>
      </w:pPr>
      <w:r>
        <w:rPr>
          <w:rFonts w:hint="eastAsia" w:ascii="仿宋" w:hAnsi="仿宋" w:eastAsia="仿宋"/>
          <w:sz w:val="22"/>
          <w:szCs w:val="22"/>
        </w:rPr>
        <w:t>(二)工作制度的制定及落实情况；</w:t>
      </w:r>
    </w:p>
    <w:p w14:paraId="4D59952C">
      <w:pPr>
        <w:spacing w:line="360" w:lineRule="auto"/>
        <w:ind w:firstLine="440" w:firstLineChars="200"/>
        <w:rPr>
          <w:rFonts w:ascii="仿宋" w:hAnsi="仿宋" w:eastAsia="仿宋"/>
          <w:sz w:val="22"/>
          <w:szCs w:val="22"/>
        </w:rPr>
      </w:pPr>
      <w:r>
        <w:rPr>
          <w:rFonts w:hint="eastAsia" w:ascii="仿宋" w:hAnsi="仿宋" w:eastAsia="仿宋"/>
          <w:sz w:val="22"/>
          <w:szCs w:val="22"/>
        </w:rPr>
        <w:t>(三)监督检查工作质量及管理情况；</w:t>
      </w:r>
    </w:p>
    <w:p w14:paraId="5AE7698E">
      <w:pPr>
        <w:spacing w:line="360" w:lineRule="auto"/>
        <w:ind w:firstLine="440" w:firstLineChars="200"/>
        <w:rPr>
          <w:rFonts w:ascii="仿宋" w:hAnsi="仿宋" w:eastAsia="仿宋"/>
          <w:sz w:val="22"/>
          <w:szCs w:val="22"/>
        </w:rPr>
      </w:pPr>
      <w:r>
        <w:rPr>
          <w:rFonts w:hint="eastAsia" w:ascii="仿宋" w:hAnsi="仿宋" w:eastAsia="仿宋"/>
          <w:sz w:val="22"/>
          <w:szCs w:val="22"/>
        </w:rPr>
        <w:t>(四)内部资料的整理情况；</w:t>
      </w:r>
    </w:p>
    <w:p w14:paraId="6B5D09E9">
      <w:pPr>
        <w:spacing w:line="360" w:lineRule="auto"/>
        <w:ind w:firstLine="440" w:firstLineChars="200"/>
        <w:rPr>
          <w:rFonts w:ascii="仿宋" w:hAnsi="仿宋" w:eastAsia="仿宋"/>
          <w:sz w:val="22"/>
          <w:szCs w:val="22"/>
        </w:rPr>
      </w:pPr>
      <w:r>
        <w:rPr>
          <w:rFonts w:hint="eastAsia" w:ascii="仿宋" w:hAnsi="仿宋" w:eastAsia="仿宋"/>
          <w:sz w:val="22"/>
          <w:szCs w:val="22"/>
        </w:rPr>
        <w:t>(五)日常服务情况考核。</w:t>
      </w:r>
    </w:p>
    <w:p w14:paraId="5FF230F7">
      <w:pPr>
        <w:spacing w:line="360" w:lineRule="auto"/>
        <w:ind w:firstLine="440" w:firstLineChars="200"/>
        <w:rPr>
          <w:rFonts w:ascii="仿宋" w:hAnsi="仿宋" w:eastAsia="仿宋"/>
          <w:sz w:val="22"/>
          <w:szCs w:val="22"/>
        </w:rPr>
      </w:pPr>
      <w:r>
        <w:rPr>
          <w:rFonts w:hint="eastAsia" w:ascii="仿宋" w:hAnsi="仿宋" w:eastAsia="仿宋"/>
          <w:sz w:val="22"/>
          <w:szCs w:val="22"/>
        </w:rPr>
        <w:t>二、考核分数计算方法</w:t>
      </w:r>
    </w:p>
    <w:p w14:paraId="3C7EBC52">
      <w:pPr>
        <w:spacing w:line="360" w:lineRule="auto"/>
        <w:ind w:firstLine="440" w:firstLineChars="200"/>
        <w:rPr>
          <w:rFonts w:ascii="仿宋" w:hAnsi="仿宋" w:eastAsia="仿宋"/>
          <w:sz w:val="22"/>
          <w:szCs w:val="22"/>
        </w:rPr>
      </w:pPr>
      <w:r>
        <w:rPr>
          <w:rFonts w:hint="eastAsia" w:ascii="仿宋" w:hAnsi="仿宋" w:eastAsia="仿宋"/>
          <w:sz w:val="22"/>
          <w:szCs w:val="22"/>
        </w:rPr>
        <w:t>考核小组由塘栖镇相关政府职能部门，</w:t>
      </w:r>
      <w:r>
        <w:rPr>
          <w:rFonts w:hint="eastAsia" w:ascii="仿宋" w:hAnsi="仿宋" w:eastAsia="仿宋"/>
          <w:sz w:val="22"/>
          <w:szCs w:val="22"/>
          <w:lang w:val="en-US" w:eastAsia="zh-CN"/>
        </w:rPr>
        <w:t>塘栖</w:t>
      </w:r>
      <w:r>
        <w:rPr>
          <w:rFonts w:hint="eastAsia" w:ascii="仿宋" w:hAnsi="仿宋" w:eastAsia="仿宋"/>
          <w:sz w:val="22"/>
          <w:szCs w:val="22"/>
        </w:rPr>
        <w:t>中队、企业代表组成。同时塘栖镇管理部门组成专门督查组定期对中标人服务情况进行检查，服务内容完成情况考核半年一次（每次考核均为100分），满意度考核每年开展一次；最终考核得分，服务内容完成情况考核占90%，满意度考核占10%。</w:t>
      </w:r>
    </w:p>
    <w:p w14:paraId="0AF041EF">
      <w:pPr>
        <w:spacing w:line="360" w:lineRule="auto"/>
        <w:ind w:firstLine="440" w:firstLineChars="200"/>
        <w:rPr>
          <w:rFonts w:ascii="仿宋" w:hAnsi="仿宋" w:eastAsia="仿宋"/>
          <w:sz w:val="22"/>
          <w:szCs w:val="22"/>
        </w:rPr>
      </w:pPr>
      <w:r>
        <w:rPr>
          <w:rFonts w:hint="eastAsia" w:ascii="仿宋" w:hAnsi="仿宋" w:eastAsia="仿宋"/>
          <w:sz w:val="22"/>
          <w:szCs w:val="22"/>
        </w:rPr>
        <w:t>评分计算方法：</w:t>
      </w:r>
    </w:p>
    <w:p w14:paraId="239D0587">
      <w:pPr>
        <w:spacing w:line="360" w:lineRule="auto"/>
        <w:ind w:firstLine="440" w:firstLineChars="200"/>
        <w:rPr>
          <w:rFonts w:ascii="仿宋" w:hAnsi="仿宋" w:eastAsia="仿宋"/>
          <w:sz w:val="22"/>
          <w:szCs w:val="22"/>
        </w:rPr>
      </w:pPr>
      <w:r>
        <w:rPr>
          <w:rFonts w:hint="eastAsia" w:ascii="仿宋" w:hAnsi="仿宋" w:eastAsia="仿宋"/>
          <w:sz w:val="22"/>
          <w:szCs w:val="22"/>
        </w:rPr>
        <w:t>1、年度服务内容完成情况得分=（100-上半年扣分）*0.45+（100-下半年扣分）*0.55</w:t>
      </w:r>
    </w:p>
    <w:p w14:paraId="44173243">
      <w:pPr>
        <w:spacing w:line="360" w:lineRule="auto"/>
        <w:ind w:firstLine="440" w:firstLineChars="200"/>
        <w:rPr>
          <w:rFonts w:ascii="仿宋" w:hAnsi="仿宋" w:eastAsia="仿宋"/>
          <w:sz w:val="22"/>
          <w:szCs w:val="22"/>
        </w:rPr>
      </w:pPr>
      <w:r>
        <w:rPr>
          <w:rFonts w:hint="eastAsia" w:ascii="仿宋" w:hAnsi="仿宋" w:eastAsia="仿宋"/>
          <w:sz w:val="22"/>
          <w:szCs w:val="22"/>
        </w:rPr>
        <w:t>上半年服务内容完成情况考核分=100-上半年扣分</w:t>
      </w:r>
    </w:p>
    <w:p w14:paraId="7D1668C1">
      <w:pPr>
        <w:spacing w:line="360" w:lineRule="auto"/>
        <w:ind w:firstLine="440" w:firstLineChars="200"/>
        <w:rPr>
          <w:rFonts w:ascii="仿宋" w:hAnsi="仿宋" w:eastAsia="仿宋"/>
          <w:sz w:val="22"/>
          <w:szCs w:val="22"/>
        </w:rPr>
      </w:pPr>
      <w:r>
        <w:rPr>
          <w:rFonts w:hint="eastAsia" w:ascii="仿宋" w:hAnsi="仿宋" w:eastAsia="仿宋"/>
          <w:sz w:val="22"/>
          <w:szCs w:val="22"/>
        </w:rPr>
        <w:t>下半年服务内容完成情况考核分=100-下半年扣分</w:t>
      </w:r>
    </w:p>
    <w:p w14:paraId="3B280BD4">
      <w:pPr>
        <w:spacing w:line="360" w:lineRule="auto"/>
        <w:ind w:firstLine="440" w:firstLineChars="200"/>
        <w:rPr>
          <w:rFonts w:ascii="仿宋" w:hAnsi="仿宋" w:eastAsia="仿宋"/>
          <w:sz w:val="22"/>
          <w:szCs w:val="22"/>
        </w:rPr>
      </w:pPr>
      <w:r>
        <w:rPr>
          <w:rFonts w:hint="eastAsia" w:ascii="仿宋" w:hAnsi="仿宋" w:eastAsia="仿宋"/>
          <w:sz w:val="22"/>
          <w:szCs w:val="22"/>
        </w:rPr>
        <w:t>2、满意度得分=政府层面满意度得分*60%+企业代表满意度得分*40%</w:t>
      </w:r>
    </w:p>
    <w:p w14:paraId="260F46A4">
      <w:pPr>
        <w:spacing w:line="360" w:lineRule="auto"/>
        <w:ind w:firstLine="440" w:firstLineChars="200"/>
        <w:rPr>
          <w:rFonts w:ascii="仿宋" w:hAnsi="仿宋" w:eastAsia="仿宋"/>
          <w:sz w:val="22"/>
          <w:szCs w:val="22"/>
        </w:rPr>
      </w:pPr>
      <w:r>
        <w:rPr>
          <w:rFonts w:hint="eastAsia" w:ascii="仿宋" w:hAnsi="仿宋" w:eastAsia="仿宋"/>
          <w:sz w:val="22"/>
          <w:szCs w:val="22"/>
        </w:rPr>
        <w:t>3、环保管家综合得分=年度服务内容完成情况得分*90%+年度服务意度考核得分*10%</w:t>
      </w:r>
    </w:p>
    <w:p w14:paraId="251336D6">
      <w:pPr>
        <w:spacing w:line="360" w:lineRule="auto"/>
        <w:ind w:firstLine="440" w:firstLineChars="200"/>
        <w:rPr>
          <w:rFonts w:ascii="仿宋" w:hAnsi="仿宋" w:eastAsia="仿宋"/>
          <w:sz w:val="22"/>
          <w:szCs w:val="22"/>
        </w:rPr>
      </w:pPr>
      <w:r>
        <w:rPr>
          <w:rFonts w:hint="eastAsia" w:ascii="仿宋" w:hAnsi="仿宋" w:eastAsia="仿宋"/>
          <w:sz w:val="22"/>
          <w:szCs w:val="22"/>
        </w:rPr>
        <w:t>三、考核根据评分（基本考核）设为优秀（90分以上）、良好</w:t>
      </w:r>
      <w:r>
        <w:rPr>
          <w:rFonts w:ascii="仿宋" w:hAnsi="仿宋" w:eastAsia="仿宋"/>
          <w:sz w:val="22"/>
          <w:szCs w:val="22"/>
        </w:rPr>
        <w:t>（</w:t>
      </w:r>
      <w:r>
        <w:rPr>
          <w:rFonts w:hint="eastAsia" w:ascii="仿宋" w:hAnsi="仿宋" w:eastAsia="仿宋"/>
          <w:sz w:val="22"/>
          <w:szCs w:val="22"/>
        </w:rPr>
        <w:t>80</w:t>
      </w:r>
      <w:r>
        <w:rPr>
          <w:rFonts w:ascii="仿宋" w:hAnsi="仿宋" w:eastAsia="仿宋"/>
          <w:sz w:val="22"/>
          <w:szCs w:val="22"/>
        </w:rPr>
        <w:t>-</w:t>
      </w:r>
      <w:r>
        <w:rPr>
          <w:rFonts w:hint="eastAsia" w:ascii="仿宋" w:hAnsi="仿宋" w:eastAsia="仿宋"/>
          <w:sz w:val="22"/>
          <w:szCs w:val="22"/>
        </w:rPr>
        <w:t>90分</w:t>
      </w:r>
      <w:r>
        <w:rPr>
          <w:rFonts w:ascii="仿宋" w:hAnsi="仿宋" w:eastAsia="仿宋"/>
          <w:sz w:val="22"/>
          <w:szCs w:val="22"/>
        </w:rPr>
        <w:t>之间）</w:t>
      </w:r>
      <w:r>
        <w:rPr>
          <w:rFonts w:hint="eastAsia" w:ascii="仿宋" w:hAnsi="仿宋" w:eastAsia="仿宋"/>
          <w:sz w:val="22"/>
          <w:szCs w:val="22"/>
        </w:rPr>
        <w:t>、合格（70-80分之间）、不合格（70分以下）。</w:t>
      </w:r>
    </w:p>
    <w:p w14:paraId="54BFA62A">
      <w:pPr>
        <w:spacing w:line="360" w:lineRule="auto"/>
        <w:ind w:firstLine="440" w:firstLineChars="200"/>
        <w:rPr>
          <w:rFonts w:ascii="仿宋" w:hAnsi="仿宋" w:eastAsia="仿宋"/>
          <w:sz w:val="22"/>
          <w:szCs w:val="22"/>
        </w:rPr>
      </w:pPr>
      <w:r>
        <w:rPr>
          <w:rFonts w:hint="eastAsia" w:ascii="仿宋" w:hAnsi="仿宋" w:eastAsia="仿宋"/>
          <w:sz w:val="22"/>
          <w:szCs w:val="22"/>
        </w:rPr>
        <w:t>四、考核结果：</w:t>
      </w:r>
    </w:p>
    <w:p w14:paraId="2B42191C">
      <w:pPr>
        <w:spacing w:line="360" w:lineRule="auto"/>
        <w:ind w:firstLine="440" w:firstLineChars="200"/>
        <w:rPr>
          <w:rFonts w:ascii="仿宋" w:hAnsi="仿宋" w:eastAsia="仿宋"/>
          <w:sz w:val="22"/>
          <w:szCs w:val="22"/>
        </w:rPr>
      </w:pPr>
      <w:r>
        <w:rPr>
          <w:rFonts w:hint="eastAsia" w:ascii="仿宋" w:hAnsi="仿宋" w:eastAsia="仿宋"/>
          <w:sz w:val="22"/>
          <w:szCs w:val="22"/>
        </w:rPr>
        <w:t>(一)考核分数在</w:t>
      </w:r>
      <w:r>
        <w:rPr>
          <w:rFonts w:ascii="仿宋" w:hAnsi="仿宋" w:eastAsia="仿宋"/>
          <w:sz w:val="22"/>
          <w:szCs w:val="22"/>
        </w:rPr>
        <w:t>.</w:t>
      </w:r>
      <w:r>
        <w:rPr>
          <w:rFonts w:hint="eastAsia" w:ascii="仿宋" w:hAnsi="仿宋" w:eastAsia="仿宋"/>
          <w:sz w:val="22"/>
          <w:szCs w:val="22"/>
        </w:rPr>
        <w:t>90分（含）以上按全额支付服务费用；</w:t>
      </w:r>
    </w:p>
    <w:p w14:paraId="70E25D3A">
      <w:pPr>
        <w:spacing w:line="360" w:lineRule="auto"/>
        <w:ind w:firstLine="440" w:firstLineChars="200"/>
        <w:rPr>
          <w:rFonts w:ascii="仿宋" w:hAnsi="仿宋" w:eastAsia="仿宋"/>
          <w:sz w:val="22"/>
          <w:szCs w:val="22"/>
        </w:rPr>
      </w:pPr>
      <w:r>
        <w:rPr>
          <w:rFonts w:hint="eastAsia" w:ascii="仿宋" w:hAnsi="仿宋" w:eastAsia="仿宋"/>
          <w:sz w:val="22"/>
          <w:szCs w:val="22"/>
        </w:rPr>
        <w:t>(二)考核分数在80（含）-90分的按九折支付服务费用；</w:t>
      </w:r>
    </w:p>
    <w:p w14:paraId="534F9098">
      <w:pPr>
        <w:spacing w:line="360" w:lineRule="auto"/>
        <w:ind w:firstLine="440" w:firstLineChars="200"/>
        <w:rPr>
          <w:rFonts w:ascii="仿宋" w:hAnsi="仿宋" w:eastAsia="仿宋"/>
          <w:sz w:val="22"/>
          <w:szCs w:val="22"/>
        </w:rPr>
      </w:pPr>
      <w:r>
        <w:rPr>
          <w:rFonts w:ascii="仿宋" w:hAnsi="仿宋" w:eastAsia="仿宋"/>
          <w:sz w:val="22"/>
          <w:szCs w:val="22"/>
        </w:rPr>
        <w:t>(</w:t>
      </w:r>
      <w:r>
        <w:rPr>
          <w:rFonts w:hint="eastAsia" w:ascii="仿宋" w:hAnsi="仿宋" w:eastAsia="仿宋"/>
          <w:sz w:val="22"/>
          <w:szCs w:val="22"/>
        </w:rPr>
        <w:t>三</w:t>
      </w:r>
      <w:r>
        <w:rPr>
          <w:rFonts w:ascii="仿宋" w:hAnsi="仿宋" w:eastAsia="仿宋"/>
          <w:sz w:val="22"/>
          <w:szCs w:val="22"/>
        </w:rPr>
        <w:t>)</w:t>
      </w:r>
      <w:r>
        <w:rPr>
          <w:rFonts w:hint="eastAsia" w:ascii="仿宋" w:hAnsi="仿宋" w:eastAsia="仿宋"/>
          <w:sz w:val="22"/>
          <w:szCs w:val="22"/>
        </w:rPr>
        <w:t>考核分数在70（含）-80分的按八折支付服务费用；</w:t>
      </w:r>
    </w:p>
    <w:p w14:paraId="34A385F1">
      <w:pPr>
        <w:spacing w:line="360" w:lineRule="auto"/>
        <w:ind w:firstLine="440" w:firstLineChars="200"/>
        <w:rPr>
          <w:rFonts w:ascii="仿宋" w:hAnsi="仿宋" w:eastAsia="仿宋"/>
          <w:sz w:val="22"/>
          <w:szCs w:val="22"/>
        </w:rPr>
      </w:pPr>
      <w:r>
        <w:rPr>
          <w:rFonts w:hint="eastAsia" w:ascii="仿宋" w:hAnsi="仿宋" w:eastAsia="仿宋"/>
          <w:sz w:val="22"/>
          <w:szCs w:val="22"/>
        </w:rPr>
        <w:t>(三)考核分数在70分以下按五折支付服务费用。</w:t>
      </w:r>
    </w:p>
    <w:p w14:paraId="71740CD6">
      <w:pPr>
        <w:spacing w:line="360" w:lineRule="auto"/>
        <w:ind w:firstLine="440" w:firstLineChars="200"/>
        <w:rPr>
          <w:rFonts w:ascii="仿宋" w:hAnsi="仿宋" w:eastAsia="仿宋"/>
          <w:sz w:val="22"/>
          <w:szCs w:val="22"/>
        </w:rPr>
      </w:pPr>
      <w:r>
        <w:rPr>
          <w:rFonts w:hint="eastAsia" w:ascii="仿宋" w:hAnsi="仿宋" w:eastAsia="仿宋"/>
          <w:sz w:val="22"/>
          <w:szCs w:val="22"/>
        </w:rPr>
        <w:t>五、中标人出现以下情况的，半年度或年度考核直接评定为不合格，可无条件解除合同：</w:t>
      </w:r>
    </w:p>
    <w:p w14:paraId="32833899">
      <w:pPr>
        <w:spacing w:line="360" w:lineRule="auto"/>
        <w:ind w:firstLine="440" w:firstLineChars="200"/>
        <w:rPr>
          <w:rFonts w:ascii="仿宋" w:hAnsi="仿宋" w:eastAsia="仿宋"/>
          <w:sz w:val="22"/>
          <w:szCs w:val="22"/>
        </w:rPr>
      </w:pPr>
      <w:r>
        <w:rPr>
          <w:rFonts w:hint="eastAsia" w:ascii="仿宋" w:hAnsi="仿宋" w:eastAsia="仿宋"/>
          <w:sz w:val="22"/>
          <w:szCs w:val="22"/>
        </w:rPr>
        <w:t>(一)对企业巡查结果弄虚作假，隐瞒真实情况，或存在权钱交易的；</w:t>
      </w:r>
    </w:p>
    <w:p w14:paraId="4538607B">
      <w:pPr>
        <w:spacing w:line="360" w:lineRule="auto"/>
        <w:ind w:firstLine="440" w:firstLineChars="200"/>
        <w:rPr>
          <w:rFonts w:ascii="仿宋" w:hAnsi="仿宋" w:eastAsia="仿宋"/>
          <w:sz w:val="22"/>
          <w:szCs w:val="22"/>
        </w:rPr>
      </w:pPr>
      <w:r>
        <w:rPr>
          <w:rFonts w:hint="eastAsia" w:ascii="仿宋" w:hAnsi="仿宋" w:eastAsia="仿宋"/>
          <w:sz w:val="22"/>
          <w:szCs w:val="22"/>
        </w:rPr>
        <w:t>(二)不履行职责，故意拖延环境管家工作的；</w:t>
      </w:r>
    </w:p>
    <w:p w14:paraId="028C6B0F">
      <w:pPr>
        <w:spacing w:line="360" w:lineRule="auto"/>
        <w:ind w:firstLine="440" w:firstLineChars="200"/>
        <w:rPr>
          <w:rFonts w:ascii="仿宋" w:hAnsi="仿宋" w:eastAsia="仿宋"/>
          <w:sz w:val="22"/>
          <w:szCs w:val="22"/>
        </w:rPr>
      </w:pPr>
      <w:r>
        <w:rPr>
          <w:rFonts w:hint="eastAsia" w:ascii="仿宋" w:hAnsi="仿宋" w:eastAsia="仿宋"/>
          <w:sz w:val="22"/>
          <w:szCs w:val="22"/>
        </w:rPr>
        <w:t>(三)存在有损采购人形象、弄虚作假、损害企业合法权益、职业道德不良等情形的；</w:t>
      </w:r>
    </w:p>
    <w:p w14:paraId="7E520635">
      <w:pPr>
        <w:spacing w:line="360" w:lineRule="auto"/>
        <w:ind w:firstLine="440" w:firstLineChars="200"/>
        <w:rPr>
          <w:rFonts w:ascii="仿宋" w:hAnsi="仿宋" w:eastAsia="仿宋"/>
          <w:sz w:val="22"/>
          <w:szCs w:val="22"/>
        </w:rPr>
      </w:pPr>
      <w:r>
        <w:rPr>
          <w:rFonts w:hint="eastAsia" w:ascii="仿宋" w:hAnsi="仿宋" w:eastAsia="仿宋"/>
          <w:sz w:val="22"/>
          <w:szCs w:val="22"/>
        </w:rPr>
        <w:t>(四)因履职不到位，导致企业发生较大以上环境突发事件；</w:t>
      </w:r>
    </w:p>
    <w:p w14:paraId="00225DCE">
      <w:pPr>
        <w:spacing w:line="360" w:lineRule="auto"/>
        <w:ind w:firstLine="440" w:firstLineChars="200"/>
        <w:rPr>
          <w:rFonts w:ascii="仿宋" w:hAnsi="仿宋" w:eastAsia="仿宋"/>
          <w:sz w:val="22"/>
          <w:szCs w:val="22"/>
        </w:rPr>
      </w:pPr>
      <w:r>
        <w:rPr>
          <w:rFonts w:hint="eastAsia" w:ascii="仿宋" w:hAnsi="仿宋" w:eastAsia="仿宋"/>
          <w:sz w:val="22"/>
          <w:szCs w:val="22"/>
        </w:rPr>
        <w:t>(五)涉及泄密，造成不良影响的；</w:t>
      </w:r>
    </w:p>
    <w:p w14:paraId="60CD2CE9">
      <w:pPr>
        <w:spacing w:line="360" w:lineRule="auto"/>
        <w:ind w:firstLine="440" w:firstLineChars="200"/>
        <w:rPr>
          <w:rFonts w:ascii="仿宋" w:hAnsi="仿宋" w:eastAsia="仿宋"/>
          <w:sz w:val="22"/>
          <w:szCs w:val="22"/>
        </w:rPr>
      </w:pPr>
      <w:r>
        <w:rPr>
          <w:rFonts w:hint="eastAsia" w:ascii="仿宋" w:hAnsi="仿宋" w:eastAsia="仿宋"/>
          <w:sz w:val="22"/>
          <w:szCs w:val="22"/>
        </w:rPr>
        <w:t>(六)存在其他违法违规情形的。</w:t>
      </w:r>
    </w:p>
    <w:p w14:paraId="5DB208CB">
      <w:pPr>
        <w:spacing w:line="360" w:lineRule="auto"/>
        <w:ind w:firstLine="440" w:firstLineChars="200"/>
        <w:rPr>
          <w:rFonts w:hint="eastAsia" w:ascii="仿宋" w:hAnsi="仿宋" w:eastAsia="仿宋"/>
          <w:sz w:val="22"/>
          <w:szCs w:val="22"/>
        </w:rPr>
      </w:pPr>
      <w:r>
        <w:rPr>
          <w:rFonts w:hint="eastAsia" w:ascii="仿宋" w:hAnsi="仿宋" w:eastAsia="仿宋"/>
          <w:sz w:val="22"/>
          <w:szCs w:val="22"/>
          <w:lang w:eastAsia="zh-CN"/>
        </w:rPr>
        <w:t>六</w:t>
      </w:r>
      <w:r>
        <w:rPr>
          <w:rFonts w:hint="eastAsia" w:ascii="仿宋" w:hAnsi="仿宋" w:eastAsia="仿宋"/>
          <w:sz w:val="22"/>
          <w:szCs w:val="22"/>
        </w:rPr>
        <w:t>、其他奖罚措施按</w:t>
      </w:r>
      <w:r>
        <w:rPr>
          <w:rFonts w:hint="eastAsia" w:ascii="仿宋" w:hAnsi="仿宋" w:eastAsia="仿宋"/>
          <w:sz w:val="22"/>
          <w:szCs w:val="22"/>
          <w:lang w:eastAsia="zh-CN"/>
        </w:rPr>
        <w:t>附表</w:t>
      </w:r>
      <w:r>
        <w:rPr>
          <w:rFonts w:hint="eastAsia" w:ascii="仿宋" w:hAnsi="仿宋" w:eastAsia="仿宋"/>
          <w:sz w:val="22"/>
          <w:szCs w:val="22"/>
          <w:lang w:val="en-US" w:eastAsia="zh-CN"/>
        </w:rPr>
        <w:t>1</w:t>
      </w:r>
      <w:r>
        <w:rPr>
          <w:rFonts w:hint="eastAsia" w:ascii="仿宋" w:hAnsi="仿宋" w:eastAsia="仿宋"/>
          <w:sz w:val="22"/>
          <w:szCs w:val="22"/>
        </w:rPr>
        <w:t>《第三方环保管家服务单位附加考核评分标准》执行。</w:t>
      </w:r>
    </w:p>
    <w:p w14:paraId="121E2AF4">
      <w:pPr>
        <w:spacing w:line="360" w:lineRule="auto"/>
        <w:ind w:firstLine="440" w:firstLineChars="200"/>
        <w:rPr>
          <w:rFonts w:hint="eastAsia" w:ascii="仿宋" w:hAnsi="仿宋" w:eastAsia="仿宋"/>
          <w:sz w:val="22"/>
          <w:szCs w:val="22"/>
          <w:lang w:val="en-US" w:eastAsia="zh-CN"/>
        </w:rPr>
      </w:pPr>
      <w:r>
        <w:rPr>
          <w:rFonts w:hint="eastAsia" w:ascii="仿宋" w:hAnsi="仿宋" w:eastAsia="仿宋"/>
          <w:sz w:val="22"/>
          <w:szCs w:val="22"/>
          <w:lang w:val="en-US" w:eastAsia="zh-CN"/>
        </w:rPr>
        <w:t xml:space="preserve"> 七、人员配备与其他要求。</w:t>
      </w:r>
    </w:p>
    <w:p w14:paraId="60A1CD28">
      <w:pPr>
        <w:spacing w:line="360" w:lineRule="auto"/>
        <w:ind w:firstLine="480" w:firstLineChars="200"/>
        <w:rPr>
          <w:rFonts w:ascii="仿宋" w:hAnsi="仿宋" w:eastAsia="仿宋"/>
        </w:rPr>
      </w:pPr>
      <w:r>
        <w:rPr>
          <w:rFonts w:ascii="仿宋" w:hAnsi="仿宋" w:eastAsia="仿宋" w:cs="仿宋"/>
          <w:spacing w:val="10"/>
          <w:sz w:val="22"/>
          <w:szCs w:val="22"/>
        </w:rPr>
        <w:t>▲</w:t>
      </w:r>
      <w:r>
        <w:rPr>
          <w:rFonts w:hint="eastAsia" w:ascii="仿宋" w:hAnsi="仿宋" w:eastAsia="仿宋"/>
        </w:rPr>
        <w:t>人员配备：</w:t>
      </w:r>
    </w:p>
    <w:p w14:paraId="1408E0C6">
      <w:pPr>
        <w:spacing w:line="360" w:lineRule="auto"/>
        <w:ind w:firstLine="420" w:firstLineChars="200"/>
        <w:rPr>
          <w:rFonts w:ascii="仿宋" w:hAnsi="仿宋" w:eastAsia="仿宋"/>
        </w:rPr>
      </w:pPr>
      <w:r>
        <w:rPr>
          <w:rFonts w:hint="eastAsia" w:ascii="仿宋" w:hAnsi="仿宋" w:eastAsia="仿宋"/>
        </w:rPr>
        <w:t>组建高素质专业团队上门定点服务，</w:t>
      </w:r>
      <w:r>
        <w:rPr>
          <w:rFonts w:hint="eastAsia" w:ascii="仿宋" w:hAnsi="仿宋" w:eastAsia="仿宋"/>
          <w:b/>
        </w:rPr>
        <w:t>项目常驻人员不少于</w:t>
      </w:r>
      <w:r>
        <w:rPr>
          <w:rFonts w:ascii="仿宋" w:hAnsi="仿宋" w:eastAsia="仿宋"/>
          <w:b/>
        </w:rPr>
        <w:t>2</w:t>
      </w:r>
      <w:r>
        <w:rPr>
          <w:rFonts w:hint="eastAsia" w:ascii="仿宋" w:hAnsi="仿宋" w:eastAsia="仿宋"/>
          <w:b/>
        </w:rPr>
        <w:t>人</w:t>
      </w:r>
      <w:r>
        <w:rPr>
          <w:rFonts w:hint="eastAsia" w:ascii="仿宋" w:hAnsi="仿宋" w:eastAsia="仿宋"/>
        </w:rPr>
        <w:t>，配备1辆专车，外部设置专家库、后备技术团队等，可根据需要随时配合工作。整个团队应配以环保工程、环境咨询、环境检测、环保管家等多个专业的专职或兼职人员。团队搭建完成后根据街道管理部门及环保主管部门要求制定年度工作计划，完成街道交予的任务，实现对街道优质、高效的专业化、一体化环保管理。</w:t>
      </w:r>
    </w:p>
    <w:p w14:paraId="0F6C3A2F">
      <w:pPr>
        <w:spacing w:line="360" w:lineRule="auto"/>
        <w:ind w:firstLine="420" w:firstLineChars="200"/>
        <w:rPr>
          <w:rFonts w:ascii="仿宋" w:hAnsi="仿宋" w:eastAsia="仿宋"/>
        </w:rPr>
      </w:pPr>
      <w:r>
        <w:rPr>
          <w:rFonts w:hint="eastAsia" w:ascii="仿宋" w:hAnsi="仿宋" w:eastAsia="仿宋"/>
        </w:rPr>
        <w:t>项目人员要求相对稳定，原则上不作调整，因特殊原因需要调整的，中标人必须提前 1 个月书面通知采购人并经采购人书面同意。</w:t>
      </w:r>
    </w:p>
    <w:p w14:paraId="0D3903C7">
      <w:pPr>
        <w:spacing w:line="360" w:lineRule="auto"/>
        <w:ind w:firstLine="420" w:firstLineChars="200"/>
        <w:rPr>
          <w:rFonts w:ascii="仿宋" w:hAnsi="仿宋" w:eastAsia="仿宋"/>
        </w:rPr>
      </w:pPr>
      <w:r>
        <w:rPr>
          <w:rFonts w:hint="eastAsia" w:ascii="仿宋" w:hAnsi="仿宋" w:eastAsia="仿宋"/>
        </w:rPr>
        <w:t>如因履职不到位等工作原因，采购人有权要求更换相关项目人员，中标人应在接到采购人书面通知之日起 1 个月内，将人员更换到位。</w:t>
      </w:r>
    </w:p>
    <w:p w14:paraId="4157A57F">
      <w:pPr>
        <w:spacing w:line="360" w:lineRule="auto"/>
        <w:ind w:firstLine="420" w:firstLineChars="200"/>
        <w:rPr>
          <w:rFonts w:ascii="仿宋" w:hAnsi="仿宋" w:eastAsia="仿宋"/>
        </w:rPr>
      </w:pPr>
      <w:r>
        <w:rPr>
          <w:rFonts w:hint="eastAsia" w:ascii="仿宋" w:hAnsi="仿宋" w:eastAsia="仿宋"/>
        </w:rPr>
        <w:t>其他要求：</w:t>
      </w:r>
    </w:p>
    <w:p w14:paraId="4FF04CBC">
      <w:pPr>
        <w:pStyle w:val="34"/>
        <w:ind w:left="0" w:leftChars="0" w:firstLine="480" w:firstLineChars="200"/>
      </w:pPr>
      <w:r>
        <w:rPr>
          <w:rFonts w:hint="eastAsia" w:ascii="仿宋" w:hAnsi="仿宋" w:eastAsia="仿宋"/>
        </w:rPr>
        <w:t>严格按照规定频次完成企业现场巡检，衣着规范、佩戴工作证。不得走过场、不得弄虚作假、不得隐瞒真实情况，巡检日志和巡检记录按规定完成并整理上交街道管理部门。保证在工作日能及时响应街道管理部门要求，建立节假日在岗值班制度，项目负责人及值班人员手机 24 小时开机，非工作时间需协助的，1 小时内须响应任务派遣并到达指定现场。项目人员严格遵守街道管理部门的工作管理制度。中标人及项目人员负有保密责任，根据保密要求做好各项保密工作，否则，一切责任由中标人承担。中标人及项目人员不得从事有损采购人形象、弄虚作假、损害企业合法权益、职业道德不良等事项。由采购人向中标人提供办公用房一间，办公设备等由中标人落实，包括办公桌椅及档案柜、日常办公用品、安全防护用品等，办公用房除房租外产生的所有费用由中标人承担，服务期满后，中标人将办公室清理完毕后将相关资料移交街道管理部门</w:t>
      </w:r>
      <w:r>
        <w:rPr>
          <w:rFonts w:hint="eastAsia" w:ascii="仿宋" w:hAnsi="仿宋" w:eastAsia="仿宋"/>
          <w:color w:val="auto"/>
        </w:rPr>
        <w:t>。</w:t>
      </w:r>
    </w:p>
    <w:p w14:paraId="23666A8E">
      <w:pPr>
        <w:spacing w:line="360" w:lineRule="auto"/>
        <w:ind w:firstLine="440" w:firstLineChars="200"/>
        <w:rPr>
          <w:rFonts w:ascii="仿宋" w:hAnsi="仿宋" w:eastAsia="仿宋"/>
          <w:sz w:val="22"/>
          <w:szCs w:val="22"/>
        </w:rPr>
      </w:pPr>
      <w:r>
        <w:rPr>
          <w:rFonts w:hint="eastAsia" w:ascii="仿宋" w:hAnsi="仿宋" w:eastAsia="仿宋"/>
          <w:sz w:val="22"/>
          <w:szCs w:val="22"/>
          <w:lang w:eastAsia="zh-CN"/>
        </w:rPr>
        <w:t>八</w:t>
      </w:r>
      <w:r>
        <w:rPr>
          <w:rFonts w:hint="eastAsia" w:ascii="仿宋" w:hAnsi="仿宋" w:eastAsia="仿宋"/>
          <w:sz w:val="22"/>
          <w:szCs w:val="22"/>
        </w:rPr>
        <w:t>、附则</w:t>
      </w:r>
    </w:p>
    <w:p w14:paraId="76F66AD5">
      <w:pPr>
        <w:spacing w:line="360" w:lineRule="auto"/>
        <w:ind w:firstLine="440" w:firstLineChars="200"/>
        <w:rPr>
          <w:rFonts w:ascii="仿宋" w:hAnsi="仿宋" w:eastAsia="仿宋"/>
          <w:sz w:val="22"/>
          <w:szCs w:val="22"/>
        </w:rPr>
      </w:pPr>
      <w:r>
        <w:rPr>
          <w:rFonts w:hint="eastAsia" w:ascii="仿宋" w:hAnsi="仿宋" w:eastAsia="仿宋"/>
          <w:sz w:val="22"/>
          <w:szCs w:val="22"/>
        </w:rPr>
        <w:t>(一)本考核办法与上级文件相抵触的，按上级文件执行。</w:t>
      </w:r>
    </w:p>
    <w:p w14:paraId="6F460899">
      <w:pPr>
        <w:spacing w:line="360" w:lineRule="auto"/>
        <w:ind w:firstLine="440" w:firstLineChars="200"/>
        <w:rPr>
          <w:rFonts w:ascii="仿宋" w:hAnsi="仿宋" w:eastAsia="仿宋"/>
          <w:sz w:val="22"/>
          <w:szCs w:val="22"/>
        </w:rPr>
      </w:pPr>
      <w:r>
        <w:rPr>
          <w:rFonts w:hint="eastAsia" w:ascii="仿宋" w:hAnsi="仿宋" w:eastAsia="仿宋"/>
          <w:sz w:val="22"/>
          <w:szCs w:val="22"/>
        </w:rPr>
        <w:t>(二)本考核办法由最终解释权归采购人所有。</w:t>
      </w:r>
    </w:p>
    <w:p w14:paraId="10B3580F">
      <w:pPr>
        <w:pStyle w:val="33"/>
        <w:rPr>
          <w:rFonts w:hint="eastAsia" w:ascii="仿宋" w:hAnsi="仿宋" w:eastAsia="仿宋"/>
          <w:color w:val="auto"/>
        </w:rPr>
      </w:pPr>
    </w:p>
    <w:p w14:paraId="05EA613F">
      <w:pPr>
        <w:pStyle w:val="33"/>
        <w:rPr>
          <w:rFonts w:hint="eastAsia" w:ascii="仿宋" w:hAnsi="仿宋" w:eastAsia="仿宋"/>
          <w:color w:val="auto"/>
        </w:rPr>
      </w:pPr>
    </w:p>
    <w:p w14:paraId="17DB4A90">
      <w:pPr>
        <w:pStyle w:val="2"/>
        <w:numPr>
          <w:ilvl w:val="0"/>
          <w:numId w:val="0"/>
        </w:numPr>
        <w:ind w:leftChars="0"/>
        <w:rPr>
          <w:rFonts w:hint="default"/>
          <w:lang w:val="en-US"/>
        </w:rPr>
      </w:pPr>
      <w:r>
        <w:rPr>
          <w:rFonts w:hint="eastAsia" w:ascii="仿宋" w:hAnsi="仿宋" w:eastAsia="仿宋"/>
          <w:sz w:val="22"/>
          <w:szCs w:val="22"/>
          <w:lang w:eastAsia="zh-CN"/>
        </w:rPr>
        <w:t>附表</w:t>
      </w:r>
      <w:r>
        <w:rPr>
          <w:rFonts w:hint="eastAsia" w:ascii="仿宋" w:eastAsia="仿宋"/>
          <w:sz w:val="22"/>
          <w:szCs w:val="22"/>
          <w:lang w:val="en-US" w:eastAsia="zh-CN"/>
        </w:rPr>
        <w:t>1</w:t>
      </w:r>
    </w:p>
    <w:p w14:paraId="668CD82A">
      <w:pPr>
        <w:spacing w:line="360" w:lineRule="auto"/>
        <w:jc w:val="center"/>
        <w:outlineLvl w:val="3"/>
        <w:rPr>
          <w:rFonts w:ascii="仿宋" w:hAnsi="仿宋" w:eastAsia="仿宋"/>
          <w:b/>
          <w:sz w:val="22"/>
          <w:szCs w:val="20"/>
        </w:rPr>
      </w:pPr>
      <w:r>
        <w:rPr>
          <w:rFonts w:hint="eastAsia" w:ascii="仿宋" w:hAnsi="仿宋" w:eastAsia="仿宋"/>
          <w:b/>
          <w:sz w:val="22"/>
          <w:szCs w:val="20"/>
          <w:lang w:val="en-US" w:eastAsia="zh-CN"/>
        </w:rPr>
        <w:t xml:space="preserve"> </w:t>
      </w:r>
      <w:r>
        <w:rPr>
          <w:rFonts w:hint="eastAsia" w:ascii="仿宋" w:hAnsi="仿宋" w:eastAsia="仿宋"/>
          <w:b/>
          <w:sz w:val="22"/>
          <w:szCs w:val="20"/>
        </w:rPr>
        <w:t xml:space="preserve"> </w:t>
      </w:r>
      <w:r>
        <w:rPr>
          <w:rFonts w:hint="eastAsia" w:ascii="仿宋" w:hAnsi="仿宋" w:eastAsia="仿宋"/>
          <w:b/>
          <w:bCs/>
          <w:sz w:val="22"/>
          <w:szCs w:val="22"/>
        </w:rPr>
        <w:t>第三方</w:t>
      </w:r>
      <w:r>
        <w:rPr>
          <w:rFonts w:hint="eastAsia" w:ascii="仿宋" w:hAnsi="仿宋" w:eastAsia="仿宋"/>
          <w:b/>
          <w:sz w:val="22"/>
          <w:szCs w:val="20"/>
        </w:rPr>
        <w:t>环保管家服务单位附加考核评分标准</w:t>
      </w:r>
    </w:p>
    <w:tbl>
      <w:tblPr>
        <w:tblStyle w:val="7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7"/>
        <w:gridCol w:w="710"/>
        <w:gridCol w:w="6469"/>
        <w:gridCol w:w="659"/>
      </w:tblGrid>
      <w:tr w14:paraId="62F99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9" w:hRule="atLeast"/>
          <w:jc w:val="center"/>
        </w:trPr>
        <w:tc>
          <w:tcPr>
            <w:tcW w:w="0" w:type="auto"/>
            <w:vAlign w:val="center"/>
          </w:tcPr>
          <w:p w14:paraId="13ECD22A">
            <w:pPr>
              <w:spacing w:line="580" w:lineRule="exact"/>
              <w:jc w:val="center"/>
              <w:rPr>
                <w:rFonts w:ascii="仿宋" w:hAnsi="仿宋" w:eastAsia="仿宋"/>
                <w:b/>
              </w:rPr>
            </w:pPr>
            <w:r>
              <w:rPr>
                <w:rFonts w:hint="eastAsia" w:ascii="仿宋" w:hAnsi="仿宋" w:eastAsia="仿宋"/>
                <w:b/>
              </w:rPr>
              <w:t>项目</w:t>
            </w:r>
          </w:p>
        </w:tc>
        <w:tc>
          <w:tcPr>
            <w:tcW w:w="710" w:type="dxa"/>
            <w:vAlign w:val="center"/>
          </w:tcPr>
          <w:p w14:paraId="5845D4FF">
            <w:pPr>
              <w:spacing w:line="580" w:lineRule="exact"/>
              <w:jc w:val="center"/>
              <w:rPr>
                <w:rFonts w:ascii="仿宋" w:hAnsi="仿宋" w:eastAsia="仿宋"/>
                <w:b/>
              </w:rPr>
            </w:pPr>
            <w:r>
              <w:rPr>
                <w:rFonts w:hint="eastAsia" w:ascii="仿宋" w:hAnsi="仿宋" w:eastAsia="仿宋"/>
                <w:b/>
              </w:rPr>
              <w:t>序号</w:t>
            </w:r>
          </w:p>
        </w:tc>
        <w:tc>
          <w:tcPr>
            <w:tcW w:w="6469" w:type="dxa"/>
            <w:vAlign w:val="center"/>
          </w:tcPr>
          <w:p w14:paraId="6584E985">
            <w:pPr>
              <w:spacing w:line="580" w:lineRule="exact"/>
              <w:jc w:val="center"/>
              <w:rPr>
                <w:rFonts w:ascii="仿宋" w:hAnsi="仿宋" w:eastAsia="仿宋"/>
                <w:b/>
              </w:rPr>
            </w:pPr>
            <w:r>
              <w:rPr>
                <w:rFonts w:hint="eastAsia" w:ascii="仿宋" w:hAnsi="仿宋" w:eastAsia="仿宋"/>
                <w:b/>
              </w:rPr>
              <w:t>考核内容</w:t>
            </w:r>
          </w:p>
        </w:tc>
        <w:tc>
          <w:tcPr>
            <w:tcW w:w="0" w:type="auto"/>
            <w:vAlign w:val="center"/>
          </w:tcPr>
          <w:p w14:paraId="43A2CF5D">
            <w:pPr>
              <w:jc w:val="center"/>
              <w:rPr>
                <w:rFonts w:ascii="仿宋" w:hAnsi="仿宋" w:eastAsia="仿宋"/>
                <w:b/>
              </w:rPr>
            </w:pPr>
            <w:r>
              <w:rPr>
                <w:rFonts w:hint="eastAsia" w:ascii="仿宋" w:hAnsi="仿宋" w:eastAsia="仿宋"/>
                <w:b/>
              </w:rPr>
              <w:t>评委打分</w:t>
            </w:r>
          </w:p>
        </w:tc>
      </w:tr>
      <w:tr w14:paraId="7807C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jc w:val="center"/>
        </w:trPr>
        <w:tc>
          <w:tcPr>
            <w:tcW w:w="0" w:type="auto"/>
            <w:vMerge w:val="restart"/>
            <w:vAlign w:val="center"/>
          </w:tcPr>
          <w:p w14:paraId="25372129">
            <w:pPr>
              <w:spacing w:line="460" w:lineRule="exact"/>
              <w:jc w:val="center"/>
              <w:rPr>
                <w:rFonts w:ascii="仿宋" w:hAnsi="仿宋" w:eastAsia="仿宋"/>
              </w:rPr>
            </w:pPr>
            <w:r>
              <w:rPr>
                <w:rFonts w:hint="eastAsia" w:ascii="仿宋" w:hAnsi="仿宋" w:eastAsia="仿宋"/>
              </w:rPr>
              <w:t>附加考核</w:t>
            </w:r>
          </w:p>
        </w:tc>
        <w:tc>
          <w:tcPr>
            <w:tcW w:w="710" w:type="dxa"/>
            <w:vAlign w:val="center"/>
          </w:tcPr>
          <w:p w14:paraId="626A27F4">
            <w:pPr>
              <w:spacing w:line="460" w:lineRule="exact"/>
              <w:jc w:val="center"/>
              <w:rPr>
                <w:rFonts w:ascii="仿宋" w:hAnsi="仿宋" w:eastAsia="仿宋"/>
              </w:rPr>
            </w:pPr>
            <w:r>
              <w:rPr>
                <w:rFonts w:hint="eastAsia" w:ascii="仿宋" w:hAnsi="仿宋" w:eastAsia="仿宋"/>
              </w:rPr>
              <w:t>1</w:t>
            </w:r>
          </w:p>
        </w:tc>
        <w:tc>
          <w:tcPr>
            <w:tcW w:w="6469" w:type="dxa"/>
            <w:vAlign w:val="center"/>
          </w:tcPr>
          <w:p w14:paraId="5F8DDB86">
            <w:pPr>
              <w:spacing w:line="460" w:lineRule="exact"/>
              <w:rPr>
                <w:rFonts w:ascii="仿宋" w:hAnsi="仿宋" w:eastAsia="仿宋"/>
              </w:rPr>
            </w:pPr>
            <w:r>
              <w:rPr>
                <w:rFonts w:hint="eastAsia" w:ascii="仿宋" w:hAnsi="仿宋" w:eastAsia="仿宋"/>
              </w:rPr>
              <w:t>被企业投诉被查实的一次扣1分。</w:t>
            </w:r>
          </w:p>
        </w:tc>
        <w:tc>
          <w:tcPr>
            <w:tcW w:w="0" w:type="auto"/>
          </w:tcPr>
          <w:p w14:paraId="009E7B43">
            <w:pPr>
              <w:widowControl/>
              <w:jc w:val="center"/>
              <w:rPr>
                <w:rFonts w:ascii="仿宋" w:hAnsi="仿宋" w:eastAsia="仿宋"/>
                <w:kern w:val="0"/>
              </w:rPr>
            </w:pPr>
          </w:p>
        </w:tc>
      </w:tr>
      <w:tr w14:paraId="44F13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6" w:hRule="atLeast"/>
          <w:jc w:val="center"/>
        </w:trPr>
        <w:tc>
          <w:tcPr>
            <w:tcW w:w="0" w:type="auto"/>
            <w:vMerge w:val="continue"/>
            <w:vAlign w:val="center"/>
          </w:tcPr>
          <w:p w14:paraId="167E61FE">
            <w:pPr>
              <w:spacing w:line="460" w:lineRule="exact"/>
              <w:jc w:val="center"/>
              <w:rPr>
                <w:rFonts w:ascii="仿宋" w:hAnsi="仿宋" w:eastAsia="仿宋"/>
              </w:rPr>
            </w:pPr>
          </w:p>
        </w:tc>
        <w:tc>
          <w:tcPr>
            <w:tcW w:w="710" w:type="dxa"/>
            <w:vAlign w:val="center"/>
          </w:tcPr>
          <w:p w14:paraId="517BA189">
            <w:pPr>
              <w:spacing w:line="460" w:lineRule="exact"/>
              <w:jc w:val="center"/>
              <w:rPr>
                <w:rFonts w:ascii="仿宋" w:hAnsi="仿宋" w:eastAsia="仿宋"/>
              </w:rPr>
            </w:pPr>
            <w:r>
              <w:rPr>
                <w:rFonts w:hint="eastAsia" w:ascii="仿宋" w:hAnsi="仿宋" w:eastAsia="仿宋"/>
              </w:rPr>
              <w:t>2</w:t>
            </w:r>
          </w:p>
        </w:tc>
        <w:tc>
          <w:tcPr>
            <w:tcW w:w="6469" w:type="dxa"/>
            <w:vAlign w:val="center"/>
          </w:tcPr>
          <w:p w14:paraId="52CBC385">
            <w:pPr>
              <w:spacing w:line="460" w:lineRule="exact"/>
              <w:rPr>
                <w:rFonts w:ascii="仿宋" w:hAnsi="仿宋" w:eastAsia="仿宋"/>
              </w:rPr>
            </w:pPr>
            <w:r>
              <w:rPr>
                <w:rFonts w:hint="eastAsia" w:ascii="仿宋" w:hAnsi="仿宋" w:eastAsia="仿宋"/>
              </w:rPr>
              <w:t>未及时发现已检查企业环境违法行为或发现后未及时通报，而其环境违法行为被属地环保部门查处的，发现一起扣2分，被上级环保部门查处的，发现一起扣5分。</w:t>
            </w:r>
          </w:p>
        </w:tc>
        <w:tc>
          <w:tcPr>
            <w:tcW w:w="0" w:type="auto"/>
          </w:tcPr>
          <w:p w14:paraId="04C7703D">
            <w:pPr>
              <w:widowControl/>
              <w:jc w:val="center"/>
              <w:rPr>
                <w:rFonts w:ascii="仿宋" w:hAnsi="仿宋" w:eastAsia="仿宋"/>
                <w:kern w:val="0"/>
              </w:rPr>
            </w:pPr>
          </w:p>
        </w:tc>
      </w:tr>
      <w:tr w14:paraId="6C6F4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4" w:hRule="atLeast"/>
          <w:jc w:val="center"/>
        </w:trPr>
        <w:tc>
          <w:tcPr>
            <w:tcW w:w="0" w:type="auto"/>
            <w:vMerge w:val="continue"/>
            <w:vAlign w:val="center"/>
          </w:tcPr>
          <w:p w14:paraId="1D8CCCB7">
            <w:pPr>
              <w:spacing w:line="460" w:lineRule="exact"/>
              <w:jc w:val="center"/>
              <w:rPr>
                <w:rFonts w:ascii="仿宋" w:hAnsi="仿宋" w:eastAsia="仿宋"/>
              </w:rPr>
            </w:pPr>
          </w:p>
        </w:tc>
        <w:tc>
          <w:tcPr>
            <w:tcW w:w="710" w:type="dxa"/>
            <w:vAlign w:val="center"/>
          </w:tcPr>
          <w:p w14:paraId="54F6A5D4">
            <w:pPr>
              <w:spacing w:line="460" w:lineRule="exact"/>
              <w:jc w:val="center"/>
              <w:rPr>
                <w:rFonts w:ascii="仿宋" w:hAnsi="仿宋" w:eastAsia="仿宋"/>
              </w:rPr>
            </w:pPr>
            <w:r>
              <w:rPr>
                <w:rFonts w:hint="eastAsia" w:ascii="仿宋" w:hAnsi="仿宋" w:eastAsia="仿宋"/>
              </w:rPr>
              <w:t>3</w:t>
            </w:r>
          </w:p>
        </w:tc>
        <w:tc>
          <w:tcPr>
            <w:tcW w:w="6469" w:type="dxa"/>
            <w:vAlign w:val="center"/>
          </w:tcPr>
          <w:p w14:paraId="472F7763">
            <w:pPr>
              <w:spacing w:line="460" w:lineRule="exact"/>
              <w:rPr>
                <w:rFonts w:ascii="仿宋" w:hAnsi="仿宋" w:eastAsia="仿宋"/>
              </w:rPr>
            </w:pPr>
            <w:r>
              <w:rPr>
                <w:rFonts w:hint="eastAsia" w:ascii="仿宋" w:hAnsi="仿宋" w:eastAsia="仿宋"/>
              </w:rPr>
              <w:t>因生态环境问题被媒体曝光的第一次扣2分，第二次扣5分，情节严重造成不良影响的，半年度或年度考核直接评定为不合格。</w:t>
            </w:r>
          </w:p>
        </w:tc>
        <w:tc>
          <w:tcPr>
            <w:tcW w:w="0" w:type="auto"/>
          </w:tcPr>
          <w:p w14:paraId="62DAD1D2">
            <w:pPr>
              <w:widowControl/>
              <w:jc w:val="center"/>
              <w:rPr>
                <w:rFonts w:ascii="仿宋" w:hAnsi="仿宋" w:eastAsia="仿宋"/>
                <w:kern w:val="0"/>
              </w:rPr>
            </w:pPr>
          </w:p>
        </w:tc>
      </w:tr>
      <w:tr w14:paraId="5B1FB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jc w:val="center"/>
        </w:trPr>
        <w:tc>
          <w:tcPr>
            <w:tcW w:w="0" w:type="auto"/>
            <w:vMerge w:val="continue"/>
            <w:vAlign w:val="center"/>
          </w:tcPr>
          <w:p w14:paraId="42C3C806">
            <w:pPr>
              <w:spacing w:line="460" w:lineRule="exact"/>
              <w:jc w:val="center"/>
              <w:rPr>
                <w:rFonts w:ascii="仿宋" w:hAnsi="仿宋" w:eastAsia="仿宋"/>
              </w:rPr>
            </w:pPr>
          </w:p>
        </w:tc>
        <w:tc>
          <w:tcPr>
            <w:tcW w:w="710" w:type="dxa"/>
            <w:vAlign w:val="center"/>
          </w:tcPr>
          <w:p w14:paraId="7A446917">
            <w:pPr>
              <w:spacing w:line="460" w:lineRule="exact"/>
              <w:jc w:val="center"/>
              <w:rPr>
                <w:rFonts w:ascii="仿宋" w:hAnsi="仿宋" w:eastAsia="仿宋"/>
              </w:rPr>
            </w:pPr>
            <w:r>
              <w:rPr>
                <w:rFonts w:hint="eastAsia" w:ascii="仿宋" w:hAnsi="仿宋" w:eastAsia="仿宋"/>
              </w:rPr>
              <w:t>4</w:t>
            </w:r>
          </w:p>
        </w:tc>
        <w:tc>
          <w:tcPr>
            <w:tcW w:w="6469" w:type="dxa"/>
            <w:vAlign w:val="center"/>
          </w:tcPr>
          <w:p w14:paraId="56A331DE">
            <w:pPr>
              <w:spacing w:line="460" w:lineRule="exact"/>
              <w:rPr>
                <w:rFonts w:ascii="仿宋" w:hAnsi="仿宋" w:eastAsia="仿宋"/>
              </w:rPr>
            </w:pPr>
            <w:r>
              <w:rPr>
                <w:rFonts w:hint="eastAsia" w:ascii="仿宋" w:hAnsi="仿宋" w:eastAsia="仿宋"/>
              </w:rPr>
              <w:t>发现企业环境违法行为的，未及时上报环保部门的扣3分。</w:t>
            </w:r>
          </w:p>
        </w:tc>
        <w:tc>
          <w:tcPr>
            <w:tcW w:w="0" w:type="auto"/>
          </w:tcPr>
          <w:p w14:paraId="5D67C3C4">
            <w:pPr>
              <w:widowControl/>
              <w:jc w:val="center"/>
              <w:rPr>
                <w:rFonts w:ascii="仿宋" w:hAnsi="仿宋" w:eastAsia="仿宋"/>
                <w:kern w:val="0"/>
              </w:rPr>
            </w:pPr>
          </w:p>
        </w:tc>
      </w:tr>
      <w:tr w14:paraId="4F223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4" w:hRule="atLeast"/>
          <w:jc w:val="center"/>
        </w:trPr>
        <w:tc>
          <w:tcPr>
            <w:tcW w:w="0" w:type="auto"/>
            <w:vMerge w:val="continue"/>
            <w:vAlign w:val="center"/>
          </w:tcPr>
          <w:p w14:paraId="77E8A74A">
            <w:pPr>
              <w:spacing w:line="460" w:lineRule="exact"/>
              <w:jc w:val="center"/>
              <w:rPr>
                <w:rFonts w:ascii="仿宋" w:hAnsi="仿宋" w:eastAsia="仿宋"/>
              </w:rPr>
            </w:pPr>
          </w:p>
        </w:tc>
        <w:tc>
          <w:tcPr>
            <w:tcW w:w="710" w:type="dxa"/>
            <w:vAlign w:val="center"/>
          </w:tcPr>
          <w:p w14:paraId="3E9B85FA">
            <w:pPr>
              <w:spacing w:line="460" w:lineRule="exact"/>
              <w:jc w:val="center"/>
              <w:rPr>
                <w:rFonts w:ascii="仿宋" w:hAnsi="仿宋" w:eastAsia="仿宋"/>
              </w:rPr>
            </w:pPr>
            <w:r>
              <w:rPr>
                <w:rFonts w:hint="eastAsia" w:ascii="仿宋" w:hAnsi="仿宋" w:eastAsia="仿宋"/>
              </w:rPr>
              <w:t>5</w:t>
            </w:r>
          </w:p>
        </w:tc>
        <w:tc>
          <w:tcPr>
            <w:tcW w:w="6469" w:type="dxa"/>
            <w:vAlign w:val="center"/>
          </w:tcPr>
          <w:p w14:paraId="1266D723">
            <w:pPr>
              <w:spacing w:line="460" w:lineRule="exact"/>
              <w:rPr>
                <w:rFonts w:ascii="仿宋" w:hAnsi="仿宋" w:eastAsia="仿宋"/>
              </w:rPr>
            </w:pPr>
            <w:r>
              <w:rPr>
                <w:rFonts w:hint="eastAsia" w:ascii="仿宋" w:hAnsi="仿宋" w:eastAsia="仿宋"/>
              </w:rPr>
              <w:t>发现涉及环境违法刑事案件，未及时上报环保部门的扣10分并在半年度或年度考核直接评定为不合格。</w:t>
            </w:r>
          </w:p>
        </w:tc>
        <w:tc>
          <w:tcPr>
            <w:tcW w:w="0" w:type="auto"/>
          </w:tcPr>
          <w:p w14:paraId="447D5F65">
            <w:pPr>
              <w:widowControl/>
              <w:jc w:val="center"/>
              <w:rPr>
                <w:rFonts w:ascii="仿宋" w:hAnsi="仿宋" w:eastAsia="仿宋"/>
                <w:kern w:val="0"/>
              </w:rPr>
            </w:pPr>
          </w:p>
        </w:tc>
      </w:tr>
      <w:tr w14:paraId="145FC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jc w:val="center"/>
        </w:trPr>
        <w:tc>
          <w:tcPr>
            <w:tcW w:w="0" w:type="auto"/>
            <w:vMerge w:val="continue"/>
            <w:vAlign w:val="center"/>
          </w:tcPr>
          <w:p w14:paraId="62CA584A">
            <w:pPr>
              <w:spacing w:line="460" w:lineRule="exact"/>
              <w:jc w:val="center"/>
              <w:rPr>
                <w:rFonts w:ascii="仿宋" w:hAnsi="仿宋" w:eastAsia="仿宋"/>
              </w:rPr>
            </w:pPr>
          </w:p>
        </w:tc>
        <w:tc>
          <w:tcPr>
            <w:tcW w:w="710" w:type="dxa"/>
            <w:vAlign w:val="center"/>
          </w:tcPr>
          <w:p w14:paraId="3345D8CF">
            <w:pPr>
              <w:spacing w:line="460" w:lineRule="exact"/>
              <w:jc w:val="center"/>
              <w:rPr>
                <w:rFonts w:ascii="仿宋" w:hAnsi="仿宋" w:eastAsia="仿宋"/>
              </w:rPr>
            </w:pPr>
            <w:r>
              <w:rPr>
                <w:rFonts w:hint="eastAsia" w:ascii="仿宋" w:hAnsi="仿宋" w:eastAsia="仿宋"/>
              </w:rPr>
              <w:t>6</w:t>
            </w:r>
          </w:p>
        </w:tc>
        <w:tc>
          <w:tcPr>
            <w:tcW w:w="6469" w:type="dxa"/>
            <w:vAlign w:val="center"/>
          </w:tcPr>
          <w:p w14:paraId="7E238A10">
            <w:pPr>
              <w:spacing w:line="460" w:lineRule="exact"/>
              <w:rPr>
                <w:rFonts w:ascii="仿宋" w:hAnsi="仿宋" w:eastAsia="仿宋"/>
              </w:rPr>
            </w:pPr>
            <w:r>
              <w:rPr>
                <w:rFonts w:hint="eastAsia" w:ascii="仿宋" w:hAnsi="仿宋" w:eastAsia="仿宋"/>
              </w:rPr>
              <w:t>公众对生态环境满意度提升较高的加1分。</w:t>
            </w:r>
          </w:p>
        </w:tc>
        <w:tc>
          <w:tcPr>
            <w:tcW w:w="0" w:type="auto"/>
          </w:tcPr>
          <w:p w14:paraId="1C439446">
            <w:pPr>
              <w:widowControl/>
              <w:jc w:val="center"/>
              <w:rPr>
                <w:rFonts w:ascii="仿宋" w:hAnsi="仿宋" w:eastAsia="仿宋"/>
                <w:kern w:val="0"/>
              </w:rPr>
            </w:pPr>
          </w:p>
        </w:tc>
      </w:tr>
      <w:tr w14:paraId="34982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6" w:hRule="atLeast"/>
          <w:jc w:val="center"/>
        </w:trPr>
        <w:tc>
          <w:tcPr>
            <w:tcW w:w="0" w:type="auto"/>
            <w:vMerge w:val="continue"/>
            <w:vAlign w:val="center"/>
          </w:tcPr>
          <w:p w14:paraId="20E00D04">
            <w:pPr>
              <w:spacing w:line="460" w:lineRule="exact"/>
              <w:jc w:val="center"/>
              <w:rPr>
                <w:rFonts w:ascii="仿宋" w:hAnsi="仿宋" w:eastAsia="仿宋"/>
              </w:rPr>
            </w:pPr>
          </w:p>
        </w:tc>
        <w:tc>
          <w:tcPr>
            <w:tcW w:w="710" w:type="dxa"/>
            <w:vAlign w:val="center"/>
          </w:tcPr>
          <w:p w14:paraId="05DF51E4">
            <w:pPr>
              <w:spacing w:line="460" w:lineRule="exact"/>
              <w:jc w:val="center"/>
              <w:rPr>
                <w:rFonts w:ascii="仿宋" w:hAnsi="仿宋" w:eastAsia="仿宋"/>
              </w:rPr>
            </w:pPr>
            <w:r>
              <w:rPr>
                <w:rFonts w:hint="eastAsia" w:ascii="仿宋" w:hAnsi="仿宋" w:eastAsia="仿宋"/>
              </w:rPr>
              <w:t>7</w:t>
            </w:r>
          </w:p>
        </w:tc>
        <w:tc>
          <w:tcPr>
            <w:tcW w:w="6469" w:type="dxa"/>
            <w:vAlign w:val="center"/>
          </w:tcPr>
          <w:p w14:paraId="29567F20">
            <w:pPr>
              <w:spacing w:line="460" w:lineRule="exact"/>
              <w:rPr>
                <w:rFonts w:ascii="仿宋" w:hAnsi="仿宋" w:eastAsia="仿宋"/>
              </w:rPr>
            </w:pPr>
            <w:r>
              <w:rPr>
                <w:rFonts w:hint="eastAsia" w:ascii="仿宋" w:hAnsi="仿宋" w:eastAsia="仿宋"/>
              </w:rPr>
              <w:t>与本项目相关信息被开发区或余杭区级录用的加1分，被杭州市级录用加2分，省级加4分，国家级加8分，最高不超过15分，全年未发表任何信息的扣5分。</w:t>
            </w:r>
          </w:p>
        </w:tc>
        <w:tc>
          <w:tcPr>
            <w:tcW w:w="0" w:type="auto"/>
          </w:tcPr>
          <w:p w14:paraId="135A79A9">
            <w:pPr>
              <w:widowControl/>
              <w:jc w:val="center"/>
              <w:rPr>
                <w:rFonts w:ascii="仿宋" w:hAnsi="仿宋" w:eastAsia="仿宋"/>
                <w:kern w:val="0"/>
              </w:rPr>
            </w:pPr>
          </w:p>
        </w:tc>
      </w:tr>
      <w:tr w14:paraId="7998E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jc w:val="center"/>
        </w:trPr>
        <w:tc>
          <w:tcPr>
            <w:tcW w:w="0" w:type="auto"/>
            <w:vMerge w:val="continue"/>
            <w:vAlign w:val="center"/>
          </w:tcPr>
          <w:p w14:paraId="5006D8E0">
            <w:pPr>
              <w:spacing w:line="460" w:lineRule="exact"/>
              <w:jc w:val="center"/>
              <w:rPr>
                <w:rFonts w:ascii="仿宋" w:hAnsi="仿宋" w:eastAsia="仿宋"/>
              </w:rPr>
            </w:pPr>
          </w:p>
        </w:tc>
        <w:tc>
          <w:tcPr>
            <w:tcW w:w="710" w:type="dxa"/>
            <w:vAlign w:val="center"/>
          </w:tcPr>
          <w:p w14:paraId="2511299D">
            <w:pPr>
              <w:spacing w:line="460" w:lineRule="exact"/>
              <w:jc w:val="center"/>
              <w:rPr>
                <w:rFonts w:ascii="仿宋" w:hAnsi="仿宋" w:eastAsia="仿宋"/>
              </w:rPr>
            </w:pPr>
            <w:r>
              <w:rPr>
                <w:rFonts w:hint="eastAsia" w:ascii="仿宋" w:hAnsi="仿宋" w:eastAsia="仿宋"/>
              </w:rPr>
              <w:t>8</w:t>
            </w:r>
          </w:p>
        </w:tc>
        <w:tc>
          <w:tcPr>
            <w:tcW w:w="6469" w:type="dxa"/>
            <w:vAlign w:val="center"/>
          </w:tcPr>
          <w:p w14:paraId="1CE1FBA5">
            <w:pPr>
              <w:spacing w:line="460" w:lineRule="exact"/>
              <w:rPr>
                <w:rFonts w:ascii="仿宋" w:hAnsi="仿宋" w:eastAsia="仿宋"/>
              </w:rPr>
            </w:pPr>
            <w:r>
              <w:rPr>
                <w:rFonts w:hint="eastAsia" w:ascii="仿宋" w:hAnsi="仿宋" w:eastAsia="仿宋"/>
              </w:rPr>
              <w:t>生态文明建设工作出色，被媒体正面报道的每次加2分，最高得4分。</w:t>
            </w:r>
          </w:p>
        </w:tc>
        <w:tc>
          <w:tcPr>
            <w:tcW w:w="0" w:type="auto"/>
          </w:tcPr>
          <w:p w14:paraId="41929B8A">
            <w:pPr>
              <w:widowControl/>
              <w:jc w:val="center"/>
              <w:rPr>
                <w:rFonts w:ascii="仿宋" w:hAnsi="仿宋" w:eastAsia="仿宋"/>
                <w:kern w:val="0"/>
              </w:rPr>
            </w:pPr>
          </w:p>
        </w:tc>
      </w:tr>
      <w:tr w14:paraId="3FFF9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4" w:hRule="atLeast"/>
          <w:jc w:val="center"/>
        </w:trPr>
        <w:tc>
          <w:tcPr>
            <w:tcW w:w="0" w:type="auto"/>
            <w:vMerge w:val="continue"/>
            <w:vAlign w:val="center"/>
          </w:tcPr>
          <w:p w14:paraId="0E29213F">
            <w:pPr>
              <w:spacing w:line="460" w:lineRule="exact"/>
              <w:jc w:val="center"/>
              <w:rPr>
                <w:rFonts w:ascii="仿宋" w:hAnsi="仿宋" w:eastAsia="仿宋"/>
              </w:rPr>
            </w:pPr>
          </w:p>
        </w:tc>
        <w:tc>
          <w:tcPr>
            <w:tcW w:w="710" w:type="dxa"/>
            <w:vAlign w:val="center"/>
          </w:tcPr>
          <w:p w14:paraId="14D8B107">
            <w:pPr>
              <w:spacing w:line="460" w:lineRule="exact"/>
              <w:jc w:val="center"/>
              <w:rPr>
                <w:rFonts w:ascii="仿宋" w:hAnsi="仿宋" w:eastAsia="仿宋"/>
              </w:rPr>
            </w:pPr>
            <w:r>
              <w:rPr>
                <w:rFonts w:hint="eastAsia" w:ascii="仿宋" w:hAnsi="仿宋" w:eastAsia="仿宋"/>
              </w:rPr>
              <w:t>9</w:t>
            </w:r>
          </w:p>
        </w:tc>
        <w:tc>
          <w:tcPr>
            <w:tcW w:w="6469" w:type="dxa"/>
            <w:vAlign w:val="center"/>
          </w:tcPr>
          <w:p w14:paraId="452A5FDA">
            <w:pPr>
              <w:spacing w:line="460" w:lineRule="exact"/>
              <w:rPr>
                <w:rFonts w:ascii="仿宋" w:hAnsi="仿宋" w:eastAsia="仿宋"/>
              </w:rPr>
            </w:pPr>
            <w:r>
              <w:rPr>
                <w:rFonts w:hint="eastAsia" w:ascii="仿宋" w:hAnsi="仿宋" w:eastAsia="仿宋"/>
              </w:rPr>
              <w:t>生态示范创建获得表彰或生态文明工作获得奖励的（区级以上）加1分，以获奖文件或证书为证明材料，最高得4分。</w:t>
            </w:r>
          </w:p>
        </w:tc>
        <w:tc>
          <w:tcPr>
            <w:tcW w:w="0" w:type="auto"/>
          </w:tcPr>
          <w:p w14:paraId="4FBF8135">
            <w:pPr>
              <w:widowControl/>
              <w:jc w:val="center"/>
              <w:rPr>
                <w:rFonts w:ascii="仿宋" w:hAnsi="仿宋" w:eastAsia="仿宋"/>
                <w:kern w:val="0"/>
              </w:rPr>
            </w:pPr>
          </w:p>
        </w:tc>
      </w:tr>
      <w:tr w14:paraId="35C2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5" w:hRule="atLeast"/>
          <w:jc w:val="center"/>
        </w:trPr>
        <w:tc>
          <w:tcPr>
            <w:tcW w:w="0" w:type="auto"/>
            <w:vMerge w:val="continue"/>
            <w:vAlign w:val="center"/>
          </w:tcPr>
          <w:p w14:paraId="178C361D">
            <w:pPr>
              <w:spacing w:line="460" w:lineRule="exact"/>
              <w:jc w:val="center"/>
              <w:rPr>
                <w:rFonts w:ascii="仿宋" w:hAnsi="仿宋" w:eastAsia="仿宋"/>
              </w:rPr>
            </w:pPr>
          </w:p>
        </w:tc>
        <w:tc>
          <w:tcPr>
            <w:tcW w:w="710" w:type="dxa"/>
            <w:vAlign w:val="center"/>
          </w:tcPr>
          <w:p w14:paraId="14345715">
            <w:pPr>
              <w:spacing w:line="460" w:lineRule="exact"/>
              <w:jc w:val="center"/>
              <w:rPr>
                <w:rFonts w:ascii="仿宋" w:hAnsi="仿宋" w:eastAsia="仿宋"/>
              </w:rPr>
            </w:pPr>
            <w:r>
              <w:rPr>
                <w:rFonts w:hint="eastAsia" w:ascii="仿宋" w:hAnsi="仿宋" w:eastAsia="仿宋"/>
              </w:rPr>
              <w:t>10</w:t>
            </w:r>
          </w:p>
        </w:tc>
        <w:tc>
          <w:tcPr>
            <w:tcW w:w="6469" w:type="dxa"/>
            <w:vAlign w:val="center"/>
          </w:tcPr>
          <w:p w14:paraId="41B3A875">
            <w:pPr>
              <w:spacing w:line="460" w:lineRule="exact"/>
              <w:rPr>
                <w:rFonts w:ascii="仿宋" w:hAnsi="仿宋" w:eastAsia="仿宋"/>
              </w:rPr>
            </w:pPr>
            <w:r>
              <w:rPr>
                <w:rFonts w:hint="eastAsia" w:ascii="仿宋" w:hAnsi="仿宋" w:eastAsia="仿宋"/>
              </w:rPr>
              <w:t>完成塘栖镇交办的其他生态环保工作，例如：根据统一安排，配合开展专项整治工作和重要节日、重大活动期间或突击性的检查。根据完成情况，可酌情加分，上限5分。</w:t>
            </w:r>
          </w:p>
        </w:tc>
        <w:tc>
          <w:tcPr>
            <w:tcW w:w="0" w:type="auto"/>
          </w:tcPr>
          <w:p w14:paraId="14A08457">
            <w:pPr>
              <w:widowControl/>
              <w:jc w:val="center"/>
              <w:rPr>
                <w:rFonts w:ascii="仿宋" w:hAnsi="仿宋" w:eastAsia="仿宋"/>
                <w:kern w:val="0"/>
              </w:rPr>
            </w:pPr>
          </w:p>
        </w:tc>
      </w:tr>
    </w:tbl>
    <w:p w14:paraId="4C54335C">
      <w:pPr>
        <w:spacing w:line="360" w:lineRule="auto"/>
        <w:ind w:firstLine="360" w:firstLineChars="200"/>
        <w:rPr>
          <w:rFonts w:ascii="仿宋" w:hAnsi="仿宋" w:eastAsia="仿宋"/>
          <w:sz w:val="18"/>
          <w:szCs w:val="18"/>
        </w:rPr>
      </w:pPr>
      <w:r>
        <w:rPr>
          <w:rFonts w:hint="eastAsia" w:ascii="仿宋" w:hAnsi="仿宋" w:eastAsia="仿宋"/>
          <w:sz w:val="18"/>
          <w:szCs w:val="18"/>
        </w:rPr>
        <w:t>注：附加考核项目每加1分奖励3000元，每扣1分扣5000元；服务期内发生企业严重环境违法行为或涉及环境违法刑事案件，中标服务单位应承担相应法律责任。</w:t>
      </w:r>
    </w:p>
    <w:p w14:paraId="1694F4BE">
      <w:pPr>
        <w:pStyle w:val="33"/>
        <w:rPr>
          <w:rFonts w:hint="eastAsia" w:ascii="仿宋" w:hAnsi="仿宋" w:eastAsia="仿宋"/>
          <w:color w:val="auto"/>
        </w:rPr>
      </w:pPr>
    </w:p>
    <w:p w14:paraId="2FDFCECE">
      <w:pPr>
        <w:pStyle w:val="2"/>
        <w:numPr>
          <w:ilvl w:val="0"/>
          <w:numId w:val="0"/>
        </w:numPr>
        <w:ind w:leftChars="0"/>
      </w:pPr>
      <w:r>
        <w:rPr>
          <w:rFonts w:hint="eastAsia" w:ascii="仿宋" w:hAnsi="仿宋" w:eastAsia="仿宋"/>
          <w:sz w:val="22"/>
          <w:szCs w:val="22"/>
          <w:lang w:eastAsia="zh-CN"/>
        </w:rPr>
        <w:t>附表</w:t>
      </w:r>
      <w:r>
        <w:rPr>
          <w:rFonts w:hint="eastAsia" w:ascii="仿宋" w:hAnsi="仿宋" w:eastAsia="仿宋"/>
          <w:sz w:val="22"/>
          <w:szCs w:val="22"/>
          <w:lang w:val="en-US" w:eastAsia="zh-CN"/>
        </w:rPr>
        <w:t>2</w:t>
      </w:r>
    </w:p>
    <w:p w14:paraId="5AED2597">
      <w:pPr>
        <w:spacing w:line="360" w:lineRule="auto"/>
        <w:jc w:val="center"/>
        <w:outlineLvl w:val="3"/>
        <w:rPr>
          <w:rFonts w:ascii="仿宋" w:hAnsi="仿宋" w:eastAsia="仿宋"/>
          <w:b/>
          <w:sz w:val="22"/>
          <w:szCs w:val="20"/>
        </w:rPr>
      </w:pPr>
      <w:r>
        <w:rPr>
          <w:rFonts w:hint="eastAsia" w:ascii="仿宋" w:hAnsi="仿宋" w:eastAsia="仿宋"/>
          <w:b/>
          <w:sz w:val="22"/>
          <w:szCs w:val="20"/>
        </w:rPr>
        <w:t xml:space="preserve"> 满意度考核评分细则</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066"/>
        <w:gridCol w:w="1731"/>
      </w:tblGrid>
      <w:tr w14:paraId="5C38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shd w:val="clear" w:color="auto" w:fill="auto"/>
          </w:tcPr>
          <w:p w14:paraId="5B6CE561">
            <w:pPr>
              <w:pStyle w:val="968"/>
              <w:widowControl w:val="0"/>
              <w:jc w:val="center"/>
              <w:rPr>
                <w:rFonts w:ascii="仿宋" w:hAnsi="仿宋" w:eastAsia="仿宋"/>
                <w:sz w:val="22"/>
                <w:szCs w:val="22"/>
                <w:lang w:val="en-US"/>
              </w:rPr>
            </w:pPr>
            <w:r>
              <w:rPr>
                <w:rFonts w:hint="eastAsia" w:ascii="仿宋" w:hAnsi="仿宋" w:eastAsia="仿宋"/>
                <w:sz w:val="22"/>
                <w:szCs w:val="22"/>
                <w:lang w:val="en-US"/>
              </w:rPr>
              <w:t>序号</w:t>
            </w:r>
          </w:p>
        </w:tc>
        <w:tc>
          <w:tcPr>
            <w:tcW w:w="6066" w:type="dxa"/>
            <w:shd w:val="clear" w:color="auto" w:fill="auto"/>
          </w:tcPr>
          <w:p w14:paraId="13EC480E">
            <w:pPr>
              <w:pStyle w:val="968"/>
              <w:widowControl w:val="0"/>
              <w:jc w:val="center"/>
              <w:rPr>
                <w:rFonts w:ascii="仿宋" w:hAnsi="仿宋" w:eastAsia="仿宋"/>
                <w:sz w:val="22"/>
                <w:szCs w:val="22"/>
                <w:lang w:val="en-US"/>
              </w:rPr>
            </w:pPr>
            <w:r>
              <w:rPr>
                <w:rFonts w:hint="eastAsia" w:ascii="仿宋" w:hAnsi="仿宋" w:eastAsia="仿宋"/>
                <w:sz w:val="22"/>
                <w:szCs w:val="22"/>
                <w:lang w:val="en-US"/>
              </w:rPr>
              <w:t>评分内容</w:t>
            </w:r>
          </w:p>
        </w:tc>
        <w:tc>
          <w:tcPr>
            <w:tcW w:w="1731" w:type="dxa"/>
            <w:shd w:val="clear" w:color="auto" w:fill="auto"/>
          </w:tcPr>
          <w:p w14:paraId="49CE214D">
            <w:pPr>
              <w:pStyle w:val="968"/>
              <w:widowControl w:val="0"/>
              <w:jc w:val="center"/>
              <w:rPr>
                <w:rFonts w:ascii="仿宋" w:hAnsi="仿宋" w:eastAsia="仿宋"/>
                <w:sz w:val="22"/>
                <w:szCs w:val="22"/>
                <w:lang w:val="en-US"/>
              </w:rPr>
            </w:pPr>
            <w:r>
              <w:rPr>
                <w:rFonts w:hint="eastAsia" w:ascii="仿宋" w:hAnsi="仿宋" w:eastAsia="仿宋"/>
                <w:sz w:val="22"/>
                <w:szCs w:val="22"/>
                <w:lang w:val="en-US"/>
              </w:rPr>
              <w:t>综合评分</w:t>
            </w:r>
          </w:p>
        </w:tc>
      </w:tr>
      <w:tr w14:paraId="69A2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shd w:val="clear" w:color="auto" w:fill="auto"/>
          </w:tcPr>
          <w:p w14:paraId="48D3B6AA">
            <w:pPr>
              <w:pStyle w:val="968"/>
              <w:widowControl w:val="0"/>
              <w:jc w:val="center"/>
              <w:rPr>
                <w:rFonts w:ascii="仿宋" w:hAnsi="仿宋" w:eastAsia="仿宋"/>
                <w:sz w:val="22"/>
                <w:szCs w:val="22"/>
                <w:lang w:val="en-US"/>
              </w:rPr>
            </w:pPr>
            <w:r>
              <w:rPr>
                <w:rFonts w:hint="eastAsia" w:ascii="仿宋" w:hAnsi="仿宋" w:eastAsia="仿宋"/>
                <w:sz w:val="22"/>
                <w:szCs w:val="22"/>
                <w:lang w:val="en-US"/>
              </w:rPr>
              <w:t>1</w:t>
            </w:r>
          </w:p>
        </w:tc>
        <w:tc>
          <w:tcPr>
            <w:tcW w:w="6066" w:type="dxa"/>
            <w:shd w:val="clear" w:color="auto" w:fill="auto"/>
          </w:tcPr>
          <w:p w14:paraId="3A6743A5">
            <w:pPr>
              <w:pStyle w:val="968"/>
              <w:widowControl w:val="0"/>
              <w:jc w:val="both"/>
              <w:rPr>
                <w:rFonts w:ascii="仿宋" w:hAnsi="仿宋" w:eastAsia="仿宋"/>
                <w:sz w:val="22"/>
                <w:szCs w:val="22"/>
                <w:lang w:val="en-US"/>
              </w:rPr>
            </w:pPr>
            <w:r>
              <w:rPr>
                <w:rFonts w:hint="eastAsia" w:ascii="仿宋" w:hAnsi="仿宋" w:eastAsia="仿宋"/>
                <w:sz w:val="22"/>
                <w:szCs w:val="22"/>
                <w:lang w:val="en-US"/>
              </w:rPr>
              <w:t>对</w:t>
            </w:r>
            <w:r>
              <w:rPr>
                <w:rFonts w:hint="eastAsia" w:ascii="仿宋" w:hAnsi="仿宋" w:eastAsia="仿宋"/>
                <w:sz w:val="22"/>
                <w:szCs w:val="22"/>
              </w:rPr>
              <w:t>组织机构、人员、设备的履约情况</w:t>
            </w:r>
            <w:r>
              <w:rPr>
                <w:rFonts w:hint="eastAsia" w:ascii="仿宋" w:hAnsi="仿宋" w:eastAsia="仿宋"/>
                <w:sz w:val="22"/>
                <w:szCs w:val="22"/>
                <w:lang w:val="en-US"/>
              </w:rPr>
              <w:t>评分（满分20分）</w:t>
            </w:r>
          </w:p>
        </w:tc>
        <w:tc>
          <w:tcPr>
            <w:tcW w:w="1731" w:type="dxa"/>
            <w:shd w:val="clear" w:color="auto" w:fill="auto"/>
          </w:tcPr>
          <w:p w14:paraId="3341053E">
            <w:pPr>
              <w:pStyle w:val="968"/>
              <w:widowControl w:val="0"/>
              <w:jc w:val="center"/>
              <w:rPr>
                <w:rFonts w:ascii="仿宋" w:hAnsi="仿宋" w:eastAsia="仿宋"/>
                <w:sz w:val="22"/>
                <w:szCs w:val="22"/>
                <w:lang w:val="en-US"/>
              </w:rPr>
            </w:pPr>
          </w:p>
        </w:tc>
      </w:tr>
      <w:tr w14:paraId="1924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shd w:val="clear" w:color="auto" w:fill="auto"/>
          </w:tcPr>
          <w:p w14:paraId="022A9057">
            <w:pPr>
              <w:pStyle w:val="968"/>
              <w:widowControl w:val="0"/>
              <w:jc w:val="center"/>
              <w:rPr>
                <w:rFonts w:ascii="仿宋" w:hAnsi="仿宋" w:eastAsia="仿宋"/>
                <w:sz w:val="22"/>
                <w:szCs w:val="22"/>
                <w:lang w:val="en-US"/>
              </w:rPr>
            </w:pPr>
            <w:r>
              <w:rPr>
                <w:rFonts w:hint="eastAsia" w:ascii="仿宋" w:hAnsi="仿宋" w:eastAsia="仿宋"/>
                <w:sz w:val="22"/>
                <w:szCs w:val="22"/>
                <w:lang w:val="en-US"/>
              </w:rPr>
              <w:t>2</w:t>
            </w:r>
          </w:p>
        </w:tc>
        <w:tc>
          <w:tcPr>
            <w:tcW w:w="6066" w:type="dxa"/>
            <w:shd w:val="clear" w:color="auto" w:fill="auto"/>
          </w:tcPr>
          <w:p w14:paraId="13A0ECEA">
            <w:pPr>
              <w:pStyle w:val="968"/>
              <w:widowControl w:val="0"/>
              <w:jc w:val="both"/>
              <w:rPr>
                <w:rFonts w:ascii="仿宋" w:hAnsi="仿宋" w:eastAsia="仿宋"/>
                <w:sz w:val="22"/>
                <w:szCs w:val="22"/>
                <w:lang w:val="en-US"/>
              </w:rPr>
            </w:pPr>
            <w:r>
              <w:rPr>
                <w:rFonts w:hint="eastAsia" w:ascii="仿宋" w:hAnsi="仿宋" w:eastAsia="仿宋"/>
                <w:sz w:val="22"/>
                <w:szCs w:val="22"/>
                <w:lang w:val="en-US"/>
              </w:rPr>
              <w:t>对“环保管家”工作制度、流程规范性评分（满分20分）</w:t>
            </w:r>
          </w:p>
        </w:tc>
        <w:tc>
          <w:tcPr>
            <w:tcW w:w="1731" w:type="dxa"/>
            <w:shd w:val="clear" w:color="auto" w:fill="auto"/>
          </w:tcPr>
          <w:p w14:paraId="592D9BB8">
            <w:pPr>
              <w:pStyle w:val="968"/>
              <w:widowControl w:val="0"/>
              <w:jc w:val="center"/>
              <w:rPr>
                <w:rFonts w:ascii="仿宋" w:hAnsi="仿宋" w:eastAsia="仿宋"/>
                <w:sz w:val="22"/>
                <w:szCs w:val="22"/>
                <w:lang w:val="en-US"/>
              </w:rPr>
            </w:pPr>
          </w:p>
        </w:tc>
      </w:tr>
      <w:tr w14:paraId="408A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shd w:val="clear" w:color="auto" w:fill="auto"/>
          </w:tcPr>
          <w:p w14:paraId="27E7A49F">
            <w:pPr>
              <w:pStyle w:val="968"/>
              <w:widowControl w:val="0"/>
              <w:jc w:val="center"/>
              <w:rPr>
                <w:rFonts w:ascii="仿宋" w:hAnsi="仿宋" w:eastAsia="仿宋"/>
                <w:sz w:val="22"/>
                <w:szCs w:val="22"/>
                <w:lang w:val="en-US"/>
              </w:rPr>
            </w:pPr>
            <w:r>
              <w:rPr>
                <w:rFonts w:hint="eastAsia" w:ascii="仿宋" w:hAnsi="仿宋" w:eastAsia="仿宋"/>
                <w:sz w:val="22"/>
                <w:szCs w:val="22"/>
                <w:lang w:val="en-US"/>
              </w:rPr>
              <w:t>3</w:t>
            </w:r>
          </w:p>
        </w:tc>
        <w:tc>
          <w:tcPr>
            <w:tcW w:w="6066" w:type="dxa"/>
            <w:shd w:val="clear" w:color="auto" w:fill="auto"/>
          </w:tcPr>
          <w:p w14:paraId="1B3A3E89">
            <w:pPr>
              <w:pStyle w:val="968"/>
              <w:widowControl w:val="0"/>
              <w:jc w:val="both"/>
              <w:rPr>
                <w:rFonts w:ascii="仿宋" w:hAnsi="仿宋" w:eastAsia="仿宋"/>
                <w:sz w:val="22"/>
                <w:szCs w:val="22"/>
                <w:lang w:val="en-US"/>
              </w:rPr>
            </w:pPr>
            <w:r>
              <w:rPr>
                <w:rFonts w:hint="eastAsia" w:ascii="仿宋" w:hAnsi="仿宋" w:eastAsia="仿宋"/>
                <w:sz w:val="22"/>
                <w:szCs w:val="22"/>
                <w:lang w:val="en-US"/>
              </w:rPr>
              <w:t>对“环保管家”服务态度评评分（满分20分）</w:t>
            </w:r>
          </w:p>
        </w:tc>
        <w:tc>
          <w:tcPr>
            <w:tcW w:w="1731" w:type="dxa"/>
            <w:shd w:val="clear" w:color="auto" w:fill="auto"/>
          </w:tcPr>
          <w:p w14:paraId="0ABD747F">
            <w:pPr>
              <w:pStyle w:val="968"/>
              <w:widowControl w:val="0"/>
              <w:jc w:val="center"/>
              <w:rPr>
                <w:rFonts w:ascii="仿宋" w:hAnsi="仿宋" w:eastAsia="仿宋"/>
                <w:sz w:val="22"/>
                <w:szCs w:val="22"/>
                <w:lang w:val="en-US"/>
              </w:rPr>
            </w:pPr>
          </w:p>
        </w:tc>
      </w:tr>
      <w:tr w14:paraId="3B73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shd w:val="clear" w:color="auto" w:fill="auto"/>
          </w:tcPr>
          <w:p w14:paraId="7AF28730">
            <w:pPr>
              <w:pStyle w:val="968"/>
              <w:widowControl w:val="0"/>
              <w:jc w:val="center"/>
              <w:rPr>
                <w:rFonts w:ascii="仿宋" w:hAnsi="仿宋" w:eastAsia="仿宋"/>
                <w:sz w:val="22"/>
                <w:szCs w:val="22"/>
                <w:lang w:val="en-US"/>
              </w:rPr>
            </w:pPr>
            <w:r>
              <w:rPr>
                <w:rFonts w:hint="eastAsia" w:ascii="仿宋" w:hAnsi="仿宋" w:eastAsia="仿宋"/>
                <w:sz w:val="22"/>
                <w:szCs w:val="22"/>
                <w:lang w:val="en-US"/>
              </w:rPr>
              <w:t>4</w:t>
            </w:r>
          </w:p>
        </w:tc>
        <w:tc>
          <w:tcPr>
            <w:tcW w:w="6066" w:type="dxa"/>
            <w:shd w:val="clear" w:color="auto" w:fill="auto"/>
          </w:tcPr>
          <w:p w14:paraId="4DA0C383">
            <w:pPr>
              <w:pStyle w:val="968"/>
              <w:widowControl w:val="0"/>
              <w:jc w:val="both"/>
              <w:rPr>
                <w:rFonts w:ascii="仿宋" w:hAnsi="仿宋" w:eastAsia="仿宋"/>
                <w:sz w:val="22"/>
                <w:szCs w:val="22"/>
                <w:lang w:val="en-US"/>
              </w:rPr>
            </w:pPr>
            <w:r>
              <w:rPr>
                <w:rFonts w:hint="eastAsia" w:ascii="仿宋" w:hAnsi="仿宋" w:eastAsia="仿宋"/>
                <w:sz w:val="22"/>
                <w:szCs w:val="22"/>
                <w:lang w:val="en-US"/>
              </w:rPr>
              <w:t>对“环保管家”的环保专业水平评分（满分20分）</w:t>
            </w:r>
          </w:p>
        </w:tc>
        <w:tc>
          <w:tcPr>
            <w:tcW w:w="1731" w:type="dxa"/>
            <w:shd w:val="clear" w:color="auto" w:fill="auto"/>
          </w:tcPr>
          <w:p w14:paraId="2BF6731C">
            <w:pPr>
              <w:pStyle w:val="968"/>
              <w:widowControl w:val="0"/>
              <w:jc w:val="center"/>
              <w:rPr>
                <w:rFonts w:ascii="仿宋" w:hAnsi="仿宋" w:eastAsia="仿宋"/>
                <w:sz w:val="22"/>
                <w:szCs w:val="22"/>
                <w:lang w:val="en-US"/>
              </w:rPr>
            </w:pPr>
          </w:p>
        </w:tc>
      </w:tr>
      <w:tr w14:paraId="657D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shd w:val="clear" w:color="auto" w:fill="auto"/>
          </w:tcPr>
          <w:p w14:paraId="7A477591">
            <w:pPr>
              <w:pStyle w:val="968"/>
              <w:widowControl w:val="0"/>
              <w:jc w:val="center"/>
              <w:rPr>
                <w:rFonts w:ascii="仿宋" w:hAnsi="仿宋" w:eastAsia="仿宋"/>
                <w:sz w:val="22"/>
                <w:szCs w:val="22"/>
                <w:lang w:val="en-US"/>
              </w:rPr>
            </w:pPr>
            <w:r>
              <w:rPr>
                <w:rFonts w:hint="eastAsia" w:ascii="仿宋" w:hAnsi="仿宋" w:eastAsia="仿宋"/>
                <w:sz w:val="22"/>
                <w:szCs w:val="22"/>
                <w:lang w:val="en-US"/>
              </w:rPr>
              <w:t>5</w:t>
            </w:r>
          </w:p>
        </w:tc>
        <w:tc>
          <w:tcPr>
            <w:tcW w:w="6066" w:type="dxa"/>
            <w:shd w:val="clear" w:color="auto" w:fill="auto"/>
          </w:tcPr>
          <w:p w14:paraId="492DA47B">
            <w:pPr>
              <w:pStyle w:val="968"/>
              <w:widowControl w:val="0"/>
              <w:jc w:val="both"/>
              <w:rPr>
                <w:rFonts w:ascii="仿宋" w:hAnsi="仿宋" w:eastAsia="仿宋"/>
                <w:sz w:val="22"/>
                <w:szCs w:val="22"/>
                <w:lang w:val="en-US"/>
              </w:rPr>
            </w:pPr>
            <w:r>
              <w:rPr>
                <w:rFonts w:hint="eastAsia" w:ascii="仿宋" w:hAnsi="仿宋" w:eastAsia="仿宋"/>
                <w:sz w:val="22"/>
                <w:szCs w:val="22"/>
                <w:lang w:val="en-US"/>
              </w:rPr>
              <w:t>对“环保管家”日常服务时效性评分（满分20分）</w:t>
            </w:r>
          </w:p>
        </w:tc>
        <w:tc>
          <w:tcPr>
            <w:tcW w:w="1731" w:type="dxa"/>
            <w:shd w:val="clear" w:color="auto" w:fill="auto"/>
          </w:tcPr>
          <w:p w14:paraId="39D12AAF">
            <w:pPr>
              <w:pStyle w:val="968"/>
              <w:widowControl w:val="0"/>
              <w:jc w:val="center"/>
              <w:rPr>
                <w:rFonts w:ascii="仿宋" w:hAnsi="仿宋" w:eastAsia="仿宋"/>
                <w:sz w:val="22"/>
                <w:szCs w:val="22"/>
                <w:lang w:val="en-US"/>
              </w:rPr>
            </w:pPr>
          </w:p>
        </w:tc>
      </w:tr>
    </w:tbl>
    <w:p w14:paraId="3E589537">
      <w:pPr>
        <w:pStyle w:val="31"/>
        <w:numPr>
          <w:ilvl w:val="0"/>
          <w:numId w:val="0"/>
        </w:numPr>
        <w:rPr>
          <w:rFonts w:hint="eastAsia" w:ascii="仿宋" w:hAnsi="仿宋" w:eastAsia="仿宋" w:cs="仿宋"/>
          <w:b/>
          <w:bCs w:val="0"/>
          <w:sz w:val="24"/>
          <w:highlight w:val="none"/>
          <w:lang w:val="en-US" w:eastAsia="zh-CN"/>
        </w:rPr>
      </w:pPr>
    </w:p>
    <w:p w14:paraId="39CF5ADC">
      <w:pPr>
        <w:widowControl/>
        <w:ind w:firstLine="720" w:firstLineChars="300"/>
        <w:jc w:val="left"/>
        <w:rPr>
          <w:rFonts w:hint="eastAsia" w:ascii="仿宋" w:hAnsi="仿宋" w:eastAsia="仿宋" w:cs="仿宋"/>
          <w:bCs/>
          <w:color w:val="auto"/>
          <w:sz w:val="24"/>
          <w:highlight w:val="none"/>
        </w:rPr>
      </w:pPr>
    </w:p>
    <w:p w14:paraId="6D636660">
      <w:pPr>
        <w:rPr>
          <w:rFonts w:hint="eastAsia" w:ascii="仿宋" w:hAnsi="仿宋" w:eastAsia="仿宋" w:cs="仿宋"/>
          <w:snapToGrid w:val="0"/>
          <w:color w:val="auto"/>
          <w:kern w:val="0"/>
          <w:sz w:val="24"/>
          <w:highlight w:val="none"/>
        </w:rPr>
      </w:pPr>
    </w:p>
    <w:p w14:paraId="6968E28B">
      <w:pPr>
        <w:spacing w:line="360" w:lineRule="auto"/>
        <w:ind w:firstLine="1928" w:firstLineChars="800"/>
        <w:rPr>
          <w:rFonts w:hint="eastAsia" w:ascii="仿宋" w:hAnsi="仿宋" w:eastAsia="仿宋" w:cs="仿宋"/>
          <w:b/>
          <w:sz w:val="32"/>
          <w:szCs w:val="20"/>
        </w:rPr>
      </w:pPr>
      <w:r>
        <w:rPr>
          <w:rFonts w:hint="eastAsia" w:ascii="仿宋" w:hAnsi="仿宋" w:eastAsia="仿宋" w:cs="仿宋"/>
          <w:b/>
          <w:color w:val="auto"/>
          <w:sz w:val="24"/>
          <w:highlight w:val="none"/>
        </w:rPr>
        <w:br w:type="page"/>
      </w:r>
      <w:r>
        <w:rPr>
          <w:rFonts w:hint="eastAsia" w:ascii="仿宋" w:hAnsi="仿宋" w:eastAsia="仿宋" w:cs="仿宋"/>
          <w:b/>
          <w:sz w:val="24"/>
          <w:lang w:val="en-US" w:eastAsia="zh-CN"/>
        </w:rPr>
        <w:t xml:space="preserve"> </w:t>
      </w:r>
      <w:r>
        <w:rPr>
          <w:rFonts w:hint="eastAsia" w:ascii="仿宋" w:hAnsi="仿宋" w:eastAsia="仿宋" w:cs="仿宋"/>
          <w:b/>
          <w:sz w:val="36"/>
          <w:szCs w:val="36"/>
        </w:rPr>
        <w:t xml:space="preserve">第四部分   </w:t>
      </w:r>
      <w:bookmarkStart w:id="28" w:name="_Toc184312109"/>
      <w:bookmarkEnd w:id="28"/>
      <w:bookmarkStart w:id="29" w:name="_Toc184310310"/>
      <w:bookmarkEnd w:id="29"/>
      <w:bookmarkStart w:id="30" w:name="_Toc184310341"/>
      <w:bookmarkEnd w:id="30"/>
      <w:bookmarkStart w:id="31" w:name="_Toc184308070"/>
      <w:bookmarkEnd w:id="31"/>
      <w:bookmarkStart w:id="32" w:name="_Toc184310304"/>
      <w:bookmarkEnd w:id="32"/>
      <w:bookmarkStart w:id="33" w:name="_Toc184312072"/>
      <w:bookmarkEnd w:id="33"/>
      <w:bookmarkStart w:id="34" w:name="_Toc184313281"/>
      <w:bookmarkEnd w:id="34"/>
      <w:bookmarkStart w:id="35" w:name="_Toc184314421"/>
      <w:bookmarkEnd w:id="35"/>
      <w:bookmarkStart w:id="36" w:name="_Toc184310273"/>
      <w:bookmarkEnd w:id="36"/>
      <w:bookmarkStart w:id="37" w:name="_Toc184310303"/>
      <w:bookmarkEnd w:id="37"/>
      <w:bookmarkStart w:id="38" w:name="_Toc184313257"/>
      <w:bookmarkEnd w:id="38"/>
      <w:bookmarkStart w:id="39" w:name="_Toc184313238"/>
      <w:bookmarkEnd w:id="39"/>
      <w:bookmarkStart w:id="40" w:name="_Toc184314479"/>
      <w:bookmarkEnd w:id="40"/>
      <w:bookmarkStart w:id="41" w:name="_Toc184310331"/>
      <w:bookmarkEnd w:id="41"/>
      <w:bookmarkStart w:id="42" w:name="_Toc184313271"/>
      <w:bookmarkEnd w:id="42"/>
      <w:bookmarkStart w:id="43" w:name="_Toc184308108"/>
      <w:bookmarkEnd w:id="43"/>
      <w:bookmarkStart w:id="44" w:name="_Toc184313243"/>
      <w:bookmarkEnd w:id="44"/>
      <w:bookmarkStart w:id="45" w:name="_Toc184313306"/>
      <w:bookmarkEnd w:id="45"/>
      <w:bookmarkStart w:id="46" w:name="_Toc184310294"/>
      <w:bookmarkEnd w:id="46"/>
      <w:bookmarkStart w:id="47" w:name="_Toc184312069"/>
      <w:bookmarkEnd w:id="47"/>
      <w:bookmarkStart w:id="48" w:name="_Toc184310330"/>
      <w:bookmarkEnd w:id="48"/>
      <w:bookmarkStart w:id="49" w:name="_Toc184308078"/>
      <w:bookmarkEnd w:id="49"/>
      <w:bookmarkStart w:id="50" w:name="_Toc184308072"/>
      <w:bookmarkEnd w:id="50"/>
      <w:bookmarkStart w:id="51" w:name="_Toc184312067"/>
      <w:bookmarkEnd w:id="51"/>
      <w:bookmarkStart w:id="52" w:name="_Toc184314425"/>
      <w:bookmarkEnd w:id="52"/>
      <w:bookmarkStart w:id="53" w:name="_Toc184312133"/>
      <w:bookmarkEnd w:id="53"/>
      <w:bookmarkStart w:id="54" w:name="_Toc184314434"/>
      <w:bookmarkEnd w:id="54"/>
      <w:bookmarkStart w:id="55" w:name="_Toc184313249"/>
      <w:bookmarkEnd w:id="55"/>
      <w:bookmarkStart w:id="56" w:name="_Toc184313273"/>
      <w:bookmarkEnd w:id="56"/>
      <w:bookmarkStart w:id="57" w:name="_Toc184312095"/>
      <w:bookmarkEnd w:id="57"/>
      <w:bookmarkStart w:id="58" w:name="_Toc184308054"/>
      <w:bookmarkEnd w:id="58"/>
      <w:bookmarkStart w:id="59" w:name="_Toc184312116"/>
      <w:bookmarkEnd w:id="59"/>
      <w:bookmarkStart w:id="60" w:name="_Toc184313302"/>
      <w:bookmarkEnd w:id="60"/>
      <w:bookmarkStart w:id="61" w:name="_Toc184312102"/>
      <w:bookmarkEnd w:id="61"/>
      <w:bookmarkStart w:id="62" w:name="_Toc184313244"/>
      <w:bookmarkEnd w:id="62"/>
      <w:bookmarkStart w:id="63" w:name="_Toc184308106"/>
      <w:bookmarkEnd w:id="63"/>
      <w:bookmarkStart w:id="64" w:name="_Toc184308083"/>
      <w:bookmarkEnd w:id="64"/>
      <w:bookmarkStart w:id="65" w:name="_Toc184312119"/>
      <w:bookmarkEnd w:id="65"/>
      <w:bookmarkStart w:id="66" w:name="_Toc184308064"/>
      <w:bookmarkEnd w:id="66"/>
      <w:bookmarkStart w:id="67" w:name="_Toc184314429"/>
      <w:bookmarkEnd w:id="67"/>
      <w:bookmarkStart w:id="68" w:name="_Toc184310285"/>
      <w:bookmarkEnd w:id="68"/>
      <w:bookmarkStart w:id="69" w:name="_Toc184313305"/>
      <w:bookmarkEnd w:id="69"/>
      <w:bookmarkStart w:id="70" w:name="_Toc184314440"/>
      <w:bookmarkEnd w:id="70"/>
      <w:bookmarkStart w:id="71" w:name="_Toc184308091"/>
      <w:bookmarkEnd w:id="71"/>
      <w:bookmarkStart w:id="72" w:name="_Toc184308100"/>
      <w:bookmarkEnd w:id="72"/>
      <w:bookmarkStart w:id="73" w:name="_Toc184310286"/>
      <w:bookmarkEnd w:id="73"/>
      <w:bookmarkStart w:id="74" w:name="_Toc184313242"/>
      <w:bookmarkEnd w:id="74"/>
      <w:bookmarkStart w:id="75" w:name="_Toc184312135"/>
      <w:bookmarkEnd w:id="75"/>
      <w:bookmarkStart w:id="76" w:name="_Toc184313280"/>
      <w:bookmarkEnd w:id="76"/>
      <w:bookmarkStart w:id="77" w:name="_Toc184308048"/>
      <w:bookmarkEnd w:id="77"/>
      <w:bookmarkStart w:id="78" w:name="_Toc184312079"/>
      <w:bookmarkEnd w:id="78"/>
      <w:bookmarkStart w:id="79" w:name="_Toc184308052"/>
      <w:bookmarkEnd w:id="79"/>
      <w:bookmarkStart w:id="80" w:name="_Toc184310302"/>
      <w:bookmarkEnd w:id="80"/>
      <w:bookmarkStart w:id="81" w:name="_Toc184313262"/>
      <w:bookmarkEnd w:id="81"/>
      <w:bookmarkStart w:id="82" w:name="_Toc184313252"/>
      <w:bookmarkEnd w:id="82"/>
      <w:bookmarkStart w:id="83" w:name="_Toc184308051"/>
      <w:bookmarkEnd w:id="83"/>
      <w:bookmarkStart w:id="84" w:name="_Toc184312087"/>
      <w:bookmarkEnd w:id="84"/>
      <w:bookmarkStart w:id="85" w:name="_Toc184313268"/>
      <w:bookmarkEnd w:id="85"/>
      <w:bookmarkStart w:id="86" w:name="_Toc184314482"/>
      <w:bookmarkEnd w:id="86"/>
      <w:bookmarkStart w:id="87" w:name="_Toc184308084"/>
      <w:bookmarkEnd w:id="87"/>
      <w:bookmarkStart w:id="88" w:name="_Toc184314477"/>
      <w:bookmarkEnd w:id="88"/>
      <w:bookmarkStart w:id="89" w:name="_Toc184310306"/>
      <w:bookmarkEnd w:id="89"/>
      <w:bookmarkStart w:id="90" w:name="_Toc184313299"/>
      <w:bookmarkEnd w:id="90"/>
      <w:bookmarkStart w:id="91" w:name="_Toc184312085"/>
      <w:bookmarkEnd w:id="91"/>
      <w:bookmarkStart w:id="92" w:name="_Toc184310300"/>
      <w:bookmarkEnd w:id="92"/>
      <w:bookmarkStart w:id="93" w:name="_Toc184313300"/>
      <w:bookmarkEnd w:id="93"/>
      <w:bookmarkStart w:id="94" w:name="_Toc184312073"/>
      <w:bookmarkEnd w:id="94"/>
      <w:bookmarkStart w:id="95" w:name="_Toc184310338"/>
      <w:bookmarkEnd w:id="95"/>
      <w:bookmarkStart w:id="96" w:name="_Toc184312068"/>
      <w:bookmarkEnd w:id="96"/>
      <w:bookmarkStart w:id="97" w:name="_Toc184310326"/>
      <w:bookmarkEnd w:id="97"/>
      <w:bookmarkStart w:id="98" w:name="_Toc184312127"/>
      <w:bookmarkEnd w:id="98"/>
      <w:bookmarkStart w:id="99" w:name="_Toc184308101"/>
      <w:bookmarkEnd w:id="99"/>
      <w:bookmarkStart w:id="100" w:name="_Toc184314424"/>
      <w:bookmarkEnd w:id="100"/>
      <w:bookmarkStart w:id="101" w:name="_Toc184313294"/>
      <w:bookmarkEnd w:id="101"/>
      <w:bookmarkStart w:id="102" w:name="_Toc184312111"/>
      <w:bookmarkEnd w:id="102"/>
      <w:bookmarkStart w:id="103" w:name="_Toc184313251"/>
      <w:bookmarkEnd w:id="103"/>
      <w:bookmarkStart w:id="104" w:name="_Toc184308093"/>
      <w:bookmarkEnd w:id="104"/>
      <w:bookmarkStart w:id="105" w:name="_Toc184313241"/>
      <w:bookmarkEnd w:id="105"/>
      <w:bookmarkStart w:id="106" w:name="_Toc184308039"/>
      <w:bookmarkEnd w:id="106"/>
      <w:bookmarkStart w:id="107" w:name="_Toc184308088"/>
      <w:bookmarkEnd w:id="107"/>
      <w:bookmarkStart w:id="108" w:name="_Toc184312118"/>
      <w:bookmarkEnd w:id="108"/>
      <w:bookmarkStart w:id="109" w:name="_Toc184310298"/>
      <w:bookmarkEnd w:id="109"/>
      <w:bookmarkStart w:id="110" w:name="_Toc184310336"/>
      <w:bookmarkEnd w:id="110"/>
      <w:bookmarkStart w:id="111" w:name="_Toc184312107"/>
      <w:bookmarkEnd w:id="111"/>
      <w:bookmarkStart w:id="112" w:name="_Toc184313263"/>
      <w:bookmarkEnd w:id="112"/>
      <w:bookmarkStart w:id="113" w:name="_Toc184314447"/>
      <w:bookmarkEnd w:id="113"/>
      <w:bookmarkStart w:id="114" w:name="_Toc184313270"/>
      <w:bookmarkEnd w:id="114"/>
      <w:bookmarkStart w:id="115" w:name="_Toc184313264"/>
      <w:bookmarkEnd w:id="115"/>
      <w:bookmarkStart w:id="116" w:name="_Toc184313297"/>
      <w:bookmarkEnd w:id="116"/>
      <w:bookmarkStart w:id="117" w:name="_Toc184314438"/>
      <w:bookmarkEnd w:id="117"/>
      <w:bookmarkStart w:id="118" w:name="_Toc184313295"/>
      <w:bookmarkEnd w:id="118"/>
      <w:bookmarkStart w:id="119" w:name="_Toc184314449"/>
      <w:bookmarkEnd w:id="119"/>
      <w:bookmarkStart w:id="120" w:name="_Toc184314466"/>
      <w:bookmarkEnd w:id="120"/>
      <w:bookmarkStart w:id="121" w:name="_Toc184313287"/>
      <w:bookmarkEnd w:id="121"/>
      <w:bookmarkStart w:id="122" w:name="_Toc184310284"/>
      <w:bookmarkEnd w:id="122"/>
      <w:bookmarkStart w:id="123" w:name="_Toc184312112"/>
      <w:bookmarkEnd w:id="123"/>
      <w:bookmarkStart w:id="124" w:name="_Toc184310324"/>
      <w:bookmarkEnd w:id="124"/>
      <w:bookmarkStart w:id="125" w:name="_Toc184308092"/>
      <w:bookmarkEnd w:id="125"/>
      <w:bookmarkStart w:id="126" w:name="_Toc184313248"/>
      <w:bookmarkEnd w:id="126"/>
      <w:bookmarkStart w:id="127" w:name="_Toc184312121"/>
      <w:bookmarkEnd w:id="127"/>
      <w:bookmarkStart w:id="128" w:name="_Toc184308066"/>
      <w:bookmarkEnd w:id="128"/>
      <w:bookmarkStart w:id="129" w:name="_Toc184314475"/>
      <w:bookmarkEnd w:id="129"/>
      <w:bookmarkStart w:id="130" w:name="_Toc184310292"/>
      <w:bookmarkEnd w:id="130"/>
      <w:bookmarkStart w:id="131" w:name="_Toc184314451"/>
      <w:bookmarkEnd w:id="131"/>
      <w:bookmarkStart w:id="132" w:name="_Toc184308073"/>
      <w:bookmarkEnd w:id="132"/>
      <w:bookmarkStart w:id="133" w:name="_Toc184308077"/>
      <w:bookmarkEnd w:id="133"/>
      <w:bookmarkStart w:id="134" w:name="_Toc184310276"/>
      <w:bookmarkEnd w:id="134"/>
      <w:bookmarkStart w:id="135" w:name="_Toc184312096"/>
      <w:bookmarkEnd w:id="135"/>
      <w:bookmarkStart w:id="136" w:name="_Toc184310274"/>
      <w:bookmarkEnd w:id="136"/>
      <w:bookmarkStart w:id="137" w:name="_Toc184312078"/>
      <w:bookmarkEnd w:id="137"/>
      <w:bookmarkStart w:id="138" w:name="_Toc184308107"/>
      <w:bookmarkEnd w:id="138"/>
      <w:bookmarkStart w:id="139" w:name="_Toc184308102"/>
      <w:bookmarkEnd w:id="139"/>
      <w:bookmarkStart w:id="140" w:name="_Toc184314442"/>
      <w:bookmarkEnd w:id="140"/>
      <w:bookmarkStart w:id="141" w:name="_Toc184312082"/>
      <w:bookmarkEnd w:id="141"/>
      <w:bookmarkStart w:id="142" w:name="_Toc184314471"/>
      <w:bookmarkEnd w:id="142"/>
      <w:bookmarkStart w:id="143" w:name="_Toc184313285"/>
      <w:bookmarkEnd w:id="143"/>
      <w:bookmarkStart w:id="144" w:name="_Toc184314468"/>
      <w:bookmarkEnd w:id="144"/>
      <w:bookmarkStart w:id="145" w:name="_Toc184312088"/>
      <w:bookmarkEnd w:id="145"/>
      <w:bookmarkStart w:id="146" w:name="_Toc184312136"/>
      <w:bookmarkEnd w:id="146"/>
      <w:bookmarkStart w:id="147" w:name="_Toc184314436"/>
      <w:bookmarkEnd w:id="147"/>
      <w:bookmarkStart w:id="148" w:name="_Toc184312137"/>
      <w:bookmarkEnd w:id="148"/>
      <w:bookmarkStart w:id="149" w:name="_Toc184312089"/>
      <w:bookmarkEnd w:id="149"/>
      <w:bookmarkStart w:id="150" w:name="_Toc184308047"/>
      <w:bookmarkEnd w:id="150"/>
      <w:bookmarkStart w:id="151" w:name="_Toc184314435"/>
      <w:bookmarkEnd w:id="151"/>
      <w:bookmarkStart w:id="152" w:name="_Toc184308087"/>
      <w:bookmarkEnd w:id="152"/>
      <w:bookmarkStart w:id="153" w:name="_Toc184308085"/>
      <w:bookmarkEnd w:id="153"/>
      <w:bookmarkStart w:id="154" w:name="_Toc184314463"/>
      <w:bookmarkEnd w:id="154"/>
      <w:bookmarkStart w:id="155" w:name="_Toc184310328"/>
      <w:bookmarkEnd w:id="155"/>
      <w:bookmarkStart w:id="156" w:name="_Toc184313291"/>
      <w:bookmarkEnd w:id="156"/>
      <w:bookmarkStart w:id="157" w:name="_Toc184314422"/>
      <w:bookmarkEnd w:id="157"/>
      <w:bookmarkStart w:id="158" w:name="_Toc184312131"/>
      <w:bookmarkEnd w:id="158"/>
      <w:bookmarkStart w:id="159" w:name="_Toc184314456"/>
      <w:bookmarkEnd w:id="159"/>
      <w:bookmarkStart w:id="160" w:name="_Toc184313282"/>
      <w:bookmarkEnd w:id="160"/>
      <w:bookmarkStart w:id="161" w:name="_Toc184310282"/>
      <w:bookmarkEnd w:id="161"/>
      <w:bookmarkStart w:id="162" w:name="_Toc184313274"/>
      <w:bookmarkEnd w:id="162"/>
      <w:bookmarkStart w:id="163" w:name="_Toc184312105"/>
      <w:bookmarkEnd w:id="163"/>
      <w:bookmarkStart w:id="164" w:name="_Toc184314437"/>
      <w:bookmarkEnd w:id="164"/>
      <w:bookmarkStart w:id="165" w:name="_Toc184308046"/>
      <w:bookmarkEnd w:id="165"/>
      <w:bookmarkStart w:id="166" w:name="_Toc184312083"/>
      <w:bookmarkEnd w:id="166"/>
      <w:bookmarkStart w:id="167" w:name="_Toc184312122"/>
      <w:bookmarkEnd w:id="167"/>
      <w:bookmarkStart w:id="168" w:name="_Toc184308082"/>
      <w:bookmarkEnd w:id="168"/>
      <w:bookmarkStart w:id="169" w:name="_Toc184308105"/>
      <w:bookmarkEnd w:id="169"/>
      <w:bookmarkStart w:id="170" w:name="_Toc184310277"/>
      <w:bookmarkEnd w:id="170"/>
      <w:bookmarkStart w:id="171" w:name="_Toc184314433"/>
      <w:bookmarkEnd w:id="171"/>
      <w:bookmarkStart w:id="172" w:name="_Toc184308074"/>
      <w:bookmarkEnd w:id="172"/>
      <w:bookmarkStart w:id="173" w:name="_Toc184310290"/>
      <w:bookmarkEnd w:id="173"/>
      <w:bookmarkStart w:id="174" w:name="_Toc184313272"/>
      <w:bookmarkEnd w:id="174"/>
      <w:bookmarkStart w:id="175" w:name="_Toc184313288"/>
      <w:bookmarkEnd w:id="175"/>
      <w:bookmarkStart w:id="176" w:name="_Toc184310318"/>
      <w:bookmarkEnd w:id="176"/>
      <w:bookmarkStart w:id="177" w:name="_Toc184313256"/>
      <w:bookmarkEnd w:id="177"/>
      <w:bookmarkStart w:id="178" w:name="_Toc184313283"/>
      <w:bookmarkEnd w:id="178"/>
      <w:bookmarkStart w:id="179" w:name="_Toc184312092"/>
      <w:bookmarkEnd w:id="179"/>
      <w:bookmarkStart w:id="180" w:name="_Toc184310278"/>
      <w:bookmarkEnd w:id="180"/>
      <w:bookmarkStart w:id="181" w:name="_Toc184313246"/>
      <w:bookmarkEnd w:id="181"/>
      <w:bookmarkStart w:id="182" w:name="_Toc184310314"/>
      <w:bookmarkEnd w:id="182"/>
      <w:bookmarkStart w:id="183" w:name="_Toc184314416"/>
      <w:bookmarkEnd w:id="183"/>
      <w:bookmarkStart w:id="184" w:name="_Toc184314446"/>
      <w:bookmarkEnd w:id="184"/>
      <w:bookmarkStart w:id="185" w:name="_Toc184308056"/>
      <w:bookmarkEnd w:id="185"/>
      <w:bookmarkStart w:id="186" w:name="_Toc184314445"/>
      <w:bookmarkEnd w:id="186"/>
      <w:bookmarkStart w:id="187" w:name="_Toc184310311"/>
      <w:bookmarkEnd w:id="187"/>
      <w:bookmarkStart w:id="188" w:name="_Toc184310333"/>
      <w:bookmarkEnd w:id="188"/>
      <w:bookmarkStart w:id="189" w:name="_Toc184308045"/>
      <w:bookmarkEnd w:id="189"/>
      <w:bookmarkStart w:id="190" w:name="_Toc184312104"/>
      <w:bookmarkEnd w:id="190"/>
      <w:bookmarkStart w:id="191" w:name="_Toc184312123"/>
      <w:bookmarkEnd w:id="191"/>
      <w:bookmarkStart w:id="192" w:name="_Toc184314467"/>
      <w:bookmarkEnd w:id="192"/>
      <w:bookmarkStart w:id="193" w:name="_Toc184312117"/>
      <w:bookmarkEnd w:id="193"/>
      <w:bookmarkStart w:id="194" w:name="_Toc184312129"/>
      <w:bookmarkEnd w:id="194"/>
      <w:bookmarkStart w:id="195" w:name="_Toc184314457"/>
      <w:bookmarkEnd w:id="195"/>
      <w:bookmarkStart w:id="196" w:name="_Toc184313293"/>
      <w:bookmarkEnd w:id="196"/>
      <w:bookmarkStart w:id="197" w:name="_Toc184310327"/>
      <w:bookmarkEnd w:id="197"/>
      <w:bookmarkStart w:id="198" w:name="_Toc184312074"/>
      <w:bookmarkEnd w:id="198"/>
      <w:bookmarkStart w:id="199" w:name="_Toc184308067"/>
      <w:bookmarkEnd w:id="199"/>
      <w:bookmarkStart w:id="200" w:name="_Toc184308068"/>
      <w:bookmarkEnd w:id="200"/>
      <w:bookmarkStart w:id="201" w:name="_Toc184310343"/>
      <w:bookmarkEnd w:id="201"/>
      <w:bookmarkStart w:id="202" w:name="_Toc184314414"/>
      <w:bookmarkEnd w:id="202"/>
      <w:bookmarkStart w:id="203" w:name="_Toc184310334"/>
      <w:bookmarkEnd w:id="203"/>
      <w:bookmarkStart w:id="204" w:name="_Toc184308094"/>
      <w:bookmarkEnd w:id="204"/>
      <w:bookmarkStart w:id="205" w:name="_Toc184313260"/>
      <w:bookmarkEnd w:id="205"/>
      <w:bookmarkStart w:id="206" w:name="_Toc184314461"/>
      <w:bookmarkEnd w:id="206"/>
      <w:bookmarkStart w:id="207" w:name="_Toc184314476"/>
      <w:bookmarkEnd w:id="207"/>
      <w:bookmarkStart w:id="208" w:name="_Toc184313308"/>
      <w:bookmarkEnd w:id="208"/>
      <w:bookmarkStart w:id="209" w:name="_Toc184312091"/>
      <w:bookmarkEnd w:id="209"/>
      <w:bookmarkStart w:id="210" w:name="_Toc184310342"/>
      <w:bookmarkEnd w:id="210"/>
      <w:bookmarkStart w:id="211" w:name="_Toc184314448"/>
      <w:bookmarkEnd w:id="211"/>
      <w:bookmarkStart w:id="212" w:name="_Toc184308098"/>
      <w:bookmarkEnd w:id="212"/>
      <w:bookmarkStart w:id="213" w:name="_Toc184308086"/>
      <w:bookmarkEnd w:id="213"/>
      <w:bookmarkStart w:id="214" w:name="_Toc184314455"/>
      <w:bookmarkEnd w:id="214"/>
      <w:bookmarkStart w:id="215" w:name="_Toc184314419"/>
      <w:bookmarkEnd w:id="215"/>
      <w:bookmarkStart w:id="216" w:name="_Toc184314417"/>
      <w:bookmarkEnd w:id="216"/>
      <w:bookmarkStart w:id="217" w:name="_Toc184310316"/>
      <w:bookmarkEnd w:id="217"/>
      <w:bookmarkStart w:id="218" w:name="_Toc184313247"/>
      <w:bookmarkEnd w:id="218"/>
      <w:bookmarkStart w:id="219" w:name="_Toc184310335"/>
      <w:bookmarkEnd w:id="219"/>
      <w:bookmarkStart w:id="220" w:name="_Toc184312077"/>
      <w:bookmarkEnd w:id="220"/>
      <w:bookmarkStart w:id="221" w:name="_Toc184308097"/>
      <w:bookmarkEnd w:id="221"/>
      <w:bookmarkStart w:id="222" w:name="_Toc184314469"/>
      <w:bookmarkEnd w:id="222"/>
      <w:bookmarkStart w:id="223" w:name="_Toc184314452"/>
      <w:bookmarkEnd w:id="223"/>
      <w:bookmarkStart w:id="224" w:name="_Toc184310340"/>
      <w:bookmarkEnd w:id="224"/>
      <w:bookmarkStart w:id="225" w:name="_Toc184310299"/>
      <w:bookmarkEnd w:id="225"/>
      <w:bookmarkStart w:id="226" w:name="_Toc184314441"/>
      <w:bookmarkEnd w:id="226"/>
      <w:bookmarkStart w:id="227" w:name="_Toc184310295"/>
      <w:bookmarkEnd w:id="227"/>
      <w:bookmarkStart w:id="228" w:name="_Toc184310275"/>
      <w:bookmarkEnd w:id="228"/>
      <w:bookmarkStart w:id="229" w:name="_Toc184308103"/>
      <w:bookmarkEnd w:id="229"/>
      <w:bookmarkStart w:id="230" w:name="_Toc184314411"/>
      <w:bookmarkEnd w:id="230"/>
      <w:bookmarkStart w:id="231" w:name="_Toc184314415"/>
      <w:bookmarkEnd w:id="231"/>
      <w:bookmarkStart w:id="232" w:name="_Toc184310272"/>
      <w:bookmarkEnd w:id="232"/>
      <w:bookmarkStart w:id="233" w:name="_Toc184310329"/>
      <w:bookmarkEnd w:id="233"/>
      <w:bookmarkStart w:id="234" w:name="_Toc184310319"/>
      <w:bookmarkEnd w:id="234"/>
      <w:bookmarkStart w:id="235" w:name="_Toc184314478"/>
      <w:bookmarkEnd w:id="235"/>
      <w:bookmarkStart w:id="236" w:name="_Toc184313259"/>
      <w:bookmarkEnd w:id="236"/>
      <w:bookmarkStart w:id="237" w:name="_Toc184310287"/>
      <w:bookmarkEnd w:id="237"/>
      <w:bookmarkStart w:id="238" w:name="_Toc184314427"/>
      <w:bookmarkEnd w:id="238"/>
      <w:bookmarkStart w:id="239" w:name="_Toc184313255"/>
      <w:bookmarkEnd w:id="239"/>
      <w:bookmarkStart w:id="240" w:name="_Toc184313240"/>
      <w:bookmarkEnd w:id="240"/>
      <w:bookmarkStart w:id="241" w:name="_Toc184310322"/>
      <w:bookmarkEnd w:id="241"/>
      <w:bookmarkStart w:id="242" w:name="_Toc184313269"/>
      <w:bookmarkEnd w:id="242"/>
      <w:bookmarkStart w:id="243" w:name="_Toc184310332"/>
      <w:bookmarkEnd w:id="243"/>
      <w:bookmarkStart w:id="244" w:name="_Toc184312099"/>
      <w:bookmarkEnd w:id="244"/>
      <w:bookmarkStart w:id="245" w:name="_Toc184310323"/>
      <w:bookmarkEnd w:id="245"/>
      <w:bookmarkStart w:id="246" w:name="_Toc184312128"/>
      <w:bookmarkEnd w:id="246"/>
      <w:bookmarkStart w:id="247" w:name="_Toc184308037"/>
      <w:bookmarkEnd w:id="247"/>
      <w:bookmarkStart w:id="248" w:name="_Toc184313303"/>
      <w:bookmarkEnd w:id="248"/>
      <w:bookmarkStart w:id="249" w:name="_Toc184310317"/>
      <w:bookmarkEnd w:id="249"/>
      <w:bookmarkStart w:id="250" w:name="_Toc184313276"/>
      <w:bookmarkEnd w:id="250"/>
      <w:bookmarkStart w:id="251" w:name="_Toc184314472"/>
      <w:bookmarkEnd w:id="251"/>
      <w:bookmarkStart w:id="252" w:name="_Toc184314413"/>
      <w:bookmarkEnd w:id="252"/>
      <w:bookmarkStart w:id="253" w:name="_Toc184312138"/>
      <w:bookmarkEnd w:id="253"/>
      <w:bookmarkStart w:id="254" w:name="_Toc184313284"/>
      <w:bookmarkEnd w:id="254"/>
      <w:bookmarkStart w:id="255" w:name="_Toc184310297"/>
      <w:bookmarkEnd w:id="255"/>
      <w:bookmarkStart w:id="256" w:name="_Toc184312126"/>
      <w:bookmarkEnd w:id="256"/>
      <w:bookmarkStart w:id="257" w:name="_Toc184308063"/>
      <w:bookmarkEnd w:id="257"/>
      <w:bookmarkStart w:id="258" w:name="_Toc184308065"/>
      <w:bookmarkEnd w:id="258"/>
      <w:bookmarkStart w:id="259" w:name="_Toc184308057"/>
      <w:bookmarkEnd w:id="259"/>
      <w:bookmarkStart w:id="260" w:name="_Toc184308038"/>
      <w:bookmarkEnd w:id="260"/>
      <w:bookmarkStart w:id="261" w:name="_Toc184312081"/>
      <w:bookmarkEnd w:id="261"/>
      <w:bookmarkStart w:id="262" w:name="_Toc184312115"/>
      <w:bookmarkEnd w:id="262"/>
      <w:bookmarkStart w:id="263" w:name="_Toc184312134"/>
      <w:bookmarkEnd w:id="263"/>
      <w:bookmarkStart w:id="264" w:name="_Toc184312124"/>
      <w:bookmarkEnd w:id="264"/>
      <w:bookmarkStart w:id="265" w:name="_Toc184312093"/>
      <w:bookmarkEnd w:id="265"/>
      <w:bookmarkStart w:id="266" w:name="_Toc184310321"/>
      <w:bookmarkEnd w:id="266"/>
      <w:bookmarkStart w:id="267" w:name="_Toc184314444"/>
      <w:bookmarkEnd w:id="267"/>
      <w:bookmarkStart w:id="268" w:name="_Toc184312094"/>
      <w:bookmarkEnd w:id="268"/>
      <w:bookmarkStart w:id="269" w:name="_Toc184313253"/>
      <w:bookmarkEnd w:id="269"/>
      <w:bookmarkStart w:id="270" w:name="_Toc184314462"/>
      <w:bookmarkEnd w:id="270"/>
      <w:bookmarkStart w:id="271" w:name="_Toc184310312"/>
      <w:bookmarkEnd w:id="271"/>
      <w:bookmarkStart w:id="272" w:name="_Toc184314431"/>
      <w:bookmarkEnd w:id="272"/>
      <w:bookmarkStart w:id="273" w:name="_Toc184314418"/>
      <w:bookmarkEnd w:id="273"/>
      <w:bookmarkStart w:id="274" w:name="_Toc184313290"/>
      <w:bookmarkEnd w:id="274"/>
      <w:bookmarkStart w:id="275" w:name="_Toc184312125"/>
      <w:bookmarkEnd w:id="275"/>
      <w:bookmarkStart w:id="276" w:name="_Toc184312101"/>
      <w:bookmarkEnd w:id="276"/>
      <w:bookmarkStart w:id="277" w:name="_Toc184312075"/>
      <w:bookmarkEnd w:id="277"/>
      <w:bookmarkStart w:id="278" w:name="_Toc184312084"/>
      <w:bookmarkEnd w:id="278"/>
      <w:bookmarkStart w:id="279" w:name="_Toc184314454"/>
      <w:bookmarkEnd w:id="279"/>
      <w:bookmarkStart w:id="280" w:name="_Toc184313277"/>
      <w:bookmarkEnd w:id="280"/>
      <w:bookmarkStart w:id="281" w:name="_Toc184312086"/>
      <w:bookmarkEnd w:id="281"/>
      <w:bookmarkStart w:id="282" w:name="_Toc184313296"/>
      <w:bookmarkEnd w:id="282"/>
      <w:bookmarkStart w:id="283" w:name="_Toc184310283"/>
      <w:bookmarkEnd w:id="283"/>
      <w:bookmarkStart w:id="284" w:name="_Toc184314423"/>
      <w:bookmarkEnd w:id="284"/>
      <w:bookmarkStart w:id="285" w:name="_Toc184308060"/>
      <w:bookmarkEnd w:id="285"/>
      <w:bookmarkStart w:id="286" w:name="_Toc184308042"/>
      <w:bookmarkEnd w:id="286"/>
      <w:bookmarkStart w:id="287" w:name="_Toc184312110"/>
      <w:bookmarkEnd w:id="287"/>
      <w:bookmarkStart w:id="288" w:name="_Toc184314481"/>
      <w:bookmarkEnd w:id="288"/>
      <w:bookmarkStart w:id="289" w:name="_Toc184312071"/>
      <w:bookmarkEnd w:id="289"/>
      <w:bookmarkStart w:id="290" w:name="_Toc184308040"/>
      <w:bookmarkEnd w:id="290"/>
      <w:bookmarkStart w:id="291" w:name="_Toc184314428"/>
      <w:bookmarkEnd w:id="291"/>
      <w:bookmarkStart w:id="292" w:name="_Toc184314420"/>
      <w:bookmarkEnd w:id="292"/>
      <w:bookmarkStart w:id="293" w:name="_Toc184308095"/>
      <w:bookmarkEnd w:id="293"/>
      <w:bookmarkStart w:id="294" w:name="_Toc184310305"/>
      <w:bookmarkEnd w:id="294"/>
      <w:bookmarkStart w:id="295" w:name="_Toc184312139"/>
      <w:bookmarkEnd w:id="295"/>
      <w:bookmarkStart w:id="296" w:name="_Toc184310296"/>
      <w:bookmarkEnd w:id="296"/>
      <w:bookmarkStart w:id="297" w:name="_Toc184313301"/>
      <w:bookmarkEnd w:id="297"/>
      <w:bookmarkStart w:id="298" w:name="_Toc184308089"/>
      <w:bookmarkEnd w:id="298"/>
      <w:bookmarkStart w:id="299" w:name="_Toc184310344"/>
      <w:bookmarkEnd w:id="299"/>
      <w:bookmarkStart w:id="300" w:name="_Toc184308075"/>
      <w:bookmarkEnd w:id="300"/>
      <w:bookmarkStart w:id="301" w:name="_Toc184314426"/>
      <w:bookmarkEnd w:id="301"/>
      <w:bookmarkStart w:id="302" w:name="_Toc184308062"/>
      <w:bookmarkEnd w:id="302"/>
      <w:bookmarkStart w:id="303" w:name="_Toc184312070"/>
      <w:bookmarkEnd w:id="303"/>
      <w:bookmarkStart w:id="304" w:name="_Toc184312106"/>
      <w:bookmarkEnd w:id="304"/>
      <w:bookmarkStart w:id="305" w:name="_Toc184310280"/>
      <w:bookmarkEnd w:id="305"/>
      <w:bookmarkStart w:id="306" w:name="_Toc184308081"/>
      <w:bookmarkEnd w:id="306"/>
      <w:bookmarkStart w:id="307" w:name="_Toc184312097"/>
      <w:bookmarkEnd w:id="307"/>
      <w:bookmarkStart w:id="308" w:name="_Toc184313266"/>
      <w:bookmarkEnd w:id="308"/>
      <w:bookmarkStart w:id="309" w:name="_Toc184310308"/>
      <w:bookmarkEnd w:id="309"/>
      <w:bookmarkStart w:id="310" w:name="_Toc184314430"/>
      <w:bookmarkEnd w:id="310"/>
      <w:bookmarkStart w:id="311" w:name="_Toc184313254"/>
      <w:bookmarkEnd w:id="311"/>
      <w:bookmarkStart w:id="312" w:name="_Toc184312098"/>
      <w:bookmarkEnd w:id="312"/>
      <w:bookmarkStart w:id="313" w:name="_Toc184310307"/>
      <w:bookmarkEnd w:id="313"/>
      <w:bookmarkStart w:id="314" w:name="_Toc184312113"/>
      <w:bookmarkEnd w:id="314"/>
      <w:bookmarkStart w:id="315" w:name="_Toc184308079"/>
      <w:bookmarkEnd w:id="315"/>
      <w:bookmarkStart w:id="316" w:name="_Toc184308099"/>
      <w:bookmarkEnd w:id="316"/>
      <w:bookmarkStart w:id="317" w:name="_Toc184313292"/>
      <w:bookmarkEnd w:id="317"/>
      <w:bookmarkStart w:id="318" w:name="_Toc184314474"/>
      <w:bookmarkEnd w:id="318"/>
      <w:bookmarkStart w:id="319" w:name="_Toc184312120"/>
      <w:bookmarkEnd w:id="319"/>
      <w:bookmarkStart w:id="320" w:name="_Toc184310293"/>
      <w:bookmarkEnd w:id="320"/>
      <w:bookmarkStart w:id="321" w:name="_Toc184308061"/>
      <w:bookmarkEnd w:id="321"/>
      <w:bookmarkStart w:id="322" w:name="_Toc184310309"/>
      <w:bookmarkEnd w:id="322"/>
      <w:bookmarkStart w:id="323" w:name="_Toc184313267"/>
      <w:bookmarkEnd w:id="323"/>
      <w:bookmarkStart w:id="324" w:name="_Toc184312114"/>
      <w:bookmarkEnd w:id="324"/>
      <w:bookmarkStart w:id="325" w:name="_Toc184314443"/>
      <w:bookmarkEnd w:id="325"/>
      <w:bookmarkStart w:id="326" w:name="_Toc184313307"/>
      <w:bookmarkEnd w:id="326"/>
      <w:bookmarkStart w:id="327" w:name="_Toc184314439"/>
      <w:bookmarkEnd w:id="327"/>
      <w:bookmarkStart w:id="328" w:name="_Toc184313239"/>
      <w:bookmarkEnd w:id="328"/>
      <w:bookmarkStart w:id="329" w:name="_Toc184314450"/>
      <w:bookmarkEnd w:id="329"/>
      <w:bookmarkStart w:id="330" w:name="_Toc184308069"/>
      <w:bookmarkEnd w:id="330"/>
      <w:bookmarkStart w:id="331" w:name="_Toc184314473"/>
      <w:bookmarkEnd w:id="331"/>
      <w:bookmarkStart w:id="332" w:name="_Toc184314480"/>
      <w:bookmarkEnd w:id="332"/>
      <w:bookmarkStart w:id="333" w:name="_Toc184312100"/>
      <w:bookmarkEnd w:id="333"/>
      <w:bookmarkStart w:id="334" w:name="_Toc184313265"/>
      <w:bookmarkEnd w:id="334"/>
      <w:bookmarkStart w:id="335" w:name="_Toc184308071"/>
      <w:bookmarkEnd w:id="335"/>
      <w:bookmarkStart w:id="336" w:name="_Toc184308104"/>
      <w:bookmarkEnd w:id="336"/>
      <w:bookmarkStart w:id="337" w:name="_Toc184308059"/>
      <w:bookmarkEnd w:id="337"/>
      <w:bookmarkStart w:id="338" w:name="_Toc184313275"/>
      <w:bookmarkEnd w:id="338"/>
      <w:bookmarkStart w:id="339" w:name="_Toc184310337"/>
      <w:bookmarkEnd w:id="339"/>
      <w:bookmarkStart w:id="340" w:name="_Toc184313309"/>
      <w:bookmarkEnd w:id="340"/>
      <w:bookmarkStart w:id="341" w:name="_Toc184310315"/>
      <w:bookmarkEnd w:id="341"/>
      <w:bookmarkStart w:id="342" w:name="_Toc184308050"/>
      <w:bookmarkEnd w:id="342"/>
      <w:bookmarkStart w:id="343" w:name="_Toc184312108"/>
      <w:bookmarkEnd w:id="343"/>
      <w:bookmarkStart w:id="344" w:name="_Toc184308058"/>
      <w:bookmarkEnd w:id="344"/>
      <w:bookmarkStart w:id="345" w:name="_Toc184308090"/>
      <w:bookmarkEnd w:id="345"/>
      <w:bookmarkStart w:id="346" w:name="_Toc184310313"/>
      <w:bookmarkEnd w:id="346"/>
      <w:bookmarkStart w:id="347" w:name="_Toc184308036"/>
      <w:bookmarkEnd w:id="347"/>
      <w:bookmarkStart w:id="348" w:name="_Toc184312090"/>
      <w:bookmarkEnd w:id="348"/>
      <w:bookmarkStart w:id="349" w:name="_Toc184308049"/>
      <w:bookmarkEnd w:id="349"/>
      <w:bookmarkStart w:id="350" w:name="_Toc184308043"/>
      <w:bookmarkEnd w:id="350"/>
      <w:bookmarkStart w:id="351" w:name="_Toc184310301"/>
      <w:bookmarkEnd w:id="351"/>
      <w:bookmarkStart w:id="352" w:name="_Toc184312130"/>
      <w:bookmarkEnd w:id="352"/>
      <w:bookmarkStart w:id="353" w:name="_Toc184310289"/>
      <w:bookmarkEnd w:id="353"/>
      <w:bookmarkStart w:id="354" w:name="_Toc184313286"/>
      <w:bookmarkEnd w:id="354"/>
      <w:bookmarkStart w:id="355" w:name="_Toc184313289"/>
      <w:bookmarkEnd w:id="355"/>
      <w:bookmarkStart w:id="356" w:name="_Toc184314470"/>
      <w:bookmarkEnd w:id="356"/>
      <w:bookmarkStart w:id="357" w:name="_Toc184310320"/>
      <w:bookmarkEnd w:id="357"/>
      <w:bookmarkStart w:id="358" w:name="_Toc184313278"/>
      <w:bookmarkEnd w:id="358"/>
      <w:bookmarkStart w:id="359" w:name="_Toc184308096"/>
      <w:bookmarkEnd w:id="359"/>
      <w:bookmarkStart w:id="360" w:name="_Toc184313310"/>
      <w:bookmarkEnd w:id="360"/>
      <w:bookmarkStart w:id="361" w:name="_Toc184314459"/>
      <w:bookmarkEnd w:id="361"/>
      <w:bookmarkStart w:id="362" w:name="_Toc184312076"/>
      <w:bookmarkEnd w:id="362"/>
      <w:bookmarkStart w:id="363" w:name="_Toc184310325"/>
      <w:bookmarkEnd w:id="363"/>
      <w:bookmarkStart w:id="364" w:name="_Toc184308041"/>
      <w:bookmarkEnd w:id="364"/>
      <w:bookmarkStart w:id="365" w:name="_Toc184310279"/>
      <w:bookmarkEnd w:id="365"/>
      <w:bookmarkStart w:id="366" w:name="_Toc184313250"/>
      <w:bookmarkEnd w:id="366"/>
      <w:bookmarkStart w:id="367" w:name="_Toc184313261"/>
      <w:bookmarkEnd w:id="367"/>
      <w:bookmarkStart w:id="368" w:name="_Toc184312103"/>
      <w:bookmarkEnd w:id="368"/>
      <w:bookmarkStart w:id="369" w:name="_Toc184314460"/>
      <w:bookmarkEnd w:id="369"/>
      <w:bookmarkStart w:id="370" w:name="_Toc184314432"/>
      <w:bookmarkEnd w:id="370"/>
      <w:bookmarkStart w:id="371" w:name="_Toc184308080"/>
      <w:bookmarkEnd w:id="371"/>
      <w:bookmarkStart w:id="372" w:name="_Toc184308076"/>
      <w:bookmarkEnd w:id="372"/>
      <w:bookmarkStart w:id="373" w:name="_Toc184313245"/>
      <w:bookmarkEnd w:id="373"/>
      <w:bookmarkStart w:id="374" w:name="_Toc184310288"/>
      <w:bookmarkEnd w:id="374"/>
      <w:bookmarkStart w:id="375" w:name="_Toc184314465"/>
      <w:bookmarkEnd w:id="375"/>
      <w:bookmarkStart w:id="376" w:name="_Toc184314453"/>
      <w:bookmarkEnd w:id="376"/>
      <w:bookmarkStart w:id="377" w:name="_Toc184313279"/>
      <w:bookmarkEnd w:id="377"/>
      <w:bookmarkStart w:id="378" w:name="_Toc184314464"/>
      <w:bookmarkEnd w:id="378"/>
      <w:bookmarkStart w:id="379" w:name="_Toc184313258"/>
      <w:bookmarkEnd w:id="379"/>
      <w:bookmarkStart w:id="380" w:name="_Toc184308055"/>
      <w:bookmarkEnd w:id="380"/>
      <w:bookmarkStart w:id="381" w:name="_Toc184308053"/>
      <w:bookmarkEnd w:id="381"/>
      <w:bookmarkStart w:id="382" w:name="_Toc184310281"/>
      <w:bookmarkEnd w:id="382"/>
      <w:bookmarkStart w:id="383" w:name="_Toc184314412"/>
      <w:bookmarkEnd w:id="383"/>
      <w:bookmarkStart w:id="384" w:name="_Toc184313304"/>
      <w:bookmarkEnd w:id="384"/>
      <w:bookmarkStart w:id="385" w:name="_Toc184310339"/>
      <w:bookmarkEnd w:id="385"/>
      <w:bookmarkStart w:id="386" w:name="_Toc184312132"/>
      <w:bookmarkEnd w:id="386"/>
      <w:bookmarkStart w:id="387" w:name="_Toc184310291"/>
      <w:bookmarkEnd w:id="387"/>
      <w:bookmarkStart w:id="388" w:name="_Toc184314410"/>
      <w:bookmarkEnd w:id="388"/>
      <w:bookmarkStart w:id="389" w:name="_Toc184314458"/>
      <w:bookmarkEnd w:id="389"/>
      <w:bookmarkStart w:id="390" w:name="_Toc184313298"/>
      <w:bookmarkEnd w:id="390"/>
      <w:bookmarkStart w:id="391" w:name="_Toc184312080"/>
      <w:bookmarkEnd w:id="391"/>
      <w:bookmarkStart w:id="392" w:name="_Toc184308044"/>
      <w:bookmarkEnd w:id="392"/>
      <w:r>
        <w:rPr>
          <w:rFonts w:hint="eastAsia" w:ascii="仿宋" w:hAnsi="仿宋" w:eastAsia="仿宋" w:cs="仿宋"/>
          <w:b/>
          <w:sz w:val="36"/>
          <w:szCs w:val="36"/>
        </w:rPr>
        <w:t>评标办法</w:t>
      </w:r>
      <w:r>
        <w:rPr>
          <w:rFonts w:hint="eastAsia" w:ascii="仿宋" w:hAnsi="仿宋" w:eastAsia="仿宋" w:cs="仿宋"/>
          <w:b/>
          <w:sz w:val="36"/>
          <w:szCs w:val="36"/>
        </w:rPr>
        <w:br w:type="textWrapping"/>
      </w:r>
      <w:r>
        <w:rPr>
          <w:rFonts w:hint="eastAsia" w:ascii="仿宋" w:hAnsi="仿宋" w:eastAsia="仿宋" w:cs="仿宋"/>
          <w:b/>
          <w:sz w:val="36"/>
          <w:szCs w:val="36"/>
          <w:lang w:val="en-US" w:eastAsia="zh-CN"/>
        </w:rPr>
        <w:t xml:space="preserve">               </w:t>
      </w:r>
      <w:r>
        <w:rPr>
          <w:rFonts w:hint="eastAsia" w:ascii="仿宋" w:hAnsi="仿宋" w:eastAsia="仿宋" w:cs="仿宋"/>
          <w:b/>
          <w:sz w:val="32"/>
          <w:szCs w:val="20"/>
        </w:rPr>
        <w:t>评标办法前附表</w:t>
      </w:r>
    </w:p>
    <w:tbl>
      <w:tblPr>
        <w:tblStyle w:val="7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400"/>
        <w:gridCol w:w="750"/>
        <w:gridCol w:w="1270"/>
        <w:gridCol w:w="1576"/>
      </w:tblGrid>
      <w:tr w14:paraId="7CD5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 w:type="dxa"/>
            <w:vAlign w:val="center"/>
          </w:tcPr>
          <w:p w14:paraId="4D695E14">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4400" w:type="dxa"/>
            <w:vAlign w:val="center"/>
          </w:tcPr>
          <w:p w14:paraId="272475EB">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评标标准</w:t>
            </w:r>
          </w:p>
        </w:tc>
        <w:tc>
          <w:tcPr>
            <w:tcW w:w="750" w:type="dxa"/>
            <w:vAlign w:val="center"/>
          </w:tcPr>
          <w:p w14:paraId="2C6349CE">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权重</w:t>
            </w:r>
          </w:p>
        </w:tc>
        <w:tc>
          <w:tcPr>
            <w:tcW w:w="1270" w:type="dxa"/>
            <w:vAlign w:val="center"/>
          </w:tcPr>
          <w:p w14:paraId="647D23EA">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主观分/客观分属性</w:t>
            </w:r>
          </w:p>
        </w:tc>
        <w:tc>
          <w:tcPr>
            <w:tcW w:w="1576" w:type="dxa"/>
          </w:tcPr>
          <w:p w14:paraId="52FCB683">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投标文件中评标标准相应的商务技术资料目录*</w:t>
            </w:r>
          </w:p>
        </w:tc>
      </w:tr>
      <w:tr w14:paraId="7775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79" w:type="dxa"/>
            <w:vAlign w:val="center"/>
          </w:tcPr>
          <w:p w14:paraId="3DE7408A">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p>
        </w:tc>
        <w:tc>
          <w:tcPr>
            <w:tcW w:w="4400" w:type="dxa"/>
            <w:vAlign w:val="center"/>
          </w:tcPr>
          <w:p w14:paraId="56B0E91C">
            <w:pPr>
              <w:keepNext w:val="0"/>
              <w:keepLines w:val="0"/>
              <w:pageBreakBefore w:val="0"/>
              <w:widowControl/>
              <w:kinsoku/>
              <w:wordWrap/>
              <w:overflowPunct/>
              <w:topLinePunct w:val="0"/>
              <w:autoSpaceDE w:val="0"/>
              <w:autoSpaceDN w:val="0"/>
              <w:bidi w:val="0"/>
              <w:adjustRightInd w:val="0"/>
              <w:snapToGrid w:val="0"/>
              <w:spacing w:line="360" w:lineRule="atLeast"/>
              <w:jc w:val="both"/>
              <w:textAlignment w:val="auto"/>
              <w:rPr>
                <w:rFonts w:hint="eastAsia" w:ascii="仿宋" w:hAnsi="仿宋" w:eastAsia="仿宋" w:cs="仿宋"/>
                <w:b w:val="0"/>
                <w:bCs/>
                <w:color w:val="auto"/>
                <w:kern w:val="0"/>
                <w:sz w:val="24"/>
                <w:lang w:val="en-US" w:eastAsia="zh-CN"/>
              </w:rPr>
            </w:pPr>
            <w:r>
              <w:rPr>
                <w:rFonts w:hint="eastAsia" w:ascii="仿宋" w:hAnsi="仿宋" w:eastAsia="仿宋" w:cs="仿宋"/>
                <w:color w:val="auto"/>
                <w:kern w:val="0"/>
                <w:sz w:val="24"/>
                <w:szCs w:val="24"/>
              </w:rPr>
              <w:t>自20</w:t>
            </w:r>
            <w:r>
              <w:rPr>
                <w:rFonts w:hint="eastAsia" w:ascii="仿宋" w:hAnsi="仿宋" w:eastAsia="仿宋" w:cs="仿宋"/>
                <w:color w:val="auto"/>
                <w:kern w:val="0"/>
                <w:sz w:val="24"/>
                <w:szCs w:val="24"/>
                <w:lang w:val="en-US" w:eastAsia="zh-CN"/>
              </w:rPr>
              <w:t>20</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月1日起至今</w:t>
            </w:r>
            <w:r>
              <w:rPr>
                <w:rFonts w:hint="eastAsia" w:ascii="仿宋" w:hAnsi="仿宋" w:eastAsia="仿宋" w:cs="仿宋"/>
                <w:color w:val="auto"/>
                <w:kern w:val="0"/>
                <w:sz w:val="24"/>
                <w:szCs w:val="24"/>
                <w:lang w:eastAsia="zh-CN"/>
              </w:rPr>
              <w:t>，投标人提供类似项目合同业绩，每个得0.</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分，</w:t>
            </w:r>
            <w:r>
              <w:rPr>
                <w:rFonts w:hint="eastAsia" w:ascii="仿宋" w:hAnsi="仿宋" w:eastAsia="仿宋" w:cs="仿宋"/>
                <w:color w:val="auto"/>
                <w:kern w:val="0"/>
                <w:sz w:val="24"/>
                <w:szCs w:val="24"/>
                <w:lang w:val="en-US" w:eastAsia="zh-CN"/>
              </w:rPr>
              <w:t>本项</w:t>
            </w:r>
            <w:r>
              <w:rPr>
                <w:rFonts w:hint="eastAsia" w:ascii="仿宋" w:hAnsi="仿宋" w:eastAsia="仿宋" w:cs="仿宋"/>
                <w:color w:val="auto"/>
                <w:kern w:val="0"/>
                <w:sz w:val="24"/>
                <w:szCs w:val="24"/>
                <w:lang w:eastAsia="zh-CN"/>
              </w:rPr>
              <w:t>最高得1分</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rPr>
              <w:br w:type="textWrapping"/>
            </w:r>
            <w:r>
              <w:rPr>
                <w:rFonts w:hint="eastAsia" w:ascii="仿宋" w:hAnsi="仿宋" w:eastAsia="仿宋" w:cs="仿宋"/>
                <w:bCs/>
                <w:color w:val="000000"/>
                <w:kern w:val="2"/>
                <w:sz w:val="24"/>
                <w:szCs w:val="24"/>
                <w:highlight w:val="none"/>
                <w:lang w:val="en-US" w:eastAsia="zh-CN" w:bidi="ar-SA"/>
              </w:rPr>
              <w:t>(类似业绩需提供能体现相关工作内容的合同和中标通知书，以合同签订的时间为准。）本项最高得1分。注:投标文件中提供合同和中标通知书复印件或扫描件并加盖公章，否则不得分。</w:t>
            </w:r>
          </w:p>
        </w:tc>
        <w:tc>
          <w:tcPr>
            <w:tcW w:w="750" w:type="dxa"/>
            <w:vAlign w:val="center"/>
          </w:tcPr>
          <w:p w14:paraId="70B4D25D">
            <w:pPr>
              <w:keepNext w:val="0"/>
              <w:keepLines w:val="0"/>
              <w:pageBreakBefore w:val="0"/>
              <w:widowControl/>
              <w:kinsoku/>
              <w:wordWrap/>
              <w:overflowPunct/>
              <w:topLinePunct w:val="0"/>
              <w:autoSpaceDE w:val="0"/>
              <w:autoSpaceDN w:val="0"/>
              <w:bidi w:val="0"/>
              <w:adjustRightInd w:val="0"/>
              <w:snapToGrid w:val="0"/>
              <w:spacing w:line="360" w:lineRule="atLeast"/>
              <w:jc w:val="center"/>
              <w:textAlignment w:val="auto"/>
              <w:rPr>
                <w:rFonts w:hint="eastAsia" w:ascii="仿宋" w:hAnsi="仿宋" w:eastAsia="仿宋" w:cs="仿宋"/>
                <w:b w:val="0"/>
                <w:bCs/>
                <w:color w:val="auto"/>
                <w:kern w:val="0"/>
                <w:sz w:val="24"/>
                <w:lang w:val="en-US" w:eastAsia="zh-CN"/>
              </w:rPr>
            </w:pPr>
            <w:r>
              <w:rPr>
                <w:rFonts w:hint="eastAsia" w:ascii="仿宋" w:hAnsi="仿宋" w:eastAsia="仿宋" w:cs="仿宋"/>
                <w:b w:val="0"/>
                <w:bCs/>
                <w:color w:val="auto"/>
                <w:kern w:val="0"/>
                <w:sz w:val="24"/>
                <w:lang w:val="en-US" w:eastAsia="zh-CN"/>
              </w:rPr>
              <w:t>1</w:t>
            </w:r>
          </w:p>
        </w:tc>
        <w:tc>
          <w:tcPr>
            <w:tcW w:w="1270" w:type="dxa"/>
            <w:vAlign w:val="center"/>
          </w:tcPr>
          <w:p w14:paraId="08121411">
            <w:pPr>
              <w:keepNext w:val="0"/>
              <w:keepLines w:val="0"/>
              <w:pageBreakBefore w:val="0"/>
              <w:widowControl/>
              <w:kinsoku/>
              <w:wordWrap/>
              <w:overflowPunct/>
              <w:topLinePunct w:val="0"/>
              <w:autoSpaceDE w:val="0"/>
              <w:autoSpaceDN w:val="0"/>
              <w:bidi w:val="0"/>
              <w:adjustRightInd w:val="0"/>
              <w:snapToGrid w:val="0"/>
              <w:spacing w:line="360" w:lineRule="atLeast"/>
              <w:jc w:val="center"/>
              <w:textAlignment w:val="auto"/>
              <w:rPr>
                <w:rFonts w:hint="eastAsia" w:ascii="仿宋" w:hAnsi="仿宋" w:eastAsia="仿宋" w:cs="仿宋"/>
                <w:b w:val="0"/>
                <w:bCs/>
                <w:color w:val="auto"/>
                <w:kern w:val="0"/>
                <w:sz w:val="24"/>
                <w:lang w:val="en-US" w:eastAsia="zh-CN"/>
              </w:rPr>
            </w:pPr>
            <w:r>
              <w:rPr>
                <w:rFonts w:hint="eastAsia" w:ascii="仿宋" w:hAnsi="仿宋" w:eastAsia="仿宋" w:cs="仿宋"/>
                <w:b w:val="0"/>
                <w:bCs/>
                <w:color w:val="auto"/>
                <w:kern w:val="0"/>
                <w:sz w:val="24"/>
                <w:lang w:val="en-US" w:eastAsia="zh-CN"/>
              </w:rPr>
              <w:t>客观分</w:t>
            </w:r>
          </w:p>
        </w:tc>
        <w:tc>
          <w:tcPr>
            <w:tcW w:w="1576" w:type="dxa"/>
            <w:vAlign w:val="center"/>
          </w:tcPr>
          <w:p w14:paraId="0610DE94">
            <w:pPr>
              <w:keepNext w:val="0"/>
              <w:keepLines w:val="0"/>
              <w:pageBreakBefore w:val="0"/>
              <w:widowControl/>
              <w:kinsoku/>
              <w:wordWrap/>
              <w:overflowPunct/>
              <w:topLinePunct w:val="0"/>
              <w:autoSpaceDE w:val="0"/>
              <w:autoSpaceDN w:val="0"/>
              <w:bidi w:val="0"/>
              <w:adjustRightInd w:val="0"/>
              <w:snapToGrid w:val="0"/>
              <w:spacing w:line="360" w:lineRule="atLeast"/>
              <w:jc w:val="center"/>
              <w:textAlignment w:val="auto"/>
              <w:rPr>
                <w:rFonts w:hint="default" w:ascii="仿宋" w:hAnsi="仿宋" w:eastAsia="仿宋" w:cs="仿宋"/>
                <w:b w:val="0"/>
                <w:bCs/>
                <w:color w:val="auto"/>
                <w:kern w:val="0"/>
                <w:sz w:val="24"/>
                <w:lang w:val="en-US" w:eastAsia="zh-CN"/>
              </w:rPr>
            </w:pPr>
          </w:p>
        </w:tc>
      </w:tr>
      <w:tr w14:paraId="5A4C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7D0C9EF3">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4400" w:type="dxa"/>
            <w:vAlign w:val="center"/>
          </w:tcPr>
          <w:p w14:paraId="711D210E">
            <w:pPr>
              <w:keepNext w:val="0"/>
              <w:keepLines w:val="0"/>
              <w:pageBreakBefore w:val="0"/>
              <w:widowControl/>
              <w:kinsoku/>
              <w:wordWrap/>
              <w:overflowPunct/>
              <w:topLinePunct w:val="0"/>
              <w:autoSpaceDE w:val="0"/>
              <w:autoSpaceDN w:val="0"/>
              <w:bidi w:val="0"/>
              <w:adjustRightInd w:val="0"/>
              <w:snapToGrid w:val="0"/>
              <w:spacing w:line="360" w:lineRule="atLeast"/>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投标人具有有效期内的质量管理体系认证证书、环境管理体系认证证书、职业健康安全管理体系认证证书，</w:t>
            </w:r>
            <w:r>
              <w:rPr>
                <w:rFonts w:hint="eastAsia" w:ascii="仿宋" w:hAnsi="仿宋" w:eastAsia="仿宋" w:cs="仿宋"/>
                <w:color w:val="auto"/>
                <w:kern w:val="0"/>
                <w:sz w:val="24"/>
                <w:szCs w:val="24"/>
                <w:lang w:val="en-US" w:eastAsia="zh-CN"/>
              </w:rPr>
              <w:t>认证范围需包含“环保管家”和“数字化环保软件开发”服务，每</w:t>
            </w:r>
            <w:r>
              <w:rPr>
                <w:rFonts w:hint="eastAsia" w:ascii="仿宋" w:hAnsi="仿宋" w:eastAsia="仿宋" w:cs="仿宋"/>
                <w:color w:val="auto"/>
                <w:kern w:val="0"/>
                <w:sz w:val="24"/>
                <w:szCs w:val="24"/>
              </w:rPr>
              <w:t>个得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分，本项最多得</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rPr>
              <w:br w:type="textWrapping"/>
            </w:r>
            <w:r>
              <w:rPr>
                <w:rFonts w:hint="eastAsia" w:ascii="仿宋" w:hAnsi="仿宋" w:eastAsia="仿宋" w:cs="仿宋"/>
                <w:b/>
                <w:bCs/>
                <w:color w:val="auto"/>
                <w:sz w:val="24"/>
              </w:rPr>
              <w:t>注：</w:t>
            </w:r>
            <w:r>
              <w:rPr>
                <w:rFonts w:hint="eastAsia" w:ascii="仿宋" w:hAnsi="仿宋" w:eastAsia="仿宋" w:cs="仿宋"/>
                <w:b/>
                <w:bCs/>
                <w:color w:val="auto"/>
                <w:sz w:val="24"/>
                <w:lang w:val="en-US" w:eastAsia="zh-CN"/>
              </w:rPr>
              <w:t>需</w:t>
            </w:r>
            <w:r>
              <w:rPr>
                <w:rFonts w:hint="eastAsia" w:ascii="仿宋" w:hAnsi="仿宋" w:eastAsia="仿宋" w:cs="仿宋"/>
                <w:b/>
                <w:bCs/>
                <w:color w:val="auto"/>
                <w:sz w:val="24"/>
              </w:rPr>
              <w:t>提供有效期内的证书</w:t>
            </w:r>
            <w:r>
              <w:rPr>
                <w:rFonts w:hint="eastAsia" w:ascii="仿宋" w:hAnsi="仿宋" w:eastAsia="仿宋" w:cs="仿宋"/>
                <w:b/>
                <w:bCs/>
                <w:color w:val="auto"/>
                <w:sz w:val="24"/>
                <w:lang w:val="en-US" w:eastAsia="zh-CN"/>
              </w:rPr>
              <w:t>复印</w:t>
            </w:r>
            <w:r>
              <w:rPr>
                <w:rFonts w:hint="eastAsia" w:ascii="仿宋" w:hAnsi="仿宋" w:eastAsia="仿宋" w:cs="仿宋"/>
                <w:b/>
                <w:bCs/>
                <w:color w:val="auto"/>
                <w:sz w:val="24"/>
              </w:rPr>
              <w:t>件</w:t>
            </w:r>
            <w:r>
              <w:rPr>
                <w:rFonts w:hint="eastAsia" w:ascii="仿宋" w:hAnsi="仿宋" w:eastAsia="仿宋" w:cs="仿宋"/>
                <w:b/>
                <w:bCs/>
                <w:color w:val="auto"/>
                <w:sz w:val="24"/>
                <w:lang w:val="en-US" w:eastAsia="zh-CN"/>
              </w:rPr>
              <w:t>或扫描件</w:t>
            </w:r>
            <w:r>
              <w:rPr>
                <w:rFonts w:hint="eastAsia" w:ascii="仿宋" w:hAnsi="仿宋" w:eastAsia="仿宋" w:cs="仿宋"/>
                <w:b/>
                <w:bCs/>
                <w:color w:val="auto"/>
                <w:sz w:val="24"/>
              </w:rPr>
              <w:t>及全国认证认可信息公共服务平台网站（http://www.cnca.gov.cn/）查询页面截图</w:t>
            </w:r>
            <w:r>
              <w:rPr>
                <w:rFonts w:hint="eastAsia" w:ascii="仿宋" w:hAnsi="仿宋" w:eastAsia="仿宋" w:cs="仿宋"/>
                <w:b/>
                <w:bCs/>
                <w:color w:val="auto"/>
                <w:sz w:val="24"/>
                <w:lang w:val="en-US" w:eastAsia="zh-CN"/>
              </w:rPr>
              <w:t>并加盖公章</w:t>
            </w:r>
            <w:r>
              <w:rPr>
                <w:rFonts w:hint="eastAsia" w:ascii="仿宋" w:hAnsi="仿宋" w:eastAsia="仿宋" w:cs="仿宋"/>
                <w:b/>
                <w:bCs/>
                <w:color w:val="auto"/>
                <w:sz w:val="24"/>
              </w:rPr>
              <w:t>，否则不得分。</w:t>
            </w:r>
          </w:p>
        </w:tc>
        <w:tc>
          <w:tcPr>
            <w:tcW w:w="750" w:type="dxa"/>
            <w:vAlign w:val="center"/>
          </w:tcPr>
          <w:p w14:paraId="52527CF6">
            <w:pPr>
              <w:keepNext w:val="0"/>
              <w:keepLines w:val="0"/>
              <w:pageBreakBefore w:val="0"/>
              <w:widowControl/>
              <w:kinsoku/>
              <w:wordWrap/>
              <w:overflowPunct/>
              <w:topLinePunct w:val="0"/>
              <w:autoSpaceDE w:val="0"/>
              <w:autoSpaceDN w:val="0"/>
              <w:bidi w:val="0"/>
              <w:adjustRightInd w:val="0"/>
              <w:snapToGrid w:val="0"/>
              <w:spacing w:line="360" w:lineRule="atLeast"/>
              <w:jc w:val="center"/>
              <w:textAlignment w:val="auto"/>
              <w:rPr>
                <w:rFonts w:hint="default" w:ascii="仿宋" w:hAnsi="仿宋" w:eastAsia="仿宋" w:cs="仿宋"/>
                <w:b w:val="0"/>
                <w:bCs/>
                <w:color w:val="auto"/>
                <w:kern w:val="0"/>
                <w:sz w:val="24"/>
                <w:lang w:val="en-US" w:eastAsia="zh-CN"/>
              </w:rPr>
            </w:pPr>
            <w:r>
              <w:rPr>
                <w:rFonts w:hint="eastAsia" w:ascii="仿宋" w:hAnsi="仿宋" w:eastAsia="仿宋" w:cs="仿宋"/>
                <w:b w:val="0"/>
                <w:bCs/>
                <w:color w:val="auto"/>
                <w:kern w:val="0"/>
                <w:sz w:val="24"/>
                <w:lang w:val="en-US" w:eastAsia="zh-CN"/>
              </w:rPr>
              <w:t>9</w:t>
            </w:r>
          </w:p>
        </w:tc>
        <w:tc>
          <w:tcPr>
            <w:tcW w:w="1270" w:type="dxa"/>
            <w:vAlign w:val="center"/>
          </w:tcPr>
          <w:p w14:paraId="37C2FBB3">
            <w:pPr>
              <w:keepNext w:val="0"/>
              <w:keepLines w:val="0"/>
              <w:pageBreakBefore w:val="0"/>
              <w:widowControl/>
              <w:kinsoku/>
              <w:wordWrap/>
              <w:overflowPunct/>
              <w:topLinePunct w:val="0"/>
              <w:autoSpaceDE w:val="0"/>
              <w:autoSpaceDN w:val="0"/>
              <w:bidi w:val="0"/>
              <w:adjustRightInd w:val="0"/>
              <w:snapToGrid w:val="0"/>
              <w:spacing w:line="360" w:lineRule="atLeast"/>
              <w:jc w:val="center"/>
              <w:textAlignment w:val="auto"/>
              <w:rPr>
                <w:rFonts w:hint="eastAsia" w:ascii="仿宋" w:hAnsi="仿宋" w:eastAsia="仿宋" w:cs="仿宋"/>
                <w:b w:val="0"/>
                <w:bCs/>
                <w:color w:val="auto"/>
                <w:kern w:val="0"/>
                <w:sz w:val="24"/>
                <w:lang w:val="en-US" w:eastAsia="zh-CN"/>
              </w:rPr>
            </w:pPr>
            <w:r>
              <w:rPr>
                <w:rFonts w:hint="eastAsia" w:ascii="仿宋" w:hAnsi="仿宋" w:eastAsia="仿宋" w:cs="仿宋"/>
                <w:bCs/>
                <w:color w:val="auto"/>
                <w:sz w:val="24"/>
                <w:lang w:val="en-US" w:eastAsia="zh-CN"/>
              </w:rPr>
              <w:t>客</w:t>
            </w:r>
            <w:r>
              <w:rPr>
                <w:rFonts w:hint="eastAsia" w:ascii="仿宋" w:hAnsi="仿宋" w:eastAsia="仿宋" w:cs="仿宋"/>
                <w:bCs/>
                <w:color w:val="auto"/>
                <w:sz w:val="24"/>
              </w:rPr>
              <w:t>观分</w:t>
            </w:r>
          </w:p>
        </w:tc>
        <w:tc>
          <w:tcPr>
            <w:tcW w:w="1576" w:type="dxa"/>
            <w:vAlign w:val="center"/>
          </w:tcPr>
          <w:p w14:paraId="5F2AD228">
            <w:pPr>
              <w:keepNext w:val="0"/>
              <w:keepLines w:val="0"/>
              <w:pageBreakBefore w:val="0"/>
              <w:widowControl/>
              <w:kinsoku/>
              <w:wordWrap/>
              <w:overflowPunct/>
              <w:topLinePunct w:val="0"/>
              <w:autoSpaceDE w:val="0"/>
              <w:autoSpaceDN w:val="0"/>
              <w:bidi w:val="0"/>
              <w:adjustRightInd w:val="0"/>
              <w:snapToGrid w:val="0"/>
              <w:spacing w:line="360" w:lineRule="atLeast"/>
              <w:jc w:val="center"/>
              <w:textAlignment w:val="auto"/>
              <w:rPr>
                <w:rFonts w:hint="default" w:ascii="仿宋" w:hAnsi="仿宋" w:eastAsia="仿宋" w:cs="仿宋"/>
                <w:b w:val="0"/>
                <w:bCs/>
                <w:color w:val="auto"/>
                <w:kern w:val="0"/>
                <w:sz w:val="24"/>
                <w:lang w:val="en-US" w:eastAsia="zh-CN"/>
              </w:rPr>
            </w:pPr>
          </w:p>
        </w:tc>
      </w:tr>
      <w:tr w14:paraId="0F67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79" w:type="dxa"/>
            <w:vAlign w:val="center"/>
          </w:tcPr>
          <w:p w14:paraId="3AA9C131">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4400" w:type="dxa"/>
            <w:vAlign w:val="center"/>
          </w:tcPr>
          <w:p w14:paraId="0C138255">
            <w:pPr>
              <w:keepNext w:val="0"/>
              <w:keepLines w:val="0"/>
              <w:pageBreakBefore w:val="0"/>
              <w:widowControl/>
              <w:kinsoku/>
              <w:wordWrap/>
              <w:overflowPunct/>
              <w:topLinePunct w:val="0"/>
              <w:autoSpaceDE w:val="0"/>
              <w:autoSpaceDN w:val="0"/>
              <w:bidi w:val="0"/>
              <w:adjustRightInd w:val="0"/>
              <w:snapToGrid w:val="0"/>
              <w:spacing w:line="360" w:lineRule="atLeast"/>
              <w:jc w:val="both"/>
              <w:textAlignment w:val="auto"/>
              <w:rPr>
                <w:rFonts w:hint="eastAsia" w:ascii="仿宋" w:hAnsi="仿宋" w:eastAsia="仿宋" w:cs="仿宋"/>
                <w:b/>
                <w:bCs w:val="0"/>
                <w:color w:val="auto"/>
                <w:kern w:val="0"/>
                <w:sz w:val="24"/>
                <w:lang w:val="en-US" w:eastAsia="zh-CN"/>
              </w:rPr>
            </w:pPr>
            <w:r>
              <w:rPr>
                <w:rFonts w:hint="eastAsia" w:ascii="仿宋" w:hAnsi="仿宋" w:eastAsia="仿宋" w:cs="仿宋"/>
                <w:b w:val="0"/>
                <w:bCs/>
                <w:color w:val="auto"/>
                <w:kern w:val="0"/>
                <w:sz w:val="24"/>
                <w:lang w:val="en-US" w:eastAsia="zh-CN"/>
              </w:rPr>
              <w:t>项目负责人：</w:t>
            </w:r>
            <w:r>
              <w:rPr>
                <w:rFonts w:hint="eastAsia" w:ascii="仿宋" w:hAnsi="仿宋" w:eastAsia="仿宋" w:cs="仿宋"/>
                <w:b w:val="0"/>
                <w:bCs/>
                <w:color w:val="auto"/>
                <w:kern w:val="0"/>
                <w:sz w:val="24"/>
                <w:lang w:val="en-US" w:eastAsia="zh-CN"/>
              </w:rPr>
              <w:br w:type="textWrapping"/>
            </w:r>
            <w:r>
              <w:rPr>
                <w:rFonts w:hint="eastAsia" w:ascii="仿宋" w:hAnsi="仿宋" w:eastAsia="仿宋" w:cs="仿宋"/>
                <w:b w:val="0"/>
                <w:bCs/>
                <w:color w:val="auto"/>
                <w:kern w:val="0"/>
                <w:sz w:val="24"/>
                <w:lang w:val="en-US" w:eastAsia="zh-CN"/>
              </w:rPr>
              <w:t>（1）</w:t>
            </w:r>
            <w:r>
              <w:rPr>
                <w:rFonts w:hint="eastAsia" w:ascii="仿宋" w:hAnsi="仿宋" w:eastAsia="仿宋" w:cs="仿宋"/>
                <w:color w:val="auto"/>
                <w:kern w:val="0"/>
                <w:sz w:val="24"/>
                <w:szCs w:val="24"/>
              </w:rPr>
              <w:t>项目负责人同时具有</w:t>
            </w:r>
            <w:r>
              <w:rPr>
                <w:rFonts w:hint="eastAsia" w:ascii="仿宋" w:hAnsi="仿宋" w:eastAsia="仿宋" w:cs="仿宋"/>
                <w:color w:val="auto"/>
                <w:kern w:val="0"/>
                <w:sz w:val="24"/>
                <w:szCs w:val="24"/>
                <w:lang w:val="en-US" w:eastAsia="zh-CN"/>
              </w:rPr>
              <w:t>正</w:t>
            </w:r>
            <w:r>
              <w:rPr>
                <w:rFonts w:hint="eastAsia" w:ascii="仿宋" w:hAnsi="仿宋" w:eastAsia="仿宋" w:cs="仿宋"/>
                <w:color w:val="auto"/>
                <w:kern w:val="0"/>
                <w:sz w:val="24"/>
                <w:szCs w:val="24"/>
              </w:rPr>
              <w:t>高级</w:t>
            </w:r>
            <w:r>
              <w:rPr>
                <w:rFonts w:hint="eastAsia" w:ascii="仿宋" w:hAnsi="仿宋" w:eastAsia="仿宋" w:cs="仿宋"/>
                <w:color w:val="auto"/>
                <w:kern w:val="0"/>
                <w:sz w:val="24"/>
                <w:szCs w:val="24"/>
                <w:lang w:val="en-US" w:eastAsia="zh-CN"/>
              </w:rPr>
              <w:t>及</w:t>
            </w:r>
            <w:r>
              <w:rPr>
                <w:rFonts w:hint="eastAsia" w:ascii="仿宋" w:hAnsi="仿宋" w:eastAsia="仿宋" w:cs="仿宋"/>
                <w:color w:val="auto"/>
                <w:kern w:val="0"/>
                <w:sz w:val="24"/>
                <w:szCs w:val="24"/>
              </w:rPr>
              <w:t>以上职称及注册环评工程师的，得</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w:t>
            </w:r>
          </w:p>
          <w:p w14:paraId="3D597BA7">
            <w:pPr>
              <w:keepNext w:val="0"/>
              <w:keepLines w:val="0"/>
              <w:pageBreakBefore w:val="0"/>
              <w:widowControl/>
              <w:kinsoku/>
              <w:wordWrap/>
              <w:overflowPunct/>
              <w:topLinePunct w:val="0"/>
              <w:autoSpaceDE w:val="0"/>
              <w:autoSpaceDN w:val="0"/>
              <w:bidi w:val="0"/>
              <w:adjustRightInd w:val="0"/>
              <w:snapToGrid w:val="0"/>
              <w:spacing w:line="360" w:lineRule="atLeast"/>
              <w:jc w:val="both"/>
              <w:textAlignment w:val="auto"/>
              <w:rPr>
                <w:rFonts w:hint="eastAsia" w:ascii="仿宋" w:hAnsi="仿宋" w:eastAsia="仿宋" w:cs="仿宋"/>
                <w:color w:val="0000FF"/>
                <w:kern w:val="0"/>
                <w:sz w:val="24"/>
                <w:szCs w:val="24"/>
                <w:lang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w:t>
            </w:r>
            <w:r>
              <w:rPr>
                <w:rFonts w:hint="default" w:ascii="仿宋" w:hAnsi="仿宋" w:eastAsia="仿宋" w:cs="仿宋"/>
                <w:color w:val="auto"/>
                <w:kern w:val="0"/>
                <w:sz w:val="24"/>
                <w:szCs w:val="24"/>
              </w:rPr>
              <w:t>项目负责人自20</w:t>
            </w:r>
            <w:r>
              <w:rPr>
                <w:rFonts w:hint="eastAsia" w:ascii="仿宋" w:hAnsi="仿宋" w:eastAsia="仿宋" w:cs="仿宋"/>
                <w:color w:val="auto"/>
                <w:kern w:val="0"/>
                <w:sz w:val="24"/>
                <w:szCs w:val="24"/>
                <w:lang w:val="en-US" w:eastAsia="zh-CN"/>
              </w:rPr>
              <w:t>20</w:t>
            </w:r>
            <w:r>
              <w:rPr>
                <w:rFonts w:hint="default"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7</w:t>
            </w:r>
            <w:r>
              <w:rPr>
                <w:rFonts w:hint="default" w:ascii="仿宋" w:hAnsi="仿宋" w:eastAsia="仿宋" w:cs="仿宋"/>
                <w:color w:val="auto"/>
                <w:kern w:val="0"/>
                <w:sz w:val="24"/>
                <w:szCs w:val="24"/>
              </w:rPr>
              <w:t>月1日以来以第</w:t>
            </w:r>
            <w:r>
              <w:rPr>
                <w:rFonts w:hint="default" w:ascii="仿宋" w:hAnsi="仿宋" w:eastAsia="仿宋" w:cs="仿宋"/>
                <w:color w:val="auto"/>
                <w:kern w:val="0"/>
                <w:sz w:val="24"/>
                <w:szCs w:val="24"/>
                <w:lang w:val="en-US" w:eastAsia="zh-CN"/>
              </w:rPr>
              <w:t>一完成人</w:t>
            </w:r>
            <w:r>
              <w:rPr>
                <w:rFonts w:hint="eastAsia" w:ascii="仿宋" w:hAnsi="仿宋" w:eastAsia="仿宋" w:cs="仿宋"/>
                <w:color w:val="auto"/>
                <w:kern w:val="0"/>
                <w:sz w:val="24"/>
                <w:szCs w:val="24"/>
                <w:lang w:val="en-US" w:eastAsia="zh-CN"/>
              </w:rPr>
              <w:t>从事生态环境保护工作获得过省级及以上政府部门颁发奖项的得4分，市级荣誉的得2分，奖项不重复计分，以最高奖项得分为准，最高得4分</w:t>
            </w:r>
            <w:r>
              <w:rPr>
                <w:rFonts w:hint="eastAsia" w:ascii="仿宋" w:hAnsi="仿宋" w:eastAsia="仿宋" w:cs="仿宋"/>
                <w:color w:val="auto"/>
                <w:kern w:val="0"/>
                <w:sz w:val="24"/>
                <w:szCs w:val="24"/>
                <w:lang w:eastAsia="zh-CN"/>
              </w:rPr>
              <w:t>。</w:t>
            </w:r>
          </w:p>
          <w:p w14:paraId="23B886B1">
            <w:pPr>
              <w:pStyle w:val="32"/>
              <w:ind w:left="0" w:leftChars="0" w:firstLine="0" w:firstLineChars="0"/>
              <w:rPr>
                <w:rFonts w:hint="default"/>
                <w:color w:val="FF0000"/>
                <w:lang w:val="en-US" w:eastAsia="zh-CN"/>
              </w:rPr>
            </w:pPr>
            <w:r>
              <w:rPr>
                <w:rFonts w:hint="eastAsia" w:ascii="仿宋" w:hAnsi="仿宋" w:eastAsia="仿宋" w:cs="仿宋"/>
                <w:b/>
                <w:bCs w:val="0"/>
                <w:color w:val="auto"/>
                <w:kern w:val="0"/>
                <w:sz w:val="24"/>
                <w:lang w:val="en-US" w:eastAsia="zh-CN"/>
              </w:rPr>
              <w:t>投标文件中需提供身份证和近</w:t>
            </w:r>
            <w:r>
              <w:rPr>
                <w:rFonts w:hint="eastAsia" w:ascii="仿宋" w:hAnsi="仿宋" w:eastAsia="仿宋" w:cs="仿宋"/>
                <w:b/>
                <w:bCs w:val="0"/>
                <w:color w:val="auto"/>
                <w:kern w:val="0"/>
                <w:sz w:val="24"/>
                <w:szCs w:val="24"/>
                <w:lang w:val="en-US" w:eastAsia="zh-CN"/>
              </w:rPr>
              <w:t>一个月社保缴纳证明及相关职</w:t>
            </w:r>
            <w:r>
              <w:rPr>
                <w:rFonts w:hint="eastAsia" w:ascii="仿宋" w:hAnsi="仿宋" w:eastAsia="仿宋" w:cs="仿宋"/>
                <w:b/>
                <w:bCs w:val="0"/>
                <w:color w:val="auto"/>
                <w:kern w:val="0"/>
                <w:sz w:val="24"/>
                <w:lang w:val="en-US" w:eastAsia="zh-CN"/>
              </w:rPr>
              <w:t>称证书及荣誉证书复印件或扫描件并加盖公章，否则不得分。</w:t>
            </w:r>
          </w:p>
        </w:tc>
        <w:tc>
          <w:tcPr>
            <w:tcW w:w="750" w:type="dxa"/>
            <w:vAlign w:val="center"/>
          </w:tcPr>
          <w:p w14:paraId="3E83B36B">
            <w:pPr>
              <w:keepNext w:val="0"/>
              <w:keepLines w:val="0"/>
              <w:pageBreakBefore w:val="0"/>
              <w:widowControl/>
              <w:kinsoku/>
              <w:wordWrap/>
              <w:overflowPunct/>
              <w:topLinePunct w:val="0"/>
              <w:autoSpaceDE w:val="0"/>
              <w:autoSpaceDN w:val="0"/>
              <w:bidi w:val="0"/>
              <w:adjustRightInd w:val="0"/>
              <w:snapToGrid w:val="0"/>
              <w:spacing w:line="360" w:lineRule="atLeast"/>
              <w:jc w:val="center"/>
              <w:textAlignment w:val="auto"/>
              <w:rPr>
                <w:rFonts w:hint="default" w:ascii="仿宋" w:hAnsi="仿宋" w:eastAsia="仿宋" w:cs="仿宋"/>
                <w:b w:val="0"/>
                <w:bCs/>
                <w:color w:val="auto"/>
                <w:kern w:val="0"/>
                <w:sz w:val="24"/>
                <w:lang w:val="en-US" w:eastAsia="zh-CN"/>
              </w:rPr>
            </w:pPr>
            <w:r>
              <w:rPr>
                <w:rFonts w:hint="eastAsia" w:ascii="仿宋" w:hAnsi="仿宋" w:eastAsia="仿宋" w:cs="仿宋"/>
                <w:b w:val="0"/>
                <w:bCs/>
                <w:color w:val="auto"/>
                <w:kern w:val="0"/>
                <w:sz w:val="24"/>
                <w:lang w:val="en-US" w:eastAsia="zh-CN"/>
              </w:rPr>
              <w:t>8</w:t>
            </w:r>
          </w:p>
        </w:tc>
        <w:tc>
          <w:tcPr>
            <w:tcW w:w="1270" w:type="dxa"/>
            <w:vAlign w:val="center"/>
          </w:tcPr>
          <w:p w14:paraId="581F7666">
            <w:pPr>
              <w:keepNext w:val="0"/>
              <w:keepLines w:val="0"/>
              <w:pageBreakBefore w:val="0"/>
              <w:widowControl/>
              <w:kinsoku/>
              <w:wordWrap/>
              <w:overflowPunct/>
              <w:topLinePunct w:val="0"/>
              <w:autoSpaceDE w:val="0"/>
              <w:autoSpaceDN w:val="0"/>
              <w:bidi w:val="0"/>
              <w:adjustRightInd w:val="0"/>
              <w:snapToGrid w:val="0"/>
              <w:spacing w:line="360" w:lineRule="atLeast"/>
              <w:jc w:val="center"/>
              <w:textAlignment w:val="auto"/>
              <w:rPr>
                <w:rFonts w:hint="eastAsia" w:ascii="仿宋" w:hAnsi="仿宋" w:eastAsia="仿宋" w:cs="仿宋"/>
                <w:b w:val="0"/>
                <w:bCs/>
                <w:color w:val="auto"/>
                <w:kern w:val="0"/>
                <w:sz w:val="24"/>
                <w:lang w:val="en-US" w:eastAsia="zh-CN"/>
              </w:rPr>
            </w:pPr>
            <w:r>
              <w:rPr>
                <w:rFonts w:hint="eastAsia" w:ascii="仿宋" w:hAnsi="仿宋" w:eastAsia="仿宋" w:cs="仿宋"/>
                <w:b w:val="0"/>
                <w:bCs/>
                <w:color w:val="auto"/>
                <w:kern w:val="0"/>
                <w:sz w:val="24"/>
                <w:lang w:val="en-US" w:eastAsia="zh-CN"/>
              </w:rPr>
              <w:t>客观分</w:t>
            </w:r>
          </w:p>
        </w:tc>
        <w:tc>
          <w:tcPr>
            <w:tcW w:w="1576" w:type="dxa"/>
            <w:vAlign w:val="center"/>
          </w:tcPr>
          <w:p w14:paraId="72E8D900">
            <w:pPr>
              <w:keepNext w:val="0"/>
              <w:keepLines w:val="0"/>
              <w:pageBreakBefore w:val="0"/>
              <w:widowControl/>
              <w:kinsoku/>
              <w:wordWrap/>
              <w:overflowPunct/>
              <w:topLinePunct w:val="0"/>
              <w:autoSpaceDE w:val="0"/>
              <w:autoSpaceDN w:val="0"/>
              <w:bidi w:val="0"/>
              <w:adjustRightInd w:val="0"/>
              <w:snapToGrid w:val="0"/>
              <w:spacing w:line="360" w:lineRule="atLeast"/>
              <w:jc w:val="center"/>
              <w:textAlignment w:val="auto"/>
              <w:rPr>
                <w:rFonts w:hint="default" w:ascii="仿宋" w:hAnsi="仿宋" w:eastAsia="仿宋" w:cs="仿宋"/>
                <w:b w:val="0"/>
                <w:bCs/>
                <w:color w:val="auto"/>
                <w:kern w:val="0"/>
                <w:sz w:val="24"/>
                <w:lang w:val="en-US" w:eastAsia="zh-CN"/>
              </w:rPr>
            </w:pPr>
          </w:p>
        </w:tc>
      </w:tr>
      <w:tr w14:paraId="1772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679" w:type="dxa"/>
            <w:vAlign w:val="center"/>
          </w:tcPr>
          <w:p w14:paraId="4C27A42B">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4400" w:type="dxa"/>
            <w:vAlign w:val="top"/>
          </w:tcPr>
          <w:p w14:paraId="4F662DD5">
            <w:pPr>
              <w:keepNext w:val="0"/>
              <w:keepLines w:val="0"/>
              <w:pageBreakBefore w:val="0"/>
              <w:widowControl/>
              <w:kinsoku/>
              <w:wordWrap/>
              <w:overflowPunct/>
              <w:topLinePunct w:val="0"/>
              <w:autoSpaceDE w:val="0"/>
              <w:autoSpaceDN w:val="0"/>
              <w:bidi w:val="0"/>
              <w:adjustRightInd w:val="0"/>
              <w:snapToGrid w:val="0"/>
              <w:spacing w:line="360" w:lineRule="atLeast"/>
              <w:jc w:val="both"/>
              <w:textAlignment w:val="auto"/>
              <w:rPr>
                <w:rFonts w:hint="eastAsia" w:ascii="仿宋" w:hAnsi="仿宋" w:eastAsia="仿宋" w:cs="仿宋"/>
                <w:color w:val="auto"/>
                <w:sz w:val="24"/>
                <w:lang w:val="en-US" w:eastAsia="zh-CN"/>
              </w:rPr>
            </w:pPr>
            <w:r>
              <w:rPr>
                <w:rFonts w:hint="eastAsia" w:ascii="仿宋" w:hAnsi="仿宋" w:eastAsia="仿宋" w:cs="仿宋"/>
                <w:color w:val="000000" w:themeColor="text1"/>
                <w:sz w:val="24"/>
                <w:lang w:val="en-US" w:eastAsia="zh-CN"/>
                <w14:textFill>
                  <w14:solidFill>
                    <w14:schemeClr w14:val="tx1"/>
                  </w14:solidFill>
                </w14:textFill>
              </w:rPr>
              <w:t>投</w:t>
            </w:r>
            <w:r>
              <w:rPr>
                <w:rFonts w:hint="eastAsia" w:ascii="仿宋" w:hAnsi="仿宋" w:eastAsia="仿宋" w:cs="仿宋"/>
                <w:color w:val="auto"/>
                <w:sz w:val="24"/>
                <w:lang w:val="en-US" w:eastAsia="zh-CN"/>
              </w:rPr>
              <w:t>标人拟派人员：</w:t>
            </w:r>
          </w:p>
          <w:p w14:paraId="499F58AE">
            <w:pPr>
              <w:keepNext w:val="0"/>
              <w:keepLines w:val="0"/>
              <w:pageBreakBefore w:val="0"/>
              <w:widowControl/>
              <w:kinsoku/>
              <w:wordWrap/>
              <w:overflowPunct/>
              <w:topLinePunct w:val="0"/>
              <w:autoSpaceDE w:val="0"/>
              <w:autoSpaceDN w:val="0"/>
              <w:bidi w:val="0"/>
              <w:adjustRightInd w:val="0"/>
              <w:snapToGrid w:val="0"/>
              <w:spacing w:line="360" w:lineRule="atLeast"/>
              <w:jc w:val="both"/>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项目团队人员具有环境保护相关专业高级及以上职称</w:t>
            </w:r>
            <w:r>
              <w:rPr>
                <w:rFonts w:hint="eastAsia" w:ascii="仿宋" w:hAnsi="仿宋" w:eastAsia="仿宋" w:cs="仿宋"/>
                <w:color w:val="auto"/>
                <w:kern w:val="0"/>
                <w:sz w:val="24"/>
                <w:szCs w:val="24"/>
                <w:lang w:val="en-US" w:eastAsia="zh-CN"/>
              </w:rPr>
              <w:t>且具有</w:t>
            </w:r>
            <w:r>
              <w:rPr>
                <w:rFonts w:hint="eastAsia" w:ascii="仿宋" w:hAnsi="仿宋" w:eastAsia="仿宋" w:cs="仿宋"/>
                <w:color w:val="auto"/>
                <w:kern w:val="0"/>
                <w:sz w:val="24"/>
                <w:szCs w:val="24"/>
              </w:rPr>
              <w:t>注册环评工程师资格证书的，每人得2分，最多得1</w:t>
            </w:r>
            <w:r>
              <w:rPr>
                <w:rFonts w:hint="eastAsia" w:ascii="仿宋" w:hAnsi="仿宋" w:eastAsia="仿宋" w:cs="仿宋"/>
                <w:color w:val="auto"/>
                <w:kern w:val="0"/>
                <w:sz w:val="24"/>
                <w:szCs w:val="24"/>
                <w:lang w:val="en-US" w:eastAsia="zh-CN"/>
              </w:rPr>
              <w:t>0</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p>
          <w:p w14:paraId="772B6338">
            <w:pPr>
              <w:keepNext w:val="0"/>
              <w:keepLines w:val="0"/>
              <w:pageBreakBefore w:val="0"/>
              <w:widowControl/>
              <w:kinsoku/>
              <w:wordWrap/>
              <w:overflowPunct/>
              <w:topLinePunct w:val="0"/>
              <w:autoSpaceDE w:val="0"/>
              <w:autoSpaceDN w:val="0"/>
              <w:bidi w:val="0"/>
              <w:adjustRightInd w:val="0"/>
              <w:snapToGrid w:val="0"/>
              <w:spacing w:line="360" w:lineRule="atLeast"/>
              <w:jc w:val="both"/>
              <w:textAlignment w:val="auto"/>
              <w:rPr>
                <w:rFonts w:hint="eastAsia" w:ascii="仿宋" w:hAnsi="仿宋" w:eastAsia="仿宋" w:cs="仿宋"/>
                <w:b w:val="0"/>
                <w:bCs/>
                <w:color w:val="FF0000"/>
                <w:kern w:val="0"/>
                <w:sz w:val="24"/>
                <w:szCs w:val="24"/>
                <w:lang w:val="en-US" w:eastAsia="zh-CN" w:bidi="ar-SA"/>
              </w:rPr>
            </w:pPr>
            <w:r>
              <w:rPr>
                <w:rFonts w:hint="eastAsia" w:ascii="仿宋" w:hAnsi="仿宋" w:eastAsia="仿宋" w:cs="仿宋"/>
                <w:b/>
                <w:bCs w:val="0"/>
                <w:color w:val="auto"/>
                <w:kern w:val="0"/>
                <w:sz w:val="24"/>
                <w:lang w:val="en-US" w:eastAsia="zh-CN"/>
              </w:rPr>
              <w:t>投标文件中需提供人员的身份证及近</w:t>
            </w:r>
            <w:r>
              <w:rPr>
                <w:rFonts w:hint="eastAsia" w:ascii="仿宋" w:hAnsi="仿宋" w:eastAsia="仿宋" w:cs="仿宋"/>
                <w:b/>
                <w:bCs w:val="0"/>
                <w:color w:val="auto"/>
                <w:kern w:val="0"/>
                <w:sz w:val="24"/>
                <w:szCs w:val="24"/>
                <w:lang w:val="en-US" w:eastAsia="zh-CN"/>
              </w:rPr>
              <w:t>一个月社保</w:t>
            </w:r>
            <w:r>
              <w:rPr>
                <w:rFonts w:hint="eastAsia" w:ascii="仿宋" w:hAnsi="仿宋" w:eastAsia="仿宋" w:cs="仿宋"/>
                <w:b/>
                <w:bCs w:val="0"/>
                <w:color w:val="auto"/>
                <w:kern w:val="0"/>
                <w:sz w:val="24"/>
                <w:lang w:val="en-US" w:eastAsia="zh-CN"/>
              </w:rPr>
              <w:t>缴纳证明材料及相关荣誉证书复印件或扫描件并加盖公章，否则不得分。</w:t>
            </w:r>
          </w:p>
        </w:tc>
        <w:tc>
          <w:tcPr>
            <w:tcW w:w="750" w:type="dxa"/>
            <w:vAlign w:val="center"/>
          </w:tcPr>
          <w:p w14:paraId="32C4BCAF">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p>
        </w:tc>
        <w:tc>
          <w:tcPr>
            <w:tcW w:w="1270" w:type="dxa"/>
            <w:vAlign w:val="center"/>
          </w:tcPr>
          <w:p w14:paraId="5465F5F8">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客</w:t>
            </w:r>
            <w:r>
              <w:rPr>
                <w:rFonts w:hint="eastAsia" w:ascii="仿宋" w:hAnsi="仿宋" w:eastAsia="仿宋" w:cs="仿宋"/>
                <w:bCs/>
                <w:color w:val="000000" w:themeColor="text1"/>
                <w:sz w:val="24"/>
                <w14:textFill>
                  <w14:solidFill>
                    <w14:schemeClr w14:val="tx1"/>
                  </w14:solidFill>
                </w14:textFill>
              </w:rPr>
              <w:t>观分</w:t>
            </w:r>
          </w:p>
        </w:tc>
        <w:tc>
          <w:tcPr>
            <w:tcW w:w="1576" w:type="dxa"/>
            <w:vAlign w:val="center"/>
          </w:tcPr>
          <w:p w14:paraId="1E3F7825">
            <w:pPr>
              <w:snapToGrid w:val="0"/>
              <w:spacing w:line="360" w:lineRule="auto"/>
              <w:jc w:val="center"/>
              <w:rPr>
                <w:rFonts w:hint="default" w:ascii="仿宋" w:hAnsi="仿宋" w:eastAsia="仿宋" w:cs="仿宋"/>
                <w:color w:val="auto"/>
                <w:sz w:val="24"/>
                <w:lang w:val="en-US" w:eastAsia="zh-CN"/>
              </w:rPr>
            </w:pPr>
          </w:p>
        </w:tc>
      </w:tr>
      <w:tr w14:paraId="5448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679" w:type="dxa"/>
            <w:vAlign w:val="center"/>
          </w:tcPr>
          <w:p w14:paraId="638C7FAA">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4400" w:type="dxa"/>
            <w:vAlign w:val="top"/>
          </w:tcPr>
          <w:p w14:paraId="2758E3C1">
            <w:pPr>
              <w:keepNext w:val="0"/>
              <w:keepLines w:val="0"/>
              <w:pageBreakBefore w:val="0"/>
              <w:widowControl/>
              <w:kinsoku/>
              <w:wordWrap/>
              <w:overflowPunct/>
              <w:topLinePunct w:val="0"/>
              <w:autoSpaceDE w:val="0"/>
              <w:autoSpaceDN w:val="0"/>
              <w:bidi w:val="0"/>
              <w:adjustRightInd w:val="0"/>
              <w:snapToGrid w:val="0"/>
              <w:spacing w:line="360" w:lineRule="atLeast"/>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投标人具有守合同重信用单位称号，且在有效期内，得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分，没有的不得分。</w:t>
            </w:r>
            <w:r>
              <w:rPr>
                <w:rFonts w:hint="eastAsia" w:ascii="仿宋" w:hAnsi="仿宋" w:eastAsia="仿宋" w:cs="仿宋"/>
                <w:color w:val="auto"/>
                <w:kern w:val="0"/>
                <w:sz w:val="24"/>
                <w:szCs w:val="24"/>
              </w:rPr>
              <w:br w:type="textWrapping"/>
            </w:r>
            <w:r>
              <w:rPr>
                <w:rFonts w:hint="eastAsia" w:ascii="仿宋" w:hAnsi="仿宋" w:eastAsia="仿宋" w:cs="仿宋"/>
                <w:b/>
                <w:bCs/>
                <w:color w:val="auto"/>
                <w:kern w:val="0"/>
                <w:sz w:val="24"/>
                <w:szCs w:val="24"/>
              </w:rPr>
              <w:t>提供市场监督管理部门或工商管理部门证书的</w:t>
            </w:r>
            <w:r>
              <w:rPr>
                <w:rFonts w:hint="eastAsia" w:ascii="仿宋" w:hAnsi="仿宋" w:eastAsia="仿宋" w:cs="仿宋"/>
                <w:b/>
                <w:bCs w:val="0"/>
                <w:color w:val="auto"/>
                <w:kern w:val="0"/>
                <w:sz w:val="24"/>
                <w:lang w:val="en-US" w:eastAsia="zh-CN"/>
              </w:rPr>
              <w:t>复印件或扫描件</w:t>
            </w:r>
            <w:r>
              <w:rPr>
                <w:rFonts w:hint="eastAsia" w:ascii="仿宋" w:hAnsi="仿宋" w:eastAsia="仿宋" w:cs="仿宋"/>
                <w:b/>
                <w:bCs/>
                <w:color w:val="auto"/>
                <w:kern w:val="0"/>
                <w:sz w:val="24"/>
                <w:szCs w:val="24"/>
              </w:rPr>
              <w:t>加盖公章，否则不得分。</w:t>
            </w:r>
          </w:p>
        </w:tc>
        <w:tc>
          <w:tcPr>
            <w:tcW w:w="750" w:type="dxa"/>
            <w:vAlign w:val="center"/>
          </w:tcPr>
          <w:p w14:paraId="0A5CDB2E">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270" w:type="dxa"/>
            <w:vAlign w:val="center"/>
          </w:tcPr>
          <w:p w14:paraId="0CDEB97E">
            <w:pPr>
              <w:snapToGrid w:val="0"/>
              <w:spacing w:line="360" w:lineRule="auto"/>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客</w:t>
            </w:r>
            <w:r>
              <w:rPr>
                <w:rFonts w:hint="eastAsia" w:ascii="仿宋" w:hAnsi="仿宋" w:eastAsia="仿宋" w:cs="仿宋"/>
                <w:bCs/>
                <w:color w:val="auto"/>
                <w:sz w:val="24"/>
              </w:rPr>
              <w:t>观分</w:t>
            </w:r>
          </w:p>
        </w:tc>
        <w:tc>
          <w:tcPr>
            <w:tcW w:w="1576" w:type="dxa"/>
            <w:vAlign w:val="center"/>
          </w:tcPr>
          <w:p w14:paraId="752036A6">
            <w:pPr>
              <w:snapToGrid w:val="0"/>
              <w:spacing w:line="360" w:lineRule="auto"/>
              <w:jc w:val="center"/>
              <w:rPr>
                <w:rFonts w:hint="default" w:ascii="仿宋" w:hAnsi="仿宋" w:eastAsia="仿宋" w:cs="仿宋"/>
                <w:color w:val="auto"/>
                <w:sz w:val="24"/>
                <w:lang w:val="en-US" w:eastAsia="zh-CN"/>
              </w:rPr>
            </w:pPr>
          </w:p>
        </w:tc>
      </w:tr>
      <w:tr w14:paraId="60DB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679" w:type="dxa"/>
            <w:vAlign w:val="center"/>
          </w:tcPr>
          <w:p w14:paraId="2C5E44BE">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4400" w:type="dxa"/>
            <w:vAlign w:val="center"/>
          </w:tcPr>
          <w:p w14:paraId="7551CCA0">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投标企业自20</w:t>
            </w:r>
            <w:r>
              <w:rPr>
                <w:rFonts w:hint="eastAsia" w:ascii="仿宋" w:hAnsi="仿宋" w:eastAsia="仿宋" w:cs="仿宋"/>
                <w:color w:val="auto"/>
                <w:kern w:val="0"/>
                <w:sz w:val="24"/>
                <w:szCs w:val="24"/>
                <w:lang w:val="en-US" w:eastAsia="zh-CN"/>
              </w:rPr>
              <w:t>20</w:t>
            </w:r>
            <w:r>
              <w:rPr>
                <w:rFonts w:hint="default" w:ascii="仿宋" w:hAnsi="仿宋" w:eastAsia="仿宋" w:cs="仿宋"/>
                <w:color w:val="auto"/>
                <w:kern w:val="0"/>
                <w:sz w:val="24"/>
                <w:szCs w:val="24"/>
                <w:lang w:val="en-US" w:eastAsia="zh-CN"/>
              </w:rPr>
              <w:t>年</w:t>
            </w:r>
            <w:r>
              <w:rPr>
                <w:rFonts w:hint="eastAsia" w:ascii="仿宋" w:hAnsi="仿宋" w:eastAsia="仿宋" w:cs="仿宋"/>
                <w:color w:val="auto"/>
                <w:kern w:val="0"/>
                <w:sz w:val="24"/>
                <w:szCs w:val="24"/>
                <w:lang w:val="en-US" w:eastAsia="zh-CN"/>
              </w:rPr>
              <w:t>7</w:t>
            </w:r>
            <w:r>
              <w:rPr>
                <w:rFonts w:hint="default" w:ascii="仿宋" w:hAnsi="仿宋" w:eastAsia="仿宋" w:cs="仿宋"/>
                <w:color w:val="auto"/>
                <w:kern w:val="0"/>
                <w:sz w:val="24"/>
                <w:szCs w:val="24"/>
                <w:lang w:val="en-US" w:eastAsia="zh-CN"/>
              </w:rPr>
              <w:t>月1日以来以</w:t>
            </w:r>
            <w:r>
              <w:rPr>
                <w:rFonts w:hint="eastAsia" w:ascii="仿宋" w:hAnsi="仿宋" w:eastAsia="仿宋" w:cs="仿宋"/>
                <w:color w:val="auto"/>
                <w:kern w:val="0"/>
                <w:sz w:val="24"/>
                <w:szCs w:val="24"/>
                <w:lang w:val="en-US" w:eastAsia="zh-CN"/>
              </w:rPr>
              <w:t>第一完成单位获得政府部门颁发的环境保护方面省级及以上相关奖项的得3分，不提供则不得分。</w:t>
            </w:r>
          </w:p>
          <w:p w14:paraId="4FCB1BDD">
            <w:pPr>
              <w:pStyle w:val="32"/>
              <w:spacing w:line="240" w:lineRule="auto"/>
              <w:ind w:left="0" w:leftChars="0" w:firstLine="0" w:firstLineChars="0"/>
              <w:rPr>
                <w:rFonts w:hint="eastAsia"/>
                <w:color w:val="auto"/>
                <w:lang w:val="en-US" w:eastAsia="zh-CN"/>
              </w:rPr>
            </w:pPr>
            <w:r>
              <w:rPr>
                <w:rFonts w:hint="eastAsia" w:ascii="仿宋" w:hAnsi="仿宋" w:eastAsia="仿宋" w:cs="仿宋"/>
                <w:b/>
                <w:bCs/>
                <w:color w:val="auto"/>
                <w:kern w:val="0"/>
                <w:sz w:val="24"/>
                <w:szCs w:val="24"/>
                <w:lang w:val="en-US" w:eastAsia="zh-CN" w:bidi="ar-SA"/>
              </w:rPr>
              <w:t>（提供证书</w:t>
            </w:r>
            <w:r>
              <w:rPr>
                <w:rFonts w:hint="eastAsia" w:ascii="仿宋" w:hAnsi="仿宋" w:eastAsia="仿宋" w:cs="仿宋"/>
                <w:b/>
                <w:bCs w:val="0"/>
                <w:color w:val="auto"/>
                <w:kern w:val="0"/>
                <w:sz w:val="24"/>
                <w:lang w:val="en-US" w:eastAsia="zh-CN"/>
              </w:rPr>
              <w:t>复印件或扫描件</w:t>
            </w:r>
            <w:r>
              <w:rPr>
                <w:rFonts w:hint="eastAsia" w:ascii="仿宋" w:hAnsi="仿宋" w:eastAsia="仿宋" w:cs="仿宋"/>
                <w:b/>
                <w:bCs/>
                <w:color w:val="auto"/>
                <w:kern w:val="0"/>
                <w:sz w:val="24"/>
                <w:szCs w:val="24"/>
                <w:lang w:val="en-US" w:eastAsia="zh-CN" w:bidi="ar-SA"/>
              </w:rPr>
              <w:t>加盖公章，时间以证书落款时间为准，否则不得分）</w:t>
            </w:r>
          </w:p>
        </w:tc>
        <w:tc>
          <w:tcPr>
            <w:tcW w:w="750" w:type="dxa"/>
            <w:vAlign w:val="center"/>
          </w:tcPr>
          <w:p w14:paraId="6EA67D5F">
            <w:pPr>
              <w:keepNext w:val="0"/>
              <w:keepLines w:val="0"/>
              <w:pageBreakBefore w:val="0"/>
              <w:widowControl/>
              <w:kinsoku/>
              <w:wordWrap/>
              <w:overflowPunct/>
              <w:topLinePunct w:val="0"/>
              <w:autoSpaceDE w:val="0"/>
              <w:autoSpaceDN w:val="0"/>
              <w:bidi w:val="0"/>
              <w:adjustRightInd w:val="0"/>
              <w:snapToGrid w:val="0"/>
              <w:spacing w:line="360" w:lineRule="atLeas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1270" w:type="dxa"/>
            <w:vAlign w:val="center"/>
          </w:tcPr>
          <w:p w14:paraId="6C52DB7F">
            <w:pPr>
              <w:keepNext w:val="0"/>
              <w:keepLines w:val="0"/>
              <w:pageBreakBefore w:val="0"/>
              <w:widowControl/>
              <w:kinsoku/>
              <w:wordWrap/>
              <w:overflowPunct/>
              <w:topLinePunct w:val="0"/>
              <w:autoSpaceDE w:val="0"/>
              <w:autoSpaceDN w:val="0"/>
              <w:bidi w:val="0"/>
              <w:adjustRightInd w:val="0"/>
              <w:snapToGrid w:val="0"/>
              <w:spacing w:line="360" w:lineRule="atLeas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客观分</w:t>
            </w:r>
          </w:p>
        </w:tc>
        <w:tc>
          <w:tcPr>
            <w:tcW w:w="1576" w:type="dxa"/>
            <w:vAlign w:val="center"/>
          </w:tcPr>
          <w:p w14:paraId="0725EBED">
            <w:pPr>
              <w:snapToGrid w:val="0"/>
              <w:spacing w:line="360" w:lineRule="auto"/>
              <w:jc w:val="center"/>
              <w:rPr>
                <w:rFonts w:hint="default" w:ascii="仿宋" w:hAnsi="仿宋" w:eastAsia="仿宋" w:cs="仿宋"/>
                <w:color w:val="auto"/>
                <w:sz w:val="24"/>
                <w:lang w:val="en-US" w:eastAsia="zh-CN"/>
              </w:rPr>
            </w:pPr>
          </w:p>
        </w:tc>
      </w:tr>
      <w:tr w14:paraId="153A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79" w:type="dxa"/>
            <w:vAlign w:val="center"/>
          </w:tcPr>
          <w:p w14:paraId="74602CA5">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4400" w:type="dxa"/>
            <w:vAlign w:val="center"/>
          </w:tcPr>
          <w:p w14:paraId="70A193DB">
            <w:pPr>
              <w:keepNext w:val="0"/>
              <w:keepLines w:val="0"/>
              <w:pageBreakBefore w:val="0"/>
              <w:widowControl/>
              <w:kinsoku/>
              <w:wordWrap/>
              <w:overflowPunct/>
              <w:topLinePunct w:val="0"/>
              <w:autoSpaceDE w:val="0"/>
              <w:autoSpaceDN w:val="0"/>
              <w:bidi w:val="0"/>
              <w:adjustRightInd w:val="0"/>
              <w:snapToGrid w:val="0"/>
              <w:spacing w:line="360" w:lineRule="atLeast"/>
              <w:jc w:val="both"/>
              <w:textAlignment w:val="auto"/>
              <w:rPr>
                <w:rFonts w:hint="default" w:ascii="仿宋" w:hAnsi="仿宋" w:eastAsia="宋体" w:cs="仿宋"/>
                <w:b w:val="0"/>
                <w:bCs/>
                <w:color w:val="auto"/>
                <w:kern w:val="0"/>
                <w:sz w:val="24"/>
                <w:lang w:val="en-US" w:eastAsia="zh-CN"/>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提供售后服务方案，包括持续服务保障情况、服务内容、培训方案、技术支持保障措施等响应方式和现场服务人员保证,提供的内容全面、思路清晰的得8分，较全面、思路较清晰的得6分，不够全面、清晰的得4分</w:t>
            </w:r>
            <w:r>
              <w:rPr>
                <w:rFonts w:hint="default" w:ascii="仿宋" w:hAnsi="仿宋" w:eastAsia="仿宋" w:cs="仿宋"/>
                <w:color w:val="000000" w:themeColor="text1"/>
                <w:kern w:val="0"/>
                <w:sz w:val="24"/>
                <w:szCs w:val="24"/>
                <w:lang w:val="en-US" w:eastAsia="zh-CN" w:bidi="ar-SA"/>
                <w14:textFill>
                  <w14:solidFill>
                    <w14:schemeClr w14:val="tx1"/>
                  </w14:solidFill>
                </w14:textFill>
              </w:rPr>
              <w:t>；未提供</w:t>
            </w:r>
            <w:r>
              <w:rPr>
                <w:rFonts w:hint="eastAsia" w:ascii="仿宋" w:hAnsi="仿宋" w:eastAsia="仿宋" w:cs="仿宋"/>
                <w:color w:val="000000" w:themeColor="text1"/>
                <w:kern w:val="0"/>
                <w:sz w:val="24"/>
                <w:szCs w:val="24"/>
                <w:lang w:val="en-US" w:eastAsia="zh-CN" w:bidi="ar-SA"/>
                <w14:textFill>
                  <w14:solidFill>
                    <w14:schemeClr w14:val="tx1"/>
                  </w14:solidFill>
                </w14:textFill>
              </w:rPr>
              <w:t>或者不合理</w:t>
            </w:r>
            <w:r>
              <w:rPr>
                <w:rFonts w:hint="default" w:ascii="仿宋" w:hAnsi="仿宋" w:eastAsia="仿宋" w:cs="仿宋"/>
                <w:color w:val="000000" w:themeColor="text1"/>
                <w:kern w:val="0"/>
                <w:sz w:val="24"/>
                <w:szCs w:val="24"/>
                <w:lang w:val="en-US" w:eastAsia="zh-CN" w:bidi="ar-SA"/>
                <w14:textFill>
                  <w14:solidFill>
                    <w14:schemeClr w14:val="tx1"/>
                  </w14:solidFill>
                </w14:textFill>
              </w:rPr>
              <w:t>的不得分。</w:t>
            </w:r>
          </w:p>
        </w:tc>
        <w:tc>
          <w:tcPr>
            <w:tcW w:w="750" w:type="dxa"/>
            <w:vAlign w:val="center"/>
          </w:tcPr>
          <w:p w14:paraId="7F9BD67A">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1270" w:type="dxa"/>
            <w:vAlign w:val="center"/>
          </w:tcPr>
          <w:p w14:paraId="102F2178">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lang w:val="en-US" w:eastAsia="zh-CN"/>
              </w:rPr>
              <w:t>主</w:t>
            </w:r>
            <w:r>
              <w:rPr>
                <w:rFonts w:hint="eastAsia" w:ascii="仿宋" w:hAnsi="仿宋" w:eastAsia="仿宋" w:cs="仿宋"/>
                <w:bCs/>
                <w:color w:val="auto"/>
                <w:sz w:val="24"/>
              </w:rPr>
              <w:t>观分</w:t>
            </w:r>
          </w:p>
        </w:tc>
        <w:tc>
          <w:tcPr>
            <w:tcW w:w="1576" w:type="dxa"/>
            <w:vAlign w:val="center"/>
          </w:tcPr>
          <w:p w14:paraId="4BE80E00">
            <w:pPr>
              <w:snapToGrid w:val="0"/>
              <w:spacing w:line="360" w:lineRule="auto"/>
              <w:jc w:val="center"/>
              <w:rPr>
                <w:rFonts w:hint="eastAsia" w:ascii="仿宋" w:hAnsi="仿宋" w:eastAsia="仿宋" w:cs="仿宋"/>
                <w:color w:val="auto"/>
                <w:sz w:val="24"/>
              </w:rPr>
            </w:pPr>
          </w:p>
        </w:tc>
      </w:tr>
      <w:tr w14:paraId="19B2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18894FF2">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4400" w:type="dxa"/>
            <w:vAlign w:val="center"/>
          </w:tcPr>
          <w:p w14:paraId="69BBE1E1">
            <w:pPr>
              <w:spacing w:line="240" w:lineRule="auto"/>
              <w:jc w:val="both"/>
              <w:rPr>
                <w:rFonts w:hint="default" w:ascii="仿宋" w:hAnsi="仿宋" w:eastAsia="仿宋" w:cs="仿宋"/>
                <w:color w:val="FF0000"/>
                <w:kern w:val="2"/>
                <w:sz w:val="24"/>
                <w:szCs w:val="24"/>
                <w:highlight w:val="none"/>
                <w:lang w:val="en-US" w:eastAsia="zh-CN" w:bidi="ar-SA"/>
              </w:rPr>
            </w:pPr>
            <w:r>
              <w:rPr>
                <w:rFonts w:hint="eastAsia" w:ascii="仿宋" w:hAnsi="仿宋" w:eastAsia="仿宋" w:cs="仿宋"/>
                <w:color w:val="000000" w:themeColor="text1"/>
                <w:kern w:val="0"/>
                <w:sz w:val="24"/>
                <w:szCs w:val="24"/>
                <w14:textFill>
                  <w14:solidFill>
                    <w14:schemeClr w14:val="tx1"/>
                  </w14:solidFill>
                </w14:textFill>
              </w:rPr>
              <w:t>根据投标人提供的应急预案进行打分</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。应急预案</w:t>
            </w:r>
            <w:r>
              <w:rPr>
                <w:rFonts w:hint="default" w:ascii="仿宋" w:hAnsi="仿宋" w:eastAsia="仿宋" w:cs="仿宋"/>
                <w:color w:val="000000" w:themeColor="text1"/>
                <w:kern w:val="0"/>
                <w:sz w:val="24"/>
                <w:szCs w:val="24"/>
                <w:lang w:val="en-US" w:eastAsia="zh-CN" w:bidi="ar-SA"/>
                <w14:textFill>
                  <w14:solidFill>
                    <w14:schemeClr w14:val="tx1"/>
                  </w14:solidFill>
                </w14:textFill>
              </w:rPr>
              <w:t>方案全面完整，思路清晰，科学合理得</w:t>
            </w:r>
            <w:r>
              <w:rPr>
                <w:rFonts w:hint="eastAsia" w:ascii="仿宋" w:hAnsi="仿宋" w:eastAsia="仿宋" w:cs="仿宋"/>
                <w:color w:val="000000" w:themeColor="text1"/>
                <w:kern w:val="0"/>
                <w:sz w:val="24"/>
                <w:szCs w:val="24"/>
                <w:lang w:val="en-US" w:eastAsia="zh-CN" w:bidi="ar-SA"/>
                <w14:textFill>
                  <w14:solidFill>
                    <w14:schemeClr w14:val="tx1"/>
                  </w14:solidFill>
                </w14:textFill>
              </w:rPr>
              <w:t>6</w:t>
            </w:r>
            <w:r>
              <w:rPr>
                <w:rFonts w:hint="default" w:ascii="仿宋" w:hAnsi="仿宋" w:eastAsia="仿宋" w:cs="仿宋"/>
                <w:color w:val="000000" w:themeColor="text1"/>
                <w:kern w:val="0"/>
                <w:sz w:val="24"/>
                <w:szCs w:val="24"/>
                <w:lang w:val="en-US" w:eastAsia="zh-CN" w:bidi="ar-SA"/>
                <w14:textFill>
                  <w14:solidFill>
                    <w14:schemeClr w14:val="tx1"/>
                  </w14:solidFill>
                </w14:textFill>
              </w:rPr>
              <w:t>分；应急预案方案比较详细，思路比较清晰，比较合理得</w:t>
            </w:r>
            <w:r>
              <w:rPr>
                <w:rFonts w:hint="eastAsia" w:ascii="仿宋" w:hAnsi="仿宋" w:eastAsia="仿宋" w:cs="仿宋"/>
                <w:color w:val="000000" w:themeColor="text1"/>
                <w:kern w:val="0"/>
                <w:sz w:val="24"/>
                <w:szCs w:val="24"/>
                <w:lang w:val="en-US" w:eastAsia="zh-CN" w:bidi="ar-SA"/>
                <w14:textFill>
                  <w14:solidFill>
                    <w14:schemeClr w14:val="tx1"/>
                  </w14:solidFill>
                </w14:textFill>
              </w:rPr>
              <w:t>4</w:t>
            </w:r>
            <w:r>
              <w:rPr>
                <w:rFonts w:hint="default" w:ascii="仿宋" w:hAnsi="仿宋" w:eastAsia="仿宋" w:cs="仿宋"/>
                <w:color w:val="000000" w:themeColor="text1"/>
                <w:kern w:val="0"/>
                <w:sz w:val="24"/>
                <w:szCs w:val="24"/>
                <w:lang w:val="en-US" w:eastAsia="zh-CN" w:bidi="ar-SA"/>
                <w14:textFill>
                  <w14:solidFill>
                    <w14:schemeClr w14:val="tx1"/>
                  </w14:solidFill>
                </w14:textFill>
              </w:rPr>
              <w:t>分；应急预案方案简单，思路模糊，合理性一般得</w:t>
            </w:r>
            <w:r>
              <w:rPr>
                <w:rFonts w:hint="eastAsia" w:ascii="仿宋" w:hAnsi="仿宋" w:eastAsia="仿宋" w:cs="仿宋"/>
                <w:color w:val="000000" w:themeColor="text1"/>
                <w:kern w:val="0"/>
                <w:sz w:val="24"/>
                <w:szCs w:val="24"/>
                <w:lang w:val="en-US" w:eastAsia="zh-CN" w:bidi="ar-SA"/>
                <w14:textFill>
                  <w14:solidFill>
                    <w14:schemeClr w14:val="tx1"/>
                  </w14:solidFill>
                </w14:textFill>
              </w:rPr>
              <w:t>2</w:t>
            </w:r>
            <w:r>
              <w:rPr>
                <w:rFonts w:hint="default" w:ascii="仿宋" w:hAnsi="仿宋" w:eastAsia="仿宋" w:cs="仿宋"/>
                <w:color w:val="000000" w:themeColor="text1"/>
                <w:kern w:val="0"/>
                <w:sz w:val="24"/>
                <w:szCs w:val="24"/>
                <w:lang w:val="en-US" w:eastAsia="zh-CN" w:bidi="ar-SA"/>
                <w14:textFill>
                  <w14:solidFill>
                    <w14:schemeClr w14:val="tx1"/>
                  </w14:solidFill>
                </w14:textFill>
              </w:rPr>
              <w:t>分；未提供</w:t>
            </w:r>
            <w:r>
              <w:rPr>
                <w:rFonts w:hint="eastAsia" w:ascii="仿宋" w:hAnsi="仿宋" w:eastAsia="仿宋" w:cs="仿宋"/>
                <w:color w:val="000000" w:themeColor="text1"/>
                <w:kern w:val="0"/>
                <w:sz w:val="24"/>
                <w:szCs w:val="24"/>
                <w:lang w:val="en-US" w:eastAsia="zh-CN" w:bidi="ar-SA"/>
                <w14:textFill>
                  <w14:solidFill>
                    <w14:schemeClr w14:val="tx1"/>
                  </w14:solidFill>
                </w14:textFill>
              </w:rPr>
              <w:t>或者不合理</w:t>
            </w:r>
            <w:r>
              <w:rPr>
                <w:rFonts w:hint="default" w:ascii="仿宋" w:hAnsi="仿宋" w:eastAsia="仿宋" w:cs="仿宋"/>
                <w:color w:val="000000" w:themeColor="text1"/>
                <w:kern w:val="0"/>
                <w:sz w:val="24"/>
                <w:szCs w:val="24"/>
                <w:lang w:val="en-US" w:eastAsia="zh-CN" w:bidi="ar-SA"/>
                <w14:textFill>
                  <w14:solidFill>
                    <w14:schemeClr w14:val="tx1"/>
                  </w14:solidFill>
                </w14:textFill>
              </w:rPr>
              <w:t>的不得分。</w:t>
            </w:r>
          </w:p>
        </w:tc>
        <w:tc>
          <w:tcPr>
            <w:tcW w:w="750" w:type="dxa"/>
            <w:vAlign w:val="center"/>
          </w:tcPr>
          <w:p w14:paraId="5A8FCD39">
            <w:pPr>
              <w:spacing w:line="240" w:lineRule="auto"/>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1270" w:type="dxa"/>
            <w:vAlign w:val="center"/>
          </w:tcPr>
          <w:p w14:paraId="7D785A7B">
            <w:pPr>
              <w:spacing w:line="240" w:lineRule="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主观分</w:t>
            </w:r>
          </w:p>
        </w:tc>
        <w:tc>
          <w:tcPr>
            <w:tcW w:w="1576" w:type="dxa"/>
            <w:vAlign w:val="center"/>
          </w:tcPr>
          <w:p w14:paraId="5DDE8597">
            <w:pPr>
              <w:snapToGrid w:val="0"/>
              <w:spacing w:line="360" w:lineRule="auto"/>
              <w:jc w:val="center"/>
              <w:rPr>
                <w:rFonts w:hint="eastAsia" w:ascii="仿宋" w:hAnsi="仿宋" w:eastAsia="仿宋" w:cs="仿宋"/>
                <w:color w:val="auto"/>
                <w:sz w:val="24"/>
              </w:rPr>
            </w:pPr>
          </w:p>
        </w:tc>
      </w:tr>
      <w:tr w14:paraId="114E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50564367">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4400" w:type="dxa"/>
            <w:vAlign w:val="center"/>
          </w:tcPr>
          <w:p w14:paraId="63D3ED4D">
            <w:pPr>
              <w:spacing w:line="240" w:lineRule="auto"/>
              <w:jc w:val="both"/>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针对本项目的组织计划安排比较：安排科学、有序，能凸显针对性且具备可操作性的得</w:t>
            </w:r>
            <w:r>
              <w:rPr>
                <w:rFonts w:hint="eastAsia" w:ascii="仿宋" w:hAnsi="仿宋" w:eastAsia="仿宋" w:cs="仿宋"/>
                <w:color w:val="auto"/>
                <w:sz w:val="24"/>
                <w:highlight w:val="none"/>
                <w:lang w:val="en-US" w:eastAsia="zh-CN"/>
              </w:rPr>
              <w:t>6</w:t>
            </w:r>
            <w:r>
              <w:rPr>
                <w:rFonts w:hint="default" w:ascii="仿宋" w:hAnsi="仿宋" w:eastAsia="仿宋" w:cs="仿宋"/>
                <w:color w:val="auto"/>
                <w:sz w:val="24"/>
                <w:highlight w:val="none"/>
                <w:lang w:val="en-US" w:eastAsia="zh-CN"/>
              </w:rPr>
              <w:t>分；有一定工作技术安排，组织协调性能满足项目实际需求的得</w:t>
            </w:r>
            <w:r>
              <w:rPr>
                <w:rFonts w:hint="eastAsia" w:ascii="仿宋" w:hAnsi="仿宋" w:eastAsia="仿宋" w:cs="仿宋"/>
                <w:color w:val="auto"/>
                <w:sz w:val="24"/>
                <w:highlight w:val="none"/>
                <w:lang w:val="en-US" w:eastAsia="zh-CN"/>
              </w:rPr>
              <w:t>4</w:t>
            </w:r>
            <w:r>
              <w:rPr>
                <w:rFonts w:hint="default" w:ascii="仿宋" w:hAnsi="仿宋" w:eastAsia="仿宋" w:cs="仿宋"/>
                <w:color w:val="auto"/>
                <w:sz w:val="24"/>
                <w:highlight w:val="none"/>
                <w:lang w:val="en-US" w:eastAsia="zh-CN"/>
              </w:rPr>
              <w:t>分；有计划安排，但措施简单，基本能满足项目实施需要的得</w:t>
            </w: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分；未提供</w:t>
            </w:r>
            <w:r>
              <w:rPr>
                <w:rFonts w:hint="eastAsia" w:ascii="仿宋" w:hAnsi="仿宋" w:eastAsia="仿宋" w:cs="仿宋"/>
                <w:color w:val="000000" w:themeColor="text1"/>
                <w:kern w:val="0"/>
                <w:sz w:val="24"/>
                <w:szCs w:val="24"/>
                <w:lang w:val="en-US" w:eastAsia="zh-CN" w:bidi="ar-SA"/>
                <w14:textFill>
                  <w14:solidFill>
                    <w14:schemeClr w14:val="tx1"/>
                  </w14:solidFill>
                </w14:textFill>
              </w:rPr>
              <w:t>或者不合理</w:t>
            </w:r>
            <w:r>
              <w:rPr>
                <w:rFonts w:hint="default" w:ascii="仿宋" w:hAnsi="仿宋" w:eastAsia="仿宋" w:cs="仿宋"/>
                <w:color w:val="auto"/>
                <w:sz w:val="24"/>
                <w:highlight w:val="none"/>
                <w:lang w:val="en-US" w:eastAsia="zh-CN"/>
              </w:rPr>
              <w:t>的不得分。</w:t>
            </w:r>
          </w:p>
        </w:tc>
        <w:tc>
          <w:tcPr>
            <w:tcW w:w="750" w:type="dxa"/>
            <w:vAlign w:val="center"/>
          </w:tcPr>
          <w:p w14:paraId="62BF8F7F">
            <w:pPr>
              <w:spacing w:line="24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6</w:t>
            </w:r>
          </w:p>
        </w:tc>
        <w:tc>
          <w:tcPr>
            <w:tcW w:w="1270" w:type="dxa"/>
            <w:vAlign w:val="center"/>
          </w:tcPr>
          <w:p w14:paraId="27D9ACD5">
            <w:pPr>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主观分</w:t>
            </w:r>
          </w:p>
        </w:tc>
        <w:tc>
          <w:tcPr>
            <w:tcW w:w="1576" w:type="dxa"/>
            <w:vAlign w:val="center"/>
          </w:tcPr>
          <w:p w14:paraId="18242FE2">
            <w:pPr>
              <w:snapToGrid w:val="0"/>
              <w:spacing w:line="360" w:lineRule="auto"/>
              <w:jc w:val="center"/>
              <w:rPr>
                <w:rFonts w:hint="eastAsia" w:ascii="仿宋" w:hAnsi="仿宋" w:eastAsia="仿宋" w:cs="仿宋"/>
                <w:color w:val="auto"/>
                <w:sz w:val="24"/>
              </w:rPr>
            </w:pPr>
          </w:p>
        </w:tc>
      </w:tr>
      <w:tr w14:paraId="4656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79" w:type="dxa"/>
            <w:vAlign w:val="center"/>
          </w:tcPr>
          <w:p w14:paraId="14D6036A">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400" w:type="dxa"/>
          </w:tcPr>
          <w:p w14:paraId="04DF0489">
            <w:pPr>
              <w:spacing w:line="240" w:lineRule="auto"/>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根据投标人的工作纪律、质量控制、巡查管理制度、服务指导制度等内部管理制度等情况进行打分。各制度</w:t>
            </w:r>
            <w:r>
              <w:rPr>
                <w:rFonts w:hint="default" w:ascii="仿宋" w:hAnsi="仿宋" w:eastAsia="仿宋" w:cs="仿宋"/>
                <w:color w:val="000000" w:themeColor="text1"/>
                <w:kern w:val="0"/>
                <w:sz w:val="24"/>
                <w:szCs w:val="24"/>
                <w:lang w:val="en-US" w:eastAsia="zh-CN" w:bidi="ar-SA"/>
                <w14:textFill>
                  <w14:solidFill>
                    <w14:schemeClr w14:val="tx1"/>
                  </w14:solidFill>
                </w14:textFill>
              </w:rPr>
              <w:t>方案详细，思路清晰，合理得</w:t>
            </w:r>
            <w:r>
              <w:rPr>
                <w:rFonts w:hint="eastAsia" w:ascii="仿宋" w:hAnsi="仿宋" w:eastAsia="仿宋" w:cs="仿宋"/>
                <w:color w:val="000000" w:themeColor="text1"/>
                <w:kern w:val="0"/>
                <w:sz w:val="24"/>
                <w:szCs w:val="24"/>
                <w:lang w:val="en-US" w:eastAsia="zh-CN" w:bidi="ar-SA"/>
                <w14:textFill>
                  <w14:solidFill>
                    <w14:schemeClr w14:val="tx1"/>
                  </w14:solidFill>
                </w14:textFill>
              </w:rPr>
              <w:t>6</w:t>
            </w:r>
            <w:r>
              <w:rPr>
                <w:rFonts w:hint="default" w:ascii="仿宋" w:hAnsi="仿宋" w:eastAsia="仿宋" w:cs="仿宋"/>
                <w:color w:val="000000" w:themeColor="text1"/>
                <w:kern w:val="0"/>
                <w:sz w:val="24"/>
                <w:szCs w:val="24"/>
                <w:lang w:val="en-US" w:eastAsia="zh-CN" w:bidi="ar-SA"/>
                <w14:textFill>
                  <w14:solidFill>
                    <w14:schemeClr w14:val="tx1"/>
                  </w14:solidFill>
                </w14:textFill>
              </w:rPr>
              <w:t>分；</w:t>
            </w:r>
            <w:r>
              <w:rPr>
                <w:rFonts w:hint="eastAsia" w:ascii="仿宋" w:hAnsi="仿宋" w:eastAsia="仿宋" w:cs="仿宋"/>
                <w:color w:val="auto"/>
                <w:sz w:val="24"/>
                <w:highlight w:val="none"/>
                <w:lang w:val="en-US" w:eastAsia="zh-CN"/>
              </w:rPr>
              <w:t>各制度</w:t>
            </w:r>
            <w:r>
              <w:rPr>
                <w:rFonts w:hint="default" w:ascii="仿宋" w:hAnsi="仿宋" w:eastAsia="仿宋" w:cs="仿宋"/>
                <w:color w:val="000000" w:themeColor="text1"/>
                <w:kern w:val="0"/>
                <w:sz w:val="24"/>
                <w:szCs w:val="24"/>
                <w:lang w:val="en-US" w:eastAsia="zh-CN" w:bidi="ar-SA"/>
                <w14:textFill>
                  <w14:solidFill>
                    <w14:schemeClr w14:val="tx1"/>
                  </w14:solidFill>
                </w14:textFill>
              </w:rPr>
              <w:t>方案比较详细，思路比较清晰，比较合理得</w:t>
            </w:r>
            <w:r>
              <w:rPr>
                <w:rFonts w:hint="eastAsia" w:ascii="仿宋" w:hAnsi="仿宋" w:eastAsia="仿宋" w:cs="仿宋"/>
                <w:color w:val="000000" w:themeColor="text1"/>
                <w:kern w:val="0"/>
                <w:sz w:val="24"/>
                <w:szCs w:val="24"/>
                <w:lang w:val="en-US" w:eastAsia="zh-CN" w:bidi="ar-SA"/>
                <w14:textFill>
                  <w14:solidFill>
                    <w14:schemeClr w14:val="tx1"/>
                  </w14:solidFill>
                </w14:textFill>
              </w:rPr>
              <w:t>4</w:t>
            </w:r>
            <w:r>
              <w:rPr>
                <w:rFonts w:hint="default" w:ascii="仿宋" w:hAnsi="仿宋" w:eastAsia="仿宋" w:cs="仿宋"/>
                <w:color w:val="000000" w:themeColor="text1"/>
                <w:kern w:val="0"/>
                <w:sz w:val="24"/>
                <w:szCs w:val="24"/>
                <w:lang w:val="en-US" w:eastAsia="zh-CN" w:bidi="ar-SA"/>
                <w14:textFill>
                  <w14:solidFill>
                    <w14:schemeClr w14:val="tx1"/>
                  </w14:solidFill>
                </w14:textFill>
              </w:rPr>
              <w:t>分；</w:t>
            </w:r>
            <w:r>
              <w:rPr>
                <w:rFonts w:hint="eastAsia" w:ascii="仿宋" w:hAnsi="仿宋" w:eastAsia="仿宋" w:cs="仿宋"/>
                <w:color w:val="auto"/>
                <w:sz w:val="24"/>
                <w:highlight w:val="none"/>
                <w:lang w:val="en-US" w:eastAsia="zh-CN"/>
              </w:rPr>
              <w:t>各制度</w:t>
            </w:r>
            <w:r>
              <w:rPr>
                <w:rFonts w:hint="default" w:ascii="仿宋" w:hAnsi="仿宋" w:eastAsia="仿宋" w:cs="仿宋"/>
                <w:color w:val="000000" w:themeColor="text1"/>
                <w:kern w:val="0"/>
                <w:sz w:val="24"/>
                <w:szCs w:val="24"/>
                <w:lang w:val="en-US" w:eastAsia="zh-CN" w:bidi="ar-SA"/>
                <w14:textFill>
                  <w14:solidFill>
                    <w14:schemeClr w14:val="tx1"/>
                  </w14:solidFill>
                </w14:textFill>
              </w:rPr>
              <w:t>方案简单，思路模糊，合理性一般得</w:t>
            </w:r>
            <w:r>
              <w:rPr>
                <w:rFonts w:hint="eastAsia" w:ascii="仿宋" w:hAnsi="仿宋" w:eastAsia="仿宋" w:cs="仿宋"/>
                <w:color w:val="000000" w:themeColor="text1"/>
                <w:kern w:val="0"/>
                <w:sz w:val="24"/>
                <w:szCs w:val="24"/>
                <w:lang w:val="en-US" w:eastAsia="zh-CN" w:bidi="ar-SA"/>
                <w14:textFill>
                  <w14:solidFill>
                    <w14:schemeClr w14:val="tx1"/>
                  </w14:solidFill>
                </w14:textFill>
              </w:rPr>
              <w:t>2</w:t>
            </w:r>
            <w:r>
              <w:rPr>
                <w:rFonts w:hint="default" w:ascii="仿宋" w:hAnsi="仿宋" w:eastAsia="仿宋" w:cs="仿宋"/>
                <w:color w:val="000000" w:themeColor="text1"/>
                <w:kern w:val="0"/>
                <w:sz w:val="24"/>
                <w:szCs w:val="24"/>
                <w:lang w:val="en-US" w:eastAsia="zh-CN" w:bidi="ar-SA"/>
                <w14:textFill>
                  <w14:solidFill>
                    <w14:schemeClr w14:val="tx1"/>
                  </w14:solidFill>
                </w14:textFill>
              </w:rPr>
              <w:t>分；未提供</w:t>
            </w:r>
            <w:r>
              <w:rPr>
                <w:rFonts w:hint="eastAsia" w:ascii="仿宋" w:hAnsi="仿宋" w:eastAsia="仿宋" w:cs="仿宋"/>
                <w:color w:val="000000" w:themeColor="text1"/>
                <w:kern w:val="0"/>
                <w:sz w:val="24"/>
                <w:szCs w:val="24"/>
                <w:lang w:val="en-US" w:eastAsia="zh-CN" w:bidi="ar-SA"/>
                <w14:textFill>
                  <w14:solidFill>
                    <w14:schemeClr w14:val="tx1"/>
                  </w14:solidFill>
                </w14:textFill>
              </w:rPr>
              <w:t>或者不合理</w:t>
            </w:r>
            <w:r>
              <w:rPr>
                <w:rFonts w:hint="default" w:ascii="仿宋" w:hAnsi="仿宋" w:eastAsia="仿宋" w:cs="仿宋"/>
                <w:color w:val="000000" w:themeColor="text1"/>
                <w:kern w:val="0"/>
                <w:sz w:val="24"/>
                <w:szCs w:val="24"/>
                <w:lang w:val="en-US" w:eastAsia="zh-CN" w:bidi="ar-SA"/>
                <w14:textFill>
                  <w14:solidFill>
                    <w14:schemeClr w14:val="tx1"/>
                  </w14:solidFill>
                </w14:textFill>
              </w:rPr>
              <w:t>的不得分。</w:t>
            </w:r>
          </w:p>
        </w:tc>
        <w:tc>
          <w:tcPr>
            <w:tcW w:w="750" w:type="dxa"/>
            <w:vAlign w:val="center"/>
          </w:tcPr>
          <w:p w14:paraId="5BC06619">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270" w:type="dxa"/>
            <w:vAlign w:val="center"/>
          </w:tcPr>
          <w:p w14:paraId="502F8AF0">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576" w:type="dxa"/>
            <w:vAlign w:val="center"/>
          </w:tcPr>
          <w:p w14:paraId="3DDD7DD1">
            <w:pPr>
              <w:spacing w:line="240" w:lineRule="auto"/>
              <w:jc w:val="center"/>
              <w:rPr>
                <w:rFonts w:hint="eastAsia" w:ascii="仿宋" w:hAnsi="仿宋" w:eastAsia="仿宋" w:cs="仿宋"/>
                <w:color w:val="auto"/>
                <w:kern w:val="0"/>
                <w:sz w:val="24"/>
                <w:szCs w:val="24"/>
                <w:highlight w:val="none"/>
                <w:lang w:val="en-US" w:eastAsia="zh-CN"/>
              </w:rPr>
            </w:pPr>
          </w:p>
        </w:tc>
      </w:tr>
      <w:tr w14:paraId="0FF4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79" w:type="dxa"/>
            <w:vAlign w:val="center"/>
          </w:tcPr>
          <w:p w14:paraId="06305DAA">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4400" w:type="dxa"/>
          </w:tcPr>
          <w:p w14:paraId="22045576">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rPr>
              <w:t>根据投标人对</w:t>
            </w:r>
            <w:r>
              <w:rPr>
                <w:rFonts w:hint="eastAsia" w:ascii="仿宋" w:hAnsi="仿宋" w:eastAsia="仿宋" w:cs="仿宋"/>
                <w:color w:val="auto"/>
                <w:kern w:val="0"/>
                <w:sz w:val="24"/>
                <w:szCs w:val="24"/>
                <w:lang w:val="en-US" w:eastAsia="zh-CN"/>
              </w:rPr>
              <w:t>塘栖镇</w:t>
            </w:r>
            <w:r>
              <w:rPr>
                <w:rFonts w:hint="eastAsia" w:ascii="仿宋" w:hAnsi="仿宋" w:eastAsia="仿宋" w:cs="仿宋"/>
                <w:color w:val="auto"/>
                <w:kern w:val="0"/>
                <w:sz w:val="24"/>
                <w:szCs w:val="24"/>
              </w:rPr>
              <w:t>概况及重点企业的了解程度、提供的针对本项目服务的难点、要点和关键节点进行打分。</w:t>
            </w:r>
            <w:r>
              <w:rPr>
                <w:rFonts w:hint="default" w:ascii="仿宋" w:hAnsi="仿宋" w:eastAsia="仿宋" w:cs="仿宋"/>
                <w:color w:val="auto"/>
                <w:kern w:val="0"/>
                <w:sz w:val="24"/>
                <w:szCs w:val="24"/>
                <w:lang w:val="en-US" w:eastAsia="zh-CN" w:bidi="ar-SA"/>
              </w:rPr>
              <w:t>方案全面完整，科学合理得</w:t>
            </w:r>
            <w:r>
              <w:rPr>
                <w:rFonts w:hint="eastAsia" w:ascii="仿宋" w:hAnsi="仿宋" w:eastAsia="仿宋" w:cs="仿宋"/>
                <w:color w:val="auto"/>
                <w:kern w:val="0"/>
                <w:sz w:val="24"/>
                <w:szCs w:val="24"/>
                <w:lang w:val="en-US" w:eastAsia="zh-CN" w:bidi="ar-SA"/>
              </w:rPr>
              <w:t>6</w:t>
            </w:r>
            <w:r>
              <w:rPr>
                <w:rFonts w:hint="default" w:ascii="仿宋" w:hAnsi="仿宋" w:eastAsia="仿宋" w:cs="仿宋"/>
                <w:color w:val="auto"/>
                <w:kern w:val="0"/>
                <w:sz w:val="24"/>
                <w:szCs w:val="24"/>
                <w:lang w:val="en-US" w:eastAsia="zh-CN" w:bidi="ar-SA"/>
              </w:rPr>
              <w:t>分；方案比较详细，比较合理得</w:t>
            </w:r>
            <w:r>
              <w:rPr>
                <w:rFonts w:hint="eastAsia" w:ascii="仿宋" w:hAnsi="仿宋" w:eastAsia="仿宋" w:cs="仿宋"/>
                <w:color w:val="auto"/>
                <w:kern w:val="0"/>
                <w:sz w:val="24"/>
                <w:szCs w:val="24"/>
                <w:lang w:val="en-US" w:eastAsia="zh-CN" w:bidi="ar-SA"/>
              </w:rPr>
              <w:t>4</w:t>
            </w:r>
            <w:r>
              <w:rPr>
                <w:rFonts w:hint="default" w:ascii="仿宋" w:hAnsi="仿宋" w:eastAsia="仿宋" w:cs="仿宋"/>
                <w:color w:val="auto"/>
                <w:kern w:val="0"/>
                <w:sz w:val="24"/>
                <w:szCs w:val="24"/>
                <w:lang w:val="en-US" w:eastAsia="zh-CN" w:bidi="ar-SA"/>
              </w:rPr>
              <w:t>分；方案简单，思路模糊，合理性一般得</w:t>
            </w:r>
            <w:r>
              <w:rPr>
                <w:rFonts w:hint="eastAsia" w:ascii="仿宋" w:hAnsi="仿宋" w:eastAsia="仿宋" w:cs="仿宋"/>
                <w:color w:val="auto"/>
                <w:kern w:val="0"/>
                <w:sz w:val="24"/>
                <w:szCs w:val="24"/>
                <w:lang w:val="en-US" w:eastAsia="zh-CN" w:bidi="ar-SA"/>
              </w:rPr>
              <w:t>2</w:t>
            </w:r>
            <w:r>
              <w:rPr>
                <w:rFonts w:hint="default" w:ascii="仿宋" w:hAnsi="仿宋" w:eastAsia="仿宋" w:cs="仿宋"/>
                <w:color w:val="auto"/>
                <w:kern w:val="0"/>
                <w:sz w:val="24"/>
                <w:szCs w:val="24"/>
                <w:lang w:val="en-US" w:eastAsia="zh-CN" w:bidi="ar-SA"/>
              </w:rPr>
              <w:t>分；未提供</w:t>
            </w:r>
            <w:r>
              <w:rPr>
                <w:rFonts w:hint="eastAsia" w:ascii="仿宋" w:hAnsi="仿宋" w:eastAsia="仿宋" w:cs="仿宋"/>
                <w:color w:val="000000" w:themeColor="text1"/>
                <w:kern w:val="0"/>
                <w:sz w:val="24"/>
                <w:szCs w:val="24"/>
                <w:lang w:val="en-US" w:eastAsia="zh-CN" w:bidi="ar-SA"/>
                <w14:textFill>
                  <w14:solidFill>
                    <w14:schemeClr w14:val="tx1"/>
                  </w14:solidFill>
                </w14:textFill>
              </w:rPr>
              <w:t>或者不合理</w:t>
            </w:r>
            <w:r>
              <w:rPr>
                <w:rFonts w:hint="default" w:ascii="仿宋" w:hAnsi="仿宋" w:eastAsia="仿宋" w:cs="仿宋"/>
                <w:color w:val="auto"/>
                <w:kern w:val="0"/>
                <w:sz w:val="24"/>
                <w:szCs w:val="24"/>
                <w:lang w:val="en-US" w:eastAsia="zh-CN" w:bidi="ar-SA"/>
              </w:rPr>
              <w:t>的不得分。</w:t>
            </w:r>
          </w:p>
        </w:tc>
        <w:tc>
          <w:tcPr>
            <w:tcW w:w="750" w:type="dxa"/>
            <w:vAlign w:val="center"/>
          </w:tcPr>
          <w:p w14:paraId="753386E4">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70" w:type="dxa"/>
            <w:vAlign w:val="center"/>
          </w:tcPr>
          <w:p w14:paraId="00AC1F41">
            <w:pPr>
              <w:spacing w:line="240" w:lineRule="auto"/>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主观分</w:t>
            </w:r>
          </w:p>
        </w:tc>
        <w:tc>
          <w:tcPr>
            <w:tcW w:w="1576" w:type="dxa"/>
            <w:vAlign w:val="center"/>
          </w:tcPr>
          <w:p w14:paraId="511BFF79">
            <w:pPr>
              <w:spacing w:line="240" w:lineRule="auto"/>
              <w:jc w:val="center"/>
              <w:rPr>
                <w:rFonts w:hint="eastAsia" w:ascii="仿宋" w:hAnsi="仿宋" w:eastAsia="仿宋" w:cs="仿宋"/>
                <w:color w:val="auto"/>
                <w:kern w:val="0"/>
                <w:sz w:val="24"/>
                <w:szCs w:val="24"/>
                <w:highlight w:val="none"/>
                <w:lang w:val="en-US" w:eastAsia="zh-CN"/>
              </w:rPr>
            </w:pPr>
          </w:p>
        </w:tc>
      </w:tr>
      <w:tr w14:paraId="2F58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679" w:type="dxa"/>
            <w:vAlign w:val="center"/>
          </w:tcPr>
          <w:p w14:paraId="2D833D7C">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4400" w:type="dxa"/>
          </w:tcPr>
          <w:p w14:paraId="6C3E5419">
            <w:pPr>
              <w:keepNext w:val="0"/>
              <w:keepLines w:val="0"/>
              <w:pageBreakBefore w:val="0"/>
              <w:widowControl/>
              <w:kinsoku/>
              <w:wordWrap/>
              <w:overflowPunct/>
              <w:topLinePunct w:val="0"/>
              <w:autoSpaceDE w:val="0"/>
              <w:autoSpaceDN w:val="0"/>
              <w:bidi w:val="0"/>
              <w:adjustRightInd w:val="0"/>
              <w:snapToGrid w:val="0"/>
              <w:spacing w:line="360" w:lineRule="atLeast"/>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rPr>
              <w:t>根据本项目实施</w:t>
            </w:r>
            <w:r>
              <w:rPr>
                <w:rFonts w:hint="eastAsia" w:ascii="仿宋" w:hAnsi="仿宋" w:eastAsia="仿宋" w:cs="仿宋"/>
                <w:color w:val="auto"/>
                <w:kern w:val="0"/>
                <w:sz w:val="24"/>
                <w:szCs w:val="24"/>
                <w:highlight w:val="none"/>
                <w:lang w:val="en-US" w:eastAsia="zh-CN"/>
              </w:rPr>
              <w:t>，针对主管部门考核要求，结合本项目现状，</w:t>
            </w:r>
            <w:r>
              <w:rPr>
                <w:rFonts w:hint="eastAsia" w:ascii="仿宋" w:hAnsi="仿宋" w:eastAsia="仿宋" w:cs="仿宋"/>
                <w:color w:val="auto"/>
                <w:kern w:val="0"/>
                <w:sz w:val="24"/>
                <w:szCs w:val="24"/>
                <w:highlight w:val="none"/>
                <w:lang w:val="en-US"/>
              </w:rPr>
              <w:t>提出科学合理并具有针对性和可操作性的</w:t>
            </w:r>
            <w:r>
              <w:rPr>
                <w:rFonts w:hint="default" w:ascii="仿宋" w:hAnsi="仿宋" w:eastAsia="仿宋" w:cs="仿宋"/>
                <w:color w:val="auto"/>
                <w:kern w:val="0"/>
                <w:sz w:val="24"/>
                <w:szCs w:val="24"/>
                <w:lang w:val="en-US" w:eastAsia="zh-CN" w:bidi="ar-SA"/>
              </w:rPr>
              <w:t>方案</w:t>
            </w:r>
            <w:r>
              <w:rPr>
                <w:rFonts w:hint="eastAsia" w:ascii="仿宋" w:hAnsi="仿宋" w:eastAsia="仿宋" w:cs="仿宋"/>
                <w:color w:val="auto"/>
                <w:kern w:val="0"/>
                <w:sz w:val="24"/>
                <w:szCs w:val="24"/>
                <w:highlight w:val="none"/>
                <w:lang w:val="en-US"/>
              </w:rPr>
              <w:t>。</w:t>
            </w:r>
            <w:r>
              <w:rPr>
                <w:rFonts w:hint="default" w:ascii="仿宋" w:hAnsi="仿宋" w:eastAsia="仿宋" w:cs="仿宋"/>
                <w:color w:val="auto"/>
                <w:kern w:val="0"/>
                <w:sz w:val="24"/>
                <w:szCs w:val="24"/>
                <w:lang w:val="en-US" w:eastAsia="zh-CN" w:bidi="ar-SA"/>
              </w:rPr>
              <w:t>方案全面完整，科学合理得</w:t>
            </w:r>
            <w:r>
              <w:rPr>
                <w:rFonts w:hint="eastAsia" w:ascii="仿宋" w:hAnsi="仿宋" w:eastAsia="仿宋" w:cs="仿宋"/>
                <w:color w:val="auto"/>
                <w:kern w:val="0"/>
                <w:sz w:val="24"/>
                <w:szCs w:val="24"/>
                <w:lang w:val="en-US" w:eastAsia="zh-CN" w:bidi="ar-SA"/>
              </w:rPr>
              <w:t>6</w:t>
            </w:r>
            <w:r>
              <w:rPr>
                <w:rFonts w:hint="default" w:ascii="仿宋" w:hAnsi="仿宋" w:eastAsia="仿宋" w:cs="仿宋"/>
                <w:color w:val="auto"/>
                <w:kern w:val="0"/>
                <w:sz w:val="24"/>
                <w:szCs w:val="24"/>
                <w:lang w:val="en-US" w:eastAsia="zh-CN" w:bidi="ar-SA"/>
              </w:rPr>
              <w:t>分；方案比较详细，比较合理得</w:t>
            </w:r>
            <w:r>
              <w:rPr>
                <w:rFonts w:hint="eastAsia" w:ascii="仿宋" w:hAnsi="仿宋" w:eastAsia="仿宋" w:cs="仿宋"/>
                <w:color w:val="auto"/>
                <w:kern w:val="0"/>
                <w:sz w:val="24"/>
                <w:szCs w:val="24"/>
                <w:lang w:val="en-US" w:eastAsia="zh-CN" w:bidi="ar-SA"/>
              </w:rPr>
              <w:t>4</w:t>
            </w:r>
            <w:r>
              <w:rPr>
                <w:rFonts w:hint="default" w:ascii="仿宋" w:hAnsi="仿宋" w:eastAsia="仿宋" w:cs="仿宋"/>
                <w:color w:val="auto"/>
                <w:kern w:val="0"/>
                <w:sz w:val="24"/>
                <w:szCs w:val="24"/>
                <w:lang w:val="en-US" w:eastAsia="zh-CN" w:bidi="ar-SA"/>
              </w:rPr>
              <w:t>分；方案简单，思路模糊，合理性一般得</w:t>
            </w:r>
            <w:r>
              <w:rPr>
                <w:rFonts w:hint="eastAsia" w:ascii="仿宋" w:hAnsi="仿宋" w:eastAsia="仿宋" w:cs="仿宋"/>
                <w:color w:val="auto"/>
                <w:kern w:val="0"/>
                <w:sz w:val="24"/>
                <w:szCs w:val="24"/>
                <w:lang w:val="en-US" w:eastAsia="zh-CN" w:bidi="ar-SA"/>
              </w:rPr>
              <w:t>2</w:t>
            </w:r>
            <w:r>
              <w:rPr>
                <w:rFonts w:hint="default" w:ascii="仿宋" w:hAnsi="仿宋" w:eastAsia="仿宋" w:cs="仿宋"/>
                <w:color w:val="auto"/>
                <w:kern w:val="0"/>
                <w:sz w:val="24"/>
                <w:szCs w:val="24"/>
                <w:lang w:val="en-US" w:eastAsia="zh-CN" w:bidi="ar-SA"/>
              </w:rPr>
              <w:t>分；未提供</w:t>
            </w:r>
            <w:r>
              <w:rPr>
                <w:rFonts w:hint="eastAsia" w:ascii="仿宋" w:hAnsi="仿宋" w:eastAsia="仿宋" w:cs="仿宋"/>
                <w:color w:val="000000" w:themeColor="text1"/>
                <w:kern w:val="0"/>
                <w:sz w:val="24"/>
                <w:szCs w:val="24"/>
                <w:lang w:val="en-US" w:eastAsia="zh-CN" w:bidi="ar-SA"/>
                <w14:textFill>
                  <w14:solidFill>
                    <w14:schemeClr w14:val="tx1"/>
                  </w14:solidFill>
                </w14:textFill>
              </w:rPr>
              <w:t>或者不合理</w:t>
            </w:r>
            <w:r>
              <w:rPr>
                <w:rFonts w:hint="default" w:ascii="仿宋" w:hAnsi="仿宋" w:eastAsia="仿宋" w:cs="仿宋"/>
                <w:color w:val="auto"/>
                <w:kern w:val="0"/>
                <w:sz w:val="24"/>
                <w:szCs w:val="24"/>
                <w:lang w:val="en-US" w:eastAsia="zh-CN" w:bidi="ar-SA"/>
              </w:rPr>
              <w:t>的不得分。</w:t>
            </w:r>
          </w:p>
        </w:tc>
        <w:tc>
          <w:tcPr>
            <w:tcW w:w="750" w:type="dxa"/>
            <w:vAlign w:val="center"/>
          </w:tcPr>
          <w:p w14:paraId="664D43C4">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70" w:type="dxa"/>
            <w:vAlign w:val="center"/>
          </w:tcPr>
          <w:p w14:paraId="48D196C2">
            <w:pPr>
              <w:spacing w:line="240" w:lineRule="auto"/>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主观分</w:t>
            </w:r>
          </w:p>
        </w:tc>
        <w:tc>
          <w:tcPr>
            <w:tcW w:w="1576" w:type="dxa"/>
            <w:vAlign w:val="center"/>
          </w:tcPr>
          <w:p w14:paraId="65B841EE">
            <w:pPr>
              <w:spacing w:line="240" w:lineRule="auto"/>
              <w:jc w:val="center"/>
              <w:rPr>
                <w:rFonts w:hint="eastAsia" w:ascii="仿宋" w:hAnsi="仿宋" w:eastAsia="仿宋" w:cs="仿宋"/>
                <w:color w:val="auto"/>
                <w:kern w:val="0"/>
                <w:sz w:val="24"/>
                <w:szCs w:val="24"/>
                <w:highlight w:val="none"/>
                <w:lang w:val="en-US" w:eastAsia="zh-CN"/>
              </w:rPr>
            </w:pPr>
          </w:p>
        </w:tc>
      </w:tr>
      <w:tr w14:paraId="1035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vAlign w:val="center"/>
          </w:tcPr>
          <w:p w14:paraId="1DB964EB">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4400" w:type="dxa"/>
          </w:tcPr>
          <w:p w14:paraId="5EE2794F">
            <w:pPr>
              <w:spacing w:line="240" w:lineRule="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投标人针对提供资料管理方案。</w:t>
            </w:r>
            <w:r>
              <w:rPr>
                <w:rFonts w:hint="eastAsia" w:ascii="仿宋" w:hAnsi="仿宋" w:eastAsia="仿宋" w:cs="仿宋"/>
                <w:color w:val="auto"/>
                <w:kern w:val="0"/>
                <w:sz w:val="24"/>
                <w:szCs w:val="24"/>
                <w:highlight w:val="none"/>
                <w:lang w:val="en-US" w:eastAsia="zh-CN"/>
              </w:rPr>
              <w:br w:type="textWrapping"/>
            </w:r>
            <w:r>
              <w:rPr>
                <w:rFonts w:hint="default" w:ascii="仿宋" w:hAnsi="仿宋" w:eastAsia="仿宋" w:cs="仿宋"/>
                <w:color w:val="auto"/>
                <w:kern w:val="0"/>
                <w:sz w:val="24"/>
                <w:szCs w:val="24"/>
                <w:lang w:val="en-US" w:eastAsia="zh-CN" w:bidi="ar-SA"/>
              </w:rPr>
              <w:t>方案全面完整，科学合理得</w:t>
            </w:r>
            <w:r>
              <w:rPr>
                <w:rFonts w:hint="eastAsia" w:ascii="仿宋" w:hAnsi="仿宋" w:eastAsia="仿宋" w:cs="仿宋"/>
                <w:color w:val="auto"/>
                <w:kern w:val="0"/>
                <w:sz w:val="24"/>
                <w:szCs w:val="24"/>
                <w:lang w:val="en-US" w:eastAsia="zh-CN" w:bidi="ar-SA"/>
              </w:rPr>
              <w:t>6</w:t>
            </w:r>
            <w:r>
              <w:rPr>
                <w:rFonts w:hint="default" w:ascii="仿宋" w:hAnsi="仿宋" w:eastAsia="仿宋" w:cs="仿宋"/>
                <w:color w:val="auto"/>
                <w:kern w:val="0"/>
                <w:sz w:val="24"/>
                <w:szCs w:val="24"/>
                <w:lang w:val="en-US" w:eastAsia="zh-CN" w:bidi="ar-SA"/>
              </w:rPr>
              <w:t>分；方案比较详细，比较合理得</w:t>
            </w:r>
            <w:r>
              <w:rPr>
                <w:rFonts w:hint="eastAsia" w:ascii="仿宋" w:hAnsi="仿宋" w:eastAsia="仿宋" w:cs="仿宋"/>
                <w:color w:val="auto"/>
                <w:kern w:val="0"/>
                <w:sz w:val="24"/>
                <w:szCs w:val="24"/>
                <w:lang w:val="en-US" w:eastAsia="zh-CN" w:bidi="ar-SA"/>
              </w:rPr>
              <w:t>4</w:t>
            </w:r>
            <w:r>
              <w:rPr>
                <w:rFonts w:hint="default" w:ascii="仿宋" w:hAnsi="仿宋" w:eastAsia="仿宋" w:cs="仿宋"/>
                <w:color w:val="auto"/>
                <w:kern w:val="0"/>
                <w:sz w:val="24"/>
                <w:szCs w:val="24"/>
                <w:lang w:val="en-US" w:eastAsia="zh-CN" w:bidi="ar-SA"/>
              </w:rPr>
              <w:t>分；方案简单，思路模糊，合理性一般得</w:t>
            </w:r>
            <w:r>
              <w:rPr>
                <w:rFonts w:hint="eastAsia" w:ascii="仿宋" w:hAnsi="仿宋" w:eastAsia="仿宋" w:cs="仿宋"/>
                <w:color w:val="auto"/>
                <w:kern w:val="0"/>
                <w:sz w:val="24"/>
                <w:szCs w:val="24"/>
                <w:lang w:val="en-US" w:eastAsia="zh-CN" w:bidi="ar-SA"/>
              </w:rPr>
              <w:t>2</w:t>
            </w:r>
            <w:r>
              <w:rPr>
                <w:rFonts w:hint="default" w:ascii="仿宋" w:hAnsi="仿宋" w:eastAsia="仿宋" w:cs="仿宋"/>
                <w:color w:val="auto"/>
                <w:kern w:val="0"/>
                <w:sz w:val="24"/>
                <w:szCs w:val="24"/>
                <w:lang w:val="en-US" w:eastAsia="zh-CN" w:bidi="ar-SA"/>
              </w:rPr>
              <w:t>分；未提供</w:t>
            </w:r>
            <w:r>
              <w:rPr>
                <w:rFonts w:hint="eastAsia" w:ascii="仿宋" w:hAnsi="仿宋" w:eastAsia="仿宋" w:cs="仿宋"/>
                <w:color w:val="000000" w:themeColor="text1"/>
                <w:kern w:val="0"/>
                <w:sz w:val="24"/>
                <w:szCs w:val="24"/>
                <w:lang w:val="en-US" w:eastAsia="zh-CN" w:bidi="ar-SA"/>
                <w14:textFill>
                  <w14:solidFill>
                    <w14:schemeClr w14:val="tx1"/>
                  </w14:solidFill>
                </w14:textFill>
              </w:rPr>
              <w:t>或者不合理</w:t>
            </w:r>
            <w:r>
              <w:rPr>
                <w:rFonts w:hint="default" w:ascii="仿宋" w:hAnsi="仿宋" w:eastAsia="仿宋" w:cs="仿宋"/>
                <w:color w:val="000000" w:themeColor="text1"/>
                <w:kern w:val="0"/>
                <w:sz w:val="24"/>
                <w:szCs w:val="24"/>
                <w:lang w:val="en-US" w:eastAsia="zh-CN" w:bidi="ar-SA"/>
                <w14:textFill>
                  <w14:solidFill>
                    <w14:schemeClr w14:val="tx1"/>
                  </w14:solidFill>
                </w14:textFill>
              </w:rPr>
              <w:t>的</w:t>
            </w:r>
            <w:r>
              <w:rPr>
                <w:rFonts w:hint="default" w:ascii="仿宋" w:hAnsi="仿宋" w:eastAsia="仿宋" w:cs="仿宋"/>
                <w:color w:val="auto"/>
                <w:kern w:val="0"/>
                <w:sz w:val="24"/>
                <w:szCs w:val="24"/>
                <w:lang w:val="en-US" w:eastAsia="zh-CN" w:bidi="ar-SA"/>
              </w:rPr>
              <w:t>不得分。</w:t>
            </w:r>
          </w:p>
        </w:tc>
        <w:tc>
          <w:tcPr>
            <w:tcW w:w="750" w:type="dxa"/>
            <w:vAlign w:val="center"/>
          </w:tcPr>
          <w:p w14:paraId="092FEBC6">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70" w:type="dxa"/>
            <w:vAlign w:val="center"/>
          </w:tcPr>
          <w:p w14:paraId="7FADE395">
            <w:pPr>
              <w:spacing w:line="240" w:lineRule="auto"/>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主观分</w:t>
            </w:r>
          </w:p>
        </w:tc>
        <w:tc>
          <w:tcPr>
            <w:tcW w:w="1576" w:type="dxa"/>
            <w:vAlign w:val="center"/>
          </w:tcPr>
          <w:p w14:paraId="1B6D18AC">
            <w:pPr>
              <w:spacing w:line="240" w:lineRule="auto"/>
              <w:jc w:val="center"/>
              <w:rPr>
                <w:rFonts w:hint="eastAsia" w:ascii="仿宋" w:hAnsi="仿宋" w:eastAsia="仿宋" w:cs="仿宋"/>
                <w:color w:val="auto"/>
                <w:kern w:val="0"/>
                <w:sz w:val="24"/>
                <w:szCs w:val="24"/>
                <w:highlight w:val="none"/>
                <w:lang w:val="en-US" w:eastAsia="zh-CN"/>
              </w:rPr>
            </w:pPr>
          </w:p>
        </w:tc>
      </w:tr>
      <w:tr w14:paraId="00A1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79" w:type="dxa"/>
            <w:vAlign w:val="center"/>
          </w:tcPr>
          <w:p w14:paraId="676C99EA">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4400" w:type="dxa"/>
          </w:tcPr>
          <w:p w14:paraId="0611E4F6">
            <w:pPr>
              <w:autoSpaceDE w:val="0"/>
              <w:autoSpaceDN w:val="0"/>
              <w:adjustRightInd w:val="0"/>
              <w:spacing w:line="24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有完善的重大活动保障方案，方案科学合理，具有针对性及可操作性，能圆满完成大型活动、节庆假日、创优评优等重大活动保障任务情况的得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有较为完善的重大活动保障方案，方案较为科学合理，针对性及可操作性较好，能较为圆满完成大型活动、节庆假日、创优评优等重大活动保障任务情况的得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重大活动保障方案一般，针对性及可操作性一般，对大型活动、节庆假日、创优评优等重大活动保障任务保障的可靠性一般得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default" w:ascii="仿宋" w:hAnsi="仿宋" w:eastAsia="仿宋" w:cs="仿宋"/>
                <w:color w:val="auto"/>
                <w:kern w:val="0"/>
                <w:sz w:val="24"/>
                <w:szCs w:val="24"/>
                <w:lang w:val="en-US" w:eastAsia="zh-CN" w:bidi="ar-SA"/>
              </w:rPr>
              <w:t>未提供</w:t>
            </w:r>
            <w:r>
              <w:rPr>
                <w:rFonts w:hint="eastAsia" w:ascii="仿宋" w:hAnsi="仿宋" w:eastAsia="仿宋" w:cs="仿宋"/>
                <w:color w:val="000000" w:themeColor="text1"/>
                <w:kern w:val="0"/>
                <w:sz w:val="24"/>
                <w:szCs w:val="24"/>
                <w:lang w:val="en-US" w:eastAsia="zh-CN" w:bidi="ar-SA"/>
                <w14:textFill>
                  <w14:solidFill>
                    <w14:schemeClr w14:val="tx1"/>
                  </w14:solidFill>
                </w14:textFill>
              </w:rPr>
              <w:t>或者不合理</w:t>
            </w:r>
            <w:r>
              <w:rPr>
                <w:rFonts w:hint="default" w:ascii="仿宋" w:hAnsi="仿宋" w:eastAsia="仿宋" w:cs="仿宋"/>
                <w:color w:val="auto"/>
                <w:kern w:val="0"/>
                <w:sz w:val="24"/>
                <w:szCs w:val="24"/>
                <w:lang w:val="en-US" w:eastAsia="zh-CN" w:bidi="ar-SA"/>
              </w:rPr>
              <w:t>的不得分。</w:t>
            </w:r>
          </w:p>
        </w:tc>
        <w:tc>
          <w:tcPr>
            <w:tcW w:w="750" w:type="dxa"/>
            <w:vAlign w:val="center"/>
          </w:tcPr>
          <w:p w14:paraId="6E3528DA">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70" w:type="dxa"/>
            <w:vAlign w:val="center"/>
          </w:tcPr>
          <w:p w14:paraId="47900C2B">
            <w:pPr>
              <w:spacing w:line="240" w:lineRule="auto"/>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主观分</w:t>
            </w:r>
          </w:p>
        </w:tc>
        <w:tc>
          <w:tcPr>
            <w:tcW w:w="1576" w:type="dxa"/>
            <w:vAlign w:val="center"/>
          </w:tcPr>
          <w:p w14:paraId="1CF853B2">
            <w:pPr>
              <w:spacing w:line="240" w:lineRule="auto"/>
              <w:jc w:val="center"/>
              <w:rPr>
                <w:rFonts w:hint="eastAsia" w:ascii="仿宋" w:hAnsi="仿宋" w:eastAsia="仿宋" w:cs="仿宋"/>
                <w:color w:val="auto"/>
                <w:kern w:val="0"/>
                <w:sz w:val="24"/>
                <w:szCs w:val="24"/>
                <w:highlight w:val="none"/>
                <w:lang w:val="en-US" w:eastAsia="zh-CN"/>
              </w:rPr>
            </w:pPr>
          </w:p>
        </w:tc>
      </w:tr>
      <w:tr w14:paraId="4FDA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79" w:type="dxa"/>
            <w:vAlign w:val="center"/>
          </w:tcPr>
          <w:p w14:paraId="0D3C68B5">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4400" w:type="dxa"/>
          </w:tcPr>
          <w:p w14:paraId="4388DBD3">
            <w:pPr>
              <w:spacing w:line="240" w:lineRule="auto"/>
              <w:jc w:val="both"/>
              <w:rPr>
                <w:rFonts w:hint="eastAsia" w:ascii="仿宋" w:hAnsi="仿宋" w:eastAsia="仿宋" w:cs="仿宋"/>
                <w:color w:val="auto"/>
                <w:kern w:val="0"/>
                <w:sz w:val="24"/>
                <w:szCs w:val="24"/>
                <w:highlight w:val="none"/>
                <w:lang w:val="en-US" w:eastAsia="zh-CN"/>
              </w:rPr>
            </w:pPr>
            <w:bookmarkStart w:id="519" w:name="_GoBack"/>
            <w:r>
              <w:rPr>
                <w:rFonts w:hint="eastAsia" w:ascii="仿宋" w:hAnsi="仿宋" w:eastAsia="仿宋" w:cs="仿宋"/>
                <w:color w:val="auto"/>
                <w:kern w:val="2"/>
                <w:sz w:val="24"/>
                <w:szCs w:val="24"/>
                <w:highlight w:val="none"/>
                <w:lang w:val="en-US" w:eastAsia="zh-CN" w:bidi="ar-SA"/>
              </w:rPr>
              <w:t>投标人提出的优惠条件和承诺情况及其可实现程度。</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投标人提供的方案科学、合理的得6分；较为科学、合理的得4分；方案一般的得2分；</w:t>
            </w:r>
            <w:r>
              <w:rPr>
                <w:rFonts w:hint="default" w:ascii="仿宋" w:hAnsi="仿宋" w:eastAsia="仿宋" w:cs="仿宋"/>
                <w:color w:val="auto"/>
                <w:kern w:val="0"/>
                <w:sz w:val="24"/>
                <w:szCs w:val="24"/>
                <w:lang w:val="en-US" w:eastAsia="zh-CN" w:bidi="ar-SA"/>
              </w:rPr>
              <w:t>未提供</w:t>
            </w:r>
            <w:r>
              <w:rPr>
                <w:rFonts w:hint="eastAsia" w:ascii="仿宋" w:hAnsi="仿宋" w:eastAsia="仿宋" w:cs="仿宋"/>
                <w:color w:val="000000" w:themeColor="text1"/>
                <w:kern w:val="0"/>
                <w:sz w:val="24"/>
                <w:szCs w:val="24"/>
                <w:lang w:val="en-US" w:eastAsia="zh-CN" w:bidi="ar-SA"/>
                <w14:textFill>
                  <w14:solidFill>
                    <w14:schemeClr w14:val="tx1"/>
                  </w14:solidFill>
                </w14:textFill>
              </w:rPr>
              <w:t>或者不合理</w:t>
            </w:r>
            <w:r>
              <w:rPr>
                <w:rFonts w:hint="default" w:ascii="仿宋" w:hAnsi="仿宋" w:eastAsia="仿宋" w:cs="仿宋"/>
                <w:color w:val="auto"/>
                <w:kern w:val="0"/>
                <w:sz w:val="24"/>
                <w:szCs w:val="24"/>
                <w:lang w:val="en-US" w:eastAsia="zh-CN" w:bidi="ar-SA"/>
              </w:rPr>
              <w:t>的不得分。</w:t>
            </w:r>
            <w:bookmarkEnd w:id="519"/>
          </w:p>
        </w:tc>
        <w:tc>
          <w:tcPr>
            <w:tcW w:w="750" w:type="dxa"/>
            <w:vAlign w:val="center"/>
          </w:tcPr>
          <w:p w14:paraId="67FC31BE">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70" w:type="dxa"/>
            <w:vAlign w:val="center"/>
          </w:tcPr>
          <w:p w14:paraId="3D5A162B">
            <w:pPr>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主观分</w:t>
            </w:r>
          </w:p>
        </w:tc>
        <w:tc>
          <w:tcPr>
            <w:tcW w:w="1576" w:type="dxa"/>
            <w:vAlign w:val="center"/>
          </w:tcPr>
          <w:p w14:paraId="798A0E98">
            <w:pPr>
              <w:spacing w:line="240" w:lineRule="auto"/>
              <w:jc w:val="center"/>
              <w:rPr>
                <w:rFonts w:hint="eastAsia" w:ascii="仿宋" w:hAnsi="仿宋" w:eastAsia="仿宋" w:cs="仿宋"/>
                <w:color w:val="auto"/>
                <w:kern w:val="0"/>
                <w:sz w:val="24"/>
                <w:szCs w:val="24"/>
                <w:highlight w:val="none"/>
                <w:lang w:val="en-US" w:eastAsia="zh-CN"/>
              </w:rPr>
            </w:pPr>
          </w:p>
        </w:tc>
      </w:tr>
      <w:tr w14:paraId="736A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79" w:type="dxa"/>
            <w:vAlign w:val="center"/>
          </w:tcPr>
          <w:p w14:paraId="6D3F1042">
            <w:pPr>
              <w:spacing w:line="240" w:lineRule="auto"/>
              <w:jc w:val="center"/>
              <w:rPr>
                <w:rFonts w:hint="eastAsia" w:ascii="仿宋" w:hAnsi="仿宋" w:eastAsia="仿宋" w:cs="仿宋"/>
                <w:color w:val="auto"/>
                <w:kern w:val="0"/>
                <w:sz w:val="24"/>
                <w:szCs w:val="24"/>
                <w:highlight w:val="none"/>
                <w:lang w:val="en-US" w:eastAsia="zh-CN"/>
              </w:rPr>
            </w:pPr>
          </w:p>
        </w:tc>
        <w:tc>
          <w:tcPr>
            <w:tcW w:w="4400" w:type="dxa"/>
            <w:vAlign w:val="top"/>
          </w:tcPr>
          <w:p w14:paraId="22481B5A">
            <w:pPr>
              <w:spacing w:before="0" w:beforeAutospacing="0" w:after="0" w:afterAutospacing="0"/>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］的计算公式计算。</w:t>
            </w:r>
          </w:p>
          <w:p w14:paraId="40A99305">
            <w:pPr>
              <w:spacing w:before="0" w:beforeAutospacing="0" w:after="0" w:afterAutospacing="0"/>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3535CA39">
            <w:pPr>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w:t>
            </w:r>
          </w:p>
        </w:tc>
        <w:tc>
          <w:tcPr>
            <w:tcW w:w="750" w:type="dxa"/>
            <w:vAlign w:val="center"/>
          </w:tcPr>
          <w:p w14:paraId="233149C0">
            <w:pPr>
              <w:spacing w:line="360" w:lineRule="auto"/>
              <w:jc w:val="center"/>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lang w:val="en-US" w:eastAsia="zh-CN"/>
              </w:rPr>
              <w:t>10</w:t>
            </w:r>
          </w:p>
        </w:tc>
        <w:tc>
          <w:tcPr>
            <w:tcW w:w="1270" w:type="dxa"/>
            <w:vAlign w:val="center"/>
          </w:tcPr>
          <w:p w14:paraId="7A167918">
            <w:pPr>
              <w:spacing w:line="240" w:lineRule="auto"/>
              <w:jc w:val="center"/>
              <w:rPr>
                <w:rFonts w:hint="eastAsia" w:ascii="仿宋" w:hAnsi="仿宋" w:eastAsia="仿宋" w:cs="仿宋"/>
                <w:b w:val="0"/>
                <w:bCs/>
                <w:color w:val="auto"/>
                <w:sz w:val="24"/>
                <w:szCs w:val="24"/>
                <w:highlight w:val="none"/>
                <w:lang w:val="en-US" w:eastAsia="zh-CN"/>
              </w:rPr>
            </w:pPr>
          </w:p>
        </w:tc>
        <w:tc>
          <w:tcPr>
            <w:tcW w:w="1576" w:type="dxa"/>
            <w:vAlign w:val="center"/>
          </w:tcPr>
          <w:p w14:paraId="2AC2ABF6">
            <w:pPr>
              <w:spacing w:line="240" w:lineRule="auto"/>
              <w:jc w:val="center"/>
              <w:rPr>
                <w:rFonts w:hint="eastAsia" w:ascii="仿宋" w:hAnsi="仿宋" w:eastAsia="仿宋" w:cs="仿宋"/>
                <w:color w:val="auto"/>
                <w:kern w:val="0"/>
                <w:sz w:val="24"/>
                <w:szCs w:val="24"/>
                <w:highlight w:val="none"/>
                <w:lang w:val="en-US" w:eastAsia="zh-CN"/>
              </w:rPr>
            </w:pPr>
          </w:p>
        </w:tc>
      </w:tr>
    </w:tbl>
    <w:p w14:paraId="0A675F7E">
      <w:pPr>
        <w:rPr>
          <w:rFonts w:hint="eastAsia" w:ascii="仿宋" w:hAnsi="仿宋" w:eastAsia="仿宋" w:cs="仿宋"/>
          <w:color w:val="auto"/>
          <w:highlight w:val="none"/>
        </w:rPr>
      </w:pPr>
    </w:p>
    <w:p w14:paraId="23D0A707">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4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4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3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3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3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32"/>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3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32"/>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3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3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3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3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3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3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3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3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32"/>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3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2"/>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5"/>
        <w:spacing w:before="120" w:line="22" w:lineRule="atLeast"/>
        <w:rPr>
          <w:rFonts w:ascii="宋体" w:hAnsi="宋体" w:eastAsia="宋体" w:cs="宋体"/>
          <w:color w:val="auto"/>
          <w:szCs w:val="24"/>
          <w:highlight w:val="none"/>
        </w:rPr>
      </w:pPr>
    </w:p>
    <w:p w14:paraId="5912128F">
      <w:pPr>
        <w:pStyle w:val="605"/>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杭州市临平区塘栖镇人民政府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塘栖镇2025年“环保管家”服务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发出之日起10个工作日内，按照采购文件确定的事项签订本合同。合同签订依据为相关法律法规文件、招标文件、乙方投标文件等，合同条款有与前者冲突的，以前者为准</w:t>
      </w:r>
      <w:r>
        <w:rPr>
          <w:rFonts w:hint="eastAsia" w:ascii="宋体" w:hAnsi="宋体"/>
          <w:color w:val="auto"/>
          <w:sz w:val="24"/>
          <w:highlight w:val="none"/>
          <w:lang w:eastAsia="zh-CN"/>
        </w:rPr>
        <w:t>。</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杭州市临平区塘栖镇人民政府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8855"/>
      <w:bookmarkStart w:id="396" w:name="_Toc15367"/>
      <w:bookmarkStart w:id="397" w:name="_Toc22967"/>
      <w:bookmarkStart w:id="398" w:name="_Toc19273"/>
      <w:bookmarkStart w:id="399"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6311"/>
      <w:bookmarkStart w:id="401" w:name="_Toc18585"/>
      <w:bookmarkStart w:id="402" w:name="_Toc22185"/>
      <w:bookmarkStart w:id="403" w:name="_Toc6773"/>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3"/>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21124"/>
      <w:bookmarkStart w:id="406" w:name="_Toc13918"/>
      <w:bookmarkStart w:id="407" w:name="_Toc4929"/>
      <w:bookmarkStart w:id="408" w:name="_Toc1386"/>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9"/>
              <w:spacing w:line="560" w:lineRule="exact"/>
              <w:ind w:firstLine="200"/>
              <w:jc w:val="center"/>
              <w:rPr>
                <w:rFonts w:hAnsi="宋体"/>
                <w:color w:val="auto"/>
                <w:sz w:val="24"/>
                <w:szCs w:val="24"/>
                <w:highlight w:val="none"/>
              </w:rPr>
            </w:pPr>
          </w:p>
        </w:tc>
        <w:tc>
          <w:tcPr>
            <w:tcW w:w="3402" w:type="dxa"/>
            <w:vAlign w:val="center"/>
          </w:tcPr>
          <w:p w14:paraId="66BDB431">
            <w:pPr>
              <w:pStyle w:val="329"/>
              <w:spacing w:line="560" w:lineRule="exact"/>
              <w:ind w:firstLine="200"/>
              <w:jc w:val="center"/>
              <w:rPr>
                <w:rFonts w:hAnsi="宋体"/>
                <w:color w:val="auto"/>
                <w:sz w:val="24"/>
                <w:szCs w:val="24"/>
                <w:highlight w:val="none"/>
              </w:rPr>
            </w:pPr>
          </w:p>
        </w:tc>
        <w:tc>
          <w:tcPr>
            <w:tcW w:w="2552" w:type="dxa"/>
            <w:vAlign w:val="center"/>
          </w:tcPr>
          <w:p w14:paraId="0EC443E3">
            <w:pPr>
              <w:pStyle w:val="329"/>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9"/>
              <w:spacing w:line="560" w:lineRule="exact"/>
              <w:ind w:firstLine="200"/>
              <w:jc w:val="center"/>
              <w:rPr>
                <w:rFonts w:hAnsi="宋体"/>
                <w:color w:val="auto"/>
                <w:sz w:val="24"/>
                <w:szCs w:val="24"/>
                <w:highlight w:val="none"/>
              </w:rPr>
            </w:pPr>
          </w:p>
        </w:tc>
        <w:tc>
          <w:tcPr>
            <w:tcW w:w="3402" w:type="dxa"/>
            <w:vAlign w:val="center"/>
          </w:tcPr>
          <w:p w14:paraId="26CA5BD6">
            <w:pPr>
              <w:pStyle w:val="329"/>
              <w:spacing w:line="560" w:lineRule="exact"/>
              <w:ind w:firstLine="200"/>
              <w:jc w:val="center"/>
              <w:rPr>
                <w:rFonts w:hAnsi="宋体"/>
                <w:color w:val="auto"/>
                <w:sz w:val="24"/>
                <w:szCs w:val="24"/>
                <w:highlight w:val="none"/>
              </w:rPr>
            </w:pPr>
          </w:p>
        </w:tc>
        <w:tc>
          <w:tcPr>
            <w:tcW w:w="2552" w:type="dxa"/>
            <w:vAlign w:val="center"/>
          </w:tcPr>
          <w:p w14:paraId="0258EB1E">
            <w:pPr>
              <w:pStyle w:val="329"/>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9"/>
              <w:spacing w:line="560" w:lineRule="exact"/>
              <w:ind w:firstLine="200"/>
              <w:jc w:val="center"/>
              <w:rPr>
                <w:rFonts w:hAnsi="宋体"/>
                <w:color w:val="auto"/>
                <w:sz w:val="24"/>
                <w:szCs w:val="24"/>
                <w:highlight w:val="none"/>
              </w:rPr>
            </w:pPr>
          </w:p>
        </w:tc>
        <w:tc>
          <w:tcPr>
            <w:tcW w:w="3402" w:type="dxa"/>
            <w:vAlign w:val="center"/>
          </w:tcPr>
          <w:p w14:paraId="637D5711">
            <w:pPr>
              <w:pStyle w:val="329"/>
              <w:spacing w:line="560" w:lineRule="exact"/>
              <w:ind w:firstLine="200"/>
              <w:jc w:val="center"/>
              <w:rPr>
                <w:rFonts w:hAnsi="宋体"/>
                <w:color w:val="auto"/>
                <w:sz w:val="24"/>
                <w:szCs w:val="24"/>
                <w:highlight w:val="none"/>
              </w:rPr>
            </w:pPr>
          </w:p>
        </w:tc>
        <w:tc>
          <w:tcPr>
            <w:tcW w:w="2552" w:type="dxa"/>
            <w:vAlign w:val="center"/>
          </w:tcPr>
          <w:p w14:paraId="42D0E712">
            <w:pPr>
              <w:pStyle w:val="329"/>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9"/>
              <w:spacing w:line="560" w:lineRule="exact"/>
              <w:ind w:firstLine="200"/>
              <w:jc w:val="center"/>
              <w:rPr>
                <w:rFonts w:hAnsi="宋体"/>
                <w:color w:val="auto"/>
                <w:sz w:val="24"/>
                <w:szCs w:val="24"/>
                <w:highlight w:val="none"/>
              </w:rPr>
            </w:pPr>
          </w:p>
        </w:tc>
        <w:tc>
          <w:tcPr>
            <w:tcW w:w="3402" w:type="dxa"/>
            <w:vAlign w:val="center"/>
          </w:tcPr>
          <w:p w14:paraId="14D192BB">
            <w:pPr>
              <w:pStyle w:val="329"/>
              <w:spacing w:line="560" w:lineRule="exact"/>
              <w:ind w:firstLine="200"/>
              <w:jc w:val="center"/>
              <w:rPr>
                <w:rFonts w:hAnsi="宋体"/>
                <w:color w:val="auto"/>
                <w:sz w:val="24"/>
                <w:szCs w:val="24"/>
                <w:highlight w:val="none"/>
              </w:rPr>
            </w:pPr>
          </w:p>
        </w:tc>
        <w:tc>
          <w:tcPr>
            <w:tcW w:w="2552" w:type="dxa"/>
            <w:vAlign w:val="center"/>
          </w:tcPr>
          <w:p w14:paraId="0E5769EB">
            <w:pPr>
              <w:pStyle w:val="329"/>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9"/>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3654"/>
      <w:bookmarkStart w:id="411" w:name="_Toc14993"/>
      <w:bookmarkStart w:id="412" w:name="_Toc30506"/>
      <w:bookmarkStart w:id="413" w:name="_Toc26916"/>
      <w:bookmarkStart w:id="414"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3"/>
        <w:spacing w:before="0" w:beforeAutospacing="0" w:after="0" w:afterAutospacing="0" w:line="360" w:lineRule="auto"/>
        <w:ind w:firstLine="480"/>
        <w:rPr>
          <w:b/>
          <w:color w:val="auto"/>
          <w:highlight w:val="none"/>
        </w:rPr>
      </w:pPr>
      <w:bookmarkStart w:id="415" w:name="_Toc1814"/>
      <w:bookmarkStart w:id="416" w:name="_Toc10340"/>
      <w:bookmarkStart w:id="417" w:name="_Toc22618"/>
      <w:bookmarkStart w:id="418" w:name="_Toc31421"/>
      <w:bookmarkStart w:id="419" w:name="_Toc8772"/>
      <w:bookmarkStart w:id="420" w:name="_Toc3625"/>
      <w:bookmarkStart w:id="421" w:name="_Toc11108"/>
      <w:bookmarkStart w:id="422" w:name="_Toc4760"/>
      <w:r>
        <w:rPr>
          <w:rFonts w:hint="eastAsia"/>
          <w:b/>
          <w:color w:val="auto"/>
          <w:highlight w:val="none"/>
        </w:rPr>
        <w:t>1.4履约保证金</w:t>
      </w:r>
    </w:p>
    <w:p w14:paraId="74D47AFB">
      <w:pPr>
        <w:pStyle w:val="963"/>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3"/>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3"/>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3"/>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3"/>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3"/>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FAE8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napToGrid w:val="0"/>
          <w:color w:val="auto"/>
          <w:kern w:val="28"/>
          <w:sz w:val="24"/>
          <w:szCs w:val="32"/>
          <w:highlight w:val="none"/>
          <w:lang w:val="zh-CN" w:eastAsia="zh-CN" w:bidi="ar-SA"/>
        </w:rPr>
      </w:pPr>
      <w:r>
        <w:rPr>
          <w:rFonts w:hint="eastAsia" w:ascii="宋体" w:hAnsi="宋体" w:eastAsia="宋体" w:cs="宋体"/>
          <w:b w:val="0"/>
          <w:bCs w:val="0"/>
          <w:snapToGrid w:val="0"/>
          <w:color w:val="auto"/>
          <w:kern w:val="28"/>
          <w:sz w:val="24"/>
          <w:szCs w:val="32"/>
          <w:highlight w:val="none"/>
          <w:lang w:val="zh-CN" w:eastAsia="zh-CN" w:bidi="ar-SA"/>
        </w:rPr>
        <w:t>货物/服务费用阶段支付比例:最终经塘栖镇根据政府采购法等相关规定审核通过的合同相应条款为准。</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8586"/>
      <w:bookmarkStart w:id="424" w:name="_Toc3079"/>
      <w:bookmarkStart w:id="425" w:name="_Toc24662"/>
      <w:bookmarkStart w:id="426" w:name="_Toc5698"/>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26807"/>
      <w:bookmarkStart w:id="429" w:name="_Toc18683"/>
      <w:bookmarkStart w:id="430" w:name="_Toc9497"/>
      <w:bookmarkStart w:id="431" w:name="_Toc30329"/>
      <w:bookmarkStart w:id="432"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6021"/>
      <w:bookmarkStart w:id="434" w:name="_Toc28375"/>
      <w:bookmarkStart w:id="435" w:name="_Toc15583"/>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11173"/>
      <w:bookmarkStart w:id="437" w:name="_Toc15322"/>
      <w:bookmarkStart w:id="438" w:name="_Toc7245"/>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34"/>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14021"/>
      <w:bookmarkStart w:id="440" w:name="_Toc31297"/>
      <w:bookmarkStart w:id="441" w:name="_Toc19680"/>
      <w:bookmarkStart w:id="442" w:name="_Toc5228"/>
      <w:bookmarkStart w:id="443" w:name="_Toc25079"/>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23289"/>
      <w:bookmarkStart w:id="445" w:name="_Toc16752"/>
      <w:bookmarkStart w:id="446" w:name="_Toc3769"/>
      <w:bookmarkStart w:id="447" w:name="_Toc19539"/>
      <w:bookmarkStart w:id="448" w:name="_Toc31402"/>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9161"/>
      <w:bookmarkStart w:id="450" w:name="_Toc13673"/>
      <w:bookmarkStart w:id="451" w:name="_Toc27945"/>
      <w:bookmarkStart w:id="452" w:name="_Toc4133"/>
      <w:bookmarkStart w:id="453" w:name="_Toc12412"/>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26555"/>
      <w:bookmarkStart w:id="455" w:name="_Toc22011"/>
      <w:bookmarkStart w:id="456" w:name="_Toc31233"/>
      <w:bookmarkStart w:id="457" w:name="_Toc15447"/>
      <w:bookmarkStart w:id="458" w:name="_Toc32670"/>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3154"/>
      <w:bookmarkStart w:id="460" w:name="_Toc30507"/>
      <w:bookmarkStart w:id="461" w:name="_Toc16163"/>
      <w:bookmarkStart w:id="462" w:name="_Toc13467"/>
      <w:bookmarkStart w:id="463" w:name="_Toc18990"/>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3368"/>
      <w:bookmarkStart w:id="468" w:name="_Toc26689"/>
      <w:bookmarkStart w:id="469" w:name="_Toc10663"/>
      <w:bookmarkStart w:id="470" w:name="_Toc42"/>
      <w:bookmarkStart w:id="471" w:name="_Toc21830"/>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26633"/>
      <w:bookmarkStart w:id="473" w:name="_Toc32494"/>
      <w:bookmarkStart w:id="474" w:name="_Toc4720"/>
      <w:bookmarkStart w:id="475" w:name="_Toc14371"/>
      <w:bookmarkStart w:id="476" w:name="_Toc25571"/>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4465"/>
      <w:bookmarkStart w:id="478" w:name="_Toc25783"/>
      <w:bookmarkStart w:id="479" w:name="_Toc3638"/>
      <w:bookmarkStart w:id="480" w:name="_Toc23854"/>
      <w:bookmarkStart w:id="481" w:name="_Toc14115"/>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14814"/>
      <w:bookmarkStart w:id="483" w:name="_Toc25525"/>
      <w:bookmarkStart w:id="484" w:name="_Toc7315"/>
      <w:bookmarkStart w:id="485" w:name="_Toc26883"/>
      <w:bookmarkStart w:id="486" w:name="_Toc30105"/>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1123"/>
      <w:bookmarkStart w:id="488" w:name="_Toc2016"/>
      <w:bookmarkStart w:id="489" w:name="_Toc23323"/>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31892"/>
      <w:bookmarkStart w:id="494" w:name="_Toc2308"/>
      <w:bookmarkStart w:id="495" w:name="_Toc9808"/>
      <w:bookmarkStart w:id="496" w:name="_Toc25198"/>
      <w:bookmarkStart w:id="497" w:name="_Toc12666"/>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7644"/>
      <w:bookmarkStart w:id="501" w:name="_Toc12254"/>
      <w:bookmarkStart w:id="502" w:name="_Toc5063"/>
      <w:bookmarkStart w:id="503" w:name="_Toc28906"/>
      <w:bookmarkStart w:id="504"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18540"/>
      <w:bookmarkStart w:id="506" w:name="_Toc4355"/>
      <w:bookmarkStart w:id="507" w:name="_Toc30599"/>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杭州市临平区塘栖镇人民政府 </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塘栖镇2025年“环保管家”服务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SYCG-2025013</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杭州市临平区塘栖镇人民政府 </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塘栖镇2025年“环保管家”服务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SYCG-2025013</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1B2359E">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C70AA0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2D8AE6C">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2.3.2 报价情况说明（如果有）</w:t>
      </w:r>
    </w:p>
    <w:p w14:paraId="23CEE79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杭州市临平区塘栖镇人民政府 </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塘栖镇2025年“环保管家”服务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杭州市临平区塘栖镇人民政府 </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塘栖镇2025年“环保管家”服务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7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07766F4D">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7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7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7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杭州市临平区塘栖镇人民政府 </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61845324">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718664FD">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09508658">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3E498D5D">
      <w:pPr>
        <w:pStyle w:val="90"/>
        <w:rPr>
          <w:rFonts w:hint="eastAsia"/>
          <w:color w:val="auto"/>
          <w:highlight w:val="none"/>
        </w:rPr>
      </w:pPr>
    </w:p>
    <w:p w14:paraId="4DA9F2CD">
      <w:pPr>
        <w:pStyle w:val="9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杭州市临平区塘栖镇人民政府 </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塘栖镇2025年“环保管家”服务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SYCG-2025013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6EE0761">
      <w:pPr>
        <w:pStyle w:val="699"/>
        <w:keepNext w:val="0"/>
        <w:pageBreakBefore/>
        <w:numPr>
          <w:ilvl w:val="0"/>
          <w:numId w:val="4"/>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4C25CE6D">
      <w:pPr>
        <w:pStyle w:val="2"/>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0C0C8AC6">
      <w:pPr>
        <w:pStyle w:val="6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1EBACEF7">
      <w:pPr>
        <w:pStyle w:val="699"/>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7EC9A1CC">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35A1103">
      <w:pPr>
        <w:pStyle w:val="90"/>
        <w:rPr>
          <w:rFonts w:hint="eastAsia" w:ascii="宋体" w:hAnsi="宋体" w:cs="宋体"/>
          <w:b/>
          <w:color w:val="auto"/>
          <w:sz w:val="24"/>
        </w:rPr>
      </w:pPr>
    </w:p>
    <w:p w14:paraId="199457A2">
      <w:pPr>
        <w:pStyle w:val="90"/>
        <w:rPr>
          <w:rFonts w:hint="eastAsia" w:ascii="宋体" w:hAnsi="宋体" w:cs="宋体"/>
          <w:b/>
          <w:color w:val="auto"/>
          <w:sz w:val="24"/>
          <w:highlight w:val="none"/>
        </w:rPr>
      </w:pPr>
    </w:p>
    <w:p w14:paraId="4AF87534">
      <w:pPr>
        <w:pStyle w:val="699"/>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塘栖镇2025年“环保管家”服务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 xml:space="preserve">杭州市临平区塘栖镇人民政府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杭州溯远工程咨询有限公司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塘栖镇2025年“环保管家”服务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塘栖镇2025年“环保管家”服务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塘栖镇2025年“环保管家”服务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 xml:space="preserve">杭州市临平区塘栖镇人民政府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塘栖镇2025年“环保管家”服务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
    <w:altName w:val="Times New Roman"/>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5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5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50"/>
      <w:framePr w:wrap="around" w:vAnchor="text" w:hAnchor="margin" w:xAlign="right" w:y="1"/>
      <w:rPr>
        <w:rStyle w:val="82"/>
      </w:rPr>
    </w:pPr>
    <w:r>
      <w:fldChar w:fldCharType="begin"/>
    </w:r>
    <w:r>
      <w:rPr>
        <w:rStyle w:val="82"/>
      </w:rPr>
      <w:instrText xml:space="preserve">PAGE  </w:instrText>
    </w:r>
    <w:r>
      <w:fldChar w:fldCharType="end"/>
    </w:r>
  </w:p>
  <w:p w14:paraId="65FC6C0A">
    <w:pPr>
      <w:pStyle w:val="5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5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91899912"/>
    <w:bookmarkStart w:id="517" w:name="_Toc36110187"/>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50"/>
      <w:framePr w:wrap="around" w:vAnchor="text" w:hAnchor="margin" w:xAlign="right" w:y="1"/>
      <w:rPr>
        <w:rStyle w:val="82"/>
      </w:rPr>
    </w:pPr>
    <w:r>
      <w:fldChar w:fldCharType="begin"/>
    </w:r>
    <w:r>
      <w:rPr>
        <w:rStyle w:val="82"/>
      </w:rPr>
      <w:instrText xml:space="preserve">PAGE  </w:instrText>
    </w:r>
    <w:r>
      <w:fldChar w:fldCharType="end"/>
    </w:r>
  </w:p>
  <w:p w14:paraId="5E0900AF">
    <w:pPr>
      <w:pStyle w:val="5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5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5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5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5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5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5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5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51"/>
      <w:pBdr>
        <w:bottom w:val="single" w:color="auto" w:sz="6" w:space="4"/>
      </w:pBdr>
      <w:jc w:val="right"/>
    </w:pPr>
    <w:r>
      <w:t></w:t>
    </w:r>
    <w:r>
      <w:rPr>
        <w:rFonts w:hint="eastAsia"/>
      </w:rPr>
      <w:t xml:space="preserve">             </w:t>
    </w:r>
    <w:r>
      <w:t>杭州市政府采购公开招标文件</w:t>
    </w:r>
  </w:p>
  <w:p w14:paraId="5E97806E">
    <w:pPr>
      <w:pStyle w:val="6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5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5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5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51"/>
    </w:pPr>
    <w:r>
      <w:t></w:t>
    </w:r>
    <w:r>
      <w:rPr>
        <w:rFonts w:hint="eastAsia"/>
      </w:rPr>
      <w:t xml:space="preserve">         </w:t>
    </w:r>
  </w:p>
  <w:p w14:paraId="6F97612A">
    <w:pPr>
      <w:pStyle w:val="5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5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5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5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5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5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B3926"/>
    <w:multiLevelType w:val="multilevel"/>
    <w:tmpl w:val="046B3926"/>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43E43B68"/>
    <w:multiLevelType w:val="multilevel"/>
    <w:tmpl w:val="43E43B68"/>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110D3"/>
    <w:rsid w:val="05A16594"/>
    <w:rsid w:val="05A7762D"/>
    <w:rsid w:val="060E5941"/>
    <w:rsid w:val="06110FAF"/>
    <w:rsid w:val="06493CA7"/>
    <w:rsid w:val="065A6178"/>
    <w:rsid w:val="066F1CF3"/>
    <w:rsid w:val="0683481D"/>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84C53"/>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5F11953"/>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DB15DB"/>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E108E"/>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C4D2E"/>
    <w:rsid w:val="258B00E2"/>
    <w:rsid w:val="25A917A6"/>
    <w:rsid w:val="25BE27CC"/>
    <w:rsid w:val="25F74A5C"/>
    <w:rsid w:val="2628662C"/>
    <w:rsid w:val="262D45DE"/>
    <w:rsid w:val="26755AB4"/>
    <w:rsid w:val="26871DC8"/>
    <w:rsid w:val="26A53EF9"/>
    <w:rsid w:val="26A94201"/>
    <w:rsid w:val="26AC274F"/>
    <w:rsid w:val="27044A29"/>
    <w:rsid w:val="271D34C8"/>
    <w:rsid w:val="276142BF"/>
    <w:rsid w:val="27783712"/>
    <w:rsid w:val="27907362"/>
    <w:rsid w:val="27D07C46"/>
    <w:rsid w:val="28333E1D"/>
    <w:rsid w:val="28454BD6"/>
    <w:rsid w:val="28455253"/>
    <w:rsid w:val="28551971"/>
    <w:rsid w:val="285B1C53"/>
    <w:rsid w:val="289F7086"/>
    <w:rsid w:val="28C32028"/>
    <w:rsid w:val="28CC490F"/>
    <w:rsid w:val="28DE40AA"/>
    <w:rsid w:val="290B548C"/>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D5507E"/>
    <w:rsid w:val="2DF72DE4"/>
    <w:rsid w:val="2E0220AF"/>
    <w:rsid w:val="2E4B082A"/>
    <w:rsid w:val="2E5D4E86"/>
    <w:rsid w:val="2E5D790B"/>
    <w:rsid w:val="2E9A3C18"/>
    <w:rsid w:val="2EBB0FEE"/>
    <w:rsid w:val="2EC63002"/>
    <w:rsid w:val="2F0A6B38"/>
    <w:rsid w:val="2F530EBA"/>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103386"/>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9A6EEF"/>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1F47E4"/>
    <w:rsid w:val="4C245A30"/>
    <w:rsid w:val="4CB6685F"/>
    <w:rsid w:val="4CC367FE"/>
    <w:rsid w:val="4D077CAA"/>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E01D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3449A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837C1"/>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1E3440"/>
    <w:rsid w:val="653C3090"/>
    <w:rsid w:val="65854376"/>
    <w:rsid w:val="658767BE"/>
    <w:rsid w:val="65892531"/>
    <w:rsid w:val="66195831"/>
    <w:rsid w:val="662E75B1"/>
    <w:rsid w:val="66342C2E"/>
    <w:rsid w:val="663E784C"/>
    <w:rsid w:val="664F0A07"/>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C7421"/>
    <w:rsid w:val="699679B6"/>
    <w:rsid w:val="69A33D57"/>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13FB0"/>
    <w:rsid w:val="6DF43C2E"/>
    <w:rsid w:val="6DF51CA3"/>
    <w:rsid w:val="6E8335BD"/>
    <w:rsid w:val="6E8E12EF"/>
    <w:rsid w:val="6E972936"/>
    <w:rsid w:val="6ED446C5"/>
    <w:rsid w:val="6F2A7D94"/>
    <w:rsid w:val="6F8331F1"/>
    <w:rsid w:val="6FAE1A09"/>
    <w:rsid w:val="6FD75BF8"/>
    <w:rsid w:val="703715FB"/>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AD53A9"/>
    <w:rsid w:val="73C0646E"/>
    <w:rsid w:val="73E7CF11"/>
    <w:rsid w:val="742222F5"/>
    <w:rsid w:val="74476126"/>
    <w:rsid w:val="74706664"/>
    <w:rsid w:val="747F3682"/>
    <w:rsid w:val="74894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4687E"/>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9">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12"/>
    <w:qFormat/>
    <w:uiPriority w:val="0"/>
    <w:pPr>
      <w:shd w:val="clear" w:color="auto" w:fill="000080"/>
    </w:pPr>
  </w:style>
  <w:style w:type="paragraph" w:styleId="19">
    <w:name w:val="annotation text"/>
    <w:basedOn w:val="1"/>
    <w:next w:val="20"/>
    <w:link w:val="353"/>
    <w:qFormat/>
    <w:uiPriority w:val="99"/>
    <w:pPr>
      <w:jc w:val="left"/>
    </w:pPr>
  </w:style>
  <w:style w:type="paragraph" w:customStyle="1" w:styleId="20">
    <w:name w:val="样式6"/>
    <w:basedOn w:val="21"/>
    <w:next w:val="22"/>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135"/>
    <w:qFormat/>
    <w:uiPriority w:val="0"/>
    <w:rPr>
      <w:rFonts w:ascii="宋体" w:hAnsi="Courier New" w:cs="Arial"/>
      <w:snapToGrid w:val="0"/>
      <w:szCs w:val="21"/>
    </w:rPr>
  </w:style>
  <w:style w:type="paragraph" w:styleId="22">
    <w:name w:val="Body Text 2"/>
    <w:basedOn w:val="1"/>
    <w:next w:val="23"/>
    <w:link w:val="311"/>
    <w:qFormat/>
    <w:uiPriority w:val="0"/>
    <w:pPr>
      <w:spacing w:after="120" w:line="480" w:lineRule="auto"/>
    </w:pPr>
  </w:style>
  <w:style w:type="paragraph" w:customStyle="1" w:styleId="23">
    <w:name w:val="默认段落字体 Para Char"/>
    <w:basedOn w:val="1"/>
    <w:next w:val="24"/>
    <w:qFormat/>
    <w:uiPriority w:val="0"/>
    <w:rPr>
      <w:rFonts w:ascii="Tahoma" w:hAnsi="Tahoma"/>
      <w:sz w:val="24"/>
      <w:szCs w:val="20"/>
    </w:rPr>
  </w:style>
  <w:style w:type="paragraph" w:customStyle="1" w:styleId="24">
    <w:name w:val=" Char Char Char Char Char Char Char Char Char Char Char Char Char Char Char Char"/>
    <w:basedOn w:val="1"/>
    <w:next w:val="25"/>
    <w:qFormat/>
    <w:uiPriority w:val="0"/>
    <w:pPr>
      <w:widowControl w:val="0"/>
      <w:spacing w:before="0" w:after="0" w:line="240" w:lineRule="auto"/>
      <w:ind w:left="0" w:firstLine="3584"/>
      <w:jc w:val="both"/>
    </w:pPr>
  </w:style>
  <w:style w:type="paragraph" w:styleId="25">
    <w:name w:val="List Paragraph"/>
    <w:basedOn w:val="1"/>
    <w:next w:val="26"/>
    <w:qFormat/>
    <w:uiPriority w:val="34"/>
    <w:pPr>
      <w:spacing w:line="360" w:lineRule="auto"/>
      <w:ind w:firstLine="200" w:firstLineChars="200"/>
    </w:pPr>
    <w:rPr>
      <w:rFonts w:eastAsia="楷体_GB2312" w:cs="Lucida Sans"/>
      <w:sz w:val="24"/>
    </w:rPr>
  </w:style>
  <w:style w:type="paragraph" w:customStyle="1" w:styleId="26">
    <w:name w:val="Char"/>
    <w:basedOn w:val="1"/>
    <w:next w:val="27"/>
    <w:qFormat/>
    <w:uiPriority w:val="0"/>
    <w:rPr>
      <w:rFonts w:ascii="仿宋_GB2312" w:eastAsia="仿宋_GB2312"/>
      <w:b/>
      <w:sz w:val="32"/>
      <w:szCs w:val="32"/>
    </w:rPr>
  </w:style>
  <w:style w:type="paragraph" w:customStyle="1" w:styleId="27">
    <w:name w:val="p0"/>
    <w:basedOn w:val="1"/>
    <w:qFormat/>
    <w:uiPriority w:val="0"/>
    <w:pPr>
      <w:widowControl/>
      <w:adjustRightInd/>
    </w:pPr>
    <w:rPr>
      <w:kern w:val="0"/>
      <w:szCs w:val="21"/>
    </w:rPr>
  </w:style>
  <w:style w:type="paragraph" w:styleId="28">
    <w:name w:val="Salutation"/>
    <w:basedOn w:val="1"/>
    <w:next w:val="1"/>
    <w:link w:val="307"/>
    <w:qFormat/>
    <w:uiPriority w:val="0"/>
    <w:rPr>
      <w:rFonts w:ascii="仿宋_GB2312" w:eastAsia="仿宋_GB2312"/>
      <w:sz w:val="28"/>
      <w:szCs w:val="20"/>
    </w:rPr>
  </w:style>
  <w:style w:type="paragraph" w:styleId="29">
    <w:name w:val="Body Text 3"/>
    <w:basedOn w:val="1"/>
    <w:link w:val="339"/>
    <w:qFormat/>
    <w:uiPriority w:val="0"/>
    <w:pPr>
      <w:jc w:val="center"/>
    </w:pPr>
    <w:rPr>
      <w:szCs w:val="20"/>
    </w:rPr>
  </w:style>
  <w:style w:type="paragraph" w:styleId="30">
    <w:name w:val="List Bullet 3"/>
    <w:basedOn w:val="1"/>
    <w:unhideWhenUsed/>
    <w:qFormat/>
    <w:uiPriority w:val="0"/>
    <w:pPr>
      <w:snapToGrid w:val="0"/>
      <w:spacing w:line="360" w:lineRule="auto"/>
      <w:ind w:left="360" w:right="238" w:hanging="360"/>
      <w:contextualSpacing/>
    </w:pPr>
    <w:rPr>
      <w:sz w:val="24"/>
    </w:rPr>
  </w:style>
  <w:style w:type="paragraph" w:styleId="31">
    <w:name w:val="Body Text"/>
    <w:basedOn w:val="1"/>
    <w:next w:val="1"/>
    <w:link w:val="439"/>
    <w:qFormat/>
    <w:uiPriority w:val="0"/>
    <w:pPr>
      <w:autoSpaceDE w:val="0"/>
      <w:autoSpaceDN w:val="0"/>
      <w:spacing w:line="360" w:lineRule="auto"/>
    </w:pPr>
    <w:rPr>
      <w:rFonts w:ascii="宋体" w:hAnsi="Arial" w:cs="Arial"/>
      <w:snapToGrid w:val="0"/>
      <w:sz w:val="24"/>
      <w:szCs w:val="21"/>
      <w:lang w:val="zh-CN"/>
    </w:rPr>
  </w:style>
  <w:style w:type="paragraph" w:styleId="32">
    <w:name w:val="Body Text Indent"/>
    <w:basedOn w:val="1"/>
    <w:next w:val="33"/>
    <w:link w:val="274"/>
    <w:qFormat/>
    <w:uiPriority w:val="0"/>
    <w:pPr>
      <w:spacing w:line="480" w:lineRule="exact"/>
      <w:ind w:firstLine="480" w:firstLineChars="200"/>
    </w:pPr>
    <w:rPr>
      <w:rFonts w:ascii="宋体" w:hAnsi="宋体"/>
      <w:sz w:val="24"/>
    </w:rPr>
  </w:style>
  <w:style w:type="paragraph" w:customStyle="1" w:styleId="33">
    <w:name w:val="正文文本首行缩进 2"/>
    <w:basedOn w:val="34"/>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34">
    <w:name w:val="正文缩进1"/>
    <w:basedOn w:val="35"/>
    <w:next w:val="3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5">
    <w:name w:val="正文1"/>
    <w:basedOn w:val="36"/>
    <w:next w:val="3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7">
    <w:name w:val="标题 21"/>
    <w:basedOn w:val="35"/>
    <w:next w:val="35"/>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3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9">
    <w:name w:val="List 2"/>
    <w:basedOn w:val="1"/>
    <w:qFormat/>
    <w:uiPriority w:val="0"/>
    <w:pPr>
      <w:adjustRightInd/>
      <w:spacing w:line="360" w:lineRule="auto"/>
      <w:ind w:left="100" w:leftChars="200" w:hanging="200" w:hangingChars="200"/>
    </w:pPr>
    <w:rPr>
      <w:rFonts w:eastAsia="微软雅黑"/>
    </w:rPr>
  </w:style>
  <w:style w:type="paragraph" w:styleId="4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41">
    <w:name w:val="List Bullet 2"/>
    <w:basedOn w:val="1"/>
    <w:qFormat/>
    <w:uiPriority w:val="0"/>
    <w:pPr>
      <w:autoSpaceDE w:val="0"/>
      <w:autoSpaceDN w:val="0"/>
      <w:ind w:left="420"/>
      <w:jc w:val="left"/>
    </w:pPr>
    <w:rPr>
      <w:rFonts w:ascii="宋体" w:hAnsi="宋体"/>
      <w:color w:val="000000"/>
      <w:kern w:val="0"/>
      <w:sz w:val="24"/>
      <w:szCs w:val="20"/>
    </w:rPr>
  </w:style>
  <w:style w:type="paragraph" w:styleId="42">
    <w:name w:val="HTML Address"/>
    <w:basedOn w:val="1"/>
    <w:link w:val="229"/>
    <w:qFormat/>
    <w:uiPriority w:val="0"/>
    <w:pPr>
      <w:widowControl/>
      <w:adjustRightInd/>
      <w:ind w:firstLine="200" w:firstLineChars="200"/>
      <w:jc w:val="left"/>
    </w:pPr>
    <w:rPr>
      <w:rFonts w:ascii="宋体" w:hAnsi="宋体"/>
      <w:i/>
      <w:iCs/>
      <w:kern w:val="0"/>
      <w:sz w:val="24"/>
    </w:rPr>
  </w:style>
  <w:style w:type="paragraph" w:styleId="43">
    <w:name w:val="toc 5"/>
    <w:basedOn w:val="1"/>
    <w:next w:val="1"/>
    <w:qFormat/>
    <w:uiPriority w:val="0"/>
    <w:pPr>
      <w:ind w:left="1680" w:leftChars="800"/>
    </w:pPr>
  </w:style>
  <w:style w:type="paragraph" w:styleId="4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5">
    <w:name w:val="toc 8"/>
    <w:basedOn w:val="1"/>
    <w:next w:val="1"/>
    <w:qFormat/>
    <w:uiPriority w:val="0"/>
    <w:pPr>
      <w:ind w:left="2940" w:leftChars="1400"/>
    </w:pPr>
  </w:style>
  <w:style w:type="paragraph" w:styleId="46">
    <w:name w:val="Date"/>
    <w:basedOn w:val="1"/>
    <w:next w:val="1"/>
    <w:link w:val="191"/>
    <w:qFormat/>
    <w:uiPriority w:val="0"/>
    <w:pPr>
      <w:ind w:left="100" w:leftChars="2500"/>
    </w:pPr>
    <w:rPr>
      <w:rFonts w:ascii="宋体"/>
      <w:sz w:val="24"/>
      <w:szCs w:val="21"/>
      <w:lang w:val="zh-CN"/>
    </w:rPr>
  </w:style>
  <w:style w:type="paragraph" w:styleId="47">
    <w:name w:val="Body Text Indent 2"/>
    <w:basedOn w:val="1"/>
    <w:link w:val="317"/>
    <w:qFormat/>
    <w:uiPriority w:val="0"/>
    <w:pPr>
      <w:spacing w:line="360" w:lineRule="auto"/>
      <w:ind w:firstLine="601"/>
      <w:textAlignment w:val="baseline"/>
    </w:pPr>
    <w:rPr>
      <w:rFonts w:ascii="宋体"/>
      <w:kern w:val="0"/>
      <w:sz w:val="28"/>
      <w:szCs w:val="20"/>
    </w:rPr>
  </w:style>
  <w:style w:type="paragraph" w:styleId="48">
    <w:name w:val="endnote text"/>
    <w:basedOn w:val="1"/>
    <w:link w:val="935"/>
    <w:qFormat/>
    <w:uiPriority w:val="0"/>
    <w:rPr>
      <w:lang w:val="zh-CN"/>
    </w:rPr>
  </w:style>
  <w:style w:type="paragraph" w:styleId="49">
    <w:name w:val="Balloon Text"/>
    <w:basedOn w:val="1"/>
    <w:link w:val="198"/>
    <w:qFormat/>
    <w:uiPriority w:val="0"/>
    <w:rPr>
      <w:sz w:val="18"/>
      <w:szCs w:val="18"/>
    </w:rPr>
  </w:style>
  <w:style w:type="paragraph" w:styleId="50">
    <w:name w:val="footer"/>
    <w:basedOn w:val="1"/>
    <w:link w:val="392"/>
    <w:qFormat/>
    <w:uiPriority w:val="99"/>
    <w:pPr>
      <w:tabs>
        <w:tab w:val="center" w:pos="4153"/>
        <w:tab w:val="right" w:pos="8306"/>
      </w:tabs>
      <w:snapToGrid w:val="0"/>
      <w:jc w:val="left"/>
    </w:pPr>
    <w:rPr>
      <w:sz w:val="18"/>
      <w:szCs w:val="18"/>
    </w:rPr>
  </w:style>
  <w:style w:type="paragraph" w:styleId="51">
    <w:name w:val="header"/>
    <w:basedOn w:val="1"/>
    <w:link w:val="401"/>
    <w:qFormat/>
    <w:uiPriority w:val="99"/>
    <w:pPr>
      <w:pBdr>
        <w:bottom w:val="single" w:color="auto" w:sz="6" w:space="1"/>
      </w:pBdr>
      <w:tabs>
        <w:tab w:val="center" w:pos="4153"/>
        <w:tab w:val="right" w:pos="8306"/>
      </w:tabs>
      <w:snapToGrid w:val="0"/>
      <w:jc w:val="center"/>
    </w:pPr>
    <w:rPr>
      <w:sz w:val="18"/>
      <w:szCs w:val="18"/>
    </w:rPr>
  </w:style>
  <w:style w:type="paragraph" w:styleId="52">
    <w:name w:val="Signature"/>
    <w:basedOn w:val="1"/>
    <w:link w:val="354"/>
    <w:qFormat/>
    <w:uiPriority w:val="0"/>
    <w:pPr>
      <w:spacing w:after="600" w:line="312" w:lineRule="atLeast"/>
      <w:jc w:val="center"/>
      <w:textAlignment w:val="baseline"/>
    </w:pPr>
    <w:rPr>
      <w:rFonts w:eastAsia="仿宋_GB2312"/>
      <w:kern w:val="0"/>
      <w:sz w:val="24"/>
      <w:szCs w:val="20"/>
    </w:rPr>
  </w:style>
  <w:style w:type="paragraph" w:styleId="53">
    <w:name w:val="toc 1"/>
    <w:basedOn w:val="1"/>
    <w:next w:val="1"/>
    <w:qFormat/>
    <w:uiPriority w:val="0"/>
  </w:style>
  <w:style w:type="paragraph" w:styleId="54">
    <w:name w:val="toc 4"/>
    <w:basedOn w:val="1"/>
    <w:next w:val="1"/>
    <w:qFormat/>
    <w:uiPriority w:val="0"/>
    <w:pPr>
      <w:ind w:left="1260" w:leftChars="600"/>
    </w:pPr>
  </w:style>
  <w:style w:type="paragraph" w:styleId="55">
    <w:name w:val="index heading"/>
    <w:basedOn w:val="1"/>
    <w:next w:val="56"/>
    <w:qFormat/>
    <w:uiPriority w:val="0"/>
    <w:pPr>
      <w:adjustRightInd/>
      <w:ind w:firstLine="200" w:firstLineChars="200"/>
    </w:pPr>
  </w:style>
  <w:style w:type="paragraph" w:styleId="56">
    <w:name w:val="index 1"/>
    <w:basedOn w:val="1"/>
    <w:next w:val="1"/>
    <w:qFormat/>
    <w:uiPriority w:val="0"/>
    <w:pPr>
      <w:adjustRightInd/>
      <w:spacing w:line="360" w:lineRule="auto"/>
      <w:ind w:firstLine="200" w:firstLineChars="200"/>
      <w:jc w:val="center"/>
    </w:pPr>
    <w:rPr>
      <w:sz w:val="24"/>
      <w:szCs w:val="20"/>
    </w:rPr>
  </w:style>
  <w:style w:type="paragraph" w:styleId="57">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8">
    <w:name w:val="List Number 5"/>
    <w:basedOn w:val="1"/>
    <w:qFormat/>
    <w:uiPriority w:val="0"/>
    <w:pPr>
      <w:tabs>
        <w:tab w:val="left" w:pos="902"/>
      </w:tabs>
      <w:adjustRightInd/>
      <w:spacing w:line="400" w:lineRule="exact"/>
      <w:ind w:left="902" w:hanging="420"/>
    </w:pPr>
    <w:rPr>
      <w:sz w:val="24"/>
      <w:szCs w:val="20"/>
    </w:rPr>
  </w:style>
  <w:style w:type="paragraph" w:styleId="59">
    <w:name w:val="List"/>
    <w:basedOn w:val="1"/>
    <w:qFormat/>
    <w:uiPriority w:val="0"/>
    <w:pPr>
      <w:ind w:left="200" w:hanging="200" w:hangingChars="200"/>
    </w:pPr>
  </w:style>
  <w:style w:type="paragraph" w:styleId="60">
    <w:name w:val="footnote text"/>
    <w:basedOn w:val="5"/>
    <w:link w:val="319"/>
    <w:qFormat/>
    <w:uiPriority w:val="0"/>
    <w:pPr>
      <w:adjustRightInd/>
      <w:snapToGrid/>
      <w:spacing w:before="60" w:after="60" w:line="300" w:lineRule="exact"/>
      <w:ind w:firstLine="0"/>
    </w:pPr>
    <w:rPr>
      <w:rFonts w:ascii="Calibri"/>
      <w:snapToGrid/>
      <w:color w:val="0000FF"/>
      <w:kern w:val="0"/>
      <w:sz w:val="21"/>
    </w:rPr>
  </w:style>
  <w:style w:type="paragraph" w:styleId="61">
    <w:name w:val="toc 6"/>
    <w:basedOn w:val="1"/>
    <w:next w:val="1"/>
    <w:qFormat/>
    <w:uiPriority w:val="0"/>
    <w:pPr>
      <w:ind w:left="2100" w:leftChars="1000"/>
    </w:pPr>
  </w:style>
  <w:style w:type="paragraph" w:styleId="62">
    <w:name w:val="List 5"/>
    <w:basedOn w:val="1"/>
    <w:qFormat/>
    <w:uiPriority w:val="0"/>
    <w:pPr>
      <w:adjustRightInd/>
      <w:ind w:left="100" w:leftChars="800" w:hanging="200" w:hangingChars="200"/>
    </w:pPr>
  </w:style>
  <w:style w:type="paragraph" w:styleId="63">
    <w:name w:val="Body Text Indent 3"/>
    <w:basedOn w:val="1"/>
    <w:link w:val="384"/>
    <w:qFormat/>
    <w:uiPriority w:val="0"/>
    <w:pPr>
      <w:spacing w:line="360" w:lineRule="auto"/>
      <w:ind w:firstLine="420"/>
    </w:pPr>
    <w:rPr>
      <w:sz w:val="24"/>
      <w:szCs w:val="20"/>
    </w:rPr>
  </w:style>
  <w:style w:type="paragraph" w:styleId="64">
    <w:name w:val="toc 2"/>
    <w:basedOn w:val="1"/>
    <w:next w:val="1"/>
    <w:qFormat/>
    <w:uiPriority w:val="0"/>
    <w:pPr>
      <w:ind w:left="420" w:leftChars="200"/>
    </w:pPr>
  </w:style>
  <w:style w:type="paragraph" w:styleId="65">
    <w:name w:val="toc 9"/>
    <w:basedOn w:val="1"/>
    <w:next w:val="1"/>
    <w:qFormat/>
    <w:uiPriority w:val="0"/>
    <w:pPr>
      <w:ind w:left="3360" w:leftChars="1600"/>
    </w:pPr>
  </w:style>
  <w:style w:type="paragraph" w:styleId="66">
    <w:name w:val="HTML Preformatted"/>
    <w:basedOn w:val="1"/>
    <w:link w:val="3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7">
    <w:name w:val="Normal (Web)"/>
    <w:basedOn w:val="1"/>
    <w:qFormat/>
    <w:uiPriority w:val="99"/>
    <w:pPr>
      <w:widowControl/>
      <w:spacing w:before="100" w:beforeAutospacing="1" w:after="100" w:afterAutospacing="1"/>
      <w:jc w:val="left"/>
    </w:pPr>
    <w:rPr>
      <w:rFonts w:ascii="宋体" w:hAnsi="宋体"/>
      <w:kern w:val="0"/>
      <w:sz w:val="24"/>
    </w:rPr>
  </w:style>
  <w:style w:type="paragraph" w:styleId="68">
    <w:name w:val="Title"/>
    <w:basedOn w:val="1"/>
    <w:next w:val="1"/>
    <w:link w:val="295"/>
    <w:qFormat/>
    <w:uiPriority w:val="10"/>
    <w:pPr>
      <w:widowControl/>
      <w:overflowPunct w:val="0"/>
      <w:autoSpaceDE w:val="0"/>
      <w:autoSpaceDN w:val="0"/>
      <w:jc w:val="center"/>
      <w:textAlignment w:val="baseline"/>
    </w:pPr>
    <w:rPr>
      <w:b/>
      <w:kern w:val="0"/>
      <w:sz w:val="24"/>
      <w:szCs w:val="20"/>
      <w:lang w:val="en-GB"/>
    </w:rPr>
  </w:style>
  <w:style w:type="paragraph" w:styleId="69">
    <w:name w:val="annotation subject"/>
    <w:basedOn w:val="19"/>
    <w:next w:val="19"/>
    <w:link w:val="106"/>
    <w:qFormat/>
    <w:uiPriority w:val="0"/>
    <w:rPr>
      <w:b/>
      <w:bCs/>
    </w:rPr>
  </w:style>
  <w:style w:type="paragraph" w:styleId="70">
    <w:name w:val="Body Text First Indent"/>
    <w:basedOn w:val="31"/>
    <w:next w:val="61"/>
    <w:link w:val="330"/>
    <w:qFormat/>
    <w:uiPriority w:val="0"/>
    <w:pPr>
      <w:ind w:firstLine="420"/>
    </w:pPr>
    <w:rPr>
      <w:rFonts w:hAnsi="Calibri" w:cs="Times New Roman"/>
      <w:snapToGrid/>
      <w:szCs w:val="20"/>
    </w:rPr>
  </w:style>
  <w:style w:type="paragraph" w:styleId="71">
    <w:name w:val="Body Text First Indent 2"/>
    <w:basedOn w:val="32"/>
    <w:next w:val="1"/>
    <w:link w:val="131"/>
    <w:qFormat/>
    <w:uiPriority w:val="0"/>
    <w:pPr>
      <w:adjustRightInd/>
      <w:spacing w:after="120" w:line="240" w:lineRule="auto"/>
      <w:ind w:left="420" w:leftChars="200" w:firstLine="210"/>
    </w:pPr>
    <w:rPr>
      <w:sz w:val="21"/>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4">
    <w:name w:val="Table Theme"/>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Elegant"/>
    <w:basedOn w:val="7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80">
    <w:name w:val="Strong"/>
    <w:qFormat/>
    <w:uiPriority w:val="22"/>
    <w:rPr>
      <w:b/>
      <w:bCs/>
    </w:rPr>
  </w:style>
  <w:style w:type="character" w:styleId="81">
    <w:name w:val="endnote reference"/>
    <w:qFormat/>
    <w:uiPriority w:val="0"/>
    <w:rPr>
      <w:vertAlign w:val="superscript"/>
    </w:rPr>
  </w:style>
  <w:style w:type="character" w:styleId="82">
    <w:name w:val="page number"/>
    <w:basedOn w:val="79"/>
    <w:qFormat/>
    <w:uiPriority w:val="0"/>
    <w:rPr>
      <w:rFonts w:ascii="Arial" w:hAnsi="Arial" w:eastAsia="黑体" w:cs="Arial"/>
      <w:snapToGrid w:val="0"/>
      <w:kern w:val="0"/>
      <w:szCs w:val="21"/>
    </w:rPr>
  </w:style>
  <w:style w:type="character" w:styleId="83">
    <w:name w:val="FollowedHyperlink"/>
    <w:qFormat/>
    <w:uiPriority w:val="99"/>
    <w:rPr>
      <w:rFonts w:ascii="Arial" w:hAnsi="Arial" w:eastAsia="黑体" w:cs="Arial"/>
      <w:snapToGrid w:val="0"/>
      <w:color w:val="000000"/>
      <w:kern w:val="0"/>
      <w:sz w:val="18"/>
      <w:szCs w:val="18"/>
      <w:u w:val="none"/>
    </w:rPr>
  </w:style>
  <w:style w:type="character" w:styleId="84">
    <w:name w:val="Emphasis"/>
    <w:qFormat/>
    <w:uiPriority w:val="20"/>
    <w:rPr>
      <w:color w:val="CC0033"/>
    </w:rPr>
  </w:style>
  <w:style w:type="character" w:styleId="85">
    <w:name w:val="line number"/>
    <w:basedOn w:val="79"/>
    <w:qFormat/>
    <w:uiPriority w:val="0"/>
    <w:rPr>
      <w:rFonts w:ascii="Arial" w:hAnsi="Arial" w:eastAsia="黑体" w:cs="Arial"/>
      <w:snapToGrid w:val="0"/>
      <w:kern w:val="0"/>
      <w:szCs w:val="21"/>
    </w:rPr>
  </w:style>
  <w:style w:type="character" w:styleId="86">
    <w:name w:val="Hyperlink"/>
    <w:qFormat/>
    <w:uiPriority w:val="99"/>
    <w:rPr>
      <w:rFonts w:ascii="Arial" w:hAnsi="Arial" w:eastAsia="黑体" w:cs="Arial"/>
      <w:snapToGrid w:val="0"/>
      <w:color w:val="000000"/>
      <w:kern w:val="0"/>
      <w:sz w:val="18"/>
      <w:szCs w:val="18"/>
      <w:u w:val="none"/>
    </w:rPr>
  </w:style>
  <w:style w:type="character" w:styleId="87">
    <w:name w:val="HTML Code"/>
    <w:qFormat/>
    <w:uiPriority w:val="0"/>
    <w:rPr>
      <w:rFonts w:ascii="黑体" w:hAnsi="Courier New" w:eastAsia="黑体" w:cs="楷体_GB2312"/>
      <w:sz w:val="20"/>
      <w:szCs w:val="20"/>
    </w:rPr>
  </w:style>
  <w:style w:type="character" w:styleId="88">
    <w:name w:val="annotation reference"/>
    <w:qFormat/>
    <w:uiPriority w:val="99"/>
    <w:rPr>
      <w:sz w:val="21"/>
      <w:szCs w:val="21"/>
    </w:rPr>
  </w:style>
  <w:style w:type="paragraph" w:customStyle="1" w:styleId="8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0">
    <w:name w:val="正文空2字"/>
    <w:basedOn w:val="9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1">
    <w:name w:val="左对齐正文"/>
    <w:qFormat/>
    <w:uiPriority w:val="99"/>
    <w:rPr>
      <w:rFonts w:ascii="Calibri" w:hAnsi="Calibri" w:eastAsia="仿宋_GB2312" w:cs="Calibri"/>
      <w:kern w:val="2"/>
      <w:sz w:val="32"/>
      <w:szCs w:val="32"/>
      <w:lang w:val="en-US" w:eastAsia="zh-CN" w:bidi="ar-SA"/>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Char1"/>
    <w:link w:val="69"/>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qFormat/>
    <w:uiPriority w:val="9"/>
    <w:rPr>
      <w:b/>
      <w:bCs/>
      <w:kern w:val="2"/>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首行缩进 2 Char"/>
    <w:link w:val="71"/>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9"/>
    <w:qFormat/>
    <w:uiPriority w:val="0"/>
    <w:rPr>
      <w:rFonts w:ascii="Arial" w:hAnsi="Arial" w:eastAsia="黑体" w:cs="Arial"/>
      <w:snapToGrid w:val="0"/>
      <w:kern w:val="0"/>
      <w:szCs w:val="21"/>
    </w:rPr>
  </w:style>
  <w:style w:type="character" w:customStyle="1" w:styleId="135">
    <w:name w:val="纯文本 Char"/>
    <w:link w:val="21"/>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Char"/>
    <w:link w:val="57"/>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Char"/>
    <w:link w:val="8"/>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标题 2 字符"/>
    <w:qFormat/>
    <w:uiPriority w:val="1"/>
    <w:rPr>
      <w:rFonts w:ascii="仿宋_GB2312" w:hAnsi="Times New Roman" w:eastAsia="仿宋_GB2312" w:cs="Times New Roman"/>
      <w:b/>
      <w:kern w:val="2"/>
      <w:sz w:val="24"/>
      <w:lang w:val="zh-CN"/>
    </w:rPr>
  </w:style>
  <w:style w:type="character" w:customStyle="1" w:styleId="177">
    <w:name w:val="Char Char72"/>
    <w:qFormat/>
    <w:uiPriority w:val="0"/>
    <w:rPr>
      <w:rFonts w:eastAsia="宋体"/>
      <w:kern w:val="2"/>
      <w:sz w:val="21"/>
      <w:szCs w:val="24"/>
      <w:lang w:val="en-US" w:eastAsia="zh-CN" w:bidi="ar-SA"/>
    </w:rPr>
  </w:style>
  <w:style w:type="character" w:customStyle="1" w:styleId="178">
    <w:name w:val="正文文本缩进 Char2"/>
    <w:qFormat/>
    <w:uiPriority w:val="0"/>
    <w:rPr>
      <w:rFonts w:ascii="Times New Roman" w:hAnsi="Times New Roman" w:eastAsia="宋体" w:cs="Times New Roman"/>
      <w:snapToGrid w:val="0"/>
      <w:kern w:val="0"/>
      <w:szCs w:val="24"/>
    </w:rPr>
  </w:style>
  <w:style w:type="character" w:customStyle="1" w:styleId="179">
    <w:name w:val="样式2 Char"/>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qFormat/>
    <w:uiPriority w:val="0"/>
    <w:rPr>
      <w:sz w:val="32"/>
    </w:rPr>
  </w:style>
  <w:style w:type="paragraph" w:customStyle="1" w:styleId="181">
    <w:name w:val="表格名称"/>
    <w:basedOn w:val="2"/>
    <w:link w:val="18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2">
    <w:name w:val="Char Char4"/>
    <w:qFormat/>
    <w:uiPriority w:val="0"/>
    <w:rPr>
      <w:rFonts w:eastAsia="宋体"/>
      <w:b/>
      <w:sz w:val="24"/>
      <w:lang w:val="en-GB" w:eastAsia="zh-CN" w:bidi="ar-SA"/>
    </w:rPr>
  </w:style>
  <w:style w:type="character" w:customStyle="1" w:styleId="183">
    <w:name w:val="c7 style3"/>
    <w:qFormat/>
    <w:uiPriority w:val="0"/>
  </w:style>
  <w:style w:type="character" w:customStyle="1" w:styleId="184">
    <w:name w:val="正文文本 3 Char1"/>
    <w:semiHidden/>
    <w:qFormat/>
    <w:uiPriority w:val="99"/>
    <w:rPr>
      <w:rFonts w:ascii="Times New Roman" w:hAnsi="Times New Roman" w:eastAsia="宋体" w:cs="Times New Roman"/>
      <w:sz w:val="16"/>
      <w:szCs w:val="16"/>
    </w:rPr>
  </w:style>
  <w:style w:type="character" w:customStyle="1" w:styleId="185">
    <w:name w:val="tw4winInternal"/>
    <w:qFormat/>
    <w:uiPriority w:val="0"/>
    <w:rPr>
      <w:rFonts w:ascii="Courier New" w:hAnsi="Courier New" w:cs="Courier New"/>
      <w:color w:val="FF0000"/>
      <w:lang w:val="en-US" w:eastAsia="zh-CN"/>
    </w:rPr>
  </w:style>
  <w:style w:type="character" w:customStyle="1" w:styleId="186">
    <w:name w:val="Char Char10"/>
    <w:semiHidden/>
    <w:qFormat/>
    <w:uiPriority w:val="0"/>
    <w:rPr>
      <w:rFonts w:ascii="宋体" w:hAnsi="宋体"/>
      <w:kern w:val="2"/>
      <w:sz w:val="21"/>
      <w:szCs w:val="24"/>
      <w:lang w:val="en-US" w:eastAsia="zh-CN"/>
    </w:rPr>
  </w:style>
  <w:style w:type="character" w:customStyle="1" w:styleId="187">
    <w:name w:val="shadow11"/>
    <w:qFormat/>
    <w:uiPriority w:val="0"/>
    <w:rPr>
      <w:color w:val="000000"/>
      <w:sz w:val="21"/>
    </w:rPr>
  </w:style>
  <w:style w:type="character" w:customStyle="1" w:styleId="188">
    <w:name w:val="正文非缩进 Char3"/>
    <w:qFormat/>
    <w:uiPriority w:val="0"/>
    <w:rPr>
      <w:rFonts w:ascii="宋体" w:eastAsia="宋体"/>
      <w:snapToGrid w:val="0"/>
      <w:color w:val="000000"/>
      <w:kern w:val="28"/>
      <w:sz w:val="28"/>
      <w:lang w:val="en-US" w:eastAsia="zh-CN" w:bidi="ar-SA"/>
    </w:rPr>
  </w:style>
  <w:style w:type="character" w:customStyle="1" w:styleId="189">
    <w:name w:val="Char Char"/>
    <w:qFormat/>
    <w:uiPriority w:val="0"/>
    <w:rPr>
      <w:rFonts w:ascii="宋体" w:hAnsi="Courier New" w:eastAsia="宋体"/>
      <w:kern w:val="2"/>
      <w:sz w:val="21"/>
      <w:lang w:val="en-US" w:eastAsia="zh-CN" w:bidi="ar-SA"/>
    </w:rPr>
  </w:style>
  <w:style w:type="character" w:customStyle="1" w:styleId="190">
    <w:name w:val="签名 Char1"/>
    <w:qFormat/>
    <w:uiPriority w:val="0"/>
    <w:rPr>
      <w:rFonts w:ascii="Times New Roman" w:hAnsi="Times New Roman" w:eastAsia="宋体" w:cs="Times New Roman"/>
      <w:szCs w:val="24"/>
    </w:rPr>
  </w:style>
  <w:style w:type="character" w:customStyle="1" w:styleId="191">
    <w:name w:val="日期 Char"/>
    <w:link w:val="46"/>
    <w:qFormat/>
    <w:uiPriority w:val="0"/>
    <w:rPr>
      <w:rFonts w:ascii="宋体"/>
      <w:kern w:val="2"/>
      <w:sz w:val="24"/>
      <w:szCs w:val="21"/>
      <w:lang w:val="zh-CN"/>
    </w:rPr>
  </w:style>
  <w:style w:type="character" w:customStyle="1" w:styleId="192">
    <w:name w:val="标题 9 Char"/>
    <w:link w:val="11"/>
    <w:qFormat/>
    <w:uiPriority w:val="0"/>
    <w:rPr>
      <w:rFonts w:ascii="Arial" w:hAnsi="Arial" w:eastAsia="黑体"/>
      <w:kern w:val="2"/>
      <w:sz w:val="21"/>
      <w:szCs w:val="21"/>
    </w:rPr>
  </w:style>
  <w:style w:type="character" w:customStyle="1" w:styleId="193">
    <w:name w:val="Char Char18"/>
    <w:qFormat/>
    <w:uiPriority w:val="6"/>
    <w:rPr>
      <w:rFonts w:ascii="宋体" w:hAnsi="宋体"/>
      <w:sz w:val="28"/>
    </w:rPr>
  </w:style>
  <w:style w:type="character" w:customStyle="1" w:styleId="194">
    <w:name w:val="批注文字 Char"/>
    <w:qFormat/>
    <w:uiPriority w:val="99"/>
    <w:rPr>
      <w:kern w:val="2"/>
      <w:sz w:val="21"/>
      <w:szCs w:val="24"/>
    </w:rPr>
  </w:style>
  <w:style w:type="character" w:customStyle="1" w:styleId="195">
    <w:name w:val="Char Char22"/>
    <w:qFormat/>
    <w:uiPriority w:val="6"/>
    <w:rPr>
      <w:rFonts w:ascii="宋体" w:hAnsi="宋体"/>
      <w:kern w:val="1"/>
      <w:sz w:val="24"/>
      <w:szCs w:val="24"/>
    </w:rPr>
  </w:style>
  <w:style w:type="character" w:customStyle="1" w:styleId="196">
    <w:name w:val="pt141"/>
    <w:qFormat/>
    <w:uiPriority w:val="0"/>
    <w:rPr>
      <w:color w:val="330066"/>
      <w:sz w:val="22"/>
      <w:szCs w:val="22"/>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批注框文本 Char"/>
    <w:link w:val="49"/>
    <w:qFormat/>
    <w:uiPriority w:val="0"/>
    <w:rPr>
      <w:kern w:val="2"/>
      <w:sz w:val="18"/>
      <w:szCs w:val="18"/>
    </w:rPr>
  </w:style>
  <w:style w:type="character" w:customStyle="1" w:styleId="199">
    <w:name w:val="Char Char611"/>
    <w:qFormat/>
    <w:uiPriority w:val="0"/>
    <w:rPr>
      <w:rFonts w:eastAsia="宋体"/>
      <w:kern w:val="2"/>
      <w:sz w:val="21"/>
      <w:szCs w:val="24"/>
      <w:lang w:val="en-US" w:eastAsia="zh-CN" w:bidi="ar-SA"/>
    </w:rPr>
  </w:style>
  <w:style w:type="character" w:customStyle="1" w:styleId="200">
    <w:name w:val="highlight1"/>
    <w:qFormat/>
    <w:uiPriority w:val="0"/>
    <w:rPr>
      <w:rFonts w:ascii="仿宋_GB2312" w:eastAsia="微软雅黑"/>
      <w:b/>
      <w:kern w:val="2"/>
      <w:sz w:val="23"/>
      <w:szCs w:val="23"/>
      <w:lang w:val="en-US" w:eastAsia="zh-CN" w:bidi="ar-SA"/>
    </w:rPr>
  </w:style>
  <w:style w:type="character" w:customStyle="1" w:styleId="201">
    <w:name w:val="my正文 Char"/>
    <w:link w:val="202"/>
    <w:qFormat/>
    <w:locked/>
    <w:uiPriority w:val="0"/>
    <w:rPr>
      <w:rFonts w:ascii="Tahoma" w:hAnsi="Tahoma"/>
      <w:sz w:val="24"/>
      <w:szCs w:val="24"/>
    </w:rPr>
  </w:style>
  <w:style w:type="paragraph" w:customStyle="1" w:styleId="202">
    <w:name w:val="my正文"/>
    <w:basedOn w:val="1"/>
    <w:link w:val="201"/>
    <w:qFormat/>
    <w:uiPriority w:val="0"/>
    <w:pPr>
      <w:adjustRightInd/>
      <w:spacing w:line="360" w:lineRule="auto"/>
      <w:ind w:firstLine="480" w:firstLineChars="200"/>
    </w:pPr>
    <w:rPr>
      <w:rFonts w:ascii="Tahoma" w:hAnsi="Tahoma"/>
      <w:kern w:val="0"/>
      <w:sz w:val="24"/>
    </w:rPr>
  </w:style>
  <w:style w:type="character" w:customStyle="1" w:styleId="203">
    <w:name w:val="正文缩进 Char2"/>
    <w:link w:val="5"/>
    <w:qFormat/>
    <w:uiPriority w:val="0"/>
    <w:rPr>
      <w:rFonts w:ascii="宋体" w:eastAsia="宋体"/>
      <w:snapToGrid w:val="0"/>
      <w:color w:val="000000"/>
      <w:kern w:val="28"/>
      <w:sz w:val="28"/>
      <w:lang w:val="en-US" w:eastAsia="zh-CN" w:bidi="ar-SA"/>
    </w:rPr>
  </w:style>
  <w:style w:type="character" w:customStyle="1" w:styleId="204">
    <w:name w:val="Used by Word for text of Help footnotes Char Char1"/>
    <w:qFormat/>
    <w:uiPriority w:val="0"/>
    <w:rPr>
      <w:color w:val="0000FF"/>
      <w:sz w:val="21"/>
    </w:rPr>
  </w:style>
  <w:style w:type="character" w:customStyle="1" w:styleId="205">
    <w:name w:val="页眉 Char"/>
    <w:qFormat/>
    <w:uiPriority w:val="0"/>
    <w:rPr>
      <w:rFonts w:eastAsia="仿宋_GB2312"/>
      <w:kern w:val="2"/>
      <w:sz w:val="18"/>
      <w:lang w:val="en-US" w:eastAsia="zh-CN"/>
    </w:rPr>
  </w:style>
  <w:style w:type="character" w:customStyle="1" w:styleId="206">
    <w:name w:val="FA正文 Char Char"/>
    <w:qFormat/>
    <w:uiPriority w:val="0"/>
    <w:rPr>
      <w:rFonts w:hAnsi="宋体"/>
      <w:kern w:val="2"/>
      <w:sz w:val="24"/>
      <w:lang w:bidi="ar-SA"/>
    </w:rPr>
  </w:style>
  <w:style w:type="character" w:customStyle="1" w:styleId="207">
    <w:name w:val="纯文本 字符"/>
    <w:qFormat/>
    <w:uiPriority w:val="0"/>
    <w:rPr>
      <w:rFonts w:ascii="宋体" w:hAnsi="Courier New" w:eastAsia="宋体" w:cs="Arial"/>
      <w:snapToGrid w:val="0"/>
      <w:kern w:val="2"/>
      <w:sz w:val="21"/>
      <w:szCs w:val="21"/>
      <w:lang w:val="en-US" w:eastAsia="zh-CN" w:bidi="ar-SA"/>
    </w:rPr>
  </w:style>
  <w:style w:type="character" w:customStyle="1" w:styleId="208">
    <w:name w:val="3级 Char"/>
    <w:link w:val="209"/>
    <w:qFormat/>
    <w:uiPriority w:val="0"/>
    <w:rPr>
      <w:rFonts w:ascii="宋体" w:hAnsi="宋体"/>
      <w:b/>
      <w:bCs/>
      <w:snapToGrid/>
      <w:sz w:val="28"/>
    </w:rPr>
  </w:style>
  <w:style w:type="paragraph" w:customStyle="1" w:styleId="209">
    <w:name w:val="3级"/>
    <w:basedOn w:val="210"/>
    <w:link w:val="208"/>
    <w:qFormat/>
    <w:uiPriority w:val="0"/>
    <w:pPr>
      <w:ind w:left="0" w:right="466" w:firstLine="288"/>
    </w:pPr>
    <w:rPr>
      <w:rFonts w:hAnsi="宋体"/>
      <w:snapToGrid/>
    </w:rPr>
  </w:style>
  <w:style w:type="paragraph" w:customStyle="1" w:styleId="21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qFormat/>
    <w:uiPriority w:val="0"/>
    <w:rPr>
      <w:rFonts w:ascii="仿宋_GB2312" w:eastAsia="微软雅黑"/>
      <w:b/>
      <w:kern w:val="2"/>
      <w:sz w:val="32"/>
      <w:szCs w:val="32"/>
      <w:lang w:val="en-US" w:eastAsia="zh-CN" w:bidi="ar-SA"/>
    </w:rPr>
  </w:style>
  <w:style w:type="character" w:customStyle="1" w:styleId="212">
    <w:name w:val="文档结构图 Char1"/>
    <w:link w:val="18"/>
    <w:qFormat/>
    <w:uiPriority w:val="0"/>
    <w:rPr>
      <w:kern w:val="2"/>
      <w:sz w:val="21"/>
      <w:szCs w:val="24"/>
      <w:shd w:val="clear" w:color="auto" w:fill="000080"/>
    </w:rPr>
  </w:style>
  <w:style w:type="character" w:customStyle="1" w:styleId="213">
    <w:name w:val="H6 Char"/>
    <w:qFormat/>
    <w:uiPriority w:val="0"/>
    <w:rPr>
      <w:rFonts w:ascii="Arial" w:hAnsi="Arial" w:eastAsia="黑体"/>
      <w:b/>
      <w:bCs/>
      <w:kern w:val="2"/>
      <w:sz w:val="24"/>
      <w:szCs w:val="24"/>
    </w:rPr>
  </w:style>
  <w:style w:type="character" w:customStyle="1" w:styleId="214">
    <w:name w:val="Char Char91"/>
    <w:qFormat/>
    <w:uiPriority w:val="0"/>
    <w:rPr>
      <w:rFonts w:eastAsia="宋体"/>
      <w:kern w:val="2"/>
      <w:sz w:val="18"/>
      <w:szCs w:val="18"/>
      <w:lang w:val="en-US" w:eastAsia="zh-CN" w:bidi="ar-SA"/>
    </w:rPr>
  </w:style>
  <w:style w:type="character" w:customStyle="1" w:styleId="215">
    <w:name w:val="副标题 Char1"/>
    <w:qFormat/>
    <w:uiPriority w:val="0"/>
    <w:rPr>
      <w:rFonts w:ascii="Cambria" w:hAnsi="Cambria" w:eastAsia="宋体" w:cs="Times New Roman"/>
      <w:b/>
      <w:bCs/>
      <w:snapToGrid w:val="0"/>
      <w:kern w:val="28"/>
      <w:sz w:val="32"/>
      <w:szCs w:val="32"/>
    </w:rPr>
  </w:style>
  <w:style w:type="character" w:customStyle="1" w:styleId="216">
    <w:name w:val="font61"/>
    <w:qFormat/>
    <w:uiPriority w:val="0"/>
    <w:rPr>
      <w:rFonts w:hint="eastAsia" w:ascii="仿宋" w:hAnsi="仿宋" w:eastAsia="仿宋" w:cs="仿宋"/>
      <w:color w:val="000000"/>
      <w:sz w:val="20"/>
      <w:szCs w:val="20"/>
      <w:u w:val="none"/>
    </w:rPr>
  </w:style>
  <w:style w:type="character" w:customStyle="1" w:styleId="21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qFormat/>
    <w:uiPriority w:val="0"/>
    <w:rPr>
      <w:rFonts w:eastAsia="宋体"/>
      <w:b/>
      <w:bCs/>
      <w:kern w:val="2"/>
      <w:sz w:val="21"/>
      <w:szCs w:val="24"/>
      <w:lang w:val="en-US" w:eastAsia="zh-CN" w:bidi="ar-SA"/>
    </w:rPr>
  </w:style>
  <w:style w:type="character" w:customStyle="1" w:styleId="219">
    <w:name w:val="标题 2 Char"/>
    <w:qFormat/>
    <w:uiPriority w:val="0"/>
    <w:rPr>
      <w:rFonts w:ascii="Arial" w:hAnsi="Arial" w:eastAsia="黑体"/>
      <w:b/>
      <w:kern w:val="2"/>
      <w:sz w:val="32"/>
      <w:lang w:val="en-US" w:eastAsia="zh-CN"/>
    </w:rPr>
  </w:style>
  <w:style w:type="character" w:customStyle="1" w:styleId="220">
    <w:name w:val="maywed421"/>
    <w:qFormat/>
    <w:uiPriority w:val="0"/>
    <w:rPr>
      <w:color w:val="366FB6"/>
      <w:u w:val="none"/>
    </w:rPr>
  </w:style>
  <w:style w:type="character" w:customStyle="1" w:styleId="221">
    <w:name w:val="正文文本缩进 Char"/>
    <w:qFormat/>
    <w:uiPriority w:val="0"/>
    <w:rPr>
      <w:rFonts w:ascii="宋体" w:hAnsi="宋体"/>
      <w:kern w:val="2"/>
      <w:sz w:val="24"/>
      <w:szCs w:val="24"/>
    </w:rPr>
  </w:style>
  <w:style w:type="character" w:customStyle="1" w:styleId="222">
    <w:name w:val="Char Char102"/>
    <w:semiHidden/>
    <w:qFormat/>
    <w:uiPriority w:val="0"/>
    <w:rPr>
      <w:rFonts w:ascii="宋体" w:hAnsi="宋体"/>
      <w:kern w:val="2"/>
      <w:sz w:val="21"/>
      <w:szCs w:val="24"/>
      <w:lang w:val="en-US" w:eastAsia="zh-CN"/>
    </w:rPr>
  </w:style>
  <w:style w:type="character" w:customStyle="1" w:styleId="223">
    <w:name w:val="页眉 Char1"/>
    <w:qFormat/>
    <w:uiPriority w:val="0"/>
    <w:rPr>
      <w:rFonts w:eastAsia="宋体"/>
      <w:kern w:val="2"/>
      <w:sz w:val="18"/>
      <w:szCs w:val="18"/>
      <w:lang w:val="en-US" w:eastAsia="zh-CN" w:bidi="ar-SA"/>
    </w:rPr>
  </w:style>
  <w:style w:type="character" w:customStyle="1" w:styleId="224">
    <w:name w:val="md"/>
    <w:basedOn w:val="79"/>
    <w:qFormat/>
    <w:uiPriority w:val="0"/>
    <w:rPr>
      <w:rFonts w:ascii="Arial" w:hAnsi="Arial" w:eastAsia="黑体" w:cs="Arial"/>
      <w:snapToGrid w:val="0"/>
      <w:kern w:val="0"/>
      <w:szCs w:val="21"/>
    </w:rPr>
  </w:style>
  <w:style w:type="character" w:customStyle="1" w:styleId="225">
    <w:name w:val="big1"/>
    <w:qFormat/>
    <w:uiPriority w:val="0"/>
    <w:rPr>
      <w:rFonts w:hint="eastAsia" w:ascii="宋体" w:hAnsi="宋体" w:eastAsia="宋体"/>
      <w:color w:val="333333"/>
      <w:sz w:val="22"/>
      <w:szCs w:val="22"/>
    </w:rPr>
  </w:style>
  <w:style w:type="character" w:customStyle="1" w:styleId="226">
    <w:name w:val="Char Char311"/>
    <w:qFormat/>
    <w:uiPriority w:val="0"/>
    <w:rPr>
      <w:rFonts w:eastAsia="宋体"/>
      <w:kern w:val="2"/>
      <w:sz w:val="21"/>
      <w:szCs w:val="24"/>
      <w:lang w:val="en-US" w:eastAsia="zh-CN" w:bidi="ar-SA"/>
    </w:rPr>
  </w:style>
  <w:style w:type="character" w:customStyle="1" w:styleId="227">
    <w:name w:val="Char Char81"/>
    <w:qFormat/>
    <w:uiPriority w:val="6"/>
    <w:rPr>
      <w:rFonts w:eastAsia="宋体"/>
      <w:b/>
      <w:sz w:val="24"/>
      <w:lang w:val="en-GB" w:eastAsia="zh-CN"/>
    </w:rPr>
  </w:style>
  <w:style w:type="character" w:customStyle="1" w:styleId="228">
    <w:name w:val="样式3 Char"/>
    <w:basedOn w:val="179"/>
    <w:qFormat/>
    <w:uiPriority w:val="0"/>
    <w:rPr>
      <w:rFonts w:ascii="仿宋_GB2312" w:hAnsi="仿宋" w:eastAsia="仿宋_GB2312" w:cs="仿宋_GB2312"/>
      <w:sz w:val="32"/>
      <w:szCs w:val="30"/>
      <w:lang w:val="zh-CN"/>
    </w:rPr>
  </w:style>
  <w:style w:type="character" w:customStyle="1" w:styleId="229">
    <w:name w:val="HTML 地址 Char"/>
    <w:link w:val="42"/>
    <w:qFormat/>
    <w:uiPriority w:val="0"/>
    <w:rPr>
      <w:rFonts w:ascii="宋体" w:hAnsi="宋体"/>
      <w:i/>
      <w:iCs/>
      <w:sz w:val="24"/>
      <w:szCs w:val="24"/>
    </w:rPr>
  </w:style>
  <w:style w:type="character" w:customStyle="1" w:styleId="230">
    <w:name w:val="正文首行缩进 2 Char1"/>
    <w:qFormat/>
    <w:uiPriority w:val="0"/>
    <w:rPr>
      <w:rFonts w:ascii="Times New Roman" w:hAnsi="Times New Roman" w:eastAsia="宋体" w:cs="Times New Roman"/>
      <w:kern w:val="2"/>
      <w:sz w:val="24"/>
      <w:szCs w:val="24"/>
    </w:rPr>
  </w:style>
  <w:style w:type="character" w:customStyle="1" w:styleId="231">
    <w:name w:val="副标题 Char2"/>
    <w:qFormat/>
    <w:uiPriority w:val="0"/>
    <w:rPr>
      <w:rFonts w:ascii="Cambria" w:hAnsi="Cambria" w:eastAsia="宋体" w:cs="Times New Roman"/>
      <w:b/>
      <w:bCs/>
      <w:snapToGrid w:val="0"/>
      <w:kern w:val="28"/>
      <w:sz w:val="32"/>
      <w:szCs w:val="32"/>
    </w:rPr>
  </w:style>
  <w:style w:type="character" w:customStyle="1" w:styleId="232">
    <w:name w:val="标题4-dyf Char"/>
    <w:link w:val="233"/>
    <w:qFormat/>
    <w:uiPriority w:val="0"/>
    <w:rPr>
      <w:rFonts w:ascii="Cambria" w:hAnsi="Cambria"/>
      <w:b/>
      <w:bCs/>
      <w:color w:val="000000"/>
      <w:kern w:val="2"/>
      <w:sz w:val="21"/>
      <w:szCs w:val="21"/>
    </w:rPr>
  </w:style>
  <w:style w:type="paragraph" w:customStyle="1" w:styleId="233">
    <w:name w:val="标题4-dyf"/>
    <w:basedOn w:val="6"/>
    <w:link w:val="23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4">
    <w:name w:val="dectext1"/>
    <w:qFormat/>
    <w:uiPriority w:val="0"/>
    <w:rPr>
      <w:rFonts w:ascii="宋体" w:hAnsi="宋体" w:eastAsia="宋体"/>
      <w:color w:val="333333"/>
      <w:sz w:val="21"/>
      <w:szCs w:val="21"/>
      <w:u w:val="none"/>
    </w:rPr>
  </w:style>
  <w:style w:type="character" w:customStyle="1" w:styleId="235">
    <w:name w:val="冯 Char"/>
    <w:link w:val="236"/>
    <w:qFormat/>
    <w:uiPriority w:val="0"/>
    <w:rPr>
      <w:rFonts w:ascii="宋体" w:hAnsi="宋体"/>
      <w:color w:val="000000"/>
      <w:sz w:val="24"/>
      <w:szCs w:val="24"/>
    </w:rPr>
  </w:style>
  <w:style w:type="paragraph" w:customStyle="1" w:styleId="236">
    <w:name w:val="冯"/>
    <w:basedOn w:val="1"/>
    <w:link w:val="235"/>
    <w:qFormat/>
    <w:uiPriority w:val="0"/>
    <w:pPr>
      <w:widowControl/>
      <w:adjustRightInd/>
      <w:spacing w:line="360" w:lineRule="auto"/>
      <w:ind w:firstLine="480" w:firstLineChars="200"/>
    </w:pPr>
    <w:rPr>
      <w:rFonts w:ascii="宋体" w:hAnsi="宋体"/>
      <w:color w:val="000000"/>
      <w:kern w:val="0"/>
      <w:sz w:val="24"/>
    </w:rPr>
  </w:style>
  <w:style w:type="character" w:customStyle="1" w:styleId="237">
    <w:name w:val="Header Char"/>
    <w:qFormat/>
    <w:locked/>
    <w:uiPriority w:val="0"/>
    <w:rPr>
      <w:rFonts w:eastAsia="宋体"/>
      <w:kern w:val="2"/>
      <w:sz w:val="18"/>
      <w:szCs w:val="18"/>
      <w:lang w:val="en-US" w:eastAsia="zh-CN" w:bidi="ar-SA"/>
    </w:rPr>
  </w:style>
  <w:style w:type="character" w:customStyle="1" w:styleId="238">
    <w:name w:val="Char Char12"/>
    <w:qFormat/>
    <w:uiPriority w:val="0"/>
    <w:rPr>
      <w:rFonts w:ascii="仿宋_GB2312" w:eastAsia="仿宋_GB2312"/>
      <w:b/>
      <w:bCs/>
      <w:kern w:val="2"/>
      <w:sz w:val="24"/>
      <w:szCs w:val="24"/>
      <w:lang w:val="zh-CN" w:eastAsia="zh-CN" w:bidi="ar-SA"/>
    </w:rPr>
  </w:style>
  <w:style w:type="character" w:customStyle="1" w:styleId="239">
    <w:name w:val="题注 Char"/>
    <w:link w:val="16"/>
    <w:qFormat/>
    <w:uiPriority w:val="0"/>
    <w:rPr>
      <w:b/>
      <w:kern w:val="2"/>
      <w:sz w:val="28"/>
    </w:rPr>
  </w:style>
  <w:style w:type="character" w:customStyle="1" w:styleId="240">
    <w:name w:val="普通文字 Char3"/>
    <w:qFormat/>
    <w:uiPriority w:val="0"/>
    <w:rPr>
      <w:rFonts w:ascii="宋体" w:hAnsi="Courier New" w:eastAsia="宋体"/>
      <w:kern w:val="2"/>
      <w:sz w:val="21"/>
      <w:lang w:val="en-US" w:eastAsia="zh-CN" w:bidi="ar-SA"/>
    </w:rPr>
  </w:style>
  <w:style w:type="character" w:customStyle="1" w:styleId="241">
    <w:name w:val="公文正文 Char"/>
    <w:qFormat/>
    <w:uiPriority w:val="0"/>
    <w:rPr>
      <w:rFonts w:ascii="仿宋_GB2312" w:eastAsia="仿宋_GB2312"/>
      <w:kern w:val="2"/>
      <w:sz w:val="24"/>
      <w:szCs w:val="24"/>
      <w:lang w:val="en-US" w:eastAsia="zh-CN" w:bidi="ar-SA"/>
    </w:rPr>
  </w:style>
  <w:style w:type="character" w:customStyle="1" w:styleId="242">
    <w:name w:val="正文首行缩进 Char Char Char Char Char"/>
    <w:qFormat/>
    <w:uiPriority w:val="0"/>
    <w:rPr>
      <w:rFonts w:ascii="宋体"/>
      <w:kern w:val="2"/>
      <w:sz w:val="24"/>
      <w:lang w:val="zh-CN"/>
    </w:rPr>
  </w:style>
  <w:style w:type="character" w:customStyle="1" w:styleId="243">
    <w:name w:val="PI Char"/>
    <w:qFormat/>
    <w:uiPriority w:val="0"/>
    <w:rPr>
      <w:rFonts w:ascii="宋体" w:hAnsi="宋体" w:eastAsia="宋体"/>
      <w:kern w:val="2"/>
      <w:sz w:val="24"/>
      <w:szCs w:val="24"/>
      <w:lang w:val="en-US" w:eastAsia="zh-CN" w:bidi="ar-SA"/>
    </w:rPr>
  </w:style>
  <w:style w:type="character" w:customStyle="1" w:styleId="244">
    <w:name w:val="Default Char"/>
    <w:link w:val="245"/>
    <w:qFormat/>
    <w:uiPriority w:val="0"/>
    <w:rPr>
      <w:rFonts w:ascii="仿宋_GB2312" w:eastAsia="仿宋_GB2312" w:cs="仿宋_GB2312"/>
      <w:color w:val="000000"/>
      <w:sz w:val="24"/>
      <w:szCs w:val="24"/>
      <w:lang w:val="en-US" w:eastAsia="zh-CN" w:bidi="ar-SA"/>
    </w:rPr>
  </w:style>
  <w:style w:type="paragraph" w:customStyle="1" w:styleId="245">
    <w:name w:val="Default"/>
    <w:link w:val="24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6">
    <w:name w:val="style91"/>
    <w:qFormat/>
    <w:uiPriority w:val="0"/>
    <w:rPr>
      <w:color w:val="333333"/>
    </w:rPr>
  </w:style>
  <w:style w:type="character" w:customStyle="1" w:styleId="247">
    <w:name w:val="列出段落 Char2"/>
    <w:qFormat/>
    <w:uiPriority w:val="34"/>
    <w:rPr>
      <w:rFonts w:ascii="Calibri" w:hAnsi="Calibri"/>
      <w:kern w:val="2"/>
      <w:sz w:val="28"/>
    </w:rPr>
  </w:style>
  <w:style w:type="character" w:customStyle="1" w:styleId="248">
    <w:name w:val="mdeck"/>
    <w:qFormat/>
    <w:uiPriority w:val="0"/>
    <w:rPr>
      <w:rFonts w:ascii="仿宋_GB2312" w:eastAsia="微软雅黑"/>
      <w:b/>
      <w:kern w:val="2"/>
      <w:sz w:val="32"/>
      <w:szCs w:val="32"/>
      <w:lang w:val="en-US" w:eastAsia="zh-CN" w:bidi="ar-SA"/>
    </w:rPr>
  </w:style>
  <w:style w:type="character" w:customStyle="1" w:styleId="249">
    <w:name w:val="unnamed11"/>
    <w:qFormat/>
    <w:uiPriority w:val="0"/>
    <w:rPr>
      <w:sz w:val="20"/>
      <w:szCs w:val="20"/>
    </w:rPr>
  </w:style>
  <w:style w:type="character" w:customStyle="1" w:styleId="250">
    <w:name w:val="正文文本 Char2"/>
    <w:semiHidden/>
    <w:qFormat/>
    <w:uiPriority w:val="99"/>
    <w:rPr>
      <w:rFonts w:ascii="Times New Roman" w:hAnsi="Times New Roman" w:eastAsia="宋体" w:cs="Times New Roman"/>
      <w:snapToGrid w:val="0"/>
      <w:kern w:val="0"/>
      <w:szCs w:val="24"/>
    </w:rPr>
  </w:style>
  <w:style w:type="character" w:customStyle="1" w:styleId="251">
    <w:name w:val="标书正文格式 Char"/>
    <w:qFormat/>
    <w:uiPriority w:val="0"/>
    <w:rPr>
      <w:rFonts w:eastAsia="楷体_GB2312"/>
      <w:kern w:val="2"/>
      <w:sz w:val="24"/>
      <w:szCs w:val="24"/>
      <w:lang w:bidi="ar-SA"/>
    </w:rPr>
  </w:style>
  <w:style w:type="character" w:customStyle="1" w:styleId="252">
    <w:name w:val="Char Char11"/>
    <w:qFormat/>
    <w:locked/>
    <w:uiPriority w:val="0"/>
    <w:rPr>
      <w:rFonts w:ascii="宋体" w:hAnsi="宋体" w:eastAsia="宋体"/>
      <w:b/>
      <w:kern w:val="2"/>
      <w:sz w:val="24"/>
      <w:szCs w:val="24"/>
      <w:lang w:val="en-US" w:eastAsia="zh-CN" w:bidi="ar-SA"/>
    </w:rPr>
  </w:style>
  <w:style w:type="character" w:customStyle="1" w:styleId="253">
    <w:name w:val="ca-131"/>
    <w:qFormat/>
    <w:uiPriority w:val="0"/>
    <w:rPr>
      <w:rFonts w:hint="eastAsia" w:ascii="仿宋_GB2312" w:eastAsia="仿宋_GB2312"/>
      <w:b/>
      <w:bCs/>
      <w:color w:val="000000"/>
      <w:spacing w:val="-20"/>
      <w:sz w:val="24"/>
      <w:szCs w:val="24"/>
    </w:rPr>
  </w:style>
  <w:style w:type="character" w:customStyle="1" w:styleId="254">
    <w:name w:val="tw4winMark"/>
    <w:qFormat/>
    <w:uiPriority w:val="0"/>
    <w:rPr>
      <w:rFonts w:ascii="Courier New" w:hAnsi="Courier New" w:cs="Courier New"/>
      <w:vanish/>
      <w:color w:val="800080"/>
      <w:sz w:val="24"/>
      <w:szCs w:val="24"/>
      <w:vertAlign w:val="subscript"/>
    </w:rPr>
  </w:style>
  <w:style w:type="character" w:customStyle="1" w:styleId="255">
    <w:name w:val="正文样式 Char"/>
    <w:link w:val="256"/>
    <w:qFormat/>
    <w:uiPriority w:val="0"/>
    <w:rPr>
      <w:rFonts w:ascii="Calibri" w:hAnsi="Calibri"/>
      <w:sz w:val="24"/>
      <w:szCs w:val="24"/>
    </w:rPr>
  </w:style>
  <w:style w:type="paragraph" w:customStyle="1" w:styleId="256">
    <w:name w:val="正文样式"/>
    <w:basedOn w:val="1"/>
    <w:link w:val="255"/>
    <w:qFormat/>
    <w:uiPriority w:val="0"/>
    <w:pPr>
      <w:adjustRightInd/>
      <w:spacing w:line="360" w:lineRule="auto"/>
      <w:ind w:firstLine="480" w:firstLineChars="200"/>
    </w:pPr>
    <w:rPr>
      <w:kern w:val="0"/>
      <w:sz w:val="24"/>
    </w:rPr>
  </w:style>
  <w:style w:type="character" w:customStyle="1" w:styleId="257">
    <w:name w:val="表正文 Char3"/>
    <w:qFormat/>
    <w:uiPriority w:val="0"/>
    <w:rPr>
      <w:rFonts w:eastAsia="宋体"/>
    </w:rPr>
  </w:style>
  <w:style w:type="character" w:customStyle="1" w:styleId="258">
    <w:name w:val="H5 Char"/>
    <w:qFormat/>
    <w:uiPriority w:val="0"/>
    <w:rPr>
      <w:b/>
      <w:bCs/>
      <w:kern w:val="2"/>
      <w:sz w:val="28"/>
      <w:szCs w:val="28"/>
    </w:rPr>
  </w:style>
  <w:style w:type="character" w:customStyle="1" w:styleId="259">
    <w:name w:val="Char Char3"/>
    <w:qFormat/>
    <w:uiPriority w:val="0"/>
    <w:rPr>
      <w:rFonts w:eastAsia="宋体"/>
      <w:kern w:val="2"/>
      <w:sz w:val="21"/>
      <w:szCs w:val="24"/>
      <w:lang w:val="en-US" w:eastAsia="zh-CN" w:bidi="ar-SA"/>
    </w:rPr>
  </w:style>
  <w:style w:type="character" w:customStyle="1" w:styleId="260">
    <w:name w:val="正文 编号 Char"/>
    <w:qFormat/>
    <w:uiPriority w:val="0"/>
    <w:rPr>
      <w:rFonts w:ascii="仿宋_GB2312" w:hAnsi="仿宋_GB2312" w:eastAsia="仿宋_GB2312"/>
      <w:kern w:val="2"/>
      <w:sz w:val="24"/>
      <w:lang w:bidi="ar-SA"/>
    </w:rPr>
  </w:style>
  <w:style w:type="character" w:customStyle="1" w:styleId="261">
    <w:name w:val="question-title2"/>
    <w:qFormat/>
    <w:uiPriority w:val="6"/>
    <w:rPr>
      <w:rFonts w:ascii="Arial" w:hAnsi="Arial" w:eastAsia="黑体" w:cs="Arial"/>
      <w:snapToGrid w:val="0"/>
      <w:kern w:val="0"/>
      <w:szCs w:val="21"/>
    </w:rPr>
  </w:style>
  <w:style w:type="character" w:customStyle="1" w:styleId="262">
    <w:name w:val="gf正文1 Char Char"/>
    <w:link w:val="263"/>
    <w:qFormat/>
    <w:uiPriority w:val="0"/>
    <w:rPr>
      <w:rFonts w:ascii="宋体" w:hAnsi="宋体" w:cs="宋体"/>
      <w:kern w:val="2"/>
      <w:sz w:val="24"/>
      <w:szCs w:val="24"/>
    </w:rPr>
  </w:style>
  <w:style w:type="paragraph" w:customStyle="1" w:styleId="263">
    <w:name w:val="gf正文1"/>
    <w:basedOn w:val="1"/>
    <w:link w:val="26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4">
    <w:name w:val="Char Char15"/>
    <w:qFormat/>
    <w:uiPriority w:val="6"/>
    <w:rPr>
      <w:rFonts w:ascii="宋体" w:hAnsi="宋体"/>
      <w:kern w:val="1"/>
      <w:sz w:val="21"/>
    </w:rPr>
  </w:style>
  <w:style w:type="character" w:customStyle="1" w:styleId="265">
    <w:name w:val="正文缩进 Char3"/>
    <w:qFormat/>
    <w:uiPriority w:val="0"/>
    <w:rPr>
      <w:rFonts w:ascii="宋体" w:eastAsia="宋体"/>
      <w:snapToGrid w:val="0"/>
      <w:color w:val="000000"/>
      <w:kern w:val="28"/>
      <w:sz w:val="28"/>
      <w:lang w:val="en-US" w:eastAsia="zh-CN" w:bidi="ar-SA"/>
    </w:rPr>
  </w:style>
  <w:style w:type="character" w:customStyle="1" w:styleId="266">
    <w:name w:val="列出段落 Char1"/>
    <w:link w:val="267"/>
    <w:qFormat/>
    <w:uiPriority w:val="0"/>
    <w:rPr>
      <w:rFonts w:ascii="Calibri" w:hAnsi="Calibri"/>
      <w:sz w:val="24"/>
      <w:lang w:eastAsia="en-US"/>
    </w:rPr>
  </w:style>
  <w:style w:type="paragraph" w:customStyle="1" w:styleId="267">
    <w:name w:val="列表1"/>
    <w:basedOn w:val="1"/>
    <w:next w:val="25"/>
    <w:link w:val="266"/>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8">
    <w:name w:val="Char Char8"/>
    <w:qFormat/>
    <w:uiPriority w:val="0"/>
    <w:rPr>
      <w:rFonts w:eastAsia="宋体"/>
      <w:b/>
      <w:sz w:val="24"/>
      <w:lang w:val="en-GB" w:eastAsia="zh-CN"/>
    </w:rPr>
  </w:style>
  <w:style w:type="character" w:customStyle="1" w:styleId="269">
    <w:name w:val="Normal Indent Char Char"/>
    <w:qFormat/>
    <w:uiPriority w:val="0"/>
    <w:rPr>
      <w:rFonts w:eastAsia="宋体"/>
      <w:kern w:val="2"/>
      <w:sz w:val="21"/>
      <w:lang w:val="en-US" w:eastAsia="zh-CN" w:bidi="ar-SA"/>
    </w:rPr>
  </w:style>
  <w:style w:type="character" w:customStyle="1" w:styleId="270">
    <w:name w:val="列表段落 字符"/>
    <w:qFormat/>
    <w:uiPriority w:val="99"/>
  </w:style>
  <w:style w:type="character" w:customStyle="1" w:styleId="271">
    <w:name w:val="Ò³Ã¼ Char Char1"/>
    <w:qFormat/>
    <w:uiPriority w:val="0"/>
    <w:rPr>
      <w:rFonts w:eastAsia="宋体"/>
      <w:kern w:val="2"/>
      <w:sz w:val="18"/>
      <w:szCs w:val="18"/>
      <w:lang w:val="en-US" w:eastAsia="zh-CN" w:bidi="ar-SA"/>
    </w:rPr>
  </w:style>
  <w:style w:type="character" w:customStyle="1" w:styleId="272">
    <w:name w:val="方案正文 Char"/>
    <w:qFormat/>
    <w:uiPriority w:val="0"/>
    <w:rPr>
      <w:rFonts w:ascii="仿宋_GB2312" w:eastAsia="仿宋_GB2312"/>
      <w:b/>
      <w:color w:val="000000"/>
      <w:kern w:val="2"/>
      <w:sz w:val="24"/>
      <w:lang w:val="en-US" w:eastAsia="zh-CN" w:bidi="ar-SA"/>
    </w:rPr>
  </w:style>
  <w:style w:type="character" w:customStyle="1" w:styleId="273">
    <w:name w:val="Char Char30"/>
    <w:qFormat/>
    <w:uiPriority w:val="6"/>
    <w:rPr>
      <w:rFonts w:ascii="Arial" w:hAnsi="Arial" w:eastAsia="黑体"/>
      <w:kern w:val="1"/>
      <w:sz w:val="21"/>
      <w:szCs w:val="21"/>
    </w:rPr>
  </w:style>
  <w:style w:type="character" w:customStyle="1" w:styleId="274">
    <w:name w:val="正文文本缩进 Char3"/>
    <w:link w:val="32"/>
    <w:qFormat/>
    <w:uiPriority w:val="0"/>
    <w:rPr>
      <w:rFonts w:ascii="宋体" w:hAnsi="宋体"/>
      <w:kern w:val="2"/>
      <w:sz w:val="24"/>
      <w:szCs w:val="24"/>
    </w:rPr>
  </w:style>
  <w:style w:type="character" w:customStyle="1" w:styleId="275">
    <w:name w:val="font01"/>
    <w:qFormat/>
    <w:uiPriority w:val="0"/>
    <w:rPr>
      <w:rFonts w:hint="eastAsia" w:ascii="微软雅黑" w:hAnsi="微软雅黑" w:eastAsia="微软雅黑" w:cs="微软雅黑"/>
      <w:color w:val="000000"/>
      <w:sz w:val="20"/>
      <w:szCs w:val="20"/>
      <w:u w:val="none"/>
    </w:rPr>
  </w:style>
  <w:style w:type="character" w:customStyle="1" w:styleId="276">
    <w:name w:val="Char Char20"/>
    <w:qFormat/>
    <w:uiPriority w:val="6"/>
    <w:rPr>
      <w:kern w:val="1"/>
      <w:sz w:val="24"/>
    </w:rPr>
  </w:style>
  <w:style w:type="character" w:customStyle="1" w:styleId="277">
    <w:name w:val="tw4winExternal"/>
    <w:qFormat/>
    <w:uiPriority w:val="0"/>
    <w:rPr>
      <w:rFonts w:ascii="Courier New" w:hAnsi="Courier New" w:cs="Courier New"/>
      <w:color w:val="808080"/>
      <w:lang w:val="en-US" w:eastAsia="zh-CN"/>
    </w:rPr>
  </w:style>
  <w:style w:type="character" w:customStyle="1" w:styleId="278">
    <w:name w:val="标题 4 Char1"/>
    <w:qFormat/>
    <w:uiPriority w:val="9"/>
    <w:rPr>
      <w:rFonts w:ascii="Cambria" w:hAnsi="Cambria" w:eastAsia="宋体" w:cs="Times New Roman"/>
      <w:b/>
      <w:bCs/>
      <w:kern w:val="2"/>
      <w:sz w:val="28"/>
      <w:szCs w:val="28"/>
    </w:rPr>
  </w:style>
  <w:style w:type="character" w:customStyle="1" w:styleId="279">
    <w:name w:val="批注文字 Char2"/>
    <w:qFormat/>
    <w:uiPriority w:val="99"/>
    <w:rPr>
      <w:rFonts w:ascii="Times New Roman" w:hAnsi="Times New Roman" w:eastAsia="宋体" w:cs="Times New Roman"/>
      <w:snapToGrid w:val="0"/>
      <w:kern w:val="0"/>
      <w:szCs w:val="24"/>
    </w:rPr>
  </w:style>
  <w:style w:type="character" w:customStyle="1" w:styleId="280">
    <w:name w:val="正文文本 2 Char"/>
    <w:qFormat/>
    <w:uiPriority w:val="0"/>
    <w:rPr>
      <w:rFonts w:eastAsia="宋体"/>
      <w:kern w:val="2"/>
      <w:sz w:val="21"/>
      <w:szCs w:val="24"/>
      <w:lang w:val="en-US" w:eastAsia="zh-CN" w:bidi="ar-SA"/>
    </w:rPr>
  </w:style>
  <w:style w:type="character" w:customStyle="1" w:styleId="281">
    <w:name w:val="Ò³Ã¼ Char Char"/>
    <w:qFormat/>
    <w:uiPriority w:val="0"/>
    <w:rPr>
      <w:rFonts w:eastAsia="宋体"/>
      <w:kern w:val="2"/>
      <w:sz w:val="18"/>
      <w:lang w:val="en-US" w:eastAsia="zh-CN" w:bidi="ar-SA"/>
    </w:rPr>
  </w:style>
  <w:style w:type="character" w:customStyle="1" w:styleId="282">
    <w:name w:val="message1"/>
    <w:qFormat/>
    <w:uiPriority w:val="0"/>
    <w:rPr>
      <w:rFonts w:hint="default" w:ascii="Tahoma" w:hAnsi="Tahoma" w:cs="Tahoma"/>
      <w:sz w:val="18"/>
      <w:szCs w:val="18"/>
    </w:rPr>
  </w:style>
  <w:style w:type="character" w:customStyle="1" w:styleId="283">
    <w:name w:val="Char Char23"/>
    <w:qFormat/>
    <w:uiPriority w:val="6"/>
    <w:rPr>
      <w:color w:val="0000FF"/>
      <w:sz w:val="21"/>
    </w:rPr>
  </w:style>
  <w:style w:type="character" w:customStyle="1" w:styleId="284">
    <w:name w:val="批注框文本 字符"/>
    <w:qFormat/>
    <w:uiPriority w:val="0"/>
    <w:rPr>
      <w:rFonts w:ascii="Arial" w:hAnsi="Arial" w:eastAsia="黑体" w:cs="Arial"/>
      <w:snapToGrid w:val="0"/>
      <w:kern w:val="0"/>
      <w:sz w:val="18"/>
      <w:szCs w:val="18"/>
    </w:rPr>
  </w:style>
  <w:style w:type="character" w:customStyle="1" w:styleId="285">
    <w:name w:val="纯文本 Char2"/>
    <w:semiHidden/>
    <w:qFormat/>
    <w:uiPriority w:val="99"/>
    <w:rPr>
      <w:rFonts w:ascii="宋体" w:hAnsi="Courier New" w:eastAsia="宋体" w:cs="Courier New"/>
    </w:rPr>
  </w:style>
  <w:style w:type="character" w:customStyle="1" w:styleId="286">
    <w:name w:val="Char Char25"/>
    <w:qFormat/>
    <w:uiPriority w:val="6"/>
    <w:rPr>
      <w:rFonts w:ascii="宋体" w:hAnsi="宋体"/>
      <w:kern w:val="1"/>
      <w:sz w:val="24"/>
      <w:lang w:val="zh-CN"/>
    </w:rPr>
  </w:style>
  <w:style w:type="character" w:customStyle="1" w:styleId="287">
    <w:name w:val="Char Char411"/>
    <w:qFormat/>
    <w:uiPriority w:val="0"/>
    <w:rPr>
      <w:rFonts w:eastAsia="宋体"/>
      <w:b/>
      <w:sz w:val="24"/>
      <w:lang w:val="en-GB" w:eastAsia="zh-CN" w:bidi="ar-SA"/>
    </w:rPr>
  </w:style>
  <w:style w:type="character" w:customStyle="1" w:styleId="288">
    <w:name w:val="Heading 7 Char"/>
    <w:qFormat/>
    <w:locked/>
    <w:uiPriority w:val="0"/>
    <w:rPr>
      <w:rFonts w:ascii="宋体" w:hAnsi="宋体" w:eastAsia="宋体"/>
      <w:b/>
      <w:bCs/>
      <w:kern w:val="2"/>
      <w:sz w:val="24"/>
      <w:szCs w:val="24"/>
      <w:lang w:val="en-US" w:eastAsia="zh-CN" w:bidi="ar-SA"/>
    </w:rPr>
  </w:style>
  <w:style w:type="character" w:customStyle="1" w:styleId="289">
    <w:name w:val="此正文 Char"/>
    <w:link w:val="290"/>
    <w:qFormat/>
    <w:uiPriority w:val="0"/>
    <w:rPr>
      <w:kern w:val="2"/>
      <w:sz w:val="24"/>
      <w:szCs w:val="24"/>
    </w:rPr>
  </w:style>
  <w:style w:type="paragraph" w:customStyle="1" w:styleId="290">
    <w:name w:val="此正文"/>
    <w:basedOn w:val="1"/>
    <w:link w:val="289"/>
    <w:qFormat/>
    <w:uiPriority w:val="0"/>
    <w:pPr>
      <w:adjustRightInd/>
      <w:spacing w:line="360" w:lineRule="auto"/>
      <w:ind w:firstLine="200" w:firstLineChars="200"/>
    </w:pPr>
    <w:rPr>
      <w:sz w:val="24"/>
    </w:rPr>
  </w:style>
  <w:style w:type="character" w:customStyle="1" w:styleId="291">
    <w:name w:val="Char Char2"/>
    <w:qFormat/>
    <w:uiPriority w:val="0"/>
    <w:rPr>
      <w:rFonts w:eastAsia="宋体"/>
      <w:b/>
      <w:bCs/>
      <w:kern w:val="2"/>
      <w:sz w:val="21"/>
      <w:szCs w:val="24"/>
      <w:lang w:val="en-US" w:eastAsia="zh-CN" w:bidi="ar-SA"/>
    </w:rPr>
  </w:style>
  <w:style w:type="character" w:customStyle="1" w:styleId="292">
    <w:name w:val="标题 1 Char"/>
    <w:link w:val="3"/>
    <w:qFormat/>
    <w:uiPriority w:val="9"/>
    <w:rPr>
      <w:b/>
      <w:bCs/>
      <w:kern w:val="44"/>
      <w:sz w:val="44"/>
      <w:szCs w:val="44"/>
    </w:rPr>
  </w:style>
  <w:style w:type="character" w:customStyle="1" w:styleId="293">
    <w:name w:val="Footer-Even Char1"/>
    <w:qFormat/>
    <w:uiPriority w:val="0"/>
    <w:rPr>
      <w:rFonts w:eastAsia="宋体"/>
      <w:kern w:val="2"/>
      <w:sz w:val="18"/>
      <w:szCs w:val="18"/>
      <w:lang w:val="en-US" w:eastAsia="zh-CN" w:bidi="ar-SA"/>
    </w:rPr>
  </w:style>
  <w:style w:type="character" w:customStyle="1" w:styleId="294">
    <w:name w:val="Char Char29"/>
    <w:qFormat/>
    <w:uiPriority w:val="6"/>
    <w:rPr>
      <w:rFonts w:ascii="Arial" w:hAnsi="Arial" w:eastAsia="微软雅黑"/>
      <w:b/>
      <w:kern w:val="1"/>
      <w:sz w:val="44"/>
      <w:szCs w:val="32"/>
      <w:lang w:val="en-US" w:eastAsia="zh-CN" w:bidi="ar-SA"/>
    </w:rPr>
  </w:style>
  <w:style w:type="character" w:customStyle="1" w:styleId="295">
    <w:name w:val="标题 Char2"/>
    <w:link w:val="68"/>
    <w:qFormat/>
    <w:uiPriority w:val="10"/>
    <w:rPr>
      <w:b/>
      <w:sz w:val="24"/>
      <w:lang w:val="en-GB"/>
    </w:rPr>
  </w:style>
  <w:style w:type="character" w:customStyle="1" w:styleId="296">
    <w:name w:val="font81"/>
    <w:qFormat/>
    <w:uiPriority w:val="0"/>
    <w:rPr>
      <w:rFonts w:ascii="微软雅黑" w:hAnsi="微软雅黑" w:eastAsia="微软雅黑" w:cs="微软雅黑"/>
      <w:color w:val="000000"/>
      <w:sz w:val="20"/>
      <w:szCs w:val="20"/>
      <w:u w:val="none"/>
    </w:rPr>
  </w:style>
  <w:style w:type="character" w:customStyle="1" w:styleId="297">
    <w:name w:val="Char Char312"/>
    <w:qFormat/>
    <w:uiPriority w:val="0"/>
    <w:rPr>
      <w:rFonts w:ascii="Times New Roman" w:hAnsi="Times New Roman" w:eastAsia="宋体" w:cs="Times New Roman"/>
      <w:b/>
      <w:kern w:val="2"/>
      <w:sz w:val="32"/>
      <w:szCs w:val="24"/>
      <w:lang w:val="en-US" w:eastAsia="zh-CN" w:bidi="ar-SA"/>
    </w:rPr>
  </w:style>
  <w:style w:type="character" w:customStyle="1" w:styleId="298">
    <w:name w:val="t21"/>
    <w:qFormat/>
    <w:uiPriority w:val="0"/>
    <w:rPr>
      <w:rFonts w:ascii="仿宋_GB2312" w:eastAsia="微软雅黑"/>
      <w:b/>
      <w:kern w:val="2"/>
      <w:sz w:val="23"/>
      <w:szCs w:val="23"/>
      <w:lang w:val="en-US" w:eastAsia="zh-CN" w:bidi="ar-SA"/>
    </w:rPr>
  </w:style>
  <w:style w:type="character" w:customStyle="1" w:styleId="299">
    <w:name w:val="样式8 Char"/>
    <w:qFormat/>
    <w:uiPriority w:val="0"/>
    <w:rPr>
      <w:rFonts w:ascii="仿宋_GB2312" w:hAnsi="宋体" w:eastAsia="仿宋_GB2312"/>
      <w:b/>
      <w:bCs/>
      <w:kern w:val="2"/>
      <w:sz w:val="24"/>
      <w:szCs w:val="24"/>
    </w:rPr>
  </w:style>
  <w:style w:type="character" w:customStyle="1" w:styleId="300">
    <w:name w:val="表格 Char Char"/>
    <w:qFormat/>
    <w:uiPriority w:val="0"/>
    <w:rPr>
      <w:rFonts w:ascii="宋体" w:hAnsi="宋体" w:eastAsia="宋体"/>
      <w:lang w:bidi="ar-SA"/>
    </w:rPr>
  </w:style>
  <w:style w:type="character" w:customStyle="1" w:styleId="301">
    <w:name w:val="正文文本 字符1"/>
    <w:qFormat/>
    <w:uiPriority w:val="0"/>
    <w:rPr>
      <w:rFonts w:ascii="Calibri" w:hAnsi="Calibri" w:eastAsia="黑体" w:cs="Arial"/>
      <w:snapToGrid w:val="0"/>
      <w:kern w:val="2"/>
      <w:sz w:val="28"/>
      <w:szCs w:val="21"/>
    </w:rPr>
  </w:style>
  <w:style w:type="character" w:customStyle="1" w:styleId="302">
    <w:name w:val="标题 5 Char"/>
    <w:link w:val="7"/>
    <w:qFormat/>
    <w:uiPriority w:val="9"/>
    <w:rPr>
      <w:b/>
      <w:bCs/>
      <w:kern w:val="2"/>
      <w:sz w:val="28"/>
      <w:szCs w:val="28"/>
    </w:rPr>
  </w:style>
  <w:style w:type="character" w:customStyle="1" w:styleId="303">
    <w:name w:val="标题 6 Char1"/>
    <w:qFormat/>
    <w:uiPriority w:val="0"/>
    <w:rPr>
      <w:rFonts w:ascii="Arial" w:hAnsi="Arial" w:eastAsia="黑体" w:cs="Times New Roman"/>
      <w:b/>
      <w:sz w:val="24"/>
      <w:szCs w:val="20"/>
      <w:lang w:bidi="ar-SA"/>
    </w:rPr>
  </w:style>
  <w:style w:type="character" w:customStyle="1" w:styleId="304">
    <w:name w:val="带编号样式 Char"/>
    <w:qFormat/>
    <w:uiPriority w:val="0"/>
    <w:rPr>
      <w:rFonts w:ascii="仿宋_GB2312" w:eastAsia="仿宋_GB2312"/>
      <w:color w:val="000000"/>
      <w:sz w:val="24"/>
      <w:lang w:bidi="ar-SA"/>
    </w:rPr>
  </w:style>
  <w:style w:type="character" w:customStyle="1" w:styleId="305">
    <w:name w:val="unnamed31"/>
    <w:qFormat/>
    <w:uiPriority w:val="0"/>
    <w:rPr>
      <w:rFonts w:ascii="Tahoma" w:hAnsi="Tahoma" w:eastAsia="宋体"/>
      <w:b/>
      <w:kern w:val="2"/>
      <w:sz w:val="24"/>
      <w:szCs w:val="32"/>
      <w:u w:val="none"/>
      <w:lang w:val="en-US" w:eastAsia="zh-CN" w:bidi="ar-SA"/>
    </w:rPr>
  </w:style>
  <w:style w:type="character" w:customStyle="1" w:styleId="306">
    <w:name w:val="正文首行缩进 Char Char Char Char Char Char1"/>
    <w:qFormat/>
    <w:uiPriority w:val="0"/>
    <w:rPr>
      <w:rFonts w:ascii="宋体" w:eastAsia="宋体"/>
      <w:kern w:val="2"/>
      <w:sz w:val="24"/>
      <w:szCs w:val="24"/>
      <w:lang w:val="zh-CN" w:bidi="ar-SA"/>
    </w:rPr>
  </w:style>
  <w:style w:type="character" w:customStyle="1" w:styleId="307">
    <w:name w:val="称呼 Char"/>
    <w:link w:val="28"/>
    <w:qFormat/>
    <w:uiPriority w:val="0"/>
    <w:rPr>
      <w:rFonts w:ascii="仿宋_GB2312" w:eastAsia="仿宋_GB2312"/>
      <w:kern w:val="2"/>
      <w:sz w:val="28"/>
    </w:rPr>
  </w:style>
  <w:style w:type="character" w:customStyle="1" w:styleId="308">
    <w:name w:val="文本正文 Char Char"/>
    <w:qFormat/>
    <w:locked/>
    <w:uiPriority w:val="0"/>
    <w:rPr>
      <w:sz w:val="24"/>
      <w:lang w:bidi="ar-SA"/>
    </w:rPr>
  </w:style>
  <w:style w:type="character" w:customStyle="1" w:styleId="309">
    <w:name w:val="正文缩进 字符"/>
    <w:qFormat/>
    <w:uiPriority w:val="0"/>
    <w:rPr>
      <w:rFonts w:ascii="宋体" w:eastAsia="宋体"/>
      <w:snapToGrid w:val="0"/>
      <w:color w:val="000000"/>
      <w:kern w:val="28"/>
      <w:sz w:val="28"/>
      <w:lang w:val="en-US" w:eastAsia="zh-CN" w:bidi="ar-SA"/>
    </w:rPr>
  </w:style>
  <w:style w:type="character" w:customStyle="1" w:styleId="310">
    <w:name w:val="HTML 预设格式 Char"/>
    <w:link w:val="66"/>
    <w:qFormat/>
    <w:uiPriority w:val="0"/>
    <w:rPr>
      <w:rFonts w:ascii="黑体" w:hAnsi="Courier New" w:eastAsia="黑体"/>
    </w:rPr>
  </w:style>
  <w:style w:type="character" w:customStyle="1" w:styleId="311">
    <w:name w:val="正文文本 2 Char1"/>
    <w:link w:val="22"/>
    <w:qFormat/>
    <w:uiPriority w:val="0"/>
    <w:rPr>
      <w:kern w:val="2"/>
      <w:sz w:val="21"/>
      <w:szCs w:val="24"/>
    </w:rPr>
  </w:style>
  <w:style w:type="character" w:customStyle="1" w:styleId="312">
    <w:name w:val="样式 样式 标题 4h4H4Fab-4T5Ref Heading 1rh1Heading sqlsect 1.2.3.... +... Char"/>
    <w:link w:val="313"/>
    <w:qFormat/>
    <w:uiPriority w:val="0"/>
    <w:rPr>
      <w:rFonts w:ascii="微软雅黑" w:hAnsi="微软雅黑" w:eastAsia="微软雅黑"/>
      <w:b/>
      <w:bCs/>
      <w:kern w:val="2"/>
      <w:sz w:val="24"/>
      <w:szCs w:val="28"/>
    </w:rPr>
  </w:style>
  <w:style w:type="paragraph" w:customStyle="1" w:styleId="313">
    <w:name w:val="样式 样式 标题 4h4H4Fab-4T5Ref Heading 1rh1Heading sqlsect 1.2.3.... +..."/>
    <w:basedOn w:val="314"/>
    <w:link w:val="312"/>
    <w:qFormat/>
    <w:uiPriority w:val="0"/>
    <w:pPr>
      <w:tabs>
        <w:tab w:val="left" w:pos="2356"/>
      </w:tabs>
    </w:pPr>
  </w:style>
  <w:style w:type="paragraph" w:customStyle="1" w:styleId="314">
    <w:name w:val="样式 标题 4h4H4Fab-4T5Ref Heading 1rh1Heading sqlsect 1.2.3...."/>
    <w:basedOn w:val="6"/>
    <w:link w:val="4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5">
    <w:name w:val="正文非缩进 Char"/>
    <w:qFormat/>
    <w:uiPriority w:val="0"/>
    <w:rPr>
      <w:rFonts w:ascii="宋体" w:eastAsia="宋体"/>
      <w:snapToGrid w:val="0"/>
      <w:color w:val="000000"/>
      <w:kern w:val="28"/>
      <w:sz w:val="28"/>
      <w:lang w:val="en-US" w:eastAsia="zh-CN" w:bidi="ar-SA"/>
    </w:rPr>
  </w:style>
  <w:style w:type="character" w:customStyle="1" w:styleId="316">
    <w:name w:val="标题 7 Char"/>
    <w:link w:val="9"/>
    <w:qFormat/>
    <w:uiPriority w:val="0"/>
    <w:rPr>
      <w:b/>
      <w:bCs/>
      <w:kern w:val="2"/>
      <w:sz w:val="24"/>
      <w:szCs w:val="24"/>
    </w:rPr>
  </w:style>
  <w:style w:type="character" w:customStyle="1" w:styleId="317">
    <w:name w:val="正文文本缩进 2 Char"/>
    <w:link w:val="47"/>
    <w:qFormat/>
    <w:uiPriority w:val="0"/>
    <w:rPr>
      <w:rFonts w:ascii="宋体"/>
      <w:sz w:val="28"/>
    </w:rPr>
  </w:style>
  <w:style w:type="character" w:customStyle="1" w:styleId="318">
    <w:name w:val="Char Char5"/>
    <w:qFormat/>
    <w:uiPriority w:val="0"/>
    <w:rPr>
      <w:rFonts w:ascii="宋体" w:hAnsi="Courier New" w:eastAsia="宋体"/>
      <w:kern w:val="2"/>
      <w:sz w:val="21"/>
      <w:lang w:val="en-US" w:eastAsia="zh-CN"/>
    </w:rPr>
  </w:style>
  <w:style w:type="character" w:customStyle="1" w:styleId="319">
    <w:name w:val="脚注文本 Char"/>
    <w:link w:val="60"/>
    <w:qFormat/>
    <w:uiPriority w:val="0"/>
    <w:rPr>
      <w:color w:val="0000FF"/>
      <w:sz w:val="21"/>
    </w:rPr>
  </w:style>
  <w:style w:type="character" w:customStyle="1" w:styleId="320">
    <w:name w:val="称呼 Char1"/>
    <w:qFormat/>
    <w:uiPriority w:val="0"/>
    <w:rPr>
      <w:rFonts w:ascii="Times New Roman" w:hAnsi="Times New Roman" w:eastAsia="宋体" w:cs="Times New Roman"/>
      <w:szCs w:val="24"/>
    </w:rPr>
  </w:style>
  <w:style w:type="character" w:customStyle="1" w:styleId="321">
    <w:name w:val="正文1 Char"/>
    <w:qFormat/>
    <w:uiPriority w:val="0"/>
    <w:rPr>
      <w:rFonts w:ascii="宋体" w:eastAsia="宋体"/>
      <w:snapToGrid w:val="0"/>
      <w:color w:val="000000"/>
      <w:kern w:val="28"/>
      <w:sz w:val="28"/>
      <w:lang w:val="en-US" w:eastAsia="zh-CN" w:bidi="ar-SA"/>
    </w:rPr>
  </w:style>
  <w:style w:type="character" w:customStyle="1" w:styleId="322">
    <w:name w:val="正文缩进 Char1"/>
    <w:qFormat/>
    <w:uiPriority w:val="0"/>
    <w:rPr>
      <w:rFonts w:ascii="宋体" w:eastAsia="宋体"/>
      <w:snapToGrid w:val="0"/>
      <w:color w:val="000000"/>
      <w:kern w:val="28"/>
      <w:sz w:val="28"/>
      <w:lang w:val="en-US" w:eastAsia="zh-CN" w:bidi="ar-SA"/>
    </w:rPr>
  </w:style>
  <w:style w:type="character" w:customStyle="1" w:styleId="323">
    <w:name w:val="font21"/>
    <w:qFormat/>
    <w:uiPriority w:val="0"/>
    <w:rPr>
      <w:rFonts w:hint="eastAsia" w:ascii="宋体" w:hAnsi="宋体" w:eastAsia="宋体"/>
      <w:kern w:val="2"/>
      <w:sz w:val="28"/>
      <w:szCs w:val="28"/>
      <w:lang w:val="en-US" w:eastAsia="zh-CN" w:bidi="ar-SA"/>
    </w:rPr>
  </w:style>
  <w:style w:type="character" w:customStyle="1" w:styleId="324">
    <w:name w:val="Char Char26"/>
    <w:qFormat/>
    <w:uiPriority w:val="6"/>
    <w:rPr>
      <w:kern w:val="1"/>
      <w:sz w:val="21"/>
      <w:szCs w:val="24"/>
    </w:rPr>
  </w:style>
  <w:style w:type="character" w:customStyle="1" w:styleId="325">
    <w:name w:val="Item List Char"/>
    <w:link w:val="326"/>
    <w:qFormat/>
    <w:uiPriority w:val="0"/>
    <w:rPr>
      <w:rFonts w:ascii="Arial"/>
      <w:bCs/>
      <w:sz w:val="21"/>
      <w:szCs w:val="21"/>
      <w:lang w:val="en-US" w:eastAsia="zh-CN" w:bidi="ar-SA"/>
    </w:rPr>
  </w:style>
  <w:style w:type="paragraph" w:customStyle="1" w:styleId="326">
    <w:name w:val="Item List"/>
    <w:link w:val="32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7">
    <w:name w:val="批注框文本 Char1"/>
    <w:qFormat/>
    <w:uiPriority w:val="0"/>
    <w:rPr>
      <w:rFonts w:ascii="Times New Roman" w:hAnsi="Times New Roman" w:eastAsia="宋体" w:cs="Times New Roman"/>
      <w:sz w:val="18"/>
      <w:szCs w:val="18"/>
    </w:rPr>
  </w:style>
  <w:style w:type="character" w:customStyle="1" w:styleId="328">
    <w:name w:val="纯文本 Char1"/>
    <w:link w:val="329"/>
    <w:qFormat/>
    <w:uiPriority w:val="0"/>
    <w:rPr>
      <w:rFonts w:ascii="宋体" w:hAnsi="Courier New"/>
    </w:rPr>
  </w:style>
  <w:style w:type="paragraph" w:customStyle="1" w:styleId="329">
    <w:name w:val="纯文本1"/>
    <w:basedOn w:val="1"/>
    <w:link w:val="328"/>
    <w:qFormat/>
    <w:uiPriority w:val="0"/>
    <w:pPr>
      <w:adjustRightInd/>
    </w:pPr>
    <w:rPr>
      <w:rFonts w:ascii="宋体" w:hAnsi="Courier New"/>
      <w:kern w:val="0"/>
      <w:sz w:val="20"/>
      <w:szCs w:val="20"/>
    </w:rPr>
  </w:style>
  <w:style w:type="character" w:customStyle="1" w:styleId="330">
    <w:name w:val="正文首行缩进 Char"/>
    <w:link w:val="70"/>
    <w:qFormat/>
    <w:uiPriority w:val="0"/>
    <w:rPr>
      <w:rFonts w:ascii="宋体"/>
      <w:kern w:val="2"/>
      <w:sz w:val="24"/>
      <w:lang w:val="zh-CN"/>
    </w:rPr>
  </w:style>
  <w:style w:type="character" w:customStyle="1" w:styleId="331">
    <w:name w:val="h3 Char"/>
    <w:qFormat/>
    <w:uiPriority w:val="0"/>
    <w:rPr>
      <w:rFonts w:eastAsia="宋体"/>
      <w:b/>
      <w:kern w:val="2"/>
      <w:sz w:val="32"/>
      <w:lang w:val="en-US" w:eastAsia="zh-CN" w:bidi="ar-SA"/>
    </w:rPr>
  </w:style>
  <w:style w:type="character" w:customStyle="1" w:styleId="332">
    <w:name w:val="dandyren_title1"/>
    <w:qFormat/>
    <w:uiPriority w:val="0"/>
    <w:rPr>
      <w:b/>
      <w:bCs/>
      <w:color w:val="FF6633"/>
      <w:sz w:val="18"/>
      <w:szCs w:val="18"/>
    </w:rPr>
  </w:style>
  <w:style w:type="character" w:customStyle="1" w:styleId="333">
    <w:name w:val="Char Char31"/>
    <w:qFormat/>
    <w:uiPriority w:val="6"/>
    <w:rPr>
      <w:rFonts w:ascii="Arial" w:hAnsi="Arial" w:eastAsia="黑体"/>
      <w:kern w:val="1"/>
      <w:sz w:val="24"/>
      <w:szCs w:val="24"/>
    </w:rPr>
  </w:style>
  <w:style w:type="character" w:customStyle="1" w:styleId="334">
    <w:name w:val="h Char1"/>
    <w:qFormat/>
    <w:uiPriority w:val="0"/>
    <w:rPr>
      <w:sz w:val="18"/>
      <w:szCs w:val="18"/>
    </w:rPr>
  </w:style>
  <w:style w:type="character" w:customStyle="1" w:styleId="335">
    <w:name w:val="solutionfonts"/>
    <w:qFormat/>
    <w:uiPriority w:val="0"/>
  </w:style>
  <w:style w:type="character" w:customStyle="1" w:styleId="336">
    <w:name w:val="标题 4 Char2"/>
    <w:link w:val="6"/>
    <w:qFormat/>
    <w:uiPriority w:val="9"/>
    <w:rPr>
      <w:rFonts w:ascii="Arial" w:hAnsi="Arial" w:eastAsia="黑体"/>
      <w:b/>
      <w:bCs/>
      <w:kern w:val="2"/>
      <w:sz w:val="28"/>
      <w:szCs w:val="28"/>
      <w:lang w:val="zh-CN"/>
    </w:rPr>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正文文本 3 Char"/>
    <w:link w:val="29"/>
    <w:qFormat/>
    <w:uiPriority w:val="0"/>
    <w:rPr>
      <w:kern w:val="2"/>
      <w:sz w:val="21"/>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批注文字 Char1"/>
    <w:link w:val="19"/>
    <w:qFormat/>
    <w:uiPriority w:val="99"/>
    <w:rPr>
      <w:kern w:val="2"/>
      <w:sz w:val="21"/>
      <w:szCs w:val="24"/>
    </w:rPr>
  </w:style>
  <w:style w:type="character" w:customStyle="1" w:styleId="354">
    <w:name w:val="签名 Char"/>
    <w:link w:val="52"/>
    <w:qFormat/>
    <w:uiPriority w:val="0"/>
    <w:rPr>
      <w:rFonts w:eastAsia="仿宋_GB2312"/>
      <w:sz w:val="24"/>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标题 4 字符"/>
    <w:qFormat/>
    <w:uiPriority w:val="9"/>
    <w:rPr>
      <w:rFonts w:ascii="等线 Light" w:hAnsi="等线 Light" w:eastAsia="等线 Light" w:cs="Times New Roman"/>
      <w:b/>
      <w:bCs/>
      <w:snapToGrid w:val="0"/>
      <w:kern w:val="0"/>
      <w:sz w:val="28"/>
      <w:szCs w:val="28"/>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semiHidden/>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题 8 Char"/>
    <w:link w:val="10"/>
    <w:qFormat/>
    <w:uiPriority w:val="0"/>
    <w:rPr>
      <w:rFonts w:ascii="Arial" w:hAnsi="Arial" w:eastAsia="黑体"/>
      <w:kern w:val="2"/>
      <w:sz w:val="24"/>
      <w:szCs w:val="24"/>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正文文本缩进 3 Char"/>
    <w:link w:val="63"/>
    <w:qFormat/>
    <w:uiPriority w:val="0"/>
    <w:rPr>
      <w:kern w:val="2"/>
      <w:sz w:val="24"/>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页脚 Char2"/>
    <w:link w:val="50"/>
    <w:qFormat/>
    <w:locked/>
    <w:uiPriority w:val="99"/>
    <w:rPr>
      <w:kern w:val="2"/>
      <w:sz w:val="18"/>
      <w:szCs w:val="18"/>
    </w:rPr>
  </w:style>
  <w:style w:type="character" w:customStyle="1" w:styleId="393">
    <w:name w:val="Char Char36"/>
    <w:qFormat/>
    <w:uiPriority w:val="6"/>
    <w:rPr>
      <w:rFonts w:ascii="仿宋_GB2312" w:hAnsi="仿宋_GB2312" w:eastAsia="仿宋_GB2312" w:cs="Arial"/>
      <w:b/>
      <w:kern w:val="1"/>
      <w:sz w:val="32"/>
      <w:szCs w:val="32"/>
      <w:lang w:val="zh-CN" w:eastAsia="zh-CN" w:bidi="ar-SA"/>
    </w:rPr>
  </w:style>
  <w:style w:type="character" w:customStyle="1" w:styleId="394">
    <w:name w:val="Char Char61"/>
    <w:qFormat/>
    <w:uiPriority w:val="6"/>
    <w:rPr>
      <w:rFonts w:eastAsia="宋体"/>
      <w:kern w:val="2"/>
      <w:sz w:val="21"/>
      <w:szCs w:val="24"/>
      <w:lang w:val="en-US" w:eastAsia="zh-CN" w:bidi="ar-SA"/>
    </w:rPr>
  </w:style>
  <w:style w:type="character" w:customStyle="1" w:styleId="395">
    <w:name w:val="正文文字缩进 2 Char Char"/>
    <w:qFormat/>
    <w:uiPriority w:val="0"/>
    <w:rPr>
      <w:rFonts w:ascii="宋体"/>
      <w:sz w:val="28"/>
    </w:rPr>
  </w:style>
  <w:style w:type="character" w:customStyle="1" w:styleId="396">
    <w:name w:val="f141"/>
    <w:qFormat/>
    <w:uiPriority w:val="0"/>
    <w:rPr>
      <w:rFonts w:ascii="Tahoma" w:hAnsi="Tahoma" w:eastAsia="宋体"/>
      <w:b/>
      <w:kern w:val="2"/>
      <w:sz w:val="21"/>
      <w:szCs w:val="21"/>
      <w:lang w:val="en-US" w:eastAsia="zh-CN" w:bidi="ar-SA"/>
    </w:rPr>
  </w:style>
  <w:style w:type="character" w:customStyle="1" w:styleId="397">
    <w:name w:val="段落 Char Char"/>
    <w:link w:val="398"/>
    <w:qFormat/>
    <w:uiPriority w:val="0"/>
    <w:rPr>
      <w:rFonts w:ascii="宋体" w:hAnsi="宋体"/>
      <w:sz w:val="24"/>
    </w:rPr>
  </w:style>
  <w:style w:type="paragraph" w:customStyle="1" w:styleId="398">
    <w:name w:val="段落"/>
    <w:basedOn w:val="1"/>
    <w:link w:val="397"/>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qFormat/>
    <w:uiPriority w:val="0"/>
    <w:rPr>
      <w:rFonts w:eastAsia="宋体"/>
      <w:b/>
      <w:bCs/>
      <w:kern w:val="2"/>
      <w:sz w:val="32"/>
      <w:szCs w:val="32"/>
      <w:lang w:val="en-US" w:eastAsia="zh-CN" w:bidi="ar-SA"/>
    </w:rPr>
  </w:style>
  <w:style w:type="character" w:customStyle="1" w:styleId="400">
    <w:name w:val="apple-converted-space"/>
    <w:qFormat/>
    <w:uiPriority w:val="0"/>
  </w:style>
  <w:style w:type="character" w:customStyle="1" w:styleId="401">
    <w:name w:val="页眉 Char2"/>
    <w:link w:val="51"/>
    <w:qFormat/>
    <w:uiPriority w:val="99"/>
    <w:rPr>
      <w:kern w:val="2"/>
      <w:sz w:val="18"/>
      <w:szCs w:val="18"/>
    </w:rPr>
  </w:style>
  <w:style w:type="character" w:customStyle="1" w:styleId="402">
    <w:name w:val="Char Char9"/>
    <w:qFormat/>
    <w:uiPriority w:val="0"/>
    <w:rPr>
      <w:rFonts w:eastAsia="宋体"/>
      <w:kern w:val="2"/>
      <w:sz w:val="18"/>
      <w:szCs w:val="18"/>
      <w:lang w:val="en-US" w:eastAsia="zh-CN" w:bidi="ar-SA"/>
    </w:rPr>
  </w:style>
  <w:style w:type="character" w:customStyle="1" w:styleId="403">
    <w:name w:val="Char Char41"/>
    <w:qFormat/>
    <w:uiPriority w:val="0"/>
    <w:rPr>
      <w:rFonts w:eastAsia="宋体"/>
      <w:b/>
      <w:sz w:val="24"/>
      <w:lang w:val="en-GB" w:eastAsia="zh-CN" w:bidi="ar-SA"/>
    </w:rPr>
  </w:style>
  <w:style w:type="character" w:customStyle="1" w:styleId="404">
    <w:name w:val="large1"/>
    <w:qFormat/>
    <w:uiPriority w:val="0"/>
    <w:rPr>
      <w:rFonts w:hint="eastAsia" w:ascii="宋体" w:hAnsi="宋体" w:eastAsia="宋体"/>
      <w:sz w:val="21"/>
      <w:szCs w:val="21"/>
    </w:rPr>
  </w:style>
  <w:style w:type="character" w:customStyle="1" w:styleId="405">
    <w:name w:val="正文段 Char"/>
    <w:link w:val="406"/>
    <w:qFormat/>
    <w:uiPriority w:val="0"/>
    <w:rPr>
      <w:sz w:val="24"/>
    </w:rPr>
  </w:style>
  <w:style w:type="paragraph" w:customStyle="1" w:styleId="406">
    <w:name w:val="正文段"/>
    <w:basedOn w:val="1"/>
    <w:link w:val="405"/>
    <w:qFormat/>
    <w:uiPriority w:val="0"/>
    <w:pPr>
      <w:widowControl/>
      <w:snapToGrid w:val="0"/>
      <w:spacing w:after="156" w:afterLines="50"/>
      <w:ind w:firstLine="200" w:firstLineChars="200"/>
    </w:pPr>
    <w:rPr>
      <w:kern w:val="0"/>
      <w:sz w:val="24"/>
      <w:szCs w:val="20"/>
    </w:rPr>
  </w:style>
  <w:style w:type="character" w:customStyle="1" w:styleId="407">
    <w:name w:val="Char Char13"/>
    <w:qFormat/>
    <w:uiPriority w:val="6"/>
    <w:rPr>
      <w:rFonts w:ascii="宋体" w:hAnsi="宋体"/>
      <w:kern w:val="1"/>
      <w:sz w:val="21"/>
      <w:szCs w:val="24"/>
    </w:rPr>
  </w:style>
  <w:style w:type="character" w:customStyle="1" w:styleId="4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9">
    <w:name w:val="冯广丽 Char"/>
    <w:link w:val="410"/>
    <w:qFormat/>
    <w:uiPriority w:val="0"/>
    <w:rPr>
      <w:rFonts w:ascii="宋体" w:hAnsi="宋体"/>
      <w:kern w:val="2"/>
      <w:sz w:val="24"/>
      <w:szCs w:val="22"/>
    </w:rPr>
  </w:style>
  <w:style w:type="paragraph" w:customStyle="1" w:styleId="410">
    <w:name w:val="冯广丽"/>
    <w:basedOn w:val="1"/>
    <w:link w:val="409"/>
    <w:qFormat/>
    <w:uiPriority w:val="0"/>
    <w:pPr>
      <w:adjustRightInd/>
      <w:spacing w:line="360" w:lineRule="auto"/>
      <w:ind w:firstLine="480" w:firstLineChars="200"/>
    </w:pPr>
    <w:rPr>
      <w:rFonts w:ascii="宋体" w:hAnsi="宋体"/>
      <w:sz w:val="24"/>
      <w:szCs w:val="22"/>
    </w:rPr>
  </w:style>
  <w:style w:type="character" w:customStyle="1" w:styleId="411">
    <w:name w:val="批注文字 字符"/>
    <w:qFormat/>
    <w:uiPriority w:val="0"/>
    <w:rPr>
      <w:rFonts w:ascii="Arial" w:hAnsi="Arial" w:eastAsia="黑体" w:cs="Arial"/>
      <w:snapToGrid w:val="0"/>
      <w:kern w:val="0"/>
      <w:szCs w:val="21"/>
    </w:rPr>
  </w:style>
  <w:style w:type="character" w:customStyle="1" w:styleId="412">
    <w:name w:val="Char Char161"/>
    <w:qFormat/>
    <w:uiPriority w:val="0"/>
    <w:rPr>
      <w:rFonts w:eastAsia="宋体"/>
      <w:b/>
      <w:kern w:val="2"/>
      <w:sz w:val="32"/>
      <w:lang w:val="en-US" w:eastAsia="zh-CN"/>
    </w:rPr>
  </w:style>
  <w:style w:type="character" w:customStyle="1" w:styleId="413">
    <w:name w:val="javascript"/>
    <w:qFormat/>
    <w:uiPriority w:val="0"/>
  </w:style>
  <w:style w:type="character" w:customStyle="1" w:styleId="414">
    <w:name w:val="图名 Char"/>
    <w:qFormat/>
    <w:uiPriority w:val="0"/>
    <w:rPr>
      <w:rFonts w:ascii="Arial" w:hAnsi="Arial" w:eastAsia="黑体"/>
      <w:kern w:val="2"/>
      <w:sz w:val="24"/>
      <w:szCs w:val="24"/>
      <w:lang w:val="en-US" w:eastAsia="zh-CN" w:bidi="ar-SA"/>
    </w:rPr>
  </w:style>
  <w:style w:type="character" w:customStyle="1" w:styleId="415">
    <w:name w:val="Used by Word for text of Help footnotes Char Char"/>
    <w:qFormat/>
    <w:uiPriority w:val="0"/>
    <w:rPr>
      <w:rFonts w:ascii="Times New Roman" w:hAnsi="Times New Roman" w:eastAsia="宋体" w:cs="Times New Roman"/>
      <w:sz w:val="20"/>
      <w:szCs w:val="20"/>
    </w:rPr>
  </w:style>
  <w:style w:type="character" w:customStyle="1" w:styleId="416">
    <w:name w:val="编号，小四 Char"/>
    <w:link w:val="417"/>
    <w:qFormat/>
    <w:uiPriority w:val="0"/>
    <w:rPr>
      <w:rFonts w:ascii="Arial" w:hAnsi="Arial"/>
      <w:sz w:val="24"/>
    </w:rPr>
  </w:style>
  <w:style w:type="paragraph" w:customStyle="1" w:styleId="417">
    <w:name w:val="编号，小四"/>
    <w:basedOn w:val="1"/>
    <w:link w:val="416"/>
    <w:qFormat/>
    <w:uiPriority w:val="0"/>
    <w:pPr>
      <w:tabs>
        <w:tab w:val="left" w:pos="432"/>
      </w:tabs>
      <w:adjustRightInd/>
      <w:spacing w:line="360" w:lineRule="auto"/>
      <w:ind w:left="432" w:hanging="432"/>
    </w:pPr>
    <w:rPr>
      <w:rFonts w:ascii="Arial" w:hAnsi="Arial"/>
      <w:kern w:val="0"/>
      <w:sz w:val="24"/>
      <w:szCs w:val="20"/>
    </w:rPr>
  </w:style>
  <w:style w:type="character" w:customStyle="1" w:styleId="418">
    <w:name w:val="Font Style82"/>
    <w:qFormat/>
    <w:uiPriority w:val="99"/>
    <w:rPr>
      <w:rFonts w:ascii="宋体" w:eastAsia="宋体" w:cs="宋体"/>
      <w:color w:val="000000"/>
      <w:sz w:val="14"/>
      <w:szCs w:val="14"/>
    </w:rPr>
  </w:style>
  <w:style w:type="character" w:customStyle="1" w:styleId="419">
    <w:name w:val="标题 2 Char Char"/>
    <w:qFormat/>
    <w:uiPriority w:val="0"/>
    <w:rPr>
      <w:rFonts w:ascii="楷体_GB2312" w:hAnsi="Arial" w:eastAsia="楷体_GB2312"/>
      <w:b/>
      <w:bCs/>
      <w:kern w:val="2"/>
      <w:sz w:val="24"/>
      <w:szCs w:val="32"/>
      <w:lang w:val="en-US" w:eastAsia="zh-CN" w:bidi="ar-SA"/>
    </w:rPr>
  </w:style>
  <w:style w:type="character" w:customStyle="1" w:styleId="420">
    <w:name w:val="未用 Char"/>
    <w:qFormat/>
    <w:uiPriority w:val="0"/>
    <w:rPr>
      <w:rFonts w:ascii="Arial" w:hAnsi="Arial" w:eastAsia="黑体"/>
      <w:kern w:val="2"/>
      <w:sz w:val="21"/>
      <w:szCs w:val="21"/>
      <w:lang w:val="en-US" w:eastAsia="zh-CN" w:bidi="ar-SA"/>
    </w:rPr>
  </w:style>
  <w:style w:type="character" w:customStyle="1" w:styleId="421">
    <w:name w:val="myp1111"/>
    <w:qFormat/>
    <w:uiPriority w:val="0"/>
    <w:rPr>
      <w:rFonts w:hint="default" w:ascii="ˎ̥" w:hAnsi="ˎ̥"/>
      <w:color w:val="000000"/>
      <w:sz w:val="20"/>
      <w:szCs w:val="20"/>
      <w:u w:val="none"/>
    </w:rPr>
  </w:style>
  <w:style w:type="character" w:customStyle="1" w:styleId="422">
    <w:name w:val="样式 标题 4h4H4Fab-4T5Ref Heading 1rh1Heading sqlsect 1.2.3.... Char"/>
    <w:link w:val="314"/>
    <w:qFormat/>
    <w:uiPriority w:val="0"/>
    <w:rPr>
      <w:rFonts w:ascii="微软雅黑" w:hAnsi="微软雅黑" w:eastAsia="微软雅黑"/>
      <w:b/>
      <w:bCs/>
      <w:kern w:val="2"/>
      <w:sz w:val="24"/>
      <w:szCs w:val="28"/>
    </w:rPr>
  </w:style>
  <w:style w:type="character" w:customStyle="1" w:styleId="423">
    <w:name w:val="h Char Char"/>
    <w:qFormat/>
    <w:uiPriority w:val="0"/>
    <w:rPr>
      <w:rFonts w:eastAsia="宋体"/>
      <w:kern w:val="2"/>
      <w:sz w:val="18"/>
      <w:lang w:val="en-US" w:eastAsia="zh-CN" w:bidi="ar-SA"/>
    </w:rPr>
  </w:style>
  <w:style w:type="character" w:customStyle="1" w:styleId="424">
    <w:name w:val="仿宋正文 Char"/>
    <w:link w:val="425"/>
    <w:qFormat/>
    <w:uiPriority w:val="0"/>
    <w:rPr>
      <w:rFonts w:ascii="仿宋_GB2312" w:eastAsia="仿宋_GB2312"/>
      <w:kern w:val="2"/>
      <w:sz w:val="24"/>
      <w:lang w:val="en-US" w:eastAsia="zh-CN" w:bidi="ar-SA"/>
    </w:rPr>
  </w:style>
  <w:style w:type="paragraph" w:customStyle="1" w:styleId="425">
    <w:name w:val="仿宋正文"/>
    <w:basedOn w:val="1"/>
    <w:link w:val="424"/>
    <w:qFormat/>
    <w:uiPriority w:val="0"/>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qFormat/>
    <w:uiPriority w:val="0"/>
    <w:rPr>
      <w:rFonts w:ascii="宋体" w:eastAsia="宋体"/>
      <w:kern w:val="2"/>
      <w:sz w:val="24"/>
      <w:lang w:val="zh-CN" w:bidi="ar-SA"/>
    </w:rPr>
  </w:style>
  <w:style w:type="character" w:customStyle="1" w:styleId="427">
    <w:name w:val="样式 宋体"/>
    <w:qFormat/>
    <w:uiPriority w:val="0"/>
    <w:rPr>
      <w:rFonts w:ascii="宋体" w:hAnsi="宋体"/>
      <w:sz w:val="24"/>
    </w:rPr>
  </w:style>
  <w:style w:type="character" w:customStyle="1" w:styleId="428">
    <w:name w:val="tw4winJump"/>
    <w:qFormat/>
    <w:uiPriority w:val="0"/>
    <w:rPr>
      <w:rFonts w:ascii="Courier New" w:hAnsi="Courier New" w:cs="Courier New"/>
      <w:color w:val="008080"/>
      <w:lang w:val="en-US" w:eastAsia="zh-CN"/>
    </w:rPr>
  </w:style>
  <w:style w:type="character" w:customStyle="1" w:styleId="429">
    <w:name w:val="标题 1 字符"/>
    <w:qFormat/>
    <w:uiPriority w:val="9"/>
    <w:rPr>
      <w:rFonts w:ascii="Arial" w:hAnsi="Arial" w:eastAsia="黑体" w:cs="Arial"/>
      <w:b/>
      <w:bCs/>
      <w:snapToGrid w:val="0"/>
      <w:kern w:val="44"/>
      <w:sz w:val="44"/>
      <w:szCs w:val="44"/>
    </w:rPr>
  </w:style>
  <w:style w:type="character" w:customStyle="1" w:styleId="430">
    <w:name w:val="style36"/>
    <w:basedOn w:val="79"/>
    <w:qFormat/>
    <w:uiPriority w:val="0"/>
    <w:rPr>
      <w:rFonts w:ascii="Arial" w:hAnsi="Arial" w:eastAsia="黑体" w:cs="Arial"/>
      <w:snapToGrid w:val="0"/>
      <w:kern w:val="0"/>
      <w:szCs w:val="21"/>
    </w:rPr>
  </w:style>
  <w:style w:type="character" w:customStyle="1" w:styleId="431">
    <w:name w:val="pt9"/>
    <w:qFormat/>
    <w:uiPriority w:val="0"/>
    <w:rPr>
      <w:rFonts w:ascii="仿宋_GB2312" w:eastAsia="微软雅黑"/>
      <w:b/>
      <w:kern w:val="2"/>
      <w:sz w:val="32"/>
      <w:szCs w:val="32"/>
      <w:lang w:val="en-US" w:eastAsia="zh-CN" w:bidi="ar-SA"/>
    </w:rPr>
  </w:style>
  <w:style w:type="character" w:customStyle="1" w:styleId="432">
    <w:name w:val="DO_NOT_TRANSLATE"/>
    <w:qFormat/>
    <w:uiPriority w:val="0"/>
    <w:rPr>
      <w:rFonts w:ascii="Courier New" w:hAnsi="Courier New" w:cs="Courier New"/>
      <w:color w:val="800000"/>
      <w:lang w:val="en-US" w:eastAsia="zh-CN"/>
    </w:rPr>
  </w:style>
  <w:style w:type="character" w:customStyle="1" w:styleId="433">
    <w:name w:val="标书1 Char1"/>
    <w:qFormat/>
    <w:uiPriority w:val="0"/>
    <w:rPr>
      <w:rFonts w:eastAsia="宋体"/>
      <w:b/>
      <w:bCs/>
      <w:kern w:val="44"/>
      <w:sz w:val="44"/>
      <w:szCs w:val="44"/>
      <w:lang w:val="en-US" w:eastAsia="zh-CN" w:bidi="ar-SA"/>
    </w:rPr>
  </w:style>
  <w:style w:type="character" w:customStyle="1" w:styleId="434">
    <w:name w:val="页脚 字符"/>
    <w:qFormat/>
    <w:uiPriority w:val="99"/>
    <w:rPr>
      <w:kern w:val="2"/>
      <w:sz w:val="18"/>
      <w:szCs w:val="18"/>
    </w:rPr>
  </w:style>
  <w:style w:type="character" w:customStyle="1" w:styleId="435">
    <w:name w:val="正文2 Char"/>
    <w:qFormat/>
    <w:uiPriority w:val="0"/>
    <w:rPr>
      <w:rFonts w:eastAsia="宋体"/>
      <w:kern w:val="2"/>
      <w:sz w:val="24"/>
      <w:lang w:val="en-US" w:eastAsia="zh-CN" w:bidi="ar-SA"/>
    </w:rPr>
  </w:style>
  <w:style w:type="character" w:customStyle="1" w:styleId="436">
    <w:name w:val="Char Char21"/>
    <w:qFormat/>
    <w:uiPriority w:val="6"/>
    <w:rPr>
      <w:rFonts w:ascii="宋体" w:hAnsi="宋体"/>
      <w:kern w:val="1"/>
      <w:sz w:val="24"/>
      <w:szCs w:val="21"/>
      <w:lang w:val="zh-CN"/>
    </w:rPr>
  </w:style>
  <w:style w:type="character" w:customStyle="1" w:styleId="437">
    <w:name w:val="样式 正文缩进 + 首行缩进:  2 字符 Char Char"/>
    <w:link w:val="438"/>
    <w:qFormat/>
    <w:uiPriority w:val="0"/>
    <w:rPr>
      <w:rFonts w:cs="宋体"/>
      <w:kern w:val="2"/>
      <w:sz w:val="24"/>
    </w:rPr>
  </w:style>
  <w:style w:type="paragraph" w:customStyle="1" w:styleId="438">
    <w:name w:val="样式 正文缩进 + 首行缩进:  2 字符"/>
    <w:basedOn w:val="5"/>
    <w:link w:val="43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9">
    <w:name w:val="正文文本 Char1"/>
    <w:link w:val="31"/>
    <w:qFormat/>
    <w:uiPriority w:val="0"/>
    <w:rPr>
      <w:rFonts w:ascii="宋体" w:hAnsi="Arial" w:eastAsia="宋体" w:cs="Arial"/>
      <w:snapToGrid w:val="0"/>
      <w:kern w:val="2"/>
      <w:sz w:val="24"/>
      <w:szCs w:val="21"/>
      <w:lang w:val="zh-CN" w:eastAsia="zh-CN" w:bidi="ar-SA"/>
    </w:rPr>
  </w:style>
  <w:style w:type="character" w:customStyle="1" w:styleId="440">
    <w:name w:val="gray6"/>
    <w:basedOn w:val="79"/>
    <w:qFormat/>
    <w:uiPriority w:val="0"/>
    <w:rPr>
      <w:rFonts w:ascii="Arial" w:hAnsi="Arial" w:eastAsia="黑体" w:cs="Arial"/>
      <w:snapToGrid w:val="0"/>
      <w:kern w:val="0"/>
      <w:szCs w:val="21"/>
    </w:rPr>
  </w:style>
  <w:style w:type="character" w:customStyle="1" w:styleId="441">
    <w:name w:val="hui"/>
    <w:basedOn w:val="79"/>
    <w:qFormat/>
    <w:uiPriority w:val="0"/>
    <w:rPr>
      <w:rFonts w:ascii="Arial" w:hAnsi="Arial" w:eastAsia="黑体" w:cs="Arial"/>
      <w:snapToGrid w:val="0"/>
      <w:kern w:val="0"/>
      <w:szCs w:val="21"/>
    </w:rPr>
  </w:style>
  <w:style w:type="character" w:customStyle="1" w:styleId="442">
    <w:name w:val="哈哈正文 Char Char"/>
    <w:qFormat/>
    <w:uiPriority w:val="0"/>
    <w:rPr>
      <w:rFonts w:ascii="宋体" w:hAnsi="宋体" w:eastAsia="宋体" w:cs="宋体"/>
      <w:kern w:val="2"/>
      <w:sz w:val="24"/>
      <w:lang w:val="en-US" w:eastAsia="zh-CN" w:bidi="ar-SA"/>
    </w:rPr>
  </w:style>
  <w:style w:type="paragraph" w:customStyle="1" w:styleId="443">
    <w:name w:val="样式 正文文本缩进 + 左侧:  2 字符 首行缩进:  2 字符"/>
    <w:basedOn w:val="3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0">
    <w:name w:val="标题4_自定义"/>
    <w:basedOn w:val="6"/>
    <w:qFormat/>
    <w:uiPriority w:val="0"/>
    <w:pPr>
      <w:adjustRightInd/>
      <w:spacing w:before="0" w:after="0" w:line="360" w:lineRule="auto"/>
    </w:pPr>
    <w:rPr>
      <w:rFonts w:ascii="Verdana" w:eastAsia="Verdana"/>
      <w:sz w:val="21"/>
      <w:lang w:val="en-US"/>
    </w:rPr>
  </w:style>
  <w:style w:type="paragraph" w:customStyle="1" w:styleId="451">
    <w:name w:val="正文 内标 序号标"/>
    <w:basedOn w:val="452"/>
    <w:qFormat/>
    <w:uiPriority w:val="0"/>
    <w:pPr>
      <w:tabs>
        <w:tab w:val="left" w:pos="0"/>
      </w:tabs>
      <w:adjustRightInd/>
      <w:spacing w:before="0"/>
      <w:ind w:firstLine="482"/>
    </w:pPr>
    <w:rPr>
      <w:rFonts w:ascii="微软雅黑" w:hAnsi="微软雅黑"/>
      <w:sz w:val="24"/>
      <w:szCs w:val="24"/>
    </w:rPr>
  </w:style>
  <w:style w:type="paragraph" w:customStyle="1" w:styleId="452">
    <w:name w:val="My正文"/>
    <w:basedOn w:val="1"/>
    <w:qFormat/>
    <w:uiPriority w:val="0"/>
    <w:pPr>
      <w:spacing w:before="120" w:line="360" w:lineRule="auto"/>
      <w:ind w:firstLine="567"/>
    </w:pPr>
    <w:rPr>
      <w:rFonts w:ascii="Arial" w:hAnsi="Arial"/>
      <w:sz w:val="20"/>
      <w:szCs w:val="20"/>
    </w:rPr>
  </w:style>
  <w:style w:type="paragraph" w:customStyle="1" w:styleId="4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6">
    <w:name w:val="修订2"/>
    <w:qFormat/>
    <w:uiPriority w:val="0"/>
    <w:rPr>
      <w:rFonts w:ascii="Times New Roman" w:hAnsi="Times New Roman" w:eastAsia="宋体" w:cs="Times New Roman"/>
      <w:kern w:val="2"/>
      <w:sz w:val="21"/>
      <w:lang w:val="en-US" w:eastAsia="zh-CN" w:bidi="ar-SA"/>
    </w:rPr>
  </w:style>
  <w:style w:type="paragraph" w:customStyle="1" w:styleId="45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0">
    <w:name w:val="封面公司名"/>
    <w:qFormat/>
    <w:uiPriority w:val="0"/>
    <w:pPr>
      <w:jc w:val="center"/>
    </w:pPr>
    <w:rPr>
      <w:rFonts w:ascii="Arial" w:hAnsi="Arial" w:eastAsia="楷体_GB2312" w:cs="宋体"/>
      <w:bCs/>
      <w:kern w:val="2"/>
      <w:sz w:val="28"/>
      <w:lang w:val="en-US" w:eastAsia="zh-CN" w:bidi="ar-SA"/>
    </w:rPr>
  </w:style>
  <w:style w:type="paragraph" w:customStyle="1" w:styleId="461">
    <w:name w:val="Char1 Char Char Char5"/>
    <w:basedOn w:val="1"/>
    <w:qFormat/>
    <w:uiPriority w:val="0"/>
    <w:pPr>
      <w:adjustRightInd/>
      <w:ind w:firstLine="200" w:firstLineChars="200"/>
    </w:pPr>
    <w:rPr>
      <w:rFonts w:ascii="Tahoma" w:hAnsi="Tahoma"/>
      <w:sz w:val="24"/>
      <w:szCs w:val="20"/>
    </w:rPr>
  </w:style>
  <w:style w:type="paragraph" w:customStyle="1" w:styleId="46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qFormat/>
    <w:uiPriority w:val="0"/>
    <w:pPr>
      <w:tabs>
        <w:tab w:val="left" w:pos="360"/>
      </w:tabs>
    </w:pPr>
    <w:rPr>
      <w:sz w:val="24"/>
      <w:szCs w:val="20"/>
    </w:rPr>
  </w:style>
  <w:style w:type="paragraph" w:customStyle="1" w:styleId="465">
    <w:name w:val="Char Char11 Char Char Char"/>
    <w:basedOn w:val="1"/>
    <w:qFormat/>
    <w:uiPriority w:val="0"/>
    <w:pPr>
      <w:spacing w:line="360" w:lineRule="auto"/>
    </w:pPr>
    <w:rPr>
      <w:szCs w:val="20"/>
    </w:rPr>
  </w:style>
  <w:style w:type="paragraph" w:customStyle="1" w:styleId="46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8">
    <w:name w:val="样式3"/>
    <w:basedOn w:val="469"/>
    <w:qFormat/>
    <w:uiPriority w:val="0"/>
    <w:pPr>
      <w:tabs>
        <w:tab w:val="left" w:pos="2790"/>
        <w:tab w:val="left" w:pos="4230"/>
      </w:tabs>
      <w:spacing w:before="312" w:beforeLines="100"/>
      <w:jc w:val="left"/>
    </w:pPr>
  </w:style>
  <w:style w:type="paragraph" w:customStyle="1" w:styleId="46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qFormat/>
    <w:uiPriority w:val="0"/>
    <w:pPr>
      <w:tabs>
        <w:tab w:val="left" w:pos="840"/>
      </w:tabs>
      <w:ind w:left="840" w:hanging="420"/>
    </w:pPr>
    <w:rPr>
      <w:rFonts w:ascii="Tahoma" w:hAnsi="Tahoma"/>
      <w:sz w:val="24"/>
    </w:rPr>
  </w:style>
  <w:style w:type="paragraph" w:customStyle="1" w:styleId="4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4">
    <w:name w:val="正文21"/>
    <w:basedOn w:val="1"/>
    <w:qFormat/>
    <w:uiPriority w:val="0"/>
    <w:pPr>
      <w:adjustRightInd/>
      <w:spacing w:before="156" w:line="360" w:lineRule="auto"/>
      <w:ind w:firstLine="510" w:firstLineChars="200"/>
    </w:pPr>
    <w:rPr>
      <w:sz w:val="24"/>
      <w:szCs w:val="20"/>
    </w:rPr>
  </w:style>
  <w:style w:type="paragraph" w:customStyle="1" w:styleId="47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qFormat/>
    <w:uiPriority w:val="0"/>
    <w:rPr>
      <w:rFonts w:ascii="仿宋_GB2312" w:eastAsia="仿宋_GB2312"/>
      <w:b/>
      <w:sz w:val="32"/>
      <w:szCs w:val="32"/>
    </w:rPr>
  </w:style>
  <w:style w:type="paragraph" w:customStyle="1" w:styleId="4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qFormat/>
    <w:uiPriority w:val="0"/>
    <w:pPr>
      <w:keepNext/>
      <w:tabs>
        <w:tab w:val="left" w:pos="360"/>
      </w:tabs>
      <w:spacing w:before="0" w:after="0"/>
      <w:outlineLvl w:val="5"/>
    </w:pPr>
  </w:style>
  <w:style w:type="paragraph" w:customStyle="1" w:styleId="483">
    <w:name w:val="5级标题"/>
    <w:basedOn w:val="48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4">
    <w:name w:val="4级标题"/>
    <w:basedOn w:val="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5">
    <w:name w:val="样式 正文文本缩进 + 段前: 2 字符"/>
    <w:basedOn w:val="1"/>
    <w:qFormat/>
    <w:uiPriority w:val="0"/>
    <w:pPr>
      <w:adjustRightInd/>
      <w:ind w:left="420" w:leftChars="200"/>
      <w:jc w:val="left"/>
    </w:pPr>
    <w:rPr>
      <w:sz w:val="28"/>
      <w:szCs w:val="20"/>
      <w:lang w:eastAsia="zh-TW"/>
    </w:rPr>
  </w:style>
  <w:style w:type="paragraph" w:customStyle="1" w:styleId="486">
    <w:name w:val="Char2 Char Char"/>
    <w:basedOn w:val="1"/>
    <w:qFormat/>
    <w:uiPriority w:val="0"/>
    <w:pPr>
      <w:adjustRightInd/>
    </w:pPr>
    <w:rPr>
      <w:rFonts w:ascii="Tahoma" w:hAnsi="Tahoma"/>
      <w:sz w:val="24"/>
      <w:szCs w:val="20"/>
    </w:rPr>
  </w:style>
  <w:style w:type="paragraph" w:customStyle="1" w:styleId="487">
    <w:name w:val="_Style 11"/>
    <w:basedOn w:val="1"/>
    <w:qFormat/>
    <w:uiPriority w:val="34"/>
    <w:pPr>
      <w:adjustRightInd/>
      <w:ind w:firstLine="420" w:firstLineChars="200"/>
    </w:pPr>
    <w:rPr>
      <w:rFonts w:eastAsia="仿宋_GB2312"/>
      <w:sz w:val="28"/>
    </w:rPr>
  </w:style>
  <w:style w:type="paragraph" w:customStyle="1" w:styleId="48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qFormat/>
    <w:uiPriority w:val="0"/>
    <w:rPr>
      <w:rFonts w:ascii="Tahoma" w:hAnsi="Tahoma"/>
      <w:sz w:val="24"/>
      <w:szCs w:val="20"/>
    </w:rPr>
  </w:style>
  <w:style w:type="paragraph" w:customStyle="1" w:styleId="49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9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2">
    <w:name w:val="No Spacing"/>
    <w:basedOn w:val="1"/>
    <w:link w:val="936"/>
    <w:qFormat/>
    <w:uiPriority w:val="99"/>
    <w:rPr>
      <w:szCs w:val="22"/>
    </w:rPr>
  </w:style>
  <w:style w:type="paragraph" w:customStyle="1" w:styleId="49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qFormat/>
    <w:uiPriority w:val="6"/>
    <w:rPr>
      <w:rFonts w:ascii="Tahoma" w:hAnsi="Tahoma" w:cs="仿宋_GB2312"/>
      <w:sz w:val="24"/>
      <w:szCs w:val="20"/>
    </w:rPr>
  </w:style>
  <w:style w:type="paragraph" w:customStyle="1" w:styleId="49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2"/>
    <w:qFormat/>
    <w:uiPriority w:val="0"/>
    <w:pPr>
      <w:tabs>
        <w:tab w:val="left" w:pos="1260"/>
      </w:tabs>
      <w:ind w:left="1260" w:hanging="420"/>
    </w:pPr>
    <w:rPr>
      <w:rFonts w:ascii="Arial" w:hAnsi="Arial" w:eastAsia="黑体"/>
      <w:lang w:val="en-US"/>
    </w:rPr>
  </w:style>
  <w:style w:type="paragraph" w:customStyle="1" w:styleId="499">
    <w:name w:val="五级无标题条"/>
    <w:basedOn w:val="1"/>
    <w:qFormat/>
    <w:uiPriority w:val="0"/>
    <w:pPr>
      <w:adjustRightInd/>
    </w:pPr>
  </w:style>
  <w:style w:type="paragraph" w:customStyle="1" w:styleId="500">
    <w:name w:val="Char5"/>
    <w:basedOn w:val="1"/>
    <w:qFormat/>
    <w:uiPriority w:val="0"/>
    <w:rPr>
      <w:rFonts w:ascii="仿宋_GB2312" w:eastAsia="仿宋_GB2312"/>
      <w:b/>
      <w:sz w:val="32"/>
      <w:szCs w:val="32"/>
    </w:rPr>
  </w:style>
  <w:style w:type="paragraph" w:customStyle="1" w:styleId="50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qFormat/>
    <w:uiPriority w:val="0"/>
    <w:rPr>
      <w:rFonts w:ascii="仿宋_GB2312" w:eastAsia="仿宋_GB2312"/>
      <w:b/>
      <w:sz w:val="32"/>
      <w:szCs w:val="32"/>
    </w:rPr>
  </w:style>
  <w:style w:type="paragraph" w:customStyle="1" w:styleId="505">
    <w:name w:val="数字标题3"/>
    <w:basedOn w:val="4"/>
    <w:next w:val="1"/>
    <w:qFormat/>
    <w:uiPriority w:val="0"/>
    <w:pPr>
      <w:spacing w:line="240" w:lineRule="auto"/>
    </w:pPr>
    <w:rPr>
      <w:sz w:val="28"/>
      <w:szCs w:val="28"/>
    </w:rPr>
  </w:style>
  <w:style w:type="paragraph" w:customStyle="1" w:styleId="506">
    <w:name w:val="FA正文"/>
    <w:basedOn w:val="1"/>
    <w:qFormat/>
    <w:uiPriority w:val="0"/>
    <w:pPr>
      <w:spacing w:line="360" w:lineRule="auto"/>
      <w:ind w:firstLine="480" w:firstLineChars="200"/>
    </w:pPr>
    <w:rPr>
      <w:rFonts w:hAnsi="宋体"/>
      <w:sz w:val="24"/>
      <w:szCs w:val="20"/>
    </w:rPr>
  </w:style>
  <w:style w:type="paragraph" w:customStyle="1" w:styleId="507">
    <w:name w:val="MM Topic 5"/>
    <w:basedOn w:val="7"/>
    <w:qFormat/>
    <w:uiPriority w:val="0"/>
    <w:pPr>
      <w:tabs>
        <w:tab w:val="left" w:pos="2520"/>
      </w:tabs>
      <w:adjustRightInd/>
      <w:ind w:left="2520" w:hanging="420"/>
    </w:pPr>
  </w:style>
  <w:style w:type="paragraph" w:customStyle="1" w:styleId="508">
    <w:name w:val="Char Char Char Char Char Char Char Char Char Char1"/>
    <w:basedOn w:val="1"/>
    <w:qFormat/>
    <w:uiPriority w:val="0"/>
    <w:rPr>
      <w:rFonts w:ascii="仿宋_GB2312" w:eastAsia="仿宋_GB2312"/>
      <w:b/>
      <w:sz w:val="32"/>
      <w:szCs w:val="32"/>
    </w:rPr>
  </w:style>
  <w:style w:type="paragraph" w:customStyle="1" w:styleId="50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qFormat/>
    <w:uiPriority w:val="3"/>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qFormat/>
    <w:uiPriority w:val="0"/>
    <w:rPr>
      <w:rFonts w:ascii="仿宋_GB2312" w:eastAsia="仿宋_GB2312"/>
      <w:b/>
      <w:sz w:val="32"/>
      <w:szCs w:val="32"/>
    </w:rPr>
  </w:style>
  <w:style w:type="paragraph" w:customStyle="1" w:styleId="512">
    <w:name w:val="Char2 Char Char Char1"/>
    <w:basedOn w:val="1"/>
    <w:qFormat/>
    <w:uiPriority w:val="6"/>
    <w:rPr>
      <w:rFonts w:ascii="仿宋_GB2312" w:eastAsia="仿宋_GB2312"/>
      <w:b/>
      <w:sz w:val="32"/>
      <w:szCs w:val="32"/>
    </w:rPr>
  </w:style>
  <w:style w:type="paragraph" w:customStyle="1" w:styleId="513">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qFormat/>
    <w:uiPriority w:val="0"/>
    <w:pPr>
      <w:snapToGrid w:val="0"/>
      <w:spacing w:line="0" w:lineRule="atLeast"/>
      <w:ind w:firstLine="200" w:firstLineChars="200"/>
      <w:jc w:val="center"/>
    </w:pPr>
    <w:rPr>
      <w:sz w:val="24"/>
      <w:szCs w:val="20"/>
    </w:rPr>
  </w:style>
  <w:style w:type="paragraph" w:customStyle="1" w:styleId="51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4"/>
    <w:qFormat/>
    <w:uiPriority w:val="0"/>
    <w:pPr>
      <w:tabs>
        <w:tab w:val="left" w:pos="1680"/>
      </w:tabs>
      <w:adjustRightInd/>
      <w:ind w:left="1680" w:hanging="420"/>
    </w:pPr>
  </w:style>
  <w:style w:type="paragraph" w:customStyle="1" w:styleId="517">
    <w:name w:val="标准小四"/>
    <w:basedOn w:val="1"/>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qFormat/>
    <w:uiPriority w:val="6"/>
    <w:pPr>
      <w:adjustRightInd/>
    </w:pPr>
    <w:rPr>
      <w:rFonts w:ascii="Tahoma" w:hAnsi="Tahoma"/>
      <w:sz w:val="24"/>
      <w:szCs w:val="20"/>
    </w:rPr>
  </w:style>
  <w:style w:type="paragraph" w:customStyle="1" w:styleId="522">
    <w:name w:val="列出段落5"/>
    <w:basedOn w:val="1"/>
    <w:qFormat/>
    <w:uiPriority w:val="0"/>
    <w:pPr>
      <w:spacing w:line="360" w:lineRule="auto"/>
      <w:ind w:firstLine="200" w:firstLineChars="200"/>
    </w:pPr>
    <w:rPr>
      <w:rFonts w:eastAsia="楷体_GB2312" w:cs="Lucida Sans"/>
      <w:sz w:val="24"/>
    </w:rPr>
  </w:style>
  <w:style w:type="paragraph" w:customStyle="1" w:styleId="52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qFormat/>
    <w:uiPriority w:val="0"/>
    <w:pPr>
      <w:adjustRightInd/>
      <w:ind w:firstLine="420" w:firstLineChars="200"/>
    </w:pPr>
    <w:rPr>
      <w:rFonts w:eastAsia="仿宋_GB2312"/>
      <w:sz w:val="28"/>
    </w:rPr>
  </w:style>
  <w:style w:type="paragraph" w:customStyle="1" w:styleId="5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7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0"/>
    <w:pPr>
      <w:adjustRightInd/>
      <w:ind w:firstLine="200" w:firstLineChars="200"/>
      <w:jc w:val="right"/>
    </w:pPr>
  </w:style>
  <w:style w:type="paragraph" w:customStyle="1" w:styleId="534">
    <w:name w:val="Char Char11 Char Char Char Char Char Char Char Char Char"/>
    <w:basedOn w:val="1"/>
    <w:qFormat/>
    <w:uiPriority w:val="0"/>
    <w:pPr>
      <w:spacing w:line="360" w:lineRule="auto"/>
    </w:pPr>
    <w:rPr>
      <w:szCs w:val="20"/>
    </w:rPr>
  </w:style>
  <w:style w:type="paragraph" w:customStyle="1" w:styleId="535">
    <w:name w:val="正文1.25"/>
    <w:basedOn w:val="1"/>
    <w:qFormat/>
    <w:uiPriority w:val="0"/>
    <w:pPr>
      <w:adjustRightInd/>
      <w:spacing w:line="300" w:lineRule="auto"/>
      <w:ind w:firstLine="480" w:firstLineChars="200"/>
    </w:pPr>
    <w:rPr>
      <w:sz w:val="24"/>
      <w:szCs w:val="20"/>
    </w:rPr>
  </w:style>
  <w:style w:type="paragraph" w:customStyle="1" w:styleId="53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6"/>
    <w:rPr>
      <w:rFonts w:ascii="仿宋_GB2312" w:eastAsia="仿宋_GB2312"/>
      <w:b/>
      <w:sz w:val="32"/>
      <w:szCs w:val="20"/>
    </w:rPr>
  </w:style>
  <w:style w:type="paragraph" w:customStyle="1" w:styleId="540">
    <w:name w:val="列出段落2"/>
    <w:basedOn w:val="1"/>
    <w:qFormat/>
    <w:uiPriority w:val="0"/>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0"/>
    <w:rPr>
      <w:rFonts w:eastAsia="仿宋_GB2312"/>
      <w:sz w:val="28"/>
      <w:szCs w:val="20"/>
    </w:rPr>
  </w:style>
  <w:style w:type="paragraph" w:customStyle="1" w:styleId="54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6"/>
    <w:qFormat/>
    <w:uiPriority w:val="0"/>
    <w:pPr>
      <w:widowControl/>
      <w:jc w:val="left"/>
    </w:pPr>
    <w:rPr>
      <w:rFonts w:cs="宋体"/>
      <w:sz w:val="24"/>
      <w:szCs w:val="20"/>
    </w:rPr>
  </w:style>
  <w:style w:type="paragraph" w:customStyle="1" w:styleId="544">
    <w:name w:val="彩色列表 - 强调文字颜色 11"/>
    <w:basedOn w:val="1"/>
    <w:qFormat/>
    <w:uiPriority w:val="0"/>
    <w:pPr>
      <w:adjustRightInd/>
      <w:ind w:firstLine="420" w:firstLineChars="200"/>
    </w:pPr>
    <w:rPr>
      <w:rFonts w:ascii="Calibri" w:hAnsi="Calibri"/>
      <w:szCs w:val="22"/>
    </w:rPr>
  </w:style>
  <w:style w:type="paragraph" w:customStyle="1" w:styleId="54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6"/>
    <w:rPr>
      <w:szCs w:val="20"/>
    </w:rPr>
  </w:style>
  <w:style w:type="paragraph" w:customStyle="1" w:styleId="54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45"/>
    <w:next w:val="245"/>
    <w:qFormat/>
    <w:uiPriority w:val="0"/>
    <w:pPr>
      <w:spacing w:after="68"/>
    </w:pPr>
    <w:rPr>
      <w:rFonts w:ascii="FHLHE E+ Futura Bk" w:eastAsia="FHLHE E+ Futura Bk" w:cs="Times New Roman"/>
      <w:color w:val="auto"/>
    </w:rPr>
  </w:style>
  <w:style w:type="paragraph" w:customStyle="1" w:styleId="55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8">
    <w:name w:val="正文文字 2"/>
    <w:basedOn w:val="245"/>
    <w:next w:val="245"/>
    <w:qFormat/>
    <w:uiPriority w:val="0"/>
    <w:rPr>
      <w:rFonts w:ascii="宋体" w:eastAsia="宋体" w:cs="Times New Roman"/>
      <w:color w:val="auto"/>
    </w:rPr>
  </w:style>
  <w:style w:type="paragraph" w:customStyle="1" w:styleId="55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0">
    <w:name w:val="Char Char1 Char"/>
    <w:basedOn w:val="1"/>
    <w:qFormat/>
    <w:uiPriority w:val="0"/>
    <w:rPr>
      <w:rFonts w:ascii="仿宋_GB2312" w:eastAsia="仿宋_GB2312"/>
      <w:b/>
      <w:sz w:val="32"/>
      <w:szCs w:val="32"/>
    </w:rPr>
  </w:style>
  <w:style w:type="paragraph" w:customStyle="1" w:styleId="56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3">
    <w:name w:val="Char Char111"/>
    <w:basedOn w:val="1"/>
    <w:qFormat/>
    <w:uiPriority w:val="0"/>
    <w:pPr>
      <w:spacing w:line="360" w:lineRule="auto"/>
    </w:pPr>
    <w:rPr>
      <w:szCs w:val="20"/>
    </w:rPr>
  </w:style>
  <w:style w:type="paragraph" w:customStyle="1" w:styleId="5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qFormat/>
    <w:uiPriority w:val="0"/>
    <w:rPr>
      <w:szCs w:val="20"/>
    </w:rPr>
  </w:style>
  <w:style w:type="paragraph" w:customStyle="1" w:styleId="567">
    <w:name w:val="正文标准"/>
    <w:basedOn w:val="1"/>
    <w:qFormat/>
    <w:uiPriority w:val="0"/>
    <w:pPr>
      <w:adjustRightInd/>
      <w:spacing w:line="360" w:lineRule="auto"/>
      <w:ind w:firstLine="200" w:firstLineChars="200"/>
    </w:pPr>
    <w:rPr>
      <w:rFonts w:ascii="宋体" w:hAnsi="Calibri"/>
      <w:sz w:val="24"/>
    </w:rPr>
  </w:style>
  <w:style w:type="paragraph" w:customStyle="1" w:styleId="5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2">
    <w:name w:val="_正文段落"/>
    <w:basedOn w:val="1"/>
    <w:qFormat/>
    <w:uiPriority w:val="0"/>
    <w:pPr>
      <w:adjustRightInd/>
      <w:ind w:firstLine="560"/>
    </w:pPr>
    <w:rPr>
      <w:rFonts w:ascii="仿宋_GB2312" w:hAnsi="仿宋" w:eastAsia="仿宋_GB2312"/>
      <w:kern w:val="0"/>
      <w:sz w:val="28"/>
      <w:szCs w:val="28"/>
    </w:rPr>
  </w:style>
  <w:style w:type="paragraph" w:customStyle="1" w:styleId="5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3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0"/>
    <w:rPr>
      <w:szCs w:val="20"/>
    </w:rPr>
  </w:style>
  <w:style w:type="paragraph" w:customStyle="1" w:styleId="5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3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22"/>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4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3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7"/>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31"/>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3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63"/>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6"/>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1"/>
    <w:next w:val="646"/>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30"/>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31"/>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5"/>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3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5"/>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8"/>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7"/>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4"/>
    <w:qFormat/>
    <w:uiPriority w:val="0"/>
    <w:rPr>
      <w:b w:val="0"/>
      <w:sz w:val="20"/>
    </w:rPr>
  </w:style>
  <w:style w:type="paragraph" w:customStyle="1" w:styleId="897">
    <w:name w:val="正文首行缩进1"/>
    <w:basedOn w:val="3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52"/>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70"/>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8"/>
    <w:qFormat/>
    <w:uiPriority w:val="0"/>
    <w:rPr>
      <w:kern w:val="2"/>
      <w:sz w:val="21"/>
      <w:szCs w:val="24"/>
      <w:lang w:val="zh-CN"/>
    </w:rPr>
  </w:style>
  <w:style w:type="character" w:customStyle="1" w:styleId="936">
    <w:name w:val="无间隔 Char"/>
    <w:link w:val="492"/>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autoRedefine/>
    <w:qFormat/>
    <w:uiPriority w:val="0"/>
    <w:rPr>
      <w:rFonts w:ascii="宋体" w:hAnsi="宋体" w:eastAsia="宋体" w:cs="Times New Roman"/>
      <w:sz w:val="24"/>
      <w:szCs w:val="22"/>
      <w:lang w:val="zh-CN" w:eastAsia="zh-CN" w:bidi="ar-SA"/>
    </w:rPr>
  </w:style>
  <w:style w:type="character" w:customStyle="1" w:styleId="969">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5362</Words>
  <Characters>5824</Characters>
  <Lines>281</Lines>
  <Paragraphs>79</Paragraphs>
  <TotalTime>14</TotalTime>
  <ScaleCrop>false</ScaleCrop>
  <LinksUpToDate>false</LinksUpToDate>
  <CharactersWithSpaces>6208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f</cp:lastModifiedBy>
  <cp:lastPrinted>2025-06-27T07:15:00Z</cp:lastPrinted>
  <dcterms:modified xsi:type="dcterms:W3CDTF">2025-06-30T02:53:46Z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BB910FA7E09B4CC09B2D0E149A7376DD_13</vt:lpwstr>
  </property>
  <property fmtid="{D5CDD505-2E9C-101B-9397-08002B2CF9AE}" pid="5" name="KSOTemplateDocerSaveRecord">
    <vt:lpwstr>eyJoZGlkIjoiNGJhOWZiY2U5Njg4MTMzYWJiNTc0NTg1ZWQ2ZWQwOWYiLCJ1c2VySWQiOiI1MjA3MzQ1NzMifQ==</vt:lpwstr>
  </property>
</Properties>
</file>