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崇贤街道部分道路综合养护服务项目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eastAsia="zh-CN"/>
        </w:rPr>
        <w:t>SQZFCG-2023-</w:t>
      </w:r>
      <w:r>
        <w:rPr>
          <w:rFonts w:hint="eastAsia" w:ascii="仿宋" w:hAnsi="仿宋" w:eastAsia="仿宋" w:cs="仿宋"/>
          <w:color w:val="auto"/>
          <w:sz w:val="32"/>
          <w:szCs w:val="32"/>
          <w:highlight w:val="none"/>
          <w:lang w:val="en-US" w:eastAsia="zh-CN"/>
        </w:rPr>
        <w:t>007</w:t>
      </w:r>
    </w:p>
    <w:p>
      <w:pPr>
        <w:pStyle w:val="79"/>
        <w:rPr>
          <w:rFonts w:hint="eastAsia" w:ascii="仿宋" w:hAnsi="仿宋" w:eastAsia="仿宋" w:cs="仿宋"/>
          <w:color w:val="auto"/>
          <w:sz w:val="32"/>
          <w:szCs w:val="32"/>
          <w:highlight w:val="none"/>
          <w:lang w:val="en-US" w:eastAsia="zh-CN"/>
        </w:rPr>
      </w:pPr>
    </w:p>
    <w:p>
      <w:pPr>
        <w:pStyle w:val="79"/>
        <w:rPr>
          <w:rFonts w:hint="eastAsia" w:ascii="仿宋" w:hAnsi="仿宋" w:eastAsia="仿宋" w:cs="仿宋"/>
          <w:color w:val="auto"/>
          <w:sz w:val="32"/>
          <w:szCs w:val="32"/>
          <w:highlight w:val="none"/>
          <w:lang w:val="en-US" w:eastAsia="zh-CN"/>
        </w:rPr>
      </w:pPr>
    </w:p>
    <w:p>
      <w:pPr>
        <w:pStyle w:val="79"/>
        <w:rPr>
          <w:rFonts w:hint="eastAsia"/>
          <w:color w:val="auto"/>
          <w:highlight w:val="none"/>
          <w:lang w:val="en-US" w:eastAsia="zh-CN"/>
        </w:rPr>
      </w:pPr>
      <w:r>
        <w:rPr>
          <w:rFonts w:hint="eastAsia"/>
          <w:color w:val="auto"/>
          <w:highlight w:val="none"/>
          <w:lang w:val="en-US" w:eastAsia="zh-CN"/>
        </w:rPr>
        <w:t xml:space="preserve">            </w:t>
      </w:r>
    </w:p>
    <w:p>
      <w:pPr>
        <w:pStyle w:val="79"/>
        <w:rPr>
          <w:rFonts w:hint="eastAsia"/>
          <w:color w:val="auto"/>
          <w:highlight w:val="none"/>
          <w:lang w:val="en-US" w:eastAsia="zh-CN"/>
        </w:rPr>
      </w:pPr>
    </w:p>
    <w:p>
      <w:pPr>
        <w:pStyle w:val="79"/>
        <w:rPr>
          <w:rFonts w:hint="eastAsia"/>
          <w:color w:val="auto"/>
          <w:highlight w:val="none"/>
          <w:lang w:val="en-US" w:eastAsia="zh-CN"/>
        </w:rPr>
      </w:pPr>
    </w:p>
    <w:p>
      <w:pPr>
        <w:pStyle w:val="79"/>
        <w:rPr>
          <w:rFonts w:hint="eastAsia"/>
          <w:color w:val="auto"/>
          <w:highlight w:val="none"/>
          <w:lang w:val="en-US" w:eastAsia="zh-CN"/>
        </w:rPr>
      </w:pPr>
    </w:p>
    <w:p>
      <w:pPr>
        <w:pStyle w:val="79"/>
        <w:rPr>
          <w:rFonts w:hint="eastAsia"/>
          <w:color w:val="auto"/>
          <w:highlight w:val="none"/>
          <w:lang w:val="en-US" w:eastAsia="zh-CN"/>
        </w:rPr>
      </w:pPr>
    </w:p>
    <w:p>
      <w:pPr>
        <w:pStyle w:val="79"/>
        <w:rPr>
          <w:rFonts w:hint="eastAsia"/>
          <w:color w:val="auto"/>
          <w:highlight w:val="none"/>
          <w:lang w:val="en-US" w:eastAsia="zh-CN"/>
        </w:rPr>
      </w:pPr>
    </w:p>
    <w:p>
      <w:pPr>
        <w:pStyle w:val="79"/>
        <w:rPr>
          <w:rFonts w:hint="eastAsia"/>
          <w:color w:val="auto"/>
          <w:highlight w:val="none"/>
          <w:lang w:val="en-US" w:eastAsia="zh-CN"/>
        </w:rPr>
      </w:pPr>
    </w:p>
    <w:p>
      <w:pPr>
        <w:pStyle w:val="79"/>
        <w:rPr>
          <w:rFonts w:hint="eastAsia"/>
          <w:color w:val="auto"/>
          <w:highlight w:val="none"/>
          <w:lang w:val="en-US" w:eastAsia="zh-CN"/>
        </w:rPr>
      </w:pPr>
    </w:p>
    <w:p>
      <w:pPr>
        <w:pStyle w:val="79"/>
        <w:rPr>
          <w:rFonts w:hint="default"/>
          <w:color w:val="auto"/>
          <w:highlight w:val="none"/>
          <w:lang w:val="en-US" w:eastAsia="zh-CN"/>
        </w:rPr>
      </w:pP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napToGrid w:val="0"/>
        <w:spacing w:line="360" w:lineRule="auto"/>
        <w:ind w:firstLine="1280" w:firstLineChars="4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：杭州市临平区人民政府崇贤街道办事处</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：杭州盛乔工程咨询有限公司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三</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四</w:t>
      </w:r>
      <w:r>
        <w:rPr>
          <w:rFonts w:hint="eastAsia" w:ascii="仿宋" w:hAnsi="仿宋" w:eastAsia="仿宋" w:cs="仿宋"/>
          <w:b w:val="0"/>
          <w:bCs w:val="0"/>
          <w:color w:val="auto"/>
          <w:sz w:val="32"/>
          <w:szCs w:val="32"/>
          <w:highlight w:val="none"/>
        </w:rPr>
        <w:t>月</w:t>
      </w:r>
    </w:p>
    <w:p>
      <w:pPr>
        <w:spacing w:line="360" w:lineRule="auto"/>
        <w:jc w:val="both"/>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48"/>
          <w:szCs w:val="48"/>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bookmarkEnd w:id="1"/>
    <w:p>
      <w:pPr>
        <w:adjustRightInd/>
        <w:spacing w:line="360" w:lineRule="auto"/>
        <w:jc w:val="center"/>
        <w:outlineLvl w:val="0"/>
        <w:rPr>
          <w:rFonts w:hint="eastAsia" w:ascii="宋体" w:hAnsi="宋体" w:cs="宋体"/>
          <w:b/>
          <w:color w:val="auto"/>
          <w:sz w:val="36"/>
          <w:szCs w:val="20"/>
          <w:highlight w:val="none"/>
        </w:rPr>
      </w:pPr>
      <w:bookmarkStart w:id="2" w:name="_Hlt74728647"/>
      <w:bookmarkEnd w:id="2"/>
      <w:bookmarkStart w:id="3" w:name="_Hlt74729822"/>
      <w:bookmarkEnd w:id="3"/>
      <w:bookmarkStart w:id="4" w:name="_Hlt74649545"/>
      <w:bookmarkEnd w:id="4"/>
      <w:bookmarkStart w:id="5" w:name="_Hlt74707423"/>
      <w:bookmarkEnd w:id="5"/>
      <w:bookmarkStart w:id="6" w:name="第二部分"/>
      <w:bookmarkStart w:id="7" w:name="_Toc91899870"/>
      <w:bookmarkStart w:id="8" w:name="_Toc91899871"/>
    </w:p>
    <w:p>
      <w:pPr>
        <w:adjustRightInd/>
        <w:spacing w:line="360" w:lineRule="auto"/>
        <w:jc w:val="center"/>
        <w:outlineLvl w:val="0"/>
        <w:rPr>
          <w:rFonts w:hint="eastAsia" w:ascii="宋体" w:hAnsi="宋体" w:cs="宋体"/>
          <w:b/>
          <w:color w:val="auto"/>
          <w:sz w:val="36"/>
          <w:szCs w:val="20"/>
          <w:highlight w:val="none"/>
        </w:rPr>
      </w:pP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崇贤街道部分道路综合养护服务项目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cs="宋体"/>
          <w:snapToGrid/>
          <w:color w:val="auto"/>
          <w:kern w:val="2"/>
          <w:sz w:val="24"/>
          <w:szCs w:val="24"/>
          <w:highlight w:val="none"/>
          <w:lang w:val="en-US" w:eastAsia="zh-CN"/>
        </w:rPr>
        <w:t>3</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5</w:t>
      </w:r>
      <w:r>
        <w:rPr>
          <w:rStyle w:val="76"/>
          <w:rFonts w:hint="eastAsia" w:ascii="宋体" w:hAnsi="宋体" w:eastAsia="宋体" w:cs="宋体"/>
          <w:snapToGrid/>
          <w:color w:val="auto"/>
          <w:kern w:val="2"/>
          <w:sz w:val="24"/>
          <w:szCs w:val="24"/>
          <w:highlight w:val="none"/>
        </w:rPr>
        <w:t>月</w:t>
      </w:r>
      <w:r>
        <w:rPr>
          <w:rStyle w:val="76"/>
          <w:rFonts w:hint="eastAsia" w:ascii="宋体" w:hAnsi="宋体" w:cs="宋体"/>
          <w:snapToGrid/>
          <w:color w:val="auto"/>
          <w:kern w:val="2"/>
          <w:sz w:val="24"/>
          <w:szCs w:val="24"/>
          <w:highlight w:val="none"/>
          <w:lang w:val="en-US" w:eastAsia="zh-CN"/>
        </w:rPr>
        <w:t>15</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14</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00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SQZFCG-2023-</w:t>
      </w:r>
      <w:r>
        <w:rPr>
          <w:rFonts w:hint="eastAsia" w:ascii="宋体" w:hAnsi="宋体" w:cs="宋体"/>
          <w:color w:val="auto"/>
          <w:sz w:val="24"/>
          <w:highlight w:val="none"/>
          <w:lang w:val="en-US" w:eastAsia="zh-CN"/>
        </w:rPr>
        <w:t>007</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崇贤街道部分道路综合养护服务项目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5630000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5630000</w:t>
      </w:r>
      <w:r>
        <w:rPr>
          <w:rFonts w:ascii="宋体" w:hAnsi="宋体" w:cs="宋体"/>
          <w:color w:val="auto"/>
          <w:sz w:val="24"/>
          <w:highlight w:val="none"/>
        </w:rPr>
        <w:t xml:space="preserve"> </w:t>
      </w:r>
    </w:p>
    <w:p>
      <w:pPr>
        <w:pStyle w:val="5"/>
        <w:spacing w:line="360" w:lineRule="auto"/>
        <w:ind w:firstLine="480"/>
        <w:rPr>
          <w:rFonts w:hint="eastAsia" w:hAnsi="宋体" w:eastAsia="仿宋" w:cs="宋体"/>
          <w:bCs/>
          <w:snapToGrid/>
          <w:color w:val="auto"/>
          <w:kern w:val="2"/>
          <w:sz w:val="24"/>
          <w:szCs w:val="24"/>
          <w:highlight w:val="none"/>
          <w:lang w:eastAsia="zh-CN"/>
        </w:rPr>
      </w:pPr>
      <w:r>
        <w:rPr>
          <w:rFonts w:hint="eastAsia" w:hAnsi="宋体" w:cs="宋体"/>
          <w:b/>
          <w:color w:val="auto"/>
          <w:sz w:val="24"/>
          <w:highlight w:val="none"/>
        </w:rPr>
        <w:t>采购需求：</w:t>
      </w:r>
      <w:r>
        <w:rPr>
          <w:rFonts w:hint="eastAsia" w:asciiTheme="minorEastAsia" w:hAnsiTheme="minorEastAsia" w:eastAsiaTheme="minorEastAsia"/>
          <w:snapToGrid/>
          <w:color w:val="auto"/>
          <w:kern w:val="2"/>
          <w:sz w:val="24"/>
          <w:szCs w:val="24"/>
          <w:highlight w:val="none"/>
        </w:rPr>
        <w:t>由交通运输局管养的县道、公路等移交至属地街道管理，其中我街道涉及道路保洁1 条，保洁面积49374平方米，道路养护6条，道路里程23.923公里，绿化带</w:t>
      </w:r>
      <w:r>
        <w:rPr>
          <w:rFonts w:hint="eastAsia" w:asciiTheme="minorEastAsia" w:hAnsiTheme="minorEastAsia" w:eastAsiaTheme="minorEastAsia"/>
          <w:snapToGrid/>
          <w:color w:val="auto"/>
          <w:kern w:val="2"/>
          <w:sz w:val="24"/>
          <w:szCs w:val="24"/>
          <w:highlight w:val="none"/>
          <w:lang w:val="en-US" w:eastAsia="zh-CN"/>
        </w:rPr>
        <w:t>11</w:t>
      </w:r>
      <w:r>
        <w:rPr>
          <w:rFonts w:hint="eastAsia" w:asciiTheme="minorEastAsia" w:hAnsiTheme="minorEastAsia" w:eastAsiaTheme="minorEastAsia"/>
          <w:snapToGrid/>
          <w:color w:val="auto"/>
          <w:kern w:val="2"/>
          <w:sz w:val="24"/>
          <w:szCs w:val="24"/>
          <w:highlight w:val="none"/>
        </w:rPr>
        <w:t>条，绿化面积822990.1平方米，服务期一年</w:t>
      </w:r>
      <w:r>
        <w:rPr>
          <w:rFonts w:hint="eastAsia" w:asciiTheme="minorEastAsia" w:hAnsiTheme="minorEastAsia" w:eastAsiaTheme="minorEastAsia"/>
          <w:snapToGrid/>
          <w:color w:val="auto"/>
          <w:kern w:val="2"/>
          <w:sz w:val="24"/>
          <w:szCs w:val="24"/>
          <w:highlight w:val="none"/>
          <w:lang w:eastAsia="zh-CN"/>
        </w:rPr>
        <w:t>。</w:t>
      </w:r>
    </w:p>
    <w:p>
      <w:pPr>
        <w:pStyle w:val="5"/>
        <w:spacing w:line="360" w:lineRule="auto"/>
        <w:ind w:firstLine="480"/>
        <w:rPr>
          <w:rFonts w:hAnsi="宋体" w:cs="宋体"/>
          <w:bCs/>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1"/>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ascii="宋体" w:hAnsi="宋体" w:cs="宋体"/>
          <w:color w:val="auto"/>
          <w:highlight w:val="none"/>
        </w:rPr>
        <w:t xml:space="preserve"> </w:t>
      </w:r>
      <w:r>
        <w:rPr>
          <w:rFonts w:hint="eastAsia" w:ascii="仿宋" w:hAnsi="仿宋" w:eastAsia="仿宋" w:cs="仿宋"/>
          <w:i w:val="0"/>
          <w:iCs w:val="0"/>
          <w:caps w:val="0"/>
          <w:color w:val="auto"/>
          <w:spacing w:val="0"/>
          <w:sz w:val="27"/>
          <w:szCs w:val="27"/>
          <w:highlight w:val="none"/>
        </w:rPr>
        <w:t>服务期一年</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14：00</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numPr>
          <w:ilvl w:val="0"/>
          <w:numId w:val="1"/>
        </w:num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采购意向公开链接：</w:t>
      </w:r>
    </w:p>
    <w:p>
      <w:pPr>
        <w:pStyle w:val="2"/>
        <w:numPr>
          <w:numId w:val="0"/>
        </w:numPr>
        <w:ind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https://zfcg.czt.zj.gov.cn/innerUsed_noticeDetails/index.html?noticeId=9262866&amp;utm=web-government-front.49399a16.0.0.a5496570e01111ed97343f5f3aa37aa9</w:t>
      </w:r>
    </w:p>
    <w:p>
      <w:pPr>
        <w:spacing w:line="360" w:lineRule="auto"/>
        <w:rPr>
          <w:rFonts w:ascii="宋体" w:hAnsi="宋体" w:cs="宋体"/>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 xml:space="preserve">公告期限 </w:t>
      </w:r>
      <w:bookmarkStart w:id="517" w:name="_GoBack"/>
      <w:bookmarkEnd w:id="517"/>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自本公告发布之日起5个工作日。</w:t>
      </w:r>
    </w:p>
    <w:p>
      <w:pPr>
        <w:pStyle w:val="79"/>
      </w:pP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杭州市临平区人民政府崇贤街道办事处</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址：浙江省杭州市临平区府新街105号</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项目联系人（询问）： </w:t>
      </w:r>
      <w:r>
        <w:rPr>
          <w:rFonts w:hint="eastAsia" w:ascii="宋体" w:hAnsi="宋体" w:cs="宋体"/>
          <w:color w:val="auto"/>
          <w:sz w:val="24"/>
          <w:highlight w:val="none"/>
          <w:lang w:val="en-US" w:eastAsia="zh-CN"/>
        </w:rPr>
        <w:t>李铿</w:t>
      </w:r>
    </w:p>
    <w:p>
      <w:pPr>
        <w:spacing w:line="360" w:lineRule="auto"/>
        <w:ind w:firstLine="48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项目联系方式（询问）：15068109270</w:t>
      </w:r>
    </w:p>
    <w:p>
      <w:pPr>
        <w:spacing w:line="360" w:lineRule="auto"/>
        <w:ind w:firstLine="48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质疑联系人：</w:t>
      </w:r>
      <w:r>
        <w:rPr>
          <w:rFonts w:hint="eastAsia" w:ascii="宋体" w:hAnsi="宋体" w:eastAsia="宋体" w:cs="宋体"/>
          <w:color w:val="auto"/>
          <w:sz w:val="24"/>
          <w:highlight w:val="none"/>
          <w:lang w:val="en-US" w:eastAsia="zh-CN"/>
        </w:rPr>
        <w:t>莫晓强</w:t>
      </w:r>
    </w:p>
    <w:p>
      <w:pPr>
        <w:spacing w:line="360" w:lineRule="auto"/>
        <w:ind w:firstLine="48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质疑联系方式：</w:t>
      </w:r>
      <w:r>
        <w:rPr>
          <w:rFonts w:hint="eastAsia" w:ascii="宋体" w:hAnsi="宋体" w:eastAsia="宋体" w:cs="宋体"/>
          <w:color w:val="auto"/>
          <w:sz w:val="24"/>
          <w:highlight w:val="none"/>
          <w:lang w:val="en-US" w:eastAsia="zh-CN"/>
        </w:rPr>
        <w:t>15257161679</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 xml:space="preserve">    </w:t>
      </w:r>
      <w:r>
        <w:rPr>
          <w:rFonts w:hint="eastAsia" w:ascii="宋体" w:hAnsi="宋体" w:eastAsia="宋体" w:cs="宋体"/>
          <w:color w:val="auto"/>
          <w:sz w:val="24"/>
          <w:szCs w:val="24"/>
          <w:highlight w:val="none"/>
        </w:rPr>
        <w:t xml:space="preserve">2.采购代理机构信息            </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cs="宋体"/>
          <w:color w:val="auto"/>
          <w:sz w:val="24"/>
          <w:szCs w:val="24"/>
          <w:highlight w:val="none"/>
          <w:lang w:eastAsia="zh-CN"/>
        </w:rPr>
        <w:t>杭州盛乔工程咨询有限公司</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地址：临平区南苑街道红丰南路61-63室二楼 </w:t>
      </w:r>
    </w:p>
    <w:p>
      <w:pPr>
        <w:wordWrap/>
        <w:adjustRightInd w:val="0"/>
        <w:spacing w:line="600" w:lineRule="exact"/>
        <w:ind w:firstLine="48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传真：0571-86231818            </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项目联系人（询问）：吴工</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项目联系方式（询问）：15968125059</w:t>
      </w:r>
    </w:p>
    <w:p>
      <w:pPr>
        <w:wordWrap/>
        <w:adjustRightInd w:val="0"/>
        <w:spacing w:line="600" w:lineRule="exact"/>
        <w:ind w:firstLine="48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质疑联系人：周工</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质疑联系方式：13750873942</w:t>
      </w:r>
    </w:p>
    <w:p>
      <w:pPr>
        <w:spacing w:line="360" w:lineRule="auto"/>
        <w:rPr>
          <w:rFonts w:ascii="宋体" w:hAnsi="宋体" w:cs="宋体"/>
          <w:color w:val="auto"/>
          <w:sz w:val="24"/>
          <w:highlight w:val="none"/>
        </w:rPr>
      </w:pP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3.同级政府采购监督管理部门</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名称：杭州市临平区财政局</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地址：杭州市临平区东湖中路236号财税大楼</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 ：俞征</w:t>
      </w:r>
    </w:p>
    <w:p>
      <w:pPr>
        <w:spacing w:line="360" w:lineRule="auto"/>
        <w:ind w:firstLine="480"/>
        <w:jc w:val="left"/>
        <w:rPr>
          <w:rFonts w:hint="eastAsia" w:ascii="宋体" w:hAnsi="宋体" w:cs="宋体"/>
          <w:color w:val="auto"/>
          <w:sz w:val="24"/>
          <w:highlight w:val="none"/>
          <w:lang w:val="en-US" w:eastAsia="zh-CN"/>
        </w:rPr>
      </w:pPr>
      <w:r>
        <w:rPr>
          <w:rFonts w:hint="eastAsia" w:ascii="宋体" w:hAnsi="宋体" w:eastAsia="宋体" w:cs="宋体"/>
          <w:color w:val="auto"/>
          <w:sz w:val="24"/>
          <w:szCs w:val="24"/>
          <w:highlight w:val="none"/>
        </w:rPr>
        <w:t>监督投诉电话：0571-89180113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6"/>
      <w:r>
        <w:rPr>
          <w:rFonts w:hint="eastAsia" w:ascii="宋体" w:hAnsi="宋体" w:cs="宋体"/>
          <w:b/>
          <w:color w:val="auto"/>
          <w:sz w:val="36"/>
          <w:szCs w:val="20"/>
          <w:highlight w:val="none"/>
        </w:rPr>
        <w:t xml:space="preserve"> 投标人须知</w:t>
      </w:r>
      <w:bookmarkEnd w:id="7"/>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olor w:val="auto"/>
                <w:kern w:val="0"/>
                <w:sz w:val="24"/>
                <w:szCs w:val="24"/>
                <w:highlight w:val="none"/>
              </w:rPr>
            </w:pPr>
            <w:r>
              <w:rPr>
                <w:rFonts w:hint="eastAsia" w:ascii="宋体" w:hAnsi="宋体" w:cs="宋体"/>
                <w:color w:val="auto"/>
                <w:kern w:val="0"/>
                <w:sz w:val="24"/>
                <w:szCs w:val="24"/>
                <w:highlight w:val="none"/>
              </w:rPr>
              <w:t>采购标的：综合养护项目；所属行业：其他未列明行业。</w:t>
            </w:r>
          </w:p>
          <w:p>
            <w:pPr>
              <w:pStyle w:val="2"/>
              <w:rPr>
                <w:rFonts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eastAsia="zh-CN" w:bidi="ar-SA"/>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b/>
                <w:bCs/>
                <w:color w:val="auto"/>
                <w:sz w:val="24"/>
                <w:szCs w:val="24"/>
                <w:highlight w:val="none"/>
              </w:rPr>
            </w:pPr>
            <w:r>
              <w:rPr>
                <w:rFonts w:hint="eastAsia"/>
                <w:b/>
                <w:bCs/>
                <w:color w:val="auto"/>
                <w:sz w:val="24"/>
                <w:szCs w:val="24"/>
                <w:highlight w:val="none"/>
              </w:rPr>
              <w:t>备份投标文件送达地点：临平区南苑街道红丰南路61-63室二楼（</w:t>
            </w:r>
            <w:r>
              <w:rPr>
                <w:rFonts w:hint="eastAsia"/>
                <w:b/>
                <w:bCs/>
                <w:color w:val="auto"/>
                <w:sz w:val="24"/>
                <w:szCs w:val="24"/>
                <w:highlight w:val="none"/>
                <w:lang w:val="en-US" w:eastAsia="zh-CN"/>
              </w:rPr>
              <w:t>吴工</w:t>
            </w:r>
            <w:r>
              <w:rPr>
                <w:rFonts w:hint="eastAsia"/>
                <w:b/>
                <w:bCs/>
                <w:color w:val="auto"/>
                <w:sz w:val="24"/>
                <w:szCs w:val="24"/>
                <w:highlight w:val="none"/>
              </w:rPr>
              <w:t>收）；备份投标文件签收人员联系电话：86231818 。</w:t>
            </w:r>
          </w:p>
          <w:p>
            <w:pPr>
              <w:pStyle w:val="35"/>
              <w:spacing w:line="360" w:lineRule="auto"/>
              <w:rPr>
                <w:rFonts w:hAnsi="宋体" w:cs="宋体"/>
                <w:color w:val="auto"/>
                <w:kern w:val="28"/>
                <w:sz w:val="24"/>
                <w:highlight w:val="none"/>
              </w:rPr>
            </w:pPr>
            <w:r>
              <w:rPr>
                <w:rFonts w:hint="eastAsia"/>
                <w:b/>
                <w:bCs/>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ascii="仿宋" w:hAnsi="仿宋" w:eastAsia="仿宋" w:cs="宋体"/>
                <w:b/>
                <w:color w:val="auto"/>
                <w:sz w:val="24"/>
                <w:highlight w:val="none"/>
              </w:rPr>
              <w:t>代理服务费</w:t>
            </w: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 xml:space="preserve">中标人在领取中标通知书时需向招标代理机构支付人民币   </w:t>
            </w:r>
            <w:r>
              <w:rPr>
                <w:rFonts w:hint="eastAsia" w:ascii="仿宋_GB2312" w:hAnsi="仿宋" w:eastAsia="仿宋_GB2312"/>
                <w:snapToGrid w:val="0"/>
                <w:color w:val="auto"/>
                <w:kern w:val="28"/>
                <w:sz w:val="24"/>
                <w:highlight w:val="none"/>
                <w:lang w:val="en-US" w:eastAsia="zh-CN"/>
              </w:rPr>
              <w:t>60000</w:t>
            </w:r>
            <w:r>
              <w:rPr>
                <w:rFonts w:hint="eastAsia" w:ascii="仿宋_GB2312" w:hAnsi="仿宋" w:eastAsia="仿宋_GB2312"/>
                <w:snapToGrid w:val="0"/>
                <w:color w:val="auto"/>
                <w:kern w:val="28"/>
                <w:sz w:val="24"/>
                <w:highlight w:val="none"/>
              </w:rPr>
              <w:t>元招标代理服务费，费用包含在总报价中，不单独列项报价。</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招标代理服务费的交纳方式：以转帐或支票的形式支付，开户行名称：浙江杭州余杭农村商业银行股份有限公司营业部；帐号：201000307172203；户名：</w:t>
            </w:r>
            <w:r>
              <w:rPr>
                <w:rFonts w:hint="eastAsia" w:ascii="仿宋_GB2312" w:hAnsi="仿宋" w:eastAsia="仿宋_GB2312"/>
                <w:snapToGrid w:val="0"/>
                <w:color w:val="auto"/>
                <w:kern w:val="28"/>
                <w:sz w:val="24"/>
                <w:highlight w:val="none"/>
                <w:lang w:eastAsia="zh-CN"/>
              </w:rPr>
              <w:t>杭州盛乔工程咨询有限公司</w:t>
            </w:r>
            <w:r>
              <w:rPr>
                <w:rFonts w:hint="eastAsia" w:ascii="仿宋_GB2312" w:hAnsi="仿宋" w:eastAsia="仿宋_GB2312"/>
                <w:snapToGrid w:val="0"/>
                <w:color w:val="auto"/>
                <w:kern w:val="28"/>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仿宋_GB2312" w:hAnsi="仿宋" w:eastAsia="仿宋_GB2312"/>
                <w:b/>
                <w:snapToGrid w:val="0"/>
                <w:color w:val="auto"/>
                <w:kern w:val="28"/>
                <w:sz w:val="24"/>
                <w:highlight w:val="none"/>
              </w:rPr>
              <w:t>纸质投标文件</w:t>
            </w: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leftChars="0" w:right="0" w:rightChars="0"/>
              <w:jc w:val="center"/>
              <w:rPr>
                <w:rFonts w:hint="eastAsia" w:ascii="宋体" w:hAnsi="宋体" w:cs="宋体"/>
                <w:color w:val="auto"/>
                <w:sz w:val="24"/>
                <w:highlight w:val="none"/>
                <w:lang w:val="en-US" w:eastAsia="zh-CN"/>
              </w:rPr>
            </w:pPr>
            <w:r>
              <w:rPr>
                <w:rFonts w:hint="eastAsia" w:ascii="仿宋" w:hAnsi="仿宋" w:eastAsia="仿宋" w:cs="宋体"/>
                <w:b/>
                <w:color w:val="auto"/>
                <w:sz w:val="24"/>
                <w:szCs w:val="20"/>
                <w:highlight w:val="none"/>
                <w:lang w:val="en-US" w:eastAsia="zh-CN"/>
              </w:rPr>
              <w:t>16</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_GB2312" w:hAnsi="仿宋" w:eastAsia="仿宋_GB2312"/>
                <w:b/>
                <w:snapToGrid w:val="0"/>
                <w:color w:val="auto"/>
                <w:kern w:val="28"/>
                <w:sz w:val="24"/>
                <w:highlight w:val="none"/>
              </w:rPr>
            </w:pPr>
            <w:r>
              <w:rPr>
                <w:rFonts w:hint="eastAsia" w:ascii="仿宋" w:hAnsi="仿宋" w:eastAsia="仿宋" w:cs="仿宋"/>
                <w:b/>
                <w:bCs/>
                <w:color w:val="auto"/>
                <w:kern w:val="2"/>
                <w:sz w:val="24"/>
                <w:szCs w:val="24"/>
                <w:highlight w:val="none"/>
                <w:lang w:val="en-US" w:eastAsia="zh-CN" w:bidi="ar-SA"/>
              </w:rPr>
              <w:t>评标委员会推荐中标候选人的人数</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ightChars="0"/>
              <w:rPr>
                <w:rFonts w:hint="eastAsia" w:ascii="仿宋_GB2312" w:hAnsi="仿宋" w:eastAsia="仿宋_GB2312"/>
                <w:snapToGrid w:val="0"/>
                <w:color w:val="auto"/>
                <w:kern w:val="28"/>
                <w:sz w:val="24"/>
                <w:highlight w:val="none"/>
              </w:rPr>
            </w:pPr>
            <w:r>
              <w:rPr>
                <w:rFonts w:hint="eastAsia" w:ascii="仿宋" w:hAnsi="仿宋" w:eastAsia="仿宋" w:cs="仿宋"/>
                <w:color w:val="auto"/>
                <w:kern w:val="2"/>
                <w:sz w:val="24"/>
                <w:szCs w:val="24"/>
                <w:highlight w:val="none"/>
                <w:lang w:val="en-US" w:eastAsia="zh-CN" w:bidi="ar-SA"/>
              </w:rPr>
              <w:t>1个；排名第一的中标候选人放弃中标、因不可抗力不能履行合同、不按照招标文件要求提交履约保证金担保，或者被查实存在影响中标结果的违法行为等情形，不符合中标条件的，招标人将：（</w:t>
            </w:r>
            <w:r>
              <w:rPr>
                <w:rFonts w:hint="eastAsia" w:ascii="仿宋" w:hAnsi="仿宋" w:eastAsia="仿宋" w:cs="Arial"/>
                <w:b/>
                <w:color w:val="auto"/>
                <w:kern w:val="0"/>
                <w:sz w:val="24"/>
                <w:szCs w:val="20"/>
                <w:highlight w:val="none"/>
              </w:rPr>
              <w:sym w:font="Wingdings" w:char="F0FE"/>
            </w:r>
            <w:r>
              <w:rPr>
                <w:rFonts w:hint="eastAsia" w:ascii="仿宋" w:hAnsi="仿宋" w:eastAsia="仿宋" w:cs="仿宋"/>
                <w:color w:val="auto"/>
                <w:kern w:val="2"/>
                <w:sz w:val="24"/>
                <w:szCs w:val="24"/>
                <w:highlight w:val="none"/>
                <w:lang w:val="en-US" w:eastAsia="zh-CN" w:bidi="ar-SA"/>
              </w:rPr>
              <w:t>重新招标 □按中标候选人名单排序依次确定其他中标候选人为中标人）</w:t>
            </w:r>
          </w:p>
        </w:tc>
      </w:tr>
    </w:tbl>
    <w:p>
      <w:pPr>
        <w:snapToGrid w:val="0"/>
        <w:spacing w:line="360" w:lineRule="auto"/>
        <w:jc w:val="center"/>
        <w:rPr>
          <w:rFonts w:ascii="宋体" w:hAnsi="宋体" w:cs="宋体"/>
          <w:b/>
          <w:color w:val="auto"/>
          <w:sz w:val="32"/>
          <w:szCs w:val="20"/>
          <w:highlight w:val="none"/>
        </w:rPr>
      </w:pPr>
    </w:p>
    <w:bookmarkEnd w:id="8"/>
    <w:p>
      <w:pPr>
        <w:adjustRightInd/>
        <w:spacing w:line="360" w:lineRule="auto"/>
        <w:ind w:firstLine="3845" w:firstLineChars="1197"/>
        <w:outlineLvl w:val="0"/>
        <w:rPr>
          <w:rFonts w:ascii="宋体" w:hAnsi="宋体" w:cs="宋体"/>
          <w:b/>
          <w:color w:val="auto"/>
          <w:sz w:val="32"/>
          <w:szCs w:val="20"/>
          <w:highlight w:val="none"/>
        </w:rPr>
      </w:pPr>
      <w:bookmarkStart w:id="9" w:name="第三部分"/>
      <w:bookmarkStart w:id="10"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5"/>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1"/>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1"/>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1"/>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1"/>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5"/>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5"/>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1"/>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1"/>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1"/>
        <w:spacing w:before="0"/>
        <w:ind w:firstLine="643"/>
        <w:rPr>
          <w:rFonts w:ascii="宋体" w:hAnsi="宋体" w:cs="宋体"/>
          <w:b/>
          <w:color w:val="auto"/>
          <w:sz w:val="32"/>
          <w:highlight w:val="none"/>
        </w:rPr>
      </w:pPr>
    </w:p>
    <w:p>
      <w:pPr>
        <w:pStyle w:val="131"/>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7"/>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7"/>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1"/>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1"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1"/>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2" w:name="_Hlk101184471"/>
      <w:r>
        <w:rPr>
          <w:rFonts w:hint="eastAsia" w:ascii="宋体" w:hAnsi="宋体" w:cs="宋体"/>
          <w:color w:val="auto"/>
          <w:sz w:val="24"/>
          <w:highlight w:val="none"/>
        </w:rPr>
        <w:t>资格审查情况、评审专家抽取规则、符合性审查情况、</w:t>
      </w:r>
      <w:bookmarkEnd w:id="12"/>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1"/>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1"/>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68072998"/>
      <w:bookmarkEnd w:id="13"/>
      <w:bookmarkStart w:id="14" w:name="_Hlt75236011"/>
      <w:bookmarkEnd w:id="14"/>
      <w:bookmarkStart w:id="15" w:name="_Hlt68073093"/>
      <w:bookmarkEnd w:id="15"/>
      <w:bookmarkStart w:id="16" w:name="_Hlt74714665"/>
      <w:bookmarkEnd w:id="16"/>
      <w:bookmarkStart w:id="17" w:name="_Hlt68057669"/>
      <w:bookmarkEnd w:id="17"/>
      <w:bookmarkStart w:id="18" w:name="_Hlt68403820"/>
      <w:bookmarkEnd w:id="18"/>
      <w:bookmarkStart w:id="19" w:name="_Hlt74729768"/>
      <w:bookmarkEnd w:id="19"/>
      <w:bookmarkStart w:id="20" w:name="_Hlt75236101"/>
      <w:bookmarkEnd w:id="20"/>
      <w:bookmarkStart w:id="21" w:name="_Hlt68072990"/>
      <w:bookmarkEnd w:id="21"/>
      <w:bookmarkStart w:id="22" w:name="_Hlt74730295"/>
      <w:bookmarkEnd w:id="22"/>
      <w:bookmarkStart w:id="23" w:name="_Hlt74707468"/>
      <w:bookmarkEnd w:id="23"/>
      <w:bookmarkStart w:id="24" w:name="_Hlt75236290"/>
      <w:bookmarkEnd w:id="24"/>
    </w:p>
    <w:bookmarkEnd w:id="9"/>
    <w:bookmarkEnd w:id="10"/>
    <w:p>
      <w:pPr>
        <w:spacing w:line="360" w:lineRule="auto"/>
        <w:jc w:val="center"/>
        <w:outlineLvl w:val="0"/>
        <w:rPr>
          <w:rFonts w:ascii="宋体"/>
          <w:b/>
          <w:bCs/>
          <w:color w:val="auto"/>
          <w:sz w:val="36"/>
          <w:szCs w:val="36"/>
          <w:highlight w:val="none"/>
        </w:rPr>
      </w:pPr>
      <w:bookmarkStart w:id="25" w:name="第四部分"/>
      <w:r>
        <w:rPr>
          <w:rFonts w:hint="eastAsia" w:ascii="宋体" w:hAnsi="宋体" w:cs="宋体"/>
          <w:b/>
          <w:bCs/>
          <w:color w:val="auto"/>
          <w:sz w:val="36"/>
          <w:szCs w:val="36"/>
          <w:highlight w:val="none"/>
        </w:rPr>
        <w:t>第三部分采购需求</w:t>
      </w:r>
    </w:p>
    <w:p>
      <w:pPr>
        <w:numPr>
          <w:ilvl w:val="0"/>
          <w:numId w:val="0"/>
        </w:numPr>
        <w:spacing w:line="360" w:lineRule="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eastAsia="zh-CN"/>
        </w:rPr>
        <w:t>一、</w:t>
      </w:r>
      <w:r>
        <w:rPr>
          <w:rFonts w:hint="eastAsia" w:ascii="宋体" w:hAnsi="宋体" w:cs="宋体"/>
          <w:b/>
          <w:bCs/>
          <w:color w:val="auto"/>
          <w:sz w:val="28"/>
          <w:szCs w:val="28"/>
          <w:highlight w:val="none"/>
        </w:rPr>
        <w:t>项目概况及要求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1、项目名称：崇贤街道部分道路综合养护服务项目</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2、采购内容：各标项指定服务范围内的道路清扫，包含服务区域内的道路清扫（垃圾收集清运）和所承包范围内偷倒垃圾清运服务及驿站设置与管养工作</w:t>
      </w:r>
      <w:r>
        <w:rPr>
          <w:rFonts w:hint="eastAsia" w:ascii="宋体" w:hAnsi="宋体" w:cs="宋体"/>
          <w:color w:val="auto"/>
          <w:kern w:val="2"/>
          <w:sz w:val="24"/>
          <w:szCs w:val="24"/>
          <w:highlight w:val="none"/>
          <w:lang w:val="en-US" w:eastAsia="zh-CN" w:bidi="ar-SA"/>
        </w:rPr>
        <w:t>，以及相应范围绿化面积的养护和部分公路里程的养护维修。</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3、合同履约期限：</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年，具体起始日期以合同约定为准。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4、预算金额：5630000元。</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二、</w:t>
      </w:r>
      <w:r>
        <w:rPr>
          <w:rFonts w:hint="eastAsia" w:ascii="宋体" w:hAnsi="宋体" w:cs="宋体"/>
          <w:b/>
          <w:bCs/>
          <w:color w:val="auto"/>
          <w:kern w:val="2"/>
          <w:sz w:val="28"/>
          <w:szCs w:val="28"/>
          <w:highlight w:val="none"/>
          <w:lang w:val="en-US" w:eastAsia="zh-CN" w:bidi="ar-SA"/>
        </w:rPr>
        <w:t>养护</w:t>
      </w:r>
      <w:r>
        <w:rPr>
          <w:rFonts w:hint="eastAsia" w:ascii="宋体" w:hAnsi="宋体" w:eastAsia="宋体" w:cs="宋体"/>
          <w:b/>
          <w:bCs/>
          <w:color w:val="auto"/>
          <w:kern w:val="2"/>
          <w:sz w:val="28"/>
          <w:szCs w:val="28"/>
          <w:highlight w:val="none"/>
          <w:lang w:val="en-US" w:eastAsia="zh-CN" w:bidi="ar-SA"/>
        </w:rPr>
        <w:t>清单</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1、道路保洁：老320国道，保洁面积49374平方米；绿化养护：822990.1㎡；市政养护及零星修复合计23.923公里。</w:t>
      </w:r>
    </w:p>
    <w:p>
      <w:pPr>
        <w:pStyle w:val="24"/>
        <w:ind w:left="0" w:leftChars="0" w:firstLine="720" w:firstLineChars="300"/>
        <w:rPr>
          <w:rFonts w:hint="eastAsia"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w:t>
      </w:r>
      <w:r>
        <w:rPr>
          <w:rFonts w:hint="eastAsia" w:hAnsi="宋体" w:cs="宋体"/>
          <w:color w:val="auto"/>
          <w:kern w:val="2"/>
          <w:sz w:val="24"/>
          <w:szCs w:val="24"/>
          <w:highlight w:val="none"/>
          <w:lang w:val="en-US" w:eastAsia="zh-CN" w:bidi="ar-SA"/>
        </w:rPr>
        <w:t>、各标项道路清单及人员要求：</w:t>
      </w:r>
    </w:p>
    <w:p>
      <w:pPr>
        <w:pStyle w:val="24"/>
        <w:ind w:left="0" w:leftChars="0" w:firstLine="720" w:firstLineChars="300"/>
        <w:rPr>
          <w:rFonts w:hint="eastAsia"/>
          <w:color w:val="auto"/>
          <w:highlight w:val="none"/>
        </w:rPr>
      </w:pPr>
      <w:r>
        <w:rPr>
          <w:rFonts w:hint="eastAsia"/>
          <w:color w:val="auto"/>
          <w:highlight w:val="none"/>
          <w:lang w:eastAsia="zh-CN"/>
        </w:rPr>
        <w:t>（</w:t>
      </w:r>
      <w:r>
        <w:rPr>
          <w:rFonts w:hint="eastAsia"/>
          <w:color w:val="auto"/>
          <w:highlight w:val="none"/>
          <w:lang w:val="en-US" w:eastAsia="zh-CN"/>
        </w:rPr>
        <w:t>1）道路保洁：</w:t>
      </w:r>
      <w:r>
        <w:rPr>
          <w:rFonts w:hint="eastAsia"/>
          <w:color w:val="auto"/>
          <w:highlight w:val="none"/>
        </w:rPr>
        <w:t>保洁</w:t>
      </w:r>
      <w:r>
        <w:rPr>
          <w:rFonts w:hint="eastAsia"/>
          <w:color w:val="auto"/>
          <w:highlight w:val="none"/>
          <w:lang w:val="en-US" w:eastAsia="zh-CN"/>
        </w:rPr>
        <w:t>道路一条，</w:t>
      </w:r>
      <w:r>
        <w:rPr>
          <w:rFonts w:hint="eastAsia"/>
          <w:color w:val="auto"/>
          <w:highlight w:val="none"/>
        </w:rPr>
        <w:t>老320</w:t>
      </w:r>
      <w:r>
        <w:rPr>
          <w:rFonts w:hint="eastAsia"/>
          <w:color w:val="auto"/>
          <w:highlight w:val="none"/>
          <w:lang w:val="en-US" w:eastAsia="zh-CN"/>
        </w:rPr>
        <w:t>国道</w:t>
      </w:r>
      <w:r>
        <w:rPr>
          <w:rFonts w:hint="eastAsia"/>
          <w:color w:val="auto"/>
          <w:highlight w:val="none"/>
        </w:rPr>
        <w:t>，</w:t>
      </w:r>
      <w:r>
        <w:rPr>
          <w:rFonts w:hint="eastAsia" w:asciiTheme="minorEastAsia" w:hAnsiTheme="minorEastAsia" w:eastAsiaTheme="minorEastAsia"/>
          <w:snapToGrid/>
          <w:color w:val="auto"/>
          <w:kern w:val="2"/>
          <w:sz w:val="24"/>
          <w:szCs w:val="24"/>
          <w:highlight w:val="none"/>
        </w:rPr>
        <w:t>保洁面积49374平方米</w:t>
      </w:r>
      <w:r>
        <w:rPr>
          <w:rFonts w:hint="eastAsia" w:asciiTheme="minorEastAsia" w:hAnsiTheme="minorEastAsia" w:eastAsiaTheme="minorEastAsia"/>
          <w:snapToGrid/>
          <w:color w:val="auto"/>
          <w:kern w:val="2"/>
          <w:sz w:val="24"/>
          <w:szCs w:val="24"/>
          <w:highlight w:val="none"/>
          <w:lang w:eastAsia="zh-CN"/>
        </w:rPr>
        <w:t>。</w:t>
      </w:r>
    </w:p>
    <w:p>
      <w:pPr>
        <w:pStyle w:val="23"/>
        <w:ind w:firstLine="720" w:firstLineChars="300"/>
        <w:rPr>
          <w:rFonts w:hint="default" w:eastAsia="宋体"/>
          <w:color w:val="auto"/>
          <w:highlight w:val="none"/>
          <w:lang w:val="en-US" w:eastAsia="zh-CN"/>
        </w:rPr>
      </w:pP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2）市政养护及零星修复</w:t>
      </w:r>
    </w:p>
    <w:tbl>
      <w:tblPr>
        <w:tblStyle w:val="62"/>
        <w:tblW w:w="79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9"/>
        <w:gridCol w:w="1921"/>
        <w:gridCol w:w="1425"/>
        <w:gridCol w:w="1115"/>
        <w:gridCol w:w="1371"/>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服务内容</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线路简称</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养护标准</w:t>
            </w:r>
          </w:p>
        </w:tc>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维修里程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6"/>
                <w:szCs w:val="16"/>
                <w:highlight w:val="none"/>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6"/>
                <w:szCs w:val="16"/>
                <w:highlight w:val="none"/>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6"/>
                <w:szCs w:val="16"/>
                <w:highlight w:val="none"/>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起点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终点</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sz w:val="16"/>
                <w:szCs w:val="16"/>
                <w:highlight w:val="none"/>
                <w:u w:val="none"/>
                <w:lang w:val="en-US"/>
              </w:rPr>
            </w:pPr>
            <w:r>
              <w:rPr>
                <w:rFonts w:hint="eastAsia" w:ascii="宋体" w:hAnsi="宋体" w:eastAsia="宋体" w:cs="宋体"/>
                <w:b/>
                <w:bCs/>
                <w:i w:val="0"/>
                <w:iCs w:val="0"/>
                <w:color w:val="auto"/>
                <w:kern w:val="0"/>
                <w:sz w:val="16"/>
                <w:szCs w:val="16"/>
                <w:highlight w:val="none"/>
                <w:u w:val="none"/>
                <w:lang w:val="en-US" w:eastAsia="zh-CN" w:bidi="ar"/>
              </w:rPr>
              <w:t>里程</w:t>
            </w:r>
            <w:r>
              <w:rPr>
                <w:rFonts w:hint="eastAsia" w:ascii="宋体" w:hAnsi="宋体" w:cs="宋体"/>
                <w:b/>
                <w:bCs/>
                <w:i w:val="0"/>
                <w:iCs w:val="0"/>
                <w:color w:val="auto"/>
                <w:kern w:val="0"/>
                <w:sz w:val="16"/>
                <w:szCs w:val="16"/>
                <w:highlight w:val="none"/>
                <w:u w:val="none"/>
                <w:lang w:val="en-US" w:eastAsia="zh-CN" w:bidi="ar"/>
              </w:rPr>
              <w:t>（公里）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县道小修</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1、</w:t>
            </w:r>
            <w:r>
              <w:rPr>
                <w:rFonts w:hint="eastAsia" w:ascii="宋体" w:hAnsi="宋体" w:eastAsia="宋体" w:cs="宋体"/>
                <w:i w:val="0"/>
                <w:iCs w:val="0"/>
                <w:color w:val="auto"/>
                <w:kern w:val="0"/>
                <w:sz w:val="16"/>
                <w:szCs w:val="16"/>
                <w:highlight w:val="none"/>
                <w:u w:val="none"/>
                <w:lang w:val="en-US" w:eastAsia="zh-CN" w:bidi="ar"/>
              </w:rPr>
              <w:t>崇超线</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普通县道</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K0+000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K4+000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2、</w:t>
            </w:r>
            <w:r>
              <w:rPr>
                <w:rFonts w:hint="eastAsia" w:ascii="宋体" w:hAnsi="宋体" w:eastAsia="宋体" w:cs="宋体"/>
                <w:i w:val="0"/>
                <w:iCs w:val="0"/>
                <w:color w:val="auto"/>
                <w:kern w:val="0"/>
                <w:sz w:val="16"/>
                <w:szCs w:val="16"/>
                <w:highlight w:val="none"/>
                <w:u w:val="none"/>
                <w:lang w:val="en-US" w:eastAsia="zh-CN" w:bidi="ar"/>
              </w:rPr>
              <w:t>崇康线</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普通县道</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K0+000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K2+286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3、</w:t>
            </w:r>
            <w:r>
              <w:rPr>
                <w:rFonts w:hint="eastAsia" w:ascii="宋体" w:hAnsi="宋体" w:eastAsia="宋体" w:cs="宋体"/>
                <w:i w:val="0"/>
                <w:iCs w:val="0"/>
                <w:color w:val="auto"/>
                <w:kern w:val="0"/>
                <w:sz w:val="16"/>
                <w:szCs w:val="16"/>
                <w:highlight w:val="none"/>
                <w:u w:val="none"/>
                <w:lang w:val="en-US" w:eastAsia="zh-CN" w:bidi="ar"/>
              </w:rPr>
              <w:t>石塘线</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普通县道</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K0+000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K10+500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4、</w:t>
            </w:r>
            <w:r>
              <w:rPr>
                <w:rFonts w:hint="eastAsia" w:ascii="宋体" w:hAnsi="宋体" w:eastAsia="宋体" w:cs="宋体"/>
                <w:i w:val="0"/>
                <w:iCs w:val="0"/>
                <w:color w:val="auto"/>
                <w:kern w:val="0"/>
                <w:sz w:val="16"/>
                <w:szCs w:val="16"/>
                <w:highlight w:val="none"/>
                <w:u w:val="none"/>
                <w:lang w:val="en-US" w:eastAsia="zh-CN" w:bidi="ar"/>
              </w:rPr>
              <w:t>塘康线</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普通县道（2.531）城市二类（3）</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K5+000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K10+531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5.531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5、</w:t>
            </w:r>
            <w:r>
              <w:rPr>
                <w:rFonts w:hint="eastAsia" w:ascii="宋体" w:hAnsi="宋体" w:eastAsia="宋体" w:cs="宋体"/>
                <w:i w:val="0"/>
                <w:iCs w:val="0"/>
                <w:color w:val="auto"/>
                <w:kern w:val="0"/>
                <w:sz w:val="16"/>
                <w:szCs w:val="16"/>
                <w:highlight w:val="none"/>
                <w:u w:val="none"/>
                <w:lang w:val="en-US" w:eastAsia="zh-CN" w:bidi="ar"/>
              </w:rPr>
              <w:t>老320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城市二类</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K188+653</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K189+919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6、</w:t>
            </w:r>
            <w:r>
              <w:rPr>
                <w:rFonts w:hint="eastAsia" w:ascii="宋体" w:hAnsi="宋体" w:eastAsia="宋体" w:cs="宋体"/>
                <w:i w:val="0"/>
                <w:iCs w:val="0"/>
                <w:color w:val="auto"/>
                <w:kern w:val="0"/>
                <w:sz w:val="16"/>
                <w:szCs w:val="16"/>
                <w:highlight w:val="none"/>
                <w:u w:val="none"/>
                <w:lang w:val="en-US" w:eastAsia="zh-CN" w:bidi="ar"/>
              </w:rPr>
              <w:t>塘崇线（秋石北路）</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城市一类</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K6+870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K7+210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合计</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23.923</w:t>
            </w:r>
          </w:p>
        </w:tc>
      </w:tr>
    </w:tbl>
    <w:p>
      <w:pPr>
        <w:spacing w:line="360" w:lineRule="auto"/>
        <w:ind w:firstLine="480" w:firstLineChars="200"/>
        <w:rPr>
          <w:rFonts w:ascii="宋体"/>
          <w:color w:val="auto"/>
          <w:sz w:val="24"/>
          <w:szCs w:val="24"/>
          <w:highlight w:val="none"/>
        </w:rPr>
      </w:pPr>
    </w:p>
    <w:p>
      <w:pPr>
        <w:pStyle w:val="23"/>
        <w:ind w:firstLine="960" w:firstLineChars="400"/>
        <w:rPr>
          <w:rFonts w:hint="default" w:eastAsia="宋体"/>
          <w:color w:val="auto"/>
          <w:highlight w:val="none"/>
          <w:lang w:val="en-US" w:eastAsia="zh-CN"/>
        </w:rPr>
      </w:pPr>
      <w:r>
        <w:rPr>
          <w:rFonts w:hint="eastAsia"/>
          <w:color w:val="auto"/>
          <w:sz w:val="24"/>
          <w:szCs w:val="24"/>
          <w:highlight w:val="none"/>
          <w:lang w:eastAsia="zh-CN"/>
        </w:rPr>
        <w:t>（</w:t>
      </w:r>
      <w:r>
        <w:rPr>
          <w:rFonts w:hint="eastAsia"/>
          <w:color w:val="auto"/>
          <w:sz w:val="24"/>
          <w:szCs w:val="24"/>
          <w:highlight w:val="none"/>
          <w:lang w:val="en-US" w:eastAsia="zh-CN"/>
        </w:rPr>
        <w:t>3）绿化养护</w:t>
      </w:r>
    </w:p>
    <w:tbl>
      <w:tblPr>
        <w:tblStyle w:val="62"/>
        <w:tblW w:w="7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9"/>
        <w:gridCol w:w="3507"/>
        <w:gridCol w:w="1800"/>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服务内容</w:t>
            </w:r>
          </w:p>
        </w:tc>
        <w:tc>
          <w:tcPr>
            <w:tcW w:w="3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路段区域</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养护等级</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绿化面积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9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kern w:val="0"/>
                <w:sz w:val="16"/>
                <w:szCs w:val="16"/>
                <w:highlight w:val="none"/>
                <w:u w:val="none"/>
                <w:lang w:val="en-US" w:eastAsia="zh-CN" w:bidi="ar"/>
              </w:rPr>
            </w:pPr>
            <w:r>
              <w:rPr>
                <w:rFonts w:hint="eastAsia" w:ascii="宋体" w:hAnsi="宋体" w:cs="宋体"/>
                <w:b/>
                <w:bCs/>
                <w:i w:val="0"/>
                <w:iCs w:val="0"/>
                <w:color w:val="auto"/>
                <w:kern w:val="0"/>
                <w:sz w:val="16"/>
                <w:szCs w:val="16"/>
                <w:highlight w:val="none"/>
                <w:u w:val="none"/>
                <w:lang w:val="en-US" w:eastAsia="zh-CN" w:bidi="ar"/>
              </w:rPr>
              <w:t>乔木林</w:t>
            </w:r>
          </w:p>
          <w:p>
            <w:pPr>
              <w:keepNext w:val="0"/>
              <w:keepLines w:val="0"/>
              <w:widowControl/>
              <w:suppressLineNumbers w:val="0"/>
              <w:jc w:val="center"/>
              <w:textAlignment w:val="center"/>
              <w:rPr>
                <w:rFonts w:hint="default" w:ascii="宋体" w:hAnsi="宋体" w:eastAsia="宋体" w:cs="宋体"/>
                <w:b/>
                <w:bCs/>
                <w:i w:val="0"/>
                <w:iCs w:val="0"/>
                <w:color w:val="auto"/>
                <w:kern w:val="0"/>
                <w:sz w:val="16"/>
                <w:szCs w:val="16"/>
                <w:highlight w:val="none"/>
                <w:u w:val="none"/>
                <w:lang w:val="en-US" w:eastAsia="zh-CN" w:bidi="ar"/>
              </w:rPr>
            </w:pPr>
            <w:r>
              <w:rPr>
                <w:rFonts w:hint="eastAsia" w:ascii="宋体" w:hAnsi="宋体" w:cs="宋体"/>
                <w:b/>
                <w:bCs/>
                <w:i w:val="0"/>
                <w:iCs w:val="0"/>
                <w:color w:val="auto"/>
                <w:kern w:val="0"/>
                <w:sz w:val="16"/>
                <w:szCs w:val="16"/>
                <w:highlight w:val="none"/>
                <w:u w:val="none"/>
                <w:lang w:val="en-US" w:eastAsia="zh-CN" w:bidi="ar"/>
              </w:rPr>
              <w:t>养护</w:t>
            </w:r>
          </w:p>
        </w:tc>
        <w:tc>
          <w:tcPr>
            <w:tcW w:w="3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cs="宋体"/>
                <w:i w:val="0"/>
                <w:iCs w:val="0"/>
                <w:color w:val="auto"/>
                <w:kern w:val="0"/>
                <w:sz w:val="16"/>
                <w:szCs w:val="16"/>
                <w:highlight w:val="none"/>
                <w:u w:val="none"/>
                <w:lang w:val="en-US" w:eastAsia="zh-CN" w:bidi="ar"/>
              </w:rPr>
              <w:t>1、</w:t>
            </w:r>
            <w:r>
              <w:rPr>
                <w:rFonts w:hint="eastAsia" w:ascii="宋体" w:hAnsi="宋体" w:eastAsia="宋体" w:cs="宋体"/>
                <w:i w:val="0"/>
                <w:iCs w:val="0"/>
                <w:color w:val="auto"/>
                <w:kern w:val="0"/>
                <w:sz w:val="16"/>
                <w:szCs w:val="16"/>
                <w:highlight w:val="none"/>
                <w:u w:val="none"/>
                <w:lang w:val="en-US" w:eastAsia="zh-CN" w:bidi="ar"/>
              </w:rPr>
              <w:t>申嘉湖杭高速（主线）</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乔木林</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91588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89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p>
        </w:tc>
        <w:tc>
          <w:tcPr>
            <w:tcW w:w="3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cs="宋体"/>
                <w:i w:val="0"/>
                <w:iCs w:val="0"/>
                <w:color w:val="auto"/>
                <w:kern w:val="0"/>
                <w:sz w:val="16"/>
                <w:szCs w:val="16"/>
                <w:highlight w:val="none"/>
                <w:u w:val="none"/>
                <w:lang w:val="en-US" w:eastAsia="zh-CN" w:bidi="ar"/>
              </w:rPr>
              <w:t>2、</w:t>
            </w:r>
            <w:r>
              <w:rPr>
                <w:rFonts w:hint="eastAsia" w:ascii="宋体" w:hAnsi="宋体" w:eastAsia="宋体" w:cs="宋体"/>
                <w:i w:val="0"/>
                <w:iCs w:val="0"/>
                <w:color w:val="auto"/>
                <w:kern w:val="0"/>
                <w:sz w:val="16"/>
                <w:szCs w:val="16"/>
                <w:highlight w:val="none"/>
                <w:u w:val="none"/>
                <w:lang w:val="en-US" w:eastAsia="zh-CN" w:bidi="ar"/>
              </w:rPr>
              <w:t>绕城高速（运河-江干区）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乔木林</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421543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899" w:type="dxa"/>
            <w:vMerge w:val="continue"/>
            <w:tcBorders>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p>
        </w:tc>
        <w:tc>
          <w:tcPr>
            <w:tcW w:w="3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auto"/>
                <w:kern w:val="0"/>
                <w:sz w:val="16"/>
                <w:szCs w:val="16"/>
                <w:highlight w:val="none"/>
                <w:u w:val="none"/>
                <w:lang w:val="en-US" w:eastAsia="zh-CN" w:bidi="ar"/>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highlight w:val="none"/>
                <w:u w:val="none"/>
                <w:lang w:val="en-US" w:eastAsia="zh-CN" w:bidi="ar"/>
              </w:rPr>
            </w:pPr>
            <w:r>
              <w:rPr>
                <w:rFonts w:hint="eastAsia" w:ascii="宋体" w:hAnsi="宋体" w:cs="宋体"/>
                <w:i w:val="0"/>
                <w:iCs w:val="0"/>
                <w:color w:val="auto"/>
                <w:kern w:val="0"/>
                <w:sz w:val="16"/>
                <w:szCs w:val="16"/>
                <w:highlight w:val="none"/>
                <w:u w:val="none"/>
                <w:lang w:val="en-US" w:eastAsia="zh-CN" w:bidi="ar"/>
              </w:rPr>
              <w:t>小计</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highlight w:val="none"/>
                <w:u w:val="none"/>
                <w:lang w:val="en-US" w:eastAsia="zh-CN" w:bidi="ar"/>
              </w:rPr>
            </w:pPr>
            <w:r>
              <w:rPr>
                <w:rFonts w:hint="eastAsia" w:ascii="宋体" w:hAnsi="宋体" w:cs="宋体"/>
                <w:i w:val="0"/>
                <w:iCs w:val="0"/>
                <w:color w:val="auto"/>
                <w:kern w:val="0"/>
                <w:sz w:val="16"/>
                <w:szCs w:val="16"/>
                <w:highlight w:val="none"/>
                <w:u w:val="none"/>
                <w:lang w:val="en-US" w:eastAsia="zh-CN" w:bidi="ar"/>
              </w:rPr>
              <w:t>513131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6"/>
                <w:szCs w:val="16"/>
                <w:highlight w:val="none"/>
                <w:u w:val="none"/>
                <w:lang w:val="en-US"/>
              </w:rPr>
            </w:pPr>
            <w:r>
              <w:rPr>
                <w:rFonts w:hint="eastAsia" w:ascii="宋体" w:hAnsi="宋体" w:eastAsia="宋体" w:cs="宋体"/>
                <w:i w:val="0"/>
                <w:iCs w:val="0"/>
                <w:color w:val="auto"/>
                <w:kern w:val="0"/>
                <w:sz w:val="16"/>
                <w:szCs w:val="16"/>
                <w:highlight w:val="none"/>
                <w:u w:val="none"/>
                <w:lang w:val="en-US" w:eastAsia="zh-CN" w:bidi="ar"/>
              </w:rPr>
              <w:t>绿化</w:t>
            </w:r>
            <w:r>
              <w:rPr>
                <w:rFonts w:hint="eastAsia" w:ascii="宋体" w:hAnsi="宋体" w:cs="宋体"/>
                <w:i w:val="0"/>
                <w:iCs w:val="0"/>
                <w:color w:val="auto"/>
                <w:kern w:val="0"/>
                <w:sz w:val="16"/>
                <w:szCs w:val="16"/>
                <w:highlight w:val="none"/>
                <w:u w:val="none"/>
                <w:lang w:val="en-US" w:eastAsia="zh-CN" w:bidi="ar"/>
              </w:rPr>
              <w:t>养护</w:t>
            </w:r>
          </w:p>
        </w:tc>
        <w:tc>
          <w:tcPr>
            <w:tcW w:w="35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1、</w:t>
            </w:r>
            <w:r>
              <w:rPr>
                <w:rFonts w:hint="eastAsia" w:ascii="宋体" w:hAnsi="宋体" w:eastAsia="宋体" w:cs="宋体"/>
                <w:i w:val="0"/>
                <w:iCs w:val="0"/>
                <w:color w:val="auto"/>
                <w:kern w:val="0"/>
                <w:sz w:val="16"/>
                <w:szCs w:val="16"/>
                <w:highlight w:val="none"/>
                <w:u w:val="none"/>
                <w:lang w:val="en-US" w:eastAsia="zh-CN" w:bidi="ar"/>
              </w:rPr>
              <w:t>塘崇线（秋石北路K6+870-K7+210）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二级</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2、</w:t>
            </w:r>
            <w:r>
              <w:rPr>
                <w:rFonts w:hint="eastAsia" w:ascii="宋体" w:hAnsi="宋体" w:eastAsia="宋体" w:cs="宋体"/>
                <w:i w:val="0"/>
                <w:iCs w:val="0"/>
                <w:color w:val="auto"/>
                <w:kern w:val="0"/>
                <w:sz w:val="16"/>
                <w:szCs w:val="16"/>
                <w:highlight w:val="none"/>
                <w:u w:val="none"/>
                <w:lang w:val="en-US" w:eastAsia="zh-CN" w:bidi="ar"/>
              </w:rPr>
              <w:t>塘康公路（K7+531-K10+531）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二级</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3、</w:t>
            </w:r>
            <w:r>
              <w:rPr>
                <w:rFonts w:hint="eastAsia" w:ascii="宋体" w:hAnsi="宋体" w:eastAsia="宋体" w:cs="宋体"/>
                <w:i w:val="0"/>
                <w:iCs w:val="0"/>
                <w:color w:val="auto"/>
                <w:kern w:val="0"/>
                <w:sz w:val="16"/>
                <w:szCs w:val="16"/>
                <w:highlight w:val="none"/>
                <w:u w:val="none"/>
                <w:lang w:val="en-US" w:eastAsia="zh-CN" w:bidi="ar"/>
              </w:rPr>
              <w:t>老320（K188+653-K189+919）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二级</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4、</w:t>
            </w:r>
            <w:r>
              <w:rPr>
                <w:rFonts w:hint="eastAsia" w:ascii="宋体" w:hAnsi="宋体" w:eastAsia="宋体" w:cs="宋体"/>
                <w:i w:val="0"/>
                <w:iCs w:val="0"/>
                <w:color w:val="auto"/>
                <w:kern w:val="0"/>
                <w:sz w:val="16"/>
                <w:szCs w:val="16"/>
                <w:highlight w:val="none"/>
                <w:u w:val="none"/>
                <w:lang w:val="en-US" w:eastAsia="zh-CN" w:bidi="ar"/>
              </w:rPr>
              <w:t>老320两侧（K188+653-K189+919）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二级</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5、</w:t>
            </w:r>
            <w:r>
              <w:rPr>
                <w:rFonts w:hint="eastAsia" w:ascii="宋体" w:hAnsi="宋体" w:eastAsia="宋体" w:cs="宋体"/>
                <w:i w:val="0"/>
                <w:iCs w:val="0"/>
                <w:color w:val="auto"/>
                <w:kern w:val="0"/>
                <w:sz w:val="16"/>
                <w:szCs w:val="16"/>
                <w:highlight w:val="none"/>
                <w:u w:val="none"/>
                <w:lang w:val="en-US" w:eastAsia="zh-CN" w:bidi="ar"/>
              </w:rPr>
              <w:t>申嘉湖杭高速（崇贤）</w:t>
            </w:r>
          </w:p>
        </w:tc>
        <w:tc>
          <w:tcPr>
            <w:tcW w:w="18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二级</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87967.8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6、</w:t>
            </w:r>
            <w:r>
              <w:rPr>
                <w:rFonts w:hint="eastAsia" w:ascii="宋体" w:hAnsi="宋体" w:eastAsia="宋体" w:cs="宋体"/>
                <w:i w:val="0"/>
                <w:iCs w:val="0"/>
                <w:color w:val="auto"/>
                <w:kern w:val="0"/>
                <w:sz w:val="16"/>
                <w:szCs w:val="16"/>
                <w:highlight w:val="none"/>
                <w:u w:val="none"/>
                <w:lang w:val="en-US" w:eastAsia="zh-CN" w:bidi="ar"/>
              </w:rPr>
              <w:t>申嘉湖杭高速（绕城互通）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二级</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56403.3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7、</w:t>
            </w:r>
            <w:r>
              <w:rPr>
                <w:rFonts w:hint="eastAsia" w:ascii="宋体" w:hAnsi="宋体" w:eastAsia="宋体" w:cs="宋体"/>
                <w:i w:val="0"/>
                <w:iCs w:val="0"/>
                <w:color w:val="auto"/>
                <w:kern w:val="0"/>
                <w:sz w:val="16"/>
                <w:szCs w:val="16"/>
                <w:highlight w:val="none"/>
                <w:u w:val="none"/>
                <w:lang w:val="en-US" w:eastAsia="zh-CN" w:bidi="ar"/>
              </w:rPr>
              <w:t>塘康路莳花</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莳花</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8、</w:t>
            </w:r>
            <w:r>
              <w:rPr>
                <w:rFonts w:hint="eastAsia" w:ascii="宋体" w:hAnsi="宋体" w:eastAsia="宋体" w:cs="宋体"/>
                <w:i w:val="0"/>
                <w:iCs w:val="0"/>
                <w:color w:val="auto"/>
                <w:kern w:val="0"/>
                <w:sz w:val="16"/>
                <w:szCs w:val="16"/>
                <w:highlight w:val="none"/>
                <w:u w:val="none"/>
                <w:lang w:val="en-US" w:eastAsia="zh-CN" w:bidi="ar"/>
              </w:rPr>
              <w:t>塘崇线（秋石北路）莳花</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莳花</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89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9、</w:t>
            </w:r>
            <w:r>
              <w:rPr>
                <w:rFonts w:hint="eastAsia" w:ascii="宋体" w:hAnsi="宋体" w:eastAsia="宋体" w:cs="宋体"/>
                <w:i w:val="0"/>
                <w:iCs w:val="0"/>
                <w:color w:val="auto"/>
                <w:kern w:val="0"/>
                <w:sz w:val="16"/>
                <w:szCs w:val="16"/>
                <w:highlight w:val="none"/>
                <w:u w:val="none"/>
                <w:lang w:val="en-US" w:eastAsia="zh-CN" w:bidi="ar"/>
              </w:rPr>
              <w:t>申嘉湖杭高速（崇贤入城口）</w:t>
            </w:r>
          </w:p>
        </w:tc>
        <w:tc>
          <w:tcPr>
            <w:tcW w:w="1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二级</w:t>
            </w:r>
          </w:p>
        </w:tc>
        <w:tc>
          <w:tcPr>
            <w:tcW w:w="17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97068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89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16"/>
                <w:szCs w:val="16"/>
                <w:highlight w:val="none"/>
                <w:u w:val="none"/>
              </w:rPr>
            </w:pPr>
          </w:p>
        </w:tc>
        <w:tc>
          <w:tcPr>
            <w:tcW w:w="3507"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auto"/>
                <w:kern w:val="0"/>
                <w:sz w:val="16"/>
                <w:szCs w:val="16"/>
                <w:highlight w:val="none"/>
                <w:u w:val="none"/>
                <w:lang w:val="en-US" w:eastAsia="zh-CN" w:bidi="ar"/>
              </w:rPr>
            </w:pPr>
          </w:p>
        </w:tc>
        <w:tc>
          <w:tcPr>
            <w:tcW w:w="1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highlight w:val="none"/>
                <w:u w:val="none"/>
                <w:lang w:val="en-US" w:eastAsia="zh-CN" w:bidi="ar"/>
              </w:rPr>
            </w:pPr>
            <w:r>
              <w:rPr>
                <w:rFonts w:hint="eastAsia" w:ascii="宋体" w:hAnsi="宋体" w:cs="宋体"/>
                <w:i w:val="0"/>
                <w:iCs w:val="0"/>
                <w:color w:val="auto"/>
                <w:kern w:val="0"/>
                <w:sz w:val="16"/>
                <w:szCs w:val="16"/>
                <w:highlight w:val="none"/>
                <w:u w:val="none"/>
                <w:lang w:val="en-US" w:eastAsia="zh-CN" w:bidi="ar"/>
              </w:rPr>
              <w:t>小计</w:t>
            </w:r>
          </w:p>
        </w:tc>
        <w:tc>
          <w:tcPr>
            <w:tcW w:w="17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highlight w:val="none"/>
                <w:u w:val="none"/>
                <w:lang w:val="en-US" w:eastAsia="zh-CN" w:bidi="ar"/>
              </w:rPr>
            </w:pPr>
            <w:r>
              <w:rPr>
                <w:rFonts w:hint="eastAsia" w:ascii="宋体" w:hAnsi="宋体" w:cs="宋体"/>
                <w:i w:val="0"/>
                <w:iCs w:val="0"/>
                <w:color w:val="auto"/>
                <w:kern w:val="0"/>
                <w:sz w:val="16"/>
                <w:szCs w:val="16"/>
                <w:highlight w:val="none"/>
                <w:u w:val="none"/>
                <w:lang w:val="en-US" w:eastAsia="zh-CN" w:bidi="ar"/>
              </w:rPr>
              <w:t>309859.1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cs="宋体"/>
                <w:i w:val="0"/>
                <w:iCs w:val="0"/>
                <w:color w:val="auto"/>
                <w:kern w:val="0"/>
                <w:sz w:val="16"/>
                <w:szCs w:val="16"/>
                <w:highlight w:val="none"/>
                <w:u w:val="none"/>
                <w:lang w:val="en-US" w:eastAsia="zh-CN" w:bidi="ar"/>
              </w:rPr>
              <w:t>合计</w:t>
            </w:r>
          </w:p>
        </w:tc>
        <w:tc>
          <w:tcPr>
            <w:tcW w:w="35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6"/>
                <w:szCs w:val="16"/>
                <w:highlight w:val="none"/>
                <w:u w:val="none"/>
              </w:rPr>
            </w:pPr>
          </w:p>
        </w:tc>
        <w:tc>
          <w:tcPr>
            <w:tcW w:w="1800" w:type="dxa"/>
            <w:tcBorders>
              <w:top w:val="single" w:color="000000" w:sz="4" w:space="0"/>
              <w:left w:val="single" w:color="auto"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auto"/>
                <w:sz w:val="22"/>
                <w:szCs w:val="22"/>
                <w:highlight w:val="none"/>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822990.1</w:t>
            </w:r>
          </w:p>
        </w:tc>
      </w:tr>
    </w:tbl>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cs="宋体"/>
          <w:color w:val="auto"/>
          <w:sz w:val="24"/>
          <w:szCs w:val="24"/>
          <w:highlight w:val="none"/>
        </w:rPr>
        <w:t>拟投入人员配置表（响应表中响应即可，否则视为不满足）</w:t>
      </w:r>
    </w:p>
    <w:tbl>
      <w:tblPr>
        <w:tblStyle w:val="62"/>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1814"/>
        <w:gridCol w:w="941"/>
        <w:gridCol w:w="2187"/>
        <w:gridCol w:w="1236"/>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639"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承担岗位名称</w:t>
            </w:r>
          </w:p>
        </w:tc>
        <w:tc>
          <w:tcPr>
            <w:tcW w:w="130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人员数量（人）</w:t>
            </w:r>
          </w:p>
        </w:tc>
        <w:tc>
          <w:tcPr>
            <w:tcW w:w="1538"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639"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项目负责人</w:t>
            </w:r>
          </w:p>
        </w:tc>
        <w:tc>
          <w:tcPr>
            <w:tcW w:w="130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1人</w:t>
            </w:r>
          </w:p>
        </w:tc>
        <w:tc>
          <w:tcPr>
            <w:tcW w:w="1538" w:type="pct"/>
            <w:gridSpan w:val="2"/>
          </w:tcPr>
          <w:p>
            <w:pPr>
              <w:spacing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本科</w:t>
            </w:r>
            <w:r>
              <w:rPr>
                <w:rFonts w:hint="eastAsia" w:ascii="宋体" w:hAnsi="宋体" w:cs="宋体"/>
                <w:color w:val="auto"/>
                <w:sz w:val="24"/>
                <w:szCs w:val="24"/>
                <w:highlight w:val="none"/>
              </w:rPr>
              <w:t>及以上学历</w:t>
            </w:r>
            <w:r>
              <w:rPr>
                <w:rFonts w:hint="eastAsia" w:ascii="宋体" w:hAnsi="宋体" w:cs="宋体"/>
                <w:color w:val="auto"/>
                <w:sz w:val="24"/>
                <w:szCs w:val="24"/>
                <w:highlight w:val="none"/>
                <w:lang w:eastAsia="zh-CN"/>
              </w:rPr>
              <w:t>，高级工程师及以上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2、道路保洁人员（专职道路保洁员包括车辆作业人员）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639"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承担岗位名称</w:t>
            </w:r>
          </w:p>
        </w:tc>
        <w:tc>
          <w:tcPr>
            <w:tcW w:w="2036"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每年人员数量</w:t>
            </w:r>
          </w:p>
        </w:tc>
        <w:tc>
          <w:tcPr>
            <w:tcW w:w="803"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639"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项目管理员</w:t>
            </w:r>
          </w:p>
        </w:tc>
        <w:tc>
          <w:tcPr>
            <w:tcW w:w="2036" w:type="pct"/>
            <w:gridSpan w:val="2"/>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现场专职管理员</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人</w:t>
            </w:r>
            <w:r>
              <w:rPr>
                <w:rFonts w:hint="eastAsia" w:ascii="宋体" w:hAnsi="宋体" w:cs="宋体"/>
                <w:color w:val="auto"/>
                <w:sz w:val="24"/>
                <w:szCs w:val="24"/>
                <w:highlight w:val="none"/>
                <w:lang w:eastAsia="zh-CN"/>
              </w:rPr>
              <w:t>，其中保洁管理员</w:t>
            </w:r>
            <w:r>
              <w:rPr>
                <w:rFonts w:hint="eastAsia" w:ascii="宋体" w:hAnsi="宋体" w:cs="宋体"/>
                <w:color w:val="auto"/>
                <w:sz w:val="24"/>
                <w:szCs w:val="24"/>
                <w:highlight w:val="none"/>
                <w:lang w:val="en-US" w:eastAsia="zh-CN"/>
              </w:rPr>
              <w:t>1人、绿化管理人员1人。</w:t>
            </w:r>
          </w:p>
        </w:tc>
        <w:tc>
          <w:tcPr>
            <w:tcW w:w="803"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大专</w:t>
            </w:r>
            <w:r>
              <w:rPr>
                <w:rFonts w:hint="eastAsia" w:ascii="宋体" w:hAnsi="宋体" w:cs="宋体"/>
                <w:color w:val="auto"/>
                <w:sz w:val="24"/>
                <w:szCs w:val="24"/>
                <w:highlight w:val="none"/>
              </w:rPr>
              <w:t>及以上学历</w:t>
            </w:r>
            <w:r>
              <w:rPr>
                <w:rFonts w:hint="eastAsia" w:ascii="宋体" w:hAnsi="宋体" w:cs="宋体"/>
                <w:color w:val="auto"/>
                <w:sz w:val="24"/>
                <w:szCs w:val="24"/>
                <w:highlight w:val="none"/>
                <w:lang w:eastAsia="zh-CN"/>
              </w:rPr>
              <w:t>年龄，</w:t>
            </w:r>
            <w:r>
              <w:rPr>
                <w:rFonts w:hint="eastAsia" w:ascii="宋体" w:hAnsi="宋体" w:cs="宋体"/>
                <w:color w:val="auto"/>
                <w:sz w:val="24"/>
                <w:szCs w:val="24"/>
                <w:highlight w:val="none"/>
                <w:lang w:val="en-US" w:eastAsia="zh-CN"/>
              </w:rPr>
              <w:t>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639"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专职道路保洁员</w:t>
            </w:r>
          </w:p>
        </w:tc>
        <w:tc>
          <w:tcPr>
            <w:tcW w:w="2036" w:type="pct"/>
            <w:gridSpan w:val="2"/>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 xml:space="preserve"> 不少于</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 xml:space="preserve">人 </w:t>
            </w:r>
            <w:r>
              <w:rPr>
                <w:rFonts w:hint="eastAsia" w:ascii="宋体" w:hAnsi="宋体" w:cs="宋体"/>
                <w:color w:val="auto"/>
                <w:sz w:val="24"/>
                <w:szCs w:val="24"/>
                <w:highlight w:val="none"/>
                <w:lang w:eastAsia="zh-CN"/>
              </w:rPr>
              <w:t>，其中保洁员</w:t>
            </w:r>
            <w:r>
              <w:rPr>
                <w:rFonts w:hint="eastAsia" w:ascii="宋体" w:hAnsi="宋体" w:cs="宋体"/>
                <w:color w:val="auto"/>
                <w:sz w:val="24"/>
                <w:szCs w:val="24"/>
                <w:highlight w:val="none"/>
                <w:lang w:val="en-US" w:eastAsia="zh-CN"/>
              </w:rPr>
              <w:t>6人、音乐线清运人员1人、驾驶员2人、机动工1人。</w:t>
            </w:r>
          </w:p>
        </w:tc>
        <w:tc>
          <w:tcPr>
            <w:tcW w:w="803" w:type="pct"/>
          </w:tcPr>
          <w:p>
            <w:pPr>
              <w:spacing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含车辆作业人员</w:t>
            </w:r>
            <w:r>
              <w:rPr>
                <w:rFonts w:hint="eastAsia" w:ascii="宋体" w:hAnsi="宋体" w:cs="宋体"/>
                <w:color w:val="auto"/>
                <w:sz w:val="24"/>
                <w:szCs w:val="24"/>
                <w:highlight w:val="none"/>
                <w:lang w:eastAsia="zh-CN"/>
              </w:rPr>
              <w:t>，年龄</w:t>
            </w:r>
            <w:r>
              <w:rPr>
                <w:rFonts w:hint="eastAsia" w:ascii="宋体" w:hAnsi="宋体" w:cs="宋体"/>
                <w:color w:val="auto"/>
                <w:sz w:val="24"/>
                <w:szCs w:val="24"/>
                <w:highlight w:val="none"/>
                <w:lang w:val="en-US" w:eastAsia="zh-CN"/>
              </w:rPr>
              <w:t>60周岁以下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639" w:type="pct"/>
            <w:gridSpan w:val="2"/>
          </w:tcPr>
          <w:p>
            <w:pPr>
              <w:spacing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绿化工</w:t>
            </w:r>
          </w:p>
        </w:tc>
        <w:tc>
          <w:tcPr>
            <w:tcW w:w="2036" w:type="pct"/>
            <w:gridSpan w:val="2"/>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不少于60人。</w:t>
            </w:r>
          </w:p>
        </w:tc>
        <w:tc>
          <w:tcPr>
            <w:tcW w:w="803" w:type="pct"/>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年龄</w:t>
            </w:r>
            <w:r>
              <w:rPr>
                <w:rFonts w:hint="eastAsia" w:ascii="宋体" w:hAnsi="宋体" w:cs="宋体"/>
                <w:color w:val="auto"/>
                <w:sz w:val="24"/>
                <w:szCs w:val="24"/>
                <w:highlight w:val="none"/>
                <w:lang w:val="en-US" w:eastAsia="zh-CN"/>
              </w:rPr>
              <w:t>60周岁以下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w:t>
            </w:r>
          </w:p>
        </w:tc>
        <w:tc>
          <w:tcPr>
            <w:tcW w:w="1639" w:type="pct"/>
            <w:gridSpan w:val="2"/>
          </w:tcPr>
          <w:p>
            <w:pPr>
              <w:spacing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数字城管及巡查员</w:t>
            </w:r>
          </w:p>
        </w:tc>
        <w:tc>
          <w:tcPr>
            <w:tcW w:w="2036" w:type="pct"/>
            <w:gridSpan w:val="2"/>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不少于</w:t>
            </w:r>
            <w:r>
              <w:rPr>
                <w:rFonts w:hint="eastAsia" w:ascii="宋体" w:hAnsi="宋体" w:cs="宋体"/>
                <w:color w:val="auto"/>
                <w:sz w:val="24"/>
                <w:szCs w:val="24"/>
                <w:highlight w:val="none"/>
                <w:lang w:val="en-US" w:eastAsia="zh-CN"/>
              </w:rPr>
              <w:t>2人。</w:t>
            </w:r>
          </w:p>
        </w:tc>
        <w:tc>
          <w:tcPr>
            <w:tcW w:w="803"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年龄</w:t>
            </w:r>
            <w:r>
              <w:rPr>
                <w:rFonts w:hint="eastAsia" w:ascii="宋体" w:hAnsi="宋体" w:cs="宋体"/>
                <w:color w:val="auto"/>
                <w:sz w:val="24"/>
                <w:szCs w:val="24"/>
                <w:highlight w:val="none"/>
                <w:lang w:val="en-US" w:eastAsia="zh-CN"/>
              </w:rPr>
              <w:t>60周岁以下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1" w:type="pct"/>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639"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小计（人）</w:t>
            </w:r>
          </w:p>
        </w:tc>
        <w:tc>
          <w:tcPr>
            <w:tcW w:w="2036"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74</w:t>
            </w:r>
            <w:r>
              <w:rPr>
                <w:rFonts w:hint="eastAsia" w:ascii="宋体" w:hAnsi="宋体" w:cs="宋体"/>
                <w:color w:val="auto"/>
                <w:sz w:val="24"/>
                <w:szCs w:val="24"/>
                <w:highlight w:val="none"/>
              </w:rPr>
              <w:t>人</w:t>
            </w:r>
          </w:p>
        </w:tc>
        <w:tc>
          <w:tcPr>
            <w:tcW w:w="803" w:type="pct"/>
          </w:tcPr>
          <w:p>
            <w:pPr>
              <w:spacing w:line="360" w:lineRule="auto"/>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00" w:type="pct"/>
            <w:gridSpan w:val="2"/>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合计（1+2）</w:t>
            </w:r>
          </w:p>
        </w:tc>
        <w:tc>
          <w:tcPr>
            <w:tcW w:w="3399" w:type="pct"/>
            <w:gridSpan w:val="4"/>
          </w:tcPr>
          <w:p>
            <w:pPr>
              <w:spacing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每年总计</w:t>
            </w:r>
            <w:r>
              <w:rPr>
                <w:rFonts w:hint="eastAsia" w:ascii="宋体" w:hAnsi="宋体" w:cs="宋体"/>
                <w:color w:val="auto"/>
                <w:sz w:val="24"/>
                <w:szCs w:val="24"/>
                <w:highlight w:val="none"/>
                <w:lang w:val="en-US" w:eastAsia="zh-CN"/>
              </w:rPr>
              <w:t>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000" w:type="pct"/>
            <w:gridSpan w:val="6"/>
          </w:tcPr>
          <w:p>
            <w:pPr>
              <w:spacing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注：1、投入的人数不得少于上表要求的人员数量。道路保洁时间均不少于18小时，人均清扫保洁面积按</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000平方米，每岗清扫人员安排以作业时间8小时计轮班</w:t>
            </w:r>
            <w:r>
              <w:rPr>
                <w:rFonts w:hint="eastAsia" w:ascii="宋体" w:hAnsi="宋体" w:cs="宋体"/>
                <w:color w:val="auto"/>
                <w:sz w:val="24"/>
                <w:szCs w:val="24"/>
                <w:highlight w:val="none"/>
                <w:lang w:eastAsia="zh-CN"/>
              </w:rPr>
              <w:t>；绿化养护人员一级绿地每1万平方米不得少于2名，二级绿地绿化养护人员每1万平方米不得少于</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lang w:eastAsia="zh-CN"/>
              </w:rPr>
              <w:t>名，三级及其他绿地绿化养护人员每1万平方米不得少于</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名。</w:t>
            </w:r>
            <w:r>
              <w:rPr>
                <w:rFonts w:hint="eastAsia" w:ascii="宋体" w:hAnsi="宋体" w:cs="宋体"/>
                <w:color w:val="auto"/>
                <w:sz w:val="24"/>
                <w:szCs w:val="24"/>
                <w:highlight w:val="none"/>
              </w:rPr>
              <w:t>供应商应根据以上保洁人员数量做好轮班，同一时间段作业人员不少于</w:t>
            </w:r>
            <w:r>
              <w:rPr>
                <w:rFonts w:hint="eastAsia" w:ascii="宋体" w:hAnsi="宋体" w:cs="宋体"/>
                <w:color w:val="auto"/>
                <w:sz w:val="24"/>
                <w:szCs w:val="24"/>
                <w:highlight w:val="none"/>
                <w:lang w:val="en-US" w:eastAsia="zh-CN"/>
              </w:rPr>
              <w:t>40</w:t>
            </w:r>
            <w:r>
              <w:rPr>
                <w:rFonts w:hint="eastAsia" w:ascii="宋体" w:hAnsi="宋体" w:cs="宋体"/>
                <w:color w:val="auto"/>
                <w:sz w:val="24"/>
                <w:szCs w:val="24"/>
                <w:highlight w:val="none"/>
              </w:rPr>
              <w:t>人</w:t>
            </w:r>
            <w:r>
              <w:rPr>
                <w:rFonts w:hint="eastAsia" w:ascii="宋体" w:hAnsi="宋体" w:cs="宋体"/>
                <w:color w:val="auto"/>
                <w:sz w:val="24"/>
                <w:szCs w:val="24"/>
                <w:highlight w:val="none"/>
                <w:lang w:eastAsia="zh-CN"/>
              </w:rPr>
              <w:t>；</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2、所有的人工费用均应考虑在投标总价中。</w:t>
            </w:r>
          </w:p>
        </w:tc>
      </w:tr>
    </w:tbl>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eastAsia" w:ascii="宋体" w:hAnsi="宋体" w:cs="宋体"/>
          <w:color w:val="auto"/>
          <w:kern w:val="2"/>
          <w:sz w:val="24"/>
          <w:szCs w:val="24"/>
          <w:highlight w:val="none"/>
          <w:lang w:val="en-US" w:eastAsia="zh-CN" w:bidi="ar-SA"/>
        </w:rPr>
      </w:pP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auto"/>
        <w:rPr>
          <w:rFonts w:hint="default" w:ascii="宋体" w:hAnsi="宋体" w:cs="宋体"/>
          <w:b/>
          <w:bCs/>
          <w:color w:val="auto"/>
          <w:kern w:val="2"/>
          <w:sz w:val="24"/>
          <w:szCs w:val="24"/>
          <w:highlight w:val="none"/>
          <w:lang w:val="en-US" w:eastAsia="zh-CN" w:bidi="ar-SA"/>
        </w:rPr>
      </w:pPr>
      <w:r>
        <w:rPr>
          <w:rFonts w:hint="default" w:ascii="宋体" w:hAnsi="宋体" w:cs="宋体"/>
          <w:b/>
          <w:bCs/>
          <w:color w:val="auto"/>
          <w:kern w:val="2"/>
          <w:sz w:val="24"/>
          <w:szCs w:val="24"/>
          <w:highlight w:val="none"/>
          <w:lang w:val="en-US" w:eastAsia="zh-CN" w:bidi="ar-SA"/>
        </w:rPr>
        <w:t>三、项目具体要求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auto"/>
        <w:rPr>
          <w:rFonts w:hint="default"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（一）</w:t>
      </w:r>
      <w:r>
        <w:rPr>
          <w:rFonts w:hint="default" w:ascii="宋体" w:hAnsi="宋体" w:cs="宋体"/>
          <w:b/>
          <w:bCs/>
          <w:color w:val="auto"/>
          <w:kern w:val="2"/>
          <w:sz w:val="24"/>
          <w:szCs w:val="24"/>
          <w:highlight w:val="none"/>
          <w:lang w:val="en-US" w:eastAsia="zh-CN" w:bidi="ar-SA"/>
        </w:rPr>
        <w:t>道路保洁</w:t>
      </w:r>
      <w:r>
        <w:rPr>
          <w:rFonts w:hint="eastAsia" w:ascii="宋体" w:hAnsi="宋体" w:cs="宋体"/>
          <w:b/>
          <w:bCs/>
          <w:color w:val="auto"/>
          <w:kern w:val="2"/>
          <w:sz w:val="24"/>
          <w:szCs w:val="24"/>
          <w:highlight w:val="none"/>
          <w:lang w:val="en-US" w:eastAsia="zh-CN" w:bidi="ar-SA"/>
        </w:rPr>
        <w:t>等级划分标准及管理要求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default" w:ascii="宋体" w:hAnsi="宋体" w:cs="宋体"/>
          <w:color w:val="auto"/>
          <w:kern w:val="2"/>
          <w:sz w:val="24"/>
          <w:szCs w:val="24"/>
          <w:highlight w:val="none"/>
          <w:lang w:val="en-US" w:eastAsia="zh-CN" w:bidi="ar-SA"/>
        </w:rPr>
        <w:t>相关要求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1.1本项目各标项人员要求须符合专职人员基本岗位数量要求。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1.1.2除项目负责人和专职保洁人员（含车辆作业人员）、项目管理员以外，供应商应根据项目保洁的实际需要配备相应人员，所需费用应考虑在投标总价中。</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1.1.3保洁人员在岗要求男性年龄在60周岁以下，女性年龄在55周岁以下，并按采购人要求完成智慧化管理措施、设施配备。大型活动、节假日、新作业方式调整或未达到管理标准等情况下应根据实际情况或采购人要求增派保洁人员、保洁设备，以确保清卫保洁质量，增派人员和设备的费用应考虑在投标总报价中。</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1.1.4鼓励供应商根据杭州市劳动和社会保障局、杭州市财政局“关于印发《市区“三类岗位”开发管理办法》的通知”及区政府等相关文件要求，鼓励中标供应商招聘失地失业人员参与本项目服务。</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1.1.5人员用工必须符合《中华人民共和国劳动民法典》等法规的相关规定，如因违法、违规并造成不良后果的，其责任由供应商自行承担。</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1.1.6 作业车辆、作业时间应符合属地交警部门要求，并按要求进行报备后实施。</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1.1.7 供应商提供的设施设备，根据采购人要求统一外观，标识。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1.2保洁服务内容</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1.2.1本项目涵盖采购文件第三部分采购需求项目概况及要求清单中所有道路的清扫运输、垃圾收集运输、偷倒垃圾清运等服务内容。</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1.2.2本项目道路中间绿化带含在道路保洁范围内，及道路两侧人行道外建筑物基石边或无建筑物外可视范围内（不少于5米）均包含在保洁范围内。</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1.2.3本项目涵盖地铁站（如有）出入口台阶以下周边范围的保洁含在道路保洁范围内。</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1.2.4本项目道路所附属的铁路下穿涵洞（如有）、果壳箱、交通隔离栏、路灯杆（2.2米以下部分）、交通信号杆（2.2米以下部分）均属于本项目保洁范围。</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1.2.5牛皮癣清理：标段范围内道路、围墙、道路沿线设施（含一层建筑立面）等区域的“乱涂”、“乱张贴”等牛皮癣日常清理均属于本项目保洁范围。</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1.2.6道路保洁承包期内如有道路改建、扩建、新增人行道等情况所增加的面积，原则上纳入中标单位保洁范围，保洁经费不再增加。  </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1.3保洁作业标准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1.3.1.一级标准：①保洁时长：18小时（5:00-23：00）。②快车道保洁：洒水5次/日；高压冲洗2次/日；洗扫吸三合一作业3次/日，要求单向两边侧石、隔离栏底下全部覆盖。③慢车道和人行道保洁：日常普扫吹风机搭配小型慢车道清扫车作业，3次/日；洗、扫、吸一体清洗作业1次/日。④巡回保洁：保洁员配备电动巡回保洁车巡回作业，人均保洁面积不大于8000平方米。⑤空气抑尘：配置空气抑尘设备，每天2次洒水、抑尘。⑥城市家具：全覆盖擦洗1次/日。⑦小广告清除：配备高压冲洗设备，每天清除小广告。⑧道路栏杆：配备栏杆清洗车，每周清洗一次。⑨绿化带捡拾：配置小型设备，人工配合，每天1~2次。⑩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1.3.2二级标准：①保洁时长：18小时（5:00-23：00）。②快车道保洁：洒水4次/日；高压冲洗2次/日；洗扫吸三合一作业2次/日，普通机扫1次/日，要求单向两边侧石、隔离栏底下全部覆盖。③慢车道和人行道保洁：日常普扫吹风机搭配小型慢车道清扫车作业2次/日；洗、扫、吸一体清洗作业2天1次。④巡回保洁：保洁员配备电动巡回保洁车巡回作业，人均保洁面积不大于8000平方米。⑤空气抑尘：配置空气抑尘设备，每天1次洒水、抑尘。⑥城市家具：全覆盖擦洗2天1次。⑦小广告清除：配备高压冲洗设备，每天清除小广告。⑧道路栏杆：配备栏杆清洗车，每周清洗一次。⑨绿化带捡拾：配置小型设备，人工配合，每天1次。⑩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1.3.3三级标准：①保洁时长：16小时（5:00-21：00）。②快车道保洁：洒水3次/日；高压冲洗2次/日；洗扫吸三合一作业1次/日，普通机扫2次/日，要求单向两边侧石、隔离栏底下全部覆盖。③慢车道和人行道保洁：常规人工清扫3次/日；洗、扫、吸一体作业1次/周。④巡回保洁：保洁员常规巡回作业。⑤空气抑尘：配置空气抑尘设备，每天1次洒水、抑尘。⑥城市家具：全覆盖擦洗1次/周。⑦小广告清除：配备高压冲洗设备，每天清除小广告。⑧道路栏杆：配备栏杆清洗车，每10天清洗一次。⑨绿化带捡拾：配置小型设备，人工配合，每2天1次。⑩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1.3.4其他标准：①保洁时长：14小时（5:00-19：00）。②快车道保洁：洒水2次/日；机扫2次/日；高压冲洗1次/周。③慢车道和人行道保洁：常规人工清扫2次/日。④巡回保洁：保洁员常规巡回作业。⑤空气抑尘：不定期洒水、抑尘。⑥城市家具：全覆盖擦洗1次/月。⑦小广告清除：配备高压冲洗车，每天清除小广告。⑧道路栏杆：配备栏杆清洗车，每10天清洗一次。⑨绿化带捡拾：配置小型设备，人工配合，每2天1次。⑩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1.4保洁作业规范 </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1.4.1一级道路普扫作业每日不少于3次。夏季（6月—</w:t>
      </w:r>
      <w:r>
        <w:rPr>
          <w:rFonts w:hint="eastAsia" w:ascii="宋体" w:hAnsi="宋体" w:cs="宋体"/>
          <w:color w:val="auto"/>
          <w:kern w:val="2"/>
          <w:sz w:val="24"/>
          <w:szCs w:val="24"/>
          <w:highlight w:val="none"/>
          <w:lang w:val="en-US" w:eastAsia="zh-CN" w:bidi="ar-SA"/>
        </w:rPr>
        <w:t>9</w:t>
      </w:r>
      <w:r>
        <w:rPr>
          <w:rFonts w:hint="default" w:ascii="宋体" w:hAnsi="宋体" w:cs="宋体"/>
          <w:color w:val="auto"/>
          <w:kern w:val="2"/>
          <w:sz w:val="24"/>
          <w:szCs w:val="24"/>
          <w:highlight w:val="none"/>
          <w:lang w:val="en-US" w:eastAsia="zh-CN" w:bidi="ar-SA"/>
        </w:rPr>
        <w:t>月）第一次普扫应在6：30前完成，春、秋、冬季（9月—次年5月）在7：00前完成；第二次普扫在13：30前完成；第三次普扫在17：00前完成。</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1.4.2应根据重大活动保障、落叶旺季等因素适时增加每日普扫频次。 </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1.4.3应做到文明、清洁、安全和有序，最大限度地减少对环境的污染和对公众生活的影响。</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1.4.4合理安排作业计划，清晨或深夜在居民住宅小区或周边道路进行环卫作业时，不得大声喧哗，并应注意控制机具噪音。组织机械化清扫、洒水、清洗作业应避开交通高峰时段（7：00—9：00，16：30—18：30）。</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1.4.5下雪及雪后应根据需要，及时进行路面除雪作业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1.4.6日常保洁时间内保洁单位需确保保洁范围干净，如有无主垃圾或其它垃圾，应加强监管，及时劝导并清理干净。</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1.4.7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1.4.8人工辅助清扫、清洗机动车道、非机动车道或清洗机动车道交通隔离栏时，应在距清扫点来车方向100M处设置警示标识，使用荧光锥形筒等警示标识围护清扫保洁区域，面向来车方向清扫，注意车辆动态。</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1.4.9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1.4.10本项目环卫作业车辆须有固定场所停放，严禁停放在消防通道、公交车站、盲道等影响车辆和行人通行的公共通道。</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1.4.11承诺能及时提供人力、设备、技术等支持。</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1.4.12洒水时，洒水车车速不得超过25km/h；清洗时，高压清洗车车速不得超过10km/h；机械化清扫作业。</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1.4.13洒水时，应调整好洒水车水压和水幅，保持车行道全路段路面湿润。途经地铁站、公交站、人行横道等人流量集中的地点应注意放慢车速，避让行人，调整启闭装置，避免将水洒到行人身上。</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1.4.14晚22时以后，洒水作业时禁止播放洒水提示音乐。中、高考等重要考试期间，洒水车途经考场周边道路时应及时关闭洒水提示音乐，夏季中午时间（12时-14时）适当降低洒水提示音量。</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1.4.15小雨及以下雨量时，按计划保持洒水作业；中雨及以上雨量或雷阵雨期间，暂停道路洒水和清洗作业，气温低于2摄氏度时应停止清洗和洒水。</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1.4.16根据清雪作业应急保障需要，可使用洒水车、清洗车冲刷路面积雪，并使用清雪车、扫路车等专业车辆或人工辅助，及时清除路面积水、积雪。</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1.4.17机械化清扫范围主要为机动车道，及便于使用机械化装备清洁机动车道的交通隔离栏。</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1.4.18清扫车或洗扫车应加足水，根据路面状况调整好扫路车侧刷和吸口，喷雾洁扫无扬尘，在规定时间和路线进行机械化清扫作业。</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1.4.19机械化清扫作业时，扫路车或洗扫车车速不得超过10km/h。</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1.4.20清扫时应注意观察路面清扫质量和路面障碍情况，对机械化清扫不能清除的大件垃圾或硬物，在确保作业安全的前提下，及时下车清除。</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1.4.21当日清扫结束后，应在指定地点卸空机械化清扫车辆中的垃圾。</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1.4.22机械化清扫车辆所用的扫把丝等消耗品应根据使用状况及时更换。</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1.4.23人工清扫时，在距清扫点适当位置安全警示标识。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1.4.24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1.4.25清扫的街面垃圾、沿街果壳箱中的垃圾应密闭化运至指定地点，运输过程不得抛洒滴漏。</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1.4.26普扫结束后，应按照规定的责任保洁区域、保洁时间组织巡回保洁。落实责任保洁区域边界管理，保洁时应向保洁边界以外适当延伸（不少于5米），不留保洁盲区和空白点。</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1.4.27应定时清运沿街果壳箱中的垃圾，做到垃圾不落地、不积存，日产日清。突发性环境卫生污染现场清理时，应严格按照应急处置方案进行保洁，及时消除污染物，恢复路面清洁。</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1.4.28环卫电动专用作业车辆应在非机动车道顺向行驶，不得超载，且行驶速度不得超过20Km/h。</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1.4.29保洁作业结束后，作业工具应在规定地点摆放，不得在道路路面、墙角、绿化带、绿地中存放。</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default" w:ascii="宋体" w:hAnsi="宋体" w:cs="宋体"/>
          <w:color w:val="auto"/>
          <w:kern w:val="2"/>
          <w:sz w:val="24"/>
          <w:szCs w:val="24"/>
          <w:highlight w:val="none"/>
          <w:lang w:val="en-US" w:eastAsia="zh-CN" w:bidi="ar-SA"/>
        </w:rPr>
      </w:pP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1.5保洁质量要求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1.5.1清扫应做到“五无五净”。即无垃圾杂物；无积水积泥，无痰迹烟蒂，无果皮纸屑，无土石杂草；路面干净，绿化带和树圈干净，边角侧石干净，雨水井盖沟眼畅通干净，果壳箱等环卫设施干净、路面见本色。</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720" w:firstLineChars="3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   1.5.2三化四分相关要求：本项目的供应商应按照杭州市垃圾分类工作的具体要求，确定生活垃圾分类（易腐垃圾、其他垃圾、可回收物、有害垃圾），并完成保洁范围内四类垃圾的分类、收集以及垃圾的清运工作。</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1.5.3其他要求：   </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（1）遇有窨井盖丢失、破损等，承包方必须及时上报采购人。  </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（2）遇有重大活动或突发事件，及时组织力量做好清扫保洁保障工作。   </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（3）遇有重大活动以及抗台、抗雪等突发事件，必须及时组织力量做好清扫保洁等应急保障工作，按照城市管理保障应急机制要求，保证人员及时到位，并根据应急指令服从统一调配。</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1.6.管理要求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1.6.1供应商在保洁作业中投入的机械设备、人员配置等必须与投标文件中所承诺的数量规格相符合。加强日常作业质量管理，相关计划及报告按采购人要求准时递交。</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1.6.2规范管理、文明作业、自觉接受采购人及其上级各部门领导的检查和社会监督，对出现的问题要及时整改。</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1.6.4果壳箱应定期保养保持整洁完好无缺失，承包期间因操作或管理不善造成破损、缺失的，由中标单位承担费用并负责修复或更新（果壳箱更换款式应保持原样，或经采购人同意后调整款式）。</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1.6.5专用作业车辆（含人力三轮车）符合环卫标准化管理要求，外观喷漆及规格符合采购人要求，机动、人力车辆应按时冲洗保养保持外观整洁，无抛洒滴漏、无满溢、无吊挂。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1.6.6垃圾应倾倒在指定的垃圾堆放场地，不得焚烧垃圾、树叶，确需垃圾二次转运的应在指定地点进行，不得直接在保洁道路上进行。</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 xml:space="preserve">1.6.7如遇渣土抛洒污染路面等情况，中标单位应及时上报采购人，并做好照片资料，同时进行道路冲洗清理。   </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1.6.8无新闻媒体曝光，对“12345”市长公开电话和有关受理中心及信访处相关问题，处理、回复及时到位。加强管理，确保在国家、省、市、区的各项检查中不失责任分。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2、偷倒垃圾清运要求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2.1服务内容：主要为本项目各个标段采购人管养范围内偷倒的垃圾清运工作，垃圾运至业主指定的消纳处置场所，相关费包含在本次招标内容中。</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2.2具体要求：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在服务期内，供应商应加强所承包范围内防止垃圾偷倒的管理工作。如在所承包范围内发生偷倒，需完成偷倒的垃圾清运工作，垃圾的装车、运输至消纳处置场，因乱倒垃圾不符合相关要求所引发的问题，由供应商承担所有责任及赔偿费用。</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（2）车辆要求：本项目所需的作业车辆应具有有效的道路运输经营许可证，并到采购单位备案。</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（3）装运时必须密封整洁，不得沿路抛撒、滴漏。遵守环境卫生作业标准、规范，装运后及时复位，清理作业场地，保持场地周边环境干净整洁；装运时须铺设地垫等设施，防止污染路面，做到车走地净。</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（4）清理的时间要求：2小时之内清理。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3、驿站管养要求及新增驿站建设标准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根据城市管理要求，供应商利用相关场所，提供驿站为环卫工人或户外工作者提供休息、补给、阅读和应急医疗等服务空间，驿站的要求应符合浙江省《城管驿站建设与管理规范》所规定的要求。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3.1驿站管理基本要求如下：</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（1）城管驿站设置补给区、休息区、阅读区、应急医疗服务区等；</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（2）驿站的建设和管理以人为本，并遵循文明、安全、卫生、方便和节约的原则；</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（3）驿站建设和管理应通过科技创新和精细化管理，使城管驿站功能完善、使用舒适、服务优良、运行安全、标识统一；</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（4）驿站的运行管理应符合城市社会治安管理要求；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（5）驿站应就日常管理和人员管理制定相关的管理制度；</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（6）宜采用智慧化、信息化的管理手段，提升城管驿站的管理效能，并为方便使用。</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3.2运行管理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（1）制定日常管理制度</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（2）人员管理制度</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3.2设置标识牌</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建筑外立面安装标识或标识牌应贴附于城管驿站门口显眼位置。</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3.4服务内容</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（1）驿站应根据服务内容配置相关设备；</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（2）驿站内基础设施设备应整洁完好；</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（3）驿站应开展特色服务；</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（4）驿站应根据实际需求调整服务内容；</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4.设备保障相关要求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default" w:ascii="宋体" w:hAnsi="宋体" w:cs="宋体"/>
          <w:color w:val="auto"/>
          <w:kern w:val="2"/>
          <w:sz w:val="24"/>
          <w:szCs w:val="24"/>
          <w:highlight w:val="none"/>
          <w:lang w:val="en-US" w:eastAsia="zh-CN" w:bidi="ar-SA"/>
        </w:rPr>
        <w:t>本项目养护涉及的设备，供应商须安排专业人员进行养护维修，所安排的专业人员须向采购人报备，采购人同意后方可实施维修养护，如在养护过程中出现设备破损无法使用的，供应商须及时更换，费用均已包含在本次投标报价内，今后不再另行调整。</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default" w:ascii="宋体" w:hAnsi="宋体" w:cs="宋体"/>
          <w:color w:val="auto"/>
          <w:kern w:val="2"/>
          <w:sz w:val="24"/>
          <w:szCs w:val="24"/>
          <w:highlight w:val="none"/>
          <w:lang w:val="en-US" w:eastAsia="zh-CN" w:bidi="ar-SA"/>
        </w:rPr>
        <w:t>在服务期间如遇到重大活动、节日等特殊情况的，供应商须无条件的配合采购人。</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auto"/>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（二）绿化等级划分、养护管理标准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一级绿地：具有景观特色的城区重要主干道绿地；区级商业中心，政府机关、学校、医院所在地，大型文体娱乐场所，广场、车站、码头绿地；园林设施完善，面积4000㎡以上的公园绿地；绿化覆盖率85%以上或绿地宽度6m以上的道路、河道绿地；属地管养的其他重要绿地。</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二级绿地：具有植物造景的城区主干道或有分车绿化带的道路绿地；镇街政治、文化、商业中心绿地；具有园路、灌溉、一般游憩设施的公园绿地；绿化覆盖率80%以上的河道绿地；属地管养的其他主要绿地。</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三级绿地：城区次干道绿地；属地管养的其他次要绿地。</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其他绿地：城区支路绿地及除一、二、三级绿地以外的其他公共绿地。</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2.绿化养护管理标准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总体标准：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一级标准：①植物长势旺盛、树形完美，植株保存率100%，体现景观特色；徒长枝不超过20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⑥绿化养护人员每1万平方米不得少于2名。⑦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二级标准：①植物生长势好，树形良好，黄叶、焦叶、卷叶的株数在2%以下，植株保存率100%，体现植物造景；徒长枝不超过20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⑥绿化养护人员每1万平方米不得少于2名。⑦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三级标准：①植物生长势一般，黄叶、焦叶、卷叶的株数在10%以下，植株保存率不得少于98%；徒长枝不超过30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⑥绿化养护人员每1万平方米不得少于1名。⑦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其他标准：①植物生长势一般，黄叶、焦叶、卷叶的株数在15%以下，植株保存率不得少于95%；徒长枝不超过30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⑥绿化养护人员每1万平方米不得少于1名。⑦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auto"/>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（三）市政等级划分、养护管理标准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1、市政等级划分标准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一级：城市快速路、主干道、地下通道、高架道路；区级商业中心，政府机关、学校、医院所在地，大型文体娱乐场所，广场、重要生产区、游览景点、车站、码头等周边区域；属地管养的其他重要区域市政设施。</w:t>
      </w:r>
      <w:r>
        <w:rPr>
          <w:rFonts w:hint="eastAsia" w:ascii="宋体" w:hAnsi="宋体" w:cs="宋体"/>
          <w:color w:val="auto"/>
          <w:kern w:val="2"/>
          <w:sz w:val="24"/>
          <w:szCs w:val="24"/>
          <w:highlight w:val="none"/>
          <w:lang w:val="en-US" w:eastAsia="zh-CN" w:bidi="ar-SA"/>
        </w:rPr>
        <w:tab/>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二级：城区次干道；镇街政治、文化、商业、交通、游览中心周边区域；属地管养的其他主要区域市政设施。</w:t>
      </w:r>
      <w:r>
        <w:rPr>
          <w:rFonts w:hint="eastAsia" w:ascii="宋体" w:hAnsi="宋体" w:cs="宋体"/>
          <w:color w:val="auto"/>
          <w:kern w:val="2"/>
          <w:sz w:val="24"/>
          <w:szCs w:val="24"/>
          <w:highlight w:val="none"/>
          <w:lang w:val="en-US" w:eastAsia="zh-CN" w:bidi="ar-SA"/>
        </w:rPr>
        <w:tab/>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三级：城区支路；属地管养的其他次要区域市政设施。</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其他：除一、二、三级以外的其他区域市政设施。</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2.市政养护管理标准</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总体标准：①人行道板铺砌平整美观，质量牢固稳定；平侧石线型整齐，盲道等无障碍设施设置规范齐全，铺装材料统一。②沥青及混凝土路面平整，无碎裂、泛油、车辙坑槽等路面病害，道路井盖高度与路面标高一致；路面排水功能良好，无大面积积水。③桥涵、隧道结构完整，梁板及支座安全牢固，桥面系及伸缩缝平整无破损；防撞护栏及排水设施齐全，功能完善。④路灯及附属设施完好，外观整洁，无破损、油漆剥落，亮灯率、照明亮度满足使用要求；路灯养护采用机械化施工。⑤排水设施完好，管道畅通，窨井盖无缺失、破损、断裂、错盖等情况，检查井内设置安全防护网。⑥管理制度落实，养护管理人员到位；养护人员作业规范。⑦有防汛、抗台、抗雪等应急预案及措施。⑧档案资料齐全。⑨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    一级标准：①人行道板铺砌平整，牢固稳定，裂缝长度小于1m或宽度小于5mm，下沉或拱起变形小于20mm或面积小于1㎡；无堆积物、障碍物，平侧石整齐稳固，线型顺直；道板铺装材料统一，砌块及平侧石松动破碎面积小于0.1㎡。②沥青及混凝土路面线裂缝宽度小于5mm；网裂、碎裂面积小于0.1㎡；泛油、车辙、沉陷、坑槽、搓板、拥包、剥落、脱皮、烂边、啃边面积小于0.1㎡；雨水检查井、雨水篦子以及其他井盖与道路标高保持一致，误差不大于15mm；窨井盖无缺失、破损、断裂、反盖、错盖等现象；雨天路面临时积水面积每处不超过2m2（积水深度3cm以上）。③路灯及附属设施完好率达99％，外观整洁、安全、完好；按时亮灯熄灯，亮灯率达99％，重大节假日及大型活动期间亮灯率达100%。④排水设施完好，无阻水物，泄水孔、排水管道通畅，积泥深度不超过1/5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二级标准：①人行道表面平整，砌块无松动，裂缝长度小于2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4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三级标准：①人行道板表面平整，无积水，裂缝长度小于3m或宽度小于7mm，下沉或拱起变形小于25mm或面积小于2㎡；无堆积物、障碍物，平侧石整齐稳固，线型顺直；道板铺装材料统一，砌块及平侧石松动破碎面积小于0.5㎡。②沥青及混凝土路面线裂缝宽度小于7mm；网裂、碎裂面积小于1㎡；泛油、车辙、沉陷、坑槽、搓板、拥包、剥落、脱皮、烂边、啃边面积小于1㎡；雨水检查井、雨水篦子以及其他井盖与道路标高保持一致，误差不大于20mm；窨井盖无缺失、破损、断裂、反盖、错盖等现象；雨天路面临时积水面积每处不超过6m2（积水深度5cm以上）。③路灯及附属设施完好率达97％，外观整洁、安全、完好；按时亮灯熄灯，亮灯率达97％，重大节假日及大型活动期间亮灯率达100%。④排水设施完好，无阻水物，泄水孔、排水管道通畅，积泥深度不超过1/3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其他标准：参照三级市政设施养护标准实施。</w:t>
      </w:r>
    </w:p>
    <w:p>
      <w:pPr>
        <w:pStyle w:val="79"/>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项目其他要求</w:t>
      </w:r>
    </w:p>
    <w:p>
      <w:pPr>
        <w:pStyle w:val="79"/>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default"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val="0"/>
          <w:bCs w:val="0"/>
          <w:color w:val="auto"/>
          <w:sz w:val="24"/>
          <w:highlight w:val="none"/>
          <w:lang w:val="en-US" w:eastAsia="zh-CN"/>
        </w:rPr>
        <w:t xml:space="preserve"> 1、供应商中标后15日历天内需在项目5公里范围内设置不少于1处固定养护基地，固定基地应包括办公区（≥50平方米）、车辆停放场地（≥300平方米）、仓库区（≥100平方米）等。</w:t>
      </w:r>
    </w:p>
    <w:p>
      <w:pPr>
        <w:spacing w:line="360" w:lineRule="auto"/>
        <w:ind w:firstLine="480" w:firstLineChars="200"/>
        <w:rPr>
          <w:rFonts w:ascii="宋体"/>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rPr>
        <w:t>本</w:t>
      </w:r>
      <w:r>
        <w:rPr>
          <w:rFonts w:hint="eastAsia" w:ascii="宋体" w:hAnsi="宋体" w:cs="宋体"/>
          <w:color w:val="auto"/>
          <w:sz w:val="24"/>
          <w:szCs w:val="24"/>
          <w:highlight w:val="none"/>
        </w:rPr>
        <w:t>次招标范围内的所有作业内容，包括但不限于人工工资（含节假日加班费）、易损材料、生产工具、作业安全、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等一切费用，其他详见项目采购清单；</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中标后投标单位保洁养护班组崇贤街道范围内设立固定办公场地。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本项目道路保洁经费单价最高限价如下：一类道路</w:t>
      </w:r>
      <w:r>
        <w:rPr>
          <w:rFonts w:ascii="宋体" w:hAnsi="宋体" w:cs="宋体"/>
          <w:color w:val="auto"/>
          <w:sz w:val="24"/>
          <w:szCs w:val="24"/>
          <w:highlight w:val="none"/>
        </w:rPr>
        <w:t>20.1</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ascii="宋体" w:hAnsi="宋体" w:cs="宋体"/>
          <w:color w:val="auto"/>
          <w:sz w:val="24"/>
          <w:szCs w:val="24"/>
          <w:highlight w:val="none"/>
        </w:rPr>
        <w:t>平方</w:t>
      </w:r>
      <w:r>
        <w:rPr>
          <w:rFonts w:ascii="宋体" w:cs="宋体"/>
          <w:color w:val="auto"/>
          <w:sz w:val="24"/>
          <w:szCs w:val="24"/>
          <w:highlight w:val="none"/>
        </w:rPr>
        <w:t>.</w:t>
      </w:r>
      <w:r>
        <w:rPr>
          <w:rFonts w:hint="eastAsia" w:ascii="宋体" w:hAnsi="宋体" w:cs="宋体"/>
          <w:color w:val="auto"/>
          <w:sz w:val="24"/>
          <w:szCs w:val="24"/>
          <w:highlight w:val="none"/>
        </w:rPr>
        <w:t>年，二类道路</w:t>
      </w:r>
      <w:r>
        <w:rPr>
          <w:rFonts w:ascii="宋体" w:hAnsi="宋体" w:cs="宋体"/>
          <w:color w:val="auto"/>
          <w:sz w:val="24"/>
          <w:szCs w:val="24"/>
          <w:highlight w:val="none"/>
        </w:rPr>
        <w:t>14.94</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ascii="宋体" w:hAnsi="宋体" w:cs="宋体"/>
          <w:color w:val="auto"/>
          <w:sz w:val="24"/>
          <w:szCs w:val="24"/>
          <w:highlight w:val="none"/>
        </w:rPr>
        <w:t>平方</w:t>
      </w:r>
      <w:r>
        <w:rPr>
          <w:rFonts w:ascii="宋体" w:cs="宋体"/>
          <w:color w:val="auto"/>
          <w:sz w:val="24"/>
          <w:szCs w:val="24"/>
          <w:highlight w:val="none"/>
        </w:rPr>
        <w:t>.</w:t>
      </w:r>
      <w:r>
        <w:rPr>
          <w:rFonts w:hint="eastAsia" w:ascii="宋体" w:hAnsi="宋体" w:cs="宋体"/>
          <w:color w:val="auto"/>
          <w:sz w:val="24"/>
          <w:szCs w:val="24"/>
          <w:highlight w:val="none"/>
        </w:rPr>
        <w:t>年，三类道路</w:t>
      </w:r>
      <w:r>
        <w:rPr>
          <w:rFonts w:ascii="宋体" w:hAnsi="宋体" w:cs="宋体"/>
          <w:color w:val="auto"/>
          <w:sz w:val="24"/>
          <w:szCs w:val="24"/>
          <w:highlight w:val="none"/>
        </w:rPr>
        <w:t>12.42</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ascii="宋体" w:hAnsi="宋体" w:cs="宋体"/>
          <w:color w:val="auto"/>
          <w:sz w:val="24"/>
          <w:szCs w:val="24"/>
          <w:highlight w:val="none"/>
        </w:rPr>
        <w:t>平方</w:t>
      </w:r>
      <w:r>
        <w:rPr>
          <w:rFonts w:ascii="宋体" w:cs="宋体"/>
          <w:color w:val="auto"/>
          <w:sz w:val="24"/>
          <w:szCs w:val="24"/>
          <w:highlight w:val="none"/>
        </w:rPr>
        <w:t>.</w:t>
      </w:r>
      <w:r>
        <w:rPr>
          <w:rFonts w:hint="eastAsia" w:ascii="宋体" w:hAnsi="宋体" w:cs="宋体"/>
          <w:color w:val="auto"/>
          <w:sz w:val="24"/>
          <w:szCs w:val="24"/>
          <w:highlight w:val="none"/>
        </w:rPr>
        <w:t>年，投标人针对本项目的投标单价不得超过相关限价，否则其投标无效。</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本项目绿化养护经费单价最高限价如下：一类</w:t>
      </w:r>
      <w:r>
        <w:rPr>
          <w:rFonts w:ascii="宋体" w:hAnsi="宋体" w:cs="宋体"/>
          <w:color w:val="auto"/>
          <w:sz w:val="24"/>
          <w:szCs w:val="24"/>
          <w:highlight w:val="none"/>
        </w:rPr>
        <w:t>10.77</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ascii="宋体" w:hAnsi="宋体" w:cs="宋体"/>
          <w:color w:val="auto"/>
          <w:sz w:val="24"/>
          <w:szCs w:val="24"/>
          <w:highlight w:val="none"/>
        </w:rPr>
        <w:t>平方</w:t>
      </w:r>
      <w:r>
        <w:rPr>
          <w:rFonts w:ascii="宋体" w:cs="宋体"/>
          <w:color w:val="auto"/>
          <w:sz w:val="24"/>
          <w:szCs w:val="24"/>
          <w:highlight w:val="none"/>
        </w:rPr>
        <w:t>.</w:t>
      </w:r>
      <w:r>
        <w:rPr>
          <w:rFonts w:hint="eastAsia" w:ascii="宋体" w:hAnsi="宋体" w:cs="宋体"/>
          <w:color w:val="auto"/>
          <w:sz w:val="24"/>
          <w:szCs w:val="24"/>
          <w:highlight w:val="none"/>
        </w:rPr>
        <w:t>年，二类</w:t>
      </w:r>
      <w:r>
        <w:rPr>
          <w:rFonts w:ascii="宋体" w:hAnsi="宋体" w:cs="宋体"/>
          <w:color w:val="auto"/>
          <w:sz w:val="24"/>
          <w:szCs w:val="24"/>
          <w:highlight w:val="none"/>
        </w:rPr>
        <w:t>9,16</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ascii="宋体" w:hAnsi="宋体" w:cs="宋体"/>
          <w:color w:val="auto"/>
          <w:sz w:val="24"/>
          <w:szCs w:val="24"/>
          <w:highlight w:val="none"/>
        </w:rPr>
        <w:t>平方</w:t>
      </w:r>
      <w:r>
        <w:rPr>
          <w:rFonts w:ascii="宋体" w:cs="宋体"/>
          <w:color w:val="auto"/>
          <w:sz w:val="24"/>
          <w:szCs w:val="24"/>
          <w:highlight w:val="none"/>
        </w:rPr>
        <w:t>.</w:t>
      </w:r>
      <w:r>
        <w:rPr>
          <w:rFonts w:hint="eastAsia" w:ascii="宋体" w:hAnsi="宋体" w:cs="宋体"/>
          <w:color w:val="auto"/>
          <w:sz w:val="24"/>
          <w:szCs w:val="24"/>
          <w:highlight w:val="none"/>
        </w:rPr>
        <w:t>年，三类</w:t>
      </w:r>
      <w:r>
        <w:rPr>
          <w:rFonts w:ascii="宋体" w:hAnsi="宋体" w:cs="宋体"/>
          <w:color w:val="auto"/>
          <w:sz w:val="24"/>
          <w:szCs w:val="24"/>
          <w:highlight w:val="none"/>
        </w:rPr>
        <w:t>6.11</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ascii="宋体" w:hAnsi="宋体" w:cs="宋体"/>
          <w:color w:val="auto"/>
          <w:sz w:val="24"/>
          <w:szCs w:val="24"/>
          <w:highlight w:val="none"/>
        </w:rPr>
        <w:t>平方</w:t>
      </w:r>
      <w:r>
        <w:rPr>
          <w:rFonts w:ascii="宋体" w:cs="宋体"/>
          <w:color w:val="auto"/>
          <w:sz w:val="24"/>
          <w:szCs w:val="24"/>
          <w:highlight w:val="none"/>
        </w:rPr>
        <w:t>.</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乔木林1.5元/平方，</w:t>
      </w:r>
      <w:r>
        <w:rPr>
          <w:rFonts w:hint="eastAsia" w:ascii="宋体" w:hAnsi="宋体" w:cs="宋体"/>
          <w:color w:val="auto"/>
          <w:sz w:val="24"/>
          <w:szCs w:val="24"/>
          <w:highlight w:val="none"/>
        </w:rPr>
        <w:t>投标人针对本项目的投标单价不得超过相关限价，否则其投标无效。</w:t>
      </w:r>
    </w:p>
    <w:p>
      <w:pPr>
        <w:pStyle w:val="79"/>
        <w:keepNext w:val="0"/>
        <w:keepLines w:val="0"/>
        <w:pageBreakBefore w:val="0"/>
        <w:widowControl w:val="0"/>
        <w:kinsoku/>
        <w:wordWrap/>
        <w:overflowPunct/>
        <w:topLinePunct w:val="0"/>
        <w:autoSpaceDE/>
        <w:autoSpaceDN/>
        <w:bidi w:val="0"/>
        <w:adjustRightInd w:val="0"/>
        <w:snapToGrid/>
        <w:spacing w:after="0" w:afterLines="50" w:line="360" w:lineRule="auto"/>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本项目市政养护经费</w:t>
      </w:r>
      <w:r>
        <w:rPr>
          <w:rFonts w:hint="eastAsia" w:ascii="宋体" w:hAnsi="宋体" w:cs="宋体"/>
          <w:color w:val="auto"/>
          <w:kern w:val="2"/>
          <w:sz w:val="24"/>
          <w:szCs w:val="24"/>
          <w:highlight w:val="none"/>
          <w:lang w:val="en-US" w:eastAsia="zh-CN" w:bidi="ar-SA"/>
        </w:rPr>
        <w:t>投标固定报价</w:t>
      </w:r>
      <w:r>
        <w:rPr>
          <w:rFonts w:hint="eastAsia" w:ascii="宋体" w:hAnsi="宋体" w:eastAsia="宋体" w:cs="宋体"/>
          <w:color w:val="auto"/>
          <w:kern w:val="2"/>
          <w:sz w:val="24"/>
          <w:szCs w:val="24"/>
          <w:highlight w:val="none"/>
          <w:lang w:val="en-US" w:eastAsia="zh-CN" w:bidi="ar-SA"/>
        </w:rPr>
        <w:t>130万元，最终以实际工程量为准，并以三方签证确认单明确，结算下浮15%后送审并以审计结算价为最终结算依据。</w:t>
      </w:r>
      <w:r>
        <w:rPr>
          <w:rFonts w:hint="eastAsia" w:ascii="宋体" w:hAnsi="宋体" w:cs="宋体"/>
          <w:color w:val="auto"/>
          <w:kern w:val="2"/>
          <w:sz w:val="24"/>
          <w:szCs w:val="24"/>
          <w:highlight w:val="none"/>
          <w:lang w:val="en-US" w:eastAsia="zh-CN" w:bidi="ar-SA"/>
        </w:rPr>
        <w:t xml:space="preserve">  </w:t>
      </w:r>
    </w:p>
    <w:p>
      <w:pPr>
        <w:pStyle w:val="79"/>
        <w:keepNext w:val="0"/>
        <w:keepLines w:val="0"/>
        <w:pageBreakBefore w:val="0"/>
        <w:widowControl w:val="0"/>
        <w:kinsoku/>
        <w:wordWrap/>
        <w:overflowPunct/>
        <w:topLinePunct w:val="0"/>
        <w:autoSpaceDE/>
        <w:autoSpaceDN/>
        <w:bidi w:val="0"/>
        <w:adjustRightInd w:val="0"/>
        <w:snapToGrid/>
        <w:spacing w:after="0" w:afterLines="50" w:line="360" w:lineRule="auto"/>
        <w:textAlignment w:val="auto"/>
        <w:rPr>
          <w:rFonts w:ascii="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本次招标还包含牛皮癣清理：含标段范围内所有道路、围墙、设施等区域的“乱涂”、“乱张贴”等牛皮癣日常清理；公交站台保洁及设施维护；各路段的绿化、交通护栏清洗等；音乐线的运作；含所有沿街商铺门口。落实责任保洁区域边界管理，保洁时应向保洁边界以外延伸</w:t>
      </w:r>
      <w:r>
        <w:rPr>
          <w:rFonts w:ascii="宋体" w:hAnsi="宋体" w:cs="宋体"/>
          <w:color w:val="auto"/>
          <w:sz w:val="24"/>
          <w:szCs w:val="24"/>
          <w:highlight w:val="none"/>
        </w:rPr>
        <w:t>5</w:t>
      </w:r>
      <w:r>
        <w:rPr>
          <w:rFonts w:hint="eastAsia" w:ascii="宋体" w:hAnsi="宋体" w:cs="宋体"/>
          <w:color w:val="auto"/>
          <w:sz w:val="24"/>
          <w:szCs w:val="24"/>
          <w:highlight w:val="none"/>
        </w:rPr>
        <w:t>米，不留保洁盲区和空白点。</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时花调换制定全年计划，调换前必须要将时花品种、数量方案事先上报招标人，由招标人确定后方能种植，否则将作无更换时花处理，种后由甲方现场验收签字确定。</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本项目绿化保洁监管区域的养护内容为：绿化带及周边保洁；死株、缺株巡查上报。</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由于部分道路、绿化移交问题，涉及移交路段按实际进场时间按实结算。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合同期内，招标人方如有新接管道路，不在以上范围内，则由中标单位进行保洁，费用不再另外计算。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中标人在公示期结束后上报人员、车辆、机械设备等配置计划，报招标人同意后方可进场作业。</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绿化费用含</w:t>
      </w:r>
      <w:r>
        <w:rPr>
          <w:rFonts w:ascii="宋体" w:hAnsi="宋体" w:cs="宋体"/>
          <w:color w:val="auto"/>
          <w:sz w:val="24"/>
          <w:szCs w:val="24"/>
          <w:highlight w:val="none"/>
        </w:rPr>
        <w:t>10</w:t>
      </w:r>
      <w:r>
        <w:rPr>
          <w:rFonts w:hint="eastAsia" w:ascii="宋体" w:hAnsi="宋体" w:cs="宋体"/>
          <w:color w:val="auto"/>
          <w:sz w:val="24"/>
          <w:szCs w:val="24"/>
          <w:highlight w:val="none"/>
        </w:rPr>
        <w:t>万元的提升改造费用，按实结算，</w:t>
      </w:r>
      <w:r>
        <w:rPr>
          <w:rFonts w:hint="eastAsia" w:ascii="宋体" w:hAnsi="宋体" w:cs="宋体"/>
          <w:color w:val="auto"/>
          <w:sz w:val="24"/>
          <w:szCs w:val="24"/>
          <w:highlight w:val="none"/>
          <w:lang w:eastAsia="zh-CN"/>
        </w:rPr>
        <w:t>结算下浮</w:t>
      </w:r>
      <w:r>
        <w:rPr>
          <w:rFonts w:hint="eastAsia" w:ascii="宋体" w:hAnsi="宋体" w:cs="宋体"/>
          <w:color w:val="auto"/>
          <w:sz w:val="24"/>
          <w:szCs w:val="24"/>
          <w:highlight w:val="none"/>
          <w:lang w:val="en-US" w:eastAsia="zh-CN"/>
        </w:rPr>
        <w:t>15%后送审并</w:t>
      </w:r>
      <w:r>
        <w:rPr>
          <w:rFonts w:hint="eastAsia" w:ascii="宋体" w:hAnsi="宋体" w:cs="宋体"/>
          <w:color w:val="auto"/>
          <w:sz w:val="24"/>
          <w:szCs w:val="24"/>
          <w:highlight w:val="none"/>
        </w:rPr>
        <w:t>最终以审计为准，每年总费用不得超过</w:t>
      </w:r>
      <w:r>
        <w:rPr>
          <w:rFonts w:ascii="宋体" w:hAnsi="宋体" w:cs="宋体"/>
          <w:color w:val="auto"/>
          <w:sz w:val="24"/>
          <w:szCs w:val="24"/>
          <w:highlight w:val="none"/>
        </w:rPr>
        <w:t>10</w:t>
      </w:r>
      <w:r>
        <w:rPr>
          <w:rFonts w:hint="eastAsia" w:ascii="宋体" w:hAnsi="宋体" w:cs="宋体"/>
          <w:color w:val="auto"/>
          <w:sz w:val="24"/>
          <w:szCs w:val="24"/>
          <w:highlight w:val="none"/>
        </w:rPr>
        <w:t>万。</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按照主要道路行道树全线支撑，其他道路交叉口</w:t>
      </w:r>
      <w:r>
        <w:rPr>
          <w:rFonts w:ascii="宋体" w:hAnsi="宋体" w:cs="宋体"/>
          <w:color w:val="auto"/>
          <w:sz w:val="24"/>
          <w:szCs w:val="24"/>
          <w:highlight w:val="none"/>
        </w:rPr>
        <w:t>50</w:t>
      </w:r>
      <w:r>
        <w:rPr>
          <w:rFonts w:hint="eastAsia" w:ascii="宋体" w:hAnsi="宋体" w:cs="宋体"/>
          <w:color w:val="auto"/>
          <w:sz w:val="24"/>
          <w:szCs w:val="24"/>
          <w:highlight w:val="none"/>
        </w:rPr>
        <w:t>米支撑要求落实防台快速支撑储备。</w:t>
      </w:r>
    </w:p>
    <w:p>
      <w:pPr>
        <w:snapToGrid w:val="0"/>
        <w:spacing w:line="360" w:lineRule="auto"/>
        <w:ind w:firstLine="482" w:firstLineChars="200"/>
        <w:jc w:val="left"/>
        <w:rPr>
          <w:rFonts w:hint="eastAsia" w:ascii="宋体" w:hAnsi="宋体" w:eastAsia="宋体" w:cs="宋体"/>
          <w:b/>
          <w:bCs/>
          <w:color w:val="auto"/>
          <w:kern w:val="2"/>
          <w:sz w:val="24"/>
          <w:szCs w:val="24"/>
          <w:highlight w:val="none"/>
          <w:lang w:val="en-US" w:eastAsia="zh-CN" w:bidi="ar-SA"/>
        </w:rPr>
      </w:pPr>
    </w:p>
    <w:p>
      <w:pPr>
        <w:snapToGrid w:val="0"/>
        <w:spacing w:line="360" w:lineRule="auto"/>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五、质量标准及验收标标准</w:t>
      </w:r>
    </w:p>
    <w:tbl>
      <w:tblPr>
        <w:tblStyle w:val="62"/>
        <w:tblW w:w="89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5"/>
        <w:gridCol w:w="7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83"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质量标准</w:t>
            </w:r>
          </w:p>
        </w:tc>
        <w:tc>
          <w:tcPr>
            <w:tcW w:w="76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华文仿宋" w:hAnsi="华文仿宋" w:eastAsia="华文仿宋" w:cs="宋体"/>
                <w:color w:val="auto"/>
                <w:kern w:val="0"/>
                <w:sz w:val="24"/>
                <w:szCs w:val="24"/>
                <w:highlight w:val="none"/>
                <w:lang w:val="en-US" w:eastAsia="zh-CN" w:bidi="ar-SA"/>
              </w:rPr>
            </w:pPr>
            <w:r>
              <w:rPr>
                <w:rFonts w:hint="eastAsia" w:ascii="华文仿宋" w:hAnsi="华文仿宋" w:eastAsia="华文仿宋" w:cs="宋体"/>
                <w:color w:val="auto"/>
                <w:kern w:val="0"/>
                <w:sz w:val="24"/>
                <w:szCs w:val="24"/>
                <w:highlight w:val="none"/>
                <w:lang w:val="en-US" w:eastAsia="zh-CN" w:bidi="ar-SA"/>
              </w:rPr>
              <w:t>1.道路保洁达到《杭州市城市市容和环卫管理条例》（2005年7月1日施行）、《杭州市生活垃圾管理条例》（2015年7月30日浙江省第十二届人民代表大会常务委员会第二十一次会议批准）、城市环境卫生作业规范（DB3301/T0006-2013）等（以行业主管部门颁布的最新检查考核文件为准）。</w:t>
            </w:r>
          </w:p>
          <w:p>
            <w:pPr>
              <w:snapToGrid w:val="0"/>
              <w:spacing w:line="360" w:lineRule="auto"/>
              <w:rPr>
                <w:rFonts w:hint="eastAsia" w:ascii="华文仿宋" w:hAnsi="华文仿宋" w:eastAsia="华文仿宋" w:cs="宋体"/>
                <w:color w:val="auto"/>
                <w:kern w:val="0"/>
                <w:sz w:val="24"/>
                <w:szCs w:val="24"/>
                <w:highlight w:val="none"/>
                <w:lang w:val="en-US" w:eastAsia="zh-CN" w:bidi="ar-SA"/>
              </w:rPr>
            </w:pPr>
            <w:r>
              <w:rPr>
                <w:rFonts w:hint="eastAsia" w:ascii="华文仿宋" w:hAnsi="华文仿宋" w:eastAsia="华文仿宋" w:cs="宋体"/>
                <w:color w:val="auto"/>
                <w:kern w:val="0"/>
                <w:sz w:val="24"/>
                <w:szCs w:val="24"/>
                <w:highlight w:val="none"/>
                <w:lang w:val="en-US" w:eastAsia="zh-CN" w:bidi="ar-SA"/>
              </w:rPr>
              <w:t>2.偷倒的垃圾清运须达到符合《城市装修垃圾管理规定》（建设部第139号）、《杭州市建设工程渣土管理办法》杭州市相关法律法规管理文件要求（如有新文件的则以最新的文件为准）。</w:t>
            </w:r>
          </w:p>
          <w:p>
            <w:pPr>
              <w:pStyle w:val="79"/>
              <w:ind w:left="0" w:leftChars="0" w:firstLine="0" w:firstLineChars="0"/>
              <w:rPr>
                <w:rFonts w:hint="eastAsia" w:eastAsia="华文仿宋"/>
                <w:color w:val="auto"/>
                <w:highlight w:val="none"/>
                <w:lang w:val="en-US" w:eastAsia="zh-CN"/>
              </w:rPr>
            </w:pPr>
            <w:r>
              <w:rPr>
                <w:rFonts w:hint="eastAsia" w:ascii="华文仿宋" w:hAnsi="华文仿宋" w:eastAsia="华文仿宋" w:cs="宋体"/>
                <w:color w:val="auto"/>
                <w:kern w:val="0"/>
                <w:sz w:val="24"/>
                <w:highlight w:val="none"/>
                <w:lang w:val="en-US" w:eastAsia="zh-CN"/>
              </w:rPr>
              <w:t>3.总体要求：符合临平城组办[2022]7号《关于印发〈临平区城市管理范围内洁化、市政亮化、绿化、序化分级分类及考核办法〉的通知》工作要求。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验收标准及办法</w:t>
            </w:r>
          </w:p>
        </w:tc>
        <w:tc>
          <w:tcPr>
            <w:tcW w:w="76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华文仿宋" w:hAnsi="华文仿宋" w:eastAsia="华文仿宋" w:cs="宋体"/>
                <w:color w:val="auto"/>
                <w:kern w:val="0"/>
                <w:sz w:val="24"/>
                <w:highlight w:val="none"/>
              </w:rPr>
            </w:pPr>
            <w:r>
              <w:rPr>
                <w:rFonts w:hint="eastAsia" w:ascii="华文仿宋" w:hAnsi="华文仿宋" w:eastAsia="华文仿宋" w:cs="宋体"/>
                <w:color w:val="auto"/>
                <w:kern w:val="0"/>
                <w:sz w:val="24"/>
                <w:highlight w:val="none"/>
              </w:rPr>
              <w:t>根据杭城管局[2019]49号文件所附《杭州市清洁度评价实施办法（2019年度）》、杭城管局[2021]138号《关于发布2021年版杭州市道路保洁经费定额的通知》</w:t>
            </w:r>
            <w:r>
              <w:rPr>
                <w:rFonts w:hint="eastAsia" w:ascii="华文仿宋" w:hAnsi="华文仿宋" w:eastAsia="华文仿宋" w:cs="宋体"/>
                <w:color w:val="auto"/>
                <w:kern w:val="0"/>
                <w:sz w:val="24"/>
                <w:highlight w:val="none"/>
                <w:lang w:eastAsia="zh-CN"/>
              </w:rPr>
              <w:t>、</w:t>
            </w:r>
            <w:r>
              <w:rPr>
                <w:rFonts w:hint="eastAsia" w:ascii="华文仿宋" w:hAnsi="华文仿宋" w:eastAsia="华文仿宋" w:cs="宋体"/>
                <w:color w:val="auto"/>
                <w:kern w:val="0"/>
                <w:sz w:val="24"/>
                <w:highlight w:val="none"/>
                <w:lang w:val="en-US" w:eastAsia="zh-CN"/>
              </w:rPr>
              <w:t>临平城组办[2022]7号《关于印发〈临平区城市管理范围内洁化、市政亮化、绿化、序化分级分类及考核办法〉的通知》</w:t>
            </w:r>
            <w:r>
              <w:rPr>
                <w:rFonts w:hint="eastAsia" w:ascii="华文仿宋" w:hAnsi="华文仿宋" w:eastAsia="华文仿宋" w:cs="宋体"/>
                <w:color w:val="auto"/>
                <w:kern w:val="0"/>
                <w:sz w:val="24"/>
                <w:highlight w:val="none"/>
              </w:rPr>
              <w:t>文件执行（以行业主管部门颁布的最新检查考核文件为准）及</w:t>
            </w:r>
            <w:r>
              <w:rPr>
                <w:rFonts w:hint="eastAsia" w:ascii="华文仿宋" w:hAnsi="华文仿宋" w:eastAsia="华文仿宋"/>
                <w:color w:val="auto"/>
                <w:sz w:val="24"/>
                <w:szCs w:val="32"/>
                <w:highlight w:val="none"/>
              </w:rPr>
              <w:t>根据采购人制定的本项目养护考核细则</w:t>
            </w:r>
            <w:r>
              <w:rPr>
                <w:rFonts w:hint="eastAsia" w:ascii="华文仿宋" w:hAnsi="华文仿宋" w:eastAsia="华文仿宋" w:cs="宋体"/>
                <w:color w:val="auto"/>
                <w:kern w:val="0"/>
                <w:sz w:val="24"/>
                <w:highlight w:val="none"/>
              </w:rPr>
              <w:t>。</w:t>
            </w:r>
          </w:p>
        </w:tc>
      </w:tr>
    </w:tbl>
    <w:p>
      <w:pPr>
        <w:widowControl/>
        <w:snapToGrid w:val="0"/>
        <w:spacing w:line="360" w:lineRule="auto"/>
        <w:jc w:val="left"/>
        <w:rPr>
          <w:rFonts w:ascii="华文仿宋" w:hAnsi="华文仿宋" w:eastAsia="华文仿宋" w:cs="宋体"/>
          <w:b/>
          <w:color w:val="auto"/>
          <w:sz w:val="24"/>
          <w:highlight w:val="none"/>
        </w:rPr>
      </w:pPr>
    </w:p>
    <w:p>
      <w:pPr>
        <w:snapToGrid w:val="0"/>
        <w:spacing w:line="360" w:lineRule="auto"/>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六</w:t>
      </w:r>
      <w:r>
        <w:rPr>
          <w:rFonts w:hint="eastAsia" w:ascii="宋体" w:hAnsi="宋体" w:eastAsia="宋体" w:cs="宋体"/>
          <w:b/>
          <w:bCs/>
          <w:color w:val="auto"/>
          <w:kern w:val="2"/>
          <w:sz w:val="24"/>
          <w:szCs w:val="24"/>
          <w:highlight w:val="none"/>
          <w:lang w:val="en-US" w:eastAsia="zh-CN" w:bidi="ar-SA"/>
        </w:rPr>
        <w:t>、商务要求表</w:t>
      </w:r>
    </w:p>
    <w:tbl>
      <w:tblPr>
        <w:tblStyle w:val="62"/>
        <w:tblW w:w="90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7"/>
        <w:gridCol w:w="7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报价要求</w:t>
            </w:r>
          </w:p>
        </w:tc>
        <w:tc>
          <w:tcPr>
            <w:tcW w:w="7571" w:type="dxa"/>
            <w:tcBorders>
              <w:top w:val="single" w:color="auto" w:sz="4" w:space="0"/>
              <w:left w:val="single" w:color="auto" w:sz="4" w:space="0"/>
              <w:bottom w:val="single" w:color="auto" w:sz="4" w:space="0"/>
              <w:right w:val="single" w:color="auto" w:sz="4" w:space="0"/>
            </w:tcBorders>
            <w:vAlign w:val="center"/>
          </w:tcPr>
          <w:p>
            <w:pPr>
              <w:tabs>
                <w:tab w:val="left" w:pos="851"/>
                <w:tab w:val="left" w:pos="993"/>
              </w:tabs>
              <w:spacing w:line="360" w:lineRule="auto"/>
              <w:jc w:val="left"/>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1、投标报价上限：报价不得高于项目总预算且不得高于各标项预算。</w:t>
            </w:r>
          </w:p>
          <w:p>
            <w:pPr>
              <w:tabs>
                <w:tab w:val="left" w:pos="851"/>
                <w:tab w:val="left" w:pos="993"/>
              </w:tabs>
              <w:spacing w:line="360" w:lineRule="auto"/>
              <w:jc w:val="left"/>
              <w:rPr>
                <w:rFonts w:ascii="华文仿宋" w:hAnsi="华文仿宋" w:eastAsia="华文仿宋" w:cs="仿宋_GB2312"/>
                <w:b/>
                <w:color w:val="auto"/>
                <w:kern w:val="0"/>
                <w:sz w:val="24"/>
                <w:highlight w:val="none"/>
              </w:rPr>
            </w:pPr>
            <w:r>
              <w:rPr>
                <w:rFonts w:hint="eastAsia" w:ascii="华文仿宋" w:hAnsi="华文仿宋" w:eastAsia="华文仿宋" w:cs="宋体"/>
                <w:b/>
                <w:color w:val="auto"/>
                <w:sz w:val="24"/>
                <w:highlight w:val="none"/>
              </w:rPr>
              <w:t>▲</w:t>
            </w:r>
            <w:r>
              <w:rPr>
                <w:rFonts w:hint="eastAsia" w:ascii="华文仿宋" w:hAnsi="华文仿宋" w:eastAsia="华文仿宋" w:cs="宋体"/>
                <w:color w:val="auto"/>
                <w:sz w:val="24"/>
                <w:highlight w:val="none"/>
              </w:rPr>
              <w:t>2、</w:t>
            </w:r>
            <w:r>
              <w:rPr>
                <w:rFonts w:hint="eastAsia" w:ascii="华文仿宋" w:hAnsi="华文仿宋" w:eastAsia="华文仿宋" w:cs="仿宋_GB2312"/>
                <w:b/>
                <w:color w:val="auto"/>
                <w:kern w:val="0"/>
                <w:sz w:val="24"/>
                <w:highlight w:val="none"/>
              </w:rPr>
              <w:t>最低人员工资：</w:t>
            </w:r>
            <w:r>
              <w:rPr>
                <w:rFonts w:hint="eastAsia" w:ascii="华文仿宋" w:hAnsi="华文仿宋" w:eastAsia="华文仿宋" w:cs="仿宋_GB2312"/>
                <w:color w:val="auto"/>
                <w:kern w:val="0"/>
                <w:sz w:val="24"/>
                <w:highlight w:val="none"/>
              </w:rPr>
              <w:t>根据杭政办〔2008〕14号、浙政办发〔2009〕190号、</w:t>
            </w:r>
            <w:r>
              <w:rPr>
                <w:rFonts w:hint="eastAsia" w:ascii="华文仿宋" w:hAnsi="华文仿宋" w:eastAsia="华文仿宋" w:cs="仿宋_GB2312"/>
                <w:color w:val="auto"/>
                <w:kern w:val="0"/>
                <w:sz w:val="24"/>
                <w:highlight w:val="none"/>
                <w:lang w:val="zh-CN"/>
              </w:rPr>
              <w:t>《浙江省人民政府关于调整全省最低工资标准的通知》（浙政发[2021]22号）、</w:t>
            </w:r>
            <w:r>
              <w:rPr>
                <w:rFonts w:hint="eastAsia" w:ascii="华文仿宋" w:hAnsi="华文仿宋" w:eastAsia="华文仿宋" w:cs="仿宋_GB2312"/>
                <w:color w:val="auto"/>
                <w:kern w:val="0"/>
                <w:sz w:val="24"/>
                <w:highlight w:val="none"/>
              </w:rPr>
              <w:t>《杭州市人民政府关于调整市区最低工资标准的通知》（杭政函[2021]69号），项目保洁人员工资不得低于杭州市最低工资标准的110%和定额内人员相关工资要求，日常加班工资按劳动法相关要求另行计算。必须为本项目人员缴纳五险、住房公积金及杭政办〔2008〕14号和浙政办发〔2009〕190号文件规定的其它经费，须在杭州本地缴纳“五险一金”。</w:t>
            </w:r>
            <w:r>
              <w:rPr>
                <w:rFonts w:hint="eastAsia" w:ascii="华文仿宋" w:hAnsi="华文仿宋" w:eastAsia="华文仿宋" w:cs="仿宋_GB2312"/>
                <w:b/>
                <w:color w:val="auto"/>
                <w:kern w:val="0"/>
                <w:sz w:val="24"/>
                <w:highlight w:val="none"/>
              </w:rPr>
              <w:t>投标单位根据</w:t>
            </w:r>
            <w:r>
              <w:rPr>
                <w:rFonts w:hint="eastAsia" w:ascii="华文仿宋" w:hAnsi="华文仿宋" w:eastAsia="华文仿宋" w:cs="仿宋_GB2312"/>
                <w:b/>
                <w:color w:val="auto"/>
                <w:kern w:val="0"/>
                <w:sz w:val="24"/>
                <w:highlight w:val="none"/>
                <w:lang w:eastAsia="zh-CN"/>
              </w:rPr>
              <w:t>项目</w:t>
            </w:r>
            <w:r>
              <w:rPr>
                <w:rFonts w:hint="eastAsia" w:ascii="华文仿宋" w:hAnsi="华文仿宋" w:eastAsia="华文仿宋" w:cs="仿宋_GB2312"/>
                <w:b/>
                <w:color w:val="auto"/>
                <w:kern w:val="0"/>
                <w:sz w:val="24"/>
                <w:highlight w:val="none"/>
              </w:rPr>
              <w:t>作业定额，结合作业难易程度，确定投标合理报价。</w:t>
            </w:r>
          </w:p>
          <w:tbl>
            <w:tblPr>
              <w:tblStyle w:val="62"/>
              <w:tblW w:w="7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2378"/>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基本工资</w:t>
                  </w:r>
                </w:p>
              </w:tc>
              <w:tc>
                <w:tcPr>
                  <w:tcW w:w="2378"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2280元/月，即27360元/年</w:t>
                  </w:r>
                </w:p>
              </w:tc>
              <w:tc>
                <w:tcPr>
                  <w:tcW w:w="1979"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上浮10%</w:t>
                  </w:r>
                </w:p>
              </w:tc>
              <w:tc>
                <w:tcPr>
                  <w:tcW w:w="2378"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228元/月，即2736元/年</w:t>
                  </w:r>
                </w:p>
              </w:tc>
              <w:tc>
                <w:tcPr>
                  <w:tcW w:w="1979"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特殊岗位津贴</w:t>
                  </w:r>
                </w:p>
              </w:tc>
              <w:tc>
                <w:tcPr>
                  <w:tcW w:w="2378"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300元/月，即3600元/年</w:t>
                  </w:r>
                </w:p>
              </w:tc>
              <w:tc>
                <w:tcPr>
                  <w:tcW w:w="1979"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夏季高温津贴</w:t>
                  </w:r>
                </w:p>
              </w:tc>
              <w:tc>
                <w:tcPr>
                  <w:tcW w:w="2378"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1200元/年</w:t>
                  </w:r>
                </w:p>
              </w:tc>
              <w:tc>
                <w:tcPr>
                  <w:tcW w:w="1979"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住房公积金</w:t>
                  </w:r>
                </w:p>
              </w:tc>
              <w:tc>
                <w:tcPr>
                  <w:tcW w:w="2378"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125.4元/月，即1504.8元/年</w:t>
                  </w:r>
                </w:p>
              </w:tc>
              <w:tc>
                <w:tcPr>
                  <w:tcW w:w="1979"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ascii="华文仿宋" w:hAnsi="华文仿宋" w:eastAsia="华文仿宋" w:cs="仿宋_GB2312"/>
                      <w:color w:val="auto"/>
                      <w:kern w:val="0"/>
                      <w:sz w:val="24"/>
                      <w:highlight w:val="none"/>
                    </w:rPr>
                    <w:t>企业职工基本养老保险</w:t>
                  </w:r>
                </w:p>
                <w:p>
                  <w:pPr>
                    <w:tabs>
                      <w:tab w:val="left" w:pos="851"/>
                      <w:tab w:val="left" w:pos="993"/>
                    </w:tabs>
                    <w:spacing w:line="360" w:lineRule="auto"/>
                    <w:jc w:val="left"/>
                    <w:rPr>
                      <w:rFonts w:ascii="华文仿宋" w:hAnsi="华文仿宋" w:eastAsia="华文仿宋" w:cs="仿宋_GB2312"/>
                      <w:b/>
                      <w:color w:val="auto"/>
                      <w:kern w:val="0"/>
                      <w:sz w:val="24"/>
                      <w:highlight w:val="none"/>
                    </w:rPr>
                  </w:pPr>
                  <w:r>
                    <w:rPr>
                      <w:rFonts w:ascii="华文仿宋" w:hAnsi="华文仿宋" w:eastAsia="华文仿宋" w:cs="仿宋_GB2312"/>
                      <w:color w:val="auto"/>
                      <w:kern w:val="0"/>
                      <w:sz w:val="24"/>
                      <w:highlight w:val="none"/>
                    </w:rPr>
                    <w:t>（</w:t>
                  </w:r>
                  <w:r>
                    <w:rPr>
                      <w:rFonts w:hint="eastAsia" w:ascii="华文仿宋" w:hAnsi="华文仿宋" w:eastAsia="华文仿宋" w:cs="仿宋_GB2312"/>
                      <w:color w:val="auto"/>
                      <w:kern w:val="0"/>
                      <w:sz w:val="24"/>
                      <w:highlight w:val="none"/>
                    </w:rPr>
                    <w:t>单位</w:t>
                  </w:r>
                  <w:r>
                    <w:rPr>
                      <w:rFonts w:ascii="华文仿宋" w:hAnsi="华文仿宋" w:eastAsia="华文仿宋" w:cs="仿宋_GB2312"/>
                      <w:color w:val="auto"/>
                      <w:kern w:val="0"/>
                      <w:sz w:val="24"/>
                      <w:highlight w:val="none"/>
                    </w:rPr>
                    <w:t>缴纳比例按</w:t>
                  </w:r>
                  <w:r>
                    <w:rPr>
                      <w:rFonts w:hint="eastAsia" w:ascii="华文仿宋" w:hAnsi="华文仿宋" w:eastAsia="华文仿宋" w:cs="仿宋_GB2312"/>
                      <w:color w:val="auto"/>
                      <w:kern w:val="0"/>
                      <w:sz w:val="24"/>
                      <w:highlight w:val="none"/>
                    </w:rPr>
                    <w:t>14%</w:t>
                  </w:r>
                  <w:r>
                    <w:rPr>
                      <w:rFonts w:ascii="华文仿宋" w:hAnsi="华文仿宋" w:eastAsia="华文仿宋" w:cs="仿宋_GB2312"/>
                      <w:color w:val="auto"/>
                      <w:kern w:val="0"/>
                      <w:sz w:val="24"/>
                      <w:highlight w:val="none"/>
                    </w:rPr>
                    <w:t>）</w:t>
                  </w:r>
                </w:p>
              </w:tc>
              <w:tc>
                <w:tcPr>
                  <w:tcW w:w="2378" w:type="dxa"/>
                </w:tcPr>
                <w:p>
                  <w:pPr>
                    <w:tabs>
                      <w:tab w:val="left" w:pos="851"/>
                      <w:tab w:val="left" w:pos="993"/>
                    </w:tabs>
                    <w:spacing w:line="360" w:lineRule="auto"/>
                    <w:jc w:val="left"/>
                    <w:rPr>
                      <w:rFonts w:ascii="华文仿宋" w:hAnsi="华文仿宋" w:eastAsia="华文仿宋" w:cs="仿宋_GB2312"/>
                      <w:b/>
                      <w:color w:val="auto"/>
                      <w:kern w:val="0"/>
                      <w:sz w:val="24"/>
                      <w:highlight w:val="none"/>
                    </w:rPr>
                  </w:pPr>
                  <w:r>
                    <w:rPr>
                      <w:rFonts w:hint="eastAsia" w:ascii="华文仿宋" w:hAnsi="华文仿宋" w:eastAsia="华文仿宋" w:cs="仿宋_GB2312"/>
                      <w:color w:val="auto"/>
                      <w:kern w:val="0"/>
                      <w:sz w:val="24"/>
                      <w:highlight w:val="none"/>
                    </w:rPr>
                    <w:t>553.98元/月，即6647.76元/年</w:t>
                  </w:r>
                </w:p>
              </w:tc>
              <w:tc>
                <w:tcPr>
                  <w:tcW w:w="1979" w:type="dxa"/>
                  <w:vMerge w:val="restart"/>
                </w:tcPr>
                <w:p>
                  <w:pPr>
                    <w:tabs>
                      <w:tab w:val="left" w:pos="851"/>
                      <w:tab w:val="left" w:pos="993"/>
                    </w:tabs>
                    <w:spacing w:line="360" w:lineRule="auto"/>
                    <w:jc w:val="left"/>
                    <w:rPr>
                      <w:rFonts w:ascii="华文仿宋" w:hAnsi="华文仿宋" w:eastAsia="华文仿宋" w:cs="仿宋_GB2312"/>
                      <w:b/>
                      <w:color w:val="auto"/>
                      <w:kern w:val="0"/>
                      <w:sz w:val="24"/>
                      <w:highlight w:val="none"/>
                    </w:rPr>
                  </w:pPr>
                  <w:r>
                    <w:rPr>
                      <w:rFonts w:ascii="华文仿宋" w:hAnsi="华文仿宋" w:eastAsia="华文仿宋" w:cs="仿宋_GB2312"/>
                      <w:color w:val="auto"/>
                      <w:kern w:val="0"/>
                      <w:sz w:val="24"/>
                      <w:highlight w:val="none"/>
                    </w:rPr>
                    <w:t>关于启动</w:t>
                  </w:r>
                  <w:r>
                    <w:rPr>
                      <w:rFonts w:hint="eastAsia" w:ascii="华文仿宋" w:hAnsi="华文仿宋" w:eastAsia="华文仿宋" w:cs="仿宋_GB2312"/>
                      <w:color w:val="auto"/>
                      <w:kern w:val="0"/>
                      <w:sz w:val="24"/>
                      <w:highlight w:val="none"/>
                    </w:rPr>
                    <w:t>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ascii="华文仿宋" w:hAnsi="华文仿宋" w:eastAsia="华文仿宋" w:cs="仿宋_GB2312"/>
                      <w:color w:val="auto"/>
                      <w:kern w:val="0"/>
                      <w:sz w:val="24"/>
                      <w:highlight w:val="none"/>
                    </w:rPr>
                    <w:t>失业保险</w:t>
                  </w:r>
                </w:p>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ascii="华文仿宋" w:hAnsi="华文仿宋" w:eastAsia="华文仿宋" w:cs="仿宋_GB2312"/>
                      <w:color w:val="auto"/>
                      <w:kern w:val="0"/>
                      <w:sz w:val="24"/>
                      <w:highlight w:val="none"/>
                    </w:rPr>
                    <w:t>（按</w:t>
                  </w:r>
                  <w:r>
                    <w:rPr>
                      <w:rFonts w:hint="eastAsia" w:ascii="华文仿宋" w:hAnsi="华文仿宋" w:eastAsia="华文仿宋" w:cs="仿宋_GB2312"/>
                      <w:color w:val="auto"/>
                      <w:kern w:val="0"/>
                      <w:sz w:val="24"/>
                      <w:highlight w:val="none"/>
                    </w:rPr>
                    <w:t>0.5%计取</w:t>
                  </w:r>
                  <w:r>
                    <w:rPr>
                      <w:rFonts w:ascii="华文仿宋" w:hAnsi="华文仿宋" w:eastAsia="华文仿宋" w:cs="仿宋_GB2312"/>
                      <w:color w:val="auto"/>
                      <w:kern w:val="0"/>
                      <w:sz w:val="24"/>
                      <w:highlight w:val="none"/>
                    </w:rPr>
                    <w:t>）</w:t>
                  </w:r>
                </w:p>
              </w:tc>
              <w:tc>
                <w:tcPr>
                  <w:tcW w:w="2378"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19.79元/月，即237.48元/年</w:t>
                  </w:r>
                </w:p>
              </w:tc>
              <w:tc>
                <w:tcPr>
                  <w:tcW w:w="1979" w:type="dxa"/>
                  <w:vMerge w:val="continue"/>
                </w:tcPr>
                <w:p>
                  <w:pPr>
                    <w:tabs>
                      <w:tab w:val="left" w:pos="851"/>
                      <w:tab w:val="left" w:pos="993"/>
                    </w:tabs>
                    <w:spacing w:line="360" w:lineRule="auto"/>
                    <w:jc w:val="left"/>
                    <w:rPr>
                      <w:rFonts w:ascii="华文仿宋" w:hAnsi="华文仿宋" w:eastAsia="华文仿宋" w:cs="仿宋_GB2312"/>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4"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医疗保险</w:t>
                  </w:r>
                </w:p>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ascii="华文仿宋" w:hAnsi="华文仿宋" w:eastAsia="华文仿宋" w:cs="仿宋_GB2312"/>
                      <w:color w:val="auto"/>
                      <w:kern w:val="0"/>
                      <w:sz w:val="24"/>
                      <w:highlight w:val="none"/>
                    </w:rPr>
                    <w:t>（</w:t>
                  </w:r>
                  <w:r>
                    <w:rPr>
                      <w:rFonts w:hint="eastAsia" w:ascii="华文仿宋" w:hAnsi="华文仿宋" w:eastAsia="华文仿宋" w:cs="仿宋_GB2312"/>
                      <w:color w:val="auto"/>
                      <w:kern w:val="0"/>
                      <w:sz w:val="24"/>
                      <w:highlight w:val="none"/>
                    </w:rPr>
                    <w:t>单位</w:t>
                  </w:r>
                  <w:r>
                    <w:rPr>
                      <w:rFonts w:ascii="华文仿宋" w:hAnsi="华文仿宋" w:eastAsia="华文仿宋" w:cs="仿宋_GB2312"/>
                      <w:color w:val="auto"/>
                      <w:kern w:val="0"/>
                      <w:sz w:val="24"/>
                      <w:highlight w:val="none"/>
                    </w:rPr>
                    <w:t>缴纳比例按</w:t>
                  </w:r>
                  <w:r>
                    <w:rPr>
                      <w:rFonts w:hint="eastAsia" w:ascii="华文仿宋" w:hAnsi="华文仿宋" w:eastAsia="华文仿宋" w:cs="仿宋_GB2312"/>
                      <w:color w:val="auto"/>
                      <w:kern w:val="0"/>
                      <w:sz w:val="24"/>
                      <w:highlight w:val="none"/>
                    </w:rPr>
                    <w:t>9.9%</w:t>
                  </w:r>
                  <w:r>
                    <w:rPr>
                      <w:rFonts w:ascii="华文仿宋" w:hAnsi="华文仿宋" w:eastAsia="华文仿宋" w:cs="仿宋_GB2312"/>
                      <w:color w:val="auto"/>
                      <w:kern w:val="0"/>
                      <w:sz w:val="24"/>
                      <w:highlight w:val="none"/>
                    </w:rPr>
                    <w:t>）</w:t>
                  </w:r>
                </w:p>
              </w:tc>
              <w:tc>
                <w:tcPr>
                  <w:tcW w:w="2378" w:type="dxa"/>
                </w:tcPr>
                <w:p>
                  <w:pPr>
                    <w:tabs>
                      <w:tab w:val="left" w:pos="851"/>
                      <w:tab w:val="left" w:pos="993"/>
                    </w:tabs>
                    <w:spacing w:line="360" w:lineRule="auto"/>
                    <w:jc w:val="left"/>
                    <w:rPr>
                      <w:rFonts w:ascii="华文仿宋" w:hAnsi="华文仿宋" w:eastAsia="华文仿宋" w:cs="仿宋_GB2312"/>
                      <w:color w:val="auto"/>
                      <w:kern w:val="0"/>
                      <w:sz w:val="24"/>
                      <w:highlight w:val="none"/>
                    </w:rPr>
                  </w:pPr>
                  <w:r>
                    <w:rPr>
                      <w:rFonts w:hint="eastAsia" w:ascii="华文仿宋" w:hAnsi="华文仿宋" w:eastAsia="华文仿宋" w:cs="仿宋_GB2312"/>
                      <w:color w:val="auto"/>
                      <w:kern w:val="0"/>
                      <w:sz w:val="24"/>
                      <w:highlight w:val="none"/>
                    </w:rPr>
                    <w:t>391.74元/月，即4700.88元/年</w:t>
                  </w:r>
                </w:p>
              </w:tc>
              <w:tc>
                <w:tcPr>
                  <w:tcW w:w="1979" w:type="dxa"/>
                  <w:vMerge w:val="continue"/>
                </w:tcPr>
                <w:p>
                  <w:pPr>
                    <w:tabs>
                      <w:tab w:val="left" w:pos="851"/>
                      <w:tab w:val="left" w:pos="993"/>
                    </w:tabs>
                    <w:spacing w:line="360" w:lineRule="auto"/>
                    <w:jc w:val="left"/>
                    <w:rPr>
                      <w:rFonts w:ascii="华文仿宋" w:hAnsi="华文仿宋" w:eastAsia="华文仿宋" w:cs="仿宋_GB2312"/>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4" w:type="dxa"/>
                </w:tcPr>
                <w:p>
                  <w:pPr>
                    <w:tabs>
                      <w:tab w:val="left" w:pos="851"/>
                      <w:tab w:val="left" w:pos="993"/>
                    </w:tabs>
                    <w:spacing w:line="360" w:lineRule="auto"/>
                    <w:jc w:val="left"/>
                    <w:rPr>
                      <w:rFonts w:ascii="华文仿宋" w:hAnsi="华文仿宋" w:eastAsia="华文仿宋" w:cs="仿宋_GB2312"/>
                      <w:b/>
                      <w:color w:val="auto"/>
                      <w:kern w:val="0"/>
                      <w:sz w:val="24"/>
                      <w:highlight w:val="none"/>
                    </w:rPr>
                  </w:pPr>
                  <w:r>
                    <w:rPr>
                      <w:rFonts w:hint="eastAsia" w:ascii="华文仿宋" w:hAnsi="华文仿宋" w:eastAsia="华文仿宋" w:cs="宋体"/>
                      <w:b/>
                      <w:color w:val="auto"/>
                      <w:sz w:val="24"/>
                      <w:highlight w:val="none"/>
                    </w:rPr>
                    <w:t>▲</w:t>
                  </w:r>
                  <w:r>
                    <w:rPr>
                      <w:rFonts w:hint="eastAsia" w:ascii="华文仿宋" w:hAnsi="华文仿宋" w:eastAsia="华文仿宋" w:cs="仿宋_GB2312"/>
                      <w:b/>
                      <w:color w:val="auto"/>
                      <w:kern w:val="0"/>
                      <w:sz w:val="24"/>
                      <w:highlight w:val="none"/>
                    </w:rPr>
                    <w:t>本次招标最低人员工资</w:t>
                  </w:r>
                </w:p>
              </w:tc>
              <w:tc>
                <w:tcPr>
                  <w:tcW w:w="2378" w:type="dxa"/>
                </w:tcPr>
                <w:p>
                  <w:pPr>
                    <w:tabs>
                      <w:tab w:val="left" w:pos="851"/>
                      <w:tab w:val="left" w:pos="993"/>
                    </w:tabs>
                    <w:spacing w:line="360" w:lineRule="auto"/>
                    <w:jc w:val="left"/>
                    <w:rPr>
                      <w:rFonts w:ascii="华文仿宋" w:hAnsi="华文仿宋" w:eastAsia="华文仿宋" w:cs="仿宋_GB2312"/>
                      <w:b/>
                      <w:color w:val="auto"/>
                      <w:kern w:val="0"/>
                      <w:sz w:val="24"/>
                      <w:highlight w:val="none"/>
                    </w:rPr>
                  </w:pPr>
                  <w:r>
                    <w:rPr>
                      <w:rFonts w:hint="eastAsia" w:ascii="华文仿宋" w:hAnsi="华文仿宋" w:eastAsia="华文仿宋" w:cs="仿宋_GB2312"/>
                      <w:b/>
                      <w:color w:val="auto"/>
                      <w:kern w:val="0"/>
                      <w:sz w:val="24"/>
                      <w:highlight w:val="none"/>
                    </w:rPr>
                    <w:t>47986.92元/年•人</w:t>
                  </w:r>
                </w:p>
              </w:tc>
              <w:tc>
                <w:tcPr>
                  <w:tcW w:w="1979" w:type="dxa"/>
                </w:tcPr>
                <w:p>
                  <w:pPr>
                    <w:tabs>
                      <w:tab w:val="left" w:pos="851"/>
                      <w:tab w:val="left" w:pos="993"/>
                    </w:tabs>
                    <w:spacing w:line="360" w:lineRule="auto"/>
                    <w:jc w:val="left"/>
                    <w:rPr>
                      <w:rFonts w:ascii="华文仿宋" w:hAnsi="华文仿宋" w:eastAsia="华文仿宋" w:cs="仿宋_GB2312"/>
                      <w:b/>
                      <w:color w:val="auto"/>
                      <w:kern w:val="0"/>
                      <w:sz w:val="24"/>
                      <w:highlight w:val="none"/>
                    </w:rPr>
                  </w:pPr>
                </w:p>
              </w:tc>
            </w:tr>
          </w:tbl>
          <w:p>
            <w:pPr>
              <w:tabs>
                <w:tab w:val="left" w:pos="851"/>
                <w:tab w:val="left" w:pos="993"/>
              </w:tabs>
              <w:spacing w:line="360" w:lineRule="auto"/>
              <w:jc w:val="left"/>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3、设施设备费报价：拟投入本项目中的设施设备的备品备件、车辆设备保险、日常维修保养，燃油、应急物资、日常服务易耗品，如扫把（含机扫车扫把）等，以及服务过程中所产生的水费、电费、开户安装等相关费用，结合企业成本列报。</w:t>
            </w:r>
          </w:p>
          <w:p>
            <w:pPr>
              <w:pStyle w:val="131"/>
              <w:adjustRightInd/>
              <w:spacing w:before="0"/>
              <w:ind w:firstLine="0" w:firstLineChars="0"/>
              <w:jc w:val="left"/>
              <w:rPr>
                <w:rFonts w:ascii="华文仿宋" w:hAnsi="华文仿宋" w:eastAsia="华文仿宋"/>
                <w:color w:val="auto"/>
                <w:sz w:val="21"/>
                <w:szCs w:val="24"/>
                <w:highlight w:val="none"/>
              </w:rPr>
            </w:pPr>
            <w:r>
              <w:rPr>
                <w:rFonts w:hint="eastAsia" w:ascii="华文仿宋" w:hAnsi="华文仿宋" w:eastAsia="华文仿宋" w:cs="宋体"/>
                <w:color w:val="auto"/>
                <w:szCs w:val="24"/>
                <w:highlight w:val="none"/>
              </w:rPr>
              <w:t>4、如评标委员会认为供应商的上述报价明显低于其他通过符合性审查供应商的报价，有可能影响产品质量或者不能诚信履约的，应当要求其在合理的时间内提供书面说明，必要时提交相关证明材料。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履约保证金</w:t>
            </w:r>
          </w:p>
        </w:tc>
        <w:tc>
          <w:tcPr>
            <w:tcW w:w="75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Style w:val="966"/>
                <w:rFonts w:ascii="华文仿宋" w:hAnsi="华文仿宋" w:eastAsia="华文仿宋"/>
                <w:color w:val="auto"/>
                <w:highlight w:val="none"/>
              </w:rPr>
            </w:pPr>
            <w:r>
              <w:rPr>
                <w:rFonts w:hint="eastAsia" w:ascii="华文仿宋" w:hAnsi="华文仿宋" w:eastAsia="华文仿宋" w:cs="宋体"/>
                <w:color w:val="auto"/>
                <w:sz w:val="24"/>
                <w:highlight w:val="none"/>
              </w:rPr>
              <w:t>1、</w:t>
            </w:r>
            <w:r>
              <w:rPr>
                <w:rFonts w:ascii="华文仿宋" w:hAnsi="华文仿宋" w:eastAsia="华文仿宋" w:cs="宋体"/>
                <w:color w:val="auto"/>
                <w:sz w:val="24"/>
                <w:highlight w:val="none"/>
              </w:rPr>
              <w:t>签订合同后5个工作日内，</w:t>
            </w:r>
            <w:r>
              <w:rPr>
                <w:rFonts w:hint="eastAsia" w:ascii="华文仿宋" w:hAnsi="华文仿宋" w:eastAsia="华文仿宋" w:cs="宋体"/>
                <w:color w:val="auto"/>
                <w:sz w:val="24"/>
                <w:highlight w:val="none"/>
              </w:rPr>
              <w:t>供应商</w:t>
            </w:r>
            <w:r>
              <w:rPr>
                <w:rFonts w:ascii="华文仿宋" w:hAnsi="华文仿宋" w:eastAsia="华文仿宋" w:cs="宋体"/>
                <w:color w:val="auto"/>
                <w:sz w:val="24"/>
                <w:highlight w:val="none"/>
              </w:rPr>
              <w:t>须向</w:t>
            </w:r>
            <w:r>
              <w:rPr>
                <w:rFonts w:hint="eastAsia" w:ascii="华文仿宋" w:hAnsi="华文仿宋" w:eastAsia="华文仿宋" w:cs="宋体"/>
                <w:color w:val="auto"/>
                <w:sz w:val="24"/>
                <w:highlight w:val="none"/>
              </w:rPr>
              <w:t>采购人</w:t>
            </w:r>
            <w:r>
              <w:rPr>
                <w:rFonts w:ascii="华文仿宋" w:hAnsi="华文仿宋" w:eastAsia="华文仿宋" w:cs="宋体"/>
                <w:color w:val="auto"/>
                <w:sz w:val="24"/>
                <w:highlight w:val="none"/>
              </w:rPr>
              <w:t>交纳合同总额</w:t>
            </w:r>
            <w:r>
              <w:rPr>
                <w:rFonts w:hint="eastAsia" w:ascii="华文仿宋" w:hAnsi="华文仿宋" w:eastAsia="华文仿宋" w:cs="宋体"/>
                <w:color w:val="auto"/>
                <w:sz w:val="24"/>
                <w:highlight w:val="none"/>
              </w:rPr>
              <w:t>2.5</w:t>
            </w:r>
            <w:r>
              <w:rPr>
                <w:rFonts w:ascii="华文仿宋" w:hAnsi="华文仿宋" w:eastAsia="华文仿宋" w:cs="宋体"/>
                <w:color w:val="auto"/>
                <w:sz w:val="24"/>
                <w:highlight w:val="none"/>
              </w:rPr>
              <w:t>%的履约保证金。以保证</w:t>
            </w:r>
            <w:r>
              <w:rPr>
                <w:rFonts w:hint="eastAsia" w:ascii="华文仿宋" w:hAnsi="华文仿宋" w:eastAsia="华文仿宋" w:cs="宋体"/>
                <w:color w:val="auto"/>
                <w:sz w:val="24"/>
                <w:highlight w:val="none"/>
              </w:rPr>
              <w:t>供应商</w:t>
            </w:r>
            <w:r>
              <w:rPr>
                <w:rFonts w:ascii="华文仿宋" w:hAnsi="华文仿宋" w:eastAsia="华文仿宋" w:cs="宋体"/>
                <w:color w:val="auto"/>
                <w:sz w:val="24"/>
                <w:highlight w:val="none"/>
              </w:rPr>
              <w:t>遵守本合同的一切条款、条件和承诺，该保证金在</w:t>
            </w:r>
            <w:r>
              <w:rPr>
                <w:rFonts w:hint="eastAsia" w:ascii="华文仿宋" w:hAnsi="华文仿宋" w:eastAsia="华文仿宋" w:cs="宋体"/>
                <w:color w:val="auto"/>
                <w:sz w:val="24"/>
                <w:highlight w:val="none"/>
              </w:rPr>
              <w:t>采购人</w:t>
            </w:r>
            <w:r>
              <w:rPr>
                <w:rFonts w:ascii="华文仿宋" w:hAnsi="华文仿宋" w:eastAsia="华文仿宋" w:cs="宋体"/>
                <w:color w:val="auto"/>
                <w:sz w:val="24"/>
                <w:highlight w:val="none"/>
              </w:rPr>
              <w:t>的规定存续期间不计息</w:t>
            </w:r>
            <w:r>
              <w:rPr>
                <w:rFonts w:hint="eastAsia" w:ascii="华文仿宋" w:hAnsi="华文仿宋" w:eastAsia="华文仿宋"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服务地点</w:t>
            </w:r>
          </w:p>
        </w:tc>
        <w:tc>
          <w:tcPr>
            <w:tcW w:w="75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杭州市</w:t>
            </w:r>
            <w:r>
              <w:rPr>
                <w:rFonts w:hint="eastAsia" w:ascii="华文仿宋" w:hAnsi="华文仿宋" w:eastAsia="华文仿宋" w:cs="宋体"/>
                <w:color w:val="auto"/>
                <w:sz w:val="24"/>
                <w:highlight w:val="none"/>
                <w:lang w:eastAsia="zh-CN"/>
              </w:rPr>
              <w:t>临平</w:t>
            </w:r>
            <w:r>
              <w:rPr>
                <w:rFonts w:hint="eastAsia" w:ascii="华文仿宋" w:hAnsi="华文仿宋" w:eastAsia="华文仿宋" w:cs="宋体"/>
                <w:color w:val="auto"/>
                <w:sz w:val="24"/>
                <w:highlight w:val="none"/>
              </w:rPr>
              <w:t>区</w:t>
            </w:r>
            <w:r>
              <w:rPr>
                <w:rFonts w:hint="eastAsia" w:ascii="华文仿宋" w:hAnsi="华文仿宋" w:eastAsia="华文仿宋" w:cs="宋体"/>
                <w:color w:val="auto"/>
                <w:sz w:val="24"/>
                <w:highlight w:val="none"/>
                <w:lang w:val="en-US" w:eastAsia="zh-CN"/>
              </w:rPr>
              <w:t>崇贤街道</w:t>
            </w:r>
            <w:r>
              <w:rPr>
                <w:rFonts w:hint="eastAsia" w:ascii="华文仿宋" w:hAnsi="华文仿宋" w:eastAsia="华文仿宋"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华文仿宋" w:hAnsi="华文仿宋" w:eastAsia="华文仿宋" w:cs="宋体"/>
                <w:color w:val="auto"/>
                <w:sz w:val="24"/>
                <w:highlight w:val="none"/>
                <w:lang w:eastAsia="zh-CN"/>
              </w:rPr>
            </w:pPr>
            <w:r>
              <w:rPr>
                <w:rFonts w:hint="eastAsia" w:ascii="华文仿宋" w:hAnsi="华文仿宋" w:eastAsia="华文仿宋" w:cs="宋体"/>
                <w:color w:val="auto"/>
                <w:sz w:val="24"/>
                <w:highlight w:val="none"/>
              </w:rPr>
              <w:t>付款</w:t>
            </w:r>
            <w:r>
              <w:rPr>
                <w:rFonts w:hint="eastAsia" w:ascii="华文仿宋" w:hAnsi="华文仿宋" w:eastAsia="华文仿宋" w:cs="宋体"/>
                <w:color w:val="auto"/>
                <w:sz w:val="24"/>
                <w:highlight w:val="none"/>
                <w:lang w:eastAsia="zh-CN"/>
              </w:rPr>
              <w:t>方式</w:t>
            </w:r>
          </w:p>
        </w:tc>
        <w:tc>
          <w:tcPr>
            <w:tcW w:w="75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rPr>
                <w:rFonts w:hint="default" w:ascii="华文仿宋" w:hAnsi="华文仿宋" w:eastAsia="华文仿宋"/>
                <w:color w:val="auto"/>
                <w:sz w:val="24"/>
                <w:szCs w:val="32"/>
                <w:highlight w:val="none"/>
                <w:lang w:val="en-US" w:eastAsia="zh-CN"/>
              </w:rPr>
            </w:pPr>
            <w:r>
              <w:rPr>
                <w:rFonts w:hint="eastAsia" w:ascii="华文仿宋" w:hAnsi="华文仿宋" w:eastAsia="华文仿宋"/>
                <w:color w:val="auto"/>
                <w:sz w:val="24"/>
                <w:szCs w:val="32"/>
                <w:highlight w:val="none"/>
                <w:lang w:val="en-US" w:eastAsia="zh-CN"/>
              </w:rPr>
              <w:t>1.第一季度结束经考核合格后首付30%养护款，以后每个季度结束经考核合格后支付20%养护款，直至付至合同养护款的90%，余下10%养护款待项目整体考核合格后一周内付清。</w:t>
            </w:r>
          </w:p>
          <w:p>
            <w:pPr>
              <w:snapToGrid w:val="0"/>
              <w:spacing w:line="360" w:lineRule="auto"/>
              <w:ind w:firstLine="480" w:firstLineChars="200"/>
              <w:rPr>
                <w:rFonts w:hint="default" w:ascii="华文仿宋" w:hAnsi="华文仿宋" w:eastAsia="华文仿宋"/>
                <w:color w:val="auto"/>
                <w:sz w:val="24"/>
                <w:szCs w:val="32"/>
                <w:highlight w:val="none"/>
                <w:lang w:val="en-US" w:eastAsia="zh-CN"/>
              </w:rPr>
            </w:pPr>
            <w:r>
              <w:rPr>
                <w:rFonts w:hint="eastAsia" w:ascii="华文仿宋" w:hAnsi="华文仿宋" w:eastAsia="华文仿宋"/>
                <w:color w:val="auto"/>
                <w:sz w:val="24"/>
                <w:szCs w:val="32"/>
                <w:highlight w:val="none"/>
                <w:lang w:val="en-US" w:eastAsia="zh-CN"/>
              </w:rPr>
              <w:t>2.绿化提升改造工程款及市政养护工程款待审计结束后一周内付清。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华文仿宋" w:hAnsi="华文仿宋" w:eastAsia="华文仿宋" w:cs="宋体"/>
                <w:color w:val="auto"/>
                <w:sz w:val="24"/>
                <w:highlight w:val="none"/>
              </w:rPr>
            </w:pPr>
            <w:r>
              <w:rPr>
                <w:rFonts w:hint="eastAsia" w:ascii="华文仿宋" w:hAnsi="华文仿宋" w:eastAsia="华文仿宋" w:cs="宋体"/>
                <w:color w:val="auto"/>
                <w:sz w:val="24"/>
                <w:highlight w:val="none"/>
              </w:rPr>
              <w:t>考核办法</w:t>
            </w:r>
          </w:p>
        </w:tc>
        <w:tc>
          <w:tcPr>
            <w:tcW w:w="75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华文仿宋" w:hAnsi="华文仿宋" w:eastAsia="华文仿宋"/>
                <w:color w:val="auto"/>
                <w:sz w:val="24"/>
                <w:szCs w:val="32"/>
                <w:highlight w:val="none"/>
              </w:rPr>
            </w:pPr>
            <w:r>
              <w:rPr>
                <w:rFonts w:hint="eastAsia" w:ascii="华文仿宋" w:hAnsi="华文仿宋" w:eastAsia="华文仿宋"/>
                <w:color w:val="auto"/>
                <w:sz w:val="24"/>
                <w:szCs w:val="32"/>
                <w:highlight w:val="none"/>
              </w:rPr>
              <w:t>采购人制定的本项目养护考核细则</w:t>
            </w:r>
            <w:r>
              <w:rPr>
                <w:rFonts w:hint="eastAsia" w:ascii="华文仿宋" w:hAnsi="华文仿宋" w:eastAsia="华文仿宋" w:cs="宋体"/>
                <w:color w:val="auto"/>
                <w:kern w:val="0"/>
                <w:sz w:val="24"/>
                <w:highlight w:val="none"/>
              </w:rPr>
              <w:t>。</w:t>
            </w:r>
            <w:r>
              <w:rPr>
                <w:rFonts w:hint="eastAsia" w:ascii="华文仿宋" w:hAnsi="华文仿宋" w:eastAsia="华文仿宋"/>
                <w:color w:val="auto"/>
                <w:sz w:val="24"/>
                <w:szCs w:val="32"/>
                <w:highlight w:val="none"/>
              </w:rPr>
              <w:t>（后附）</w:t>
            </w:r>
          </w:p>
        </w:tc>
      </w:tr>
    </w:tbl>
    <w:p>
      <w:pPr>
        <w:spacing w:line="360" w:lineRule="auto"/>
        <w:rPr>
          <w:rFonts w:hint="eastAsia" w:ascii="华文仿宋" w:hAnsi="华文仿宋" w:eastAsia="华文仿宋"/>
          <w:color w:val="auto"/>
          <w:sz w:val="24"/>
          <w:highlight w:val="none"/>
        </w:rPr>
      </w:pPr>
    </w:p>
    <w:p>
      <w:pPr>
        <w:snapToGrid w:val="0"/>
        <w:spacing w:line="360" w:lineRule="auto"/>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七</w:t>
      </w:r>
      <w:r>
        <w:rPr>
          <w:rFonts w:hint="eastAsia" w:ascii="宋体" w:hAnsi="宋体" w:eastAsia="宋体" w:cs="宋体"/>
          <w:b/>
          <w:bCs/>
          <w:color w:val="auto"/>
          <w:kern w:val="2"/>
          <w:sz w:val="24"/>
          <w:szCs w:val="24"/>
          <w:highlight w:val="none"/>
          <w:lang w:val="en-US" w:eastAsia="zh-CN" w:bidi="ar-SA"/>
        </w:rPr>
        <w:t>、供应商拟投入本项目机具基本要求（供应商必须根据要求提供证明材料，不提供或提供不全的，视为不满足，作无效标处理）</w:t>
      </w:r>
    </w:p>
    <w:tbl>
      <w:tblPr>
        <w:tblStyle w:val="62"/>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18"/>
        <w:gridCol w:w="2126"/>
        <w:gridCol w:w="99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b/>
                <w:color w:val="auto"/>
                <w:sz w:val="24"/>
                <w:highlight w:val="none"/>
                <w:lang w:val="en-US" w:eastAsia="zh-CN"/>
              </w:rPr>
              <w:t>*</w:t>
            </w:r>
            <w:r>
              <w:rPr>
                <w:rFonts w:hint="eastAsia" w:ascii="华文仿宋" w:hAnsi="华文仿宋" w:eastAsia="华文仿宋" w:cs="宋体"/>
                <w:color w:val="auto"/>
                <w:sz w:val="21"/>
                <w:szCs w:val="21"/>
                <w:highlight w:val="none"/>
              </w:rPr>
              <w:t>序号</w:t>
            </w:r>
          </w:p>
        </w:tc>
        <w:tc>
          <w:tcPr>
            <w:tcW w:w="2218" w:type="dxa"/>
            <w:vAlign w:val="center"/>
          </w:tcPr>
          <w:p>
            <w:pPr>
              <w:pStyle w:val="26"/>
              <w:spacing w:line="360" w:lineRule="auto"/>
              <w:ind w:firstLine="42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机具名称</w:t>
            </w:r>
          </w:p>
        </w:tc>
        <w:tc>
          <w:tcPr>
            <w:tcW w:w="2126" w:type="dxa"/>
            <w:vAlign w:val="center"/>
          </w:tcPr>
          <w:p>
            <w:pPr>
              <w:pStyle w:val="26"/>
              <w:spacing w:line="360" w:lineRule="auto"/>
              <w:ind w:firstLine="42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规格要求</w:t>
            </w:r>
          </w:p>
        </w:tc>
        <w:tc>
          <w:tcPr>
            <w:tcW w:w="993"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最低数量要求</w:t>
            </w:r>
          </w:p>
        </w:tc>
        <w:tc>
          <w:tcPr>
            <w:tcW w:w="3086" w:type="dxa"/>
            <w:vAlign w:val="center"/>
          </w:tcPr>
          <w:p>
            <w:pPr>
              <w:pStyle w:val="26"/>
              <w:spacing w:line="360" w:lineRule="auto"/>
              <w:ind w:firstLine="42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26"/>
              <w:numPr>
                <w:ilvl w:val="0"/>
                <w:numId w:val="3"/>
              </w:numPr>
              <w:spacing w:line="360" w:lineRule="auto"/>
              <w:ind w:firstLineChars="0"/>
              <w:jc w:val="center"/>
              <w:rPr>
                <w:rFonts w:ascii="华文仿宋" w:hAnsi="华文仿宋" w:eastAsia="华文仿宋" w:cs="宋体"/>
                <w:color w:val="auto"/>
                <w:sz w:val="21"/>
                <w:szCs w:val="21"/>
                <w:highlight w:val="none"/>
              </w:rPr>
            </w:pPr>
          </w:p>
        </w:tc>
        <w:tc>
          <w:tcPr>
            <w:tcW w:w="2218" w:type="dxa"/>
            <w:vAlign w:val="center"/>
          </w:tcPr>
          <w:p>
            <w:pPr>
              <w:pStyle w:val="26"/>
              <w:spacing w:line="360" w:lineRule="auto"/>
              <w:ind w:firstLine="0" w:firstLineChars="0"/>
              <w:jc w:val="left"/>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洒水车/清洗车</w:t>
            </w:r>
          </w:p>
        </w:tc>
        <w:tc>
          <w:tcPr>
            <w:tcW w:w="2126"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总质量</w:t>
            </w:r>
            <w:r>
              <w:rPr>
                <w:rFonts w:hint="eastAsia" w:ascii="华文仿宋" w:hAnsi="华文仿宋" w:eastAsia="华文仿宋" w:cs="宋体"/>
                <w:color w:val="auto"/>
                <w:sz w:val="21"/>
                <w:szCs w:val="21"/>
                <w:highlight w:val="none"/>
                <w:lang w:val="en-US" w:eastAsia="zh-CN"/>
              </w:rPr>
              <w:t>15</w:t>
            </w:r>
            <w:r>
              <w:rPr>
                <w:rFonts w:hint="eastAsia" w:ascii="华文仿宋" w:hAnsi="华文仿宋" w:eastAsia="华文仿宋" w:cs="宋体"/>
                <w:color w:val="auto"/>
                <w:sz w:val="21"/>
                <w:szCs w:val="21"/>
                <w:highlight w:val="none"/>
              </w:rPr>
              <w:t>吨及以上</w:t>
            </w:r>
          </w:p>
        </w:tc>
        <w:tc>
          <w:tcPr>
            <w:tcW w:w="993"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lang w:val="en-US" w:eastAsia="zh-CN"/>
              </w:rPr>
              <w:t>1</w:t>
            </w:r>
            <w:r>
              <w:rPr>
                <w:rFonts w:hint="eastAsia" w:ascii="华文仿宋" w:hAnsi="华文仿宋" w:eastAsia="华文仿宋" w:cs="宋体"/>
                <w:color w:val="auto"/>
                <w:sz w:val="21"/>
                <w:szCs w:val="21"/>
                <w:highlight w:val="none"/>
              </w:rPr>
              <w:t>辆</w:t>
            </w:r>
          </w:p>
        </w:tc>
        <w:tc>
          <w:tcPr>
            <w:tcW w:w="3086" w:type="dxa"/>
            <w:vMerge w:val="restart"/>
            <w:vAlign w:val="center"/>
          </w:tcPr>
          <w:p>
            <w:pPr>
              <w:pStyle w:val="26"/>
              <w:spacing w:line="360" w:lineRule="auto"/>
              <w:ind w:firstLine="0" w:firstLineChars="0"/>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1）按国家规定必须上牌的车辆在投标文件中同时提供车辆行驶证、购车发票、车辆登记证扫描件、清晰带有车牌号的正面、45度斜侧面的照片；否则不予认可。按国家规定无需上牌的车辆、设备，在投标文件中同时提供购买发票、购买合同、车辆或设备照片，否则不予认可。</w:t>
            </w:r>
          </w:p>
          <w:p>
            <w:pPr>
              <w:pStyle w:val="26"/>
              <w:spacing w:line="360" w:lineRule="auto"/>
              <w:ind w:firstLine="0" w:firstLineChars="0"/>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（2）提供车辆、设备仅用于本保洁项目的书面承诺书（格式自拟）。</w:t>
            </w:r>
          </w:p>
          <w:p>
            <w:pPr>
              <w:pStyle w:val="26"/>
              <w:spacing w:line="360" w:lineRule="auto"/>
              <w:ind w:firstLine="0" w:firstLineChars="0"/>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（3）车辆、设备必须为供应商自有。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26"/>
              <w:numPr>
                <w:ilvl w:val="0"/>
                <w:numId w:val="3"/>
              </w:numPr>
              <w:spacing w:line="360" w:lineRule="auto"/>
              <w:ind w:firstLineChars="0"/>
              <w:jc w:val="center"/>
              <w:rPr>
                <w:rFonts w:ascii="华文仿宋" w:hAnsi="华文仿宋" w:eastAsia="华文仿宋" w:cs="宋体"/>
                <w:color w:val="auto"/>
                <w:sz w:val="21"/>
                <w:szCs w:val="21"/>
                <w:highlight w:val="none"/>
              </w:rPr>
            </w:pPr>
          </w:p>
        </w:tc>
        <w:tc>
          <w:tcPr>
            <w:tcW w:w="2218" w:type="dxa"/>
            <w:vAlign w:val="center"/>
          </w:tcPr>
          <w:p>
            <w:pPr>
              <w:pStyle w:val="26"/>
              <w:spacing w:line="360" w:lineRule="auto"/>
              <w:ind w:firstLine="0" w:firstLineChars="0"/>
              <w:jc w:val="left"/>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三合一洗扫车/洗扫车（用于快车道作业）</w:t>
            </w:r>
          </w:p>
        </w:tc>
        <w:tc>
          <w:tcPr>
            <w:tcW w:w="2126"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总质量</w:t>
            </w:r>
            <w:r>
              <w:rPr>
                <w:rFonts w:hint="eastAsia" w:ascii="华文仿宋" w:hAnsi="华文仿宋" w:eastAsia="华文仿宋" w:cs="宋体"/>
                <w:color w:val="auto"/>
                <w:sz w:val="21"/>
                <w:szCs w:val="21"/>
                <w:highlight w:val="none"/>
                <w:lang w:val="en-US" w:eastAsia="zh-CN"/>
              </w:rPr>
              <w:t>15</w:t>
            </w:r>
            <w:r>
              <w:rPr>
                <w:rFonts w:hint="eastAsia" w:ascii="华文仿宋" w:hAnsi="华文仿宋" w:eastAsia="华文仿宋" w:cs="宋体"/>
                <w:color w:val="auto"/>
                <w:sz w:val="21"/>
                <w:szCs w:val="21"/>
                <w:highlight w:val="none"/>
              </w:rPr>
              <w:t>吨及以上</w:t>
            </w:r>
          </w:p>
        </w:tc>
        <w:tc>
          <w:tcPr>
            <w:tcW w:w="993"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lang w:val="en-US" w:eastAsia="zh-CN"/>
              </w:rPr>
              <w:t>1</w:t>
            </w:r>
            <w:r>
              <w:rPr>
                <w:rFonts w:hint="eastAsia" w:ascii="华文仿宋" w:hAnsi="华文仿宋" w:eastAsia="华文仿宋" w:cs="宋体"/>
                <w:color w:val="auto"/>
                <w:sz w:val="21"/>
                <w:szCs w:val="21"/>
                <w:highlight w:val="none"/>
              </w:rPr>
              <w:t>辆</w:t>
            </w:r>
          </w:p>
        </w:tc>
        <w:tc>
          <w:tcPr>
            <w:tcW w:w="3086" w:type="dxa"/>
            <w:vMerge w:val="continue"/>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3" w:type="dxa"/>
            <w:vAlign w:val="center"/>
          </w:tcPr>
          <w:p>
            <w:pPr>
              <w:pStyle w:val="26"/>
              <w:numPr>
                <w:ilvl w:val="0"/>
                <w:numId w:val="3"/>
              </w:numPr>
              <w:spacing w:line="360" w:lineRule="auto"/>
              <w:ind w:firstLineChars="0"/>
              <w:jc w:val="center"/>
              <w:rPr>
                <w:rFonts w:ascii="华文仿宋" w:hAnsi="华文仿宋" w:eastAsia="华文仿宋" w:cs="宋体"/>
                <w:color w:val="auto"/>
                <w:sz w:val="21"/>
                <w:szCs w:val="21"/>
                <w:highlight w:val="none"/>
              </w:rPr>
            </w:pPr>
          </w:p>
        </w:tc>
        <w:tc>
          <w:tcPr>
            <w:tcW w:w="2218" w:type="dxa"/>
            <w:vAlign w:val="center"/>
          </w:tcPr>
          <w:p>
            <w:pPr>
              <w:pStyle w:val="26"/>
              <w:spacing w:line="360" w:lineRule="auto"/>
              <w:ind w:firstLine="0" w:firstLineChars="0"/>
              <w:jc w:val="left"/>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巡查保障车</w:t>
            </w:r>
          </w:p>
        </w:tc>
        <w:tc>
          <w:tcPr>
            <w:tcW w:w="2126"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rPr>
              <w:t>皮卡</w:t>
            </w:r>
            <w:r>
              <w:rPr>
                <w:rFonts w:hint="eastAsia" w:ascii="华文仿宋" w:hAnsi="华文仿宋" w:eastAsia="华文仿宋" w:cs="宋体"/>
                <w:color w:val="auto"/>
                <w:sz w:val="21"/>
                <w:szCs w:val="21"/>
                <w:highlight w:val="none"/>
                <w:lang w:val="en-US" w:eastAsia="zh-CN"/>
              </w:rPr>
              <w:t>1</w:t>
            </w:r>
            <w:r>
              <w:rPr>
                <w:rFonts w:hint="eastAsia" w:ascii="华文仿宋" w:hAnsi="华文仿宋" w:eastAsia="华文仿宋" w:cs="宋体"/>
                <w:color w:val="auto"/>
                <w:sz w:val="21"/>
                <w:szCs w:val="21"/>
                <w:highlight w:val="none"/>
              </w:rPr>
              <w:t>辆，1.5吨及以上货车</w:t>
            </w:r>
            <w:r>
              <w:rPr>
                <w:rFonts w:hint="eastAsia" w:ascii="华文仿宋" w:hAnsi="华文仿宋" w:eastAsia="华文仿宋" w:cs="宋体"/>
                <w:color w:val="auto"/>
                <w:sz w:val="21"/>
                <w:szCs w:val="21"/>
                <w:highlight w:val="none"/>
                <w:lang w:val="en-US" w:eastAsia="zh-CN"/>
              </w:rPr>
              <w:t>1</w:t>
            </w:r>
            <w:r>
              <w:rPr>
                <w:rFonts w:hint="eastAsia" w:ascii="华文仿宋" w:hAnsi="华文仿宋" w:eastAsia="华文仿宋" w:cs="宋体"/>
                <w:color w:val="auto"/>
                <w:sz w:val="21"/>
                <w:szCs w:val="21"/>
                <w:highlight w:val="none"/>
              </w:rPr>
              <w:t>辆。</w:t>
            </w:r>
          </w:p>
        </w:tc>
        <w:tc>
          <w:tcPr>
            <w:tcW w:w="993" w:type="dxa"/>
            <w:vAlign w:val="center"/>
          </w:tcPr>
          <w:p>
            <w:pPr>
              <w:pStyle w:val="26"/>
              <w:spacing w:line="360" w:lineRule="auto"/>
              <w:ind w:firstLine="0" w:firstLineChars="0"/>
              <w:jc w:val="center"/>
              <w:rPr>
                <w:rFonts w:ascii="华文仿宋" w:hAnsi="华文仿宋" w:eastAsia="华文仿宋" w:cs="宋体"/>
                <w:color w:val="auto"/>
                <w:sz w:val="21"/>
                <w:szCs w:val="21"/>
                <w:highlight w:val="none"/>
              </w:rPr>
            </w:pPr>
            <w:r>
              <w:rPr>
                <w:rFonts w:hint="eastAsia" w:ascii="华文仿宋" w:hAnsi="华文仿宋" w:eastAsia="华文仿宋" w:cs="宋体"/>
                <w:color w:val="auto"/>
                <w:sz w:val="21"/>
                <w:szCs w:val="21"/>
                <w:highlight w:val="none"/>
                <w:lang w:val="en-US" w:eastAsia="zh-CN"/>
              </w:rPr>
              <w:t>2</w:t>
            </w:r>
            <w:r>
              <w:rPr>
                <w:rFonts w:hint="eastAsia" w:ascii="华文仿宋" w:hAnsi="华文仿宋" w:eastAsia="华文仿宋" w:cs="宋体"/>
                <w:color w:val="auto"/>
                <w:sz w:val="21"/>
                <w:szCs w:val="21"/>
                <w:highlight w:val="none"/>
              </w:rPr>
              <w:t>辆</w:t>
            </w:r>
          </w:p>
        </w:tc>
        <w:tc>
          <w:tcPr>
            <w:tcW w:w="3086" w:type="dxa"/>
            <w:vMerge w:val="continue"/>
            <w:vAlign w:val="center"/>
          </w:tcPr>
          <w:p>
            <w:pPr>
              <w:pStyle w:val="26"/>
              <w:spacing w:line="360" w:lineRule="auto"/>
              <w:ind w:firstLine="420"/>
              <w:jc w:val="center"/>
              <w:rPr>
                <w:rFonts w:ascii="华文仿宋" w:hAnsi="华文仿宋" w:eastAsia="华文仿宋" w:cs="宋体"/>
                <w:color w:val="auto"/>
                <w:sz w:val="21"/>
                <w:szCs w:val="21"/>
                <w:highlight w:val="none"/>
              </w:rPr>
            </w:pPr>
          </w:p>
        </w:tc>
      </w:tr>
    </w:tbl>
    <w:p>
      <w:pPr>
        <w:spacing w:line="360" w:lineRule="auto"/>
        <w:rPr>
          <w:rFonts w:ascii="华文仿宋" w:hAnsi="华文仿宋" w:eastAsia="华文仿宋" w:cs="宋体"/>
          <w:b/>
          <w:color w:val="auto"/>
          <w:sz w:val="24"/>
          <w:highlight w:val="none"/>
        </w:rPr>
      </w:pPr>
      <w:r>
        <w:rPr>
          <w:rFonts w:hint="eastAsia" w:ascii="华文仿宋" w:hAnsi="华文仿宋" w:eastAsia="华文仿宋" w:cs="宋体"/>
          <w:b/>
          <w:color w:val="auto"/>
          <w:sz w:val="24"/>
          <w:highlight w:val="none"/>
        </w:rPr>
        <w:t>注：（1）、由于各车辆制造商不同，对于“洒水车/清洗车、三合一洗扫车/洗扫车”的车辆名称表述存在一定差异，但必须具备上述要求的相关作业功能；</w:t>
      </w:r>
    </w:p>
    <w:p>
      <w:pPr>
        <w:numPr>
          <w:ilvl w:val="0"/>
          <w:numId w:val="4"/>
        </w:numPr>
        <w:spacing w:line="360" w:lineRule="auto"/>
        <w:ind w:firstLine="471" w:firstLineChars="196"/>
        <w:rPr>
          <w:rFonts w:hint="eastAsia" w:ascii="华文仿宋" w:hAnsi="华文仿宋" w:eastAsia="华文仿宋" w:cs="宋体"/>
          <w:b/>
          <w:color w:val="auto"/>
          <w:sz w:val="24"/>
          <w:highlight w:val="none"/>
        </w:rPr>
      </w:pPr>
      <w:r>
        <w:rPr>
          <w:rFonts w:hint="eastAsia" w:ascii="华文仿宋" w:hAnsi="华文仿宋" w:eastAsia="华文仿宋" w:cs="宋体"/>
          <w:b/>
          <w:color w:val="auto"/>
          <w:sz w:val="24"/>
          <w:highlight w:val="none"/>
        </w:rPr>
        <w:t>、供应商须拥有满足本标项道路清扫、洒水、巡查、养护等要求的基本车辆。</w:t>
      </w:r>
    </w:p>
    <w:p>
      <w:pPr>
        <w:pStyle w:val="79"/>
        <w:widowControl w:val="0"/>
        <w:numPr>
          <w:ilvl w:val="0"/>
          <w:numId w:val="0"/>
        </w:numPr>
        <w:adjustRightInd w:val="0"/>
        <w:jc w:val="both"/>
        <w:rPr>
          <w:color w:val="auto"/>
          <w:highlight w:val="none"/>
        </w:rPr>
      </w:pPr>
    </w:p>
    <w:p>
      <w:pPr>
        <w:pStyle w:val="79"/>
        <w:widowControl w:val="0"/>
        <w:numPr>
          <w:ilvl w:val="0"/>
          <w:numId w:val="0"/>
        </w:numPr>
        <w:adjustRightInd w:val="0"/>
        <w:jc w:val="both"/>
        <w:rPr>
          <w:color w:val="auto"/>
          <w:highlight w:val="none"/>
        </w:rPr>
      </w:pPr>
    </w:p>
    <w:p>
      <w:pPr>
        <w:pStyle w:val="79"/>
        <w:widowControl w:val="0"/>
        <w:numPr>
          <w:ilvl w:val="0"/>
          <w:numId w:val="0"/>
        </w:numPr>
        <w:adjustRightInd w:val="0"/>
        <w:jc w:val="both"/>
        <w:rPr>
          <w:color w:val="auto"/>
          <w:highlight w:val="none"/>
        </w:rPr>
      </w:pPr>
    </w:p>
    <w:p>
      <w:pPr>
        <w:pStyle w:val="79"/>
        <w:widowControl w:val="0"/>
        <w:numPr>
          <w:ilvl w:val="0"/>
          <w:numId w:val="0"/>
        </w:numPr>
        <w:adjustRightInd w:val="0"/>
        <w:jc w:val="both"/>
        <w:rPr>
          <w:color w:val="auto"/>
          <w:highlight w:val="none"/>
        </w:rPr>
      </w:pPr>
    </w:p>
    <w:p>
      <w:pPr>
        <w:pStyle w:val="79"/>
        <w:widowControl w:val="0"/>
        <w:numPr>
          <w:ilvl w:val="0"/>
          <w:numId w:val="0"/>
        </w:numPr>
        <w:adjustRightInd w:val="0"/>
        <w:jc w:val="both"/>
        <w:rPr>
          <w:color w:val="auto"/>
          <w:highlight w:val="none"/>
        </w:rPr>
      </w:pPr>
    </w:p>
    <w:p>
      <w:pPr>
        <w:pStyle w:val="79"/>
        <w:widowControl w:val="0"/>
        <w:numPr>
          <w:ilvl w:val="0"/>
          <w:numId w:val="0"/>
        </w:numPr>
        <w:adjustRightInd w:val="0"/>
        <w:jc w:val="both"/>
        <w:rPr>
          <w:color w:val="auto"/>
          <w:highlight w:val="none"/>
        </w:rPr>
      </w:pPr>
    </w:p>
    <w:p>
      <w:pPr>
        <w:pStyle w:val="79"/>
        <w:widowControl w:val="0"/>
        <w:numPr>
          <w:ilvl w:val="0"/>
          <w:numId w:val="0"/>
        </w:numPr>
        <w:adjustRightInd w:val="0"/>
        <w:jc w:val="both"/>
        <w:rPr>
          <w:color w:val="auto"/>
          <w:highlight w:val="none"/>
        </w:rPr>
      </w:pPr>
    </w:p>
    <w:p>
      <w:pPr>
        <w:keepNext w:val="0"/>
        <w:keepLines w:val="0"/>
        <w:pageBreakBefore w:val="0"/>
        <w:numPr>
          <w:ilvl w:val="0"/>
          <w:numId w:val="0"/>
        </w:numPr>
        <w:kinsoku/>
        <w:wordWrap/>
        <w:overflowPunct/>
        <w:topLinePunct w:val="0"/>
        <w:autoSpaceDE/>
        <w:autoSpaceDN/>
        <w:bidi w:val="0"/>
        <w:spacing w:line="570" w:lineRule="exact"/>
        <w:ind w:right="0" w:rightChars="0"/>
        <w:jc w:val="center"/>
        <w:outlineLvl w:val="9"/>
        <w:rPr>
          <w:rFonts w:hint="eastAsia" w:ascii="方正小标宋_GBK" w:hAnsi="宋体" w:eastAsia="方正小标宋_GBK" w:cs="宋体"/>
          <w:b w:val="0"/>
          <w:bCs/>
          <w:color w:val="auto"/>
          <w:sz w:val="32"/>
          <w:szCs w:val="32"/>
          <w:highlight w:val="none"/>
          <w:lang w:eastAsia="zh-CN"/>
        </w:rPr>
      </w:pPr>
      <w:r>
        <w:rPr>
          <w:rFonts w:hint="eastAsia" w:ascii="方正小标宋_GBK" w:hAnsi="宋体" w:eastAsia="方正小标宋_GBK" w:cs="宋体"/>
          <w:b w:val="0"/>
          <w:bCs/>
          <w:color w:val="auto"/>
          <w:sz w:val="32"/>
          <w:szCs w:val="32"/>
          <w:highlight w:val="none"/>
          <w:lang w:val="en-US" w:eastAsia="zh-CN"/>
        </w:rPr>
        <w:t>八、</w:t>
      </w:r>
      <w:r>
        <w:rPr>
          <w:rFonts w:hint="eastAsia" w:ascii="方正小标宋_GBK" w:hAnsi="宋体" w:eastAsia="方正小标宋_GBK" w:cs="宋体"/>
          <w:b w:val="0"/>
          <w:bCs/>
          <w:color w:val="auto"/>
          <w:sz w:val="32"/>
          <w:szCs w:val="32"/>
          <w:highlight w:val="none"/>
          <w:lang w:eastAsia="zh-CN"/>
        </w:rPr>
        <w:t>临平区洁</w:t>
      </w:r>
      <w:r>
        <w:rPr>
          <w:rFonts w:hint="eastAsia" w:ascii="方正小标宋_GBK" w:hAnsi="宋体" w:eastAsia="方正小标宋_GBK" w:cs="宋体"/>
          <w:b w:val="0"/>
          <w:bCs/>
          <w:color w:val="auto"/>
          <w:sz w:val="32"/>
          <w:szCs w:val="32"/>
          <w:highlight w:val="none"/>
          <w:lang w:val="en-US" w:eastAsia="zh-CN"/>
        </w:rPr>
        <w:t>化考核</w:t>
      </w:r>
      <w:r>
        <w:rPr>
          <w:rFonts w:hint="eastAsia" w:ascii="方正小标宋_GBK" w:hAnsi="宋体" w:eastAsia="方正小标宋_GBK" w:cs="宋体"/>
          <w:b w:val="0"/>
          <w:bCs/>
          <w:color w:val="auto"/>
          <w:sz w:val="32"/>
          <w:szCs w:val="32"/>
          <w:highlight w:val="none"/>
          <w:lang w:eastAsia="zh-CN"/>
        </w:rPr>
        <w:t>评分细则</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9"/>
        <w:gridCol w:w="789"/>
        <w:gridCol w:w="611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exact"/>
          <w:tblHeader/>
          <w:jc w:val="center"/>
        </w:trPr>
        <w:tc>
          <w:tcPr>
            <w:tcW w:w="8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color w:val="auto"/>
                <w:kern w:val="0"/>
                <w:sz w:val="24"/>
                <w:szCs w:val="24"/>
                <w:highlight w:val="none"/>
                <w:lang w:eastAsia="zh-CN"/>
              </w:rPr>
            </w:pPr>
            <w:r>
              <w:rPr>
                <w:rFonts w:hint="eastAsia" w:ascii="黑体" w:hAnsi="黑体" w:eastAsia="黑体" w:cs="黑体"/>
                <w:b w:val="0"/>
                <w:bCs/>
                <w:color w:val="auto"/>
                <w:kern w:val="0"/>
                <w:sz w:val="24"/>
                <w:szCs w:val="24"/>
                <w:highlight w:val="none"/>
                <w:lang w:eastAsia="zh-CN"/>
              </w:rPr>
              <w:t>项目</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color w:val="auto"/>
                <w:kern w:val="0"/>
                <w:sz w:val="24"/>
                <w:szCs w:val="24"/>
                <w:highlight w:val="none"/>
                <w:lang w:eastAsia="zh-CN"/>
              </w:rPr>
            </w:pPr>
            <w:r>
              <w:rPr>
                <w:rFonts w:hint="eastAsia" w:ascii="黑体" w:hAnsi="黑体" w:eastAsia="黑体" w:cs="黑体"/>
                <w:b w:val="0"/>
                <w:bCs/>
                <w:color w:val="auto"/>
                <w:kern w:val="0"/>
                <w:sz w:val="24"/>
                <w:szCs w:val="24"/>
                <w:highlight w:val="none"/>
                <w:lang w:eastAsia="zh-CN"/>
              </w:rPr>
              <w:t>序号</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lang w:eastAsia="zh-CN"/>
              </w:rPr>
              <w:t>评分细则</w:t>
            </w:r>
          </w:p>
        </w:tc>
        <w:tc>
          <w:tcPr>
            <w:tcW w:w="134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考核</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日常养护（</w:t>
            </w:r>
            <w:r>
              <w:rPr>
                <w:rFonts w:hint="eastAsia" w:ascii="仿宋_GB2312" w:hAnsi="仿宋_GB2312" w:eastAsia="仿宋_GB2312" w:cs="仿宋_GB2312"/>
                <w:color w:val="auto"/>
                <w:kern w:val="0"/>
                <w:sz w:val="21"/>
                <w:szCs w:val="21"/>
                <w:highlight w:val="none"/>
                <w:lang w:val="en-US" w:eastAsia="zh-CN"/>
              </w:rPr>
              <w:t>60)分</w:t>
            </w:r>
            <w:r>
              <w:rPr>
                <w:rFonts w:hint="eastAsia" w:ascii="仿宋_GB2312" w:hAnsi="仿宋_GB2312" w:eastAsia="仿宋_GB2312" w:cs="仿宋_GB2312"/>
                <w:color w:val="auto"/>
                <w:kern w:val="0"/>
                <w:sz w:val="21"/>
                <w:szCs w:val="21"/>
                <w:highlight w:val="none"/>
                <w:lang w:eastAsia="zh-CN"/>
              </w:rPr>
              <w:t>）</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pacing w:val="-11"/>
                <w:sz w:val="21"/>
                <w:szCs w:val="21"/>
                <w:highlight w:val="none"/>
              </w:rPr>
            </w:pPr>
            <w:r>
              <w:rPr>
                <w:rFonts w:hint="eastAsia" w:ascii="仿宋_GB2312" w:hAnsi="仿宋_GB2312" w:eastAsia="仿宋_GB2312" w:cs="仿宋_GB2312"/>
                <w:color w:val="auto"/>
                <w:kern w:val="0"/>
                <w:sz w:val="21"/>
                <w:szCs w:val="21"/>
                <w:highlight w:val="none"/>
              </w:rPr>
              <w:t>路面</w:t>
            </w:r>
            <w:r>
              <w:rPr>
                <w:rFonts w:hint="eastAsia" w:ascii="仿宋_GB2312" w:hAnsi="仿宋_GB2312" w:eastAsia="仿宋_GB2312" w:cs="仿宋_GB2312"/>
                <w:color w:val="auto"/>
                <w:kern w:val="0"/>
                <w:sz w:val="21"/>
                <w:szCs w:val="21"/>
                <w:highlight w:val="none"/>
                <w:lang w:eastAsia="zh-CN"/>
              </w:rPr>
              <w:t>（绿化带）零星</w:t>
            </w:r>
            <w:r>
              <w:rPr>
                <w:rFonts w:hint="eastAsia" w:ascii="仿宋_GB2312" w:hAnsi="仿宋_GB2312" w:eastAsia="仿宋_GB2312" w:cs="仿宋_GB2312"/>
                <w:color w:val="auto"/>
                <w:kern w:val="0"/>
                <w:sz w:val="21"/>
                <w:szCs w:val="21"/>
                <w:highlight w:val="none"/>
              </w:rPr>
              <w:t>垃圾</w:t>
            </w:r>
            <w:r>
              <w:rPr>
                <w:rFonts w:hint="eastAsia" w:ascii="仿宋_GB2312" w:hAnsi="仿宋_GB2312" w:eastAsia="仿宋_GB2312" w:cs="仿宋_GB2312"/>
                <w:color w:val="auto"/>
                <w:kern w:val="0"/>
                <w:sz w:val="21"/>
                <w:szCs w:val="21"/>
                <w:highlight w:val="none"/>
                <w:lang w:eastAsia="zh-CN"/>
              </w:rPr>
              <w:t>、</w:t>
            </w:r>
            <w:r>
              <w:rPr>
                <w:rFonts w:hint="eastAsia" w:ascii="仿宋_GB2312" w:hAnsi="仿宋_GB2312" w:eastAsia="仿宋_GB2312" w:cs="仿宋_GB2312"/>
                <w:color w:val="auto"/>
                <w:kern w:val="0"/>
                <w:sz w:val="21"/>
                <w:szCs w:val="21"/>
                <w:highlight w:val="none"/>
              </w:rPr>
              <w:t>杂物</w:t>
            </w:r>
            <w:r>
              <w:rPr>
                <w:rFonts w:hint="eastAsia" w:ascii="仿宋_GB2312" w:hAnsi="仿宋_GB2312" w:eastAsia="仿宋_GB2312" w:cs="仿宋_GB2312"/>
                <w:color w:val="auto"/>
                <w:kern w:val="0"/>
                <w:sz w:val="21"/>
                <w:szCs w:val="21"/>
                <w:highlight w:val="none"/>
                <w:lang w:eastAsia="zh-CN"/>
              </w:rPr>
              <w:t>、烟蒂，每</w:t>
            </w:r>
            <w:r>
              <w:rPr>
                <w:rFonts w:hint="eastAsia" w:ascii="仿宋_GB2312" w:hAnsi="仿宋_GB2312" w:eastAsia="仿宋_GB2312" w:cs="仿宋_GB2312"/>
                <w:color w:val="auto"/>
                <w:kern w:val="0"/>
                <w:sz w:val="21"/>
                <w:szCs w:val="21"/>
                <w:highlight w:val="none"/>
              </w:rPr>
              <w:t>个</w:t>
            </w:r>
            <w:r>
              <w:rPr>
                <w:rFonts w:hint="eastAsia" w:ascii="仿宋_GB2312" w:hAnsi="仿宋_GB2312" w:eastAsia="仿宋_GB2312" w:cs="仿宋_GB2312"/>
                <w:color w:val="auto"/>
                <w:kern w:val="0"/>
                <w:sz w:val="21"/>
                <w:szCs w:val="21"/>
                <w:highlight w:val="none"/>
                <w:lang w:eastAsia="zh-CN"/>
              </w:rPr>
              <w:t>扣</w:t>
            </w:r>
            <w:r>
              <w:rPr>
                <w:rFonts w:hint="eastAsia" w:ascii="仿宋_GB2312" w:hAnsi="仿宋_GB2312" w:eastAsia="仿宋_GB2312" w:cs="仿宋_GB2312"/>
                <w:color w:val="auto"/>
                <w:kern w:val="0"/>
                <w:sz w:val="21"/>
                <w:szCs w:val="21"/>
                <w:highlight w:val="none"/>
                <w:lang w:val="en-US" w:eastAsia="zh-CN"/>
              </w:rPr>
              <w:t>0.2分。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highlight w:val="none"/>
              </w:rPr>
              <w:t>有暴露垃圾</w:t>
            </w:r>
            <w:r>
              <w:rPr>
                <w:rFonts w:hint="eastAsia" w:ascii="仿宋_GB2312" w:hAnsi="仿宋_GB2312" w:eastAsia="仿宋_GB2312" w:cs="仿宋_GB2312"/>
                <w:color w:val="auto"/>
                <w:kern w:val="0"/>
                <w:sz w:val="21"/>
                <w:szCs w:val="21"/>
                <w:highlight w:val="none"/>
                <w:lang w:eastAsia="zh-CN"/>
              </w:rPr>
              <w:t>、卫生死角</w:t>
            </w:r>
            <w:r>
              <w:rPr>
                <w:rFonts w:hint="eastAsia" w:ascii="仿宋_GB2312" w:hAnsi="仿宋_GB2312" w:eastAsia="仿宋_GB2312" w:cs="仿宋_GB2312"/>
                <w:color w:val="auto"/>
                <w:kern w:val="0"/>
                <w:sz w:val="21"/>
                <w:szCs w:val="21"/>
                <w:highlight w:val="none"/>
              </w:rPr>
              <w:t>（面积≥0.5㎡），</w:t>
            </w:r>
            <w:r>
              <w:rPr>
                <w:rFonts w:hint="eastAsia" w:ascii="仿宋_GB2312" w:hAnsi="仿宋_GB2312" w:eastAsia="仿宋_GB2312" w:cs="仿宋_GB2312"/>
                <w:color w:val="auto"/>
                <w:kern w:val="0"/>
                <w:sz w:val="21"/>
                <w:szCs w:val="21"/>
                <w:highlight w:val="none"/>
                <w:lang w:eastAsia="zh-CN"/>
              </w:rPr>
              <w:t>每处</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val="en-US" w:eastAsia="zh-CN"/>
              </w:rPr>
              <w:t>1</w:t>
            </w:r>
            <w:r>
              <w:rPr>
                <w:rFonts w:hint="eastAsia" w:ascii="仿宋_GB2312" w:hAnsi="仿宋_GB2312" w:eastAsia="仿宋_GB2312" w:cs="仿宋_GB2312"/>
                <w:color w:val="auto"/>
                <w:kern w:val="0"/>
                <w:sz w:val="21"/>
                <w:szCs w:val="21"/>
                <w:highlight w:val="none"/>
              </w:rPr>
              <w:t>分</w:t>
            </w:r>
            <w:r>
              <w:rPr>
                <w:rFonts w:hint="eastAsia" w:ascii="仿宋_GB2312" w:hAnsi="仿宋_GB2312" w:eastAsia="仿宋_GB2312" w:cs="仿宋_GB2312"/>
                <w:color w:val="auto"/>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车行道</w:t>
            </w:r>
            <w:r>
              <w:rPr>
                <w:rFonts w:hint="eastAsia" w:ascii="仿宋_GB2312" w:hAnsi="仿宋_GB2312" w:eastAsia="仿宋_GB2312" w:cs="仿宋_GB2312"/>
                <w:color w:val="auto"/>
                <w:kern w:val="0"/>
                <w:sz w:val="21"/>
                <w:szCs w:val="21"/>
                <w:highlight w:val="none"/>
              </w:rPr>
              <w:t>、人行道路面油污</w:t>
            </w:r>
            <w:r>
              <w:rPr>
                <w:rFonts w:hint="eastAsia" w:ascii="仿宋_GB2312" w:hAnsi="仿宋_GB2312" w:eastAsia="仿宋_GB2312" w:cs="仿宋_GB2312"/>
                <w:color w:val="auto"/>
                <w:kern w:val="0"/>
                <w:sz w:val="21"/>
                <w:szCs w:val="21"/>
                <w:highlight w:val="none"/>
                <w:lang w:eastAsia="zh-CN"/>
              </w:rPr>
              <w:t>未及时冲洗，每处</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val="en-US" w:eastAsia="zh-CN"/>
              </w:rPr>
              <w:t>0.</w:t>
            </w:r>
            <w:r>
              <w:rPr>
                <w:rFonts w:hint="eastAsia" w:ascii="仿宋_GB2312" w:hAnsi="仿宋_GB2312" w:eastAsia="仿宋_GB2312" w:cs="仿宋_GB2312"/>
                <w:color w:val="auto"/>
                <w:kern w:val="0"/>
                <w:sz w:val="21"/>
                <w:szCs w:val="21"/>
                <w:highlight w:val="none"/>
              </w:rPr>
              <w:t>5分</w:t>
            </w:r>
            <w:r>
              <w:rPr>
                <w:rFonts w:hint="eastAsia" w:ascii="仿宋_GB2312" w:hAnsi="仿宋_GB2312" w:eastAsia="仿宋_GB2312" w:cs="仿宋_GB2312"/>
                <w:color w:val="auto"/>
                <w:kern w:val="0"/>
                <w:sz w:val="21"/>
                <w:szCs w:val="21"/>
                <w:highlight w:val="none"/>
                <w:lang w:val="en-US"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sz w:val="21"/>
                <w:szCs w:val="21"/>
                <w:highlight w:val="none"/>
                <w:lang w:eastAsia="zh-CN"/>
              </w:rPr>
              <w:t>城市家具、护栏不洁、积灰，每处扣</w:t>
            </w:r>
            <w:r>
              <w:rPr>
                <w:rFonts w:hint="eastAsia" w:ascii="仿宋_GB2312" w:hAnsi="仿宋_GB2312" w:eastAsia="仿宋_GB2312" w:cs="仿宋_GB2312"/>
                <w:color w:val="auto"/>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城市家具、沿街外墙牛皮鲜（小广告）未及时清除，每处扣</w:t>
            </w:r>
            <w:r>
              <w:rPr>
                <w:rFonts w:hint="eastAsia" w:ascii="仿宋_GB2312" w:hAnsi="仿宋_GB2312" w:eastAsia="仿宋_GB2312" w:cs="仿宋_GB2312"/>
                <w:color w:val="auto"/>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晴天路面积水，每处扣</w:t>
            </w:r>
            <w:r>
              <w:rPr>
                <w:rFonts w:hint="eastAsia" w:ascii="仿宋_GB2312" w:hAnsi="仿宋_GB2312" w:eastAsia="仿宋_GB2312" w:cs="仿宋_GB2312"/>
                <w:color w:val="auto"/>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雨水井沟眼积泥（嵌石），</w:t>
            </w:r>
            <w:r>
              <w:rPr>
                <w:rFonts w:hint="eastAsia" w:ascii="仿宋_GB2312" w:hAnsi="仿宋_GB2312" w:eastAsia="仿宋_GB2312" w:cs="仿宋_GB2312"/>
                <w:color w:val="auto"/>
                <w:kern w:val="0"/>
                <w:sz w:val="21"/>
                <w:szCs w:val="21"/>
                <w:highlight w:val="none"/>
                <w:lang w:eastAsia="zh-CN"/>
              </w:rPr>
              <w:t>每处</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val="en-US" w:eastAsia="zh-CN"/>
              </w:rPr>
              <w:t>0.5</w:t>
            </w:r>
            <w:r>
              <w:rPr>
                <w:rFonts w:hint="eastAsia" w:ascii="仿宋_GB2312" w:hAnsi="仿宋_GB2312" w:eastAsia="仿宋_GB2312" w:cs="仿宋_GB2312"/>
                <w:color w:val="auto"/>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8"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道路积泥（沙石）</w:t>
            </w:r>
            <w:r>
              <w:rPr>
                <w:rFonts w:hint="eastAsia" w:ascii="仿宋_GB2312" w:hAnsi="仿宋_GB2312" w:eastAsia="仿宋_GB2312" w:cs="仿宋_GB2312"/>
                <w:color w:val="auto"/>
                <w:kern w:val="0"/>
                <w:sz w:val="21"/>
                <w:szCs w:val="21"/>
                <w:highlight w:val="none"/>
                <w:lang w:eastAsia="zh-CN"/>
              </w:rPr>
              <w:t>，每处</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val="en-US" w:eastAsia="zh-CN"/>
              </w:rPr>
              <w:t>1</w:t>
            </w:r>
            <w:r>
              <w:rPr>
                <w:rFonts w:hint="eastAsia" w:ascii="仿宋_GB2312" w:hAnsi="仿宋_GB2312" w:eastAsia="仿宋_GB2312" w:cs="仿宋_GB2312"/>
                <w:color w:val="auto"/>
                <w:kern w:val="0"/>
                <w:sz w:val="21"/>
                <w:szCs w:val="21"/>
                <w:highlight w:val="none"/>
              </w:rPr>
              <w:t>分/处。</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清扫保洁时将垃圾扫入雨水井、河道、绿地，</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val="en-US" w:eastAsia="zh-CN"/>
              </w:rPr>
              <w:t>1</w:t>
            </w:r>
            <w:r>
              <w:rPr>
                <w:rFonts w:hint="eastAsia" w:ascii="仿宋_GB2312" w:hAnsi="仿宋_GB2312" w:eastAsia="仿宋_GB2312" w:cs="仿宋_GB2312"/>
                <w:color w:val="auto"/>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垃圾超出果壳箱、垃圾桶投放口平面，</w:t>
            </w:r>
            <w:r>
              <w:rPr>
                <w:rFonts w:hint="eastAsia" w:ascii="仿宋_GB2312" w:hAnsi="仿宋_GB2312" w:eastAsia="仿宋_GB2312" w:cs="仿宋_GB2312"/>
                <w:color w:val="auto"/>
                <w:kern w:val="0"/>
                <w:sz w:val="21"/>
                <w:szCs w:val="21"/>
                <w:highlight w:val="none"/>
                <w:lang w:eastAsia="zh-CN"/>
              </w:rPr>
              <w:t>每处</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val="en-US" w:eastAsia="zh-CN"/>
              </w:rPr>
              <w:t>0.5</w:t>
            </w:r>
            <w:r>
              <w:rPr>
                <w:rFonts w:hint="eastAsia" w:ascii="仿宋_GB2312" w:hAnsi="仿宋_GB2312" w:eastAsia="仿宋_GB2312" w:cs="仿宋_GB2312"/>
                <w:color w:val="auto"/>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作业工具</w:t>
            </w:r>
            <w:r>
              <w:rPr>
                <w:rFonts w:hint="eastAsia" w:ascii="仿宋_GB2312" w:hAnsi="仿宋_GB2312" w:eastAsia="仿宋_GB2312" w:cs="仿宋_GB2312"/>
                <w:color w:val="auto"/>
                <w:kern w:val="0"/>
                <w:sz w:val="21"/>
                <w:szCs w:val="21"/>
                <w:highlight w:val="none"/>
                <w:lang w:eastAsia="zh-CN"/>
              </w:rPr>
              <w:t>随意</w:t>
            </w:r>
            <w:r>
              <w:rPr>
                <w:rFonts w:hint="eastAsia" w:ascii="仿宋_GB2312" w:hAnsi="仿宋_GB2312" w:eastAsia="仿宋_GB2312" w:cs="仿宋_GB2312"/>
                <w:color w:val="auto"/>
                <w:kern w:val="0"/>
                <w:sz w:val="21"/>
                <w:szCs w:val="21"/>
                <w:highlight w:val="none"/>
              </w:rPr>
              <w:t>堆</w:t>
            </w:r>
            <w:r>
              <w:rPr>
                <w:rFonts w:hint="eastAsia" w:ascii="仿宋_GB2312" w:hAnsi="仿宋_GB2312" w:eastAsia="仿宋_GB2312" w:cs="仿宋_GB2312"/>
                <w:color w:val="auto"/>
                <w:kern w:val="0"/>
                <w:sz w:val="21"/>
                <w:szCs w:val="21"/>
                <w:highlight w:val="none"/>
                <w:lang w:eastAsia="zh-CN"/>
              </w:rPr>
              <w:t>放在路面和</w:t>
            </w:r>
            <w:r>
              <w:rPr>
                <w:rFonts w:hint="eastAsia" w:ascii="仿宋_GB2312" w:hAnsi="仿宋_GB2312" w:eastAsia="仿宋_GB2312" w:cs="仿宋_GB2312"/>
                <w:color w:val="auto"/>
                <w:kern w:val="0"/>
                <w:sz w:val="21"/>
                <w:szCs w:val="21"/>
                <w:highlight w:val="none"/>
              </w:rPr>
              <w:t>绿化带</w:t>
            </w:r>
            <w:r>
              <w:rPr>
                <w:rFonts w:hint="eastAsia" w:ascii="仿宋_GB2312" w:hAnsi="仿宋_GB2312" w:eastAsia="仿宋_GB2312" w:cs="仿宋_GB2312"/>
                <w:color w:val="auto"/>
                <w:kern w:val="0"/>
                <w:sz w:val="21"/>
                <w:szCs w:val="21"/>
                <w:highlight w:val="none"/>
                <w:lang w:eastAsia="zh-CN"/>
              </w:rPr>
              <w:t>，</w:t>
            </w:r>
            <w:r>
              <w:rPr>
                <w:rFonts w:hint="eastAsia" w:ascii="仿宋_GB2312" w:hAnsi="仿宋_GB2312" w:eastAsia="仿宋_GB2312" w:cs="仿宋_GB2312"/>
                <w:color w:val="auto"/>
                <w:kern w:val="0"/>
                <w:sz w:val="21"/>
                <w:szCs w:val="21"/>
                <w:highlight w:val="none"/>
              </w:rPr>
              <w:t>作业车辆违规停放阻碍通行</w:t>
            </w:r>
            <w:r>
              <w:rPr>
                <w:rFonts w:hint="eastAsia" w:ascii="仿宋_GB2312" w:hAnsi="仿宋_GB2312" w:eastAsia="仿宋_GB2312" w:cs="仿宋_GB2312"/>
                <w:color w:val="auto"/>
                <w:kern w:val="0"/>
                <w:sz w:val="21"/>
                <w:szCs w:val="21"/>
                <w:highlight w:val="none"/>
                <w:lang w:eastAsia="zh-CN"/>
              </w:rPr>
              <w:t>，每次扣</w:t>
            </w:r>
            <w:r>
              <w:rPr>
                <w:rFonts w:hint="eastAsia" w:ascii="仿宋_GB2312" w:hAnsi="仿宋_GB2312" w:eastAsia="仿宋_GB2312" w:cs="仿宋_GB2312"/>
                <w:color w:val="auto"/>
                <w:kern w:val="0"/>
                <w:sz w:val="21"/>
                <w:szCs w:val="21"/>
                <w:highlight w:val="none"/>
                <w:lang w:val="en-US" w:eastAsia="zh-CN"/>
              </w:rPr>
              <w:t>0.5分</w:t>
            </w:r>
            <w:r>
              <w:rPr>
                <w:rFonts w:hint="eastAsia" w:ascii="仿宋_GB2312" w:hAnsi="仿宋_GB2312" w:eastAsia="仿宋_GB2312" w:cs="仿宋_GB2312"/>
                <w:color w:val="auto"/>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落叶旺季（落叶景观道路除外）未及时清扫</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val="en-US" w:eastAsia="zh-CN"/>
              </w:rPr>
              <w:t>0.5</w:t>
            </w:r>
            <w:r>
              <w:rPr>
                <w:rFonts w:hint="eastAsia" w:ascii="仿宋_GB2312" w:hAnsi="仿宋_GB2312" w:eastAsia="仿宋_GB2312" w:cs="仿宋_GB2312"/>
                <w:color w:val="auto"/>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环卫工人未</w:t>
            </w:r>
            <w:r>
              <w:rPr>
                <w:rFonts w:hint="eastAsia" w:ascii="仿宋_GB2312" w:hAnsi="仿宋_GB2312" w:eastAsia="仿宋_GB2312" w:cs="仿宋_GB2312"/>
                <w:color w:val="auto"/>
                <w:kern w:val="0"/>
                <w:sz w:val="21"/>
                <w:szCs w:val="21"/>
                <w:highlight w:val="none"/>
                <w:lang w:eastAsia="zh-CN"/>
              </w:rPr>
              <w:t>按规定着装、疫情期间不佩戴口罩</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每次扣</w:t>
            </w:r>
            <w:r>
              <w:rPr>
                <w:rFonts w:hint="eastAsia" w:ascii="仿宋_GB2312" w:hAnsi="仿宋_GB2312" w:eastAsia="仿宋_GB2312" w:cs="仿宋_GB2312"/>
                <w:color w:val="auto"/>
                <w:kern w:val="0"/>
                <w:sz w:val="21"/>
                <w:szCs w:val="21"/>
                <w:highlight w:val="none"/>
                <w:lang w:val="en-US" w:eastAsia="zh-CN"/>
              </w:rPr>
              <w:t>0.5分</w:t>
            </w:r>
            <w:r>
              <w:rPr>
                <w:rFonts w:hint="eastAsia" w:ascii="仿宋_GB2312" w:hAnsi="仿宋_GB2312" w:eastAsia="仿宋_GB2312" w:cs="仿宋_GB2312"/>
                <w:color w:val="auto"/>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作业车辆逆行、保洁员无维护情况上快车道作业的，每次扣2分。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pacing w:val="-11"/>
                <w:kern w:val="0"/>
                <w:sz w:val="21"/>
                <w:szCs w:val="21"/>
                <w:highlight w:val="none"/>
              </w:rPr>
              <w:t>环卫作业车辆</w:t>
            </w:r>
            <w:r>
              <w:rPr>
                <w:rFonts w:hint="eastAsia" w:ascii="仿宋_GB2312" w:hAnsi="仿宋_GB2312" w:eastAsia="仿宋_GB2312" w:cs="仿宋_GB2312"/>
                <w:color w:val="auto"/>
                <w:spacing w:val="-11"/>
                <w:kern w:val="0"/>
                <w:sz w:val="21"/>
                <w:szCs w:val="21"/>
                <w:highlight w:val="none"/>
                <w:lang w:eastAsia="zh-CN"/>
              </w:rPr>
              <w:t>未按要求统一</w:t>
            </w:r>
            <w:r>
              <w:rPr>
                <w:rFonts w:hint="eastAsia" w:ascii="仿宋_GB2312" w:hAnsi="仿宋_GB2312" w:eastAsia="仿宋_GB2312" w:cs="仿宋_GB2312"/>
                <w:color w:val="auto"/>
                <w:spacing w:val="-11"/>
                <w:kern w:val="0"/>
                <w:sz w:val="21"/>
                <w:szCs w:val="21"/>
                <w:highlight w:val="none"/>
              </w:rPr>
              <w:t>外观</w:t>
            </w:r>
            <w:r>
              <w:rPr>
                <w:rFonts w:hint="eastAsia" w:ascii="仿宋_GB2312" w:hAnsi="仿宋_GB2312" w:eastAsia="仿宋_GB2312" w:cs="仿宋_GB2312"/>
                <w:color w:val="auto"/>
                <w:spacing w:val="-11"/>
                <w:kern w:val="0"/>
                <w:sz w:val="21"/>
                <w:szCs w:val="21"/>
                <w:highlight w:val="none"/>
                <w:lang w:eastAsia="zh-CN"/>
              </w:rPr>
              <w:t>，车身</w:t>
            </w:r>
            <w:r>
              <w:rPr>
                <w:rFonts w:hint="eastAsia" w:ascii="仿宋_GB2312" w:hAnsi="仿宋_GB2312" w:eastAsia="仿宋_GB2312" w:cs="仿宋_GB2312"/>
                <w:color w:val="auto"/>
                <w:spacing w:val="-11"/>
                <w:kern w:val="0"/>
                <w:sz w:val="21"/>
                <w:szCs w:val="21"/>
                <w:highlight w:val="none"/>
              </w:rPr>
              <w:t>不洁、破损</w:t>
            </w:r>
            <w:r>
              <w:rPr>
                <w:rFonts w:hint="eastAsia" w:ascii="仿宋_GB2312" w:hAnsi="仿宋_GB2312" w:eastAsia="仿宋_GB2312" w:cs="仿宋_GB2312"/>
                <w:color w:val="auto"/>
                <w:spacing w:val="-11"/>
                <w:kern w:val="0"/>
                <w:sz w:val="21"/>
                <w:szCs w:val="21"/>
                <w:highlight w:val="none"/>
                <w:lang w:eastAsia="zh-CN"/>
              </w:rPr>
              <w:t>，每次扣</w:t>
            </w:r>
            <w:r>
              <w:rPr>
                <w:rFonts w:hint="eastAsia" w:ascii="仿宋_GB2312" w:hAnsi="仿宋_GB2312" w:eastAsia="仿宋_GB2312" w:cs="仿宋_GB2312"/>
                <w:color w:val="auto"/>
                <w:spacing w:val="-11"/>
                <w:kern w:val="0"/>
                <w:sz w:val="21"/>
                <w:szCs w:val="21"/>
                <w:highlight w:val="none"/>
                <w:lang w:val="en-US" w:eastAsia="zh-CN"/>
              </w:rPr>
              <w:t>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9"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属地卫生死角（保洁本底外有相应责任主体的），扣</w:t>
            </w:r>
            <w:r>
              <w:rPr>
                <w:rFonts w:hint="eastAsia" w:ascii="仿宋_GB2312" w:hAnsi="仿宋_GB2312" w:eastAsia="仿宋_GB2312" w:cs="仿宋_GB2312"/>
                <w:color w:val="auto"/>
                <w:kern w:val="0"/>
                <w:sz w:val="21"/>
                <w:szCs w:val="21"/>
                <w:highlight w:val="none"/>
                <w:lang w:eastAsia="zh-CN"/>
              </w:rPr>
              <w:t>属地</w:t>
            </w:r>
            <w:r>
              <w:rPr>
                <w:rFonts w:hint="eastAsia" w:ascii="仿宋_GB2312" w:hAnsi="仿宋_GB2312" w:eastAsia="仿宋_GB2312" w:cs="仿宋_GB2312"/>
                <w:color w:val="auto"/>
                <w:kern w:val="0"/>
                <w:sz w:val="21"/>
                <w:szCs w:val="21"/>
                <w:highlight w:val="none"/>
              </w:rPr>
              <w:t>环卫管理0.</w:t>
            </w:r>
            <w:r>
              <w:rPr>
                <w:rFonts w:hint="eastAsia" w:ascii="仿宋_GB2312" w:hAnsi="仿宋_GB2312" w:eastAsia="仿宋_GB2312" w:cs="仿宋_GB2312"/>
                <w:color w:val="auto"/>
                <w:kern w:val="0"/>
                <w:sz w:val="21"/>
                <w:szCs w:val="21"/>
                <w:highlight w:val="none"/>
                <w:lang w:val="en-US" w:eastAsia="zh-CN"/>
              </w:rPr>
              <w:t>2</w:t>
            </w:r>
            <w:r>
              <w:rPr>
                <w:rFonts w:hint="eastAsia" w:ascii="仿宋_GB2312" w:hAnsi="仿宋_GB2312" w:eastAsia="仿宋_GB2312" w:cs="仿宋_GB2312"/>
                <w:color w:val="auto"/>
                <w:kern w:val="0"/>
                <w:sz w:val="21"/>
                <w:szCs w:val="21"/>
                <w:highlight w:val="none"/>
              </w:rPr>
              <w:t>分/处。</w:t>
            </w:r>
          </w:p>
        </w:tc>
        <w:tc>
          <w:tcPr>
            <w:tcW w:w="1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直接扣分，不进行加权</w:t>
            </w:r>
            <w:r>
              <w:rPr>
                <w:rFonts w:hint="eastAsia" w:ascii="仿宋_GB2312" w:hAnsi="仿宋_GB2312" w:eastAsia="仿宋_GB2312" w:cs="仿宋_GB2312"/>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沿街道路果壳箱破损未及时更新的，</w:t>
            </w:r>
            <w:r>
              <w:rPr>
                <w:rFonts w:hint="eastAsia" w:ascii="仿宋_GB2312" w:hAnsi="仿宋_GB2312" w:eastAsia="仿宋_GB2312" w:cs="仿宋_GB2312"/>
                <w:color w:val="auto"/>
                <w:kern w:val="0"/>
                <w:sz w:val="21"/>
                <w:szCs w:val="21"/>
                <w:highlight w:val="none"/>
              </w:rPr>
              <w:t>扣</w:t>
            </w:r>
            <w:r>
              <w:rPr>
                <w:rFonts w:hint="eastAsia" w:ascii="仿宋_GB2312" w:hAnsi="仿宋_GB2312" w:eastAsia="仿宋_GB2312" w:cs="仿宋_GB2312"/>
                <w:color w:val="auto"/>
                <w:kern w:val="0"/>
                <w:sz w:val="21"/>
                <w:szCs w:val="21"/>
                <w:highlight w:val="none"/>
                <w:lang w:eastAsia="zh-CN"/>
              </w:rPr>
              <w:t>属地</w:t>
            </w:r>
            <w:r>
              <w:rPr>
                <w:rFonts w:hint="eastAsia" w:ascii="仿宋_GB2312" w:hAnsi="仿宋_GB2312" w:eastAsia="仿宋_GB2312" w:cs="仿宋_GB2312"/>
                <w:color w:val="auto"/>
                <w:kern w:val="0"/>
                <w:sz w:val="21"/>
                <w:szCs w:val="21"/>
                <w:highlight w:val="none"/>
              </w:rPr>
              <w:t>环卫管理0.</w:t>
            </w:r>
            <w:r>
              <w:rPr>
                <w:rFonts w:hint="eastAsia" w:ascii="仿宋_GB2312" w:hAnsi="仿宋_GB2312" w:eastAsia="仿宋_GB2312" w:cs="仿宋_GB2312"/>
                <w:color w:val="auto"/>
                <w:kern w:val="0"/>
                <w:sz w:val="21"/>
                <w:szCs w:val="21"/>
                <w:highlight w:val="none"/>
                <w:lang w:val="en-US" w:eastAsia="zh-CN"/>
              </w:rPr>
              <w:t>1</w:t>
            </w:r>
            <w:r>
              <w:rPr>
                <w:rFonts w:hint="eastAsia" w:ascii="仿宋_GB2312" w:hAnsi="仿宋_GB2312" w:eastAsia="仿宋_GB2312" w:cs="仿宋_GB2312"/>
                <w:color w:val="auto"/>
                <w:kern w:val="0"/>
                <w:sz w:val="21"/>
                <w:szCs w:val="21"/>
                <w:highlight w:val="none"/>
              </w:rPr>
              <w:t>分/处。</w:t>
            </w:r>
          </w:p>
        </w:tc>
        <w:tc>
          <w:tcPr>
            <w:tcW w:w="1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直接扣分，不进行加权</w:t>
            </w:r>
            <w:r>
              <w:rPr>
                <w:rFonts w:hint="eastAsia" w:ascii="仿宋_GB2312" w:hAnsi="仿宋_GB2312" w:eastAsia="仿宋_GB2312" w:cs="仿宋_GB2312"/>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3"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未按要求设置公厕管理牌和质量监督牌、公厕指示牌缺失</w:t>
            </w:r>
            <w:r>
              <w:rPr>
                <w:rFonts w:hint="eastAsia" w:ascii="仿宋_GB2312" w:hAnsi="仿宋_GB2312" w:eastAsia="仿宋_GB2312" w:cs="仿宋_GB2312"/>
                <w:color w:val="auto"/>
                <w:kern w:val="0"/>
                <w:sz w:val="21"/>
                <w:szCs w:val="21"/>
                <w:highlight w:val="none"/>
                <w:lang w:eastAsia="zh-CN"/>
              </w:rPr>
              <w:t>、破损</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每处扣</w:t>
            </w:r>
            <w:r>
              <w:rPr>
                <w:rFonts w:hint="eastAsia" w:ascii="仿宋_GB2312" w:hAnsi="仿宋_GB2312" w:eastAsia="仿宋_GB2312" w:cs="仿宋_GB2312"/>
                <w:color w:val="auto"/>
                <w:kern w:val="0"/>
                <w:sz w:val="21"/>
                <w:szCs w:val="21"/>
                <w:highlight w:val="none"/>
                <w:lang w:val="en-US" w:eastAsia="zh-CN"/>
              </w:rPr>
              <w:t>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标识标牌</w:t>
            </w:r>
            <w:r>
              <w:rPr>
                <w:rFonts w:hint="eastAsia" w:ascii="仿宋_GB2312" w:hAnsi="仿宋_GB2312" w:eastAsia="仿宋_GB2312" w:cs="仿宋_GB2312"/>
                <w:color w:val="auto"/>
                <w:kern w:val="0"/>
                <w:sz w:val="21"/>
                <w:szCs w:val="21"/>
                <w:highlight w:val="none"/>
                <w:lang w:eastAsia="zh-CN"/>
              </w:rPr>
              <w:t>缺失、</w:t>
            </w:r>
            <w:r>
              <w:rPr>
                <w:rFonts w:hint="eastAsia" w:ascii="仿宋_GB2312" w:hAnsi="仿宋_GB2312" w:eastAsia="仿宋_GB2312" w:cs="仿宋_GB2312"/>
                <w:color w:val="auto"/>
                <w:kern w:val="0"/>
                <w:sz w:val="21"/>
                <w:szCs w:val="21"/>
                <w:highlight w:val="none"/>
              </w:rPr>
              <w:t>设置不规范、破损、残缺、</w:t>
            </w:r>
            <w:r>
              <w:rPr>
                <w:rFonts w:hint="eastAsia" w:ascii="仿宋_GB2312" w:hAnsi="仿宋_GB2312" w:eastAsia="仿宋_GB2312" w:cs="仿宋_GB2312"/>
                <w:color w:val="auto"/>
                <w:kern w:val="0"/>
                <w:sz w:val="21"/>
                <w:szCs w:val="21"/>
                <w:highlight w:val="none"/>
                <w:lang w:eastAsia="zh-CN"/>
              </w:rPr>
              <w:t>每处</w:t>
            </w:r>
            <w:r>
              <w:rPr>
                <w:rFonts w:hint="eastAsia" w:ascii="仿宋_GB2312" w:hAnsi="仿宋_GB2312" w:eastAsia="仿宋_GB2312" w:cs="仿宋_GB2312"/>
                <w:color w:val="auto"/>
                <w:kern w:val="0"/>
                <w:sz w:val="21"/>
                <w:szCs w:val="21"/>
                <w:highlight w:val="none"/>
              </w:rPr>
              <w:t>扣0.</w:t>
            </w:r>
            <w:r>
              <w:rPr>
                <w:rFonts w:hint="eastAsia" w:ascii="仿宋_GB2312" w:hAnsi="仿宋_GB2312" w:eastAsia="仿宋_GB2312" w:cs="仿宋_GB2312"/>
                <w:color w:val="auto"/>
                <w:kern w:val="0"/>
                <w:sz w:val="21"/>
                <w:szCs w:val="21"/>
                <w:highlight w:val="none"/>
                <w:lang w:val="en-US" w:eastAsia="zh-CN"/>
              </w:rPr>
              <w:t>5</w:t>
            </w:r>
            <w:r>
              <w:rPr>
                <w:rFonts w:hint="eastAsia" w:ascii="仿宋_GB2312" w:hAnsi="仿宋_GB2312" w:eastAsia="仿宋_GB2312" w:cs="仿宋_GB2312"/>
                <w:color w:val="auto"/>
                <w:kern w:val="0"/>
                <w:sz w:val="21"/>
                <w:szCs w:val="21"/>
                <w:highlight w:val="none"/>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2"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地面</w:t>
            </w:r>
            <w:r>
              <w:rPr>
                <w:rFonts w:hint="eastAsia" w:ascii="仿宋_GB2312" w:hAnsi="仿宋_GB2312" w:eastAsia="仿宋_GB2312" w:cs="仿宋_GB2312"/>
                <w:color w:val="auto"/>
                <w:kern w:val="0"/>
                <w:sz w:val="21"/>
                <w:szCs w:val="21"/>
                <w:highlight w:val="none"/>
                <w:lang w:eastAsia="zh-CN"/>
              </w:rPr>
              <w:t>、台面</w:t>
            </w:r>
            <w:r>
              <w:rPr>
                <w:rFonts w:hint="eastAsia" w:ascii="仿宋_GB2312" w:hAnsi="仿宋_GB2312" w:eastAsia="仿宋_GB2312" w:cs="仿宋_GB2312"/>
                <w:color w:val="auto"/>
                <w:kern w:val="0"/>
                <w:sz w:val="21"/>
                <w:szCs w:val="21"/>
                <w:highlight w:val="none"/>
              </w:rPr>
              <w:t>积水，地面</w:t>
            </w:r>
            <w:r>
              <w:rPr>
                <w:rFonts w:hint="eastAsia" w:ascii="仿宋_GB2312" w:hAnsi="仿宋_GB2312" w:eastAsia="仿宋_GB2312" w:cs="仿宋_GB2312"/>
                <w:color w:val="auto"/>
                <w:kern w:val="0"/>
                <w:sz w:val="21"/>
                <w:szCs w:val="21"/>
                <w:highlight w:val="none"/>
                <w:lang w:eastAsia="zh-CN"/>
              </w:rPr>
              <w:t>、台面、</w:t>
            </w:r>
            <w:r>
              <w:rPr>
                <w:rFonts w:hint="eastAsia" w:ascii="仿宋_GB2312" w:hAnsi="仿宋_GB2312" w:eastAsia="仿宋_GB2312" w:cs="仿宋_GB2312"/>
                <w:color w:val="auto"/>
                <w:kern w:val="0"/>
                <w:sz w:val="21"/>
                <w:szCs w:val="21"/>
                <w:highlight w:val="none"/>
              </w:rPr>
              <w:t>厕位、墙面、</w:t>
            </w:r>
            <w:r>
              <w:rPr>
                <w:rFonts w:hint="eastAsia" w:ascii="仿宋_GB2312" w:hAnsi="仿宋_GB2312" w:eastAsia="仿宋_GB2312" w:cs="仿宋_GB2312"/>
                <w:color w:val="auto"/>
                <w:sz w:val="21"/>
                <w:szCs w:val="21"/>
                <w:highlight w:val="none"/>
              </w:rPr>
              <w:t>门窗、</w:t>
            </w:r>
            <w:r>
              <w:rPr>
                <w:rFonts w:hint="eastAsia" w:ascii="仿宋_GB2312" w:hAnsi="仿宋_GB2312" w:eastAsia="仿宋_GB2312" w:cs="仿宋_GB2312"/>
                <w:color w:val="auto"/>
                <w:kern w:val="0"/>
                <w:sz w:val="21"/>
                <w:szCs w:val="21"/>
                <w:highlight w:val="none"/>
              </w:rPr>
              <w:t>设施设备不洁</w:t>
            </w:r>
            <w:r>
              <w:rPr>
                <w:rFonts w:hint="eastAsia" w:ascii="仿宋_GB2312" w:hAnsi="仿宋_GB2312" w:eastAsia="仿宋_GB2312" w:cs="仿宋_GB2312"/>
                <w:color w:val="auto"/>
                <w:sz w:val="21"/>
                <w:szCs w:val="21"/>
                <w:highlight w:val="none"/>
                <w:lang w:eastAsia="zh-CN"/>
              </w:rPr>
              <w:t>每处</w:t>
            </w:r>
            <w:r>
              <w:rPr>
                <w:rFonts w:hint="eastAsia" w:ascii="仿宋_GB2312" w:hAnsi="仿宋_GB2312" w:eastAsia="仿宋_GB2312" w:cs="仿宋_GB2312"/>
                <w:color w:val="auto"/>
                <w:sz w:val="21"/>
                <w:szCs w:val="21"/>
                <w:highlight w:val="none"/>
              </w:rPr>
              <w:t>扣</w:t>
            </w:r>
            <w:r>
              <w:rPr>
                <w:rFonts w:hint="eastAsia" w:ascii="仿宋_GB2312" w:hAnsi="仿宋_GB2312" w:eastAsia="仿宋_GB2312" w:cs="仿宋_GB2312"/>
                <w:color w:val="auto"/>
                <w:sz w:val="21"/>
                <w:szCs w:val="21"/>
                <w:highlight w:val="none"/>
                <w:lang w:val="en-US" w:eastAsia="zh-CN"/>
              </w:rPr>
              <w:t>0.5</w:t>
            </w:r>
            <w:r>
              <w:rPr>
                <w:rFonts w:hint="eastAsia" w:ascii="仿宋_GB2312" w:hAnsi="仿宋_GB2312" w:eastAsia="仿宋_GB2312" w:cs="仿宋_GB2312"/>
                <w:color w:val="auto"/>
                <w:sz w:val="21"/>
                <w:szCs w:val="21"/>
                <w:highlight w:val="none"/>
              </w:rPr>
              <w:t>分</w:t>
            </w:r>
            <w:r>
              <w:rPr>
                <w:rFonts w:hint="eastAsia" w:ascii="仿宋_GB2312" w:hAnsi="仿宋_GB2312" w:eastAsia="仿宋_GB2312" w:cs="仿宋_GB2312"/>
                <w:color w:val="auto"/>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9"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未免费向公众提供洗手液和手纸服务，</w:t>
            </w:r>
            <w:r>
              <w:rPr>
                <w:rFonts w:hint="eastAsia" w:ascii="仿宋_GB2312" w:hAnsi="仿宋_GB2312" w:eastAsia="仿宋_GB2312" w:cs="仿宋_GB2312"/>
                <w:color w:val="auto"/>
                <w:sz w:val="21"/>
                <w:szCs w:val="21"/>
                <w:highlight w:val="none"/>
                <w:lang w:eastAsia="zh-CN"/>
              </w:rPr>
              <w:t>每次</w:t>
            </w:r>
            <w:r>
              <w:rPr>
                <w:rFonts w:hint="eastAsia" w:ascii="仿宋_GB2312" w:hAnsi="仿宋_GB2312" w:eastAsia="仿宋_GB2312" w:cs="仿宋_GB2312"/>
                <w:color w:val="auto"/>
                <w:sz w:val="21"/>
                <w:szCs w:val="21"/>
                <w:highlight w:val="none"/>
              </w:rPr>
              <w:t>扣</w:t>
            </w: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分</w:t>
            </w:r>
            <w:r>
              <w:rPr>
                <w:rFonts w:hint="eastAsia" w:ascii="仿宋_GB2312" w:hAnsi="仿宋_GB2312" w:eastAsia="仿宋_GB2312" w:cs="仿宋_GB2312"/>
                <w:color w:val="auto"/>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pacing w:val="-6"/>
                <w:kern w:val="2"/>
                <w:sz w:val="21"/>
                <w:szCs w:val="21"/>
                <w:highlight w:val="none"/>
                <w:lang w:val="en-US" w:eastAsia="zh-CN" w:bidi="ar-SA"/>
              </w:rPr>
            </w:pPr>
            <w:r>
              <w:rPr>
                <w:rFonts w:hint="eastAsia" w:ascii="仿宋_GB2312" w:hAnsi="仿宋_GB2312" w:eastAsia="仿宋_GB2312" w:cs="仿宋_GB2312"/>
                <w:color w:val="auto"/>
                <w:spacing w:val="-11"/>
                <w:kern w:val="0"/>
                <w:sz w:val="21"/>
                <w:szCs w:val="21"/>
                <w:highlight w:val="none"/>
                <w:lang w:eastAsia="zh-CN"/>
              </w:rPr>
              <w:t>公厕</w:t>
            </w:r>
            <w:r>
              <w:rPr>
                <w:rFonts w:hint="eastAsia" w:ascii="仿宋_GB2312" w:hAnsi="仿宋_GB2312" w:eastAsia="仿宋_GB2312" w:cs="仿宋_GB2312"/>
                <w:color w:val="auto"/>
                <w:spacing w:val="-11"/>
                <w:kern w:val="0"/>
                <w:sz w:val="21"/>
                <w:szCs w:val="21"/>
                <w:highlight w:val="none"/>
              </w:rPr>
              <w:t>有明显臭味，</w:t>
            </w:r>
            <w:r>
              <w:rPr>
                <w:rFonts w:hint="eastAsia" w:ascii="仿宋_GB2312" w:hAnsi="仿宋_GB2312" w:eastAsia="仿宋_GB2312" w:cs="仿宋_GB2312"/>
                <w:color w:val="auto"/>
                <w:spacing w:val="-11"/>
                <w:kern w:val="0"/>
                <w:sz w:val="21"/>
                <w:szCs w:val="21"/>
                <w:highlight w:val="none"/>
                <w:lang w:eastAsia="zh-CN"/>
              </w:rPr>
              <w:t>每次扣</w:t>
            </w:r>
            <w:r>
              <w:rPr>
                <w:rFonts w:hint="eastAsia" w:ascii="仿宋_GB2312" w:hAnsi="仿宋_GB2312" w:eastAsia="仿宋_GB2312" w:cs="仿宋_GB2312"/>
                <w:color w:val="auto"/>
                <w:spacing w:val="-11"/>
                <w:kern w:val="0"/>
                <w:sz w:val="21"/>
                <w:szCs w:val="21"/>
                <w:highlight w:val="none"/>
                <w:lang w:val="en-US" w:eastAsia="zh-CN"/>
              </w:rPr>
              <w:t>1</w:t>
            </w:r>
            <w:r>
              <w:rPr>
                <w:rFonts w:hint="eastAsia" w:ascii="仿宋_GB2312" w:hAnsi="仿宋_GB2312" w:eastAsia="仿宋_GB2312" w:cs="仿宋_GB2312"/>
                <w:color w:val="auto"/>
                <w:spacing w:val="-11"/>
                <w:kern w:val="0"/>
                <w:sz w:val="21"/>
                <w:szCs w:val="21"/>
                <w:highlight w:val="none"/>
              </w:rPr>
              <w:t>分</w:t>
            </w:r>
            <w:r>
              <w:rPr>
                <w:rFonts w:hint="eastAsia" w:ascii="仿宋_GB2312" w:hAnsi="仿宋_GB2312" w:eastAsia="仿宋_GB2312" w:cs="仿宋_GB2312"/>
                <w:color w:val="auto"/>
                <w:spacing w:val="-11"/>
                <w:kern w:val="0"/>
                <w:sz w:val="21"/>
                <w:szCs w:val="21"/>
                <w:highlight w:val="none"/>
                <w:lang w:eastAsia="zh-CN"/>
              </w:rPr>
              <w:t>；</w:t>
            </w:r>
            <w:r>
              <w:rPr>
                <w:rFonts w:hint="eastAsia" w:ascii="仿宋_GB2312" w:hAnsi="仿宋_GB2312" w:eastAsia="仿宋_GB2312" w:cs="仿宋_GB2312"/>
                <w:color w:val="auto"/>
                <w:spacing w:val="-11"/>
                <w:sz w:val="21"/>
                <w:szCs w:val="21"/>
                <w:highlight w:val="none"/>
              </w:rPr>
              <w:t>已设置除臭设备未开启</w:t>
            </w:r>
            <w:r>
              <w:rPr>
                <w:rFonts w:hint="eastAsia" w:ascii="仿宋_GB2312" w:hAnsi="仿宋_GB2312" w:eastAsia="仿宋_GB2312" w:cs="仿宋_GB2312"/>
                <w:color w:val="auto"/>
                <w:spacing w:val="-11"/>
                <w:sz w:val="21"/>
                <w:szCs w:val="21"/>
                <w:highlight w:val="none"/>
                <w:lang w:eastAsia="zh-CN"/>
              </w:rPr>
              <w:t>的每次扣</w:t>
            </w:r>
            <w:r>
              <w:rPr>
                <w:rFonts w:hint="eastAsia" w:ascii="仿宋_GB2312" w:hAnsi="仿宋_GB2312" w:eastAsia="仿宋_GB2312" w:cs="仿宋_GB2312"/>
                <w:color w:val="auto"/>
                <w:spacing w:val="-11"/>
                <w:sz w:val="21"/>
                <w:szCs w:val="21"/>
                <w:highlight w:val="none"/>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疫情期间，未按要求落实</w:t>
            </w:r>
            <w:r>
              <w:rPr>
                <w:rFonts w:hint="eastAsia" w:ascii="仿宋_GB2312" w:hAnsi="仿宋_GB2312" w:eastAsia="仿宋_GB2312" w:cs="仿宋_GB2312"/>
                <w:color w:val="auto"/>
                <w:kern w:val="0"/>
                <w:sz w:val="21"/>
                <w:szCs w:val="21"/>
                <w:highlight w:val="none"/>
                <w:lang w:eastAsia="zh-CN"/>
              </w:rPr>
              <w:t>每日</w:t>
            </w:r>
            <w:r>
              <w:rPr>
                <w:rFonts w:hint="eastAsia" w:ascii="仿宋_GB2312" w:hAnsi="仿宋_GB2312" w:eastAsia="仿宋_GB2312" w:cs="仿宋_GB2312"/>
                <w:color w:val="auto"/>
                <w:kern w:val="0"/>
                <w:sz w:val="21"/>
                <w:szCs w:val="21"/>
                <w:highlight w:val="none"/>
                <w:lang w:val="en-US" w:eastAsia="zh-CN"/>
              </w:rPr>
              <w:t>2次</w:t>
            </w:r>
            <w:r>
              <w:rPr>
                <w:rFonts w:hint="eastAsia" w:ascii="仿宋_GB2312" w:hAnsi="仿宋_GB2312" w:eastAsia="仿宋_GB2312" w:cs="仿宋_GB2312"/>
                <w:color w:val="auto"/>
                <w:kern w:val="0"/>
                <w:sz w:val="21"/>
                <w:szCs w:val="21"/>
                <w:highlight w:val="none"/>
              </w:rPr>
              <w:t>消杀的，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8"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spacing w:val="-11"/>
                <w:kern w:val="0"/>
                <w:sz w:val="21"/>
                <w:szCs w:val="21"/>
                <w:highlight w:val="none"/>
                <w:lang w:eastAsia="zh-CN"/>
              </w:rPr>
              <w:t>公厕大厅未设置分类垃圾桶（其他垃圾、可回收物），垃圾桶或纸篓满溢（超过</w:t>
            </w:r>
            <w:r>
              <w:rPr>
                <w:rFonts w:hint="eastAsia" w:ascii="仿宋_GB2312" w:hAnsi="仿宋_GB2312" w:eastAsia="仿宋_GB2312" w:cs="仿宋_GB2312"/>
                <w:color w:val="auto"/>
                <w:spacing w:val="-11"/>
                <w:kern w:val="0"/>
                <w:sz w:val="21"/>
                <w:szCs w:val="21"/>
                <w:highlight w:val="none"/>
                <w:lang w:val="en-US" w:eastAsia="zh-CN"/>
              </w:rPr>
              <w:t>2/3</w:t>
            </w:r>
            <w:r>
              <w:rPr>
                <w:rFonts w:hint="eastAsia" w:ascii="仿宋_GB2312" w:hAnsi="仿宋_GB2312" w:eastAsia="仿宋_GB2312" w:cs="仿宋_GB2312"/>
                <w:color w:val="auto"/>
                <w:spacing w:val="-11"/>
                <w:kern w:val="0"/>
                <w:sz w:val="21"/>
                <w:szCs w:val="21"/>
                <w:highlight w:val="none"/>
                <w:lang w:eastAsia="zh-CN"/>
              </w:rPr>
              <w:t>），疫情期间未按要求落实一客一清，每次扣0.5分。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2"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未设置“五彩工具间”</w:t>
            </w:r>
            <w:r>
              <w:rPr>
                <w:rFonts w:hint="eastAsia" w:ascii="仿宋_GB2312" w:hAnsi="仿宋_GB2312" w:eastAsia="仿宋_GB2312" w:cs="仿宋_GB2312"/>
                <w:color w:val="auto"/>
                <w:kern w:val="0"/>
                <w:sz w:val="21"/>
                <w:szCs w:val="21"/>
                <w:highlight w:val="none"/>
                <w:lang w:eastAsia="zh-CN"/>
              </w:rPr>
              <w:t>，</w:t>
            </w:r>
            <w:r>
              <w:rPr>
                <w:rFonts w:hint="eastAsia" w:ascii="仿宋_GB2312" w:hAnsi="仿宋_GB2312" w:eastAsia="仿宋_GB2312" w:cs="仿宋_GB2312"/>
                <w:color w:val="auto"/>
                <w:sz w:val="21"/>
                <w:szCs w:val="21"/>
                <w:highlight w:val="none"/>
              </w:rPr>
              <w:t>保洁拖把、抹布等工具摆放无序</w:t>
            </w:r>
            <w:r>
              <w:rPr>
                <w:rFonts w:hint="eastAsia" w:ascii="仿宋_GB2312" w:hAnsi="仿宋_GB2312" w:eastAsia="仿宋_GB2312" w:cs="仿宋_GB2312"/>
                <w:color w:val="auto"/>
                <w:sz w:val="21"/>
                <w:szCs w:val="21"/>
                <w:highlight w:val="none"/>
                <w:lang w:eastAsia="zh-CN"/>
              </w:rPr>
              <w:t>，每次扣</w:t>
            </w:r>
            <w:r>
              <w:rPr>
                <w:rFonts w:hint="eastAsia" w:ascii="仿宋_GB2312" w:hAnsi="仿宋_GB2312" w:eastAsia="仿宋_GB2312" w:cs="仿宋_GB2312"/>
                <w:color w:val="auto"/>
                <w:sz w:val="21"/>
                <w:szCs w:val="21"/>
                <w:highlight w:val="none"/>
                <w:lang w:val="en-US" w:eastAsia="zh-CN"/>
              </w:rPr>
              <w:t>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0"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私拉电线、乱接插头插座、裸露接线</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电瓶车充电、使用1200W</w:t>
            </w:r>
            <w:r>
              <w:rPr>
                <w:rFonts w:hint="eastAsia" w:ascii="仿宋_GB2312" w:hAnsi="仿宋_GB2312" w:eastAsia="仿宋_GB2312" w:cs="仿宋_GB2312"/>
                <w:color w:val="auto"/>
                <w:sz w:val="21"/>
                <w:szCs w:val="21"/>
                <w:highlight w:val="none"/>
                <w:lang w:eastAsia="zh-CN"/>
              </w:rPr>
              <w:t>以上</w:t>
            </w:r>
            <w:r>
              <w:rPr>
                <w:rFonts w:hint="eastAsia" w:ascii="仿宋_GB2312" w:hAnsi="仿宋_GB2312" w:eastAsia="仿宋_GB2312" w:cs="仿宋_GB2312"/>
                <w:color w:val="auto"/>
                <w:sz w:val="21"/>
                <w:szCs w:val="21"/>
                <w:highlight w:val="none"/>
              </w:rPr>
              <w:t>的大功率电器（电热毯、电暖炉、热得快等）、存放汽油、酒精等易燃、易爆物品</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发现饮酒、打牌等行为的，</w:t>
            </w:r>
            <w:r>
              <w:rPr>
                <w:rFonts w:hint="eastAsia" w:ascii="仿宋_GB2312" w:hAnsi="仿宋_GB2312" w:eastAsia="仿宋_GB2312" w:cs="仿宋_GB2312"/>
                <w:color w:val="auto"/>
                <w:sz w:val="21"/>
                <w:szCs w:val="21"/>
                <w:highlight w:val="none"/>
                <w:lang w:eastAsia="zh-CN"/>
              </w:rPr>
              <w:t>每次</w:t>
            </w:r>
            <w:r>
              <w:rPr>
                <w:rFonts w:hint="eastAsia" w:ascii="仿宋_GB2312" w:hAnsi="仿宋_GB2312" w:eastAsia="仿宋_GB2312" w:cs="仿宋_GB2312"/>
                <w:color w:val="auto"/>
                <w:sz w:val="21"/>
                <w:szCs w:val="21"/>
                <w:highlight w:val="none"/>
              </w:rPr>
              <w:t>扣</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分</w:t>
            </w:r>
            <w:r>
              <w:rPr>
                <w:rFonts w:hint="eastAsia" w:ascii="仿宋_GB2312" w:hAnsi="仿宋_GB2312" w:eastAsia="仿宋_GB2312" w:cs="仿宋_GB2312"/>
                <w:color w:val="auto"/>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spacing w:val="-6"/>
                <w:kern w:val="0"/>
                <w:sz w:val="21"/>
                <w:szCs w:val="21"/>
                <w:highlight w:val="none"/>
              </w:rPr>
              <w:t>按保洁作业时间落实保洁，未落实专职保洁员，</w:t>
            </w:r>
            <w:r>
              <w:rPr>
                <w:rFonts w:hint="eastAsia" w:ascii="仿宋_GB2312" w:hAnsi="仿宋_GB2312" w:eastAsia="仿宋_GB2312" w:cs="仿宋_GB2312"/>
                <w:color w:val="auto"/>
                <w:spacing w:val="-6"/>
                <w:kern w:val="0"/>
                <w:sz w:val="21"/>
                <w:szCs w:val="21"/>
                <w:highlight w:val="none"/>
                <w:lang w:eastAsia="zh-CN"/>
              </w:rPr>
              <w:t>高标准</w:t>
            </w:r>
            <w:r>
              <w:rPr>
                <w:rFonts w:hint="eastAsia" w:ascii="仿宋_GB2312" w:hAnsi="仿宋_GB2312" w:eastAsia="仿宋_GB2312" w:cs="仿宋_GB2312"/>
                <w:color w:val="auto"/>
                <w:spacing w:val="-6"/>
                <w:kern w:val="0"/>
                <w:sz w:val="21"/>
                <w:szCs w:val="21"/>
                <w:highlight w:val="none"/>
              </w:rPr>
              <w:t>公厕未实行男、女分设保洁管理；保洁员脱岗，扣2分/处。</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管理房摆放杂乱无序</w:t>
            </w:r>
            <w:r>
              <w:rPr>
                <w:rFonts w:hint="eastAsia" w:ascii="仿宋_GB2312" w:hAnsi="仿宋_GB2312" w:eastAsia="仿宋_GB2312" w:cs="仿宋_GB2312"/>
                <w:color w:val="auto"/>
                <w:kern w:val="0"/>
                <w:sz w:val="21"/>
                <w:szCs w:val="21"/>
                <w:highlight w:val="none"/>
                <w:lang w:eastAsia="zh-CN"/>
              </w:rPr>
              <w:t>、</w:t>
            </w:r>
            <w:r>
              <w:rPr>
                <w:rFonts w:hint="eastAsia" w:ascii="仿宋_GB2312" w:hAnsi="仿宋_GB2312" w:eastAsia="仿宋_GB2312" w:cs="仿宋_GB2312"/>
                <w:color w:val="auto"/>
                <w:kern w:val="0"/>
                <w:sz w:val="21"/>
                <w:szCs w:val="21"/>
                <w:highlight w:val="none"/>
              </w:rPr>
              <w:t>不整洁，</w:t>
            </w:r>
            <w:r>
              <w:rPr>
                <w:rFonts w:hint="eastAsia" w:ascii="仿宋_GB2312" w:hAnsi="仿宋_GB2312" w:eastAsia="仿宋_GB2312" w:cs="仿宋_GB2312"/>
                <w:color w:val="auto"/>
                <w:kern w:val="0"/>
                <w:sz w:val="21"/>
                <w:szCs w:val="21"/>
                <w:highlight w:val="none"/>
                <w:lang w:eastAsia="zh-CN"/>
              </w:rPr>
              <w:t>灭火器缺失过期的，</w:t>
            </w:r>
            <w:r>
              <w:rPr>
                <w:rFonts w:hint="eastAsia" w:ascii="仿宋_GB2312" w:hAnsi="仿宋_GB2312" w:eastAsia="仿宋_GB2312" w:cs="仿宋_GB2312"/>
                <w:color w:val="auto"/>
                <w:sz w:val="21"/>
                <w:szCs w:val="21"/>
                <w:highlight w:val="none"/>
                <w:lang w:eastAsia="zh-CN"/>
              </w:rPr>
              <w:t>每次</w:t>
            </w:r>
            <w:r>
              <w:rPr>
                <w:rFonts w:hint="eastAsia" w:ascii="仿宋_GB2312" w:hAnsi="仿宋_GB2312" w:eastAsia="仿宋_GB2312" w:cs="仿宋_GB2312"/>
                <w:color w:val="auto"/>
                <w:sz w:val="21"/>
                <w:szCs w:val="21"/>
                <w:highlight w:val="none"/>
              </w:rPr>
              <w:t>扣</w:t>
            </w:r>
            <w:r>
              <w:rPr>
                <w:rFonts w:hint="eastAsia" w:ascii="仿宋_GB2312" w:hAnsi="仿宋_GB2312" w:eastAsia="仿宋_GB2312" w:cs="仿宋_GB2312"/>
                <w:color w:val="auto"/>
                <w:sz w:val="21"/>
                <w:szCs w:val="21"/>
                <w:highlight w:val="none"/>
                <w:lang w:val="en-US" w:eastAsia="zh-CN"/>
              </w:rPr>
              <w:t>0.5</w:t>
            </w:r>
            <w:r>
              <w:rPr>
                <w:rFonts w:hint="eastAsia" w:ascii="仿宋_GB2312" w:hAnsi="仿宋_GB2312" w:eastAsia="仿宋_GB2312" w:cs="仿宋_GB2312"/>
                <w:color w:val="auto"/>
                <w:sz w:val="21"/>
                <w:szCs w:val="21"/>
                <w:highlight w:val="none"/>
              </w:rPr>
              <w:t>分</w:t>
            </w:r>
            <w:r>
              <w:rPr>
                <w:rFonts w:hint="eastAsia" w:ascii="仿宋_GB2312" w:hAnsi="仿宋_GB2312" w:eastAsia="仿宋_GB2312" w:cs="仿宋_GB2312"/>
                <w:color w:val="auto"/>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公厕内</w:t>
            </w:r>
            <w:r>
              <w:rPr>
                <w:rFonts w:hint="eastAsia" w:ascii="仿宋_GB2312" w:hAnsi="仿宋_GB2312" w:eastAsia="仿宋_GB2312" w:cs="仿宋_GB2312"/>
                <w:color w:val="auto"/>
                <w:kern w:val="0"/>
                <w:sz w:val="21"/>
                <w:szCs w:val="21"/>
                <w:highlight w:val="none"/>
              </w:rPr>
              <w:t>设施缺失、破损，</w:t>
            </w:r>
            <w:r>
              <w:rPr>
                <w:rFonts w:hint="eastAsia" w:ascii="仿宋_GB2312" w:hAnsi="仿宋_GB2312" w:eastAsia="仿宋_GB2312" w:cs="仿宋_GB2312"/>
                <w:color w:val="auto"/>
                <w:kern w:val="0"/>
                <w:sz w:val="21"/>
                <w:szCs w:val="21"/>
                <w:highlight w:val="none"/>
                <w:lang w:eastAsia="zh-CN"/>
              </w:rPr>
              <w:t>每处</w:t>
            </w:r>
            <w:r>
              <w:rPr>
                <w:rFonts w:hint="eastAsia" w:ascii="仿宋_GB2312" w:hAnsi="仿宋_GB2312" w:eastAsia="仿宋_GB2312" w:cs="仿宋_GB2312"/>
                <w:color w:val="auto"/>
                <w:kern w:val="0"/>
                <w:sz w:val="21"/>
                <w:szCs w:val="21"/>
                <w:highlight w:val="none"/>
              </w:rPr>
              <w:t>0.</w:t>
            </w:r>
            <w:r>
              <w:rPr>
                <w:rFonts w:hint="eastAsia" w:ascii="仿宋_GB2312" w:hAnsi="仿宋_GB2312" w:eastAsia="仿宋_GB2312" w:cs="仿宋_GB2312"/>
                <w:color w:val="auto"/>
                <w:kern w:val="0"/>
                <w:sz w:val="21"/>
                <w:szCs w:val="21"/>
                <w:highlight w:val="none"/>
                <w:lang w:val="en-US" w:eastAsia="zh-CN"/>
              </w:rPr>
              <w:t>5</w:t>
            </w:r>
            <w:r>
              <w:rPr>
                <w:rFonts w:hint="eastAsia" w:ascii="仿宋_GB2312" w:hAnsi="仿宋_GB2312" w:eastAsia="仿宋_GB2312" w:cs="仿宋_GB2312"/>
                <w:color w:val="auto"/>
                <w:kern w:val="0"/>
                <w:sz w:val="21"/>
                <w:szCs w:val="21"/>
                <w:highlight w:val="none"/>
              </w:rPr>
              <w:t>分/处。无障碍通道不能正常使用，</w:t>
            </w:r>
            <w:r>
              <w:rPr>
                <w:rFonts w:hint="eastAsia" w:ascii="仿宋_GB2312" w:hAnsi="仿宋_GB2312" w:eastAsia="仿宋_GB2312" w:cs="仿宋_GB2312"/>
                <w:color w:val="auto"/>
                <w:kern w:val="0"/>
                <w:sz w:val="21"/>
                <w:szCs w:val="21"/>
                <w:highlight w:val="none"/>
                <w:lang w:eastAsia="zh-CN"/>
              </w:rPr>
              <w:t>每处</w:t>
            </w:r>
            <w:r>
              <w:rPr>
                <w:rFonts w:hint="eastAsia" w:ascii="仿宋_GB2312" w:hAnsi="仿宋_GB2312" w:eastAsia="仿宋_GB2312" w:cs="仿宋_GB2312"/>
                <w:color w:val="auto"/>
                <w:kern w:val="0"/>
                <w:sz w:val="21"/>
                <w:szCs w:val="21"/>
                <w:highlight w:val="none"/>
              </w:rPr>
              <w:t>扣1分。</w:t>
            </w:r>
          </w:p>
        </w:tc>
        <w:tc>
          <w:tcPr>
            <w:tcW w:w="13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kern w:val="0"/>
                <w:sz w:val="21"/>
                <w:szCs w:val="21"/>
                <w:highlight w:val="none"/>
              </w:rPr>
              <w:t>设备破损需维修的，第一时间落实报备</w:t>
            </w:r>
            <w:r>
              <w:rPr>
                <w:rFonts w:hint="eastAsia" w:ascii="仿宋_GB2312" w:hAnsi="仿宋_GB2312" w:eastAsia="仿宋_GB2312" w:cs="仿宋_GB2312"/>
                <w:color w:val="auto"/>
                <w:kern w:val="0"/>
                <w:sz w:val="21"/>
                <w:szCs w:val="21"/>
                <w:highlight w:val="none"/>
                <w:lang w:eastAsia="zh-CN"/>
              </w:rPr>
              <w:t>、</w:t>
            </w:r>
            <w:r>
              <w:rPr>
                <w:rFonts w:hint="eastAsia" w:ascii="仿宋_GB2312" w:hAnsi="仿宋_GB2312" w:eastAsia="仿宋_GB2312" w:cs="仿宋_GB2312"/>
                <w:color w:val="auto"/>
                <w:sz w:val="21"/>
                <w:szCs w:val="21"/>
                <w:highlight w:val="none"/>
              </w:rPr>
              <w:t>公示</w:t>
            </w:r>
            <w:r>
              <w:rPr>
                <w:rFonts w:hint="eastAsia" w:ascii="仿宋_GB2312" w:hAnsi="仿宋_GB2312" w:eastAsia="仿宋_GB2312" w:cs="仿宋_GB2312"/>
                <w:color w:val="auto"/>
                <w:sz w:val="21"/>
                <w:szCs w:val="21"/>
                <w:highlight w:val="none"/>
                <w:lang w:eastAsia="zh-CN"/>
              </w:rPr>
              <w:t>，一个工作日修复到</w:t>
            </w:r>
            <w:r>
              <w:rPr>
                <w:rFonts w:hint="eastAsia" w:ascii="仿宋_GB2312" w:hAnsi="仿宋_GB2312" w:eastAsia="仿宋_GB2312" w:cs="仿宋_GB2312"/>
                <w:color w:val="auto"/>
                <w:sz w:val="21"/>
                <w:szCs w:val="21"/>
                <w:highlight w:val="none"/>
              </w:rPr>
              <w:t>位免于扣分</w:t>
            </w:r>
            <w:r>
              <w:rPr>
                <w:rFonts w:hint="eastAsia" w:ascii="仿宋_GB2312" w:hAnsi="仿宋_GB2312" w:eastAsia="仿宋_GB2312" w:cs="仿宋_GB2312"/>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未经审核同意，无故关闭公厕，</w:t>
            </w:r>
            <w:r>
              <w:rPr>
                <w:rFonts w:hint="eastAsia" w:ascii="仿宋_GB2312" w:hAnsi="仿宋_GB2312" w:eastAsia="仿宋_GB2312" w:cs="仿宋_GB2312"/>
                <w:color w:val="auto"/>
                <w:kern w:val="0"/>
                <w:sz w:val="21"/>
                <w:szCs w:val="21"/>
                <w:highlight w:val="none"/>
                <w:lang w:eastAsia="zh-CN"/>
              </w:rPr>
              <w:t>每次扣</w:t>
            </w:r>
            <w:r>
              <w:rPr>
                <w:rFonts w:hint="eastAsia" w:ascii="仿宋_GB2312" w:hAnsi="仿宋_GB2312" w:eastAsia="仿宋_GB2312" w:cs="仿宋_GB2312"/>
                <w:color w:val="auto"/>
                <w:kern w:val="0"/>
                <w:sz w:val="21"/>
                <w:szCs w:val="21"/>
                <w:highlight w:val="none"/>
                <w:lang w:val="en-US" w:eastAsia="zh-CN"/>
              </w:rPr>
              <w:t>3分；</w:t>
            </w:r>
            <w:r>
              <w:rPr>
                <w:rFonts w:hint="eastAsia" w:ascii="仿宋_GB2312" w:hAnsi="仿宋_GB2312" w:eastAsia="仿宋_GB2312" w:cs="仿宋_GB2312"/>
                <w:color w:val="auto"/>
                <w:sz w:val="21"/>
                <w:szCs w:val="21"/>
                <w:highlight w:val="none"/>
              </w:rPr>
              <w:t>无故关闭第三卫生间、无障碍间、男女厕位</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每次扣</w:t>
            </w:r>
            <w:r>
              <w:rPr>
                <w:rFonts w:hint="eastAsia" w:ascii="仿宋_GB2312" w:hAnsi="仿宋_GB2312" w:eastAsia="仿宋_GB2312" w:cs="仿宋_GB2312"/>
                <w:color w:val="auto"/>
                <w:kern w:val="0"/>
                <w:sz w:val="21"/>
                <w:szCs w:val="21"/>
                <w:highlight w:val="none"/>
                <w:lang w:val="en-US" w:eastAsia="zh-CN"/>
              </w:rPr>
              <w:t>1分</w:t>
            </w:r>
            <w:r>
              <w:rPr>
                <w:rFonts w:hint="eastAsia" w:ascii="仿宋_GB2312" w:hAnsi="仿宋_GB2312" w:eastAsia="仿宋_GB2312" w:cs="仿宋_GB2312"/>
                <w:color w:val="auto"/>
                <w:kern w:val="0"/>
                <w:sz w:val="21"/>
                <w:szCs w:val="21"/>
                <w:highlight w:val="none"/>
              </w:rPr>
              <w:t>。</w:t>
            </w:r>
          </w:p>
        </w:tc>
        <w:tc>
          <w:tcPr>
            <w:tcW w:w="13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4"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合同履约（</w:t>
            </w:r>
            <w:r>
              <w:rPr>
                <w:rFonts w:hint="eastAsia" w:ascii="仿宋_GB2312" w:hAnsi="仿宋_GB2312" w:eastAsia="仿宋_GB2312" w:cs="仿宋_GB2312"/>
                <w:color w:val="auto"/>
                <w:sz w:val="21"/>
                <w:szCs w:val="21"/>
                <w:highlight w:val="none"/>
                <w:lang w:val="en-US" w:eastAsia="zh-CN"/>
              </w:rPr>
              <w:t>20</w:t>
            </w:r>
            <w:r>
              <w:rPr>
                <w:rFonts w:hint="eastAsia" w:ascii="仿宋_GB2312" w:hAnsi="仿宋_GB2312" w:eastAsia="仿宋_GB2312" w:cs="仿宋_GB2312"/>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rPr>
              <w:t>管理团队主要负责人到位情况与投标文件及合同约定不一致的，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扣1分；管理团队技术负责人等骨干人员到位情况与投标文件及合同约定不一致的，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扣0.</w:t>
            </w:r>
            <w:r>
              <w:rPr>
                <w:rFonts w:hint="eastAsia" w:ascii="仿宋_GB2312" w:hAnsi="仿宋_GB2312" w:eastAsia="仿宋_GB2312" w:cs="仿宋_GB2312"/>
                <w:color w:val="auto"/>
                <w:kern w:val="0"/>
                <w:sz w:val="21"/>
                <w:szCs w:val="21"/>
                <w:highlight w:val="none"/>
                <w:lang w:val="en-US" w:eastAsia="zh-CN"/>
              </w:rPr>
              <w:t>5</w:t>
            </w:r>
            <w:r>
              <w:rPr>
                <w:rFonts w:hint="eastAsia" w:ascii="仿宋_GB2312" w:hAnsi="仿宋_GB2312" w:eastAsia="仿宋_GB2312" w:cs="仿宋_GB2312"/>
                <w:color w:val="auto"/>
                <w:kern w:val="0"/>
                <w:sz w:val="21"/>
                <w:szCs w:val="21"/>
                <w:highlight w:val="none"/>
              </w:rPr>
              <w:t>分</w:t>
            </w:r>
            <w:r>
              <w:rPr>
                <w:rFonts w:hint="eastAsia" w:ascii="仿宋_GB2312" w:hAnsi="仿宋_GB2312" w:eastAsia="仿宋_GB2312" w:cs="仿宋_GB2312"/>
                <w:color w:val="auto"/>
                <w:kern w:val="0"/>
                <w:sz w:val="21"/>
                <w:szCs w:val="21"/>
                <w:highlight w:val="none"/>
                <w:lang w:eastAsia="zh-CN"/>
              </w:rPr>
              <w:t>。</w:t>
            </w:r>
          </w:p>
        </w:tc>
        <w:tc>
          <w:tcPr>
            <w:tcW w:w="13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3"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rPr>
              <w:t>实际作业人员投入到位人数缺口小于合同人数10%（含）的，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扣1分；人数缺口大于合同人数10%小于20%（含）的，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扣2分；人数缺口大于合同人数20%的，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扣3分</w:t>
            </w:r>
            <w:r>
              <w:rPr>
                <w:rFonts w:hint="eastAsia" w:ascii="仿宋_GB2312" w:hAnsi="仿宋_GB2312" w:eastAsia="仿宋_GB2312" w:cs="仿宋_GB2312"/>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rPr>
            </w:pP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超龄人员工资、加班费标准低于普通职工10%（含）的，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扣0.5分；大于10%小于20%（含）的，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扣1分；大于20%的，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扣2分。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rPr>
            </w:pP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rPr>
              <w:t>车辆</w:t>
            </w:r>
            <w:r>
              <w:rPr>
                <w:rFonts w:hint="eastAsia" w:ascii="仿宋_GB2312" w:hAnsi="仿宋_GB2312" w:eastAsia="仿宋_GB2312" w:cs="仿宋_GB2312"/>
                <w:color w:val="auto"/>
                <w:kern w:val="0"/>
                <w:sz w:val="21"/>
                <w:szCs w:val="21"/>
                <w:highlight w:val="none"/>
                <w:lang w:eastAsia="zh-CN"/>
              </w:rPr>
              <w:t>设备</w:t>
            </w:r>
            <w:r>
              <w:rPr>
                <w:rFonts w:hint="eastAsia" w:ascii="仿宋_GB2312" w:hAnsi="仿宋_GB2312" w:eastAsia="仿宋_GB2312" w:cs="仿宋_GB2312"/>
                <w:color w:val="auto"/>
                <w:kern w:val="0"/>
                <w:sz w:val="21"/>
                <w:szCs w:val="21"/>
                <w:highlight w:val="none"/>
              </w:rPr>
              <w:t>投入数量缺口小于10%（含）的，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扣1分</w:t>
            </w:r>
            <w:r>
              <w:rPr>
                <w:rFonts w:hint="eastAsia" w:ascii="仿宋_GB2312" w:hAnsi="仿宋_GB2312" w:eastAsia="仿宋_GB2312" w:cs="仿宋_GB2312"/>
                <w:color w:val="auto"/>
                <w:kern w:val="0"/>
                <w:sz w:val="21"/>
                <w:szCs w:val="21"/>
                <w:highlight w:val="none"/>
                <w:lang w:eastAsia="zh-CN"/>
              </w:rPr>
              <w:t>；</w:t>
            </w:r>
            <w:r>
              <w:rPr>
                <w:rFonts w:hint="eastAsia" w:ascii="仿宋_GB2312" w:hAnsi="仿宋_GB2312" w:eastAsia="仿宋_GB2312" w:cs="仿宋_GB2312"/>
                <w:color w:val="auto"/>
                <w:kern w:val="0"/>
                <w:sz w:val="21"/>
                <w:szCs w:val="21"/>
                <w:highlight w:val="none"/>
              </w:rPr>
              <w:t>车辆数量缺口大于10%小于20%（含）的，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扣2分；车辆数量缺口大于20%的，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扣3分；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rPr>
              <w:t>作业单位新能源或清洁能源车辆未达到车辆总数30%以上的情况下，新增更新车辆非新能源或清洁能源的，</w:t>
            </w:r>
            <w:r>
              <w:rPr>
                <w:rFonts w:hint="eastAsia" w:ascii="仿宋_GB2312" w:hAnsi="仿宋_GB2312" w:eastAsia="仿宋_GB2312" w:cs="仿宋_GB2312"/>
                <w:color w:val="auto"/>
                <w:kern w:val="0"/>
                <w:sz w:val="21"/>
                <w:szCs w:val="21"/>
                <w:highlight w:val="none"/>
                <w:lang w:eastAsia="zh-CN"/>
              </w:rPr>
              <w:t>每辆</w:t>
            </w:r>
            <w:r>
              <w:rPr>
                <w:rFonts w:hint="eastAsia" w:ascii="仿宋_GB2312" w:hAnsi="仿宋_GB2312" w:eastAsia="仿宋_GB2312" w:cs="仿宋_GB2312"/>
                <w:color w:val="auto"/>
                <w:kern w:val="0"/>
                <w:sz w:val="21"/>
                <w:szCs w:val="21"/>
                <w:highlight w:val="none"/>
              </w:rPr>
              <w:t>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eastAsia="zh-CN"/>
              </w:rPr>
              <w:t>作业车辆未在合同约定时间内安装车辆定位系统，接入指定平台的每辆扣</w:t>
            </w:r>
            <w:r>
              <w:rPr>
                <w:rFonts w:hint="eastAsia" w:ascii="仿宋_GB2312" w:hAnsi="仿宋_GB2312" w:eastAsia="仿宋_GB2312" w:cs="仿宋_GB2312"/>
                <w:color w:val="auto"/>
                <w:kern w:val="0"/>
                <w:sz w:val="21"/>
                <w:szCs w:val="21"/>
                <w:highlight w:val="none"/>
                <w:lang w:val="en-US" w:eastAsia="zh-CN"/>
              </w:rPr>
              <w:t>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未按投标文件及合同约定规范安排人员排班计划</w:t>
            </w:r>
            <w:r>
              <w:rPr>
                <w:rFonts w:hint="eastAsia" w:ascii="仿宋_GB2312" w:hAnsi="仿宋_GB2312" w:eastAsia="仿宋_GB2312" w:cs="仿宋_GB2312"/>
                <w:color w:val="auto"/>
                <w:kern w:val="0"/>
                <w:sz w:val="21"/>
                <w:szCs w:val="21"/>
                <w:highlight w:val="none"/>
                <w:lang w:eastAsia="zh-CN"/>
              </w:rPr>
              <w:t>和车辆作业计划</w:t>
            </w:r>
            <w:r>
              <w:rPr>
                <w:rFonts w:hint="eastAsia" w:ascii="仿宋_GB2312" w:hAnsi="仿宋_GB2312" w:eastAsia="仿宋_GB2312" w:cs="仿宋_GB2312"/>
                <w:color w:val="auto"/>
                <w:kern w:val="0"/>
                <w:sz w:val="21"/>
                <w:szCs w:val="21"/>
                <w:highlight w:val="none"/>
              </w:rPr>
              <w:t>，扣1分/次。</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38</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未按投标文件及合同约定制定安全生产制度的，</w:t>
            </w:r>
            <w:r>
              <w:rPr>
                <w:rFonts w:hint="eastAsia" w:ascii="仿宋_GB2312" w:hAnsi="仿宋_GB2312" w:eastAsia="仿宋_GB2312" w:cs="仿宋_GB2312"/>
                <w:color w:val="auto"/>
                <w:kern w:val="0"/>
                <w:sz w:val="21"/>
                <w:szCs w:val="21"/>
                <w:highlight w:val="none"/>
                <w:lang w:eastAsia="zh-CN"/>
              </w:rPr>
              <w:t>每次</w:t>
            </w:r>
            <w:r>
              <w:rPr>
                <w:rFonts w:hint="eastAsia" w:ascii="仿宋_GB2312" w:hAnsi="仿宋_GB2312" w:eastAsia="仿宋_GB2312" w:cs="仿宋_GB2312"/>
                <w:color w:val="auto"/>
                <w:kern w:val="0"/>
                <w:sz w:val="21"/>
                <w:szCs w:val="21"/>
                <w:highlight w:val="none"/>
              </w:rPr>
              <w:t>扣1分；组织安全生产全员培训每</w:t>
            </w:r>
            <w:r>
              <w:rPr>
                <w:rFonts w:hint="eastAsia" w:ascii="仿宋_GB2312" w:hAnsi="仿宋_GB2312" w:eastAsia="仿宋_GB2312" w:cs="仿宋_GB2312"/>
                <w:color w:val="auto"/>
                <w:kern w:val="0"/>
                <w:sz w:val="21"/>
                <w:szCs w:val="21"/>
                <w:highlight w:val="none"/>
                <w:lang w:eastAsia="zh-CN"/>
              </w:rPr>
              <w:t>季</w:t>
            </w:r>
            <w:r>
              <w:rPr>
                <w:rFonts w:hint="eastAsia" w:ascii="仿宋_GB2312" w:hAnsi="仿宋_GB2312" w:eastAsia="仿宋_GB2312" w:cs="仿宋_GB2312"/>
                <w:color w:val="auto"/>
                <w:kern w:val="0"/>
                <w:sz w:val="21"/>
                <w:szCs w:val="21"/>
                <w:highlight w:val="none"/>
              </w:rPr>
              <w:t>少于</w:t>
            </w:r>
            <w:r>
              <w:rPr>
                <w:rFonts w:hint="eastAsia" w:ascii="仿宋_GB2312" w:hAnsi="仿宋_GB2312" w:eastAsia="仿宋_GB2312" w:cs="仿宋_GB2312"/>
                <w:color w:val="auto"/>
                <w:kern w:val="0"/>
                <w:sz w:val="21"/>
                <w:szCs w:val="21"/>
                <w:highlight w:val="none"/>
                <w:lang w:val="en-US" w:eastAsia="zh-CN"/>
              </w:rPr>
              <w:t>1</w:t>
            </w:r>
            <w:r>
              <w:rPr>
                <w:rFonts w:hint="eastAsia" w:ascii="仿宋_GB2312" w:hAnsi="仿宋_GB2312" w:eastAsia="仿宋_GB2312" w:cs="仿宋_GB2312"/>
                <w:color w:val="auto"/>
                <w:kern w:val="0"/>
                <w:sz w:val="21"/>
                <w:szCs w:val="21"/>
                <w:highlight w:val="none"/>
              </w:rPr>
              <w:t>次的，每次扣0.5分。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应急响应（20）</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39</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未按投标文件及合同约定制定城市保障（防汛抗台、抗雪防冻、突发事件等）应急预案的，扣2分；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4"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40</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未按投标文件及合同约定定期组织应急演练少于每年2次的，每少一次扣1分。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41</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在防汛抗台、防冻抗雪、突发事件、重要活动等应急保障中，不响应的，每发生一次扣</w:t>
            </w:r>
            <w:r>
              <w:rPr>
                <w:rFonts w:hint="eastAsia" w:ascii="仿宋_GB2312" w:hAnsi="仿宋_GB2312" w:eastAsia="仿宋_GB2312" w:cs="仿宋_GB2312"/>
                <w:color w:val="auto"/>
                <w:kern w:val="0"/>
                <w:sz w:val="21"/>
                <w:szCs w:val="21"/>
                <w:highlight w:val="none"/>
                <w:lang w:val="en-US" w:eastAsia="zh-CN"/>
              </w:rPr>
              <w:t>2</w:t>
            </w:r>
            <w:r>
              <w:rPr>
                <w:rFonts w:hint="eastAsia" w:ascii="仿宋_GB2312" w:hAnsi="仿宋_GB2312" w:eastAsia="仿宋_GB2312" w:cs="仿宋_GB2312"/>
                <w:color w:val="auto"/>
                <w:kern w:val="0"/>
                <w:sz w:val="21"/>
                <w:szCs w:val="21"/>
                <w:highlight w:val="none"/>
                <w:lang w:eastAsia="zh-CN"/>
              </w:rPr>
              <w:t>分；响应不到位的，每发生一次扣</w:t>
            </w:r>
            <w:r>
              <w:rPr>
                <w:rFonts w:hint="eastAsia" w:ascii="仿宋_GB2312" w:hAnsi="仿宋_GB2312" w:eastAsia="仿宋_GB2312" w:cs="仿宋_GB2312"/>
                <w:color w:val="auto"/>
                <w:kern w:val="0"/>
                <w:sz w:val="21"/>
                <w:szCs w:val="21"/>
                <w:highlight w:val="none"/>
                <w:lang w:val="en-US" w:eastAsia="zh-CN"/>
              </w:rPr>
              <w:t>1</w:t>
            </w:r>
            <w:r>
              <w:rPr>
                <w:rFonts w:hint="eastAsia" w:ascii="仿宋_GB2312" w:hAnsi="仿宋_GB2312" w:eastAsia="仿宋_GB2312" w:cs="仿宋_GB2312"/>
                <w:color w:val="auto"/>
                <w:kern w:val="0"/>
                <w:sz w:val="21"/>
                <w:szCs w:val="21"/>
                <w:highlight w:val="none"/>
                <w:lang w:eastAsia="zh-CN"/>
              </w:rPr>
              <w:t>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8" w:hRule="exact"/>
          <w:jc w:val="center"/>
        </w:trPr>
        <w:tc>
          <w:tcPr>
            <w:tcW w:w="8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正负</w:t>
            </w:r>
            <w:r>
              <w:rPr>
                <w:rFonts w:hint="eastAsia" w:ascii="仿宋_GB2312" w:hAnsi="仿宋_GB2312" w:eastAsia="仿宋_GB2312" w:cs="仿宋_GB2312"/>
                <w:color w:val="auto"/>
                <w:sz w:val="21"/>
                <w:szCs w:val="21"/>
                <w:highlight w:val="none"/>
                <w:lang w:val="en-US" w:eastAsia="zh-CN"/>
              </w:rPr>
              <w:t>清单</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42</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发生无人员死亡有责安全生产事故的，每起扣0.5分；发生1人（含）以下人员死亡有责安全生产事故的，每起扣1分；发生2人（含）以下人员死亡有责安全生产事故的，每起扣3分；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highlight w:val="none"/>
                <w:lang w:eastAsia="zh-CN"/>
              </w:rPr>
            </w:pP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4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43</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eastAsia="zh-CN"/>
              </w:rPr>
              <w:t>在杭州市范围内因员工薪酬及权益保障方面的投诉、群体性事件，被劳动保障部门处罚及被区级及以上环卫主管部门批评或通报的,因有责原因被市领导以上批评或者被媒体曝光造成不良社会影响的，每次扣</w:t>
            </w:r>
            <w:r>
              <w:rPr>
                <w:rFonts w:hint="eastAsia" w:ascii="仿宋_GB2312" w:hAnsi="仿宋_GB2312" w:eastAsia="仿宋_GB2312" w:cs="仿宋_GB2312"/>
                <w:color w:val="auto"/>
                <w:kern w:val="0"/>
                <w:sz w:val="21"/>
                <w:szCs w:val="21"/>
                <w:highlight w:val="none"/>
                <w:lang w:val="en-US" w:eastAsia="zh-CN"/>
              </w:rPr>
              <w:t>2分。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center"/>
              <w:textAlignment w:val="center"/>
              <w:outlineLvl w:val="9"/>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44</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环卫工人有见义勇为、拾金不昧等先进事迹，经确认属实的，根据正能量程度每件次加0.1～0.5分。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6"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45</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积极提供环卫宣传报道素材（图片、文字等），经区环卫保障中心审核，被录用正面宣传报道的，区级媒体每件次加0.1分，市级媒体每件次加0.2分，省级媒体每件次加0.5分，国家级媒体每件次加1分，同一事项以最高加分项计。</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0"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46</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在投标承诺和合同约定项目以外，积极协助环卫部门举办重要活动或完成重要任务的，区级项目每个加0.3分，市级项目每个加0.5分，省级项目每个加0.7分，国家级项目每个加1分。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exact"/>
          <w:jc w:val="center"/>
        </w:trPr>
        <w:tc>
          <w:tcPr>
            <w:tcW w:w="8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47</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eastAsia="仿宋_GB2312"/>
                <w:color w:val="auto"/>
                <w:spacing w:val="-8"/>
                <w:szCs w:val="21"/>
                <w:highlight w:val="none"/>
                <w:lang w:eastAsia="zh-CN"/>
              </w:rPr>
              <w:t>市级</w:t>
            </w:r>
            <w:r>
              <w:rPr>
                <w:rFonts w:hint="eastAsia" w:ascii="仿宋_GB2312" w:eastAsia="仿宋_GB2312"/>
                <w:color w:val="auto"/>
                <w:spacing w:val="-8"/>
                <w:szCs w:val="21"/>
                <w:highlight w:val="none"/>
                <w:lang w:val="en-US" w:eastAsia="zh-CN"/>
              </w:rPr>
              <w:t>领导</w:t>
            </w:r>
            <w:r>
              <w:rPr>
                <w:rFonts w:hint="eastAsia" w:ascii="仿宋_GB2312" w:eastAsia="仿宋_GB2312"/>
                <w:color w:val="auto"/>
                <w:spacing w:val="-8"/>
                <w:szCs w:val="21"/>
                <w:highlight w:val="none"/>
                <w:lang w:eastAsia="zh-CN"/>
              </w:rPr>
              <w:t>及以上批示表扬的每次加</w:t>
            </w:r>
            <w:r>
              <w:rPr>
                <w:rFonts w:hint="eastAsia" w:ascii="仿宋_GB2312" w:eastAsia="仿宋_GB2312"/>
                <w:color w:val="auto"/>
                <w:spacing w:val="-8"/>
                <w:szCs w:val="21"/>
                <w:highlight w:val="none"/>
                <w:lang w:val="en-US" w:eastAsia="zh-CN"/>
              </w:rPr>
              <w:t>1分，批评的每次扣1分；</w:t>
            </w:r>
            <w:r>
              <w:rPr>
                <w:rFonts w:hint="eastAsia" w:ascii="仿宋_GB2312" w:eastAsia="仿宋_GB2312"/>
                <w:color w:val="auto"/>
                <w:spacing w:val="-8"/>
                <w:szCs w:val="21"/>
                <w:highlight w:val="none"/>
                <w:lang w:eastAsia="zh-CN"/>
              </w:rPr>
              <w:t>区级</w:t>
            </w:r>
            <w:r>
              <w:rPr>
                <w:rFonts w:hint="eastAsia" w:ascii="仿宋_GB2312" w:eastAsia="仿宋_GB2312"/>
                <w:color w:val="auto"/>
                <w:spacing w:val="-8"/>
                <w:szCs w:val="21"/>
                <w:highlight w:val="none"/>
                <w:lang w:val="en-US" w:eastAsia="zh-CN"/>
              </w:rPr>
              <w:t>主要领导</w:t>
            </w:r>
            <w:r>
              <w:rPr>
                <w:rFonts w:hint="eastAsia" w:ascii="仿宋_GB2312" w:eastAsia="仿宋_GB2312"/>
                <w:color w:val="auto"/>
                <w:spacing w:val="-8"/>
                <w:szCs w:val="21"/>
                <w:highlight w:val="none"/>
                <w:lang w:eastAsia="zh-CN"/>
              </w:rPr>
              <w:t>批示表扬的每次加</w:t>
            </w:r>
            <w:r>
              <w:rPr>
                <w:rFonts w:hint="eastAsia" w:ascii="仿宋_GB2312" w:eastAsia="仿宋_GB2312"/>
                <w:color w:val="auto"/>
                <w:spacing w:val="-8"/>
                <w:szCs w:val="21"/>
                <w:highlight w:val="none"/>
                <w:lang w:val="en-US" w:eastAsia="zh-CN"/>
              </w:rPr>
              <w:t>0.5分，批评的每次扣0.5分。</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7" w:hRule="exact"/>
          <w:jc w:val="center"/>
        </w:trPr>
        <w:tc>
          <w:tcPr>
            <w:tcW w:w="167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备注</w:t>
            </w:r>
          </w:p>
        </w:tc>
        <w:tc>
          <w:tcPr>
            <w:tcW w:w="61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正负面分数累计加减分分别不高于3分，超过按3分计入。</w:t>
            </w:r>
          </w:p>
        </w:tc>
        <w:tc>
          <w:tcPr>
            <w:tcW w:w="1349" w:type="dxa"/>
            <w:noWrap w:val="0"/>
            <w:vAlign w:val="center"/>
          </w:tcPr>
          <w:p>
            <w:pPr>
              <w:keepNext w:val="0"/>
              <w:keepLines w:val="0"/>
              <w:pageBreakBefore w:val="0"/>
              <w:widowControl/>
              <w:kinsoku/>
              <w:wordWrap/>
              <w:overflowPunct/>
              <w:topLinePunct w:val="0"/>
              <w:autoSpaceDE/>
              <w:autoSpaceDN/>
              <w:bidi w:val="0"/>
              <w:spacing w:line="570" w:lineRule="exact"/>
              <w:ind w:right="0" w:rightChars="0"/>
              <w:jc w:val="left"/>
              <w:textAlignment w:val="center"/>
              <w:outlineLvl w:val="9"/>
              <w:rPr>
                <w:rFonts w:hint="eastAsia" w:ascii="仿宋_GB2312" w:hAnsi="仿宋_GB2312" w:eastAsia="仿宋_GB2312" w:cs="仿宋_GB2312"/>
                <w:color w:val="auto"/>
                <w:sz w:val="24"/>
                <w:szCs w:val="28"/>
                <w:highlight w:val="none"/>
              </w:rPr>
            </w:pPr>
          </w:p>
        </w:tc>
      </w:tr>
    </w:tbl>
    <w:p>
      <w:pPr>
        <w:keepNext w:val="0"/>
        <w:keepLines w:val="0"/>
        <w:pageBreakBefore w:val="0"/>
        <w:numPr>
          <w:ilvl w:val="0"/>
          <w:numId w:val="0"/>
        </w:numPr>
        <w:kinsoku/>
        <w:wordWrap/>
        <w:overflowPunct/>
        <w:topLinePunct w:val="0"/>
        <w:autoSpaceDE/>
        <w:autoSpaceDN/>
        <w:bidi w:val="0"/>
        <w:spacing w:line="570" w:lineRule="exact"/>
        <w:ind w:right="0" w:rightChars="0"/>
        <w:jc w:val="left"/>
        <w:outlineLvl w:val="9"/>
        <w:rPr>
          <w:rFonts w:hint="eastAsia" w:ascii="仿宋_GB2312" w:eastAsia="仿宋_GB2312"/>
          <w:color w:val="auto"/>
          <w:sz w:val="32"/>
          <w:szCs w:val="32"/>
          <w:highlight w:val="none"/>
        </w:rPr>
      </w:pPr>
      <w:r>
        <w:rPr>
          <w:rFonts w:hint="eastAsia" w:ascii="方正小标宋_GBK" w:hAnsi="宋体" w:eastAsia="方正小标宋_GBK" w:cs="宋体"/>
          <w:b w:val="0"/>
          <w:bCs/>
          <w:color w:val="auto"/>
          <w:sz w:val="32"/>
          <w:szCs w:val="32"/>
          <w:highlight w:val="none"/>
          <w:lang w:eastAsia="zh-CN"/>
        </w:rPr>
        <w:br w:type="page"/>
      </w:r>
    </w:p>
    <w:p>
      <w:pPr>
        <w:keepNext w:val="0"/>
        <w:keepLines w:val="0"/>
        <w:pageBreakBefore w:val="0"/>
        <w:numPr>
          <w:ilvl w:val="0"/>
          <w:numId w:val="0"/>
        </w:numPr>
        <w:kinsoku/>
        <w:wordWrap/>
        <w:overflowPunct/>
        <w:topLinePunct w:val="0"/>
        <w:autoSpaceDE/>
        <w:autoSpaceDN/>
        <w:bidi w:val="0"/>
        <w:spacing w:line="570" w:lineRule="exact"/>
        <w:ind w:right="0" w:rightChars="0"/>
        <w:jc w:val="center"/>
        <w:outlineLvl w:val="9"/>
        <w:rPr>
          <w:rFonts w:hint="eastAsia" w:ascii="方正小标宋_GBK" w:hAnsi="宋体" w:eastAsia="方正小标宋_GBK" w:cs="宋体"/>
          <w:b w:val="0"/>
          <w:bCs/>
          <w:color w:val="auto"/>
          <w:sz w:val="32"/>
          <w:szCs w:val="32"/>
          <w:highlight w:val="none"/>
        </w:rPr>
      </w:pPr>
      <w:r>
        <w:rPr>
          <w:rFonts w:hint="eastAsia" w:ascii="方正小标宋_GBK" w:hAnsi="宋体" w:eastAsia="方正小标宋_GBK" w:cs="宋体"/>
          <w:b w:val="0"/>
          <w:bCs/>
          <w:color w:val="auto"/>
          <w:sz w:val="32"/>
          <w:szCs w:val="32"/>
          <w:highlight w:val="none"/>
          <w:lang w:eastAsia="zh-CN"/>
        </w:rPr>
        <w:t>临平</w:t>
      </w:r>
      <w:r>
        <w:rPr>
          <w:rFonts w:hint="eastAsia" w:ascii="方正小标宋_GBK" w:hAnsi="宋体" w:eastAsia="方正小标宋_GBK" w:cs="宋体"/>
          <w:b w:val="0"/>
          <w:bCs/>
          <w:color w:val="auto"/>
          <w:sz w:val="32"/>
          <w:szCs w:val="32"/>
          <w:highlight w:val="none"/>
        </w:rPr>
        <w:t>区市政</w:t>
      </w:r>
      <w:r>
        <w:rPr>
          <w:rFonts w:hint="eastAsia" w:ascii="方正小标宋_GBK" w:hAnsi="宋体" w:eastAsia="方正小标宋_GBK" w:cs="宋体"/>
          <w:b w:val="0"/>
          <w:bCs/>
          <w:color w:val="auto"/>
          <w:sz w:val="32"/>
          <w:szCs w:val="32"/>
          <w:highlight w:val="none"/>
          <w:lang w:eastAsia="zh-CN"/>
        </w:rPr>
        <w:t>考核</w:t>
      </w:r>
      <w:r>
        <w:rPr>
          <w:rFonts w:hint="eastAsia" w:ascii="方正小标宋_GBK" w:hAnsi="宋体" w:eastAsia="方正小标宋_GBK" w:cs="宋体"/>
          <w:b w:val="0"/>
          <w:bCs/>
          <w:color w:val="auto"/>
          <w:sz w:val="32"/>
          <w:szCs w:val="32"/>
          <w:highlight w:val="none"/>
        </w:rPr>
        <w:t>评分细则</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20"/>
        <w:gridCol w:w="622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考核内容</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评分标准</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atLeast"/>
          <w:jc w:val="center"/>
        </w:trPr>
        <w:tc>
          <w:tcPr>
            <w:tcW w:w="8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日常养护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60</w:t>
            </w:r>
            <w:r>
              <w:rPr>
                <w:rFonts w:hint="eastAsia" w:ascii="仿宋_GB2312" w:eastAsia="仿宋_GB2312"/>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lang w:eastAsia="zh-CN"/>
              </w:rPr>
              <w:t>车行道</w:t>
            </w:r>
            <w:r>
              <w:rPr>
                <w:rFonts w:hint="eastAsia" w:ascii="仿宋_GB2312" w:eastAsia="仿宋_GB2312"/>
                <w:color w:val="auto"/>
                <w:szCs w:val="21"/>
                <w:highlight w:val="none"/>
              </w:rPr>
              <w:t>养护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20分</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rPr>
              <w:t>裂缝1米以内每处扣</w:t>
            </w:r>
            <w:r>
              <w:rPr>
                <w:rFonts w:hint="eastAsia" w:ascii="仿宋_GB2312" w:eastAsia="仿宋_GB2312"/>
                <w:color w:val="auto"/>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zCs w:val="21"/>
                <w:highlight w:val="none"/>
                <w:lang w:val="en-US" w:eastAsia="zh-CN"/>
              </w:rPr>
              <w:t>1米以上每处扣1分；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rPr>
              <w:t>破损、网裂</w:t>
            </w:r>
            <w:r>
              <w:rPr>
                <w:rFonts w:hint="eastAsia" w:ascii="仿宋_GB2312" w:eastAsia="仿宋_GB2312"/>
                <w:color w:val="auto"/>
                <w:szCs w:val="21"/>
                <w:highlight w:val="none"/>
                <w:lang w:eastAsia="zh-CN"/>
              </w:rPr>
              <w:t>、碎裂、</w:t>
            </w:r>
            <w:r>
              <w:rPr>
                <w:rFonts w:hint="eastAsia" w:ascii="仿宋_GB2312" w:eastAsia="仿宋_GB2312"/>
                <w:color w:val="auto"/>
                <w:szCs w:val="21"/>
                <w:highlight w:val="none"/>
              </w:rPr>
              <w:t>坑洞</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rPr>
              <w:t>下沉</w:t>
            </w:r>
            <w:r>
              <w:rPr>
                <w:rFonts w:hint="eastAsia" w:ascii="仿宋_GB2312" w:eastAsia="仿宋_GB2312"/>
                <w:color w:val="auto"/>
                <w:szCs w:val="21"/>
                <w:highlight w:val="none"/>
                <w:lang w:eastAsia="zh-CN"/>
              </w:rPr>
              <w:t>、凸起等，</w:t>
            </w:r>
            <w:r>
              <w:rPr>
                <w:rFonts w:hint="eastAsia" w:ascii="仿宋_GB2312" w:eastAsia="仿宋_GB2312"/>
                <w:color w:val="auto"/>
                <w:szCs w:val="21"/>
                <w:highlight w:val="none"/>
              </w:rPr>
              <w:t>1平方米以内</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w:t>
            </w:r>
            <w:r>
              <w:rPr>
                <w:rFonts w:hint="eastAsia" w:ascii="仿宋_GB2312" w:eastAsia="仿宋_GB2312"/>
                <w:color w:val="auto"/>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rPr>
              <w:t>1</w:t>
            </w:r>
            <w:r>
              <w:rPr>
                <w:rFonts w:hint="eastAsia" w:ascii="仿宋_GB2312" w:eastAsia="仿宋_GB2312"/>
                <w:color w:val="auto"/>
                <w:szCs w:val="21"/>
                <w:highlight w:val="none"/>
                <w:lang w:val="en-US" w:eastAsia="zh-CN"/>
              </w:rPr>
              <w:t>至2</w:t>
            </w:r>
            <w:r>
              <w:rPr>
                <w:rFonts w:hint="eastAsia" w:ascii="仿宋_GB2312" w:eastAsia="仿宋_GB2312"/>
                <w:color w:val="auto"/>
                <w:szCs w:val="21"/>
                <w:highlight w:val="none"/>
              </w:rPr>
              <w:t>平方米</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平方米以</w:t>
            </w:r>
            <w:r>
              <w:rPr>
                <w:rFonts w:hint="eastAsia" w:ascii="仿宋_GB2312" w:eastAsia="仿宋_GB2312"/>
                <w:color w:val="auto"/>
                <w:szCs w:val="21"/>
                <w:highlight w:val="none"/>
                <w:lang w:eastAsia="zh-CN"/>
              </w:rPr>
              <w:t>上每处</w:t>
            </w:r>
            <w:r>
              <w:rPr>
                <w:rFonts w:hint="eastAsia" w:ascii="仿宋_GB2312" w:eastAsia="仿宋_GB2312"/>
                <w:color w:val="auto"/>
                <w:szCs w:val="21"/>
                <w:highlight w:val="none"/>
              </w:rPr>
              <w:t>扣</w:t>
            </w: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lang w:eastAsia="zh-CN"/>
              </w:rPr>
              <w:t>沥青修复接茬处高差大于</w:t>
            </w:r>
            <w:r>
              <w:rPr>
                <w:rFonts w:hint="eastAsia" w:ascii="仿宋_GB2312" w:eastAsia="仿宋_GB2312"/>
                <w:color w:val="auto"/>
                <w:szCs w:val="21"/>
                <w:highlight w:val="none"/>
                <w:lang w:val="en-US" w:eastAsia="zh-CN"/>
              </w:rPr>
              <w:t>5mm每处扣2分</w:t>
            </w:r>
            <w:r>
              <w:rPr>
                <w:rFonts w:hint="eastAsia" w:ascii="仿宋_GB2312" w:eastAsia="仿宋_GB2312"/>
                <w:color w:val="auto"/>
                <w:szCs w:val="21"/>
                <w:highlight w:val="none"/>
                <w:lang w:eastAsia="zh-CN"/>
              </w:rPr>
              <w:t>、未封边的</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检查井盖、雨水篦子破损</w:t>
            </w:r>
            <w:r>
              <w:rPr>
                <w:rFonts w:hint="eastAsia" w:ascii="仿宋_GB2312" w:eastAsia="仿宋_GB2312"/>
                <w:color w:val="auto"/>
                <w:szCs w:val="21"/>
                <w:highlight w:val="none"/>
                <w:lang w:eastAsia="zh-CN"/>
              </w:rPr>
              <w:t>，或</w:t>
            </w:r>
            <w:r>
              <w:rPr>
                <w:rFonts w:hint="eastAsia" w:ascii="仿宋_GB2312" w:eastAsia="仿宋_GB2312"/>
                <w:color w:val="auto"/>
                <w:szCs w:val="21"/>
                <w:highlight w:val="none"/>
              </w:rPr>
              <w:t>与</w:t>
            </w:r>
            <w:r>
              <w:rPr>
                <w:rFonts w:hint="eastAsia" w:ascii="仿宋_GB2312" w:eastAsia="仿宋_GB2312"/>
                <w:color w:val="auto"/>
                <w:szCs w:val="21"/>
                <w:highlight w:val="none"/>
                <w:lang w:eastAsia="zh-CN"/>
              </w:rPr>
              <w:t>路面</w:t>
            </w:r>
            <w:r>
              <w:rPr>
                <w:rFonts w:hint="eastAsia" w:ascii="仿宋_GB2312" w:eastAsia="仿宋_GB2312"/>
                <w:color w:val="auto"/>
                <w:szCs w:val="21"/>
                <w:highlight w:val="none"/>
              </w:rPr>
              <w:t>高差</w:t>
            </w:r>
            <w:r>
              <w:rPr>
                <w:rFonts w:hint="eastAsia" w:ascii="仿宋_GB2312" w:eastAsia="仿宋_GB2312"/>
                <w:color w:val="auto"/>
                <w:szCs w:val="21"/>
                <w:highlight w:val="none"/>
                <w:lang w:eastAsia="zh-CN"/>
              </w:rPr>
              <w:t>大于</w:t>
            </w:r>
            <w:r>
              <w:rPr>
                <w:rFonts w:hint="eastAsia" w:ascii="仿宋_GB2312" w:eastAsia="仿宋_GB2312"/>
                <w:color w:val="auto"/>
                <w:szCs w:val="21"/>
                <w:highlight w:val="none"/>
                <w:lang w:val="en-US" w:eastAsia="zh-CN"/>
              </w:rPr>
              <w:t>7mm的每</w:t>
            </w:r>
            <w:r>
              <w:rPr>
                <w:rFonts w:hint="eastAsia" w:ascii="仿宋_GB2312" w:eastAsia="仿宋_GB2312"/>
                <w:color w:val="auto"/>
                <w:szCs w:val="21"/>
                <w:highlight w:val="none"/>
              </w:rPr>
              <w:t>处扣</w:t>
            </w: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人行道养护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15分</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人行道破损、松动</w:t>
            </w:r>
            <w:r>
              <w:rPr>
                <w:rFonts w:hint="eastAsia" w:ascii="仿宋_GB2312" w:eastAsia="仿宋_GB2312"/>
                <w:color w:val="auto"/>
                <w:szCs w:val="21"/>
                <w:highlight w:val="none"/>
                <w:lang w:eastAsia="zh-CN"/>
              </w:rPr>
              <w:t>、沉降，</w:t>
            </w:r>
            <w:r>
              <w:rPr>
                <w:rFonts w:hint="eastAsia" w:ascii="仿宋_GB2312" w:eastAsia="仿宋_GB2312"/>
                <w:color w:val="auto"/>
                <w:szCs w:val="21"/>
                <w:highlight w:val="none"/>
              </w:rPr>
              <w:t>1平方米以内</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w:t>
            </w:r>
            <w:r>
              <w:rPr>
                <w:rFonts w:hint="eastAsia" w:ascii="仿宋_GB2312" w:eastAsia="仿宋_GB2312"/>
                <w:color w:val="auto"/>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rPr>
              <w:t>1</w:t>
            </w:r>
            <w:r>
              <w:rPr>
                <w:rFonts w:hint="eastAsia" w:ascii="仿宋_GB2312" w:eastAsia="仿宋_GB2312"/>
                <w:color w:val="auto"/>
                <w:szCs w:val="21"/>
                <w:highlight w:val="none"/>
                <w:lang w:val="en-US" w:eastAsia="zh-CN"/>
              </w:rPr>
              <w:t>至2</w:t>
            </w:r>
            <w:r>
              <w:rPr>
                <w:rFonts w:hint="eastAsia" w:ascii="仿宋_GB2312" w:eastAsia="仿宋_GB2312"/>
                <w:color w:val="auto"/>
                <w:szCs w:val="21"/>
                <w:highlight w:val="none"/>
              </w:rPr>
              <w:t>平方米</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平方米以</w:t>
            </w:r>
            <w:r>
              <w:rPr>
                <w:rFonts w:hint="eastAsia" w:ascii="仿宋_GB2312" w:eastAsia="仿宋_GB2312"/>
                <w:color w:val="auto"/>
                <w:szCs w:val="21"/>
                <w:highlight w:val="none"/>
                <w:lang w:eastAsia="zh-CN"/>
              </w:rPr>
              <w:t>上每处</w:t>
            </w:r>
            <w:r>
              <w:rPr>
                <w:rFonts w:hint="eastAsia" w:ascii="仿宋_GB2312" w:eastAsia="仿宋_GB2312"/>
                <w:color w:val="auto"/>
                <w:szCs w:val="21"/>
                <w:highlight w:val="none"/>
              </w:rPr>
              <w:t>扣</w:t>
            </w: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平侧石破损缺失每处扣</w:t>
            </w:r>
            <w:r>
              <w:rPr>
                <w:rFonts w:hint="eastAsia" w:ascii="仿宋_GB2312" w:eastAsia="仿宋_GB2312"/>
                <w:color w:val="auto"/>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，接坡每处扣</w:t>
            </w:r>
            <w:r>
              <w:rPr>
                <w:rFonts w:hint="eastAsia" w:ascii="仿宋_GB2312" w:eastAsia="仿宋_GB2312"/>
                <w:color w:val="auto"/>
                <w:szCs w:val="21"/>
                <w:highlight w:val="none"/>
                <w:lang w:val="en-US" w:eastAsia="zh-CN"/>
              </w:rPr>
              <w:t>0.5分</w:t>
            </w:r>
            <w:r>
              <w:rPr>
                <w:rFonts w:hint="eastAsia" w:ascii="仿宋_GB2312" w:eastAsia="仿宋_GB2312"/>
                <w:color w:val="auto"/>
                <w:szCs w:val="21"/>
                <w:highlight w:val="none"/>
              </w:rPr>
              <w:t>；无障碍设施不规范每处扣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井盖破损</w:t>
            </w:r>
            <w:r>
              <w:rPr>
                <w:rFonts w:hint="eastAsia" w:ascii="仿宋_GB2312" w:eastAsia="仿宋_GB2312"/>
                <w:color w:val="auto"/>
                <w:szCs w:val="21"/>
                <w:highlight w:val="none"/>
                <w:lang w:eastAsia="zh-CN"/>
              </w:rPr>
              <w:t>或沉降，</w:t>
            </w:r>
            <w:r>
              <w:rPr>
                <w:rFonts w:hint="eastAsia" w:ascii="仿宋_GB2312" w:eastAsia="仿宋_GB2312"/>
                <w:color w:val="auto"/>
                <w:szCs w:val="21"/>
                <w:highlight w:val="none"/>
                <w:lang w:val="en-US" w:eastAsia="zh-CN"/>
              </w:rPr>
              <w:t>每</w:t>
            </w:r>
            <w:r>
              <w:rPr>
                <w:rFonts w:hint="eastAsia" w:ascii="仿宋_GB2312" w:eastAsia="仿宋_GB2312"/>
                <w:color w:val="auto"/>
                <w:szCs w:val="21"/>
                <w:highlight w:val="none"/>
              </w:rPr>
              <w:t>处扣</w:t>
            </w: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桥梁</w:t>
            </w:r>
            <w:r>
              <w:rPr>
                <w:rFonts w:hint="eastAsia" w:ascii="仿宋_GB2312" w:eastAsia="仿宋_GB2312"/>
                <w:color w:val="auto"/>
                <w:szCs w:val="21"/>
                <w:highlight w:val="none"/>
                <w:lang w:eastAsia="zh-CN"/>
              </w:rPr>
              <w:t>隧道</w:t>
            </w:r>
            <w:r>
              <w:rPr>
                <w:rFonts w:hint="eastAsia" w:ascii="仿宋_GB2312" w:eastAsia="仿宋_GB2312"/>
                <w:color w:val="auto"/>
                <w:szCs w:val="21"/>
                <w:highlight w:val="none"/>
              </w:rPr>
              <w:t>养护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10分</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pacing w:val="-8"/>
                <w:szCs w:val="21"/>
                <w:highlight w:val="none"/>
              </w:rPr>
              <w:t>桥面裂缝、坑槽、破损</w:t>
            </w:r>
            <w:r>
              <w:rPr>
                <w:rFonts w:hint="eastAsia" w:ascii="仿宋_GB2312" w:eastAsia="仿宋_GB2312"/>
                <w:color w:val="auto"/>
                <w:spacing w:val="-8"/>
                <w:szCs w:val="21"/>
                <w:highlight w:val="none"/>
                <w:lang w:eastAsia="zh-CN"/>
              </w:rPr>
              <w:t>、</w:t>
            </w:r>
            <w:r>
              <w:rPr>
                <w:rFonts w:hint="eastAsia" w:ascii="仿宋_GB2312" w:eastAsia="仿宋_GB2312"/>
                <w:color w:val="auto"/>
                <w:spacing w:val="-8"/>
                <w:szCs w:val="21"/>
                <w:highlight w:val="none"/>
              </w:rPr>
              <w:t>伸缩缝破损、支座破损锈蚀</w:t>
            </w:r>
            <w:r>
              <w:rPr>
                <w:rFonts w:hint="eastAsia" w:ascii="仿宋_GB2312" w:eastAsia="仿宋_GB2312"/>
                <w:color w:val="auto"/>
                <w:spacing w:val="-8"/>
                <w:szCs w:val="21"/>
                <w:highlight w:val="none"/>
                <w:lang w:eastAsia="zh-CN"/>
              </w:rPr>
              <w:t>、</w:t>
            </w:r>
            <w:r>
              <w:rPr>
                <w:rFonts w:hint="eastAsia" w:ascii="仿宋_GB2312" w:eastAsia="仿宋_GB2312"/>
                <w:color w:val="auto"/>
                <w:spacing w:val="-8"/>
                <w:szCs w:val="21"/>
                <w:highlight w:val="none"/>
              </w:rPr>
              <w:t>等每处扣</w:t>
            </w:r>
            <w:r>
              <w:rPr>
                <w:rFonts w:hint="eastAsia" w:ascii="仿宋_GB2312" w:eastAsia="仿宋_GB2312"/>
                <w:color w:val="auto"/>
                <w:szCs w:val="21"/>
                <w:highlight w:val="none"/>
              </w:rPr>
              <w:t>3分</w:t>
            </w:r>
            <w:r>
              <w:rPr>
                <w:rFonts w:hint="eastAsia" w:ascii="仿宋_GB2312" w:eastAsia="仿宋_GB2312"/>
                <w:color w:val="auto"/>
                <w:szCs w:val="21"/>
                <w:highlight w:val="none"/>
                <w:lang w:eastAsia="zh-CN"/>
              </w:rPr>
              <w:t>；存在桥头跳车的每处扣</w:t>
            </w:r>
            <w:r>
              <w:rPr>
                <w:rFonts w:hint="eastAsia" w:ascii="仿宋_GB2312" w:eastAsia="仿宋_GB2312"/>
                <w:color w:val="auto"/>
                <w:szCs w:val="21"/>
                <w:highlight w:val="none"/>
                <w:lang w:val="en-US" w:eastAsia="zh-CN"/>
              </w:rPr>
              <w:t>5分；</w:t>
            </w:r>
            <w:r>
              <w:rPr>
                <w:rFonts w:hint="eastAsia" w:ascii="仿宋_GB2312" w:eastAsia="仿宋_GB2312"/>
                <w:color w:val="auto"/>
                <w:spacing w:val="-8"/>
                <w:szCs w:val="21"/>
                <w:highlight w:val="none"/>
              </w:rPr>
              <w:t>墩台墙柱开裂每处扣</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rPr>
              <w:t>，基础下沉扣</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rPr>
              <w:t>， 基础位移扣</w:t>
            </w:r>
            <w:r>
              <w:rPr>
                <w:rFonts w:hint="eastAsia" w:ascii="仿宋_GB2312" w:eastAsia="仿宋_GB2312"/>
                <w:color w:val="auto"/>
                <w:szCs w:val="21"/>
                <w:highlight w:val="none"/>
                <w:lang w:val="en-US" w:eastAsia="zh-CN"/>
              </w:rPr>
              <w:t>10</w:t>
            </w:r>
            <w:r>
              <w:rPr>
                <w:rFonts w:hint="eastAsia" w:ascii="仿宋_GB2312" w:eastAsia="仿宋_GB2312"/>
                <w:color w:val="auto"/>
                <w:szCs w:val="21"/>
                <w:highlight w:val="none"/>
              </w:rPr>
              <w:t>分。</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rPr>
              <w:t>栏杆破损、</w:t>
            </w:r>
            <w:r>
              <w:rPr>
                <w:rFonts w:hint="eastAsia" w:ascii="仿宋_GB2312" w:eastAsia="仿宋_GB2312"/>
                <w:color w:val="auto"/>
                <w:spacing w:val="-8"/>
                <w:szCs w:val="21"/>
                <w:highlight w:val="none"/>
                <w:lang w:eastAsia="zh-CN"/>
              </w:rPr>
              <w:t>松动，</w:t>
            </w:r>
            <w:r>
              <w:rPr>
                <w:rFonts w:hint="eastAsia" w:ascii="仿宋_GB2312" w:eastAsia="仿宋_GB2312"/>
                <w:color w:val="auto"/>
                <w:spacing w:val="-8"/>
                <w:szCs w:val="21"/>
                <w:highlight w:val="none"/>
              </w:rPr>
              <w:t>排水设施堵塞、破损</w:t>
            </w:r>
            <w:r>
              <w:rPr>
                <w:rFonts w:hint="eastAsia" w:ascii="仿宋_GB2312" w:eastAsia="仿宋_GB2312"/>
                <w:color w:val="auto"/>
                <w:spacing w:val="-8"/>
                <w:szCs w:val="21"/>
                <w:highlight w:val="none"/>
                <w:lang w:eastAsia="zh-CN"/>
              </w:rPr>
              <w:t>，挡</w:t>
            </w:r>
            <w:r>
              <w:rPr>
                <w:rFonts w:hint="eastAsia" w:ascii="仿宋_GB2312" w:eastAsia="仿宋_GB2312"/>
                <w:color w:val="auto"/>
                <w:spacing w:val="-8"/>
                <w:szCs w:val="21"/>
                <w:highlight w:val="none"/>
              </w:rPr>
              <w:t>墙损坏开裂</w:t>
            </w:r>
            <w:r>
              <w:rPr>
                <w:rFonts w:hint="eastAsia" w:ascii="仿宋_GB2312" w:eastAsia="仿宋_GB2312"/>
                <w:color w:val="auto"/>
                <w:spacing w:val="-8"/>
                <w:szCs w:val="21"/>
                <w:highlight w:val="none"/>
                <w:lang w:eastAsia="zh-CN"/>
              </w:rPr>
              <w:t>，隔音屏破损等，</w:t>
            </w:r>
            <w:r>
              <w:rPr>
                <w:rFonts w:hint="eastAsia" w:ascii="仿宋_GB2312" w:eastAsia="仿宋_GB2312"/>
                <w:color w:val="auto"/>
                <w:spacing w:val="-8"/>
                <w:szCs w:val="21"/>
                <w:highlight w:val="none"/>
              </w:rPr>
              <w:t>每处扣</w:t>
            </w:r>
            <w:r>
              <w:rPr>
                <w:rFonts w:hint="eastAsia" w:ascii="仿宋_GB2312" w:eastAsia="仿宋_GB2312"/>
                <w:color w:val="auto"/>
                <w:szCs w:val="21"/>
                <w:highlight w:val="none"/>
              </w:rPr>
              <w:t>2分</w:t>
            </w:r>
            <w:r>
              <w:rPr>
                <w:rFonts w:hint="eastAsia" w:ascii="仿宋_GB2312" w:eastAsia="仿宋_GB2312"/>
                <w:color w:val="auto"/>
                <w:spacing w:val="-8"/>
                <w:szCs w:val="21"/>
                <w:highlight w:val="none"/>
                <w:lang w:eastAsia="zh-CN"/>
              </w:rPr>
              <w:t>。</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rPr>
              <w:t>隧道结构开裂、渗漏水、剥落等</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rPr>
              <w:t>隧道照明、供配电、排水、监控、</w:t>
            </w:r>
            <w:r>
              <w:rPr>
                <w:rFonts w:hint="eastAsia" w:ascii="仿宋_GB2312" w:eastAsia="仿宋_GB2312"/>
                <w:color w:val="auto"/>
                <w:spacing w:val="-8"/>
                <w:szCs w:val="21"/>
                <w:highlight w:val="none"/>
                <w:lang w:eastAsia="zh-CN"/>
              </w:rPr>
              <w:t>消防等</w:t>
            </w:r>
            <w:r>
              <w:rPr>
                <w:rFonts w:hint="eastAsia" w:ascii="仿宋_GB2312" w:eastAsia="仿宋_GB2312"/>
                <w:color w:val="auto"/>
                <w:spacing w:val="-8"/>
                <w:szCs w:val="21"/>
                <w:highlight w:val="none"/>
              </w:rPr>
              <w:t>设施故障</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；灭火器过期每处扣</w:t>
            </w:r>
            <w:r>
              <w:rPr>
                <w:rFonts w:hint="eastAsia" w:ascii="仿宋_GB2312" w:eastAsia="仿宋_GB2312"/>
                <w:color w:val="auto"/>
                <w:szCs w:val="21"/>
                <w:highlight w:val="none"/>
                <w:lang w:val="en-US" w:eastAsia="zh-CN"/>
              </w:rPr>
              <w:t>1分；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lang w:eastAsia="zh-CN"/>
              </w:rPr>
              <w:t>管理用房</w:t>
            </w:r>
            <w:r>
              <w:rPr>
                <w:rFonts w:hint="eastAsia" w:ascii="仿宋_GB2312" w:eastAsia="仿宋_GB2312"/>
                <w:color w:val="auto"/>
                <w:spacing w:val="-8"/>
                <w:szCs w:val="21"/>
                <w:highlight w:val="none"/>
              </w:rPr>
              <w:t>内不整齐，灯具积灰</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；防雷设施未设置、或未检测扣</w:t>
            </w:r>
            <w:r>
              <w:rPr>
                <w:rFonts w:hint="eastAsia" w:ascii="仿宋_GB2312" w:eastAsia="仿宋_GB2312"/>
                <w:color w:val="auto"/>
                <w:szCs w:val="21"/>
                <w:highlight w:val="none"/>
                <w:lang w:val="en-US" w:eastAsia="zh-CN"/>
              </w:rPr>
              <w:t>2分。</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lang w:eastAsia="zh-CN"/>
              </w:rPr>
            </w:pPr>
            <w:r>
              <w:rPr>
                <w:rFonts w:hint="eastAsia" w:ascii="仿宋_GB2312" w:eastAsia="仿宋_GB2312"/>
                <w:color w:val="auto"/>
                <w:spacing w:val="-8"/>
                <w:szCs w:val="21"/>
                <w:highlight w:val="none"/>
                <w:lang w:eastAsia="zh-CN"/>
              </w:rPr>
              <w:t>桥隧名牌、</w:t>
            </w:r>
            <w:r>
              <w:rPr>
                <w:rFonts w:hint="eastAsia" w:ascii="仿宋_GB2312" w:eastAsia="仿宋_GB2312"/>
                <w:color w:val="auto"/>
                <w:spacing w:val="-8"/>
                <w:szCs w:val="21"/>
                <w:highlight w:val="none"/>
              </w:rPr>
              <w:t>限载牌、限高牌缺失</w:t>
            </w:r>
            <w:r>
              <w:rPr>
                <w:rFonts w:hint="eastAsia" w:ascii="仿宋_GB2312" w:eastAsia="仿宋_GB2312"/>
                <w:color w:val="auto"/>
                <w:spacing w:val="-8"/>
                <w:szCs w:val="21"/>
                <w:highlight w:val="none"/>
                <w:lang w:eastAsia="zh-CN"/>
              </w:rPr>
              <w:t>、</w:t>
            </w:r>
            <w:r>
              <w:rPr>
                <w:rFonts w:hint="eastAsia" w:ascii="仿宋_GB2312" w:eastAsia="仿宋_GB2312"/>
                <w:color w:val="auto"/>
                <w:spacing w:val="-8"/>
                <w:szCs w:val="21"/>
                <w:highlight w:val="none"/>
              </w:rPr>
              <w:t>破损每处扣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rPr>
              <w:t>排水设施</w:t>
            </w:r>
            <w:r>
              <w:rPr>
                <w:rFonts w:hint="eastAsia" w:ascii="仿宋_GB2312" w:eastAsia="仿宋_GB2312"/>
                <w:color w:val="auto"/>
                <w:szCs w:val="21"/>
                <w:highlight w:val="none"/>
                <w:lang w:eastAsia="zh-CN"/>
              </w:rPr>
              <w:t>养护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val="en-US" w:eastAsia="zh-CN"/>
              </w:rPr>
              <w:t>10分</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pacing w:val="-8"/>
                <w:szCs w:val="21"/>
                <w:highlight w:val="none"/>
              </w:rPr>
              <w:t>管网堵塞每处扣2分；严重积泥每处扣2分</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未及时清淤造成积水的，积水</w:t>
            </w:r>
            <w:r>
              <w:rPr>
                <w:rFonts w:hint="eastAsia" w:ascii="仿宋_GB2312" w:eastAsia="仿宋_GB2312"/>
                <w:color w:val="auto"/>
                <w:szCs w:val="21"/>
                <w:highlight w:val="none"/>
                <w:lang w:val="en-US" w:eastAsia="zh-CN"/>
              </w:rPr>
              <w:t>面积小于10㎡</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分</w:t>
            </w:r>
            <w:r>
              <w:rPr>
                <w:rFonts w:hint="eastAsia" w:ascii="仿宋_GB2312" w:eastAsia="仿宋_GB2312"/>
                <w:color w:val="auto"/>
                <w:szCs w:val="21"/>
                <w:highlight w:val="none"/>
                <w:lang w:val="en-US" w:eastAsia="zh-CN"/>
              </w:rPr>
              <w:t>,10㎡至50㎡每处扣5分,面积大于50㎡</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10分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rPr>
            </w:pPr>
            <w:r>
              <w:rPr>
                <w:rFonts w:hint="eastAsia" w:ascii="仿宋_GB2312" w:eastAsia="仿宋_GB2312"/>
                <w:color w:val="auto"/>
                <w:spacing w:val="-8"/>
                <w:szCs w:val="21"/>
                <w:highlight w:val="none"/>
                <w:lang w:eastAsia="zh-CN"/>
              </w:rPr>
              <w:t>未设置</w:t>
            </w:r>
            <w:r>
              <w:rPr>
                <w:rFonts w:hint="eastAsia" w:ascii="仿宋_GB2312" w:eastAsia="仿宋_GB2312"/>
                <w:color w:val="auto"/>
                <w:spacing w:val="-8"/>
                <w:szCs w:val="21"/>
                <w:highlight w:val="none"/>
              </w:rPr>
              <w:t>防坠网的每处扣3分，</w:t>
            </w:r>
            <w:r>
              <w:rPr>
                <w:rFonts w:hint="eastAsia" w:ascii="仿宋_GB2312" w:eastAsia="仿宋_GB2312"/>
                <w:color w:val="auto"/>
                <w:spacing w:val="-8"/>
                <w:szCs w:val="21"/>
                <w:highlight w:val="none"/>
                <w:lang w:eastAsia="zh-CN"/>
              </w:rPr>
              <w:t>井盖</w:t>
            </w:r>
            <w:r>
              <w:rPr>
                <w:rFonts w:hint="eastAsia" w:ascii="仿宋_GB2312" w:eastAsia="仿宋_GB2312"/>
                <w:color w:val="auto"/>
                <w:szCs w:val="21"/>
                <w:highlight w:val="none"/>
              </w:rPr>
              <w:t>缺失等</w:t>
            </w:r>
            <w:r>
              <w:rPr>
                <w:rFonts w:hint="eastAsia" w:ascii="仿宋_GB2312" w:eastAsia="仿宋_GB2312"/>
                <w:color w:val="auto"/>
                <w:spacing w:val="-8"/>
                <w:szCs w:val="21"/>
                <w:highlight w:val="none"/>
              </w:rPr>
              <w:t>存在</w:t>
            </w:r>
            <w:r>
              <w:rPr>
                <w:rFonts w:hint="eastAsia" w:ascii="仿宋_GB2312" w:eastAsia="仿宋_GB2312"/>
                <w:color w:val="auto"/>
                <w:spacing w:val="-8"/>
                <w:szCs w:val="21"/>
                <w:highlight w:val="none"/>
                <w:lang w:eastAsia="zh-CN"/>
              </w:rPr>
              <w:t>严重</w:t>
            </w:r>
            <w:r>
              <w:rPr>
                <w:rFonts w:hint="eastAsia" w:ascii="仿宋_GB2312" w:eastAsia="仿宋_GB2312"/>
                <w:color w:val="auto"/>
                <w:spacing w:val="-8"/>
                <w:szCs w:val="21"/>
                <w:highlight w:val="none"/>
              </w:rPr>
              <w:t>安全隐患的扣10分</w:t>
            </w:r>
            <w:r>
              <w:rPr>
                <w:rFonts w:hint="eastAsia" w:ascii="仿宋_GB2312" w:eastAsia="仿宋_GB2312"/>
                <w:color w:val="auto"/>
                <w:spacing w:val="-8"/>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泵站</w:t>
            </w:r>
            <w:r>
              <w:rPr>
                <w:rFonts w:hint="eastAsia" w:ascii="仿宋_GB2312" w:eastAsia="仿宋_GB2312"/>
                <w:color w:val="auto"/>
                <w:spacing w:val="-8"/>
                <w:szCs w:val="21"/>
                <w:highlight w:val="none"/>
              </w:rPr>
              <w:t>供配电、排水、监控</w:t>
            </w:r>
            <w:r>
              <w:rPr>
                <w:rFonts w:hint="eastAsia" w:ascii="仿宋_GB2312" w:eastAsia="仿宋_GB2312"/>
                <w:color w:val="auto"/>
                <w:spacing w:val="-8"/>
                <w:szCs w:val="21"/>
                <w:highlight w:val="none"/>
                <w:lang w:eastAsia="zh-CN"/>
              </w:rPr>
              <w:t>等电器</w:t>
            </w:r>
            <w:r>
              <w:rPr>
                <w:rFonts w:hint="eastAsia" w:ascii="仿宋_GB2312" w:eastAsia="仿宋_GB2312"/>
                <w:color w:val="auto"/>
                <w:spacing w:val="-8"/>
                <w:szCs w:val="21"/>
                <w:highlight w:val="none"/>
              </w:rPr>
              <w:t>设施故障</w:t>
            </w:r>
            <w:r>
              <w:rPr>
                <w:rFonts w:hint="eastAsia" w:ascii="仿宋_GB2312" w:eastAsia="仿宋_GB2312"/>
                <w:color w:val="auto"/>
                <w:spacing w:val="-8"/>
                <w:szCs w:val="21"/>
                <w:highlight w:val="none"/>
                <w:lang w:eastAsia="zh-CN"/>
              </w:rPr>
              <w:t>，</w:t>
            </w:r>
            <w:r>
              <w:rPr>
                <w:rFonts w:hint="eastAsia" w:ascii="仿宋_GB2312" w:eastAsia="仿宋_GB2312"/>
                <w:color w:val="auto"/>
                <w:szCs w:val="21"/>
                <w:highlight w:val="none"/>
              </w:rPr>
              <w:t>每处扣</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；灭火器过期每处扣</w:t>
            </w:r>
            <w:r>
              <w:rPr>
                <w:rFonts w:hint="eastAsia" w:ascii="仿宋_GB2312" w:eastAsia="仿宋_GB2312"/>
                <w:color w:val="auto"/>
                <w:szCs w:val="21"/>
                <w:highlight w:val="none"/>
                <w:lang w:val="en-US" w:eastAsia="zh-CN"/>
              </w:rPr>
              <w:t>1分；</w:t>
            </w:r>
            <w:r>
              <w:rPr>
                <w:rFonts w:hint="eastAsia" w:ascii="仿宋_GB2312" w:eastAsia="仿宋_GB2312"/>
                <w:color w:val="auto"/>
                <w:szCs w:val="21"/>
                <w:highlight w:val="none"/>
                <w:lang w:eastAsia="zh-CN"/>
              </w:rPr>
              <w:t>防雷设施未设置或未定期检测扣</w:t>
            </w:r>
            <w:r>
              <w:rPr>
                <w:rFonts w:hint="eastAsia" w:ascii="仿宋_GB2312" w:eastAsia="仿宋_GB2312"/>
                <w:color w:val="auto"/>
                <w:szCs w:val="21"/>
                <w:highlight w:val="none"/>
                <w:lang w:val="en-US" w:eastAsia="zh-CN"/>
              </w:rPr>
              <w:t>2分；监控、道闸、应急电源等“六个一律”未设置到位的，每处扣5分；排水沟、集水井清淤不到位的，每处扣3分。</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c>
          <w:tcPr>
            <w:tcW w:w="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路灯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养护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5分</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路灯缺亮的</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rPr>
              <w:t>路灯设施倾斜、缺损每处扣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分；油漆剥落和锈斑、外观不整洁每处扣</w:t>
            </w:r>
            <w:r>
              <w:rPr>
                <w:rFonts w:hint="eastAsia" w:ascii="仿宋_GB2312" w:eastAsia="仿宋_GB2312"/>
                <w:color w:val="auto"/>
                <w:szCs w:val="21"/>
                <w:highlight w:val="none"/>
                <w:lang w:val="en-US" w:eastAsia="zh-CN"/>
              </w:rPr>
              <w:t>1</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控制箱存在违规接电等，存在安全隐患的扣</w:t>
            </w:r>
            <w:r>
              <w:rPr>
                <w:rFonts w:hint="eastAsia" w:ascii="仿宋_GB2312" w:eastAsia="仿宋_GB2312"/>
                <w:color w:val="auto"/>
                <w:szCs w:val="21"/>
                <w:highlight w:val="none"/>
                <w:lang w:val="en-US" w:eastAsia="zh-CN"/>
              </w:rPr>
              <w:t>5分；发生漏电等安全事故的扣5分。</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应急保障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s="宋体"/>
                <w:color w:val="auto"/>
                <w:kern w:val="0"/>
                <w:szCs w:val="21"/>
                <w:highlight w:val="none"/>
                <w:lang w:eastAsia="zh-CN"/>
              </w:rPr>
            </w:pP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0分</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lang w:eastAsia="zh-CN"/>
              </w:rPr>
              <w:t>养护作业</w:t>
            </w:r>
            <w:r>
              <w:rPr>
                <w:rFonts w:hint="eastAsia" w:ascii="仿宋_GB2312" w:eastAsia="仿宋_GB2312"/>
                <w:color w:val="auto"/>
                <w:szCs w:val="21"/>
                <w:highlight w:val="none"/>
              </w:rPr>
              <w:t>围护不到位</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扣2.5分</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rPr>
              <w:t>无围护</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扣5分</w:t>
            </w:r>
            <w:r>
              <w:rPr>
                <w:rFonts w:hint="eastAsia" w:ascii="仿宋_GB2312" w:eastAsia="仿宋_GB2312"/>
                <w:color w:val="auto"/>
                <w:szCs w:val="21"/>
                <w:highlight w:val="none"/>
                <w:lang w:eastAsia="zh-CN"/>
              </w:rPr>
              <w:t>；</w:t>
            </w:r>
            <w:r>
              <w:rPr>
                <w:rFonts w:hint="eastAsia" w:ascii="仿宋_GB2312" w:eastAsia="仿宋_GB2312"/>
                <w:color w:val="auto"/>
                <w:szCs w:val="21"/>
                <w:highlight w:val="none"/>
              </w:rPr>
              <w:t>着装不规范</w:t>
            </w:r>
            <w:r>
              <w:rPr>
                <w:rFonts w:hint="eastAsia" w:ascii="仿宋_GB2312" w:eastAsia="仿宋_GB2312"/>
                <w:color w:val="auto"/>
                <w:szCs w:val="21"/>
                <w:highlight w:val="none"/>
                <w:lang w:eastAsia="zh-CN"/>
              </w:rPr>
              <w:t>每处</w:t>
            </w:r>
            <w:r>
              <w:rPr>
                <w:rFonts w:hint="eastAsia" w:ascii="仿宋_GB2312" w:eastAsia="仿宋_GB2312"/>
                <w:color w:val="auto"/>
                <w:szCs w:val="21"/>
                <w:highlight w:val="none"/>
              </w:rPr>
              <w:t>扣2分</w:t>
            </w:r>
            <w:r>
              <w:rPr>
                <w:rFonts w:hint="eastAsia" w:ascii="仿宋_GB2312" w:eastAsia="仿宋_GB2312"/>
                <w:color w:val="auto"/>
                <w:szCs w:val="21"/>
                <w:highlight w:val="none"/>
                <w:lang w:eastAsia="zh-CN"/>
              </w:rPr>
              <w:t>；未及时发现违章施工的每处扣</w:t>
            </w:r>
            <w:r>
              <w:rPr>
                <w:rFonts w:hint="eastAsia" w:ascii="仿宋_GB2312" w:eastAsia="仿宋_GB2312"/>
                <w:color w:val="auto"/>
                <w:szCs w:val="21"/>
                <w:highlight w:val="none"/>
                <w:lang w:val="en-US" w:eastAsia="zh-CN"/>
              </w:rPr>
              <w:t>3分，批后监管不到位的每处扣3分。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lang w:eastAsia="zh-CN"/>
              </w:rPr>
              <w:t>防汛防台、</w:t>
            </w:r>
            <w:r>
              <w:rPr>
                <w:rFonts w:hint="eastAsia" w:ascii="仿宋_GB2312" w:eastAsia="仿宋_GB2312" w:cs="宋体"/>
                <w:color w:val="auto"/>
                <w:kern w:val="0"/>
                <w:szCs w:val="21"/>
                <w:highlight w:val="none"/>
              </w:rPr>
              <w:t>抗雪防冻等应急</w:t>
            </w:r>
            <w:r>
              <w:rPr>
                <w:rFonts w:hint="eastAsia" w:ascii="仿宋_GB2312" w:eastAsia="仿宋_GB2312" w:cs="宋体"/>
                <w:color w:val="auto"/>
                <w:kern w:val="0"/>
                <w:szCs w:val="21"/>
                <w:highlight w:val="none"/>
                <w:lang w:eastAsia="zh-CN"/>
              </w:rPr>
              <w:t>处置</w:t>
            </w:r>
            <w:r>
              <w:rPr>
                <w:rFonts w:hint="eastAsia" w:ascii="仿宋_GB2312" w:eastAsia="仿宋_GB2312" w:cs="宋体"/>
                <w:color w:val="auto"/>
                <w:kern w:val="0"/>
                <w:szCs w:val="21"/>
                <w:highlight w:val="none"/>
              </w:rPr>
              <w:t>不到位的每</w:t>
            </w:r>
            <w:r>
              <w:rPr>
                <w:rFonts w:hint="eastAsia" w:ascii="仿宋_GB2312" w:eastAsia="仿宋_GB2312" w:cs="宋体"/>
                <w:color w:val="auto"/>
                <w:kern w:val="0"/>
                <w:szCs w:val="21"/>
                <w:highlight w:val="none"/>
                <w:lang w:eastAsia="zh-CN"/>
              </w:rPr>
              <w:t>次</w:t>
            </w:r>
            <w:r>
              <w:rPr>
                <w:rFonts w:hint="eastAsia" w:ascii="仿宋_GB2312" w:eastAsia="仿宋_GB2312" w:cs="宋体"/>
                <w:color w:val="auto"/>
                <w:kern w:val="0"/>
                <w:szCs w:val="21"/>
                <w:highlight w:val="none"/>
              </w:rPr>
              <w:t>扣</w:t>
            </w:r>
            <w:r>
              <w:rPr>
                <w:rFonts w:hint="eastAsia" w:ascii="仿宋_GB2312" w:eastAsia="仿宋_GB2312" w:cs="宋体"/>
                <w:color w:val="auto"/>
                <w:kern w:val="0"/>
                <w:szCs w:val="21"/>
                <w:highlight w:val="none"/>
                <w:lang w:val="en-US" w:eastAsia="zh-CN"/>
              </w:rPr>
              <w:t>10</w:t>
            </w:r>
            <w:r>
              <w:rPr>
                <w:rFonts w:hint="eastAsia" w:ascii="仿宋_GB2312" w:eastAsia="仿宋_GB2312" w:cs="宋体"/>
                <w:color w:val="auto"/>
                <w:kern w:val="0"/>
                <w:szCs w:val="21"/>
                <w:highlight w:val="none"/>
              </w:rPr>
              <w:t>分</w:t>
            </w:r>
            <w:r>
              <w:rPr>
                <w:rFonts w:hint="eastAsia" w:ascii="仿宋_GB2312" w:eastAsia="仿宋_GB2312"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s="宋体"/>
                <w:color w:val="auto"/>
                <w:kern w:val="0"/>
                <w:szCs w:val="21"/>
                <w:highlight w:val="none"/>
                <w:lang w:eastAsia="zh-CN"/>
              </w:rPr>
            </w:pPr>
            <w:r>
              <w:rPr>
                <w:rFonts w:hint="eastAsia" w:ascii="仿宋_GB2312" w:eastAsia="仿宋_GB2312" w:cs="宋体"/>
                <w:color w:val="auto"/>
                <w:kern w:val="0"/>
                <w:szCs w:val="21"/>
                <w:highlight w:val="none"/>
                <w:lang w:eastAsia="zh-CN"/>
              </w:rPr>
              <w:t>下井、登高等特种作业，发生违规作业情况的每次扣</w:t>
            </w:r>
            <w:r>
              <w:rPr>
                <w:rFonts w:hint="eastAsia" w:ascii="仿宋_GB2312" w:eastAsia="仿宋_GB2312" w:cs="宋体"/>
                <w:color w:val="auto"/>
                <w:kern w:val="0"/>
                <w:szCs w:val="21"/>
                <w:highlight w:val="none"/>
                <w:lang w:val="en-US" w:eastAsia="zh-CN"/>
              </w:rPr>
              <w:t>10分。</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合同履约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20分</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根据合同及招标文件要求，合理配备人员、车辆等应急物资</w:t>
            </w:r>
            <w:r>
              <w:rPr>
                <w:rFonts w:hint="eastAsia" w:ascii="仿宋_GB2312" w:eastAsia="仿宋_GB2312"/>
                <w:color w:val="auto"/>
                <w:szCs w:val="21"/>
                <w:highlight w:val="none"/>
                <w:lang w:val="en-US" w:eastAsia="zh-CN"/>
              </w:rPr>
              <w:t>设施设备，配备不到位的每次扣5分。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市政设施具备一路一卡、一桥一卡、一隧一卡，台账资料不齐全、不准确的，每处扣1分。</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pacing w:val="-8"/>
                <w:szCs w:val="21"/>
                <w:highlight w:val="none"/>
                <w:lang w:val="en-US" w:eastAsia="zh-CN"/>
              </w:rPr>
            </w:pPr>
            <w:r>
              <w:rPr>
                <w:rFonts w:hint="eastAsia" w:ascii="仿宋_GB2312" w:eastAsia="仿宋_GB2312"/>
                <w:color w:val="auto"/>
                <w:spacing w:val="-8"/>
                <w:szCs w:val="21"/>
                <w:highlight w:val="none"/>
                <w:lang w:val="en-US" w:eastAsia="zh-CN"/>
              </w:rPr>
              <w:t xml:space="preserve">正负清单 </w:t>
            </w:r>
          </w:p>
        </w:tc>
        <w:tc>
          <w:tcPr>
            <w:tcW w:w="6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lang w:val="en-US" w:eastAsia="zh-CN"/>
              </w:rPr>
            </w:pPr>
            <w:r>
              <w:rPr>
                <w:rFonts w:hint="eastAsia" w:ascii="仿宋_GB2312" w:eastAsia="仿宋_GB2312"/>
                <w:color w:val="auto"/>
                <w:spacing w:val="-8"/>
                <w:szCs w:val="21"/>
                <w:highlight w:val="none"/>
                <w:lang w:eastAsia="zh-CN"/>
              </w:rPr>
              <w:t>市级</w:t>
            </w:r>
            <w:r>
              <w:rPr>
                <w:rFonts w:hint="eastAsia" w:ascii="仿宋_GB2312" w:eastAsia="仿宋_GB2312"/>
                <w:color w:val="auto"/>
                <w:spacing w:val="-8"/>
                <w:szCs w:val="21"/>
                <w:highlight w:val="none"/>
                <w:lang w:val="en-US" w:eastAsia="zh-CN"/>
              </w:rPr>
              <w:t>领导</w:t>
            </w:r>
            <w:r>
              <w:rPr>
                <w:rFonts w:hint="eastAsia" w:ascii="仿宋_GB2312" w:eastAsia="仿宋_GB2312"/>
                <w:color w:val="auto"/>
                <w:spacing w:val="-8"/>
                <w:szCs w:val="21"/>
                <w:highlight w:val="none"/>
                <w:lang w:eastAsia="zh-CN"/>
              </w:rPr>
              <w:t>及以上批示表扬的每次加</w:t>
            </w:r>
            <w:r>
              <w:rPr>
                <w:rFonts w:hint="eastAsia" w:ascii="仿宋_GB2312" w:eastAsia="仿宋_GB2312"/>
                <w:color w:val="auto"/>
                <w:spacing w:val="-8"/>
                <w:szCs w:val="21"/>
                <w:highlight w:val="none"/>
                <w:lang w:val="en-US" w:eastAsia="zh-CN"/>
              </w:rPr>
              <w:t>1分，批评的每次扣1分；</w:t>
            </w:r>
            <w:r>
              <w:rPr>
                <w:rFonts w:hint="eastAsia" w:ascii="仿宋_GB2312" w:eastAsia="仿宋_GB2312"/>
                <w:color w:val="auto"/>
                <w:spacing w:val="-8"/>
                <w:szCs w:val="21"/>
                <w:highlight w:val="none"/>
                <w:lang w:eastAsia="zh-CN"/>
              </w:rPr>
              <w:t>区级</w:t>
            </w:r>
            <w:r>
              <w:rPr>
                <w:rFonts w:hint="eastAsia" w:ascii="仿宋_GB2312" w:eastAsia="仿宋_GB2312"/>
                <w:color w:val="auto"/>
                <w:spacing w:val="-8"/>
                <w:szCs w:val="21"/>
                <w:highlight w:val="none"/>
                <w:lang w:val="en-US" w:eastAsia="zh-CN"/>
              </w:rPr>
              <w:t>主要领导</w:t>
            </w:r>
            <w:r>
              <w:rPr>
                <w:rFonts w:hint="eastAsia" w:ascii="仿宋_GB2312" w:eastAsia="仿宋_GB2312"/>
                <w:color w:val="auto"/>
                <w:spacing w:val="-8"/>
                <w:szCs w:val="21"/>
                <w:highlight w:val="none"/>
                <w:lang w:eastAsia="zh-CN"/>
              </w:rPr>
              <w:t>批示表扬的每次加</w:t>
            </w:r>
            <w:r>
              <w:rPr>
                <w:rFonts w:hint="eastAsia" w:ascii="仿宋_GB2312" w:eastAsia="仿宋_GB2312"/>
                <w:color w:val="auto"/>
                <w:spacing w:val="-8"/>
                <w:szCs w:val="21"/>
                <w:highlight w:val="none"/>
                <w:lang w:val="en-US" w:eastAsia="zh-CN"/>
              </w:rPr>
              <w:t>0.5分，批评的每次扣0.5分。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lang w:eastAsia="zh-CN"/>
              </w:rPr>
            </w:pPr>
            <w:r>
              <w:rPr>
                <w:rFonts w:hint="eastAsia" w:ascii="仿宋_GB2312" w:eastAsia="仿宋_GB2312"/>
                <w:color w:val="auto"/>
                <w:szCs w:val="21"/>
                <w:highlight w:val="none"/>
              </w:rPr>
              <w:t>联系函、抄告单等超时回复或不回复的每次扣</w:t>
            </w:r>
            <w:r>
              <w:rPr>
                <w:rFonts w:hint="eastAsia" w:ascii="仿宋_GB2312" w:eastAsia="仿宋_GB2312"/>
                <w:color w:val="auto"/>
                <w:szCs w:val="21"/>
                <w:highlight w:val="none"/>
                <w:lang w:val="en-US" w:eastAsia="zh-CN"/>
              </w:rPr>
              <w:t>0.2</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r>
              <w:rPr>
                <w:rFonts w:hint="eastAsia" w:ascii="仿宋_GB2312" w:eastAsia="仿宋_GB2312"/>
                <w:color w:val="auto"/>
                <w:spacing w:val="-8"/>
                <w:szCs w:val="21"/>
                <w:highlight w:val="none"/>
              </w:rPr>
              <w:t>二次抄告</w:t>
            </w:r>
            <w:r>
              <w:rPr>
                <w:rFonts w:hint="eastAsia" w:ascii="仿宋_GB2312" w:eastAsia="仿宋_GB2312"/>
                <w:color w:val="auto"/>
                <w:spacing w:val="-8"/>
                <w:szCs w:val="21"/>
                <w:highlight w:val="none"/>
                <w:lang w:eastAsia="zh-CN"/>
              </w:rPr>
              <w:t>及以上的每</w:t>
            </w:r>
            <w:r>
              <w:rPr>
                <w:rFonts w:hint="eastAsia" w:ascii="仿宋_GB2312" w:eastAsia="仿宋_GB2312"/>
                <w:color w:val="auto"/>
                <w:szCs w:val="21"/>
                <w:highlight w:val="none"/>
              </w:rPr>
              <w:t>次</w:t>
            </w:r>
            <w:r>
              <w:rPr>
                <w:rFonts w:hint="eastAsia" w:ascii="仿宋_GB2312" w:eastAsia="仿宋_GB2312"/>
                <w:color w:val="auto"/>
                <w:spacing w:val="-8"/>
                <w:szCs w:val="21"/>
                <w:highlight w:val="none"/>
              </w:rPr>
              <w:t>扣</w:t>
            </w:r>
            <w:r>
              <w:rPr>
                <w:rFonts w:hint="eastAsia" w:ascii="仿宋_GB2312" w:eastAsia="仿宋_GB2312"/>
                <w:color w:val="auto"/>
                <w:spacing w:val="-8"/>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积极提供市政宣传报道素材（图片、文字等），经区城管局审核，被录用正面宣传报道的，区级媒体每件次加</w:t>
            </w:r>
            <w:r>
              <w:rPr>
                <w:rFonts w:hint="eastAsia" w:ascii="仿宋_GB2312" w:eastAsia="仿宋_GB2312"/>
                <w:color w:val="auto"/>
                <w:sz w:val="21"/>
                <w:szCs w:val="21"/>
                <w:highlight w:val="none"/>
                <w:lang w:val="en-US" w:eastAsia="zh-CN"/>
              </w:rPr>
              <w:t>0.1</w:t>
            </w:r>
            <w:r>
              <w:rPr>
                <w:rFonts w:hint="eastAsia" w:ascii="仿宋_GB2312" w:eastAsia="仿宋_GB2312"/>
                <w:color w:val="auto"/>
                <w:sz w:val="21"/>
                <w:szCs w:val="21"/>
                <w:highlight w:val="none"/>
                <w:lang w:eastAsia="zh-CN"/>
              </w:rPr>
              <w:t>分，市级媒体每件次加</w:t>
            </w:r>
            <w:r>
              <w:rPr>
                <w:rFonts w:hint="eastAsia" w:ascii="仿宋_GB2312" w:eastAsia="仿宋_GB2312"/>
                <w:color w:val="auto"/>
                <w:sz w:val="21"/>
                <w:szCs w:val="21"/>
                <w:highlight w:val="none"/>
                <w:lang w:val="en-US" w:eastAsia="zh-CN"/>
              </w:rPr>
              <w:t>0.2</w:t>
            </w:r>
            <w:r>
              <w:rPr>
                <w:rFonts w:hint="eastAsia" w:ascii="仿宋_GB2312" w:eastAsia="仿宋_GB2312"/>
                <w:color w:val="auto"/>
                <w:sz w:val="21"/>
                <w:szCs w:val="21"/>
                <w:highlight w:val="none"/>
                <w:lang w:eastAsia="zh-CN"/>
              </w:rPr>
              <w:t>分，省级及以上媒体每件次加</w:t>
            </w:r>
            <w:r>
              <w:rPr>
                <w:rFonts w:hint="eastAsia" w:ascii="仿宋_GB2312" w:eastAsia="仿宋_GB2312"/>
                <w:color w:val="auto"/>
                <w:sz w:val="21"/>
                <w:szCs w:val="21"/>
                <w:highlight w:val="none"/>
                <w:lang w:val="en-US" w:eastAsia="zh-CN"/>
              </w:rPr>
              <w:t>0.3</w:t>
            </w:r>
            <w:r>
              <w:rPr>
                <w:rFonts w:hint="eastAsia" w:ascii="仿宋_GB2312" w:eastAsia="仿宋_GB2312"/>
                <w:color w:val="auto"/>
                <w:sz w:val="21"/>
                <w:szCs w:val="21"/>
                <w:highlight w:val="none"/>
                <w:lang w:eastAsia="zh-CN"/>
              </w:rPr>
              <w:t>分，同一事项以最高加分项计；</w:t>
            </w:r>
            <w:r>
              <w:rPr>
                <w:rFonts w:hint="eastAsia" w:ascii="仿宋_GB2312" w:eastAsia="仿宋_GB2312"/>
                <w:color w:val="auto"/>
                <w:spacing w:val="-8"/>
                <w:szCs w:val="21"/>
                <w:highlight w:val="none"/>
                <w:lang w:eastAsia="zh-CN"/>
              </w:rPr>
              <w:t>市级及以上</w:t>
            </w:r>
            <w:r>
              <w:rPr>
                <w:rFonts w:hint="eastAsia" w:ascii="仿宋_GB2312" w:eastAsia="仿宋_GB2312"/>
                <w:color w:val="auto"/>
                <w:spacing w:val="-8"/>
                <w:szCs w:val="21"/>
                <w:highlight w:val="none"/>
              </w:rPr>
              <w:t>媒体曝光每件扣</w:t>
            </w:r>
            <w:r>
              <w:rPr>
                <w:rFonts w:hint="eastAsia" w:ascii="仿宋_GB2312" w:eastAsia="仿宋_GB2312"/>
                <w:color w:val="auto"/>
                <w:spacing w:val="-8"/>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rPr>
              <w:t>，</w:t>
            </w:r>
            <w:r>
              <w:rPr>
                <w:rFonts w:hint="eastAsia" w:ascii="仿宋_GB2312" w:eastAsia="仿宋_GB2312"/>
                <w:color w:val="auto"/>
                <w:spacing w:val="-8"/>
                <w:szCs w:val="21"/>
                <w:highlight w:val="none"/>
                <w:lang w:eastAsia="zh-CN"/>
              </w:rPr>
              <w:t>区级</w:t>
            </w:r>
            <w:r>
              <w:rPr>
                <w:rFonts w:hint="eastAsia" w:ascii="仿宋_GB2312" w:eastAsia="仿宋_GB2312"/>
                <w:color w:val="auto"/>
                <w:spacing w:val="-8"/>
                <w:szCs w:val="21"/>
                <w:highlight w:val="none"/>
              </w:rPr>
              <w:t>媒体曝光每件扣</w:t>
            </w:r>
            <w:r>
              <w:rPr>
                <w:rFonts w:hint="eastAsia" w:ascii="仿宋_GB2312" w:eastAsia="仿宋_GB2312"/>
                <w:color w:val="auto"/>
                <w:szCs w:val="21"/>
                <w:highlight w:val="none"/>
                <w:lang w:val="en-US" w:eastAsia="zh-CN"/>
              </w:rPr>
              <w:t>0.2</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发生无人员死亡有责安全生产事故的，每起扣</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分；发生人员死亡有责安全生产事故的，每起扣</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分</w:t>
            </w:r>
            <w:r>
              <w:rPr>
                <w:rFonts w:hint="eastAsia" w:ascii="仿宋_GB2312" w:hAnsi="仿宋_GB2312" w:eastAsia="仿宋_GB2312" w:cs="仿宋_GB2312"/>
                <w:color w:val="auto"/>
                <w:sz w:val="21"/>
                <w:szCs w:val="21"/>
                <w:highlight w:val="none"/>
                <w:lang w:eastAsia="zh-CN"/>
              </w:rPr>
              <w:t>。</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评分合计</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color w:val="auto"/>
                <w:szCs w:val="21"/>
                <w:highlight w:val="none"/>
              </w:rPr>
            </w:pPr>
            <w:r>
              <w:rPr>
                <w:rFonts w:hint="eastAsia" w:ascii="仿宋_GB2312" w:eastAsia="仿宋_GB2312"/>
                <w:color w:val="auto"/>
                <w:szCs w:val="21"/>
                <w:highlight w:val="none"/>
              </w:rPr>
              <w:t>备注</w:t>
            </w:r>
          </w:p>
        </w:tc>
        <w:tc>
          <w:tcPr>
            <w:tcW w:w="731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rPr>
            </w:pPr>
            <w:r>
              <w:rPr>
                <w:rFonts w:hint="eastAsia" w:ascii="仿宋_GB2312" w:hAnsi="仿宋_GB2312" w:eastAsia="仿宋_GB2312" w:cs="仿宋_GB2312"/>
                <w:color w:val="auto"/>
                <w:kern w:val="0"/>
                <w:sz w:val="21"/>
                <w:szCs w:val="21"/>
                <w:highlight w:val="none"/>
                <w:lang w:val="en-US" w:eastAsia="zh-CN"/>
              </w:rPr>
              <w:t>正负面分数累计加减分分别不高于3分，超过按3分计入。</w:t>
            </w:r>
          </w:p>
        </w:tc>
      </w:tr>
    </w:tbl>
    <w:p>
      <w:pPr>
        <w:keepNext w:val="0"/>
        <w:keepLines w:val="0"/>
        <w:pageBreakBefore w:val="0"/>
        <w:kinsoku/>
        <w:wordWrap/>
        <w:overflowPunct/>
        <w:topLinePunct w:val="0"/>
        <w:autoSpaceDE/>
        <w:autoSpaceDN/>
        <w:bidi w:val="0"/>
        <w:spacing w:line="570" w:lineRule="exact"/>
        <w:ind w:right="0" w:rightChars="0"/>
        <w:outlineLvl w:val="9"/>
        <w:rPr>
          <w:color w:val="auto"/>
          <w:highlight w:val="none"/>
        </w:rPr>
      </w:pPr>
    </w:p>
    <w:p>
      <w:pPr>
        <w:keepNext w:val="0"/>
        <w:keepLines w:val="0"/>
        <w:pageBreakBefore w:val="0"/>
        <w:kinsoku/>
        <w:wordWrap/>
        <w:overflowPunct/>
        <w:topLinePunct w:val="0"/>
        <w:autoSpaceDE/>
        <w:autoSpaceDN/>
        <w:bidi w:val="0"/>
        <w:spacing w:line="570" w:lineRule="exact"/>
        <w:ind w:right="0" w:rightChars="0"/>
        <w:outlineLvl w:val="9"/>
        <w:rPr>
          <w:color w:val="auto"/>
          <w:highlight w:val="none"/>
        </w:rPr>
      </w:pPr>
    </w:p>
    <w:p>
      <w:pPr>
        <w:keepNext w:val="0"/>
        <w:keepLines w:val="0"/>
        <w:pageBreakBefore w:val="0"/>
        <w:kinsoku/>
        <w:wordWrap/>
        <w:overflowPunct/>
        <w:topLinePunct w:val="0"/>
        <w:autoSpaceDE/>
        <w:autoSpaceDN/>
        <w:bidi w:val="0"/>
        <w:spacing w:line="570" w:lineRule="exact"/>
        <w:ind w:right="0" w:rightChars="0"/>
        <w:outlineLvl w:val="9"/>
        <w:rPr>
          <w:color w:val="auto"/>
          <w:highlight w:val="none"/>
        </w:rPr>
      </w:pPr>
    </w:p>
    <w:p>
      <w:pPr>
        <w:keepNext w:val="0"/>
        <w:keepLines w:val="0"/>
        <w:pageBreakBefore w:val="0"/>
        <w:kinsoku/>
        <w:wordWrap/>
        <w:overflowPunct/>
        <w:topLinePunct w:val="0"/>
        <w:autoSpaceDE/>
        <w:autoSpaceDN/>
        <w:bidi w:val="0"/>
        <w:spacing w:line="570" w:lineRule="exact"/>
        <w:ind w:right="0" w:rightChars="0"/>
        <w:outlineLvl w:val="9"/>
        <w:rPr>
          <w:color w:val="auto"/>
          <w:highlight w:val="none"/>
        </w:rPr>
      </w:pPr>
    </w:p>
    <w:p>
      <w:pPr>
        <w:keepNext w:val="0"/>
        <w:keepLines w:val="0"/>
        <w:pageBreakBefore w:val="0"/>
        <w:kinsoku/>
        <w:wordWrap/>
        <w:overflowPunct/>
        <w:topLinePunct w:val="0"/>
        <w:autoSpaceDE/>
        <w:autoSpaceDN/>
        <w:bidi w:val="0"/>
        <w:spacing w:line="570" w:lineRule="exact"/>
        <w:ind w:right="0" w:rightChars="0"/>
        <w:outlineLvl w:val="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pStyle w:val="79"/>
        <w:rPr>
          <w:color w:val="auto"/>
          <w:highlight w:val="none"/>
        </w:rPr>
      </w:pPr>
    </w:p>
    <w:p>
      <w:pPr>
        <w:keepNext w:val="0"/>
        <w:keepLines w:val="0"/>
        <w:pageBreakBefore w:val="0"/>
        <w:numPr>
          <w:ilvl w:val="0"/>
          <w:numId w:val="0"/>
        </w:numPr>
        <w:kinsoku/>
        <w:wordWrap/>
        <w:overflowPunct/>
        <w:topLinePunct w:val="0"/>
        <w:autoSpaceDE/>
        <w:autoSpaceDN/>
        <w:bidi w:val="0"/>
        <w:spacing w:line="570" w:lineRule="exact"/>
        <w:ind w:right="0" w:rightChars="0"/>
        <w:jc w:val="center"/>
        <w:outlineLvl w:val="9"/>
        <w:rPr>
          <w:rFonts w:hint="eastAsia" w:ascii="仿宋_GB2312" w:hAnsi="仿宋_GB2312" w:eastAsia="仿宋_GB2312" w:cs="仿宋_GB2312"/>
          <w:b/>
          <w:color w:val="auto"/>
          <w:szCs w:val="21"/>
          <w:highlight w:val="none"/>
        </w:rPr>
      </w:pPr>
      <w:r>
        <w:rPr>
          <w:rFonts w:hint="eastAsia" w:ascii="方正小标宋_GBK" w:eastAsia="方正小标宋_GBK"/>
          <w:b w:val="0"/>
          <w:bCs w:val="0"/>
          <w:color w:val="auto"/>
          <w:sz w:val="32"/>
          <w:szCs w:val="32"/>
          <w:highlight w:val="none"/>
          <w:lang w:eastAsia="zh-CN"/>
        </w:rPr>
        <w:t>临平</w:t>
      </w:r>
      <w:r>
        <w:rPr>
          <w:rFonts w:hint="eastAsia" w:ascii="方正小标宋_GBK" w:eastAsia="方正小标宋_GBK"/>
          <w:b w:val="0"/>
          <w:bCs w:val="0"/>
          <w:color w:val="auto"/>
          <w:sz w:val="32"/>
          <w:szCs w:val="32"/>
          <w:highlight w:val="none"/>
        </w:rPr>
        <w:t>区绿化</w:t>
      </w:r>
      <w:r>
        <w:rPr>
          <w:rFonts w:hint="eastAsia" w:ascii="方正小标宋_GBK" w:hAnsi="宋体" w:eastAsia="方正小标宋_GBK" w:cs="宋体"/>
          <w:b w:val="0"/>
          <w:bCs/>
          <w:color w:val="auto"/>
          <w:sz w:val="32"/>
          <w:szCs w:val="32"/>
          <w:highlight w:val="none"/>
          <w:lang w:eastAsia="zh-CN"/>
        </w:rPr>
        <w:t>考核</w:t>
      </w:r>
      <w:r>
        <w:rPr>
          <w:rFonts w:hint="eastAsia" w:ascii="方正小标宋_GBK" w:eastAsia="方正小标宋_GBK"/>
          <w:b w:val="0"/>
          <w:bCs w:val="0"/>
          <w:color w:val="auto"/>
          <w:sz w:val="32"/>
          <w:szCs w:val="32"/>
          <w:highlight w:val="none"/>
        </w:rPr>
        <w:t>评分细则</w:t>
      </w:r>
    </w:p>
    <w:tbl>
      <w:tblPr>
        <w:tblStyle w:val="62"/>
        <w:tblW w:w="0" w:type="auto"/>
        <w:jc w:val="center"/>
        <w:tblLayout w:type="fixed"/>
        <w:tblCellMar>
          <w:top w:w="0" w:type="dxa"/>
          <w:left w:w="108" w:type="dxa"/>
          <w:bottom w:w="0" w:type="dxa"/>
          <w:right w:w="108" w:type="dxa"/>
        </w:tblCellMar>
      </w:tblPr>
      <w:tblGrid>
        <w:gridCol w:w="721"/>
        <w:gridCol w:w="839"/>
        <w:gridCol w:w="6372"/>
        <w:gridCol w:w="1095"/>
      </w:tblGrid>
      <w:tr>
        <w:tblPrEx>
          <w:tblCellMar>
            <w:top w:w="0" w:type="dxa"/>
            <w:left w:w="108" w:type="dxa"/>
            <w:bottom w:w="0" w:type="dxa"/>
            <w:right w:w="108" w:type="dxa"/>
          </w:tblCellMar>
        </w:tblPrEx>
        <w:trPr>
          <w:trHeight w:val="57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考核</w:t>
            </w:r>
            <w:r>
              <w:rPr>
                <w:rFonts w:hint="eastAsia" w:ascii="黑体" w:hAnsi="黑体" w:eastAsia="黑体" w:cs="黑体"/>
                <w:b w:val="0"/>
                <w:bCs/>
                <w:color w:val="auto"/>
                <w:sz w:val="24"/>
                <w:szCs w:val="24"/>
                <w:highlight w:val="none"/>
              </w:rPr>
              <w:t>内容</w:t>
            </w:r>
          </w:p>
        </w:tc>
        <w:tc>
          <w:tcPr>
            <w:tcW w:w="63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评分细则</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考核</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分值</w:t>
            </w:r>
          </w:p>
        </w:tc>
      </w:tr>
      <w:tr>
        <w:tblPrEx>
          <w:tblCellMar>
            <w:top w:w="0" w:type="dxa"/>
            <w:left w:w="108" w:type="dxa"/>
            <w:bottom w:w="0" w:type="dxa"/>
            <w:right w:w="108" w:type="dxa"/>
          </w:tblCellMar>
        </w:tblPrEx>
        <w:trPr>
          <w:trHeight w:val="652" w:hRule="atLeast"/>
          <w:jc w:val="center"/>
        </w:trPr>
        <w:tc>
          <w:tcPr>
            <w:tcW w:w="721" w:type="dxa"/>
            <w:vMerge w:val="restart"/>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日常养护</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strike/>
                <w:color w:val="auto"/>
                <w:kern w:val="0"/>
                <w:szCs w:val="21"/>
                <w:highlight w:val="none"/>
              </w:rPr>
            </w:pPr>
            <w:r>
              <w:rPr>
                <w:rFonts w:hint="eastAsia" w:ascii="仿宋_GB2312" w:eastAsia="仿宋_GB2312"/>
                <w:color w:val="auto"/>
                <w:szCs w:val="21"/>
                <w:highlight w:val="none"/>
                <w:lang w:val="en-US" w:eastAsia="zh-CN"/>
              </w:rPr>
              <w:t>60</w:t>
            </w:r>
            <w:r>
              <w:rPr>
                <w:rFonts w:hint="eastAsia" w:ascii="仿宋_GB2312" w:eastAsia="仿宋_GB2312"/>
                <w:color w:val="auto"/>
                <w:szCs w:val="21"/>
                <w:highlight w:val="none"/>
              </w:rPr>
              <w:t>分</w:t>
            </w:r>
          </w:p>
        </w:tc>
        <w:tc>
          <w:tcPr>
            <w:tcW w:w="839" w:type="dxa"/>
            <w:vMerge w:val="restart"/>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植物</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基本</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养护</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lang w:val="en-US" w:eastAsia="zh-CN"/>
              </w:rPr>
            </w:pP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0分</w:t>
            </w: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行道树和乔木缺株</w:t>
            </w:r>
            <w:r>
              <w:rPr>
                <w:rFonts w:hint="eastAsia" w:ascii="仿宋_GB2312" w:eastAsia="仿宋_GB2312" w:cs="宋体"/>
                <w:color w:val="auto"/>
                <w:kern w:val="0"/>
                <w:szCs w:val="21"/>
                <w:highlight w:val="none"/>
                <w:lang w:eastAsia="zh-CN"/>
              </w:rPr>
              <w:t>、</w:t>
            </w:r>
            <w:r>
              <w:rPr>
                <w:rFonts w:hint="eastAsia" w:ascii="仿宋_GB2312" w:eastAsia="仿宋_GB2312" w:cs="宋体"/>
                <w:color w:val="auto"/>
                <w:kern w:val="0"/>
                <w:szCs w:val="21"/>
                <w:highlight w:val="none"/>
              </w:rPr>
              <w:t>死株，每处扣</w:t>
            </w:r>
            <w:r>
              <w:rPr>
                <w:rFonts w:hint="eastAsia" w:ascii="仿宋_GB2312" w:eastAsia="仿宋_GB2312" w:cs="宋体"/>
                <w:color w:val="auto"/>
                <w:kern w:val="0"/>
                <w:szCs w:val="21"/>
                <w:highlight w:val="none"/>
                <w:lang w:val="en-US" w:eastAsia="zh-CN"/>
              </w:rPr>
              <w:t>3-5</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行道树和乔木支撑不规范、支撑架倒塌、断桩、坏桩、树木倾斜严重，每处扣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1216"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行道树和乔木病虫枝、枯枝、伤损枝、徒长枝超过养护标准的，未疏枝、树皮开裂、孔洞未及时填补，每处扣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分；修剪不规范造成树木严重受损的，每处扣</w:t>
            </w:r>
            <w:r>
              <w:rPr>
                <w:rFonts w:hint="eastAsia" w:ascii="仿宋_GB2312" w:eastAsia="仿宋_GB2312" w:cs="宋体"/>
                <w:color w:val="auto"/>
                <w:kern w:val="0"/>
                <w:szCs w:val="21"/>
                <w:highlight w:val="none"/>
                <w:lang w:val="en-US" w:eastAsia="zh-CN"/>
              </w:rPr>
              <w:t>3</w:t>
            </w:r>
            <w:r>
              <w:rPr>
                <w:rFonts w:hint="eastAsia" w:ascii="仿宋_GB2312" w:eastAsia="仿宋_GB2312" w:cs="宋体"/>
                <w:color w:val="auto"/>
                <w:kern w:val="0"/>
                <w:szCs w:val="21"/>
                <w:highlight w:val="none"/>
              </w:rPr>
              <w:t>分，</w:t>
            </w:r>
            <w:r>
              <w:rPr>
                <w:rFonts w:hint="eastAsia" w:ascii="仿宋_GB2312" w:eastAsia="仿宋_GB2312" w:cs="宋体"/>
                <w:color w:val="auto"/>
                <w:kern w:val="0"/>
                <w:szCs w:val="21"/>
                <w:highlight w:val="none"/>
                <w:lang w:eastAsia="zh-CN"/>
              </w:rPr>
              <w:t>未向城管局报备审核，擅自进行过度修剪的</w:t>
            </w:r>
            <w:r>
              <w:rPr>
                <w:rFonts w:hint="eastAsia" w:ascii="仿宋_GB2312" w:eastAsia="仿宋_GB2312" w:cs="宋体"/>
                <w:color w:val="auto"/>
                <w:kern w:val="0"/>
                <w:szCs w:val="21"/>
                <w:highlight w:val="none"/>
              </w:rPr>
              <w:t>每次扣</w:t>
            </w:r>
            <w:r>
              <w:rPr>
                <w:rFonts w:hint="eastAsia" w:ascii="仿宋_GB2312" w:eastAsia="仿宋_GB2312" w:cs="宋体"/>
                <w:color w:val="auto"/>
                <w:kern w:val="0"/>
                <w:szCs w:val="21"/>
                <w:highlight w:val="none"/>
                <w:lang w:val="en-US" w:eastAsia="zh-CN"/>
              </w:rPr>
              <w:t>10</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行道树和乔木长势不佳、偏冠严重、无冠幅，每处扣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分；树木长势较弱，黄叶、焦叶、落叶株数较多，每处扣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树穴土壤高于侧石、板结、填充物缺失，每处扣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分；0.5平方米以内树穴裸露扣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分，超出0.5平方米每处扣</w:t>
            </w:r>
            <w:r>
              <w:rPr>
                <w:rFonts w:hint="eastAsia" w:ascii="仿宋_GB2312" w:eastAsia="仿宋_GB2312" w:cs="宋体"/>
                <w:color w:val="auto"/>
                <w:kern w:val="0"/>
                <w:szCs w:val="21"/>
                <w:highlight w:val="none"/>
                <w:lang w:val="en-US" w:eastAsia="zh-CN"/>
              </w:rPr>
              <w:t>3</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绿篱和灌木出现死株、缺株、混种、小道、杂株返祖的、绿植倒伏，每处</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分；0.5平方米以内黄土裸露每处扣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分，超出0.5平方米每处扣</w:t>
            </w:r>
            <w:r>
              <w:rPr>
                <w:rFonts w:hint="eastAsia" w:ascii="仿宋_GB2312" w:eastAsia="仿宋_GB2312" w:cs="宋体"/>
                <w:color w:val="auto"/>
                <w:kern w:val="0"/>
                <w:szCs w:val="21"/>
                <w:highlight w:val="none"/>
                <w:lang w:val="en-US" w:eastAsia="zh-CN"/>
              </w:rPr>
              <w:t>3</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绿篱和灌木修剪不规范、不平整、窜条、高度影响交通视线的，每处扣</w:t>
            </w:r>
            <w:r>
              <w:rPr>
                <w:rFonts w:hint="eastAsia" w:ascii="仿宋_GB2312" w:eastAsia="仿宋_GB2312" w:cs="宋体"/>
                <w:color w:val="auto"/>
                <w:kern w:val="0"/>
                <w:szCs w:val="21"/>
                <w:highlight w:val="none"/>
                <w:lang w:val="en-US" w:eastAsia="zh-CN"/>
              </w:rPr>
              <w:t>2-3</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草坪高度超出养护标准、草坪边缘不清淅、草坪空秃、草坪覆盖率低的，每处扣1分，0.5平方米以内黄土裸露的，每处扣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分，超出0.5平方米每处扣</w:t>
            </w:r>
            <w:r>
              <w:rPr>
                <w:rFonts w:hint="eastAsia" w:ascii="仿宋_GB2312" w:eastAsia="仿宋_GB2312" w:cs="宋体"/>
                <w:color w:val="auto"/>
                <w:kern w:val="0"/>
                <w:szCs w:val="21"/>
                <w:highlight w:val="none"/>
                <w:lang w:val="en-US" w:eastAsia="zh-CN"/>
              </w:rPr>
              <w:t>3</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绿地内杂草超过养护标准的，每处扣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r>
              <w:rPr>
                <w:rFonts w:ascii="仿宋_GB2312" w:eastAsia="仿宋_GB2312" w:cs="宋体"/>
                <w:color w:val="auto"/>
                <w:kern w:val="0"/>
                <w:szCs w:val="21"/>
                <w:highlight w:val="none"/>
              </w:rPr>
              <w:t xml:space="preserve"> </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spacing w:val="-9"/>
                <w:kern w:val="0"/>
                <w:szCs w:val="21"/>
                <w:highlight w:val="none"/>
                <w:lang w:val="en-US" w:eastAsia="zh-CN"/>
              </w:rPr>
              <w:t xml:space="preserve">    </w:t>
            </w:r>
            <w:r>
              <w:rPr>
                <w:rFonts w:hint="eastAsia" w:ascii="仿宋_GB2312" w:eastAsia="仿宋_GB2312" w:cs="宋体"/>
                <w:color w:val="auto"/>
                <w:spacing w:val="-9"/>
                <w:kern w:val="0"/>
                <w:szCs w:val="21"/>
                <w:highlight w:val="none"/>
              </w:rPr>
              <w:t>花坛花箱内时花缺株、倒伏、枯枝残花、杂草垃圾等每处扣</w:t>
            </w:r>
            <w:r>
              <w:rPr>
                <w:rFonts w:hint="eastAsia" w:ascii="仿宋_GB2312" w:eastAsia="仿宋_GB2312" w:cs="宋体"/>
                <w:color w:val="auto"/>
                <w:spacing w:val="-9"/>
                <w:kern w:val="0"/>
                <w:szCs w:val="21"/>
                <w:highlight w:val="none"/>
                <w:lang w:val="en-US" w:eastAsia="zh-CN"/>
              </w:rPr>
              <w:t>2</w:t>
            </w:r>
            <w:r>
              <w:rPr>
                <w:rFonts w:hint="eastAsia" w:ascii="仿宋_GB2312" w:eastAsia="仿宋_GB2312" w:cs="宋体"/>
                <w:color w:val="auto"/>
                <w:spacing w:val="-9"/>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724"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绿化补种不规范、以及绿地养护出现其他问题的每处扣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r>
              <w:rPr>
                <w:rFonts w:hint="eastAsia" w:ascii="仿宋_GB2312" w:eastAsia="仿宋_GB2312" w:cs="宋体"/>
                <w:color w:val="auto"/>
                <w:kern w:val="0"/>
                <w:szCs w:val="21"/>
                <w:highlight w:val="none"/>
                <w:lang w:eastAsia="zh-CN"/>
              </w:rPr>
              <w:t>管养区域内</w:t>
            </w:r>
            <w:r>
              <w:rPr>
                <w:rFonts w:hint="eastAsia" w:ascii="仿宋_GB2312" w:eastAsia="仿宋_GB2312" w:cs="宋体"/>
                <w:color w:val="auto"/>
                <w:kern w:val="0"/>
                <w:szCs w:val="21"/>
                <w:highlight w:val="none"/>
              </w:rPr>
              <w:t>绿地失管每处扣</w:t>
            </w:r>
            <w:r>
              <w:rPr>
                <w:rFonts w:hint="default" w:ascii="仿宋_GB2312" w:eastAsia="仿宋_GB2312" w:cs="宋体"/>
                <w:color w:val="auto"/>
                <w:kern w:val="0"/>
                <w:szCs w:val="21"/>
                <w:highlight w:val="none"/>
                <w:lang w:val="en-US"/>
              </w:rPr>
              <w:t>5-10</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strike/>
                <w:color w:val="auto"/>
                <w:kern w:val="0"/>
                <w:szCs w:val="21"/>
                <w:highlight w:val="none"/>
              </w:rPr>
            </w:pPr>
          </w:p>
        </w:tc>
        <w:tc>
          <w:tcPr>
            <w:tcW w:w="839" w:type="dxa"/>
            <w:vMerge w:val="restart"/>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病虫</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害防</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strike/>
                <w:color w:val="auto"/>
                <w:kern w:val="0"/>
                <w:szCs w:val="21"/>
                <w:highlight w:val="none"/>
              </w:rPr>
            </w:pPr>
            <w:r>
              <w:rPr>
                <w:rFonts w:hint="eastAsia" w:ascii="仿宋_GB2312" w:eastAsia="仿宋_GB2312" w:cs="宋体"/>
                <w:color w:val="auto"/>
                <w:kern w:val="0"/>
                <w:szCs w:val="21"/>
                <w:highlight w:val="none"/>
              </w:rPr>
              <w:t>治</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lang w:val="en-US" w:eastAsia="zh-CN"/>
              </w:rPr>
            </w:pP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0分</w:t>
            </w: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发生病虫害每处扣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r>
              <w:rPr>
                <w:rFonts w:hint="eastAsia" w:ascii="仿宋_GB2312" w:eastAsia="仿宋_GB2312" w:cs="宋体"/>
                <w:b/>
                <w:bCs/>
                <w:color w:val="auto"/>
                <w:kern w:val="0"/>
                <w:szCs w:val="21"/>
                <w:highlight w:val="none"/>
              </w:rPr>
              <w:t>，</w:t>
            </w:r>
            <w:r>
              <w:rPr>
                <w:rFonts w:hint="eastAsia" w:ascii="仿宋_GB2312" w:eastAsia="仿宋_GB2312" w:cs="宋体"/>
                <w:color w:val="auto"/>
                <w:kern w:val="0"/>
                <w:szCs w:val="21"/>
                <w:highlight w:val="none"/>
              </w:rPr>
              <w:t>大面积爆发扣</w:t>
            </w:r>
            <w:r>
              <w:rPr>
                <w:rFonts w:hint="eastAsia" w:ascii="仿宋_GB2312" w:eastAsia="仿宋_GB2312" w:cs="宋体"/>
                <w:color w:val="auto"/>
                <w:kern w:val="0"/>
                <w:szCs w:val="21"/>
                <w:highlight w:val="none"/>
                <w:lang w:val="en-US" w:eastAsia="zh-CN"/>
              </w:rPr>
              <w:t>5</w:t>
            </w:r>
            <w:r>
              <w:rPr>
                <w:rFonts w:hint="eastAsia" w:ascii="仿宋_GB2312" w:eastAsia="仿宋_GB2312" w:cs="宋体"/>
                <w:color w:val="auto"/>
                <w:kern w:val="0"/>
                <w:szCs w:val="21"/>
                <w:highlight w:val="none"/>
              </w:rPr>
              <w:t>分</w:t>
            </w:r>
            <w:r>
              <w:rPr>
                <w:rFonts w:hint="eastAsia" w:ascii="仿宋_GB2312" w:eastAsia="仿宋_GB2312" w:cs="宋体"/>
                <w:b/>
                <w:bCs/>
                <w:color w:val="auto"/>
                <w:kern w:val="0"/>
                <w:szCs w:val="21"/>
                <w:highlight w:val="none"/>
              </w:rPr>
              <w:t>。</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874"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发现病虫害未及时进行防治措施的每处扣3分。病虫害防治措施不到位的每处扣3分。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食叶性害虫危害树木，每处扣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9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c>
          <w:tcPr>
            <w:tcW w:w="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发现活蛀虫和活卵，每处扣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415"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strike/>
                <w:color w:val="auto"/>
                <w:kern w:val="0"/>
                <w:szCs w:val="21"/>
                <w:highlight w:val="none"/>
              </w:rPr>
            </w:pPr>
          </w:p>
        </w:tc>
        <w:tc>
          <w:tcPr>
            <w:tcW w:w="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绿化</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strike/>
                <w:color w:val="auto"/>
                <w:kern w:val="0"/>
                <w:szCs w:val="21"/>
                <w:highlight w:val="none"/>
              </w:rPr>
            </w:pPr>
            <w:r>
              <w:rPr>
                <w:rFonts w:hint="eastAsia" w:ascii="仿宋_GB2312" w:eastAsia="仿宋_GB2312" w:cs="宋体"/>
                <w:color w:val="auto"/>
                <w:kern w:val="0"/>
                <w:szCs w:val="21"/>
                <w:highlight w:val="none"/>
              </w:rPr>
              <w:t>设施</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10分</w:t>
            </w:r>
          </w:p>
        </w:tc>
        <w:tc>
          <w:tcPr>
            <w:tcW w:w="63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花箱、花坛、树穴破损、缺失扣</w:t>
            </w:r>
            <w:r>
              <w:rPr>
                <w:rFonts w:hint="default" w:ascii="仿宋_GB2312" w:eastAsia="仿宋_GB2312" w:cs="宋体"/>
                <w:color w:val="auto"/>
                <w:kern w:val="0"/>
                <w:szCs w:val="21"/>
                <w:highlight w:val="none"/>
                <w:lang w:val="en-US"/>
              </w:rPr>
              <w:t>2</w:t>
            </w:r>
            <w:r>
              <w:rPr>
                <w:rFonts w:hint="eastAsia" w:ascii="仿宋_GB2312" w:eastAsia="仿宋_GB2312" w:cs="宋体"/>
                <w:color w:val="auto"/>
                <w:kern w:val="0"/>
                <w:szCs w:val="21"/>
                <w:highlight w:val="none"/>
              </w:rPr>
              <w:t>分，其他设施缺失扣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669"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公园及绿地内果壳箱有污迹、破损，箱内垃圾未日产日清的，每处扣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804" w:hRule="atLeast"/>
          <w:jc w:val="center"/>
        </w:trPr>
        <w:tc>
          <w:tcPr>
            <w:tcW w:w="72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设施有污迹、破损，金属构件设施有锈斑，油漆剥落等现象的每处扣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分，公园设施存在明显安全隐患，未采取安全措施的，每处扣</w:t>
            </w:r>
            <w:r>
              <w:rPr>
                <w:rFonts w:hint="eastAsia" w:ascii="仿宋_GB2312" w:eastAsia="仿宋_GB2312" w:cs="宋体"/>
                <w:color w:val="auto"/>
                <w:kern w:val="0"/>
                <w:szCs w:val="21"/>
                <w:highlight w:val="none"/>
                <w:lang w:val="en-US" w:eastAsia="zh-CN"/>
              </w:rPr>
              <w:t>5</w:t>
            </w:r>
            <w:r>
              <w:rPr>
                <w:rFonts w:hint="eastAsia" w:ascii="仿宋_GB2312" w:eastAsia="仿宋_GB2312" w:cs="宋体"/>
                <w:color w:val="auto"/>
                <w:kern w:val="0"/>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卫生</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管理</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rPr>
              <w:t>10分</w:t>
            </w:r>
          </w:p>
        </w:tc>
        <w:tc>
          <w:tcPr>
            <w:tcW w:w="6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树上及绿带内有垃圾袋、零乱草绳、钉子、扎缚铁丝、电线、挂晾晒衣物、堆物</w:t>
            </w:r>
            <w:r>
              <w:rPr>
                <w:rFonts w:hint="eastAsia" w:ascii="仿宋_GB2312" w:eastAsia="仿宋_GB2312" w:cs="宋体"/>
                <w:color w:val="auto"/>
                <w:kern w:val="0"/>
                <w:szCs w:val="21"/>
                <w:highlight w:val="none"/>
                <w:lang w:eastAsia="zh-CN"/>
              </w:rPr>
              <w:t>、渣土积泥</w:t>
            </w:r>
            <w:r>
              <w:rPr>
                <w:rFonts w:hint="eastAsia" w:ascii="仿宋_GB2312" w:eastAsia="仿宋_GB2312" w:cs="宋体"/>
                <w:color w:val="auto"/>
                <w:kern w:val="0"/>
                <w:szCs w:val="21"/>
                <w:highlight w:val="none"/>
              </w:rPr>
              <w:t>等，每处扣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c>
          <w:tcPr>
            <w:tcW w:w="83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绿地内有明显枯叶堆积、白色垃圾、石块、果壳等杂物的每处扣2分。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540" w:hRule="atLeast"/>
          <w:jc w:val="center"/>
        </w:trPr>
        <w:tc>
          <w:tcPr>
            <w:tcW w:w="72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c>
          <w:tcPr>
            <w:tcW w:w="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p>
        </w:tc>
        <w:tc>
          <w:tcPr>
            <w:tcW w:w="6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乔木及绿带积尘明显每处扣</w:t>
            </w:r>
            <w:r>
              <w:rPr>
                <w:rFonts w:hint="eastAsia" w:ascii="仿宋_GB2312" w:eastAsia="仿宋_GB2312" w:cs="宋体"/>
                <w:color w:val="auto"/>
                <w:kern w:val="0"/>
                <w:szCs w:val="21"/>
                <w:highlight w:val="none"/>
                <w:lang w:val="en-US" w:eastAsia="zh-CN"/>
              </w:rPr>
              <w:t>2</w:t>
            </w:r>
            <w:r>
              <w:rPr>
                <w:rFonts w:hint="eastAsia" w:ascii="仿宋_GB2312" w:eastAsia="仿宋_GB2312" w:cs="宋体"/>
                <w:color w:val="auto"/>
                <w:kern w:val="0"/>
                <w:szCs w:val="21"/>
                <w:highlight w:val="none"/>
              </w:rPr>
              <w:t>分，沿线绿带色块叶面积灰严重的每处扣</w:t>
            </w:r>
            <w:r>
              <w:rPr>
                <w:rFonts w:hint="eastAsia" w:ascii="仿宋_GB2312" w:eastAsia="仿宋_GB2312" w:cs="宋体"/>
                <w:color w:val="auto"/>
                <w:kern w:val="0"/>
                <w:szCs w:val="21"/>
                <w:highlight w:val="none"/>
                <w:lang w:val="en-US" w:eastAsia="zh-CN"/>
              </w:rPr>
              <w:t>3-5</w:t>
            </w:r>
            <w:r>
              <w:rPr>
                <w:rFonts w:hint="eastAsia" w:ascii="仿宋_GB2312" w:eastAsia="仿宋_GB2312" w:cs="宋体"/>
                <w:color w:val="auto"/>
                <w:kern w:val="0"/>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1550" w:hRule="atLeast"/>
          <w:jc w:val="center"/>
        </w:trPr>
        <w:tc>
          <w:tcPr>
            <w:tcW w:w="156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应急保障</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r>
              <w:rPr>
                <w:rFonts w:hint="eastAsia" w:ascii="仿宋_GB2312" w:eastAsia="仿宋_GB2312"/>
                <w:color w:val="auto"/>
                <w:szCs w:val="21"/>
                <w:highlight w:val="none"/>
                <w:lang w:val="en-US" w:eastAsia="zh-CN"/>
              </w:rPr>
              <w:t>2</w:t>
            </w:r>
            <w:r>
              <w:rPr>
                <w:rFonts w:hint="eastAsia" w:ascii="仿宋_GB2312" w:eastAsia="仿宋_GB2312"/>
                <w:color w:val="auto"/>
                <w:szCs w:val="21"/>
                <w:highlight w:val="none"/>
              </w:rPr>
              <w:t>0分</w:t>
            </w:r>
          </w:p>
        </w:tc>
        <w:tc>
          <w:tcPr>
            <w:tcW w:w="63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rPr>
              <w:t>管养人员不到位，养护人员上路作业不穿工作服，不文明作业的，每发现</w:t>
            </w:r>
            <w:r>
              <w:rPr>
                <w:rFonts w:ascii="仿宋_GB2312" w:eastAsia="仿宋_GB2312" w:cs="宋体"/>
                <w:color w:val="auto"/>
                <w:kern w:val="0"/>
                <w:szCs w:val="21"/>
                <w:highlight w:val="none"/>
              </w:rPr>
              <w:t>1</w:t>
            </w:r>
            <w:r>
              <w:rPr>
                <w:rFonts w:hint="eastAsia" w:ascii="仿宋_GB2312" w:eastAsia="仿宋_GB2312" w:cs="宋体"/>
                <w:color w:val="auto"/>
                <w:kern w:val="0"/>
                <w:szCs w:val="21"/>
                <w:highlight w:val="none"/>
              </w:rPr>
              <w:t>次扣</w:t>
            </w:r>
            <w:r>
              <w:rPr>
                <w:rFonts w:hint="eastAsia" w:ascii="仿宋_GB2312" w:eastAsia="仿宋_GB2312" w:cs="宋体"/>
                <w:color w:val="auto"/>
                <w:kern w:val="0"/>
                <w:szCs w:val="21"/>
                <w:highlight w:val="none"/>
                <w:lang w:val="en-US" w:eastAsia="zh-CN"/>
              </w:rPr>
              <w:t>3</w:t>
            </w:r>
            <w:r>
              <w:rPr>
                <w:rFonts w:hint="eastAsia" w:ascii="仿宋_GB2312" w:eastAsia="仿宋_GB2312" w:cs="宋体"/>
                <w:color w:val="auto"/>
                <w:kern w:val="0"/>
                <w:szCs w:val="21"/>
                <w:highlight w:val="none"/>
              </w:rPr>
              <w:t>分；应急结束，因应急设施、设备未拆除影响道路通行安全的，每处扣2分</w:t>
            </w:r>
            <w:r>
              <w:rPr>
                <w:rFonts w:hint="eastAsia" w:ascii="仿宋_GB2312" w:eastAsia="仿宋_GB2312" w:cs="宋体"/>
                <w:color w:val="auto"/>
                <w:kern w:val="0"/>
                <w:szCs w:val="21"/>
                <w:highlight w:val="none"/>
                <w:lang w:eastAsia="zh-CN"/>
              </w:rPr>
              <w:t>；</w:t>
            </w:r>
            <w:r>
              <w:rPr>
                <w:rFonts w:hint="eastAsia" w:ascii="仿宋_GB2312" w:eastAsia="仿宋_GB2312"/>
                <w:color w:val="auto"/>
                <w:szCs w:val="21"/>
                <w:highlight w:val="none"/>
                <w:lang w:eastAsia="zh-CN"/>
              </w:rPr>
              <w:t>未及时发现违章施工的每处扣</w:t>
            </w:r>
            <w:r>
              <w:rPr>
                <w:rFonts w:hint="eastAsia" w:ascii="仿宋_GB2312" w:eastAsia="仿宋_GB2312"/>
                <w:color w:val="auto"/>
                <w:szCs w:val="21"/>
                <w:highlight w:val="none"/>
                <w:lang w:val="en-US" w:eastAsia="zh-CN"/>
              </w:rPr>
              <w:t>3分，批后监管不到位的每处扣3分。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抗雪防冻、防寒保暖、抗旱保绿、防高温</w:t>
            </w:r>
            <w:r>
              <w:rPr>
                <w:rFonts w:hint="eastAsia" w:ascii="仿宋_GB2312" w:eastAsia="仿宋_GB2312" w:cs="宋体"/>
                <w:color w:val="auto"/>
                <w:kern w:val="0"/>
                <w:szCs w:val="21"/>
                <w:highlight w:val="none"/>
                <w:lang w:eastAsia="zh-CN"/>
              </w:rPr>
              <w:t>、防台风</w:t>
            </w:r>
            <w:r>
              <w:rPr>
                <w:rFonts w:hint="eastAsia" w:ascii="仿宋_GB2312" w:eastAsia="仿宋_GB2312" w:cs="宋体"/>
                <w:color w:val="auto"/>
                <w:kern w:val="0"/>
                <w:szCs w:val="21"/>
                <w:highlight w:val="none"/>
              </w:rPr>
              <w:t>等应急</w:t>
            </w:r>
            <w:r>
              <w:rPr>
                <w:rFonts w:hint="eastAsia" w:ascii="仿宋_GB2312" w:eastAsia="仿宋_GB2312" w:cs="宋体"/>
                <w:color w:val="auto"/>
                <w:kern w:val="0"/>
                <w:szCs w:val="21"/>
                <w:highlight w:val="none"/>
                <w:lang w:eastAsia="zh-CN"/>
              </w:rPr>
              <w:t>处置</w:t>
            </w:r>
            <w:r>
              <w:rPr>
                <w:rFonts w:hint="eastAsia" w:ascii="仿宋_GB2312" w:eastAsia="仿宋_GB2312" w:cs="宋体"/>
                <w:color w:val="auto"/>
                <w:kern w:val="0"/>
                <w:szCs w:val="21"/>
                <w:highlight w:val="none"/>
              </w:rPr>
              <w:t>不到位的每</w:t>
            </w:r>
            <w:r>
              <w:rPr>
                <w:rFonts w:hint="eastAsia" w:ascii="仿宋_GB2312" w:eastAsia="仿宋_GB2312" w:cs="宋体"/>
                <w:color w:val="auto"/>
                <w:kern w:val="0"/>
                <w:szCs w:val="21"/>
                <w:highlight w:val="none"/>
                <w:lang w:eastAsia="zh-CN"/>
              </w:rPr>
              <w:t>次</w:t>
            </w:r>
            <w:r>
              <w:rPr>
                <w:rFonts w:hint="eastAsia" w:ascii="仿宋_GB2312" w:eastAsia="仿宋_GB2312" w:cs="宋体"/>
                <w:color w:val="auto"/>
                <w:kern w:val="0"/>
                <w:szCs w:val="21"/>
                <w:highlight w:val="none"/>
              </w:rPr>
              <w:t>扣</w:t>
            </w:r>
            <w:r>
              <w:rPr>
                <w:rFonts w:hint="eastAsia" w:ascii="仿宋_GB2312" w:eastAsia="仿宋_GB2312" w:cs="宋体"/>
                <w:color w:val="auto"/>
                <w:kern w:val="0"/>
                <w:szCs w:val="21"/>
                <w:highlight w:val="none"/>
                <w:lang w:val="en-US" w:eastAsia="zh-CN"/>
              </w:rPr>
              <w:t>5</w:t>
            </w:r>
            <w:r>
              <w:rPr>
                <w:rFonts w:hint="eastAsia" w:ascii="仿宋_GB2312" w:eastAsia="仿宋_GB2312" w:cs="宋体"/>
                <w:color w:val="auto"/>
                <w:kern w:val="0"/>
                <w:szCs w:val="21"/>
                <w:highlight w:val="none"/>
              </w:rPr>
              <w:t>分。</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1255"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合同履约</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olor w:val="auto"/>
                <w:szCs w:val="21"/>
                <w:highlight w:val="none"/>
                <w:lang w:val="en-US" w:eastAsia="zh-CN"/>
              </w:rPr>
              <w:t>20分</w:t>
            </w:r>
          </w:p>
        </w:tc>
        <w:tc>
          <w:tcPr>
            <w:tcW w:w="63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根据合同及招标文件要求，合理配备人员、车辆、应急物资等</w:t>
            </w:r>
            <w:r>
              <w:rPr>
                <w:rFonts w:hint="eastAsia" w:ascii="仿宋_GB2312" w:eastAsia="仿宋_GB2312"/>
                <w:color w:val="auto"/>
                <w:szCs w:val="21"/>
                <w:highlight w:val="none"/>
                <w:lang w:val="en-US" w:eastAsia="zh-CN"/>
              </w:rPr>
              <w:t>设施设</w:t>
            </w:r>
            <w:r>
              <w:rPr>
                <w:rFonts w:hint="eastAsia" w:ascii="仿宋_GB2312" w:eastAsia="仿宋_GB2312"/>
                <w:color w:val="auto"/>
                <w:sz w:val="21"/>
                <w:szCs w:val="21"/>
                <w:highlight w:val="none"/>
                <w:lang w:val="en-US" w:eastAsia="zh-CN"/>
              </w:rPr>
              <w:t>备，</w:t>
            </w:r>
            <w:r>
              <w:rPr>
                <w:rFonts w:hint="eastAsia" w:ascii="仿宋_GB2312" w:hAnsi="仿宋_GB2312" w:eastAsia="仿宋_GB2312" w:cs="仿宋_GB2312"/>
                <w:color w:val="auto"/>
                <w:sz w:val="21"/>
                <w:szCs w:val="21"/>
                <w:highlight w:val="none"/>
                <w:lang w:eastAsia="zh-CN"/>
              </w:rPr>
              <w:t>一二级绿地</w:t>
            </w:r>
            <w:r>
              <w:rPr>
                <w:rFonts w:hint="eastAsia" w:ascii="仿宋_GB2312" w:hAnsi="仿宋_GB2312" w:eastAsia="仿宋_GB2312" w:cs="仿宋_GB2312"/>
                <w:color w:val="auto"/>
                <w:sz w:val="21"/>
                <w:szCs w:val="21"/>
                <w:highlight w:val="none"/>
              </w:rPr>
              <w:t>绿化养护人员</w:t>
            </w:r>
            <w:r>
              <w:rPr>
                <w:rFonts w:hint="eastAsia" w:ascii="仿宋_GB2312" w:hAnsi="仿宋_GB2312" w:eastAsia="仿宋_GB2312" w:cs="仿宋_GB2312"/>
                <w:color w:val="auto"/>
                <w:sz w:val="21"/>
                <w:szCs w:val="21"/>
                <w:highlight w:val="none"/>
                <w:lang w:eastAsia="zh-CN"/>
              </w:rPr>
              <w:t>按</w:t>
            </w:r>
            <w:r>
              <w:rPr>
                <w:rFonts w:hint="eastAsia" w:ascii="仿宋_GB2312" w:hAnsi="仿宋_GB2312" w:eastAsia="仿宋_GB2312" w:cs="仿宋_GB2312"/>
                <w:color w:val="auto"/>
                <w:sz w:val="21"/>
                <w:szCs w:val="21"/>
                <w:highlight w:val="none"/>
              </w:rPr>
              <w:t>每1万平方米</w:t>
            </w:r>
            <w:r>
              <w:rPr>
                <w:rFonts w:hint="eastAsia" w:ascii="仿宋_GB2312" w:hAnsi="仿宋_GB2312" w:eastAsia="仿宋_GB2312" w:cs="仿宋_GB2312"/>
                <w:color w:val="auto"/>
                <w:sz w:val="21"/>
                <w:szCs w:val="21"/>
                <w:highlight w:val="none"/>
                <w:lang w:eastAsia="zh-CN"/>
              </w:rPr>
              <w:t>不少于</w:t>
            </w:r>
            <w:r>
              <w:rPr>
                <w:rFonts w:hint="eastAsia" w:ascii="仿宋_GB2312" w:hAnsi="仿宋_GB2312" w:eastAsia="仿宋_GB2312" w:cs="仿宋_GB2312"/>
                <w:color w:val="auto"/>
                <w:sz w:val="21"/>
                <w:szCs w:val="21"/>
                <w:highlight w:val="none"/>
              </w:rPr>
              <w:t>2名</w:t>
            </w:r>
            <w:r>
              <w:rPr>
                <w:rFonts w:hint="eastAsia" w:ascii="仿宋_GB2312" w:hAnsi="仿宋_GB2312" w:eastAsia="仿宋_GB2312" w:cs="仿宋_GB2312"/>
                <w:color w:val="auto"/>
                <w:sz w:val="21"/>
                <w:szCs w:val="21"/>
                <w:highlight w:val="none"/>
                <w:lang w:eastAsia="zh-CN"/>
              </w:rPr>
              <w:t>，三级绿地按每</w:t>
            </w:r>
            <w:r>
              <w:rPr>
                <w:rFonts w:hint="eastAsia" w:ascii="仿宋_GB2312" w:hAnsi="仿宋_GB2312" w:eastAsia="仿宋_GB2312" w:cs="仿宋_GB2312"/>
                <w:color w:val="auto"/>
                <w:sz w:val="21"/>
                <w:szCs w:val="21"/>
                <w:highlight w:val="none"/>
                <w:lang w:val="en-US" w:eastAsia="zh-CN"/>
              </w:rPr>
              <w:t>1万平方米不少于1人，</w:t>
            </w:r>
            <w:r>
              <w:rPr>
                <w:rFonts w:hint="eastAsia" w:ascii="仿宋_GB2312" w:eastAsia="仿宋_GB2312"/>
                <w:color w:val="auto"/>
                <w:sz w:val="21"/>
                <w:szCs w:val="21"/>
                <w:highlight w:val="none"/>
                <w:lang w:val="en-US" w:eastAsia="zh-CN"/>
              </w:rPr>
              <w:t>配备不到位的每次扣5分。防台支撑未按主干道全线支撑、其他道路交叉口50米支撑要求落实储备的每次扣5分。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s="宋体"/>
                <w:color w:val="auto"/>
                <w:kern w:val="0"/>
                <w:szCs w:val="21"/>
                <w:highlight w:val="none"/>
              </w:rPr>
            </w:pPr>
            <w:r>
              <w:rPr>
                <w:rFonts w:hint="eastAsia" w:ascii="仿宋_GB2312" w:eastAsia="仿宋_GB2312" w:cs="宋体"/>
                <w:color w:val="auto"/>
                <w:kern w:val="0"/>
                <w:szCs w:val="21"/>
                <w:highlight w:val="none"/>
                <w:lang w:val="en-US" w:eastAsia="zh-CN"/>
              </w:rPr>
              <w:t xml:space="preserve">    </w:t>
            </w:r>
            <w:r>
              <w:rPr>
                <w:rFonts w:hint="eastAsia" w:ascii="仿宋_GB2312" w:eastAsia="仿宋_GB2312" w:cs="宋体"/>
                <w:color w:val="auto"/>
                <w:kern w:val="0"/>
                <w:szCs w:val="21"/>
                <w:highlight w:val="none"/>
              </w:rPr>
              <w:t>绿化巡查台帐及绿化施肥、病虫害防治、植物修剪等专项养护台帐检查</w:t>
            </w:r>
            <w:r>
              <w:rPr>
                <w:rFonts w:hint="eastAsia" w:ascii="仿宋_GB2312" w:eastAsia="仿宋_GB2312"/>
                <w:color w:val="auto"/>
                <w:spacing w:val="-8"/>
                <w:szCs w:val="21"/>
                <w:highlight w:val="none"/>
              </w:rPr>
              <w:t>未完成、弄虚作假扣</w:t>
            </w:r>
            <w:r>
              <w:rPr>
                <w:rFonts w:hint="eastAsia" w:ascii="仿宋_GB2312" w:eastAsia="仿宋_GB2312"/>
                <w:color w:val="auto"/>
                <w:spacing w:val="-8"/>
                <w:szCs w:val="21"/>
                <w:highlight w:val="none"/>
                <w:lang w:val="en-US" w:eastAsia="zh-CN"/>
              </w:rPr>
              <w:t>5</w:t>
            </w:r>
            <w:r>
              <w:rPr>
                <w:rFonts w:hint="eastAsia" w:ascii="仿宋_GB2312" w:eastAsia="仿宋_GB2312"/>
                <w:color w:val="auto"/>
                <w:spacing w:val="-8"/>
                <w:szCs w:val="21"/>
                <w:highlight w:val="none"/>
              </w:rPr>
              <w:t>分。</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3380" w:hRule="atLeast"/>
          <w:jc w:val="center"/>
        </w:trPr>
        <w:tc>
          <w:tcPr>
            <w:tcW w:w="1560"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strike/>
                <w:color w:val="auto"/>
                <w:kern w:val="0"/>
                <w:szCs w:val="21"/>
                <w:highlight w:val="none"/>
              </w:rPr>
            </w:pPr>
            <w:r>
              <w:rPr>
                <w:rFonts w:hint="eastAsia" w:ascii="仿宋_GB2312" w:eastAsia="仿宋_GB2312"/>
                <w:color w:val="auto"/>
                <w:spacing w:val="-8"/>
                <w:szCs w:val="21"/>
                <w:highlight w:val="none"/>
                <w:lang w:val="en-US" w:eastAsia="zh-CN"/>
              </w:rPr>
              <w:t>正负清单</w:t>
            </w:r>
          </w:p>
        </w:tc>
        <w:tc>
          <w:tcPr>
            <w:tcW w:w="637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405" w:firstLineChars="209"/>
              <w:textAlignment w:val="auto"/>
              <w:outlineLvl w:val="9"/>
              <w:rPr>
                <w:rFonts w:hint="eastAsia" w:ascii="仿宋_GB2312" w:eastAsia="仿宋_GB2312"/>
                <w:color w:val="auto"/>
                <w:spacing w:val="-8"/>
                <w:szCs w:val="21"/>
                <w:highlight w:val="none"/>
                <w:lang w:val="en-US" w:eastAsia="zh-CN"/>
              </w:rPr>
            </w:pPr>
            <w:r>
              <w:rPr>
                <w:rFonts w:hint="eastAsia" w:ascii="仿宋_GB2312" w:eastAsia="仿宋_GB2312"/>
                <w:color w:val="auto"/>
                <w:spacing w:val="-8"/>
                <w:szCs w:val="21"/>
                <w:highlight w:val="none"/>
                <w:lang w:eastAsia="zh-CN"/>
              </w:rPr>
              <w:t>市级</w:t>
            </w:r>
            <w:r>
              <w:rPr>
                <w:rFonts w:hint="eastAsia" w:ascii="仿宋_GB2312" w:eastAsia="仿宋_GB2312"/>
                <w:color w:val="auto"/>
                <w:spacing w:val="-8"/>
                <w:szCs w:val="21"/>
                <w:highlight w:val="none"/>
                <w:lang w:val="en-US" w:eastAsia="zh-CN"/>
              </w:rPr>
              <w:t>领导</w:t>
            </w:r>
            <w:r>
              <w:rPr>
                <w:rFonts w:hint="eastAsia" w:ascii="仿宋_GB2312" w:eastAsia="仿宋_GB2312"/>
                <w:color w:val="auto"/>
                <w:spacing w:val="-8"/>
                <w:szCs w:val="21"/>
                <w:highlight w:val="none"/>
                <w:lang w:eastAsia="zh-CN"/>
              </w:rPr>
              <w:t>及以上批示表扬的每次加</w:t>
            </w:r>
            <w:r>
              <w:rPr>
                <w:rFonts w:hint="eastAsia" w:ascii="仿宋_GB2312" w:eastAsia="仿宋_GB2312"/>
                <w:color w:val="auto"/>
                <w:spacing w:val="-8"/>
                <w:szCs w:val="21"/>
                <w:highlight w:val="none"/>
                <w:lang w:val="en-US" w:eastAsia="zh-CN"/>
              </w:rPr>
              <w:t>1分，批评的每次扣1分；</w:t>
            </w:r>
            <w:r>
              <w:rPr>
                <w:rFonts w:hint="eastAsia" w:ascii="仿宋_GB2312" w:eastAsia="仿宋_GB2312"/>
                <w:color w:val="auto"/>
                <w:spacing w:val="-8"/>
                <w:szCs w:val="21"/>
                <w:highlight w:val="none"/>
                <w:lang w:eastAsia="zh-CN"/>
              </w:rPr>
              <w:t>区级</w:t>
            </w:r>
            <w:r>
              <w:rPr>
                <w:rFonts w:hint="eastAsia" w:ascii="仿宋_GB2312" w:eastAsia="仿宋_GB2312"/>
                <w:color w:val="auto"/>
                <w:spacing w:val="-8"/>
                <w:szCs w:val="21"/>
                <w:highlight w:val="none"/>
                <w:lang w:val="en-US" w:eastAsia="zh-CN"/>
              </w:rPr>
              <w:t>主要领导</w:t>
            </w:r>
            <w:r>
              <w:rPr>
                <w:rFonts w:hint="eastAsia" w:ascii="仿宋_GB2312" w:eastAsia="仿宋_GB2312"/>
                <w:color w:val="auto"/>
                <w:spacing w:val="-8"/>
                <w:szCs w:val="21"/>
                <w:highlight w:val="none"/>
                <w:lang w:eastAsia="zh-CN"/>
              </w:rPr>
              <w:t>批示表扬的每次加</w:t>
            </w:r>
            <w:r>
              <w:rPr>
                <w:rFonts w:hint="eastAsia" w:ascii="仿宋_GB2312" w:eastAsia="仿宋_GB2312"/>
                <w:color w:val="auto"/>
                <w:spacing w:val="-8"/>
                <w:szCs w:val="21"/>
                <w:highlight w:val="none"/>
                <w:lang w:val="en-US" w:eastAsia="zh-CN"/>
              </w:rPr>
              <w:t>0.5分，批评的每次扣0.5分。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8" w:firstLineChars="209"/>
              <w:textAlignment w:val="auto"/>
              <w:outlineLvl w:val="9"/>
              <w:rPr>
                <w:rFonts w:hint="eastAsia" w:ascii="仿宋_GB2312" w:eastAsia="仿宋_GB2312"/>
                <w:color w:val="auto"/>
                <w:spacing w:val="-8"/>
                <w:szCs w:val="21"/>
                <w:highlight w:val="none"/>
                <w:lang w:eastAsia="zh-CN"/>
              </w:rPr>
            </w:pPr>
            <w:r>
              <w:rPr>
                <w:rFonts w:hint="eastAsia" w:ascii="仿宋_GB2312" w:eastAsia="仿宋_GB2312"/>
                <w:color w:val="auto"/>
                <w:szCs w:val="21"/>
                <w:highlight w:val="none"/>
              </w:rPr>
              <w:t>联系函、抄告单等超时回复或不回复的每次扣</w:t>
            </w:r>
            <w:r>
              <w:rPr>
                <w:rFonts w:hint="eastAsia" w:ascii="仿宋_GB2312" w:eastAsia="仿宋_GB2312"/>
                <w:color w:val="auto"/>
                <w:szCs w:val="21"/>
                <w:highlight w:val="none"/>
                <w:lang w:val="en-US" w:eastAsia="zh-CN"/>
              </w:rPr>
              <w:t>0.2</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r>
              <w:rPr>
                <w:rFonts w:hint="eastAsia" w:ascii="仿宋_GB2312" w:eastAsia="仿宋_GB2312"/>
                <w:color w:val="auto"/>
                <w:spacing w:val="-8"/>
                <w:szCs w:val="21"/>
                <w:highlight w:val="none"/>
              </w:rPr>
              <w:t>二次抄告</w:t>
            </w:r>
            <w:r>
              <w:rPr>
                <w:rFonts w:hint="eastAsia" w:ascii="仿宋_GB2312" w:eastAsia="仿宋_GB2312"/>
                <w:color w:val="auto"/>
                <w:spacing w:val="-8"/>
                <w:szCs w:val="21"/>
                <w:highlight w:val="none"/>
                <w:lang w:eastAsia="zh-CN"/>
              </w:rPr>
              <w:t>及以上的每</w:t>
            </w:r>
            <w:r>
              <w:rPr>
                <w:rFonts w:hint="eastAsia" w:ascii="仿宋_GB2312" w:eastAsia="仿宋_GB2312"/>
                <w:color w:val="auto"/>
                <w:szCs w:val="21"/>
                <w:highlight w:val="none"/>
              </w:rPr>
              <w:t>次</w:t>
            </w:r>
            <w:r>
              <w:rPr>
                <w:rFonts w:hint="eastAsia" w:ascii="仿宋_GB2312" w:eastAsia="仿宋_GB2312"/>
                <w:color w:val="auto"/>
                <w:spacing w:val="-8"/>
                <w:szCs w:val="21"/>
                <w:highlight w:val="none"/>
              </w:rPr>
              <w:t>扣</w:t>
            </w:r>
            <w:r>
              <w:rPr>
                <w:rFonts w:hint="eastAsia" w:ascii="仿宋_GB2312" w:eastAsia="仿宋_GB2312"/>
                <w:color w:val="auto"/>
                <w:spacing w:val="-8"/>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8" w:firstLineChars="209"/>
              <w:textAlignment w:val="auto"/>
              <w:outlineLvl w:val="9"/>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积极提供市政宣传报道素材（图片、文字等），经区城管局审核，被录用正面宣传报道的，区级媒体每件次加</w:t>
            </w:r>
            <w:r>
              <w:rPr>
                <w:rFonts w:hint="eastAsia" w:ascii="仿宋_GB2312" w:eastAsia="仿宋_GB2312"/>
                <w:color w:val="auto"/>
                <w:sz w:val="21"/>
                <w:szCs w:val="21"/>
                <w:highlight w:val="none"/>
                <w:lang w:val="en-US" w:eastAsia="zh-CN"/>
              </w:rPr>
              <w:t>0.1</w:t>
            </w:r>
            <w:r>
              <w:rPr>
                <w:rFonts w:hint="eastAsia" w:ascii="仿宋_GB2312" w:eastAsia="仿宋_GB2312"/>
                <w:color w:val="auto"/>
                <w:sz w:val="21"/>
                <w:szCs w:val="21"/>
                <w:highlight w:val="none"/>
                <w:lang w:eastAsia="zh-CN"/>
              </w:rPr>
              <w:t>分，市级媒体每件次加</w:t>
            </w:r>
            <w:r>
              <w:rPr>
                <w:rFonts w:hint="eastAsia" w:ascii="仿宋_GB2312" w:eastAsia="仿宋_GB2312"/>
                <w:color w:val="auto"/>
                <w:sz w:val="21"/>
                <w:szCs w:val="21"/>
                <w:highlight w:val="none"/>
                <w:lang w:val="en-US" w:eastAsia="zh-CN"/>
              </w:rPr>
              <w:t>0.2</w:t>
            </w:r>
            <w:r>
              <w:rPr>
                <w:rFonts w:hint="eastAsia" w:ascii="仿宋_GB2312" w:eastAsia="仿宋_GB2312"/>
                <w:color w:val="auto"/>
                <w:sz w:val="21"/>
                <w:szCs w:val="21"/>
                <w:highlight w:val="none"/>
                <w:lang w:eastAsia="zh-CN"/>
              </w:rPr>
              <w:t>分，省级及以上媒体每件次加</w:t>
            </w:r>
            <w:r>
              <w:rPr>
                <w:rFonts w:hint="eastAsia" w:ascii="仿宋_GB2312" w:eastAsia="仿宋_GB2312"/>
                <w:color w:val="auto"/>
                <w:sz w:val="21"/>
                <w:szCs w:val="21"/>
                <w:highlight w:val="none"/>
                <w:lang w:val="en-US" w:eastAsia="zh-CN"/>
              </w:rPr>
              <w:t>0.3</w:t>
            </w:r>
            <w:r>
              <w:rPr>
                <w:rFonts w:hint="eastAsia" w:ascii="仿宋_GB2312" w:eastAsia="仿宋_GB2312"/>
                <w:color w:val="auto"/>
                <w:sz w:val="21"/>
                <w:szCs w:val="21"/>
                <w:highlight w:val="none"/>
                <w:lang w:eastAsia="zh-CN"/>
              </w:rPr>
              <w:t>分，同一事项以最高加分项计；</w:t>
            </w:r>
            <w:r>
              <w:rPr>
                <w:rFonts w:hint="eastAsia" w:ascii="仿宋_GB2312" w:eastAsia="仿宋_GB2312"/>
                <w:color w:val="auto"/>
                <w:spacing w:val="-8"/>
                <w:szCs w:val="21"/>
                <w:highlight w:val="none"/>
                <w:lang w:eastAsia="zh-CN"/>
              </w:rPr>
              <w:t>市级及以上</w:t>
            </w:r>
            <w:r>
              <w:rPr>
                <w:rFonts w:hint="eastAsia" w:ascii="仿宋_GB2312" w:eastAsia="仿宋_GB2312"/>
                <w:color w:val="auto"/>
                <w:spacing w:val="-8"/>
                <w:szCs w:val="21"/>
                <w:highlight w:val="none"/>
              </w:rPr>
              <w:t>媒体曝光每件扣</w:t>
            </w:r>
            <w:r>
              <w:rPr>
                <w:rFonts w:hint="eastAsia" w:ascii="仿宋_GB2312" w:eastAsia="仿宋_GB2312"/>
                <w:color w:val="auto"/>
                <w:spacing w:val="-8"/>
                <w:szCs w:val="21"/>
                <w:highlight w:val="none"/>
                <w:lang w:val="en-US" w:eastAsia="zh-CN"/>
              </w:rPr>
              <w:t>0.5</w:t>
            </w:r>
            <w:r>
              <w:rPr>
                <w:rFonts w:hint="eastAsia" w:ascii="仿宋_GB2312" w:eastAsia="仿宋_GB2312"/>
                <w:color w:val="auto"/>
                <w:szCs w:val="21"/>
                <w:highlight w:val="none"/>
              </w:rPr>
              <w:t>分</w:t>
            </w:r>
            <w:r>
              <w:rPr>
                <w:rFonts w:hint="eastAsia" w:ascii="仿宋_GB2312" w:eastAsia="仿宋_GB2312"/>
                <w:color w:val="auto"/>
                <w:spacing w:val="-8"/>
                <w:szCs w:val="21"/>
                <w:highlight w:val="none"/>
              </w:rPr>
              <w:t>，</w:t>
            </w:r>
            <w:r>
              <w:rPr>
                <w:rFonts w:hint="eastAsia" w:ascii="仿宋_GB2312" w:eastAsia="仿宋_GB2312"/>
                <w:color w:val="auto"/>
                <w:spacing w:val="-8"/>
                <w:szCs w:val="21"/>
                <w:highlight w:val="none"/>
                <w:lang w:eastAsia="zh-CN"/>
              </w:rPr>
              <w:t>区级</w:t>
            </w:r>
            <w:r>
              <w:rPr>
                <w:rFonts w:hint="eastAsia" w:ascii="仿宋_GB2312" w:eastAsia="仿宋_GB2312"/>
                <w:color w:val="auto"/>
                <w:spacing w:val="-8"/>
                <w:szCs w:val="21"/>
                <w:highlight w:val="none"/>
              </w:rPr>
              <w:t>媒体曝光每件扣</w:t>
            </w:r>
            <w:r>
              <w:rPr>
                <w:rFonts w:hint="eastAsia" w:ascii="仿宋_GB2312" w:eastAsia="仿宋_GB2312"/>
                <w:color w:val="auto"/>
                <w:szCs w:val="21"/>
                <w:highlight w:val="none"/>
                <w:lang w:val="en-US" w:eastAsia="zh-CN"/>
              </w:rPr>
              <w:t>0.2</w:t>
            </w:r>
            <w:r>
              <w:rPr>
                <w:rFonts w:hint="eastAsia" w:ascii="仿宋_GB2312" w:eastAsia="仿宋_GB2312"/>
                <w:color w:val="auto"/>
                <w:szCs w:val="21"/>
                <w:highlight w:val="none"/>
              </w:rPr>
              <w:t>分</w:t>
            </w:r>
            <w:r>
              <w:rPr>
                <w:rFonts w:hint="eastAsia" w:ascii="仿宋_GB2312" w:eastAsia="仿宋_GB2312"/>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8" w:firstLineChars="209"/>
              <w:textAlignment w:val="auto"/>
              <w:outlineLvl w:val="9"/>
              <w:rPr>
                <w:rFonts w:hint="eastAsia" w:ascii="仿宋_GB2312" w:eastAsia="仿宋_GB2312"/>
                <w:color w:val="auto"/>
                <w:szCs w:val="21"/>
                <w:highlight w:val="none"/>
                <w:lang w:eastAsia="zh-CN"/>
              </w:rPr>
            </w:pPr>
            <w:r>
              <w:rPr>
                <w:rFonts w:hint="eastAsia" w:ascii="仿宋_GB2312" w:hAnsi="仿宋_GB2312" w:eastAsia="仿宋_GB2312" w:cs="仿宋_GB2312"/>
                <w:color w:val="auto"/>
                <w:sz w:val="21"/>
                <w:szCs w:val="21"/>
                <w:highlight w:val="none"/>
              </w:rPr>
              <w:t>发生无人员死亡有责安全生产事故的，每起扣</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分；发生人员死亡有责安全生产事故的，每起扣</w:t>
            </w: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分</w:t>
            </w:r>
            <w:r>
              <w:rPr>
                <w:rFonts w:hint="eastAsia" w:ascii="仿宋_GB2312" w:hAnsi="仿宋_GB2312" w:eastAsia="仿宋_GB2312" w:cs="仿宋_GB2312"/>
                <w:color w:val="auto"/>
                <w:sz w:val="21"/>
                <w:szCs w:val="21"/>
                <w:highlight w:val="none"/>
                <w:lang w:eastAsia="zh-CN"/>
              </w:rPr>
              <w:t>。</w:t>
            </w:r>
          </w:p>
        </w:tc>
        <w:tc>
          <w:tcPr>
            <w:tcW w:w="1095"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olor w:val="auto"/>
                <w:spacing w:val="-8"/>
                <w:szCs w:val="21"/>
                <w:highlight w:val="none"/>
              </w:rPr>
            </w:pPr>
          </w:p>
        </w:tc>
      </w:tr>
      <w:tr>
        <w:tblPrEx>
          <w:tblCellMar>
            <w:top w:w="0" w:type="dxa"/>
            <w:left w:w="108" w:type="dxa"/>
            <w:bottom w:w="0" w:type="dxa"/>
            <w:right w:w="108" w:type="dxa"/>
          </w:tblCellMar>
        </w:tblPrEx>
        <w:trPr>
          <w:trHeight w:val="405" w:hRule="atLeast"/>
          <w:jc w:val="center"/>
        </w:trPr>
        <w:tc>
          <w:tcPr>
            <w:tcW w:w="7932"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cs="宋体"/>
                <w:color w:val="auto"/>
                <w:kern w:val="0"/>
                <w:szCs w:val="21"/>
                <w:highlight w:val="none"/>
              </w:rPr>
            </w:pPr>
            <w:r>
              <w:rPr>
                <w:rFonts w:hint="eastAsia" w:ascii="仿宋_GB2312" w:eastAsia="仿宋_GB2312"/>
                <w:color w:val="auto"/>
                <w:szCs w:val="21"/>
                <w:highlight w:val="none"/>
              </w:rPr>
              <w:t>评分合计</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eastAsia="仿宋_GB2312"/>
                <w:color w:val="auto"/>
                <w:spacing w:val="-8"/>
                <w:szCs w:val="21"/>
                <w:highlight w:val="none"/>
              </w:rPr>
            </w:pPr>
          </w:p>
        </w:tc>
      </w:tr>
      <w:tr>
        <w:tblPrEx>
          <w:tblCellMar>
            <w:top w:w="0" w:type="dxa"/>
            <w:left w:w="108" w:type="dxa"/>
            <w:bottom w:w="0" w:type="dxa"/>
            <w:right w:w="108" w:type="dxa"/>
          </w:tblCellMar>
        </w:tblPrEx>
        <w:trPr>
          <w:trHeight w:val="493" w:hRule="atLeast"/>
          <w:jc w:val="center"/>
        </w:trPr>
        <w:tc>
          <w:tcPr>
            <w:tcW w:w="1560"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cs="宋体"/>
                <w:color w:val="auto"/>
                <w:kern w:val="0"/>
                <w:szCs w:val="21"/>
                <w:highlight w:val="none"/>
              </w:rPr>
            </w:pPr>
            <w:r>
              <w:rPr>
                <w:rFonts w:hint="eastAsia" w:ascii="仿宋_GB2312" w:eastAsia="仿宋_GB2312"/>
                <w:color w:val="auto"/>
                <w:szCs w:val="21"/>
                <w:highlight w:val="none"/>
              </w:rPr>
              <w:t>备注</w:t>
            </w:r>
          </w:p>
        </w:tc>
        <w:tc>
          <w:tcPr>
            <w:tcW w:w="746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auto"/>
                <w:spacing w:val="-8"/>
                <w:szCs w:val="21"/>
                <w:highlight w:val="none"/>
              </w:rPr>
            </w:pPr>
            <w:r>
              <w:rPr>
                <w:rFonts w:hint="eastAsia" w:ascii="仿宋_GB2312" w:hAnsi="仿宋_GB2312" w:eastAsia="仿宋_GB2312" w:cs="仿宋_GB2312"/>
                <w:color w:val="auto"/>
                <w:kern w:val="0"/>
                <w:sz w:val="21"/>
                <w:szCs w:val="21"/>
                <w:highlight w:val="none"/>
                <w:lang w:val="en-US" w:eastAsia="zh-CN"/>
              </w:rPr>
              <w:t>正负面分数累计加减分分别不高于3分，超过按3分计入。</w:t>
            </w:r>
          </w:p>
        </w:tc>
      </w:tr>
    </w:tbl>
    <w:p>
      <w:pPr>
        <w:spacing w:line="440" w:lineRule="exact"/>
        <w:rPr>
          <w:rFonts w:hint="eastAsia" w:ascii="宋体" w:hAnsi="宋体" w:cs="宋体"/>
          <w:b/>
          <w:bCs/>
          <w:color w:val="auto"/>
          <w:sz w:val="28"/>
          <w:szCs w:val="28"/>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rPr>
          <w:rFonts w:hint="eastAsia" w:ascii="宋体" w:hAnsi="宋体" w:eastAsia="宋体" w:cs="宋体"/>
          <w:b/>
          <w:bCs/>
          <w:color w:val="auto"/>
          <w:kern w:val="2"/>
          <w:sz w:val="24"/>
          <w:szCs w:val="24"/>
          <w:highlight w:val="none"/>
          <w:lang w:val="en-US" w:eastAsia="zh-CN" w:bidi="ar-SA"/>
        </w:rPr>
      </w:pPr>
    </w:p>
    <w:p>
      <w:pPr>
        <w:pStyle w:val="79"/>
        <w:keepNext w:val="0"/>
        <w:keepLines w:val="0"/>
        <w:pageBreakBefore w:val="0"/>
        <w:widowControl w:val="0"/>
        <w:kinsoku/>
        <w:wordWrap/>
        <w:overflowPunct/>
        <w:topLinePunct w:val="0"/>
        <w:autoSpaceDE/>
        <w:autoSpaceDN/>
        <w:bidi w:val="0"/>
        <w:adjustRightInd w:val="0"/>
        <w:snapToGrid/>
        <w:spacing w:line="360" w:lineRule="auto"/>
        <w:ind w:left="0" w:leftChars="0" w:firstLine="482" w:firstLineChars="200"/>
        <w:textAlignment w:val="auto"/>
        <w:rPr>
          <w:rFonts w:hint="eastAsia"/>
          <w:color w:val="auto"/>
          <w:highlight w:val="none"/>
        </w:rPr>
      </w:pPr>
      <w:r>
        <w:rPr>
          <w:rFonts w:hint="eastAsia" w:ascii="宋体" w:hAnsi="宋体" w:eastAsia="宋体" w:cs="宋体"/>
          <w:b/>
          <w:bCs/>
          <w:color w:val="auto"/>
          <w:kern w:val="2"/>
          <w:sz w:val="24"/>
          <w:szCs w:val="24"/>
          <w:highlight w:val="none"/>
          <w:lang w:val="en-US" w:eastAsia="zh-CN" w:bidi="ar-SA"/>
        </w:rPr>
        <w:t>九、考核奖惩细则</w:t>
      </w:r>
      <w:r>
        <w:rPr>
          <w:rFonts w:hint="eastAsia"/>
          <w:color w:val="auto"/>
          <w:highlight w:val="none"/>
        </w:rPr>
        <w:t>：</w:t>
      </w:r>
      <w:r>
        <w:rPr>
          <w:rFonts w:hint="eastAsia" w:ascii="宋体" w:hAnsi="宋体" w:eastAsia="宋体" w:cs="宋体"/>
          <w:color w:val="auto"/>
          <w:kern w:val="2"/>
          <w:sz w:val="24"/>
          <w:szCs w:val="24"/>
          <w:highlight w:val="none"/>
          <w:lang w:val="en-US" w:eastAsia="zh-CN" w:bidi="ar-SA"/>
        </w:rPr>
        <w:t>市区两级行业考核问题分别扣款1000元/件和500/件；区城市管理领导小组办公室每月“红黑榜”评比，黑榜标段每次扣款1万元；经查实未按合同履约的行为，人员每少1%或设备每少1台的扣除总合同金额的1%，作业遍次未达到标准的，每次扣5000元；镇街结合市区两级考核情况，每月对辖区内各标段管养情况进行全覆盖检查考核，量化排名，并对排名靠后的2-3个养护单位实施考核扣款，总扣款数额不低于当月区级对镇街扣款，具体扣款比例由镇街自行确定</w:t>
      </w:r>
      <w:r>
        <w:rPr>
          <w:rFonts w:hint="eastAsia" w:ascii="宋体" w:hAnsi="宋体" w:cs="宋体"/>
          <w:color w:val="auto"/>
          <w:kern w:val="2"/>
          <w:sz w:val="24"/>
          <w:szCs w:val="24"/>
          <w:highlight w:val="none"/>
          <w:lang w:val="en-US" w:eastAsia="zh-CN" w:bidi="ar-SA"/>
        </w:rPr>
        <w:t>。</w:t>
      </w:r>
    </w:p>
    <w:p>
      <w:pPr>
        <w:pStyle w:val="79"/>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十、清退机制</w:t>
      </w:r>
      <w:r>
        <w:rPr>
          <w:rFonts w:hint="eastAsia"/>
          <w:color w:val="auto"/>
          <w:highlight w:val="none"/>
          <w:lang w:eastAsia="zh-CN"/>
        </w:rPr>
        <w:t>：</w:t>
      </w:r>
      <w:r>
        <w:rPr>
          <w:rFonts w:hint="eastAsia" w:ascii="宋体" w:hAnsi="宋体" w:eastAsia="宋体" w:cs="宋体"/>
          <w:color w:val="auto"/>
          <w:kern w:val="2"/>
          <w:sz w:val="24"/>
          <w:szCs w:val="24"/>
          <w:highlight w:val="none"/>
          <w:lang w:val="en-US" w:eastAsia="zh-CN" w:bidi="ar-SA"/>
        </w:rPr>
        <w:t>年度内“洁化、绿化、市政”同一标段“黑榜”连续3次或累计6次，区城市管理领导小组办公室以“城市管理建议函”的形式，函告镇街本年度合同结束后建议在同一标段不再使用同一企业。</w:t>
      </w: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ind w:left="0" w:leftChars="0" w:firstLine="0" w:firstLineChars="0"/>
        <w:rPr>
          <w:rFonts w:hint="eastAsia"/>
          <w:color w:val="auto"/>
          <w:highlight w:val="none"/>
        </w:rPr>
      </w:pPr>
    </w:p>
    <w:p>
      <w:pPr>
        <w:pStyle w:val="79"/>
        <w:ind w:left="0" w:leftChars="0" w:firstLine="0" w:firstLineChars="0"/>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pStyle w:val="79"/>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6" w:name="_Toc184308080"/>
      <w:bookmarkEnd w:id="26"/>
      <w:bookmarkStart w:id="27" w:name="_Toc184308047"/>
      <w:bookmarkEnd w:id="27"/>
      <w:bookmarkStart w:id="28" w:name="_Toc184312126"/>
      <w:bookmarkEnd w:id="28"/>
      <w:bookmarkStart w:id="29" w:name="_Toc184313239"/>
      <w:bookmarkEnd w:id="29"/>
      <w:bookmarkStart w:id="30" w:name="_Toc184313252"/>
      <w:bookmarkEnd w:id="30"/>
      <w:bookmarkStart w:id="31" w:name="_Toc184308092"/>
      <w:bookmarkEnd w:id="31"/>
      <w:bookmarkStart w:id="32" w:name="_Toc184314474"/>
      <w:bookmarkEnd w:id="32"/>
      <w:bookmarkStart w:id="33" w:name="_Toc184312097"/>
      <w:bookmarkEnd w:id="33"/>
      <w:bookmarkStart w:id="34" w:name="_Toc184312079"/>
      <w:bookmarkEnd w:id="34"/>
      <w:bookmarkStart w:id="35" w:name="_Toc184313249"/>
      <w:bookmarkEnd w:id="35"/>
      <w:bookmarkStart w:id="36" w:name="_Toc184310337"/>
      <w:bookmarkEnd w:id="36"/>
      <w:bookmarkStart w:id="37" w:name="_Toc184310343"/>
      <w:bookmarkEnd w:id="37"/>
      <w:bookmarkStart w:id="38" w:name="_Toc184310327"/>
      <w:bookmarkEnd w:id="38"/>
      <w:bookmarkStart w:id="39" w:name="_Toc184310289"/>
      <w:bookmarkEnd w:id="39"/>
      <w:bookmarkStart w:id="40" w:name="_Toc184313302"/>
      <w:bookmarkEnd w:id="40"/>
      <w:bookmarkStart w:id="41" w:name="_Toc184312132"/>
      <w:bookmarkEnd w:id="41"/>
      <w:bookmarkStart w:id="42" w:name="_Toc184314415"/>
      <w:bookmarkEnd w:id="42"/>
      <w:bookmarkStart w:id="43" w:name="_Toc184313245"/>
      <w:bookmarkEnd w:id="43"/>
      <w:bookmarkStart w:id="44" w:name="_Toc184313268"/>
      <w:bookmarkEnd w:id="44"/>
      <w:bookmarkStart w:id="45" w:name="_Toc184313291"/>
      <w:bookmarkEnd w:id="45"/>
      <w:bookmarkStart w:id="46" w:name="_Toc184312119"/>
      <w:bookmarkEnd w:id="46"/>
      <w:bookmarkStart w:id="47" w:name="_Toc184310344"/>
      <w:bookmarkEnd w:id="47"/>
      <w:bookmarkStart w:id="48" w:name="_Toc184313258"/>
      <w:bookmarkEnd w:id="48"/>
      <w:bookmarkStart w:id="49" w:name="_Toc184310308"/>
      <w:bookmarkEnd w:id="49"/>
      <w:bookmarkStart w:id="50" w:name="_Toc184314453"/>
      <w:bookmarkEnd w:id="50"/>
      <w:bookmarkStart w:id="51" w:name="_Toc184314429"/>
      <w:bookmarkEnd w:id="51"/>
      <w:bookmarkStart w:id="52" w:name="_Toc184308089"/>
      <w:bookmarkEnd w:id="52"/>
      <w:bookmarkStart w:id="53" w:name="_Toc184308036"/>
      <w:bookmarkEnd w:id="53"/>
      <w:bookmarkStart w:id="54" w:name="_Toc184308046"/>
      <w:bookmarkEnd w:id="54"/>
      <w:bookmarkStart w:id="55" w:name="_Toc184308100"/>
      <w:bookmarkEnd w:id="55"/>
      <w:bookmarkStart w:id="56" w:name="_Toc184314480"/>
      <w:bookmarkEnd w:id="56"/>
      <w:bookmarkStart w:id="57" w:name="_Toc184308053"/>
      <w:bookmarkEnd w:id="57"/>
      <w:bookmarkStart w:id="58" w:name="_Toc184313307"/>
      <w:bookmarkEnd w:id="58"/>
      <w:bookmarkStart w:id="59" w:name="_Toc184313244"/>
      <w:bookmarkEnd w:id="59"/>
      <w:bookmarkStart w:id="60" w:name="_Toc184310280"/>
      <w:bookmarkEnd w:id="60"/>
      <w:bookmarkStart w:id="61" w:name="_Toc184310272"/>
      <w:bookmarkEnd w:id="61"/>
      <w:bookmarkStart w:id="62" w:name="_Toc184310328"/>
      <w:bookmarkEnd w:id="62"/>
      <w:bookmarkStart w:id="63" w:name="_Toc184312114"/>
      <w:bookmarkEnd w:id="63"/>
      <w:bookmarkStart w:id="64" w:name="_Toc184308042"/>
      <w:bookmarkEnd w:id="64"/>
      <w:bookmarkStart w:id="65" w:name="_Toc184313288"/>
      <w:bookmarkEnd w:id="65"/>
      <w:bookmarkStart w:id="66" w:name="_Toc184312102"/>
      <w:bookmarkEnd w:id="66"/>
      <w:bookmarkStart w:id="67" w:name="_Toc184308041"/>
      <w:bookmarkEnd w:id="67"/>
      <w:bookmarkStart w:id="68" w:name="_Toc184312075"/>
      <w:bookmarkEnd w:id="68"/>
      <w:bookmarkStart w:id="69" w:name="_Toc184310326"/>
      <w:bookmarkEnd w:id="69"/>
      <w:bookmarkStart w:id="70" w:name="_Toc184310298"/>
      <w:bookmarkEnd w:id="70"/>
      <w:bookmarkStart w:id="71" w:name="_Toc184313242"/>
      <w:bookmarkEnd w:id="71"/>
      <w:bookmarkStart w:id="72" w:name="_Toc184310293"/>
      <w:bookmarkEnd w:id="72"/>
      <w:bookmarkStart w:id="73" w:name="_Toc184308067"/>
      <w:bookmarkEnd w:id="73"/>
      <w:bookmarkStart w:id="74" w:name="_Toc184312115"/>
      <w:bookmarkEnd w:id="74"/>
      <w:bookmarkStart w:id="75" w:name="_Toc184310305"/>
      <w:bookmarkEnd w:id="75"/>
      <w:bookmarkStart w:id="76" w:name="_Toc184310319"/>
      <w:bookmarkEnd w:id="76"/>
      <w:bookmarkStart w:id="77" w:name="_Toc184312099"/>
      <w:bookmarkEnd w:id="77"/>
      <w:bookmarkStart w:id="78" w:name="_Toc184313292"/>
      <w:bookmarkEnd w:id="78"/>
      <w:bookmarkStart w:id="79" w:name="_Toc184314467"/>
      <w:bookmarkEnd w:id="79"/>
      <w:bookmarkStart w:id="80" w:name="_Toc184314411"/>
      <w:bookmarkEnd w:id="80"/>
      <w:bookmarkStart w:id="81" w:name="_Toc184310279"/>
      <w:bookmarkEnd w:id="81"/>
      <w:bookmarkStart w:id="82" w:name="_Toc184310307"/>
      <w:bookmarkEnd w:id="82"/>
      <w:bookmarkStart w:id="83" w:name="_Toc184308085"/>
      <w:bookmarkEnd w:id="83"/>
      <w:bookmarkStart w:id="84" w:name="_Toc184308055"/>
      <w:bookmarkEnd w:id="84"/>
      <w:bookmarkStart w:id="85" w:name="_Toc184314414"/>
      <w:bookmarkEnd w:id="85"/>
      <w:bookmarkStart w:id="86" w:name="_Toc184308091"/>
      <w:bookmarkEnd w:id="86"/>
      <w:bookmarkStart w:id="87" w:name="_Toc184312086"/>
      <w:bookmarkEnd w:id="87"/>
      <w:bookmarkStart w:id="88" w:name="_Toc184312137"/>
      <w:bookmarkEnd w:id="88"/>
      <w:bookmarkStart w:id="89" w:name="_Toc184314423"/>
      <w:bookmarkEnd w:id="89"/>
      <w:bookmarkStart w:id="90" w:name="_Toc184312139"/>
      <w:bookmarkEnd w:id="90"/>
      <w:bookmarkStart w:id="91" w:name="_Toc184313272"/>
      <w:bookmarkEnd w:id="91"/>
      <w:bookmarkStart w:id="92" w:name="_Toc184308095"/>
      <w:bookmarkEnd w:id="92"/>
      <w:bookmarkStart w:id="93" w:name="_Toc184313282"/>
      <w:bookmarkEnd w:id="93"/>
      <w:bookmarkStart w:id="94" w:name="_Toc184313305"/>
      <w:bookmarkEnd w:id="94"/>
      <w:bookmarkStart w:id="95" w:name="_Toc184310275"/>
      <w:bookmarkEnd w:id="95"/>
      <w:bookmarkStart w:id="96" w:name="_Toc184310309"/>
      <w:bookmarkEnd w:id="96"/>
      <w:bookmarkStart w:id="97" w:name="_Toc184314471"/>
      <w:bookmarkEnd w:id="97"/>
      <w:bookmarkStart w:id="98" w:name="_Toc184308079"/>
      <w:bookmarkEnd w:id="98"/>
      <w:bookmarkStart w:id="99" w:name="_Toc184313257"/>
      <w:bookmarkEnd w:id="99"/>
      <w:bookmarkStart w:id="100" w:name="_Toc184312130"/>
      <w:bookmarkEnd w:id="100"/>
      <w:bookmarkStart w:id="101" w:name="_Toc184313281"/>
      <w:bookmarkEnd w:id="101"/>
      <w:bookmarkStart w:id="102" w:name="_Toc184308105"/>
      <w:bookmarkEnd w:id="102"/>
      <w:bookmarkStart w:id="103" w:name="_Toc184312071"/>
      <w:bookmarkEnd w:id="103"/>
      <w:bookmarkStart w:id="104" w:name="_Toc184308059"/>
      <w:bookmarkEnd w:id="104"/>
      <w:bookmarkStart w:id="105" w:name="_Toc184308106"/>
      <w:bookmarkEnd w:id="105"/>
      <w:bookmarkStart w:id="106" w:name="_Toc184313308"/>
      <w:bookmarkEnd w:id="106"/>
      <w:bookmarkStart w:id="107" w:name="_Toc184310285"/>
      <w:bookmarkEnd w:id="107"/>
      <w:bookmarkStart w:id="108" w:name="_Toc184312133"/>
      <w:bookmarkEnd w:id="108"/>
      <w:bookmarkStart w:id="109" w:name="_Toc184314443"/>
      <w:bookmarkEnd w:id="109"/>
      <w:bookmarkStart w:id="110" w:name="_Toc184310282"/>
      <w:bookmarkEnd w:id="110"/>
      <w:bookmarkStart w:id="111" w:name="_Toc184314466"/>
      <w:bookmarkEnd w:id="111"/>
      <w:bookmarkStart w:id="112" w:name="_Toc184310290"/>
      <w:bookmarkEnd w:id="112"/>
      <w:bookmarkStart w:id="113" w:name="_Toc184313277"/>
      <w:bookmarkEnd w:id="113"/>
      <w:bookmarkStart w:id="114" w:name="_Toc184314433"/>
      <w:bookmarkEnd w:id="114"/>
      <w:bookmarkStart w:id="115" w:name="_Toc184312095"/>
      <w:bookmarkEnd w:id="115"/>
      <w:bookmarkStart w:id="116" w:name="_Toc184314472"/>
      <w:bookmarkEnd w:id="116"/>
      <w:bookmarkStart w:id="117" w:name="_Toc184310322"/>
      <w:bookmarkEnd w:id="117"/>
      <w:bookmarkStart w:id="118" w:name="_Toc184310302"/>
      <w:bookmarkEnd w:id="118"/>
      <w:bookmarkStart w:id="119" w:name="_Toc184314426"/>
      <w:bookmarkEnd w:id="119"/>
      <w:bookmarkStart w:id="120" w:name="_Toc184310336"/>
      <w:bookmarkEnd w:id="120"/>
      <w:bookmarkStart w:id="121" w:name="_Toc184310338"/>
      <w:bookmarkEnd w:id="121"/>
      <w:bookmarkStart w:id="122" w:name="_Toc184308037"/>
      <w:bookmarkEnd w:id="122"/>
      <w:bookmarkStart w:id="123" w:name="_Toc184308039"/>
      <w:bookmarkEnd w:id="123"/>
      <w:bookmarkStart w:id="124" w:name="_Toc184313309"/>
      <w:bookmarkEnd w:id="124"/>
      <w:bookmarkStart w:id="125" w:name="_Toc184310339"/>
      <w:bookmarkEnd w:id="125"/>
      <w:bookmarkStart w:id="126" w:name="_Toc184310324"/>
      <w:bookmarkEnd w:id="126"/>
      <w:bookmarkStart w:id="127" w:name="_Toc184310304"/>
      <w:bookmarkEnd w:id="127"/>
      <w:bookmarkStart w:id="128" w:name="_Toc184314461"/>
      <w:bookmarkEnd w:id="128"/>
      <w:bookmarkStart w:id="129" w:name="_Toc184308058"/>
      <w:bookmarkEnd w:id="129"/>
      <w:bookmarkStart w:id="130" w:name="_Toc184308094"/>
      <w:bookmarkEnd w:id="130"/>
      <w:bookmarkStart w:id="131" w:name="_Toc184308083"/>
      <w:bookmarkEnd w:id="131"/>
      <w:bookmarkStart w:id="132" w:name="_Toc184308081"/>
      <w:bookmarkEnd w:id="132"/>
      <w:bookmarkStart w:id="133" w:name="_Toc184312136"/>
      <w:bookmarkEnd w:id="133"/>
      <w:bookmarkStart w:id="134" w:name="_Toc184312122"/>
      <w:bookmarkEnd w:id="134"/>
      <w:bookmarkStart w:id="135" w:name="_Toc184310278"/>
      <w:bookmarkEnd w:id="135"/>
      <w:bookmarkStart w:id="136" w:name="_Toc184314428"/>
      <w:bookmarkEnd w:id="136"/>
      <w:bookmarkStart w:id="137" w:name="_Toc184308069"/>
      <w:bookmarkEnd w:id="137"/>
      <w:bookmarkStart w:id="138" w:name="_Toc184314478"/>
      <w:bookmarkEnd w:id="138"/>
      <w:bookmarkStart w:id="139" w:name="_Toc184310291"/>
      <w:bookmarkEnd w:id="139"/>
      <w:bookmarkStart w:id="140" w:name="_Toc184308072"/>
      <w:bookmarkEnd w:id="140"/>
      <w:bookmarkStart w:id="141" w:name="_Toc184312070"/>
      <w:bookmarkEnd w:id="141"/>
      <w:bookmarkStart w:id="142" w:name="_Toc184310273"/>
      <w:bookmarkEnd w:id="142"/>
      <w:bookmarkStart w:id="143" w:name="_Toc184308043"/>
      <w:bookmarkEnd w:id="143"/>
      <w:bookmarkStart w:id="144" w:name="_Toc184314475"/>
      <w:bookmarkEnd w:id="144"/>
      <w:bookmarkStart w:id="145" w:name="_Toc184310341"/>
      <w:bookmarkEnd w:id="145"/>
      <w:bookmarkStart w:id="146" w:name="_Toc184308061"/>
      <w:bookmarkEnd w:id="146"/>
      <w:bookmarkStart w:id="147" w:name="_Toc184312121"/>
      <w:bookmarkEnd w:id="147"/>
      <w:bookmarkStart w:id="148" w:name="_Toc184312096"/>
      <w:bookmarkEnd w:id="148"/>
      <w:bookmarkStart w:id="149" w:name="_Toc184313299"/>
      <w:bookmarkEnd w:id="149"/>
      <w:bookmarkStart w:id="150" w:name="_Toc184314442"/>
      <w:bookmarkEnd w:id="150"/>
      <w:bookmarkStart w:id="151" w:name="_Toc184310329"/>
      <w:bookmarkEnd w:id="151"/>
      <w:bookmarkStart w:id="152" w:name="_Toc184310284"/>
      <w:bookmarkEnd w:id="152"/>
      <w:bookmarkStart w:id="153" w:name="_Toc184312104"/>
      <w:bookmarkEnd w:id="153"/>
      <w:bookmarkStart w:id="154" w:name="_Toc184314438"/>
      <w:bookmarkEnd w:id="154"/>
      <w:bookmarkStart w:id="155" w:name="_Toc184310294"/>
      <w:bookmarkEnd w:id="155"/>
      <w:bookmarkStart w:id="156" w:name="_Toc184314452"/>
      <w:bookmarkEnd w:id="156"/>
      <w:bookmarkStart w:id="157" w:name="_Toc184312109"/>
      <w:bookmarkEnd w:id="157"/>
      <w:bookmarkStart w:id="158" w:name="_Toc184308101"/>
      <w:bookmarkEnd w:id="158"/>
      <w:bookmarkStart w:id="159" w:name="_Toc184314437"/>
      <w:bookmarkEnd w:id="159"/>
      <w:bookmarkStart w:id="160" w:name="_Toc184314434"/>
      <w:bookmarkEnd w:id="160"/>
      <w:bookmarkStart w:id="161" w:name="_Toc184313269"/>
      <w:bookmarkEnd w:id="161"/>
      <w:bookmarkStart w:id="162" w:name="_Toc184310331"/>
      <w:bookmarkEnd w:id="162"/>
      <w:bookmarkStart w:id="163" w:name="_Toc184308104"/>
      <w:bookmarkEnd w:id="163"/>
      <w:bookmarkStart w:id="164" w:name="_Toc184313251"/>
      <w:bookmarkEnd w:id="164"/>
      <w:bookmarkStart w:id="165" w:name="_Toc184314444"/>
      <w:bookmarkEnd w:id="165"/>
      <w:bookmarkStart w:id="166" w:name="_Toc184313263"/>
      <w:bookmarkEnd w:id="166"/>
      <w:bookmarkStart w:id="167" w:name="_Toc184310287"/>
      <w:bookmarkEnd w:id="167"/>
      <w:bookmarkStart w:id="168" w:name="_Toc184314430"/>
      <w:bookmarkEnd w:id="168"/>
      <w:bookmarkStart w:id="169" w:name="_Toc184314473"/>
      <w:bookmarkEnd w:id="169"/>
      <w:bookmarkStart w:id="170" w:name="_Toc184310276"/>
      <w:bookmarkEnd w:id="170"/>
      <w:bookmarkStart w:id="171" w:name="_Toc184313246"/>
      <w:bookmarkEnd w:id="171"/>
      <w:bookmarkStart w:id="172" w:name="_Toc184312134"/>
      <w:bookmarkEnd w:id="172"/>
      <w:bookmarkStart w:id="173" w:name="_Toc184313295"/>
      <w:bookmarkEnd w:id="173"/>
      <w:bookmarkStart w:id="174" w:name="_Toc184313310"/>
      <w:bookmarkEnd w:id="174"/>
      <w:bookmarkStart w:id="175" w:name="_Toc184313301"/>
      <w:bookmarkEnd w:id="175"/>
      <w:bookmarkStart w:id="176" w:name="_Toc184312067"/>
      <w:bookmarkEnd w:id="176"/>
      <w:bookmarkStart w:id="177" w:name="_Toc184308108"/>
      <w:bookmarkEnd w:id="177"/>
      <w:bookmarkStart w:id="178" w:name="_Toc184312084"/>
      <w:bookmarkEnd w:id="178"/>
      <w:bookmarkStart w:id="179" w:name="_Toc184314454"/>
      <w:bookmarkEnd w:id="179"/>
      <w:bookmarkStart w:id="180" w:name="_Toc184312090"/>
      <w:bookmarkEnd w:id="180"/>
      <w:bookmarkStart w:id="181" w:name="_Toc184308077"/>
      <w:bookmarkEnd w:id="181"/>
      <w:bookmarkStart w:id="182" w:name="_Toc184313240"/>
      <w:bookmarkEnd w:id="182"/>
      <w:bookmarkStart w:id="183" w:name="_Toc184312100"/>
      <w:bookmarkEnd w:id="183"/>
      <w:bookmarkStart w:id="184" w:name="_Toc184312081"/>
      <w:bookmarkEnd w:id="184"/>
      <w:bookmarkStart w:id="185" w:name="_Toc184308056"/>
      <w:bookmarkEnd w:id="185"/>
      <w:bookmarkStart w:id="186" w:name="_Toc184308096"/>
      <w:bookmarkEnd w:id="186"/>
      <w:bookmarkStart w:id="187" w:name="_Toc184308065"/>
      <w:bookmarkEnd w:id="187"/>
      <w:bookmarkStart w:id="188" w:name="_Toc184313304"/>
      <w:bookmarkEnd w:id="188"/>
      <w:bookmarkStart w:id="189" w:name="_Toc184310295"/>
      <w:bookmarkEnd w:id="189"/>
      <w:bookmarkStart w:id="190" w:name="_Toc184313273"/>
      <w:bookmarkEnd w:id="190"/>
      <w:bookmarkStart w:id="191" w:name="_Toc184310310"/>
      <w:bookmarkEnd w:id="191"/>
      <w:bookmarkStart w:id="192" w:name="_Toc184313243"/>
      <w:bookmarkEnd w:id="192"/>
      <w:bookmarkStart w:id="193" w:name="_Toc184314464"/>
      <w:bookmarkEnd w:id="193"/>
      <w:bookmarkStart w:id="194" w:name="_Toc184314441"/>
      <w:bookmarkEnd w:id="194"/>
      <w:bookmarkStart w:id="195" w:name="_Toc184314440"/>
      <w:bookmarkEnd w:id="195"/>
      <w:bookmarkStart w:id="196" w:name="_Toc184308074"/>
      <w:bookmarkEnd w:id="196"/>
      <w:bookmarkStart w:id="197" w:name="_Toc184314469"/>
      <w:bookmarkEnd w:id="197"/>
      <w:bookmarkStart w:id="198" w:name="_Toc184312117"/>
      <w:bookmarkEnd w:id="198"/>
      <w:bookmarkStart w:id="199" w:name="_Toc184314481"/>
      <w:bookmarkEnd w:id="199"/>
      <w:bookmarkStart w:id="200" w:name="_Toc184310312"/>
      <w:bookmarkEnd w:id="200"/>
      <w:bookmarkStart w:id="201" w:name="_Toc184308057"/>
      <w:bookmarkEnd w:id="201"/>
      <w:bookmarkStart w:id="202" w:name="_Toc184308078"/>
      <w:bookmarkEnd w:id="202"/>
      <w:bookmarkStart w:id="203" w:name="_Toc184314446"/>
      <w:bookmarkEnd w:id="203"/>
      <w:bookmarkStart w:id="204" w:name="_Toc184312092"/>
      <w:bookmarkEnd w:id="204"/>
      <w:bookmarkStart w:id="205" w:name="_Toc184314425"/>
      <w:bookmarkEnd w:id="205"/>
      <w:bookmarkStart w:id="206" w:name="_Toc184314460"/>
      <w:bookmarkEnd w:id="206"/>
      <w:bookmarkStart w:id="207" w:name="_Toc184313261"/>
      <w:bookmarkEnd w:id="207"/>
      <w:bookmarkStart w:id="208" w:name="_Toc184312106"/>
      <w:bookmarkEnd w:id="208"/>
      <w:bookmarkStart w:id="209" w:name="_Toc184313274"/>
      <w:bookmarkEnd w:id="209"/>
      <w:bookmarkStart w:id="210" w:name="_Toc184308068"/>
      <w:bookmarkEnd w:id="210"/>
      <w:bookmarkStart w:id="211" w:name="_Toc184310321"/>
      <w:bookmarkEnd w:id="211"/>
      <w:bookmarkStart w:id="212" w:name="_Toc184314459"/>
      <w:bookmarkEnd w:id="212"/>
      <w:bookmarkStart w:id="213" w:name="_Toc184313247"/>
      <w:bookmarkEnd w:id="213"/>
      <w:bookmarkStart w:id="214" w:name="_Toc184313248"/>
      <w:bookmarkEnd w:id="214"/>
      <w:bookmarkStart w:id="215" w:name="_Toc184313267"/>
      <w:bookmarkEnd w:id="215"/>
      <w:bookmarkStart w:id="216" w:name="_Toc184314416"/>
      <w:bookmarkEnd w:id="216"/>
      <w:bookmarkStart w:id="217" w:name="_Toc184314420"/>
      <w:bookmarkEnd w:id="217"/>
      <w:bookmarkStart w:id="218" w:name="_Toc184310334"/>
      <w:bookmarkEnd w:id="218"/>
      <w:bookmarkStart w:id="219" w:name="_Toc184312124"/>
      <w:bookmarkEnd w:id="219"/>
      <w:bookmarkStart w:id="220" w:name="_Toc184308063"/>
      <w:bookmarkEnd w:id="220"/>
      <w:bookmarkStart w:id="221" w:name="_Toc184310315"/>
      <w:bookmarkEnd w:id="221"/>
      <w:bookmarkStart w:id="222" w:name="_Toc184312135"/>
      <w:bookmarkEnd w:id="222"/>
      <w:bookmarkStart w:id="223" w:name="_Toc184312082"/>
      <w:bookmarkEnd w:id="223"/>
      <w:bookmarkStart w:id="224" w:name="_Toc184310333"/>
      <w:bookmarkEnd w:id="224"/>
      <w:bookmarkStart w:id="225" w:name="_Toc184313297"/>
      <w:bookmarkEnd w:id="225"/>
      <w:bookmarkStart w:id="226" w:name="_Toc184308107"/>
      <w:bookmarkEnd w:id="226"/>
      <w:bookmarkStart w:id="227" w:name="_Toc184312108"/>
      <w:bookmarkEnd w:id="227"/>
      <w:bookmarkStart w:id="228" w:name="_Toc184313290"/>
      <w:bookmarkEnd w:id="228"/>
      <w:bookmarkStart w:id="229" w:name="_Toc184312120"/>
      <w:bookmarkEnd w:id="229"/>
      <w:bookmarkStart w:id="230" w:name="_Toc184310323"/>
      <w:bookmarkEnd w:id="230"/>
      <w:bookmarkStart w:id="231" w:name="_Toc184312129"/>
      <w:bookmarkEnd w:id="231"/>
      <w:bookmarkStart w:id="232" w:name="_Toc184310300"/>
      <w:bookmarkEnd w:id="232"/>
      <w:bookmarkStart w:id="233" w:name="_Toc184312089"/>
      <w:bookmarkEnd w:id="233"/>
      <w:bookmarkStart w:id="234" w:name="_Toc184310292"/>
      <w:bookmarkEnd w:id="234"/>
      <w:bookmarkStart w:id="235" w:name="_Toc184310330"/>
      <w:bookmarkEnd w:id="235"/>
      <w:bookmarkStart w:id="236" w:name="_Toc184308098"/>
      <w:bookmarkEnd w:id="236"/>
      <w:bookmarkStart w:id="237" w:name="_Toc184313284"/>
      <w:bookmarkEnd w:id="237"/>
      <w:bookmarkStart w:id="238" w:name="_Toc184314421"/>
      <w:bookmarkEnd w:id="238"/>
      <w:bookmarkStart w:id="239" w:name="_Toc184314412"/>
      <w:bookmarkEnd w:id="239"/>
      <w:bookmarkStart w:id="240" w:name="_Toc184310296"/>
      <w:bookmarkEnd w:id="240"/>
      <w:bookmarkStart w:id="241" w:name="_Toc184313278"/>
      <w:bookmarkEnd w:id="241"/>
      <w:bookmarkStart w:id="242" w:name="_Toc184308086"/>
      <w:bookmarkEnd w:id="242"/>
      <w:bookmarkStart w:id="243" w:name="_Toc184310335"/>
      <w:bookmarkEnd w:id="243"/>
      <w:bookmarkStart w:id="244" w:name="_Toc184312078"/>
      <w:bookmarkEnd w:id="244"/>
      <w:bookmarkStart w:id="245" w:name="_Toc184314436"/>
      <w:bookmarkEnd w:id="245"/>
      <w:bookmarkStart w:id="246" w:name="_Toc184313296"/>
      <w:bookmarkEnd w:id="246"/>
      <w:bookmarkStart w:id="247" w:name="_Toc184312118"/>
      <w:bookmarkEnd w:id="247"/>
      <w:bookmarkStart w:id="248" w:name="_Toc184313255"/>
      <w:bookmarkEnd w:id="248"/>
      <w:bookmarkStart w:id="249" w:name="_Toc184312088"/>
      <w:bookmarkEnd w:id="249"/>
      <w:bookmarkStart w:id="250" w:name="_Toc184310286"/>
      <w:bookmarkEnd w:id="250"/>
      <w:bookmarkStart w:id="251" w:name="_Toc184312068"/>
      <w:bookmarkEnd w:id="251"/>
      <w:bookmarkStart w:id="252" w:name="_Toc184314445"/>
      <w:bookmarkEnd w:id="252"/>
      <w:bookmarkStart w:id="253" w:name="_Toc184312125"/>
      <w:bookmarkEnd w:id="253"/>
      <w:bookmarkStart w:id="254" w:name="_Toc184308076"/>
      <w:bookmarkEnd w:id="254"/>
      <w:bookmarkStart w:id="255" w:name="_Toc184314450"/>
      <w:bookmarkEnd w:id="255"/>
      <w:bookmarkStart w:id="256" w:name="_Toc184312116"/>
      <w:bookmarkEnd w:id="256"/>
      <w:bookmarkStart w:id="257" w:name="_Toc184308049"/>
      <w:bookmarkEnd w:id="257"/>
      <w:bookmarkStart w:id="258" w:name="_Toc184314427"/>
      <w:bookmarkEnd w:id="258"/>
      <w:bookmarkStart w:id="259" w:name="_Toc184312131"/>
      <w:bookmarkEnd w:id="259"/>
      <w:bookmarkStart w:id="260" w:name="_Toc184312093"/>
      <w:bookmarkEnd w:id="260"/>
      <w:bookmarkStart w:id="261" w:name="_Toc184313306"/>
      <w:bookmarkEnd w:id="261"/>
      <w:bookmarkStart w:id="262" w:name="_Toc184314435"/>
      <w:bookmarkEnd w:id="262"/>
      <w:bookmarkStart w:id="263" w:name="_Toc184314479"/>
      <w:bookmarkEnd w:id="263"/>
      <w:bookmarkStart w:id="264" w:name="_Toc184310274"/>
      <w:bookmarkEnd w:id="264"/>
      <w:bookmarkStart w:id="265" w:name="_Toc184312069"/>
      <w:bookmarkEnd w:id="265"/>
      <w:bookmarkStart w:id="266" w:name="_Toc184310332"/>
      <w:bookmarkEnd w:id="266"/>
      <w:bookmarkStart w:id="267" w:name="_Toc184308075"/>
      <w:bookmarkEnd w:id="267"/>
      <w:bookmarkStart w:id="268" w:name="_Toc184310320"/>
      <w:bookmarkEnd w:id="268"/>
      <w:bookmarkStart w:id="269" w:name="_Toc184314419"/>
      <w:bookmarkEnd w:id="269"/>
      <w:bookmarkStart w:id="270" w:name="_Toc184312107"/>
      <w:bookmarkEnd w:id="270"/>
      <w:bookmarkStart w:id="271" w:name="_Toc184308066"/>
      <w:bookmarkEnd w:id="271"/>
      <w:bookmarkStart w:id="272" w:name="_Toc184313280"/>
      <w:bookmarkEnd w:id="272"/>
      <w:bookmarkStart w:id="273" w:name="_Toc184310306"/>
      <w:bookmarkEnd w:id="273"/>
      <w:bookmarkStart w:id="274" w:name="_Toc184314451"/>
      <w:bookmarkEnd w:id="274"/>
      <w:bookmarkStart w:id="275" w:name="_Toc184314462"/>
      <w:bookmarkEnd w:id="275"/>
      <w:bookmarkStart w:id="276" w:name="_Toc184313294"/>
      <w:bookmarkEnd w:id="276"/>
      <w:bookmarkStart w:id="277" w:name="_Toc184314476"/>
      <w:bookmarkEnd w:id="277"/>
      <w:bookmarkStart w:id="278" w:name="_Toc184313293"/>
      <w:bookmarkEnd w:id="278"/>
      <w:bookmarkStart w:id="279" w:name="_Toc184308050"/>
      <w:bookmarkEnd w:id="279"/>
      <w:bookmarkStart w:id="280" w:name="_Toc184310318"/>
      <w:bookmarkEnd w:id="280"/>
      <w:bookmarkStart w:id="281" w:name="_Toc184313289"/>
      <w:bookmarkEnd w:id="281"/>
      <w:bookmarkStart w:id="282" w:name="_Toc184313262"/>
      <w:bookmarkEnd w:id="282"/>
      <w:bookmarkStart w:id="283" w:name="_Toc184310283"/>
      <w:bookmarkEnd w:id="283"/>
      <w:bookmarkStart w:id="284" w:name="_Toc184312080"/>
      <w:bookmarkEnd w:id="284"/>
      <w:bookmarkStart w:id="285" w:name="_Toc184310325"/>
      <w:bookmarkEnd w:id="285"/>
      <w:bookmarkStart w:id="286" w:name="_Toc184314417"/>
      <w:bookmarkEnd w:id="286"/>
      <w:bookmarkStart w:id="287" w:name="_Toc184314418"/>
      <w:bookmarkEnd w:id="287"/>
      <w:bookmarkStart w:id="288" w:name="_Toc184308102"/>
      <w:bookmarkEnd w:id="288"/>
      <w:bookmarkStart w:id="289" w:name="_Toc184313271"/>
      <w:bookmarkEnd w:id="289"/>
      <w:bookmarkStart w:id="290" w:name="_Toc184314465"/>
      <w:bookmarkEnd w:id="290"/>
      <w:bookmarkStart w:id="291" w:name="_Toc184313287"/>
      <w:bookmarkEnd w:id="291"/>
      <w:bookmarkStart w:id="292" w:name="_Toc184314448"/>
      <w:bookmarkEnd w:id="292"/>
      <w:bookmarkStart w:id="293" w:name="_Toc184314410"/>
      <w:bookmarkEnd w:id="293"/>
      <w:bookmarkStart w:id="294" w:name="_Toc184313285"/>
      <w:bookmarkEnd w:id="294"/>
      <w:bookmarkStart w:id="295" w:name="_Toc184314432"/>
      <w:bookmarkEnd w:id="295"/>
      <w:bookmarkStart w:id="296" w:name="_Toc184310297"/>
      <w:bookmarkEnd w:id="296"/>
      <w:bookmarkStart w:id="297" w:name="_Toc184310313"/>
      <w:bookmarkEnd w:id="297"/>
      <w:bookmarkStart w:id="298" w:name="_Toc184314413"/>
      <w:bookmarkEnd w:id="298"/>
      <w:bookmarkStart w:id="299" w:name="_Toc184314424"/>
      <w:bookmarkEnd w:id="299"/>
      <w:bookmarkStart w:id="300" w:name="_Toc184312101"/>
      <w:bookmarkEnd w:id="300"/>
      <w:bookmarkStart w:id="301" w:name="_Toc184313275"/>
      <w:bookmarkEnd w:id="301"/>
      <w:bookmarkStart w:id="302" w:name="_Toc184312112"/>
      <w:bookmarkEnd w:id="302"/>
      <w:bookmarkStart w:id="303" w:name="_Toc184313283"/>
      <w:bookmarkEnd w:id="303"/>
      <w:bookmarkStart w:id="304" w:name="_Toc184312098"/>
      <w:bookmarkEnd w:id="304"/>
      <w:bookmarkStart w:id="305" w:name="_Toc184310277"/>
      <w:bookmarkEnd w:id="305"/>
      <w:bookmarkStart w:id="306" w:name="_Toc184313241"/>
      <w:bookmarkEnd w:id="306"/>
      <w:bookmarkStart w:id="307" w:name="_Toc184312073"/>
      <w:bookmarkEnd w:id="307"/>
      <w:bookmarkStart w:id="308" w:name="_Toc184308087"/>
      <w:bookmarkEnd w:id="308"/>
      <w:bookmarkStart w:id="309" w:name="_Toc184313250"/>
      <w:bookmarkEnd w:id="309"/>
      <w:bookmarkStart w:id="310" w:name="_Toc184308070"/>
      <w:bookmarkEnd w:id="310"/>
      <w:bookmarkStart w:id="311" w:name="_Toc184308097"/>
      <w:bookmarkEnd w:id="311"/>
      <w:bookmarkStart w:id="312" w:name="_Toc184312083"/>
      <w:bookmarkEnd w:id="312"/>
      <w:bookmarkStart w:id="313" w:name="_Toc184308054"/>
      <w:bookmarkEnd w:id="313"/>
      <w:bookmarkStart w:id="314" w:name="_Toc184312110"/>
      <w:bookmarkEnd w:id="314"/>
      <w:bookmarkStart w:id="315" w:name="_Toc184314468"/>
      <w:bookmarkEnd w:id="315"/>
      <w:bookmarkStart w:id="316" w:name="_Toc184314455"/>
      <w:bookmarkEnd w:id="316"/>
      <w:bookmarkStart w:id="317" w:name="_Toc184312127"/>
      <w:bookmarkEnd w:id="317"/>
      <w:bookmarkStart w:id="318" w:name="_Toc184310299"/>
      <w:bookmarkEnd w:id="318"/>
      <w:bookmarkStart w:id="319" w:name="_Toc184308045"/>
      <w:bookmarkEnd w:id="319"/>
      <w:bookmarkStart w:id="320" w:name="_Toc184314439"/>
      <w:bookmarkEnd w:id="320"/>
      <w:bookmarkStart w:id="321" w:name="_Toc184313266"/>
      <w:bookmarkEnd w:id="321"/>
      <w:bookmarkStart w:id="322" w:name="_Toc184313265"/>
      <w:bookmarkEnd w:id="322"/>
      <w:bookmarkStart w:id="323" w:name="_Toc184314447"/>
      <w:bookmarkEnd w:id="323"/>
      <w:bookmarkStart w:id="324" w:name="_Toc184308099"/>
      <w:bookmarkEnd w:id="324"/>
      <w:bookmarkStart w:id="325" w:name="_Toc184308090"/>
      <w:bookmarkEnd w:id="325"/>
      <w:bookmarkStart w:id="326" w:name="_Toc184312074"/>
      <w:bookmarkEnd w:id="326"/>
      <w:bookmarkStart w:id="327" w:name="_Toc184310303"/>
      <w:bookmarkEnd w:id="327"/>
      <w:bookmarkStart w:id="328" w:name="_Toc184314463"/>
      <w:bookmarkEnd w:id="328"/>
      <w:bookmarkStart w:id="329" w:name="_Toc184312085"/>
      <w:bookmarkEnd w:id="329"/>
      <w:bookmarkStart w:id="330" w:name="_Toc184313276"/>
      <w:bookmarkEnd w:id="330"/>
      <w:bookmarkStart w:id="331" w:name="_Toc184313254"/>
      <w:bookmarkEnd w:id="331"/>
      <w:bookmarkStart w:id="332" w:name="_Toc184308093"/>
      <w:bookmarkEnd w:id="332"/>
      <w:bookmarkStart w:id="333" w:name="_Toc184314482"/>
      <w:bookmarkEnd w:id="333"/>
      <w:bookmarkStart w:id="334" w:name="_Toc184314457"/>
      <w:bookmarkEnd w:id="334"/>
      <w:bookmarkStart w:id="335" w:name="_Toc184313303"/>
      <w:bookmarkEnd w:id="335"/>
      <w:bookmarkStart w:id="336" w:name="_Toc184314422"/>
      <w:bookmarkEnd w:id="336"/>
      <w:bookmarkStart w:id="337" w:name="_Toc184310317"/>
      <w:bookmarkEnd w:id="337"/>
      <w:bookmarkStart w:id="338" w:name="_Toc184314449"/>
      <w:bookmarkEnd w:id="338"/>
      <w:bookmarkStart w:id="339" w:name="_Toc184313256"/>
      <w:bookmarkEnd w:id="339"/>
      <w:bookmarkStart w:id="340" w:name="_Toc184308052"/>
      <w:bookmarkEnd w:id="340"/>
      <w:bookmarkStart w:id="341" w:name="_Toc184308040"/>
      <w:bookmarkEnd w:id="341"/>
      <w:bookmarkStart w:id="342" w:name="_Toc184310314"/>
      <w:bookmarkEnd w:id="342"/>
      <w:bookmarkStart w:id="343" w:name="_Toc184313286"/>
      <w:bookmarkEnd w:id="343"/>
      <w:bookmarkStart w:id="344" w:name="_Toc184308073"/>
      <w:bookmarkEnd w:id="344"/>
      <w:bookmarkStart w:id="345" w:name="_Toc184308071"/>
      <w:bookmarkEnd w:id="345"/>
      <w:bookmarkStart w:id="346" w:name="_Toc184312113"/>
      <w:bookmarkEnd w:id="346"/>
      <w:bookmarkStart w:id="347" w:name="_Toc184312111"/>
      <w:bookmarkEnd w:id="347"/>
      <w:bookmarkStart w:id="348" w:name="_Toc184313300"/>
      <w:bookmarkEnd w:id="348"/>
      <w:bookmarkStart w:id="349" w:name="_Toc184308062"/>
      <w:bookmarkEnd w:id="349"/>
      <w:bookmarkStart w:id="350" w:name="_Toc184314458"/>
      <w:bookmarkEnd w:id="350"/>
      <w:bookmarkStart w:id="351" w:name="_Toc184308060"/>
      <w:bookmarkEnd w:id="351"/>
      <w:bookmarkStart w:id="352" w:name="_Toc184310301"/>
      <w:bookmarkEnd w:id="352"/>
      <w:bookmarkStart w:id="353" w:name="_Toc184308084"/>
      <w:bookmarkEnd w:id="353"/>
      <w:bookmarkStart w:id="354" w:name="_Toc184312087"/>
      <w:bookmarkEnd w:id="354"/>
      <w:bookmarkStart w:id="355" w:name="_Toc184308082"/>
      <w:bookmarkEnd w:id="355"/>
      <w:bookmarkStart w:id="356" w:name="_Toc184308048"/>
      <w:bookmarkEnd w:id="356"/>
      <w:bookmarkStart w:id="357" w:name="_Toc184312128"/>
      <w:bookmarkEnd w:id="357"/>
      <w:bookmarkStart w:id="358" w:name="_Toc184310288"/>
      <w:bookmarkEnd w:id="358"/>
      <w:bookmarkStart w:id="359" w:name="_Toc184310342"/>
      <w:bookmarkEnd w:id="359"/>
      <w:bookmarkStart w:id="360" w:name="_Toc184312103"/>
      <w:bookmarkEnd w:id="360"/>
      <w:bookmarkStart w:id="361" w:name="_Toc184310340"/>
      <w:bookmarkEnd w:id="361"/>
      <w:bookmarkStart w:id="362" w:name="_Toc184312105"/>
      <w:bookmarkEnd w:id="362"/>
      <w:bookmarkStart w:id="363" w:name="_Toc184314456"/>
      <w:bookmarkEnd w:id="363"/>
      <w:bookmarkStart w:id="364" w:name="_Toc184312091"/>
      <w:bookmarkEnd w:id="364"/>
      <w:bookmarkStart w:id="365" w:name="_Toc184314477"/>
      <w:bookmarkEnd w:id="365"/>
      <w:bookmarkStart w:id="366" w:name="_Toc184312072"/>
      <w:bookmarkEnd w:id="366"/>
      <w:bookmarkStart w:id="367" w:name="_Toc184314431"/>
      <w:bookmarkEnd w:id="367"/>
      <w:bookmarkStart w:id="368" w:name="_Toc184312094"/>
      <w:bookmarkEnd w:id="368"/>
      <w:bookmarkStart w:id="369" w:name="_Toc184313264"/>
      <w:bookmarkEnd w:id="369"/>
      <w:bookmarkStart w:id="370" w:name="_Toc184313238"/>
      <w:bookmarkEnd w:id="370"/>
      <w:bookmarkStart w:id="371" w:name="_Toc184313259"/>
      <w:bookmarkEnd w:id="371"/>
      <w:bookmarkStart w:id="372" w:name="_Toc184308051"/>
      <w:bookmarkEnd w:id="372"/>
      <w:bookmarkStart w:id="373" w:name="_Toc184308044"/>
      <w:bookmarkEnd w:id="373"/>
      <w:bookmarkStart w:id="374" w:name="_Toc184312076"/>
      <w:bookmarkEnd w:id="374"/>
      <w:bookmarkStart w:id="375" w:name="_Toc184308088"/>
      <w:bookmarkEnd w:id="375"/>
      <w:bookmarkStart w:id="376" w:name="_Toc184310281"/>
      <w:bookmarkEnd w:id="376"/>
      <w:bookmarkStart w:id="377" w:name="_Toc184308038"/>
      <w:bookmarkEnd w:id="377"/>
      <w:bookmarkStart w:id="378" w:name="_Toc184310316"/>
      <w:bookmarkEnd w:id="378"/>
      <w:bookmarkStart w:id="379" w:name="_Toc184313253"/>
      <w:bookmarkEnd w:id="379"/>
      <w:bookmarkStart w:id="380" w:name="_Toc184313279"/>
      <w:bookmarkEnd w:id="380"/>
      <w:bookmarkStart w:id="381" w:name="_Toc184312138"/>
      <w:bookmarkEnd w:id="381"/>
      <w:bookmarkStart w:id="382" w:name="_Toc184313298"/>
      <w:bookmarkEnd w:id="382"/>
      <w:bookmarkStart w:id="383" w:name="_Toc184314470"/>
      <w:bookmarkEnd w:id="383"/>
      <w:bookmarkStart w:id="384" w:name="_Toc184312077"/>
      <w:bookmarkEnd w:id="384"/>
      <w:bookmarkStart w:id="385" w:name="_Toc184313270"/>
      <w:bookmarkEnd w:id="385"/>
      <w:bookmarkStart w:id="386" w:name="_Toc184308103"/>
      <w:bookmarkEnd w:id="386"/>
      <w:bookmarkStart w:id="387" w:name="_Toc184312123"/>
      <w:bookmarkEnd w:id="387"/>
      <w:bookmarkStart w:id="388" w:name="_Toc184313260"/>
      <w:bookmarkEnd w:id="388"/>
      <w:bookmarkStart w:id="389" w:name="_Toc184308064"/>
      <w:bookmarkEnd w:id="389"/>
      <w:bookmarkStart w:id="390" w:name="_Toc184310311"/>
      <w:bookmarkEnd w:id="390"/>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pPr w:leftFromText="180" w:rightFromText="180" w:vertAnchor="text" w:horzAnchor="page" w:tblpX="691" w:tblpY="126"/>
        <w:tblW w:w="10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6623"/>
        <w:gridCol w:w="1138"/>
        <w:gridCol w:w="101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658" w:type="dxa"/>
            <w:vAlign w:val="center"/>
          </w:tcPr>
          <w:p>
            <w:pPr>
              <w:spacing w:line="360" w:lineRule="auto"/>
              <w:jc w:val="cente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序号</w:t>
            </w:r>
          </w:p>
        </w:tc>
        <w:tc>
          <w:tcPr>
            <w:tcW w:w="6623" w:type="dxa"/>
            <w:vAlign w:val="center"/>
          </w:tcPr>
          <w:p>
            <w:pPr>
              <w:spacing w:line="360" w:lineRule="auto"/>
              <w:ind w:firstLine="1560" w:firstLineChars="650"/>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评标标准</w:t>
            </w:r>
          </w:p>
        </w:tc>
        <w:tc>
          <w:tcPr>
            <w:tcW w:w="1138" w:type="dxa"/>
            <w:vAlign w:val="center"/>
          </w:tcPr>
          <w:p>
            <w:pPr>
              <w:spacing w:line="360" w:lineRule="auto"/>
              <w:jc w:val="center"/>
              <w:outlineLvl w:val="0"/>
              <w:rPr>
                <w:rFonts w:hint="eastAsia"/>
                <w:color w:val="auto"/>
                <w:highlight w:val="none"/>
              </w:rPr>
            </w:pPr>
            <w:r>
              <w:rPr>
                <w:rFonts w:hint="eastAsia"/>
                <w:color w:val="auto"/>
                <w:highlight w:val="none"/>
              </w:rPr>
              <w:t>权重</w:t>
            </w:r>
          </w:p>
        </w:tc>
        <w:tc>
          <w:tcPr>
            <w:tcW w:w="1016" w:type="dxa"/>
            <w:vAlign w:val="top"/>
          </w:tcPr>
          <w:p>
            <w:pPr>
              <w:spacing w:line="360" w:lineRule="auto"/>
              <w:jc w:val="center"/>
              <w:outlineLvl w:val="0"/>
              <w:rPr>
                <w:rFonts w:hint="eastAsia"/>
                <w:color w:val="auto"/>
                <w:highlight w:val="none"/>
              </w:rPr>
            </w:pPr>
            <w:r>
              <w:rPr>
                <w:rFonts w:hint="eastAsia" w:ascii="Times New Roman" w:hAnsi="Times New Roman" w:eastAsia="宋体" w:cs="Times New Roman"/>
                <w:color w:val="auto"/>
                <w:highlight w:val="none"/>
              </w:rPr>
              <w:t>主观分/客观分属性</w:t>
            </w:r>
          </w:p>
        </w:tc>
        <w:tc>
          <w:tcPr>
            <w:tcW w:w="1350" w:type="dxa"/>
            <w:vAlign w:val="top"/>
          </w:tcPr>
          <w:p>
            <w:pPr>
              <w:spacing w:line="360" w:lineRule="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投标文件中评标标准相应的商务技术资料目录</w:t>
            </w:r>
            <w:r>
              <w:rPr>
                <w:rFonts w:hint="eastAsia" w:ascii="仿宋" w:hAnsi="仿宋" w:eastAsia="仿宋" w:cs="仿宋"/>
                <w:color w:val="auto"/>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658" w:type="dxa"/>
            <w:vAlign w:val="center"/>
          </w:tcPr>
          <w:p>
            <w:pPr>
              <w:spacing w:line="360" w:lineRule="auto"/>
              <w:ind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投标人具有质量管理体系认证，环境管理体系认证，职业健康安全管理体系认证的得5分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缺一不得分</w:t>
            </w:r>
            <w:r>
              <w:rPr>
                <w:rFonts w:hint="eastAsia" w:ascii="宋体" w:hAnsi="宋体" w:cs="宋体"/>
                <w:color w:val="auto"/>
                <w:sz w:val="24"/>
                <w:szCs w:val="24"/>
                <w:highlight w:val="none"/>
              </w:rPr>
              <w:t>。</w:t>
            </w:r>
          </w:p>
        </w:tc>
        <w:tc>
          <w:tcPr>
            <w:tcW w:w="1138" w:type="dxa"/>
            <w:vAlign w:val="center"/>
          </w:tcPr>
          <w:p>
            <w:pPr>
              <w:spacing w:line="360" w:lineRule="auto"/>
              <w:jc w:val="center"/>
              <w:outlineLvl w:val="0"/>
              <w:rPr>
                <w:rFonts w:hint="eastAsia" w:ascii="仿宋" w:hAnsi="仿宋" w:eastAsia="仿宋" w:cs="仿宋"/>
                <w:color w:val="auto"/>
                <w:sz w:val="24"/>
                <w:szCs w:val="24"/>
                <w:highlight w:val="none"/>
                <w:lang w:val="en-US" w:eastAsia="zh-CN"/>
              </w:rPr>
            </w:pPr>
            <w:r>
              <w:rPr>
                <w:rFonts w:ascii="宋体" w:hAnsi="宋体" w:cs="宋体"/>
                <w:color w:val="auto"/>
                <w:sz w:val="24"/>
                <w:szCs w:val="24"/>
                <w:highlight w:val="none"/>
              </w:rPr>
              <w:t>5</w:t>
            </w:r>
          </w:p>
        </w:tc>
        <w:tc>
          <w:tcPr>
            <w:tcW w:w="1016" w:type="dxa"/>
            <w:vAlign w:val="center"/>
          </w:tcPr>
          <w:p>
            <w:pPr>
              <w:spacing w:line="360" w:lineRule="auto"/>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客观</w:t>
            </w:r>
          </w:p>
        </w:tc>
        <w:tc>
          <w:tcPr>
            <w:tcW w:w="1350" w:type="dxa"/>
            <w:vAlign w:val="center"/>
          </w:tcPr>
          <w:p>
            <w:pPr>
              <w:spacing w:line="360" w:lineRule="auto"/>
              <w:outlineLvl w:val="0"/>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企业体系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58" w:type="dxa"/>
            <w:vAlign w:val="center"/>
          </w:tcPr>
          <w:p>
            <w:pPr>
              <w:spacing w:line="360" w:lineRule="auto"/>
              <w:ind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623" w:type="dxa"/>
            <w:vAlign w:val="center"/>
          </w:tcPr>
          <w:p>
            <w:pPr>
              <w:numPr>
                <w:ilvl w:val="0"/>
                <w:numId w:val="5"/>
              </w:num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项目负责人：</w:t>
            </w:r>
            <w:r>
              <w:rPr>
                <w:rFonts w:hint="eastAsia" w:ascii="宋体" w:hAnsi="宋体" w:cs="宋体"/>
                <w:color w:val="auto"/>
                <w:sz w:val="24"/>
                <w:szCs w:val="24"/>
                <w:highlight w:val="none"/>
              </w:rPr>
              <w:t>具有</w:t>
            </w:r>
            <w:r>
              <w:rPr>
                <w:rFonts w:hint="eastAsia" w:ascii="宋体" w:hAnsi="宋体" w:cs="宋体"/>
                <w:color w:val="auto"/>
                <w:sz w:val="24"/>
                <w:szCs w:val="24"/>
                <w:highlight w:val="none"/>
                <w:lang w:eastAsia="zh-CN"/>
              </w:rPr>
              <w:t>本科</w:t>
            </w:r>
            <w:r>
              <w:rPr>
                <w:rFonts w:hint="eastAsia" w:ascii="宋体" w:hAnsi="宋体" w:cs="宋体"/>
                <w:color w:val="auto"/>
                <w:sz w:val="24"/>
                <w:szCs w:val="24"/>
                <w:highlight w:val="none"/>
              </w:rPr>
              <w:t>学历且</w:t>
            </w:r>
            <w:r>
              <w:rPr>
                <w:rFonts w:hint="eastAsia" w:ascii="宋体" w:hAnsi="宋体" w:cs="宋体"/>
                <w:color w:val="auto"/>
                <w:sz w:val="24"/>
                <w:szCs w:val="24"/>
                <w:highlight w:val="none"/>
                <w:lang w:eastAsia="zh-CN"/>
              </w:rPr>
              <w:t>具有高</w:t>
            </w:r>
            <w:r>
              <w:rPr>
                <w:rFonts w:hint="eastAsia" w:ascii="宋体" w:hAnsi="宋体" w:cs="宋体"/>
                <w:color w:val="auto"/>
                <w:sz w:val="24"/>
                <w:szCs w:val="24"/>
                <w:highlight w:val="none"/>
              </w:rPr>
              <w:t>级及以上职称的</w:t>
            </w:r>
            <w:r>
              <w:rPr>
                <w:rFonts w:hint="eastAsia" w:ascii="宋体" w:hAnsi="宋体" w:cs="宋体"/>
                <w:color w:val="auto"/>
                <w:sz w:val="24"/>
                <w:szCs w:val="24"/>
                <w:highlight w:val="none"/>
                <w:lang w:eastAsia="zh-CN"/>
              </w:rPr>
              <w:t>得</w:t>
            </w:r>
            <w:r>
              <w:rPr>
                <w:rFonts w:hint="eastAsia" w:ascii="宋体" w:hAnsi="宋体" w:cs="宋体"/>
                <w:color w:val="auto"/>
                <w:sz w:val="24"/>
                <w:szCs w:val="24"/>
                <w:highlight w:val="none"/>
                <w:lang w:val="en-US" w:eastAsia="zh-CN"/>
              </w:rPr>
              <w:t>5分，否则不得分。</w:t>
            </w:r>
          </w:p>
          <w:p>
            <w:pPr>
              <w:numPr>
                <w:ilvl w:val="0"/>
                <w:numId w:val="5"/>
              </w:num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保洁</w:t>
            </w:r>
            <w:r>
              <w:rPr>
                <w:rFonts w:hint="eastAsia" w:ascii="宋体" w:hAnsi="宋体" w:cs="宋体"/>
                <w:color w:val="auto"/>
                <w:sz w:val="24"/>
                <w:szCs w:val="24"/>
                <w:highlight w:val="none"/>
                <w:lang w:eastAsia="zh-CN"/>
              </w:rPr>
              <w:t>管理</w:t>
            </w:r>
            <w:r>
              <w:rPr>
                <w:rFonts w:hint="eastAsia" w:ascii="宋体" w:hAnsi="宋体" w:cs="宋体"/>
                <w:color w:val="auto"/>
                <w:sz w:val="24"/>
                <w:szCs w:val="24"/>
                <w:highlight w:val="none"/>
              </w:rPr>
              <w:t>人员：具有大专学历或三年及以上类似工作经验的，每个得1分，最多得3分</w:t>
            </w:r>
            <w:r>
              <w:rPr>
                <w:rFonts w:hint="eastAsia" w:ascii="宋体" w:hAnsi="宋体" w:cs="宋体"/>
                <w:color w:val="auto"/>
                <w:sz w:val="24"/>
                <w:szCs w:val="24"/>
                <w:highlight w:val="none"/>
                <w:lang w:eastAsia="zh-CN"/>
              </w:rPr>
              <w:t>。</w:t>
            </w:r>
          </w:p>
          <w:p>
            <w:pPr>
              <w:numPr>
                <w:ilvl w:val="0"/>
                <w:numId w:val="5"/>
              </w:num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绿化养护人员：具有园林绿化中级及以上职称的管理人员得3分，没有不得分。其他养护人员具有花卉园艺师三级及以上的得3分，最高得6分。</w:t>
            </w:r>
          </w:p>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（须提供人员证书、工作履历证明、个人社保证明扫描件或复印件加盖公章，否则不得分）</w:t>
            </w:r>
          </w:p>
        </w:tc>
        <w:tc>
          <w:tcPr>
            <w:tcW w:w="1138" w:type="dxa"/>
            <w:vAlign w:val="center"/>
          </w:tcPr>
          <w:p>
            <w:pPr>
              <w:spacing w:line="360" w:lineRule="auto"/>
              <w:jc w:val="center"/>
              <w:rPr>
                <w:rFonts w:hint="eastAsia" w:ascii="仿宋" w:hAnsi="仿宋" w:eastAsia="仿宋" w:cs="仿宋"/>
                <w:color w:val="auto"/>
                <w:sz w:val="24"/>
                <w:szCs w:val="24"/>
                <w:highlight w:val="none"/>
              </w:rPr>
            </w:pPr>
            <w:r>
              <w:rPr>
                <w:rFonts w:ascii="宋体" w:hAnsi="宋体" w:cs="宋体"/>
                <w:color w:val="auto"/>
                <w:sz w:val="24"/>
                <w:szCs w:val="24"/>
                <w:highlight w:val="none"/>
              </w:rPr>
              <w:t>14</w:t>
            </w:r>
          </w:p>
        </w:tc>
        <w:tc>
          <w:tcPr>
            <w:tcW w:w="1016" w:type="dxa"/>
            <w:vAlign w:val="top"/>
          </w:tcPr>
          <w:p>
            <w:pPr>
              <w:spacing w:line="360" w:lineRule="auto"/>
              <w:jc w:val="left"/>
              <w:rPr>
                <w:rFonts w:hint="eastAsia" w:ascii="宋体" w:hAnsi="宋体" w:cs="宋体"/>
                <w:color w:val="auto"/>
                <w:sz w:val="24"/>
                <w:szCs w:val="24"/>
                <w:highlight w:val="none"/>
                <w:lang w:val="en-US" w:eastAsia="zh-CN"/>
              </w:rPr>
            </w:pPr>
          </w:p>
          <w:p>
            <w:pPr>
              <w:spacing w:line="360" w:lineRule="auto"/>
              <w:jc w:val="left"/>
              <w:rPr>
                <w:rFonts w:hint="eastAsia" w:ascii="宋体" w:hAnsi="宋体" w:cs="宋体"/>
                <w:color w:val="auto"/>
                <w:sz w:val="24"/>
                <w:szCs w:val="24"/>
                <w:highlight w:val="none"/>
                <w:lang w:val="en-US" w:eastAsia="zh-CN"/>
              </w:rPr>
            </w:pPr>
          </w:p>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客观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项目人员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58" w:type="dxa"/>
            <w:vAlign w:val="center"/>
          </w:tcPr>
          <w:p>
            <w:pPr>
              <w:spacing w:line="360" w:lineRule="auto"/>
              <w:ind w:firstLine="240" w:firstLineChars="10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投标人近三年内（自20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年1月1日起至今，以合同签订时间为准）承接过</w:t>
            </w:r>
            <w:r>
              <w:rPr>
                <w:rFonts w:hint="eastAsia" w:ascii="宋体" w:hAnsi="宋体" w:cs="宋体"/>
                <w:color w:val="auto"/>
                <w:sz w:val="24"/>
                <w:szCs w:val="24"/>
                <w:highlight w:val="none"/>
                <w:lang w:eastAsia="zh-CN"/>
              </w:rPr>
              <w:t>道路保洁及绿化养护、市政养护</w:t>
            </w:r>
            <w:r>
              <w:rPr>
                <w:rFonts w:hint="eastAsia" w:ascii="宋体" w:hAnsi="宋体" w:cs="宋体"/>
                <w:color w:val="auto"/>
                <w:sz w:val="24"/>
                <w:szCs w:val="24"/>
                <w:highlight w:val="none"/>
              </w:rPr>
              <w:t>类似</w:t>
            </w:r>
            <w:r>
              <w:rPr>
                <w:rFonts w:hint="eastAsia" w:ascii="宋体" w:hAnsi="宋体" w:cs="宋体"/>
                <w:color w:val="auto"/>
                <w:sz w:val="24"/>
                <w:szCs w:val="24"/>
                <w:highlight w:val="none"/>
                <w:lang w:eastAsia="zh-CN"/>
              </w:rPr>
              <w:t>综合</w:t>
            </w:r>
            <w:r>
              <w:rPr>
                <w:rFonts w:hint="eastAsia" w:ascii="宋体" w:hAnsi="宋体" w:cs="宋体"/>
                <w:color w:val="auto"/>
                <w:sz w:val="24"/>
                <w:szCs w:val="24"/>
                <w:highlight w:val="none"/>
              </w:rPr>
              <w:t>养护项目的一个得1分，最高得1分。（提供合同和中标通知书扫描件或复印件加盖公章，否则不得分。）</w:t>
            </w:r>
          </w:p>
        </w:tc>
        <w:tc>
          <w:tcPr>
            <w:tcW w:w="1138" w:type="dxa"/>
            <w:vAlign w:val="center"/>
          </w:tcPr>
          <w:p>
            <w:pPr>
              <w:spacing w:line="360" w:lineRule="auto"/>
              <w:ind w:firstLine="240" w:firstLineChars="100"/>
              <w:jc w:val="center"/>
              <w:rPr>
                <w:rFonts w:hint="eastAsia" w:ascii="仿宋" w:hAnsi="仿宋" w:eastAsia="仿宋" w:cs="仿宋"/>
                <w:color w:val="auto"/>
                <w:sz w:val="24"/>
                <w:szCs w:val="24"/>
                <w:highlight w:val="none"/>
                <w:lang w:val="en-US" w:eastAsia="zh-CN"/>
              </w:rPr>
            </w:pPr>
            <w:r>
              <w:rPr>
                <w:rFonts w:ascii="宋体" w:hAnsi="宋体" w:cs="宋体"/>
                <w:color w:val="auto"/>
                <w:sz w:val="24"/>
                <w:szCs w:val="24"/>
                <w:highlight w:val="none"/>
              </w:rPr>
              <w:t>1</w:t>
            </w:r>
          </w:p>
        </w:tc>
        <w:tc>
          <w:tcPr>
            <w:tcW w:w="1016" w:type="dxa"/>
            <w:vAlign w:val="top"/>
          </w:tcPr>
          <w:p>
            <w:pPr>
              <w:spacing w:line="360" w:lineRule="auto"/>
              <w:jc w:val="center"/>
              <w:rPr>
                <w:rFonts w:hint="eastAsia"/>
                <w:color w:val="auto"/>
                <w:highlight w:val="none"/>
                <w:lang w:val="en-US" w:eastAsia="zh-CN"/>
              </w:rPr>
            </w:pPr>
          </w:p>
          <w:p>
            <w:pPr>
              <w:pStyle w:val="2"/>
              <w:ind w:left="437" w:leftChars="88" w:hanging="252" w:hangingChars="105"/>
              <w:rPr>
                <w:rFonts w:hint="eastAsia"/>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客观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623" w:type="dxa"/>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①自备总质量</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吨及以上</w:t>
            </w:r>
            <w:r>
              <w:rPr>
                <w:rFonts w:hint="eastAsia" w:ascii="宋体" w:hAnsi="宋体" w:cs="宋体"/>
                <w:color w:val="auto"/>
                <w:sz w:val="24"/>
                <w:szCs w:val="24"/>
                <w:highlight w:val="none"/>
                <w:lang w:eastAsia="zh-CN"/>
              </w:rPr>
              <w:t>清洗</w:t>
            </w:r>
            <w:r>
              <w:rPr>
                <w:rFonts w:hint="eastAsia" w:ascii="宋体" w:hAnsi="宋体" w:cs="宋体"/>
                <w:color w:val="auto"/>
                <w:sz w:val="24"/>
                <w:szCs w:val="24"/>
                <w:highlight w:val="none"/>
              </w:rPr>
              <w:t>车</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辆及以上；总质量</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吨及以上</w:t>
            </w:r>
            <w:r>
              <w:rPr>
                <w:rFonts w:hint="eastAsia" w:ascii="宋体" w:hAnsi="宋体" w:cs="宋体"/>
                <w:color w:val="auto"/>
                <w:sz w:val="24"/>
                <w:szCs w:val="24"/>
                <w:highlight w:val="none"/>
                <w:lang w:eastAsia="zh-CN"/>
              </w:rPr>
              <w:t>三位一体</w:t>
            </w:r>
            <w:r>
              <w:rPr>
                <w:rFonts w:hint="eastAsia" w:ascii="宋体" w:hAnsi="宋体" w:cs="宋体"/>
                <w:color w:val="auto"/>
                <w:sz w:val="24"/>
                <w:szCs w:val="24"/>
                <w:highlight w:val="none"/>
              </w:rPr>
              <w:t>洗扫车</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辆及以上；总质量</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吨及以上路面养护车1辆及以上；密闭式4轮8桶分类收运车（音乐线车）</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辆及以上；上述设备投标单位自有得16分，少一辆本项不得分。</w:t>
            </w:r>
            <w:r>
              <w:rPr>
                <w:rFonts w:hint="eastAsia" w:ascii="宋体" w:hAnsi="宋体" w:cs="宋体"/>
                <w:color w:val="auto"/>
                <w:sz w:val="24"/>
                <w:szCs w:val="24"/>
                <w:highlight w:val="none"/>
                <w:lang w:eastAsia="zh-CN"/>
              </w:rPr>
              <w:t>清洗车</w:t>
            </w:r>
            <w:r>
              <w:rPr>
                <w:rFonts w:hint="eastAsia" w:ascii="宋体" w:hAnsi="宋体" w:cs="宋体"/>
                <w:color w:val="auto"/>
                <w:sz w:val="24"/>
                <w:szCs w:val="24"/>
                <w:highlight w:val="none"/>
              </w:rPr>
              <w:t>、洗扫车必须配备GPS（提供轨迹资料图等类似证明材料）,未安装或未提供相关证明材料不得分。</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②割灌机4台及以上；绿篱机3台及以上；高压喷雾（药）机2台及以上；绿化树枝粉碎机1台及以上；鼓风机1台及以上；上述设备投标单位自有得6分，少一项不得分。</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③清洗车、洗扫车、路面养护车</w:t>
            </w:r>
            <w:r>
              <w:rPr>
                <w:rFonts w:hint="eastAsia" w:ascii="宋体" w:hAnsi="宋体" w:cs="宋体"/>
                <w:color w:val="auto"/>
                <w:sz w:val="24"/>
                <w:szCs w:val="24"/>
                <w:highlight w:val="none"/>
                <w:lang w:eastAsia="zh-CN"/>
              </w:rPr>
              <w:t>三</w:t>
            </w:r>
            <w:r>
              <w:rPr>
                <w:rFonts w:hint="eastAsia" w:ascii="宋体" w:hAnsi="宋体" w:cs="宋体"/>
                <w:color w:val="auto"/>
                <w:sz w:val="24"/>
                <w:szCs w:val="24"/>
                <w:highlight w:val="none"/>
              </w:rPr>
              <w:t>种车辆中为纯电动新能源车或天然气清洁能源车的，大于等于</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辆得3分，没有的则不得分。</w:t>
            </w:r>
          </w:p>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有效证明材料为：自有的投标文件中提供车辆行驶证及购车发票复印件，须提供否则不得分。按国家规定无需办理行驶证的设备需在投标文件中提供购买发票复印件，否则不得分。以上材料无法完全体现要求内容的，须提供相关照片，否则不得分。</w:t>
            </w:r>
          </w:p>
        </w:tc>
        <w:tc>
          <w:tcPr>
            <w:tcW w:w="1138" w:type="dxa"/>
            <w:vAlign w:val="center"/>
          </w:tcPr>
          <w:p>
            <w:pPr>
              <w:spacing w:line="360" w:lineRule="auto"/>
              <w:jc w:val="center"/>
              <w:rPr>
                <w:rFonts w:hint="default"/>
                <w:color w:val="auto"/>
                <w:highlight w:val="none"/>
                <w:lang w:val="en-US" w:eastAsia="zh-CN"/>
              </w:rPr>
            </w:pPr>
          </w:p>
          <w:p>
            <w:pPr>
              <w:pStyle w:val="23"/>
              <w:rPr>
                <w:rFonts w:hint="default"/>
                <w:color w:val="auto"/>
                <w:highlight w:val="none"/>
                <w:lang w:val="en-US" w:eastAsia="zh-CN"/>
              </w:rPr>
            </w:pPr>
          </w:p>
          <w:p>
            <w:pPr>
              <w:pStyle w:val="24"/>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25</w:t>
            </w:r>
          </w:p>
          <w:p>
            <w:pPr>
              <w:pStyle w:val="25"/>
              <w:rPr>
                <w:rFonts w:hint="default"/>
                <w:color w:val="auto"/>
                <w:highlight w:val="none"/>
                <w:lang w:val="en-US" w:eastAsia="zh-CN"/>
              </w:rPr>
            </w:pPr>
          </w:p>
          <w:p>
            <w:pPr>
              <w:rPr>
                <w:rFonts w:hint="default"/>
                <w:color w:val="auto"/>
                <w:highlight w:val="none"/>
                <w:lang w:val="en-US" w:eastAsia="zh-CN"/>
              </w:rPr>
            </w:pPr>
          </w:p>
          <w:p>
            <w:pPr>
              <w:pStyle w:val="23"/>
              <w:rPr>
                <w:rFonts w:hint="default"/>
                <w:color w:val="auto"/>
                <w:highlight w:val="none"/>
                <w:lang w:val="en-US" w:eastAsia="zh-CN"/>
              </w:rPr>
            </w:pPr>
          </w:p>
          <w:p>
            <w:pPr>
              <w:pStyle w:val="24"/>
              <w:rPr>
                <w:rFonts w:hint="default"/>
                <w:color w:val="auto"/>
                <w:highlight w:val="none"/>
                <w:lang w:val="en-US" w:eastAsia="zh-CN"/>
              </w:rPr>
            </w:pPr>
          </w:p>
          <w:p>
            <w:pPr>
              <w:pStyle w:val="25"/>
              <w:rPr>
                <w:rFonts w:hint="default"/>
                <w:color w:val="auto"/>
                <w:highlight w:val="none"/>
                <w:lang w:val="en-US" w:eastAsia="zh-CN"/>
              </w:rPr>
            </w:pPr>
          </w:p>
          <w:p>
            <w:pPr>
              <w:rPr>
                <w:rFonts w:hint="default"/>
                <w:color w:val="auto"/>
                <w:highlight w:val="none"/>
                <w:lang w:val="en-US" w:eastAsia="zh-CN"/>
              </w:rPr>
            </w:pPr>
          </w:p>
          <w:p>
            <w:pPr>
              <w:pStyle w:val="23"/>
              <w:rPr>
                <w:rFonts w:hint="default"/>
                <w:color w:val="auto"/>
                <w:highlight w:val="none"/>
                <w:lang w:val="en-US" w:eastAsia="zh-CN"/>
              </w:rPr>
            </w:pPr>
          </w:p>
          <w:p>
            <w:pPr>
              <w:pStyle w:val="24"/>
              <w:rPr>
                <w:rFonts w:hint="default"/>
                <w:color w:val="auto"/>
                <w:highlight w:val="none"/>
                <w:lang w:val="en-US" w:eastAsia="zh-CN"/>
              </w:rPr>
            </w:pPr>
          </w:p>
        </w:tc>
        <w:tc>
          <w:tcPr>
            <w:tcW w:w="1016" w:type="dxa"/>
            <w:vAlign w:val="top"/>
          </w:tcPr>
          <w:p>
            <w:pPr>
              <w:spacing w:line="360" w:lineRule="auto"/>
              <w:jc w:val="center"/>
              <w:rPr>
                <w:rFonts w:hint="eastAsia"/>
                <w:color w:val="auto"/>
                <w:highlight w:val="none"/>
                <w:lang w:val="en-US" w:eastAsia="zh-CN"/>
              </w:rPr>
            </w:pPr>
          </w:p>
          <w:p>
            <w:pPr>
              <w:pStyle w:val="2"/>
              <w:rPr>
                <w:rFonts w:hint="eastAsia"/>
                <w:color w:val="auto"/>
                <w:highlight w:val="none"/>
                <w:lang w:val="en-US" w:eastAsia="zh-CN"/>
              </w:rPr>
            </w:pPr>
          </w:p>
          <w:p>
            <w:pPr>
              <w:pStyle w:val="2"/>
              <w:ind w:left="437" w:leftChars="88" w:hanging="252" w:hangingChars="105"/>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客观 </w:t>
            </w:r>
          </w:p>
          <w:p>
            <w:pPr>
              <w:pStyle w:val="2"/>
              <w:rPr>
                <w:rFonts w:hint="eastAsia" w:ascii="宋体" w:hAnsi="宋体" w:eastAsia="宋体" w:cs="宋体"/>
                <w:b w:val="0"/>
                <w:bCs w:val="0"/>
                <w:color w:val="auto"/>
                <w:kern w:val="2"/>
                <w:sz w:val="24"/>
                <w:szCs w:val="24"/>
                <w:highlight w:val="none"/>
                <w:lang w:val="en-US" w:eastAsia="zh-CN" w:bidi="ar-SA"/>
              </w:rPr>
            </w:pPr>
          </w:p>
          <w:p>
            <w:pPr>
              <w:pStyle w:val="2"/>
              <w:rPr>
                <w:rFonts w:hint="eastAsia" w:ascii="宋体" w:hAnsi="宋体" w:eastAsia="宋体" w:cs="宋体"/>
                <w:b w:val="0"/>
                <w:bCs w:val="0"/>
                <w:color w:val="auto"/>
                <w:kern w:val="2"/>
                <w:sz w:val="24"/>
                <w:szCs w:val="24"/>
                <w:highlight w:val="none"/>
                <w:lang w:val="en-US" w:eastAsia="zh-CN" w:bidi="ar-SA"/>
              </w:rPr>
            </w:pPr>
          </w:p>
          <w:p>
            <w:pPr>
              <w:pStyle w:val="2"/>
              <w:rPr>
                <w:rFonts w:hint="eastAsia" w:ascii="宋体" w:hAnsi="宋体" w:eastAsia="宋体" w:cs="宋体"/>
                <w:b w:val="0"/>
                <w:bCs w:val="0"/>
                <w:color w:val="auto"/>
                <w:kern w:val="2"/>
                <w:sz w:val="24"/>
                <w:szCs w:val="24"/>
                <w:highlight w:val="none"/>
                <w:lang w:val="en-US" w:eastAsia="zh-CN" w:bidi="ar-SA"/>
              </w:rPr>
            </w:pPr>
          </w:p>
          <w:p>
            <w:pPr>
              <w:pStyle w:val="2"/>
              <w:rPr>
                <w:rFonts w:hint="eastAsia" w:ascii="宋体" w:hAnsi="宋体" w:eastAsia="宋体" w:cs="宋体"/>
                <w:b w:val="0"/>
                <w:bCs w:val="0"/>
                <w:color w:val="auto"/>
                <w:kern w:val="2"/>
                <w:sz w:val="24"/>
                <w:szCs w:val="24"/>
                <w:highlight w:val="none"/>
                <w:lang w:val="en-US" w:eastAsia="zh-CN" w:bidi="ar-SA"/>
              </w:rPr>
            </w:pPr>
          </w:p>
          <w:p>
            <w:pPr>
              <w:pStyle w:val="2"/>
              <w:rPr>
                <w:rFonts w:hint="eastAsia" w:ascii="宋体" w:hAnsi="宋体" w:eastAsia="宋体" w:cs="宋体"/>
                <w:b w:val="0"/>
                <w:bCs w:val="0"/>
                <w:color w:val="auto"/>
                <w:kern w:val="2"/>
                <w:sz w:val="24"/>
                <w:szCs w:val="24"/>
                <w:highlight w:val="none"/>
                <w:lang w:val="en-US" w:eastAsia="zh-CN" w:bidi="ar-SA"/>
              </w:rPr>
            </w:pPr>
          </w:p>
          <w:p>
            <w:pPr>
              <w:pStyle w:val="2"/>
              <w:rPr>
                <w:rFonts w:hint="default"/>
                <w:color w:val="auto"/>
                <w:highlight w:val="none"/>
                <w:lang w:val="en-US" w:eastAsia="zh-CN"/>
              </w:rPr>
            </w:pPr>
          </w:p>
        </w:tc>
        <w:tc>
          <w:tcPr>
            <w:tcW w:w="1350" w:type="dxa"/>
            <w:vAlign w:val="top"/>
          </w:tcPr>
          <w:p>
            <w:pPr>
              <w:rPr>
                <w:rFonts w:hint="eastAsia" w:ascii="仿宋" w:hAnsi="仿宋" w:eastAsia="仿宋" w:cs="仿宋"/>
                <w:color w:val="auto"/>
                <w:sz w:val="24"/>
                <w:szCs w:val="24"/>
                <w:highlight w:val="none"/>
                <w:lang w:val="en-US" w:eastAsia="zh-CN"/>
              </w:rPr>
            </w:pPr>
          </w:p>
          <w:p>
            <w:pPr>
              <w:rPr>
                <w:rFonts w:hint="eastAsia" w:ascii="仿宋" w:hAnsi="仿宋" w:eastAsia="仿宋" w:cs="仿宋"/>
                <w:color w:val="auto"/>
                <w:sz w:val="24"/>
                <w:szCs w:val="24"/>
                <w:highlight w:val="none"/>
                <w:lang w:val="en-US" w:eastAsia="zh-CN"/>
              </w:rPr>
            </w:pPr>
          </w:p>
          <w:p>
            <w:pPr>
              <w:rPr>
                <w:rFonts w:hint="eastAsia" w:ascii="仿宋" w:hAnsi="仿宋" w:eastAsia="仿宋" w:cs="仿宋"/>
                <w:color w:val="auto"/>
                <w:sz w:val="24"/>
                <w:szCs w:val="24"/>
                <w:highlight w:val="none"/>
                <w:lang w:val="en-US" w:eastAsia="zh-CN"/>
              </w:rPr>
            </w:pPr>
          </w:p>
          <w:p>
            <w:pPr>
              <w:rPr>
                <w:rFonts w:hint="eastAsia" w:ascii="仿宋" w:hAnsi="仿宋" w:eastAsia="仿宋" w:cs="仿宋"/>
                <w:color w:val="auto"/>
                <w:sz w:val="24"/>
                <w:szCs w:val="24"/>
                <w:highlight w:val="none"/>
                <w:lang w:eastAsia="zh-CN"/>
              </w:rPr>
            </w:pPr>
            <w:r>
              <w:rPr>
                <w:rFonts w:hint="eastAsia" w:ascii="宋体" w:hAnsi="宋体" w:cs="宋体"/>
                <w:color w:val="auto"/>
                <w:sz w:val="24"/>
                <w:szCs w:val="24"/>
                <w:highlight w:val="none"/>
              </w:rPr>
              <w:t>车辆和机械设备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组织管理体系完善，项目负责人、班组长、管理员等管理人员配备齐全到位，年龄适中，具有相关工作经验，项目管理事项明确，严格执行企业管理规范，酌情打分。（符合得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016" w:type="dxa"/>
            <w:vAlign w:val="center"/>
          </w:tcPr>
          <w:p>
            <w:pPr>
              <w:spacing w:line="360" w:lineRule="auto"/>
              <w:jc w:val="center"/>
              <w:rPr>
                <w:rFonts w:hint="eastAsia" w:ascii="仿宋" w:hAnsi="仿宋" w:eastAsia="仿宋" w:cs="仿宋"/>
                <w:b w:val="0"/>
                <w:bCs w:val="0"/>
                <w:color w:val="auto"/>
                <w:sz w:val="24"/>
                <w:szCs w:val="24"/>
                <w:highlight w:val="none"/>
                <w:lang w:val="en-US" w:eastAsia="zh-CN"/>
              </w:rPr>
            </w:pPr>
          </w:p>
          <w:p>
            <w:pPr>
              <w:spacing w:line="360" w:lineRule="auto"/>
              <w:ind w:firstLine="240" w:firstLineChars="100"/>
              <w:jc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组织管理体系方案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623" w:type="dxa"/>
            <w:vAlign w:val="top"/>
          </w:tcPr>
          <w:p>
            <w:pPr>
              <w:spacing w:line="360" w:lineRule="auto"/>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主要岗位职责、工作流程及内部考核办法完善，酌情打分。（符合得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016" w:type="dxa"/>
            <w:vAlign w:val="center"/>
          </w:tcPr>
          <w:p>
            <w:pPr>
              <w:spacing w:line="360" w:lineRule="auto"/>
              <w:jc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岗位职责、工作流程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投标人自行踏勘现场，针对本标段保洁的特点创新作业理念（1分），（符合得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0.5</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分）制定“人扫、机扫、巡捡”三位一体的保洁作业方案（1分）（符合得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0.5</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分），要求方案符合本标段实际情况，保洁作业能做到各要素的合理配置，全面、即时覆盖各作业区域（2分）（符合得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分），绿化养护方案：重点阐述病虫害防治、施肥、修剪等关键养护技术措施。（符合得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0.5</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w:t>
            </w:r>
          </w:p>
        </w:tc>
        <w:tc>
          <w:tcPr>
            <w:tcW w:w="1138" w:type="dxa"/>
            <w:vAlign w:val="center"/>
          </w:tcPr>
          <w:p>
            <w:pPr>
              <w:adjustRightInd w:val="0"/>
              <w:snapToGrid w:val="0"/>
              <w:spacing w:line="228" w:lineRule="auto"/>
              <w:ind w:left="-105" w:leftChars="-50"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016" w:type="dxa"/>
            <w:vAlign w:val="center"/>
          </w:tcPr>
          <w:p>
            <w:pPr>
              <w:adjustRightInd w:val="0"/>
              <w:snapToGrid w:val="0"/>
              <w:spacing w:line="228" w:lineRule="auto"/>
              <w:ind w:left="-105" w:leftChars="-50" w:right="-105" w:rightChars="-50"/>
              <w:jc w:val="center"/>
              <w:rPr>
                <w:rFonts w:hint="eastAsia"/>
                <w:b w:val="0"/>
                <w:bCs w:val="0"/>
                <w:color w:val="auto"/>
                <w:highlight w:val="none"/>
                <w:lang w:val="en-US" w:eastAsia="zh-CN"/>
              </w:rPr>
            </w:pPr>
          </w:p>
          <w:p>
            <w:pPr>
              <w:pStyle w:val="2"/>
              <w:ind w:left="437" w:leftChars="88" w:hanging="252" w:hangingChars="105"/>
              <w:jc w:val="center"/>
              <w:rPr>
                <w:rFonts w:hint="default"/>
                <w:b w:val="0"/>
                <w:bCs w:val="0"/>
                <w:color w:val="auto"/>
                <w:highlight w:val="none"/>
                <w:lang w:val="en-US" w:eastAsia="zh-CN"/>
              </w:rPr>
            </w:pPr>
            <w:r>
              <w:rPr>
                <w:rFonts w:hint="eastAsia" w:ascii="仿宋" w:hAnsi="仿宋" w:eastAsia="仿宋" w:cs="仿宋"/>
                <w:b w:val="0"/>
                <w:bCs w:val="0"/>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保洁作业方案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保洁养护工作质量管理体系完善，制定内部考核制度，有专门的组织机构负责对本项目进行质量监管，针对本项目制定了具体的质量管理考核细则，酌情打分。（符合得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adjustRightInd w:val="0"/>
              <w:snapToGrid w:val="0"/>
              <w:spacing w:line="228" w:lineRule="auto"/>
              <w:ind w:left="-105" w:leftChars="-50"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016" w:type="dxa"/>
            <w:vAlign w:val="center"/>
          </w:tcPr>
          <w:p>
            <w:pPr>
              <w:adjustRightInd w:val="0"/>
              <w:snapToGrid w:val="0"/>
              <w:spacing w:line="228" w:lineRule="auto"/>
              <w:ind w:left="-105" w:leftChars="-50" w:right="-105" w:rightChars="-50"/>
              <w:jc w:val="center"/>
              <w:rPr>
                <w:rFonts w:hint="eastAsia"/>
                <w:color w:val="auto"/>
                <w:highlight w:val="none"/>
                <w:lang w:val="en-US" w:eastAsia="zh-CN"/>
              </w:rPr>
            </w:pPr>
          </w:p>
          <w:p>
            <w:pPr>
              <w:jc w:val="center"/>
              <w:rPr>
                <w:rFonts w:hint="eastAsia" w:ascii="仿宋" w:hAnsi="仿宋" w:eastAsia="仿宋" w:cs="仿宋"/>
                <w:color w:val="auto"/>
                <w:sz w:val="24"/>
                <w:szCs w:val="24"/>
                <w:highlight w:val="none"/>
                <w:lang w:val="en-US" w:eastAsia="zh-CN"/>
              </w:rPr>
            </w:pPr>
          </w:p>
          <w:p>
            <w:pPr>
              <w:jc w:val="center"/>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保洁养护工作体系方案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623" w:type="dxa"/>
            <w:vAlign w:val="top"/>
          </w:tcPr>
          <w:p>
            <w:pPr>
              <w:spacing w:line="360" w:lineRule="auto"/>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根据安全文明保证体系和安全保证措施情况，酌情打分。（符合得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adjustRightInd w:val="0"/>
              <w:snapToGrid w:val="0"/>
              <w:spacing w:line="228" w:lineRule="auto"/>
              <w:ind w:left="-105" w:leftChars="-50"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016" w:type="dxa"/>
            <w:vAlign w:val="center"/>
          </w:tcPr>
          <w:p>
            <w:pPr>
              <w:adjustRightInd w:val="0"/>
              <w:snapToGrid w:val="0"/>
              <w:spacing w:line="228" w:lineRule="auto"/>
              <w:ind w:left="-105" w:leftChars="-50" w:right="-105" w:rightChars="-50"/>
              <w:jc w:val="center"/>
              <w:rPr>
                <w:rFonts w:hint="eastAsia"/>
                <w:color w:val="auto"/>
                <w:highlight w:val="none"/>
                <w:lang w:val="en-US" w:eastAsia="zh-CN"/>
              </w:rPr>
            </w:pPr>
          </w:p>
          <w:p>
            <w:pPr>
              <w:pStyle w:val="2"/>
              <w:jc w:val="center"/>
              <w:rPr>
                <w:rFonts w:hint="eastAsia"/>
                <w:color w:val="auto"/>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主观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安全文明保证体系和安全保证措施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防汛防台、抗雪防冻、突发事件应急处理及重大活动保障的人员配备、物资储备和启动、应急处置等方案是否科学合理、具有针对性及可操作性，酌情打分。（符合得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adjustRightInd w:val="0"/>
              <w:snapToGrid w:val="0"/>
              <w:spacing w:line="228" w:lineRule="auto"/>
              <w:ind w:left="-105" w:leftChars="-50"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016" w:type="dxa"/>
            <w:vAlign w:val="center"/>
          </w:tcPr>
          <w:p>
            <w:pPr>
              <w:ind w:firstLine="240" w:firstLineChars="100"/>
              <w:jc w:val="both"/>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应急响应方案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日常养护、维修、检测、技术状况评价等资料的整理归档方案符合相关规范要求；投标人对招标范围的各类考核、投诉的处理效率、时效及回复举措等，酌情打分。（符合得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adjustRightInd w:val="0"/>
              <w:snapToGrid w:val="0"/>
              <w:spacing w:line="228" w:lineRule="auto"/>
              <w:ind w:left="-105" w:leftChars="-50"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016" w:type="dxa"/>
            <w:vAlign w:val="center"/>
          </w:tcPr>
          <w:p>
            <w:pPr>
              <w:adjustRightInd w:val="0"/>
              <w:snapToGrid w:val="0"/>
              <w:spacing w:line="228" w:lineRule="auto"/>
              <w:ind w:left="-105" w:leftChars="-50" w:right="-105" w:rightChars="-50"/>
              <w:jc w:val="center"/>
              <w:rPr>
                <w:rFonts w:hint="eastAsia" w:ascii="仿宋" w:hAnsi="仿宋" w:eastAsia="仿宋" w:cs="仿宋"/>
                <w:color w:val="auto"/>
                <w:kern w:val="2"/>
                <w:sz w:val="24"/>
                <w:szCs w:val="24"/>
                <w:highlight w:val="none"/>
                <w:lang w:val="en-US" w:eastAsia="zh-CN" w:bidi="ar-SA"/>
              </w:rPr>
            </w:pPr>
          </w:p>
          <w:p>
            <w:pPr>
              <w:adjustRightInd w:val="0"/>
              <w:snapToGrid w:val="0"/>
              <w:spacing w:line="228" w:lineRule="auto"/>
              <w:ind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sz w:val="24"/>
                <w:szCs w:val="24"/>
                <w:highlight w:val="none"/>
              </w:rPr>
            </w:pPr>
            <w:r>
              <w:rPr>
                <w:rFonts w:hint="eastAsia" w:ascii="宋体" w:hAnsi="宋体" w:cs="宋体"/>
                <w:color w:val="auto"/>
                <w:sz w:val="24"/>
                <w:szCs w:val="24"/>
                <w:highlight w:val="none"/>
              </w:rPr>
              <w:t>资料管理方案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同城协助能力的工作方案：方案是否合理、有针对性， 具有较强的本地化服务能力，如针对疫情等，对本项目提供的人力、设备、技术等支持是否响应及时、充足等内容的评审，酌情打分。（符合得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adjustRightInd w:val="0"/>
              <w:snapToGrid w:val="0"/>
              <w:spacing w:line="228" w:lineRule="auto"/>
              <w:ind w:left="-105" w:leftChars="-50"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016" w:type="dxa"/>
            <w:vAlign w:val="center"/>
          </w:tcPr>
          <w:p>
            <w:pPr>
              <w:adjustRightInd w:val="0"/>
              <w:snapToGrid w:val="0"/>
              <w:spacing w:line="228" w:lineRule="auto"/>
              <w:ind w:right="-105" w:rightChars="-5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宋体" w:hAnsi="宋体" w:cs="宋体"/>
                <w:color w:val="auto"/>
                <w:sz w:val="24"/>
                <w:szCs w:val="24"/>
                <w:highlight w:val="none"/>
              </w:rPr>
              <w:t>同城协助能力的工作方案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8" w:type="dxa"/>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6623" w:type="dxa"/>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针对本项目如何实施提出合理化、优化建议，酌情打分。（符合得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分，部分符合得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分，不符合不得分；此项最高</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1138" w:type="dxa"/>
            <w:vAlign w:val="center"/>
          </w:tcPr>
          <w:p>
            <w:pPr>
              <w:adjustRightInd w:val="0"/>
              <w:snapToGrid w:val="0"/>
              <w:spacing w:line="228" w:lineRule="auto"/>
              <w:ind w:left="-105" w:leftChars="-50" w:right="-105" w:rightChars="-5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1016" w:type="dxa"/>
            <w:vAlign w:val="center"/>
          </w:tcPr>
          <w:p>
            <w:pPr>
              <w:adjustRightInd w:val="0"/>
              <w:snapToGrid w:val="0"/>
              <w:spacing w:line="228" w:lineRule="auto"/>
              <w:ind w:right="-105" w:rightChars="-5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w:t>
            </w:r>
          </w:p>
        </w:tc>
        <w:tc>
          <w:tcPr>
            <w:tcW w:w="1350"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宋体" w:hAnsi="宋体" w:cs="宋体"/>
                <w:color w:val="auto"/>
                <w:sz w:val="24"/>
                <w:szCs w:val="24"/>
                <w:highlight w:val="none"/>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658" w:type="dxa"/>
            <w:vAlign w:val="center"/>
          </w:tcPr>
          <w:p>
            <w:pPr>
              <w:spacing w:line="360" w:lineRule="auto"/>
              <w:ind w:firstLine="240" w:firstLineChars="1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tc>
        <w:tc>
          <w:tcPr>
            <w:tcW w:w="6623" w:type="dxa"/>
            <w:vAlign w:val="top"/>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有效投标报价的最低价作为评标基准价，其最低报价为满分；按［投标报价得分=（评标基准价/投标报价）*</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］的计算公式计算。</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评标过程中，不得去掉报价中的最高报价和最低报价。</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因落实政府采购政策需要进行价格调整的，以调整后的价格计算评标基准价和投标报价。</w:t>
            </w:r>
          </w:p>
        </w:tc>
        <w:tc>
          <w:tcPr>
            <w:tcW w:w="1138" w:type="dxa"/>
            <w:vAlign w:val="center"/>
          </w:tcPr>
          <w:p>
            <w:pPr>
              <w:spacing w:line="360" w:lineRule="auto"/>
              <w:ind w:firstLine="360" w:firstLineChars="15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016" w:type="dxa"/>
            <w:vAlign w:val="center"/>
          </w:tcPr>
          <w:p>
            <w:pPr>
              <w:spacing w:line="360" w:lineRule="auto"/>
              <w:ind w:firstLine="240" w:firstLineChars="100"/>
              <w:outlineLvl w:val="0"/>
              <w:rPr>
                <w:rFonts w:hint="default" w:ascii="仿宋" w:hAnsi="仿宋" w:eastAsia="仿宋" w:cs="仿宋"/>
                <w:color w:val="auto"/>
                <w:sz w:val="24"/>
                <w:szCs w:val="24"/>
                <w:highlight w:val="none"/>
                <w:lang w:val="en-US" w:eastAsia="zh-CN"/>
              </w:rPr>
            </w:pPr>
          </w:p>
        </w:tc>
        <w:tc>
          <w:tcPr>
            <w:tcW w:w="1350" w:type="dxa"/>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1"/>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1"/>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5"/>
    <w:p>
      <w:pPr>
        <w:spacing w:line="360" w:lineRule="auto"/>
        <w:jc w:val="center"/>
        <w:outlineLvl w:val="0"/>
        <w:rPr>
          <w:rFonts w:hint="eastAsia" w:ascii="宋体" w:hAnsi="宋体" w:cs="宋体"/>
          <w:b/>
          <w:color w:val="auto"/>
          <w:sz w:val="36"/>
          <w:szCs w:val="36"/>
          <w:highlight w:val="none"/>
        </w:rPr>
      </w:pPr>
      <w:bookmarkStart w:id="391" w:name="第五部分"/>
      <w:bookmarkStart w:id="392" w:name="_Toc86217003"/>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2"/>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9"/>
        <w:spacing w:before="120" w:line="22" w:lineRule="atLeast"/>
        <w:rPr>
          <w:rFonts w:ascii="宋体" w:hAnsi="宋体" w:eastAsia="宋体" w:cs="宋体"/>
          <w:color w:val="auto"/>
          <w:szCs w:val="24"/>
          <w:highlight w:val="none"/>
        </w:rPr>
      </w:pPr>
    </w:p>
    <w:p>
      <w:pPr>
        <w:pStyle w:val="599"/>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杭州市临平区人民政府崇贤街道办事处</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崇贤街道部分道路综合养护服务项目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杭州市临平区人民政府崇贤街道办事处</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3" w:name="_Toc22967"/>
      <w:bookmarkStart w:id="394" w:name="_Toc19273"/>
      <w:bookmarkStart w:id="395" w:name="_Toc15367"/>
      <w:bookmarkStart w:id="396" w:name="_Toc20421"/>
      <w:bookmarkStart w:id="397" w:name="_Toc28855"/>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3"/>
      <w:bookmarkEnd w:id="394"/>
      <w:bookmarkEnd w:id="395"/>
      <w:bookmarkEnd w:id="396"/>
      <w:bookmarkEnd w:id="397"/>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398" w:name="_Toc6773"/>
      <w:bookmarkStart w:id="399" w:name="_Toc2918"/>
      <w:bookmarkStart w:id="400" w:name="_Toc6311"/>
      <w:bookmarkStart w:id="401" w:name="_Toc22185"/>
      <w:bookmarkStart w:id="402"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398"/>
      <w:bookmarkEnd w:id="399"/>
      <w:bookmarkEnd w:id="400"/>
      <w:bookmarkEnd w:id="401"/>
      <w:bookmarkEnd w:id="40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3" w:name="_Toc21124"/>
      <w:bookmarkStart w:id="404" w:name="_Toc1386"/>
      <w:bookmarkStart w:id="405" w:name="_Toc4929"/>
      <w:bookmarkStart w:id="406" w:name="_Toc5635"/>
      <w:bookmarkStart w:id="407" w:name="_Toc13918"/>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3"/>
      <w:bookmarkEnd w:id="404"/>
      <w:bookmarkEnd w:id="405"/>
      <w:bookmarkEnd w:id="406"/>
      <w:bookmarkEnd w:id="407"/>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20"/>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20"/>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20"/>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08" w:name="_Toc14993"/>
      <w:bookmarkStart w:id="409" w:name="_Toc30506"/>
      <w:bookmarkStart w:id="410" w:name="_Toc3654"/>
      <w:bookmarkStart w:id="411" w:name="_Toc26916"/>
      <w:bookmarkStart w:id="412" w:name="_Toc30158"/>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08"/>
    <w:bookmarkEnd w:id="409"/>
    <w:bookmarkEnd w:id="410"/>
    <w:bookmarkEnd w:id="411"/>
    <w:bookmarkEnd w:id="412"/>
    <w:p>
      <w:pPr>
        <w:pStyle w:val="960"/>
        <w:spacing w:before="0" w:beforeAutospacing="0" w:after="0" w:afterAutospacing="0" w:line="360" w:lineRule="auto"/>
        <w:ind w:firstLine="480"/>
        <w:rPr>
          <w:b/>
          <w:color w:val="auto"/>
          <w:highlight w:val="none"/>
        </w:rPr>
      </w:pPr>
      <w:bookmarkStart w:id="413" w:name="_Toc10340"/>
      <w:bookmarkStart w:id="414" w:name="_Toc22618"/>
      <w:bookmarkStart w:id="415" w:name="_Toc1814"/>
      <w:bookmarkStart w:id="416" w:name="_Toc4760"/>
      <w:bookmarkStart w:id="417" w:name="_Toc3625"/>
      <w:bookmarkStart w:id="418" w:name="_Toc31421"/>
      <w:bookmarkStart w:id="419" w:name="_Toc11108"/>
      <w:bookmarkStart w:id="420" w:name="_Toc8772"/>
      <w:r>
        <w:rPr>
          <w:rFonts w:hint="eastAsia"/>
          <w:b/>
          <w:color w:val="auto"/>
          <w:highlight w:val="none"/>
        </w:rPr>
        <w:t>1.4履约保证金</w:t>
      </w:r>
    </w:p>
    <w:p>
      <w:pPr>
        <w:pStyle w:val="960"/>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3"/>
      <w:bookmarkEnd w:id="414"/>
      <w:bookmarkEnd w:id="415"/>
      <w:r>
        <w:rPr>
          <w:rFonts w:hint="eastAsia" w:ascii="宋体" w:hAnsi="宋体" w:cs="宋体"/>
          <w:b/>
          <w:color w:val="auto"/>
          <w:sz w:val="24"/>
          <w:highlight w:val="none"/>
        </w:rPr>
        <w:t>预付款</w:t>
      </w:r>
    </w:p>
    <w:p>
      <w:pPr>
        <w:pStyle w:val="960"/>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0"/>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6"/>
      <w:bookmarkEnd w:id="417"/>
      <w:bookmarkEnd w:id="418"/>
      <w:bookmarkEnd w:id="419"/>
      <w:bookmarkEnd w:id="420"/>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1" w:name="_Toc8586"/>
      <w:bookmarkStart w:id="422" w:name="_Toc24662"/>
      <w:bookmarkStart w:id="423" w:name="_Toc5698"/>
      <w:bookmarkStart w:id="424" w:name="_Toc3079"/>
      <w:bookmarkStart w:id="425"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1"/>
      <w:bookmarkEnd w:id="422"/>
      <w:bookmarkEnd w:id="423"/>
      <w:bookmarkEnd w:id="424"/>
      <w:bookmarkEnd w:id="425"/>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6" w:name="_Toc18683"/>
      <w:bookmarkStart w:id="427" w:name="_Toc9497"/>
      <w:bookmarkStart w:id="428" w:name="_Toc32454"/>
      <w:bookmarkStart w:id="429" w:name="_Toc26807"/>
      <w:bookmarkStart w:id="430" w:name="_Toc30329"/>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6"/>
    <w:bookmarkEnd w:id="427"/>
    <w:bookmarkEnd w:id="428"/>
    <w:bookmarkEnd w:id="429"/>
    <w:bookmarkEnd w:id="430"/>
    <w:p>
      <w:pPr>
        <w:spacing w:line="560" w:lineRule="exact"/>
        <w:ind w:firstLine="482" w:firstLineChars="200"/>
        <w:outlineLvl w:val="0"/>
        <w:rPr>
          <w:rFonts w:ascii="宋体" w:hAnsi="宋体" w:cs="宋体"/>
          <w:b/>
          <w:color w:val="auto"/>
          <w:sz w:val="24"/>
          <w:highlight w:val="none"/>
        </w:rPr>
      </w:pPr>
      <w:bookmarkStart w:id="431" w:name="_Toc15583"/>
      <w:bookmarkStart w:id="432" w:name="_Toc28375"/>
      <w:bookmarkStart w:id="433" w:name="_Toc16021"/>
      <w:r>
        <w:rPr>
          <w:rFonts w:hint="eastAsia" w:ascii="宋体" w:hAnsi="宋体" w:cs="宋体"/>
          <w:b/>
          <w:color w:val="auto"/>
          <w:sz w:val="24"/>
          <w:highlight w:val="none"/>
        </w:rPr>
        <w:t>1.9合同争议的解决</w:t>
      </w:r>
      <w:bookmarkEnd w:id="431"/>
      <w:bookmarkEnd w:id="432"/>
      <w:bookmarkEnd w:id="433"/>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4" w:name="_Toc11173"/>
      <w:bookmarkStart w:id="435" w:name="_Toc7245"/>
      <w:bookmarkStart w:id="436" w:name="_Toc15322"/>
      <w:r>
        <w:rPr>
          <w:rFonts w:hint="eastAsia" w:ascii="宋体" w:hAnsi="宋体" w:cs="宋体"/>
          <w:b/>
          <w:color w:val="auto"/>
          <w:sz w:val="24"/>
          <w:highlight w:val="none"/>
        </w:rPr>
        <w:t>2.0 合同生效</w:t>
      </w:r>
      <w:bookmarkEnd w:id="434"/>
      <w:bookmarkEnd w:id="435"/>
      <w:bookmarkEnd w:id="436"/>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2"/>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7" w:name="_Toc14021"/>
      <w:bookmarkStart w:id="438" w:name="_Toc19680"/>
      <w:bookmarkStart w:id="439" w:name="_Toc25079"/>
      <w:bookmarkStart w:id="440" w:name="_Toc5228"/>
      <w:bookmarkStart w:id="441" w:name="_Toc31297"/>
      <w:r>
        <w:rPr>
          <w:rFonts w:ascii="宋体" w:hAnsi="宋体"/>
          <w:b/>
          <w:color w:val="auto"/>
          <w:sz w:val="24"/>
          <w:highlight w:val="none"/>
        </w:rPr>
        <w:t>2.1 定义</w:t>
      </w:r>
      <w:bookmarkEnd w:id="437"/>
      <w:bookmarkEnd w:id="438"/>
      <w:bookmarkEnd w:id="439"/>
      <w:bookmarkEnd w:id="440"/>
      <w:bookmarkEnd w:id="441"/>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2" w:name="_Toc23289"/>
      <w:bookmarkStart w:id="443" w:name="_Toc31402"/>
      <w:bookmarkStart w:id="444" w:name="_Toc16752"/>
      <w:bookmarkStart w:id="445" w:name="_Toc19539"/>
      <w:bookmarkStart w:id="446" w:name="_Toc3769"/>
      <w:r>
        <w:rPr>
          <w:rFonts w:ascii="宋体" w:hAnsi="宋体"/>
          <w:b/>
          <w:color w:val="auto"/>
          <w:sz w:val="24"/>
          <w:highlight w:val="none"/>
        </w:rPr>
        <w:t>2.2 技术规范</w:t>
      </w:r>
      <w:bookmarkEnd w:id="442"/>
      <w:bookmarkEnd w:id="443"/>
      <w:bookmarkEnd w:id="444"/>
      <w:bookmarkEnd w:id="445"/>
      <w:bookmarkEnd w:id="44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7" w:name="_Toc12412"/>
      <w:bookmarkStart w:id="448" w:name="_Toc13673"/>
      <w:bookmarkStart w:id="449" w:name="_Toc9161"/>
      <w:bookmarkStart w:id="450" w:name="_Toc27945"/>
      <w:bookmarkStart w:id="451" w:name="_Toc4133"/>
      <w:r>
        <w:rPr>
          <w:rFonts w:ascii="宋体" w:hAnsi="宋体"/>
          <w:b/>
          <w:color w:val="auto"/>
          <w:sz w:val="24"/>
          <w:highlight w:val="none"/>
        </w:rPr>
        <w:t>2.3 知识产权</w:t>
      </w:r>
      <w:bookmarkEnd w:id="447"/>
      <w:bookmarkEnd w:id="448"/>
      <w:bookmarkEnd w:id="449"/>
      <w:bookmarkEnd w:id="450"/>
      <w:bookmarkEnd w:id="451"/>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2" w:name="_Toc22011"/>
      <w:bookmarkStart w:id="453" w:name="_Toc15447"/>
      <w:bookmarkStart w:id="454" w:name="_Toc31233"/>
      <w:bookmarkStart w:id="455" w:name="_Toc32670"/>
      <w:bookmarkStart w:id="456" w:name="_Toc26555"/>
      <w:r>
        <w:rPr>
          <w:rFonts w:ascii="宋体" w:hAnsi="宋体"/>
          <w:b/>
          <w:color w:val="auto"/>
          <w:sz w:val="24"/>
          <w:highlight w:val="none"/>
        </w:rPr>
        <w:t>2.5 结算方式和付款条件</w:t>
      </w:r>
      <w:bookmarkEnd w:id="452"/>
      <w:bookmarkEnd w:id="453"/>
      <w:bookmarkEnd w:id="454"/>
      <w:bookmarkEnd w:id="455"/>
      <w:bookmarkEnd w:id="456"/>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7" w:name="_Toc16163"/>
      <w:bookmarkStart w:id="458" w:name="_Toc13467"/>
      <w:bookmarkStart w:id="459" w:name="_Toc18990"/>
      <w:bookmarkStart w:id="460" w:name="_Toc13154"/>
      <w:bookmarkStart w:id="461" w:name="_Toc30507"/>
      <w:r>
        <w:rPr>
          <w:rFonts w:ascii="宋体" w:hAnsi="宋体"/>
          <w:b/>
          <w:color w:val="auto"/>
          <w:sz w:val="24"/>
          <w:highlight w:val="none"/>
        </w:rPr>
        <w:t>2.6 技术资料和保密义务</w:t>
      </w:r>
      <w:bookmarkEnd w:id="457"/>
      <w:bookmarkEnd w:id="458"/>
      <w:bookmarkEnd w:id="459"/>
      <w:bookmarkEnd w:id="460"/>
      <w:bookmarkEnd w:id="461"/>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2"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2"/>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3"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3"/>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4"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4"/>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5" w:name="_Toc26689"/>
      <w:bookmarkStart w:id="466" w:name="_Toc23368"/>
      <w:bookmarkStart w:id="467" w:name="_Toc21830"/>
      <w:bookmarkStart w:id="468" w:name="_Toc42"/>
      <w:bookmarkStart w:id="469" w:name="_Toc10663"/>
      <w:r>
        <w:rPr>
          <w:rFonts w:ascii="宋体" w:hAnsi="宋体"/>
          <w:b/>
          <w:color w:val="auto"/>
          <w:sz w:val="24"/>
          <w:highlight w:val="none"/>
        </w:rPr>
        <w:t>2.10 合同转让和分包</w:t>
      </w:r>
      <w:bookmarkEnd w:id="465"/>
      <w:bookmarkEnd w:id="466"/>
      <w:bookmarkEnd w:id="467"/>
      <w:bookmarkEnd w:id="468"/>
      <w:bookmarkEnd w:id="469"/>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0" w:name="_Toc26633"/>
      <w:bookmarkStart w:id="471" w:name="_Toc32494"/>
      <w:bookmarkStart w:id="472" w:name="_Toc25571"/>
      <w:bookmarkStart w:id="473" w:name="_Toc4720"/>
      <w:bookmarkStart w:id="474" w:name="_Toc14371"/>
      <w:r>
        <w:rPr>
          <w:rFonts w:ascii="宋体" w:hAnsi="宋体"/>
          <w:b/>
          <w:color w:val="auto"/>
          <w:sz w:val="24"/>
          <w:highlight w:val="none"/>
        </w:rPr>
        <w:t>2.11 不可抗力</w:t>
      </w:r>
      <w:bookmarkEnd w:id="470"/>
      <w:bookmarkEnd w:id="471"/>
      <w:bookmarkEnd w:id="472"/>
      <w:bookmarkEnd w:id="473"/>
      <w:bookmarkEnd w:id="474"/>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5" w:name="_Toc14115"/>
      <w:bookmarkStart w:id="476" w:name="_Toc23854"/>
      <w:bookmarkStart w:id="477" w:name="_Toc3638"/>
      <w:bookmarkStart w:id="478" w:name="_Toc24465"/>
      <w:bookmarkStart w:id="479" w:name="_Toc25783"/>
      <w:r>
        <w:rPr>
          <w:rFonts w:ascii="宋体" w:hAnsi="宋体"/>
          <w:b/>
          <w:color w:val="auto"/>
          <w:sz w:val="24"/>
          <w:highlight w:val="none"/>
        </w:rPr>
        <w:t>2.12 税费</w:t>
      </w:r>
      <w:bookmarkEnd w:id="475"/>
      <w:bookmarkEnd w:id="476"/>
      <w:bookmarkEnd w:id="477"/>
      <w:bookmarkEnd w:id="478"/>
      <w:bookmarkEnd w:id="479"/>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0" w:name="_Toc25525"/>
      <w:bookmarkStart w:id="481" w:name="_Toc26883"/>
      <w:bookmarkStart w:id="482" w:name="_Toc30105"/>
      <w:bookmarkStart w:id="483" w:name="_Toc7315"/>
      <w:bookmarkStart w:id="484" w:name="_Toc14814"/>
      <w:r>
        <w:rPr>
          <w:rFonts w:ascii="宋体" w:hAnsi="宋体"/>
          <w:b/>
          <w:color w:val="auto"/>
          <w:sz w:val="24"/>
          <w:highlight w:val="none"/>
        </w:rPr>
        <w:t>2.13 乙方破产</w:t>
      </w:r>
      <w:bookmarkEnd w:id="480"/>
      <w:bookmarkEnd w:id="481"/>
      <w:bookmarkEnd w:id="482"/>
      <w:bookmarkEnd w:id="483"/>
      <w:bookmarkEnd w:id="484"/>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5" w:name="_Toc1123"/>
      <w:bookmarkStart w:id="486" w:name="_Toc2016"/>
      <w:bookmarkStart w:id="487" w:name="_Toc23323"/>
      <w:r>
        <w:rPr>
          <w:rFonts w:ascii="宋体" w:hAnsi="宋体"/>
          <w:b/>
          <w:color w:val="auto"/>
          <w:sz w:val="24"/>
          <w:highlight w:val="none"/>
        </w:rPr>
        <w:t>2.14 合同中止、终止</w:t>
      </w:r>
      <w:bookmarkEnd w:id="485"/>
      <w:bookmarkEnd w:id="486"/>
      <w:bookmarkEnd w:id="487"/>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88" w:name="_Toc14525"/>
      <w:bookmarkStart w:id="489" w:name="_Toc1969"/>
      <w:bookmarkStart w:id="490" w:name="_Toc17363"/>
      <w:r>
        <w:rPr>
          <w:rFonts w:ascii="宋体" w:hAnsi="宋体"/>
          <w:b/>
          <w:color w:val="auto"/>
          <w:sz w:val="24"/>
          <w:highlight w:val="none"/>
        </w:rPr>
        <w:t>2.15 检验和验收</w:t>
      </w:r>
      <w:bookmarkEnd w:id="488"/>
      <w:bookmarkEnd w:id="489"/>
      <w:bookmarkEnd w:id="490"/>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1" w:name="_Toc2308"/>
      <w:bookmarkStart w:id="492" w:name="_Toc25198"/>
      <w:bookmarkStart w:id="493" w:name="_Toc31892"/>
      <w:bookmarkStart w:id="494" w:name="_Toc12666"/>
      <w:bookmarkStart w:id="495" w:name="_Toc9808"/>
      <w:r>
        <w:rPr>
          <w:rFonts w:ascii="宋体" w:hAnsi="宋体"/>
          <w:b/>
          <w:color w:val="auto"/>
          <w:sz w:val="24"/>
          <w:highlight w:val="none"/>
        </w:rPr>
        <w:t>2.16 通知和送达</w:t>
      </w:r>
      <w:bookmarkEnd w:id="491"/>
      <w:bookmarkEnd w:id="492"/>
      <w:bookmarkEnd w:id="493"/>
      <w:bookmarkEnd w:id="494"/>
      <w:bookmarkEnd w:id="495"/>
    </w:p>
    <w:p>
      <w:pPr>
        <w:spacing w:line="560" w:lineRule="exact"/>
        <w:ind w:firstLine="480" w:firstLineChars="200"/>
        <w:rPr>
          <w:rFonts w:ascii="宋体" w:hAnsi="宋体"/>
          <w:color w:val="auto"/>
          <w:sz w:val="24"/>
          <w:highlight w:val="none"/>
        </w:rPr>
      </w:pPr>
      <w:bookmarkStart w:id="496" w:name="_Toc18401"/>
      <w:bookmarkStart w:id="497"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6"/>
      <w:bookmarkEnd w:id="497"/>
    </w:p>
    <w:p>
      <w:pPr>
        <w:spacing w:line="560" w:lineRule="exact"/>
        <w:ind w:firstLine="482" w:firstLineChars="200"/>
        <w:outlineLvl w:val="0"/>
        <w:rPr>
          <w:rFonts w:ascii="宋体" w:hAnsi="宋体"/>
          <w:b/>
          <w:color w:val="auto"/>
          <w:sz w:val="24"/>
          <w:highlight w:val="none"/>
        </w:rPr>
      </w:pPr>
      <w:bookmarkStart w:id="498" w:name="_Toc28906"/>
      <w:bookmarkStart w:id="499" w:name="_Toc12254"/>
      <w:bookmarkStart w:id="500" w:name="_Toc27644"/>
      <w:bookmarkStart w:id="501" w:name="_Toc5063"/>
      <w:bookmarkStart w:id="502" w:name="_Toc20808"/>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498"/>
      <w:bookmarkEnd w:id="499"/>
      <w:bookmarkEnd w:id="500"/>
      <w:bookmarkEnd w:id="501"/>
      <w:bookmarkEnd w:id="502"/>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3" w:name="_Toc18540"/>
      <w:bookmarkStart w:id="504" w:name="_Toc30599"/>
      <w:bookmarkStart w:id="505" w:name="_Toc4355"/>
      <w:r>
        <w:rPr>
          <w:rFonts w:hint="eastAsia" w:ascii="宋体" w:hAnsi="宋体" w:cs="宋体"/>
          <w:b/>
          <w:color w:val="auto"/>
          <w:sz w:val="24"/>
          <w:highlight w:val="none"/>
        </w:rPr>
        <w:t>2.18 计量单位</w:t>
      </w:r>
      <w:bookmarkEnd w:id="503"/>
      <w:bookmarkEnd w:id="504"/>
      <w:bookmarkEnd w:id="50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6" w:name="_Toc331685784"/>
      <w:r>
        <w:rPr>
          <w:rFonts w:hint="eastAsia" w:ascii="宋体" w:hAnsi="宋体" w:cs="宋体"/>
          <w:b/>
          <w:color w:val="auto"/>
          <w:sz w:val="24"/>
          <w:highlight w:val="none"/>
        </w:rPr>
        <w:t xml:space="preserve"> </w:t>
      </w:r>
      <w:bookmarkEnd w:id="506"/>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64" w:type="pct"/>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4" w:type="pct"/>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1"/>
      <w:r>
        <w:rPr>
          <w:rFonts w:hint="eastAsia" w:ascii="宋体" w:hAnsi="宋体" w:cs="宋体"/>
          <w:b/>
          <w:color w:val="auto"/>
          <w:sz w:val="36"/>
          <w:szCs w:val="20"/>
          <w:highlight w:val="none"/>
        </w:rPr>
        <w:t xml:space="preserve"> </w:t>
      </w:r>
      <w:bookmarkEnd w:id="392"/>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杭州市临平区人民政府崇贤街道办事处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崇贤街道部分道路综合养护服务项目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 </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杭州市临平区人民政府崇贤街道办事处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崇贤街道部分道路综合养护服务项目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 </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7" w:name="_Hlk101257010"/>
      <w:r>
        <w:rPr>
          <w:rFonts w:hint="eastAsia" w:ascii="宋体" w:hAnsi="宋体" w:cs="宋体"/>
          <w:color w:val="auto"/>
          <w:sz w:val="24"/>
          <w:highlight w:val="none"/>
        </w:rPr>
        <w:t>（如果有)</w:t>
      </w:r>
      <w:bookmarkEnd w:id="507"/>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杭州市临平区人民政府崇贤街道办事处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崇贤街道部分道路综合养护服务项目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杭州市临平区人民政府崇贤街道办事处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崇贤街道部分道路综合养护服务项目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9"/>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9"/>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9"/>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杭州市临平区人民政府崇贤街道办事处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宋体"/>
          <w:color w:val="auto"/>
          <w:kern w:val="2"/>
          <w:sz w:val="32"/>
          <w:szCs w:val="32"/>
          <w:highlight w:val="none"/>
        </w:rPr>
      </w:pPr>
      <w:r>
        <w:rPr>
          <w:rFonts w:hint="eastAsia" w:ascii="仿宋" w:hAnsi="仿宋" w:eastAsia="仿宋" w:cs="宋体"/>
          <w:color w:val="auto"/>
          <w:kern w:val="2"/>
          <w:sz w:val="32"/>
          <w:szCs w:val="32"/>
          <w:highlight w:val="none"/>
        </w:rPr>
        <w:t>一、开标一览表（报价表）</w:t>
      </w:r>
    </w:p>
    <w:p>
      <w:pPr>
        <w:snapToGrid w:val="0"/>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（采购人）、（采购代理机构）</w:t>
      </w:r>
      <w:r>
        <w:rPr>
          <w:rFonts w:hint="eastAsia" w:ascii="仿宋" w:hAnsi="仿宋" w:eastAsia="仿宋" w:cs="宋体"/>
          <w:color w:val="auto"/>
          <w:kern w:val="0"/>
          <w:sz w:val="24"/>
          <w:highlight w:val="none"/>
          <w:lang w:val="zh-CN"/>
        </w:rPr>
        <w:t>：</w:t>
      </w:r>
    </w:p>
    <w:p>
      <w:pPr>
        <w:snapToGrid w:val="0"/>
        <w:spacing w:line="360" w:lineRule="auto"/>
        <w:ind w:firstLine="482"/>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auto"/>
          <w:sz w:val="24"/>
          <w:highlight w:val="none"/>
        </w:rPr>
        <w:t>（项目名称）</w:t>
      </w:r>
      <w:r>
        <w:rPr>
          <w:rFonts w:hint="eastAsia" w:ascii="仿宋" w:hAnsi="仿宋" w:eastAsia="仿宋" w:cs="宋体"/>
          <w:color w:val="auto"/>
          <w:kern w:val="0"/>
          <w:sz w:val="24"/>
          <w:highlight w:val="none"/>
          <w:lang w:val="zh-CN"/>
        </w:rPr>
        <w:t>【招标编号：</w:t>
      </w:r>
      <w:r>
        <w:rPr>
          <w:rFonts w:hint="eastAsia" w:ascii="仿宋" w:hAnsi="仿宋" w:eastAsia="仿宋" w:cs="宋体"/>
          <w:color w:val="auto"/>
          <w:sz w:val="24"/>
          <w:highlight w:val="none"/>
        </w:rPr>
        <w:t>（采购编号）】的实施</w:t>
      </w:r>
      <w:r>
        <w:rPr>
          <w:rFonts w:hint="eastAsia" w:ascii="仿宋" w:hAnsi="仿宋" w:eastAsia="仿宋" w:cs="宋体"/>
          <w:color w:val="auto"/>
          <w:kern w:val="0"/>
          <w:sz w:val="24"/>
          <w:highlight w:val="none"/>
          <w:lang w:val="zh-CN"/>
        </w:rPr>
        <w:t>。</w:t>
      </w:r>
    </w:p>
    <w:p>
      <w:pPr>
        <w:spacing w:line="360" w:lineRule="auto"/>
        <w:jc w:val="center"/>
        <w:rPr>
          <w:rFonts w:ascii="仿宋" w:hAnsi="仿宋" w:eastAsia="仿宋" w:cs="宋体"/>
          <w:b/>
          <w:color w:val="auto"/>
          <w:kern w:val="0"/>
          <w:sz w:val="24"/>
          <w:highlight w:val="none"/>
          <w:lang w:val="zh-CN"/>
        </w:rPr>
      </w:pPr>
      <w:r>
        <w:rPr>
          <w:rFonts w:hint="eastAsia" w:ascii="仿宋" w:hAnsi="仿宋" w:eastAsia="仿宋" w:cs="宋体"/>
          <w:b/>
          <w:color w:val="auto"/>
          <w:kern w:val="0"/>
          <w:sz w:val="24"/>
          <w:highlight w:val="none"/>
          <w:lang w:val="zh-CN"/>
        </w:rPr>
        <w:t>开标一览表（报价表）(单位均为人民币元)</w:t>
      </w:r>
    </w:p>
    <w:tbl>
      <w:tblPr>
        <w:tblStyle w:val="6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464"/>
        <w:gridCol w:w="992"/>
        <w:gridCol w:w="1706"/>
        <w:gridCol w:w="1907"/>
        <w:gridCol w:w="119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序号</w:t>
            </w:r>
          </w:p>
        </w:tc>
        <w:tc>
          <w:tcPr>
            <w:tcW w:w="1464" w:type="dxa"/>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名称</w:t>
            </w:r>
          </w:p>
        </w:tc>
        <w:tc>
          <w:tcPr>
            <w:tcW w:w="992" w:type="dxa"/>
          </w:tcPr>
          <w:p>
            <w:pPr>
              <w:spacing w:line="360" w:lineRule="auto"/>
              <w:jc w:val="center"/>
              <w:rPr>
                <w:rFonts w:ascii="仿宋" w:hAnsi="仿宋" w:eastAsia="仿宋" w:cs="宋体"/>
                <w:b/>
                <w:color w:val="auto"/>
                <w:szCs w:val="21"/>
                <w:highlight w:val="none"/>
              </w:rPr>
            </w:pPr>
          </w:p>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具体服务</w:t>
            </w:r>
          </w:p>
        </w:tc>
        <w:tc>
          <w:tcPr>
            <w:tcW w:w="1706" w:type="dxa"/>
            <w:vAlign w:val="center"/>
          </w:tcPr>
          <w:p>
            <w:pPr>
              <w:spacing w:line="360" w:lineRule="auto"/>
              <w:jc w:val="center"/>
              <w:rPr>
                <w:rFonts w:ascii="仿宋" w:hAnsi="仿宋" w:eastAsia="仿宋" w:cs="宋体"/>
                <w:b/>
                <w:color w:val="auto"/>
                <w:szCs w:val="21"/>
                <w:highlight w:val="none"/>
              </w:rPr>
            </w:pPr>
            <w:r>
              <w:rPr>
                <w:rFonts w:hint="eastAsia" w:ascii="仿宋_GB2312" w:hAnsi="仿宋" w:eastAsia="仿宋_GB2312"/>
                <w:b/>
                <w:color w:val="auto"/>
                <w:szCs w:val="21"/>
                <w:highlight w:val="none"/>
              </w:rPr>
              <w:t>数量</w:t>
            </w:r>
          </w:p>
        </w:tc>
        <w:tc>
          <w:tcPr>
            <w:tcW w:w="1907" w:type="dxa"/>
            <w:vAlign w:val="center"/>
          </w:tcPr>
          <w:p>
            <w:pPr>
              <w:spacing w:line="360" w:lineRule="auto"/>
              <w:jc w:val="center"/>
              <w:rPr>
                <w:rFonts w:ascii="仿宋_GB2312" w:hAnsi="仿宋" w:eastAsia="仿宋_GB2312" w:cs="仿宋_GB2312"/>
                <w:b/>
                <w:color w:val="auto"/>
                <w:szCs w:val="21"/>
                <w:highlight w:val="none"/>
              </w:rPr>
            </w:pPr>
            <w:r>
              <w:rPr>
                <w:rFonts w:hint="eastAsia" w:ascii="仿宋_GB2312" w:hAnsi="仿宋" w:eastAsia="仿宋_GB2312"/>
                <w:b/>
                <w:color w:val="auto"/>
                <w:szCs w:val="21"/>
                <w:highlight w:val="none"/>
              </w:rPr>
              <w:t>单价</w:t>
            </w:r>
          </w:p>
        </w:tc>
        <w:tc>
          <w:tcPr>
            <w:tcW w:w="1196" w:type="dxa"/>
            <w:vAlign w:val="center"/>
          </w:tcPr>
          <w:p>
            <w:pPr>
              <w:spacing w:line="360" w:lineRule="auto"/>
              <w:jc w:val="center"/>
              <w:rPr>
                <w:rFonts w:hint="default" w:ascii="仿宋_GB2312" w:hAnsi="仿宋" w:eastAsia="仿宋_GB2312"/>
                <w:b/>
                <w:color w:val="auto"/>
                <w:szCs w:val="21"/>
                <w:highlight w:val="none"/>
                <w:lang w:val="en-US" w:eastAsia="zh-CN"/>
              </w:rPr>
            </w:pPr>
            <w:r>
              <w:rPr>
                <w:rFonts w:hint="eastAsia" w:ascii="仿宋_GB2312" w:hAnsi="仿宋" w:eastAsia="仿宋_GB2312"/>
                <w:b/>
                <w:color w:val="auto"/>
                <w:szCs w:val="21"/>
                <w:highlight w:val="none"/>
              </w:rPr>
              <w:t>合计</w:t>
            </w:r>
            <w:r>
              <w:rPr>
                <w:rFonts w:hint="eastAsia" w:ascii="仿宋_GB2312" w:hAnsi="仿宋" w:eastAsia="仿宋_GB2312"/>
                <w:b/>
                <w:color w:val="auto"/>
                <w:szCs w:val="21"/>
                <w:highlight w:val="none"/>
                <w:lang w:eastAsia="zh-CN"/>
              </w:rPr>
              <w:t>（</w:t>
            </w:r>
            <w:r>
              <w:rPr>
                <w:rFonts w:hint="eastAsia" w:ascii="仿宋_GB2312" w:hAnsi="仿宋" w:eastAsia="仿宋_GB2312"/>
                <w:b/>
                <w:color w:val="auto"/>
                <w:szCs w:val="21"/>
                <w:highlight w:val="none"/>
                <w:lang w:val="en-US" w:eastAsia="zh-CN"/>
              </w:rPr>
              <w:t>元）</w:t>
            </w:r>
          </w:p>
        </w:tc>
        <w:tc>
          <w:tcPr>
            <w:tcW w:w="1267" w:type="dxa"/>
            <w:vAlign w:val="center"/>
          </w:tcPr>
          <w:p>
            <w:pPr>
              <w:spacing w:line="360" w:lineRule="auto"/>
              <w:jc w:val="center"/>
              <w:rPr>
                <w:rFonts w:ascii="仿宋" w:hAnsi="仿宋" w:eastAsia="仿宋" w:cs="宋体"/>
                <w:b/>
                <w:color w:val="auto"/>
                <w:szCs w:val="21"/>
                <w:highlight w:val="none"/>
              </w:rPr>
            </w:pPr>
          </w:p>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备注（如果有）</w:t>
            </w:r>
          </w:p>
          <w:p>
            <w:pPr>
              <w:spacing w:line="360" w:lineRule="auto"/>
              <w:jc w:val="center"/>
              <w:rPr>
                <w:rFonts w:ascii="仿宋" w:hAnsi="仿宋" w:eastAsia="仿宋"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pStyle w:val="258"/>
              <w:numPr>
                <w:ilvl w:val="0"/>
                <w:numId w:val="6"/>
              </w:numPr>
              <w:ind w:firstLineChars="0"/>
              <w:jc w:val="center"/>
              <w:rPr>
                <w:rFonts w:ascii="仿宋" w:hAnsi="仿宋" w:eastAsia="仿宋" w:cs="宋体"/>
                <w:color w:val="auto"/>
                <w:sz w:val="21"/>
                <w:szCs w:val="21"/>
                <w:highlight w:val="none"/>
              </w:rPr>
            </w:pPr>
          </w:p>
        </w:tc>
        <w:tc>
          <w:tcPr>
            <w:tcW w:w="1464" w:type="dxa"/>
            <w:vAlign w:val="center"/>
          </w:tcPr>
          <w:p>
            <w:pPr>
              <w:snapToGrid w:val="0"/>
              <w:spacing w:line="360" w:lineRule="auto"/>
              <w:jc w:val="center"/>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lang w:val="en-US" w:eastAsia="zh-CN"/>
              </w:rPr>
              <w:t>320国道，道</w:t>
            </w:r>
            <w:r>
              <w:rPr>
                <w:rFonts w:hint="eastAsia" w:ascii="仿宋_GB2312" w:hAnsi="仿宋" w:eastAsia="仿宋_GB2312" w:cs="仿宋_GB2312"/>
                <w:color w:val="auto"/>
                <w:szCs w:val="21"/>
                <w:highlight w:val="none"/>
              </w:rPr>
              <w:t>路保洁（含牛皮癣清理）</w:t>
            </w:r>
          </w:p>
        </w:tc>
        <w:tc>
          <w:tcPr>
            <w:tcW w:w="992" w:type="dxa"/>
            <w:vAlign w:val="center"/>
          </w:tcPr>
          <w:p>
            <w:pPr>
              <w:snapToGrid w:val="0"/>
              <w:spacing w:line="360" w:lineRule="auto"/>
              <w:jc w:val="center"/>
              <w:rPr>
                <w:rFonts w:ascii="仿宋" w:hAnsi="仿宋" w:eastAsia="仿宋" w:cs="宋体"/>
                <w:color w:val="auto"/>
                <w:szCs w:val="21"/>
                <w:highlight w:val="none"/>
              </w:rPr>
            </w:pPr>
            <w:r>
              <w:rPr>
                <w:rFonts w:ascii="仿宋_GB2312" w:hAnsi="仿宋" w:eastAsia="仿宋_GB2312" w:cs="仿宋_GB2312"/>
                <w:color w:val="auto"/>
                <w:szCs w:val="21"/>
                <w:highlight w:val="none"/>
              </w:rPr>
              <w:t>按采购文件要求</w:t>
            </w:r>
          </w:p>
        </w:tc>
        <w:tc>
          <w:tcPr>
            <w:tcW w:w="1706" w:type="dxa"/>
            <w:vAlign w:val="center"/>
          </w:tcPr>
          <w:p>
            <w:pPr>
              <w:snapToGrid w:val="0"/>
              <w:spacing w:line="360" w:lineRule="auto"/>
              <w:jc w:val="center"/>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lang w:val="en-US" w:eastAsia="zh-CN"/>
              </w:rPr>
              <w:t>49374</w:t>
            </w:r>
            <w:r>
              <w:rPr>
                <w:rFonts w:hint="eastAsia" w:ascii="仿宋_GB2312" w:hAnsi="仿宋" w:eastAsia="仿宋_GB2312" w:cs="仿宋_GB2312"/>
                <w:color w:val="auto"/>
                <w:szCs w:val="21"/>
                <w:highlight w:val="none"/>
              </w:rPr>
              <w:t>㎡</w:t>
            </w:r>
          </w:p>
        </w:tc>
        <w:tc>
          <w:tcPr>
            <w:tcW w:w="1907" w:type="dxa"/>
            <w:vAlign w:val="center"/>
          </w:tcPr>
          <w:p>
            <w:pPr>
              <w:spacing w:line="360" w:lineRule="auto"/>
              <w:jc w:val="center"/>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u w:val="single"/>
              </w:rPr>
              <w:t xml:space="preserve">    </w:t>
            </w:r>
            <w:r>
              <w:rPr>
                <w:rFonts w:hint="eastAsia" w:ascii="仿宋_GB2312" w:hAnsi="仿宋" w:eastAsia="仿宋_GB2312" w:cs="仿宋_GB2312"/>
                <w:color w:val="auto"/>
                <w:szCs w:val="21"/>
                <w:highlight w:val="none"/>
              </w:rPr>
              <w:t>元/㎡</w:t>
            </w:r>
            <w:r>
              <w:rPr>
                <w:rFonts w:hint="eastAsia" w:ascii="宋体" w:hAnsi="宋体" w:cs="宋体"/>
                <w:color w:val="auto"/>
                <w:szCs w:val="21"/>
                <w:highlight w:val="none"/>
              </w:rPr>
              <w:t>•</w:t>
            </w:r>
            <w:r>
              <w:rPr>
                <w:rFonts w:hint="eastAsia" w:ascii="仿宋_GB2312" w:hAnsi="仿宋" w:eastAsia="仿宋_GB2312" w:cs="仿宋_GB2312"/>
                <w:color w:val="auto"/>
                <w:szCs w:val="21"/>
                <w:highlight w:val="none"/>
              </w:rPr>
              <w:t>年</w:t>
            </w:r>
          </w:p>
        </w:tc>
        <w:tc>
          <w:tcPr>
            <w:tcW w:w="1196" w:type="dxa"/>
            <w:vAlign w:val="center"/>
          </w:tcPr>
          <w:p>
            <w:pPr>
              <w:spacing w:line="360" w:lineRule="auto"/>
              <w:jc w:val="center"/>
              <w:rPr>
                <w:rFonts w:ascii="仿宋_GB2312" w:hAnsi="仿宋" w:eastAsia="仿宋_GB2312" w:cs="仿宋_GB2312"/>
                <w:color w:val="auto"/>
                <w:szCs w:val="21"/>
                <w:highlight w:val="none"/>
              </w:rPr>
            </w:pPr>
          </w:p>
        </w:tc>
        <w:tc>
          <w:tcPr>
            <w:tcW w:w="1267" w:type="dxa"/>
            <w:vAlign w:val="center"/>
          </w:tcPr>
          <w:p>
            <w:pPr>
              <w:spacing w:line="360" w:lineRule="auto"/>
              <w:jc w:val="center"/>
              <w:rPr>
                <w:rFonts w:ascii="仿宋_GB2312" w:hAnsi="仿宋"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pStyle w:val="258"/>
              <w:numPr>
                <w:ilvl w:val="0"/>
                <w:numId w:val="6"/>
              </w:numPr>
              <w:ind w:left="420" w:leftChars="0" w:hanging="420" w:firstLineChars="0"/>
              <w:jc w:val="center"/>
              <w:rPr>
                <w:rFonts w:ascii="仿宋" w:hAnsi="仿宋" w:eastAsia="仿宋" w:cs="宋体"/>
                <w:color w:val="auto"/>
                <w:kern w:val="2"/>
                <w:sz w:val="21"/>
                <w:szCs w:val="21"/>
                <w:highlight w:val="none"/>
                <w:lang w:val="en-US" w:eastAsia="zh-CN" w:bidi="ar-SA"/>
              </w:rPr>
            </w:pPr>
          </w:p>
        </w:tc>
        <w:tc>
          <w:tcPr>
            <w:tcW w:w="1464" w:type="dxa"/>
            <w:vAlign w:val="center"/>
          </w:tcPr>
          <w:p>
            <w:pPr>
              <w:snapToGrid w:val="0"/>
              <w:spacing w:line="360" w:lineRule="auto"/>
              <w:jc w:val="center"/>
              <w:rPr>
                <w:rFonts w:hint="default" w:ascii="仿宋_GB2312" w:hAnsi="仿宋" w:eastAsia="仿宋_GB2312" w:cs="仿宋_GB2312"/>
                <w:color w:val="auto"/>
                <w:kern w:val="2"/>
                <w:sz w:val="21"/>
                <w:szCs w:val="21"/>
                <w:highlight w:val="none"/>
                <w:lang w:val="en-US" w:eastAsia="zh-CN" w:bidi="ar-SA"/>
              </w:rPr>
            </w:pPr>
            <w:r>
              <w:rPr>
                <w:rFonts w:hint="eastAsia" w:ascii="仿宋_GB2312" w:hAnsi="仿宋" w:eastAsia="仿宋_GB2312" w:cs="仿宋_GB2312"/>
                <w:color w:val="auto"/>
                <w:szCs w:val="21"/>
                <w:highlight w:val="none"/>
                <w:lang w:val="en-US" w:eastAsia="zh-CN"/>
              </w:rPr>
              <w:t>6条道路，</w:t>
            </w:r>
            <w:r>
              <w:rPr>
                <w:rFonts w:hint="eastAsia" w:ascii="仿宋_GB2312" w:hAnsi="仿宋" w:eastAsia="仿宋_GB2312" w:cs="仿宋_GB2312"/>
                <w:color w:val="auto"/>
                <w:szCs w:val="21"/>
                <w:highlight w:val="none"/>
              </w:rPr>
              <w:t>市政</w:t>
            </w:r>
            <w:r>
              <w:rPr>
                <w:rFonts w:hint="eastAsia" w:ascii="仿宋_GB2312" w:hAnsi="仿宋" w:eastAsia="仿宋_GB2312" w:cs="仿宋_GB2312"/>
                <w:color w:val="auto"/>
                <w:szCs w:val="21"/>
                <w:highlight w:val="none"/>
                <w:lang w:val="en-US" w:eastAsia="zh-CN"/>
              </w:rPr>
              <w:t>道路养护（零星修复）</w:t>
            </w:r>
          </w:p>
        </w:tc>
        <w:tc>
          <w:tcPr>
            <w:tcW w:w="992" w:type="dxa"/>
            <w:vAlign w:val="center"/>
          </w:tcPr>
          <w:p>
            <w:pPr>
              <w:snapToGrid w:val="0"/>
              <w:spacing w:line="360" w:lineRule="auto"/>
              <w:jc w:val="center"/>
              <w:rPr>
                <w:rFonts w:ascii="仿宋" w:hAnsi="仿宋" w:eastAsia="仿宋" w:cs="宋体"/>
                <w:color w:val="auto"/>
                <w:kern w:val="2"/>
                <w:sz w:val="21"/>
                <w:szCs w:val="21"/>
                <w:highlight w:val="none"/>
                <w:lang w:val="en-US" w:eastAsia="zh-CN" w:bidi="ar-SA"/>
              </w:rPr>
            </w:pPr>
            <w:r>
              <w:rPr>
                <w:rFonts w:ascii="仿宋_GB2312" w:hAnsi="仿宋" w:eastAsia="仿宋_GB2312" w:cs="仿宋_GB2312"/>
                <w:color w:val="auto"/>
                <w:szCs w:val="21"/>
                <w:highlight w:val="none"/>
              </w:rPr>
              <w:t>按采购文件要求</w:t>
            </w:r>
          </w:p>
        </w:tc>
        <w:tc>
          <w:tcPr>
            <w:tcW w:w="1706" w:type="dxa"/>
            <w:vAlign w:val="center"/>
          </w:tcPr>
          <w:p>
            <w:pPr>
              <w:snapToGrid w:val="0"/>
              <w:spacing w:line="360" w:lineRule="auto"/>
              <w:jc w:val="center"/>
              <w:rPr>
                <w:rFonts w:hint="eastAsia" w:ascii="仿宋_GB2312" w:hAnsi="仿宋" w:eastAsia="仿宋_GB2312" w:cs="仿宋_GB2312"/>
                <w:color w:val="auto"/>
                <w:kern w:val="2"/>
                <w:sz w:val="21"/>
                <w:szCs w:val="21"/>
                <w:highlight w:val="none"/>
                <w:lang w:val="en-US" w:eastAsia="zh-CN" w:bidi="ar-SA"/>
              </w:rPr>
            </w:pPr>
            <w:r>
              <w:rPr>
                <w:rFonts w:hint="eastAsia" w:ascii="仿宋_GB2312" w:hAnsi="仿宋" w:eastAsia="仿宋_GB2312" w:cs="仿宋_GB2312"/>
                <w:color w:val="auto"/>
                <w:szCs w:val="21"/>
                <w:highlight w:val="none"/>
                <w:lang w:val="en-US" w:eastAsia="zh-CN"/>
              </w:rPr>
              <w:t>23.923公里</w:t>
            </w:r>
          </w:p>
        </w:tc>
        <w:tc>
          <w:tcPr>
            <w:tcW w:w="1907" w:type="dxa"/>
            <w:vAlign w:val="center"/>
          </w:tcPr>
          <w:p>
            <w:pPr>
              <w:spacing w:line="360" w:lineRule="auto"/>
              <w:jc w:val="center"/>
              <w:rPr>
                <w:rFonts w:hint="eastAsia" w:ascii="仿宋_GB2312" w:hAnsi="仿宋" w:eastAsia="仿宋_GB2312" w:cs="仿宋_GB2312"/>
                <w:color w:val="auto"/>
                <w:kern w:val="2"/>
                <w:sz w:val="21"/>
                <w:szCs w:val="21"/>
                <w:highlight w:val="none"/>
                <w:lang w:val="en-US" w:eastAsia="zh-CN" w:bidi="ar-SA"/>
              </w:rPr>
            </w:pPr>
            <w:r>
              <w:rPr>
                <w:rFonts w:hint="eastAsia" w:ascii="仿宋_GB2312" w:hAnsi="仿宋" w:eastAsia="仿宋_GB2312" w:cs="仿宋_GB2312"/>
                <w:color w:val="auto"/>
                <w:szCs w:val="21"/>
                <w:highlight w:val="none"/>
              </w:rPr>
              <w:t>/</w:t>
            </w:r>
          </w:p>
        </w:tc>
        <w:tc>
          <w:tcPr>
            <w:tcW w:w="1196" w:type="dxa"/>
            <w:vAlign w:val="center"/>
          </w:tcPr>
          <w:p>
            <w:pPr>
              <w:spacing w:line="360" w:lineRule="auto"/>
              <w:jc w:val="center"/>
              <w:rPr>
                <w:rFonts w:ascii="仿宋_GB2312" w:hAnsi="仿宋" w:eastAsia="仿宋_GB2312" w:cs="仿宋_GB2312"/>
                <w:color w:val="auto"/>
                <w:kern w:val="2"/>
                <w:sz w:val="21"/>
                <w:szCs w:val="21"/>
                <w:highlight w:val="none"/>
                <w:lang w:val="en-US" w:eastAsia="zh-CN" w:bidi="ar-SA"/>
              </w:rPr>
            </w:pPr>
            <w:r>
              <w:rPr>
                <w:rFonts w:hint="eastAsia" w:ascii="仿宋_GB2312" w:hAnsi="仿宋" w:eastAsia="仿宋_GB2312" w:cs="仿宋_GB2312"/>
                <w:color w:val="auto"/>
                <w:szCs w:val="21"/>
                <w:highlight w:val="none"/>
                <w:lang w:val="en-US" w:eastAsia="zh-CN"/>
              </w:rPr>
              <w:t xml:space="preserve">   </w:t>
            </w:r>
          </w:p>
        </w:tc>
        <w:tc>
          <w:tcPr>
            <w:tcW w:w="1267" w:type="dxa"/>
            <w:vAlign w:val="center"/>
          </w:tcPr>
          <w:p>
            <w:pPr>
              <w:spacing w:line="360" w:lineRule="auto"/>
              <w:jc w:val="center"/>
              <w:rPr>
                <w:rFonts w:hint="default" w:ascii="仿宋_GB2312" w:hAnsi="仿宋" w:eastAsia="仿宋_GB2312" w:cs="仿宋_GB2312"/>
                <w:b/>
                <w:color w:val="auto"/>
                <w:kern w:val="2"/>
                <w:sz w:val="21"/>
                <w:szCs w:val="21"/>
                <w:highlight w:val="none"/>
                <w:lang w:val="en-US" w:eastAsia="zh-CN" w:bidi="ar-SA"/>
              </w:rPr>
            </w:pPr>
            <w:r>
              <w:rPr>
                <w:rFonts w:hint="eastAsia" w:ascii="仿宋_GB2312" w:hAnsi="仿宋" w:eastAsia="仿宋_GB2312" w:cs="仿宋_GB2312"/>
                <w:b/>
                <w:color w:val="auto"/>
                <w:kern w:val="2"/>
                <w:sz w:val="21"/>
                <w:szCs w:val="21"/>
                <w:highlight w:val="none"/>
                <w:lang w:val="en-US" w:eastAsia="zh-CN" w:bidi="ar-SA"/>
              </w:rPr>
              <w:t>固定报价130万元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pStyle w:val="258"/>
              <w:numPr>
                <w:ilvl w:val="0"/>
                <w:numId w:val="6"/>
              </w:numPr>
              <w:ind w:firstLineChars="0"/>
              <w:jc w:val="center"/>
              <w:rPr>
                <w:rFonts w:ascii="仿宋" w:hAnsi="仿宋" w:eastAsia="仿宋" w:cs="宋体"/>
                <w:color w:val="auto"/>
                <w:sz w:val="21"/>
                <w:szCs w:val="21"/>
                <w:highlight w:val="none"/>
              </w:rPr>
            </w:pPr>
          </w:p>
        </w:tc>
        <w:tc>
          <w:tcPr>
            <w:tcW w:w="1464" w:type="dxa"/>
            <w:vAlign w:val="center"/>
          </w:tcPr>
          <w:p>
            <w:pPr>
              <w:snapToGrid w:val="0"/>
              <w:spacing w:line="360" w:lineRule="auto"/>
              <w:jc w:val="center"/>
              <w:rPr>
                <w:rFonts w:hint="eastAsia"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lang w:val="en-US" w:eastAsia="zh-CN"/>
              </w:rPr>
              <w:t>绕城高速（运河-江干区）、申嘉湖杭高速（主线）：</w:t>
            </w:r>
            <w:r>
              <w:rPr>
                <w:rFonts w:hint="eastAsia" w:ascii="仿宋_GB2312" w:hAnsi="仿宋" w:eastAsia="仿宋_GB2312" w:cs="仿宋_GB2312"/>
                <w:color w:val="auto"/>
                <w:szCs w:val="21"/>
                <w:highlight w:val="none"/>
              </w:rPr>
              <w:t>乔木林</w:t>
            </w:r>
            <w:r>
              <w:rPr>
                <w:rFonts w:hint="eastAsia" w:ascii="仿宋_GB2312" w:hAnsi="仿宋" w:eastAsia="仿宋_GB2312" w:cs="仿宋_GB2312"/>
                <w:color w:val="auto"/>
                <w:szCs w:val="21"/>
                <w:highlight w:val="none"/>
                <w:lang w:val="en-US" w:eastAsia="zh-CN"/>
              </w:rPr>
              <w:t>养护</w:t>
            </w:r>
          </w:p>
        </w:tc>
        <w:tc>
          <w:tcPr>
            <w:tcW w:w="992" w:type="dxa"/>
            <w:vAlign w:val="center"/>
          </w:tcPr>
          <w:p>
            <w:pPr>
              <w:snapToGrid w:val="0"/>
              <w:spacing w:line="360" w:lineRule="auto"/>
              <w:jc w:val="center"/>
              <w:rPr>
                <w:rFonts w:ascii="仿宋_GB2312" w:hAnsi="仿宋" w:eastAsia="仿宋_GB2312" w:cs="仿宋_GB2312"/>
                <w:color w:val="auto"/>
                <w:szCs w:val="21"/>
                <w:highlight w:val="none"/>
              </w:rPr>
            </w:pPr>
            <w:r>
              <w:rPr>
                <w:rFonts w:ascii="仿宋_GB2312" w:hAnsi="仿宋" w:eastAsia="仿宋_GB2312" w:cs="仿宋_GB2312"/>
                <w:color w:val="auto"/>
                <w:szCs w:val="21"/>
                <w:highlight w:val="none"/>
              </w:rPr>
              <w:t>按采购文件要求</w:t>
            </w:r>
          </w:p>
        </w:tc>
        <w:tc>
          <w:tcPr>
            <w:tcW w:w="1706" w:type="dxa"/>
            <w:vAlign w:val="center"/>
          </w:tcPr>
          <w:p>
            <w:pPr>
              <w:snapToGrid w:val="0"/>
              <w:spacing w:line="360" w:lineRule="auto"/>
              <w:jc w:val="center"/>
              <w:rPr>
                <w:rFonts w:hint="default" w:ascii="仿宋_GB2312" w:hAnsi="仿宋" w:eastAsia="仿宋_GB2312" w:cs="仿宋_GB2312"/>
                <w:color w:val="auto"/>
                <w:szCs w:val="21"/>
                <w:highlight w:val="none"/>
                <w:lang w:val="en-US" w:eastAsia="zh-CN"/>
              </w:rPr>
            </w:pPr>
            <w:r>
              <w:rPr>
                <w:rFonts w:hint="eastAsia" w:ascii="仿宋_GB2312" w:hAnsi="仿宋" w:eastAsia="仿宋_GB2312" w:cs="仿宋_GB2312"/>
                <w:color w:val="auto"/>
                <w:szCs w:val="21"/>
                <w:highlight w:val="none"/>
                <w:lang w:val="en-US" w:eastAsia="zh-CN"/>
              </w:rPr>
              <w:t>513131㎡</w:t>
            </w:r>
          </w:p>
        </w:tc>
        <w:tc>
          <w:tcPr>
            <w:tcW w:w="1907" w:type="dxa"/>
            <w:vAlign w:val="center"/>
          </w:tcPr>
          <w:p>
            <w:pPr>
              <w:spacing w:line="360" w:lineRule="auto"/>
              <w:jc w:val="center"/>
              <w:rPr>
                <w:rFonts w:hint="eastAsia" w:ascii="仿宋_GB2312" w:hAnsi="仿宋" w:eastAsia="仿宋_GB2312" w:cs="仿宋_GB2312"/>
                <w:color w:val="auto"/>
                <w:szCs w:val="21"/>
                <w:highlight w:val="none"/>
                <w:u w:val="single"/>
              </w:rPr>
            </w:pPr>
            <w:r>
              <w:rPr>
                <w:rFonts w:hint="eastAsia" w:ascii="仿宋_GB2312" w:hAnsi="仿宋" w:eastAsia="仿宋_GB2312" w:cs="仿宋_GB2312"/>
                <w:color w:val="auto"/>
                <w:szCs w:val="21"/>
                <w:highlight w:val="none"/>
                <w:u w:val="single"/>
              </w:rPr>
              <w:t xml:space="preserve">    </w:t>
            </w:r>
            <w:r>
              <w:rPr>
                <w:rFonts w:hint="eastAsia" w:ascii="仿宋_GB2312" w:hAnsi="仿宋" w:eastAsia="仿宋_GB2312" w:cs="仿宋_GB2312"/>
                <w:color w:val="auto"/>
                <w:szCs w:val="21"/>
                <w:highlight w:val="none"/>
              </w:rPr>
              <w:t>元/㎡</w:t>
            </w:r>
            <w:r>
              <w:rPr>
                <w:rFonts w:hint="eastAsia" w:ascii="宋体" w:hAnsi="宋体" w:cs="宋体"/>
                <w:color w:val="auto"/>
                <w:szCs w:val="21"/>
                <w:highlight w:val="none"/>
              </w:rPr>
              <w:t>•</w:t>
            </w:r>
            <w:r>
              <w:rPr>
                <w:rFonts w:hint="eastAsia" w:ascii="仿宋_GB2312" w:hAnsi="仿宋" w:eastAsia="仿宋_GB2312" w:cs="仿宋_GB2312"/>
                <w:color w:val="auto"/>
                <w:szCs w:val="21"/>
                <w:highlight w:val="none"/>
              </w:rPr>
              <w:t>年</w:t>
            </w:r>
          </w:p>
        </w:tc>
        <w:tc>
          <w:tcPr>
            <w:tcW w:w="1196" w:type="dxa"/>
            <w:vAlign w:val="center"/>
          </w:tcPr>
          <w:p>
            <w:pPr>
              <w:spacing w:line="360" w:lineRule="auto"/>
              <w:jc w:val="center"/>
              <w:rPr>
                <w:rFonts w:ascii="仿宋_GB2312" w:hAnsi="仿宋" w:eastAsia="仿宋_GB2312" w:cs="仿宋_GB2312"/>
                <w:color w:val="auto"/>
                <w:szCs w:val="21"/>
                <w:highlight w:val="none"/>
              </w:rPr>
            </w:pPr>
          </w:p>
        </w:tc>
        <w:tc>
          <w:tcPr>
            <w:tcW w:w="1267" w:type="dxa"/>
            <w:vAlign w:val="center"/>
          </w:tcPr>
          <w:p>
            <w:pPr>
              <w:spacing w:line="360" w:lineRule="auto"/>
              <w:jc w:val="center"/>
              <w:rPr>
                <w:rFonts w:ascii="仿宋_GB2312" w:hAnsi="仿宋"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pStyle w:val="258"/>
              <w:numPr>
                <w:ilvl w:val="0"/>
                <w:numId w:val="6"/>
              </w:numPr>
              <w:ind w:firstLineChars="0"/>
              <w:jc w:val="center"/>
              <w:rPr>
                <w:rFonts w:ascii="仿宋" w:hAnsi="仿宋" w:eastAsia="仿宋" w:cs="宋体"/>
                <w:color w:val="auto"/>
                <w:sz w:val="21"/>
                <w:szCs w:val="21"/>
                <w:highlight w:val="none"/>
              </w:rPr>
            </w:pPr>
          </w:p>
        </w:tc>
        <w:tc>
          <w:tcPr>
            <w:tcW w:w="1464" w:type="dxa"/>
            <w:vAlign w:val="center"/>
          </w:tcPr>
          <w:p>
            <w:pPr>
              <w:snapToGrid w:val="0"/>
              <w:spacing w:line="360" w:lineRule="auto"/>
              <w:jc w:val="center"/>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lang w:val="en-US" w:eastAsia="zh-CN"/>
              </w:rPr>
              <w:t>其他9条道路</w:t>
            </w:r>
            <w:r>
              <w:rPr>
                <w:rFonts w:hint="eastAsia" w:ascii="仿宋_GB2312" w:hAnsi="仿宋" w:eastAsia="仿宋_GB2312" w:cs="仿宋_GB2312"/>
                <w:color w:val="auto"/>
                <w:szCs w:val="21"/>
                <w:highlight w:val="none"/>
              </w:rPr>
              <w:t>绿化养护</w:t>
            </w:r>
          </w:p>
        </w:tc>
        <w:tc>
          <w:tcPr>
            <w:tcW w:w="992" w:type="dxa"/>
            <w:vAlign w:val="center"/>
          </w:tcPr>
          <w:p>
            <w:pPr>
              <w:snapToGrid w:val="0"/>
              <w:spacing w:line="360" w:lineRule="auto"/>
              <w:jc w:val="center"/>
              <w:rPr>
                <w:rFonts w:ascii="仿宋" w:hAnsi="仿宋" w:eastAsia="仿宋" w:cs="宋体"/>
                <w:color w:val="auto"/>
                <w:szCs w:val="21"/>
                <w:highlight w:val="none"/>
              </w:rPr>
            </w:pPr>
            <w:r>
              <w:rPr>
                <w:rFonts w:ascii="仿宋_GB2312" w:hAnsi="仿宋" w:eastAsia="仿宋_GB2312" w:cs="仿宋_GB2312"/>
                <w:color w:val="auto"/>
                <w:szCs w:val="21"/>
                <w:highlight w:val="none"/>
              </w:rPr>
              <w:t>按采购文件要求</w:t>
            </w:r>
          </w:p>
        </w:tc>
        <w:tc>
          <w:tcPr>
            <w:tcW w:w="1706" w:type="dxa"/>
            <w:vAlign w:val="center"/>
          </w:tcPr>
          <w:p>
            <w:pPr>
              <w:snapToGrid w:val="0"/>
              <w:spacing w:line="360" w:lineRule="auto"/>
              <w:jc w:val="center"/>
              <w:rPr>
                <w:rFonts w:hint="eastAsia" w:ascii="仿宋_GB2312" w:hAnsi="仿宋" w:eastAsia="仿宋_GB2312" w:cs="仿宋_GB2312"/>
                <w:color w:val="auto"/>
                <w:szCs w:val="21"/>
                <w:highlight w:val="none"/>
                <w:lang w:val="en-US" w:eastAsia="zh-CN"/>
              </w:rPr>
            </w:pPr>
            <w:r>
              <w:rPr>
                <w:rFonts w:hint="eastAsia" w:ascii="仿宋_GB2312" w:hAnsi="仿宋" w:eastAsia="仿宋_GB2312" w:cs="仿宋_GB2312"/>
                <w:color w:val="auto"/>
                <w:szCs w:val="21"/>
                <w:highlight w:val="none"/>
                <w:lang w:val="en-US" w:eastAsia="zh-CN"/>
              </w:rPr>
              <w:t>309859.1㎡</w:t>
            </w:r>
          </w:p>
        </w:tc>
        <w:tc>
          <w:tcPr>
            <w:tcW w:w="1907" w:type="dxa"/>
            <w:vAlign w:val="center"/>
          </w:tcPr>
          <w:p>
            <w:pPr>
              <w:spacing w:line="360" w:lineRule="auto"/>
              <w:jc w:val="center"/>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u w:val="single"/>
              </w:rPr>
              <w:t xml:space="preserve">    </w:t>
            </w:r>
            <w:r>
              <w:rPr>
                <w:rFonts w:hint="eastAsia" w:ascii="仿宋_GB2312" w:hAnsi="仿宋" w:eastAsia="仿宋_GB2312" w:cs="仿宋_GB2312"/>
                <w:color w:val="auto"/>
                <w:szCs w:val="21"/>
                <w:highlight w:val="none"/>
              </w:rPr>
              <w:t>元/㎡</w:t>
            </w:r>
            <w:r>
              <w:rPr>
                <w:rFonts w:hint="eastAsia" w:ascii="宋体" w:hAnsi="宋体" w:cs="宋体"/>
                <w:color w:val="auto"/>
                <w:szCs w:val="21"/>
                <w:highlight w:val="none"/>
              </w:rPr>
              <w:t>•</w:t>
            </w:r>
            <w:r>
              <w:rPr>
                <w:rFonts w:hint="eastAsia" w:ascii="仿宋_GB2312" w:hAnsi="仿宋" w:eastAsia="仿宋_GB2312" w:cs="仿宋_GB2312"/>
                <w:color w:val="auto"/>
                <w:szCs w:val="21"/>
                <w:highlight w:val="none"/>
              </w:rPr>
              <w:t>年</w:t>
            </w:r>
          </w:p>
        </w:tc>
        <w:tc>
          <w:tcPr>
            <w:tcW w:w="1196" w:type="dxa"/>
            <w:vAlign w:val="center"/>
          </w:tcPr>
          <w:p>
            <w:pPr>
              <w:spacing w:line="360" w:lineRule="auto"/>
              <w:jc w:val="center"/>
              <w:rPr>
                <w:rFonts w:ascii="仿宋_GB2312" w:hAnsi="仿宋" w:eastAsia="仿宋_GB2312" w:cs="仿宋_GB2312"/>
                <w:color w:val="auto"/>
                <w:szCs w:val="21"/>
                <w:highlight w:val="none"/>
              </w:rPr>
            </w:pPr>
          </w:p>
        </w:tc>
        <w:tc>
          <w:tcPr>
            <w:tcW w:w="1267" w:type="dxa"/>
            <w:vAlign w:val="center"/>
          </w:tcPr>
          <w:p>
            <w:pPr>
              <w:spacing w:line="360" w:lineRule="auto"/>
              <w:jc w:val="center"/>
              <w:rPr>
                <w:rFonts w:ascii="仿宋_GB2312" w:hAnsi="仿宋"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pStyle w:val="258"/>
              <w:numPr>
                <w:ilvl w:val="0"/>
                <w:numId w:val="6"/>
              </w:numPr>
              <w:ind w:firstLineChars="0"/>
              <w:jc w:val="center"/>
              <w:rPr>
                <w:rFonts w:ascii="仿宋" w:hAnsi="仿宋" w:eastAsia="仿宋" w:cs="宋体"/>
                <w:color w:val="auto"/>
                <w:sz w:val="21"/>
                <w:szCs w:val="21"/>
                <w:highlight w:val="none"/>
              </w:rPr>
            </w:pPr>
          </w:p>
        </w:tc>
        <w:tc>
          <w:tcPr>
            <w:tcW w:w="1464" w:type="dxa"/>
            <w:vAlign w:val="center"/>
          </w:tcPr>
          <w:p>
            <w:pPr>
              <w:snapToGrid w:val="0"/>
              <w:spacing w:line="360" w:lineRule="auto"/>
              <w:jc w:val="center"/>
              <w:rPr>
                <w:rFonts w:hint="eastAsia" w:ascii="仿宋_GB2312" w:hAnsi="仿宋" w:eastAsia="仿宋_GB2312" w:cs="仿宋_GB2312"/>
                <w:color w:val="auto"/>
                <w:szCs w:val="21"/>
                <w:highlight w:val="none"/>
                <w:lang w:val="en-US" w:eastAsia="zh-CN"/>
              </w:rPr>
            </w:pPr>
            <w:r>
              <w:rPr>
                <w:rFonts w:hint="eastAsia" w:ascii="仿宋_GB2312" w:hAnsi="仿宋" w:eastAsia="仿宋_GB2312" w:cs="仿宋_GB2312"/>
                <w:color w:val="auto"/>
                <w:szCs w:val="21"/>
                <w:highlight w:val="none"/>
                <w:lang w:val="en-US" w:eastAsia="zh-CN"/>
              </w:rPr>
              <w:t>绿化提升改造</w:t>
            </w:r>
          </w:p>
        </w:tc>
        <w:tc>
          <w:tcPr>
            <w:tcW w:w="992" w:type="dxa"/>
            <w:vAlign w:val="center"/>
          </w:tcPr>
          <w:p>
            <w:pPr>
              <w:snapToGrid w:val="0"/>
              <w:spacing w:line="360" w:lineRule="auto"/>
              <w:jc w:val="center"/>
              <w:rPr>
                <w:rFonts w:hint="eastAsia" w:ascii="仿宋_GB2312" w:hAnsi="仿宋" w:eastAsia="仿宋_GB2312" w:cs="仿宋_GB2312"/>
                <w:color w:val="auto"/>
                <w:szCs w:val="21"/>
                <w:highlight w:val="none"/>
                <w:lang w:eastAsia="zh-CN"/>
              </w:rPr>
            </w:pPr>
            <w:r>
              <w:rPr>
                <w:rFonts w:ascii="仿宋_GB2312" w:hAnsi="仿宋" w:eastAsia="仿宋_GB2312" w:cs="仿宋_GB2312"/>
                <w:color w:val="auto"/>
                <w:szCs w:val="21"/>
                <w:highlight w:val="none"/>
              </w:rPr>
              <w:t>按采购文件要求</w:t>
            </w:r>
          </w:p>
        </w:tc>
        <w:tc>
          <w:tcPr>
            <w:tcW w:w="1706" w:type="dxa"/>
            <w:vAlign w:val="center"/>
          </w:tcPr>
          <w:p>
            <w:pPr>
              <w:snapToGrid w:val="0"/>
              <w:spacing w:line="360" w:lineRule="auto"/>
              <w:jc w:val="center"/>
              <w:rPr>
                <w:rFonts w:hint="eastAsia" w:ascii="仿宋_GB2312" w:hAnsi="仿宋" w:eastAsia="仿宋_GB2312" w:cs="仿宋_GB2312"/>
                <w:color w:val="auto"/>
                <w:szCs w:val="21"/>
                <w:highlight w:val="none"/>
                <w:lang w:val="en-US" w:eastAsia="zh-CN"/>
              </w:rPr>
            </w:pPr>
            <w:r>
              <w:rPr>
                <w:rFonts w:hint="eastAsia" w:ascii="仿宋_GB2312" w:hAnsi="仿宋" w:eastAsia="仿宋_GB2312" w:cs="仿宋_GB2312"/>
                <w:color w:val="auto"/>
                <w:szCs w:val="21"/>
                <w:highlight w:val="none"/>
                <w:lang w:val="en-US" w:eastAsia="zh-CN"/>
              </w:rPr>
              <w:t>按实结算</w:t>
            </w:r>
          </w:p>
        </w:tc>
        <w:tc>
          <w:tcPr>
            <w:tcW w:w="1907" w:type="dxa"/>
            <w:vAlign w:val="center"/>
          </w:tcPr>
          <w:p>
            <w:pPr>
              <w:spacing w:line="360" w:lineRule="auto"/>
              <w:jc w:val="center"/>
              <w:rPr>
                <w:rFonts w:hint="eastAsia" w:ascii="仿宋_GB2312" w:hAnsi="仿宋" w:eastAsia="仿宋_GB2312" w:cs="仿宋_GB2312"/>
                <w:color w:val="auto"/>
                <w:szCs w:val="21"/>
                <w:highlight w:val="none"/>
                <w:u w:val="single"/>
              </w:rPr>
            </w:pPr>
            <w:r>
              <w:rPr>
                <w:rFonts w:hint="eastAsia" w:ascii="仿宋_GB2312" w:hAnsi="仿宋" w:eastAsia="仿宋_GB2312" w:cs="仿宋_GB2312"/>
                <w:color w:val="auto"/>
                <w:szCs w:val="21"/>
                <w:highlight w:val="none"/>
              </w:rPr>
              <w:t>/</w:t>
            </w:r>
          </w:p>
        </w:tc>
        <w:tc>
          <w:tcPr>
            <w:tcW w:w="1196" w:type="dxa"/>
            <w:vAlign w:val="center"/>
          </w:tcPr>
          <w:p>
            <w:pPr>
              <w:spacing w:line="360" w:lineRule="auto"/>
              <w:jc w:val="center"/>
              <w:rPr>
                <w:rFonts w:ascii="仿宋_GB2312" w:hAnsi="仿宋" w:eastAsia="仿宋_GB2312" w:cs="仿宋_GB2312"/>
                <w:color w:val="auto"/>
                <w:szCs w:val="21"/>
                <w:highlight w:val="none"/>
              </w:rPr>
            </w:pPr>
          </w:p>
        </w:tc>
        <w:tc>
          <w:tcPr>
            <w:tcW w:w="1267" w:type="dxa"/>
            <w:vAlign w:val="center"/>
          </w:tcPr>
          <w:p>
            <w:pPr>
              <w:spacing w:line="360" w:lineRule="auto"/>
              <w:jc w:val="center"/>
              <w:rPr>
                <w:rFonts w:ascii="仿宋_GB2312" w:hAnsi="仿宋" w:eastAsia="仿宋_GB2312" w:cs="仿宋_GB2312"/>
                <w:color w:val="auto"/>
                <w:szCs w:val="21"/>
                <w:highlight w:val="none"/>
              </w:rPr>
            </w:pPr>
            <w:r>
              <w:rPr>
                <w:rFonts w:hint="eastAsia" w:ascii="仿宋_GB2312" w:hAnsi="仿宋" w:eastAsia="仿宋_GB2312" w:cs="仿宋_GB2312"/>
                <w:b/>
                <w:color w:val="auto"/>
                <w:kern w:val="2"/>
                <w:sz w:val="21"/>
                <w:szCs w:val="21"/>
                <w:highlight w:val="none"/>
                <w:lang w:val="en-US" w:eastAsia="zh-CN" w:bidi="ar-SA"/>
              </w:rPr>
              <w:t>固定报价10万元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649" w:type="dxa"/>
            <w:gridSpan w:val="4"/>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投标报价（小写）</w:t>
            </w:r>
          </w:p>
        </w:tc>
        <w:tc>
          <w:tcPr>
            <w:tcW w:w="4370" w:type="dxa"/>
            <w:gridSpan w:val="3"/>
          </w:tcPr>
          <w:p>
            <w:pPr>
              <w:spacing w:line="360" w:lineRule="auto"/>
              <w:jc w:val="center"/>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649" w:type="dxa"/>
            <w:gridSpan w:val="4"/>
            <w:vAlign w:val="center"/>
          </w:tcPr>
          <w:p>
            <w:pPr>
              <w:spacing w:line="360" w:lineRule="auto"/>
              <w:jc w:val="center"/>
              <w:rPr>
                <w:rFonts w:ascii="仿宋" w:hAnsi="仿宋" w:eastAsia="仿宋" w:cs="宋体"/>
                <w:b/>
                <w:color w:val="auto"/>
                <w:szCs w:val="21"/>
                <w:highlight w:val="none"/>
              </w:rPr>
            </w:pPr>
            <w:r>
              <w:rPr>
                <w:rFonts w:hint="eastAsia" w:ascii="仿宋" w:hAnsi="仿宋" w:eastAsia="仿宋" w:cs="宋体"/>
                <w:b/>
                <w:color w:val="auto"/>
                <w:szCs w:val="21"/>
                <w:highlight w:val="none"/>
              </w:rPr>
              <w:t>投标报价（大写）</w:t>
            </w:r>
          </w:p>
        </w:tc>
        <w:tc>
          <w:tcPr>
            <w:tcW w:w="4370" w:type="dxa"/>
            <w:gridSpan w:val="3"/>
          </w:tcPr>
          <w:p>
            <w:pPr>
              <w:spacing w:line="360" w:lineRule="auto"/>
              <w:jc w:val="center"/>
              <w:rPr>
                <w:rFonts w:ascii="仿宋" w:hAnsi="仿宋" w:eastAsia="仿宋" w:cs="宋体"/>
                <w:color w:val="auto"/>
                <w:szCs w:val="21"/>
                <w:highlight w:val="none"/>
              </w:rPr>
            </w:pPr>
          </w:p>
        </w:tc>
      </w:tr>
    </w:tbl>
    <w:p>
      <w:pPr>
        <w:snapToGrid w:val="0"/>
        <w:spacing w:line="360" w:lineRule="auto"/>
        <w:ind w:left="480"/>
        <w:rPr>
          <w:rFonts w:hint="default" w:ascii="仿宋" w:hAnsi="仿宋" w:eastAsia="仿宋" w:cs="宋体"/>
          <w:b/>
          <w:color w:val="auto"/>
          <w:kern w:val="0"/>
          <w:sz w:val="24"/>
          <w:highlight w:val="none"/>
          <w:lang w:val="en-US" w:eastAsia="zh-CN"/>
        </w:rPr>
      </w:pPr>
      <w:r>
        <w:rPr>
          <w:rFonts w:hint="eastAsia" w:ascii="仿宋" w:hAnsi="仿宋" w:eastAsia="仿宋" w:cs="宋体"/>
          <w:b/>
          <w:color w:val="auto"/>
          <w:kern w:val="0"/>
          <w:sz w:val="24"/>
          <w:highlight w:val="none"/>
          <w:lang w:val="zh-CN"/>
        </w:rPr>
        <w:t>注：</w:t>
      </w:r>
      <w:r>
        <w:rPr>
          <w:rFonts w:hint="eastAsia" w:ascii="仿宋" w:hAnsi="仿宋" w:eastAsia="仿宋" w:cs="宋体"/>
          <w:b/>
          <w:color w:val="auto"/>
          <w:kern w:val="0"/>
          <w:sz w:val="24"/>
          <w:highlight w:val="none"/>
          <w:lang w:val="en-US" w:eastAsia="zh-CN"/>
        </w:rPr>
        <w:t>绿化养护包含时花养护</w:t>
      </w:r>
    </w:p>
    <w:p>
      <w:pPr>
        <w:spacing w:line="360" w:lineRule="auto"/>
        <w:ind w:left="-2" w:leftChars="-1" w:firstLine="480" w:firstLineChars="200"/>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1、投标人需按本表格式填写</w:t>
      </w:r>
      <w:r>
        <w:rPr>
          <w:rFonts w:hint="eastAsia" w:ascii="仿宋" w:hAnsi="仿宋" w:eastAsia="仿宋" w:cs="宋体"/>
          <w:b/>
          <w:color w:val="auto"/>
          <w:kern w:val="0"/>
          <w:sz w:val="24"/>
          <w:highlight w:val="none"/>
          <w:lang w:val="zh-CN"/>
        </w:rPr>
        <w:t>，</w:t>
      </w:r>
      <w:r>
        <w:rPr>
          <w:rFonts w:hint="eastAsia" w:ascii="仿宋" w:hAnsi="仿宋" w:eastAsia="仿宋" w:cs="宋体"/>
          <w:b/>
          <w:color w:val="auto"/>
          <w:kern w:val="0"/>
          <w:sz w:val="24"/>
          <w:highlight w:val="none"/>
        </w:rPr>
        <w:t>否则视为</w:t>
      </w:r>
      <w:r>
        <w:rPr>
          <w:rFonts w:hint="eastAsia" w:ascii="仿宋" w:hAnsi="仿宋" w:eastAsia="仿宋" w:cs="宋体"/>
          <w:b/>
          <w:color w:val="auto"/>
          <w:sz w:val="24"/>
          <w:highlight w:val="none"/>
        </w:rPr>
        <w:t>投标文件含有采购人不能接受的附加条件，投标无效</w:t>
      </w:r>
      <w:r>
        <w:rPr>
          <w:rFonts w:hint="eastAsia" w:ascii="仿宋" w:hAnsi="仿宋" w:eastAsia="仿宋" w:cs="宋体"/>
          <w:color w:val="auto"/>
          <w:kern w:val="0"/>
          <w:sz w:val="24"/>
          <w:highlight w:val="none"/>
          <w:lang w:val="zh-CN"/>
        </w:rPr>
        <w:t>。</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2、有关本项目实施所涉及的一切费用均计入报价。</w:t>
      </w:r>
      <w:r>
        <w:rPr>
          <w:rFonts w:hint="eastAsia" w:ascii="仿宋" w:hAnsi="仿宋" w:eastAsia="仿宋" w:cs="宋体"/>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不得出现“0元”“免费赠送”等形式的无偿报价，</w:t>
      </w:r>
      <w:r>
        <w:rPr>
          <w:rFonts w:hint="eastAsia" w:ascii="仿宋" w:hAnsi="仿宋" w:eastAsia="仿宋" w:cs="宋体"/>
          <w:b/>
          <w:color w:val="auto"/>
          <w:kern w:val="0"/>
          <w:sz w:val="24"/>
          <w:highlight w:val="none"/>
        </w:rPr>
        <w:t>否则视为</w:t>
      </w:r>
      <w:r>
        <w:rPr>
          <w:rFonts w:hint="eastAsia" w:ascii="仿宋" w:hAnsi="仿宋" w:eastAsia="仿宋" w:cs="宋体"/>
          <w:b/>
          <w:color w:val="auto"/>
          <w:sz w:val="24"/>
          <w:highlight w:val="none"/>
        </w:rPr>
        <w:t>投标文件含有采购人不能接受的附加条件，投标无效</w:t>
      </w:r>
      <w:r>
        <w:rPr>
          <w:rFonts w:hint="eastAsia" w:ascii="仿宋" w:hAnsi="仿宋" w:eastAsia="仿宋" w:cs="宋体"/>
          <w:b/>
          <w:color w:val="auto"/>
          <w:kern w:val="0"/>
          <w:sz w:val="24"/>
          <w:highlight w:val="none"/>
          <w:lang w:val="zh-CN"/>
        </w:rPr>
        <w:t>；采购内容未包含在《开标一览表（报价表）》名称栏中，投标人不能作出合理解释的，</w:t>
      </w:r>
      <w:r>
        <w:rPr>
          <w:rFonts w:hint="eastAsia" w:ascii="仿宋" w:hAnsi="仿宋" w:eastAsia="仿宋" w:cs="宋体"/>
          <w:b/>
          <w:color w:val="auto"/>
          <w:kern w:val="0"/>
          <w:sz w:val="24"/>
          <w:highlight w:val="none"/>
        </w:rPr>
        <w:t>视为</w:t>
      </w:r>
      <w:r>
        <w:rPr>
          <w:rFonts w:hint="eastAsia" w:ascii="仿宋" w:hAnsi="仿宋" w:eastAsia="仿宋" w:cs="宋体"/>
          <w:b/>
          <w:color w:val="auto"/>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宋体"/>
          <w:color w:val="auto"/>
          <w:kern w:val="0"/>
          <w:sz w:val="24"/>
          <w:highlight w:val="none"/>
          <w:lang w:val="zh-CN"/>
        </w:rPr>
      </w:pPr>
      <w:r>
        <w:rPr>
          <w:rFonts w:ascii="仿宋" w:hAnsi="仿宋" w:eastAsia="仿宋" w:cs="宋体"/>
          <w:color w:val="auto"/>
          <w:kern w:val="0"/>
          <w:sz w:val="24"/>
          <w:szCs w:val="22"/>
          <w:highlight w:val="none"/>
          <w:lang w:val="zh-CN"/>
        </w:rPr>
        <w:t>4</w:t>
      </w:r>
      <w:r>
        <w:rPr>
          <w:rFonts w:hint="eastAsia" w:ascii="仿宋" w:hAnsi="仿宋" w:eastAsia="仿宋" w:cs="宋体"/>
          <w:color w:val="auto"/>
          <w:kern w:val="0"/>
          <w:sz w:val="24"/>
          <w:szCs w:val="22"/>
          <w:highlight w:val="none"/>
          <w:lang w:val="zh-CN"/>
        </w:rPr>
        <w:t>、</w:t>
      </w:r>
      <w:r>
        <w:rPr>
          <w:rFonts w:hint="eastAsia" w:ascii="仿宋" w:hAnsi="仿宋" w:eastAsia="仿宋"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3"/>
        <w:keepNext w:val="0"/>
        <w:pageBreakBefore w:val="0"/>
        <w:tabs>
          <w:tab w:val="clear" w:pos="720"/>
        </w:tabs>
        <w:snapToGrid w:val="0"/>
        <w:spacing w:before="120" w:after="120"/>
        <w:ind w:firstLine="643"/>
        <w:jc w:val="right"/>
        <w:outlineLvl w:val="9"/>
        <w:rPr>
          <w:rFonts w:ascii="仿宋" w:hAnsi="仿宋" w:eastAsia="仿宋" w:cs="宋体"/>
          <w:color w:val="auto"/>
          <w:kern w:val="0"/>
          <w:sz w:val="24"/>
          <w:highlight w:val="none"/>
          <w:lang w:val="zh-CN"/>
        </w:rPr>
      </w:pPr>
      <w:r>
        <w:rPr>
          <w:rFonts w:hint="eastAsia" w:ascii="仿宋" w:hAnsi="仿宋" w:eastAsia="仿宋" w:cs="宋体"/>
          <w:color w:val="auto"/>
          <w:kern w:val="0"/>
          <w:sz w:val="24"/>
          <w:highlight w:val="none"/>
          <w:lang w:val="zh-CN"/>
        </w:rPr>
        <w:t>投标人（或联合体牵头人）名称(电子签名)：</w:t>
      </w:r>
    </w:p>
    <w:p>
      <w:pPr>
        <w:spacing w:line="360" w:lineRule="auto"/>
        <w:ind w:left="4620" w:leftChars="2200" w:firstLine="236" w:firstLineChars="98"/>
        <w:jc w:val="right"/>
        <w:rPr>
          <w:rFonts w:ascii="仿宋" w:hAnsi="仿宋" w:eastAsia="仿宋" w:cs="宋体"/>
          <w:b/>
          <w:color w:val="auto"/>
          <w:kern w:val="0"/>
          <w:sz w:val="24"/>
          <w:szCs w:val="20"/>
          <w:highlight w:val="none"/>
          <w:lang w:val="zh-CN"/>
        </w:rPr>
      </w:pPr>
      <w:r>
        <w:rPr>
          <w:rFonts w:hint="eastAsia" w:ascii="仿宋" w:hAnsi="仿宋" w:eastAsia="仿宋" w:cs="宋体"/>
          <w:b/>
          <w:color w:val="auto"/>
          <w:kern w:val="0"/>
          <w:sz w:val="24"/>
          <w:szCs w:val="20"/>
          <w:highlight w:val="none"/>
          <w:lang w:val="zh-CN"/>
        </w:rPr>
        <w:t>日期：   年   月   日</w:t>
      </w: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3"/>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8" w:name="OLE_LINK14"/>
      <w:bookmarkStart w:id="509" w:name="OLE_LINK13"/>
      <w:r>
        <w:rPr>
          <w:rFonts w:hint="eastAsia" w:ascii="宋体" w:hAnsi="宋体" w:cs="宋体"/>
          <w:b/>
          <w:color w:val="auto"/>
          <w:spacing w:val="6"/>
          <w:sz w:val="32"/>
          <w:szCs w:val="32"/>
          <w:highlight w:val="none"/>
        </w:rPr>
        <w:t>残疾人福利性单位声明函</w:t>
      </w:r>
    </w:p>
    <w:bookmarkEnd w:id="508"/>
    <w:bookmarkEnd w:id="509"/>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崇贤街道部分道路综合养护服务项目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杭州市临平区人民政府崇贤街道办事处</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杭州盛乔工程咨询有限公司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崇贤街道部分道路综合养护服务项目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 </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崇贤街道部分道路综合养护服务项目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0"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0"/>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1"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1"/>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2"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2"/>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崇贤街道部分道路综合养护服务项目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SQZFCG-2023-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hint="eastAsia" w:ascii="宋体" w:hAnsi="宋体" w:cs="宋体"/>
          <w:b/>
          <w:color w:val="auto"/>
          <w:sz w:val="36"/>
          <w:szCs w:val="20"/>
          <w:highlight w:val="none"/>
        </w:rPr>
      </w:pPr>
    </w:p>
    <w:p>
      <w:pPr>
        <w:spacing w:line="360" w:lineRule="auto"/>
        <w:jc w:val="left"/>
        <w:outlineLvl w:val="0"/>
        <w:rPr>
          <w:rFonts w:hint="eastAsia" w:ascii="宋体" w:hAnsi="宋体" w:cs="宋体"/>
          <w:b/>
          <w:color w:val="auto"/>
          <w:sz w:val="36"/>
          <w:szCs w:val="20"/>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杭州市临平区人民政府崇贤街道办事处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崇贤街道部分道路综合养护服务项目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3" w:name="_Toc91899912"/>
    <w:bookmarkStart w:id="514" w:name="_Toc164085800"/>
    <w:bookmarkStart w:id="515" w:name="_Toc36110187"/>
    <w:bookmarkStart w:id="516" w:name="_Toc131845147"/>
    <w:r>
      <w:rPr>
        <w:rFonts w:hint="eastAsia" w:ascii="仿宋_GB2312" w:eastAsia="仿宋_GB2312"/>
        <w:kern w:val="0"/>
        <w:szCs w:val="21"/>
      </w:rPr>
      <w:t xml:space="preserve"> 页</w:t>
    </w:r>
    <w:bookmarkEnd w:id="513"/>
    <w:bookmarkEnd w:id="514"/>
    <w:bookmarkEnd w:id="515"/>
    <w:bookmarkEnd w:id="5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C9C32"/>
    <w:multiLevelType w:val="singleLevel"/>
    <w:tmpl w:val="869C9C32"/>
    <w:lvl w:ilvl="0" w:tentative="0">
      <w:start w:val="5"/>
      <w:numFmt w:val="chineseCounting"/>
      <w:suff w:val="nothing"/>
      <w:lvlText w:val="%1、"/>
      <w:lvlJc w:val="left"/>
      <w:rPr>
        <w:rFonts w:hint="eastAsia"/>
      </w:rPr>
    </w:lvl>
  </w:abstractNum>
  <w:abstractNum w:abstractNumId="1">
    <w:nsid w:val="D2AB8452"/>
    <w:multiLevelType w:val="singleLevel"/>
    <w:tmpl w:val="D2AB8452"/>
    <w:lvl w:ilvl="0" w:tentative="0">
      <w:start w:val="2"/>
      <w:numFmt w:val="decimal"/>
      <w:suff w:val="nothing"/>
      <w:lvlText w:val="（%1）"/>
      <w:lvlJc w:val="left"/>
    </w:lvl>
  </w:abstractNum>
  <w:abstractNum w:abstractNumId="2">
    <w:nsid w:val="ED558D18"/>
    <w:multiLevelType w:val="singleLevel"/>
    <w:tmpl w:val="ED558D18"/>
    <w:lvl w:ilvl="0" w:tentative="0">
      <w:start w:val="1"/>
      <w:numFmt w:val="decimal"/>
      <w:lvlText w:val="%1."/>
      <w:lvlJc w:val="left"/>
      <w:pPr>
        <w:tabs>
          <w:tab w:val="left" w:pos="312"/>
        </w:tabs>
      </w:pPr>
    </w:lvl>
  </w:abstractNum>
  <w:abstractNum w:abstractNumId="3">
    <w:nsid w:val="F8DC577D"/>
    <w:multiLevelType w:val="singleLevel"/>
    <w:tmpl w:val="F8DC577D"/>
    <w:lvl w:ilvl="0" w:tentative="0">
      <w:start w:val="4"/>
      <w:numFmt w:val="chineseCounting"/>
      <w:suff w:val="nothing"/>
      <w:lvlText w:val="%1、"/>
      <w:lvlJc w:val="left"/>
      <w:rPr>
        <w:rFonts w:hint="eastAsia"/>
      </w:rPr>
    </w:lvl>
  </w:abstractNum>
  <w:abstractNum w:abstractNumId="4">
    <w:nsid w:val="3472384D"/>
    <w:multiLevelType w:val="multilevel"/>
    <w:tmpl w:val="347238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AF30A6"/>
    <w:multiLevelType w:val="multilevel"/>
    <w:tmpl w:val="35AF30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ZmRmYjllMWI3YTg5NDljMjYyNzE5OTE5MTM3Yj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815"/>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D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03F3"/>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2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5F388A"/>
    <w:rsid w:val="026B2E25"/>
    <w:rsid w:val="02824D4D"/>
    <w:rsid w:val="02DC4B10"/>
    <w:rsid w:val="02DD76CE"/>
    <w:rsid w:val="02ED4929"/>
    <w:rsid w:val="02F36323"/>
    <w:rsid w:val="02F5619C"/>
    <w:rsid w:val="0326446A"/>
    <w:rsid w:val="032A1043"/>
    <w:rsid w:val="032D5555"/>
    <w:rsid w:val="036634D2"/>
    <w:rsid w:val="0398212A"/>
    <w:rsid w:val="03B024B8"/>
    <w:rsid w:val="03BA365B"/>
    <w:rsid w:val="03DD35E4"/>
    <w:rsid w:val="03E41A33"/>
    <w:rsid w:val="04076900"/>
    <w:rsid w:val="041A5A3B"/>
    <w:rsid w:val="042311BA"/>
    <w:rsid w:val="042B157A"/>
    <w:rsid w:val="04387EA8"/>
    <w:rsid w:val="046E7B7D"/>
    <w:rsid w:val="048F763B"/>
    <w:rsid w:val="049F330E"/>
    <w:rsid w:val="04AA775C"/>
    <w:rsid w:val="04AF1889"/>
    <w:rsid w:val="04C42FDE"/>
    <w:rsid w:val="04F66F48"/>
    <w:rsid w:val="05251E14"/>
    <w:rsid w:val="05A16594"/>
    <w:rsid w:val="05A7762D"/>
    <w:rsid w:val="05AE20A0"/>
    <w:rsid w:val="060E5941"/>
    <w:rsid w:val="06110FAF"/>
    <w:rsid w:val="06380871"/>
    <w:rsid w:val="06493CA7"/>
    <w:rsid w:val="064D533B"/>
    <w:rsid w:val="065A6178"/>
    <w:rsid w:val="066F1CF3"/>
    <w:rsid w:val="06930BB8"/>
    <w:rsid w:val="06A04B8B"/>
    <w:rsid w:val="07245D42"/>
    <w:rsid w:val="07264C62"/>
    <w:rsid w:val="076B2508"/>
    <w:rsid w:val="0779354C"/>
    <w:rsid w:val="078B22FB"/>
    <w:rsid w:val="07E32B27"/>
    <w:rsid w:val="08061376"/>
    <w:rsid w:val="08452D77"/>
    <w:rsid w:val="086401F8"/>
    <w:rsid w:val="08751CAA"/>
    <w:rsid w:val="087E4C40"/>
    <w:rsid w:val="08A871D0"/>
    <w:rsid w:val="08B550AD"/>
    <w:rsid w:val="08D66AD6"/>
    <w:rsid w:val="08DA33A3"/>
    <w:rsid w:val="08E80F13"/>
    <w:rsid w:val="09335624"/>
    <w:rsid w:val="09401BA0"/>
    <w:rsid w:val="0944690F"/>
    <w:rsid w:val="09535675"/>
    <w:rsid w:val="095F057D"/>
    <w:rsid w:val="09642282"/>
    <w:rsid w:val="096D3EFD"/>
    <w:rsid w:val="09733572"/>
    <w:rsid w:val="09772C16"/>
    <w:rsid w:val="098353B5"/>
    <w:rsid w:val="09A92330"/>
    <w:rsid w:val="09AC2E40"/>
    <w:rsid w:val="09B06B87"/>
    <w:rsid w:val="09C13146"/>
    <w:rsid w:val="09E04166"/>
    <w:rsid w:val="0A1C0718"/>
    <w:rsid w:val="0A1E3055"/>
    <w:rsid w:val="0A1F7DCE"/>
    <w:rsid w:val="0A3E7710"/>
    <w:rsid w:val="0A5B7E63"/>
    <w:rsid w:val="0AA374A5"/>
    <w:rsid w:val="0AAB7649"/>
    <w:rsid w:val="0ABC5606"/>
    <w:rsid w:val="0B30404E"/>
    <w:rsid w:val="0B3F7726"/>
    <w:rsid w:val="0B4C6C14"/>
    <w:rsid w:val="0B547599"/>
    <w:rsid w:val="0B582F87"/>
    <w:rsid w:val="0B631A88"/>
    <w:rsid w:val="0B683D45"/>
    <w:rsid w:val="0B7F3F11"/>
    <w:rsid w:val="0B884417"/>
    <w:rsid w:val="0BE2331A"/>
    <w:rsid w:val="0BF6188C"/>
    <w:rsid w:val="0BF73C91"/>
    <w:rsid w:val="0C170175"/>
    <w:rsid w:val="0C4F132D"/>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3E4562"/>
    <w:rsid w:val="0E5604B2"/>
    <w:rsid w:val="0E6D5D79"/>
    <w:rsid w:val="0E9D0089"/>
    <w:rsid w:val="0EB14B2C"/>
    <w:rsid w:val="0EB803EE"/>
    <w:rsid w:val="0ECD7558"/>
    <w:rsid w:val="0ECF3AB3"/>
    <w:rsid w:val="0EF94D4B"/>
    <w:rsid w:val="0F225FFD"/>
    <w:rsid w:val="0F4958DC"/>
    <w:rsid w:val="0F515DF7"/>
    <w:rsid w:val="0F544B86"/>
    <w:rsid w:val="0F596BA8"/>
    <w:rsid w:val="0F6248D2"/>
    <w:rsid w:val="0F693536"/>
    <w:rsid w:val="0F7B0511"/>
    <w:rsid w:val="0F7B76D9"/>
    <w:rsid w:val="0F816ACD"/>
    <w:rsid w:val="0F9832DB"/>
    <w:rsid w:val="0FBF3FD2"/>
    <w:rsid w:val="0FBF7FF3"/>
    <w:rsid w:val="10646583"/>
    <w:rsid w:val="107D4B15"/>
    <w:rsid w:val="108A3C80"/>
    <w:rsid w:val="10C0060A"/>
    <w:rsid w:val="10C26171"/>
    <w:rsid w:val="10F33360"/>
    <w:rsid w:val="10FC16EA"/>
    <w:rsid w:val="110F1D40"/>
    <w:rsid w:val="11266F33"/>
    <w:rsid w:val="118963A1"/>
    <w:rsid w:val="11A04D7E"/>
    <w:rsid w:val="11BF7EE8"/>
    <w:rsid w:val="11C6522A"/>
    <w:rsid w:val="11DD2A76"/>
    <w:rsid w:val="11E104CC"/>
    <w:rsid w:val="11E20309"/>
    <w:rsid w:val="12255233"/>
    <w:rsid w:val="12530213"/>
    <w:rsid w:val="127723A9"/>
    <w:rsid w:val="12862074"/>
    <w:rsid w:val="12883966"/>
    <w:rsid w:val="129E45B4"/>
    <w:rsid w:val="12D81596"/>
    <w:rsid w:val="13072A44"/>
    <w:rsid w:val="130D1BB6"/>
    <w:rsid w:val="130D1D7A"/>
    <w:rsid w:val="135F4BE2"/>
    <w:rsid w:val="139B1A0A"/>
    <w:rsid w:val="139D25C7"/>
    <w:rsid w:val="139F2DD2"/>
    <w:rsid w:val="13BF3CE4"/>
    <w:rsid w:val="14031DA7"/>
    <w:rsid w:val="141008D8"/>
    <w:rsid w:val="14125FE6"/>
    <w:rsid w:val="14647A07"/>
    <w:rsid w:val="146D271E"/>
    <w:rsid w:val="14982588"/>
    <w:rsid w:val="149A5AD9"/>
    <w:rsid w:val="14A7619D"/>
    <w:rsid w:val="14EA104F"/>
    <w:rsid w:val="150536C3"/>
    <w:rsid w:val="150C1963"/>
    <w:rsid w:val="151447A0"/>
    <w:rsid w:val="154A6454"/>
    <w:rsid w:val="15762120"/>
    <w:rsid w:val="15926C0E"/>
    <w:rsid w:val="15ED7C1A"/>
    <w:rsid w:val="15FF4C81"/>
    <w:rsid w:val="16A8729C"/>
    <w:rsid w:val="16B33777"/>
    <w:rsid w:val="16BC70A7"/>
    <w:rsid w:val="16C6339E"/>
    <w:rsid w:val="16D17208"/>
    <w:rsid w:val="171414D6"/>
    <w:rsid w:val="172F2D79"/>
    <w:rsid w:val="17557BEF"/>
    <w:rsid w:val="176872E3"/>
    <w:rsid w:val="17D349C1"/>
    <w:rsid w:val="1830729E"/>
    <w:rsid w:val="1870062C"/>
    <w:rsid w:val="187650CA"/>
    <w:rsid w:val="18801C85"/>
    <w:rsid w:val="18817102"/>
    <w:rsid w:val="18830A15"/>
    <w:rsid w:val="18852B28"/>
    <w:rsid w:val="188B5321"/>
    <w:rsid w:val="18C03544"/>
    <w:rsid w:val="19932372"/>
    <w:rsid w:val="19A20DD5"/>
    <w:rsid w:val="19AE03F1"/>
    <w:rsid w:val="19F60100"/>
    <w:rsid w:val="1A027DA2"/>
    <w:rsid w:val="1A071A03"/>
    <w:rsid w:val="1A1F16AE"/>
    <w:rsid w:val="1A3B5C77"/>
    <w:rsid w:val="1A984BAD"/>
    <w:rsid w:val="1AB8220E"/>
    <w:rsid w:val="1AC873E2"/>
    <w:rsid w:val="1AD53A66"/>
    <w:rsid w:val="1AD96558"/>
    <w:rsid w:val="1AE4166C"/>
    <w:rsid w:val="1AF06CFB"/>
    <w:rsid w:val="1AF11B8D"/>
    <w:rsid w:val="1B11359C"/>
    <w:rsid w:val="1B2A217A"/>
    <w:rsid w:val="1B2A271F"/>
    <w:rsid w:val="1B530544"/>
    <w:rsid w:val="1B713184"/>
    <w:rsid w:val="1BA013E4"/>
    <w:rsid w:val="1BA209CF"/>
    <w:rsid w:val="1BB13D28"/>
    <w:rsid w:val="1BB4777D"/>
    <w:rsid w:val="1BD75AB8"/>
    <w:rsid w:val="1BE753BD"/>
    <w:rsid w:val="1C0459C2"/>
    <w:rsid w:val="1C1B3B4A"/>
    <w:rsid w:val="1C88086E"/>
    <w:rsid w:val="1C8B617A"/>
    <w:rsid w:val="1C8C317E"/>
    <w:rsid w:val="1CF25673"/>
    <w:rsid w:val="1D266CE1"/>
    <w:rsid w:val="1D34223E"/>
    <w:rsid w:val="1D3963AF"/>
    <w:rsid w:val="1D3D7C4D"/>
    <w:rsid w:val="1D6A673C"/>
    <w:rsid w:val="1D9247AE"/>
    <w:rsid w:val="1DB567EC"/>
    <w:rsid w:val="1DD40180"/>
    <w:rsid w:val="1DF51A98"/>
    <w:rsid w:val="1E02599B"/>
    <w:rsid w:val="1E04324C"/>
    <w:rsid w:val="1E1A3944"/>
    <w:rsid w:val="1E3D060F"/>
    <w:rsid w:val="1E3F7D2E"/>
    <w:rsid w:val="1E4134E4"/>
    <w:rsid w:val="1E5062B3"/>
    <w:rsid w:val="1E523514"/>
    <w:rsid w:val="1E714A66"/>
    <w:rsid w:val="1E802593"/>
    <w:rsid w:val="1E8B6156"/>
    <w:rsid w:val="1E9642BD"/>
    <w:rsid w:val="1EA703CC"/>
    <w:rsid w:val="1EB7330C"/>
    <w:rsid w:val="1EC61CE4"/>
    <w:rsid w:val="1EE241F9"/>
    <w:rsid w:val="1F0271FB"/>
    <w:rsid w:val="1F0A0FF3"/>
    <w:rsid w:val="1F1862E0"/>
    <w:rsid w:val="1F32168E"/>
    <w:rsid w:val="1F5771FF"/>
    <w:rsid w:val="1F7761F1"/>
    <w:rsid w:val="1FD52DD5"/>
    <w:rsid w:val="1FE868A9"/>
    <w:rsid w:val="20034907"/>
    <w:rsid w:val="20173E4B"/>
    <w:rsid w:val="204E48BC"/>
    <w:rsid w:val="208921B3"/>
    <w:rsid w:val="20973DEB"/>
    <w:rsid w:val="20B26522"/>
    <w:rsid w:val="20B44310"/>
    <w:rsid w:val="20FD2D5C"/>
    <w:rsid w:val="211116EB"/>
    <w:rsid w:val="212D6803"/>
    <w:rsid w:val="21300ADF"/>
    <w:rsid w:val="215E679A"/>
    <w:rsid w:val="216133FC"/>
    <w:rsid w:val="21C30312"/>
    <w:rsid w:val="21D56769"/>
    <w:rsid w:val="21E52EF3"/>
    <w:rsid w:val="21FB5D7B"/>
    <w:rsid w:val="22015E94"/>
    <w:rsid w:val="2208666C"/>
    <w:rsid w:val="220B1C3D"/>
    <w:rsid w:val="221D1D20"/>
    <w:rsid w:val="22334A87"/>
    <w:rsid w:val="223D6DA5"/>
    <w:rsid w:val="228D361D"/>
    <w:rsid w:val="22BE6801"/>
    <w:rsid w:val="22D85EB8"/>
    <w:rsid w:val="22EA5B1F"/>
    <w:rsid w:val="233500BF"/>
    <w:rsid w:val="23377FF7"/>
    <w:rsid w:val="236B425F"/>
    <w:rsid w:val="23836192"/>
    <w:rsid w:val="23857832"/>
    <w:rsid w:val="23901F29"/>
    <w:rsid w:val="239C0061"/>
    <w:rsid w:val="23B908A4"/>
    <w:rsid w:val="23E95BEF"/>
    <w:rsid w:val="23FD0064"/>
    <w:rsid w:val="241A6481"/>
    <w:rsid w:val="245375B0"/>
    <w:rsid w:val="24642C0A"/>
    <w:rsid w:val="246758CC"/>
    <w:rsid w:val="24B22173"/>
    <w:rsid w:val="24B95AD9"/>
    <w:rsid w:val="24BE24DA"/>
    <w:rsid w:val="24CF5825"/>
    <w:rsid w:val="24D663E6"/>
    <w:rsid w:val="24D77F2B"/>
    <w:rsid w:val="250A64A0"/>
    <w:rsid w:val="258B00E2"/>
    <w:rsid w:val="25A917A6"/>
    <w:rsid w:val="25BE27CC"/>
    <w:rsid w:val="25E929CB"/>
    <w:rsid w:val="25F74A5C"/>
    <w:rsid w:val="2628662C"/>
    <w:rsid w:val="262D45DE"/>
    <w:rsid w:val="265D00EF"/>
    <w:rsid w:val="26871DC8"/>
    <w:rsid w:val="26A53EF9"/>
    <w:rsid w:val="26A94201"/>
    <w:rsid w:val="26AC274F"/>
    <w:rsid w:val="26EE56C6"/>
    <w:rsid w:val="26F01B5B"/>
    <w:rsid w:val="27044A29"/>
    <w:rsid w:val="2709648F"/>
    <w:rsid w:val="271D34C8"/>
    <w:rsid w:val="27432DFA"/>
    <w:rsid w:val="276142BF"/>
    <w:rsid w:val="276A0314"/>
    <w:rsid w:val="27783712"/>
    <w:rsid w:val="27907362"/>
    <w:rsid w:val="27A44741"/>
    <w:rsid w:val="27F80E39"/>
    <w:rsid w:val="282D4E4D"/>
    <w:rsid w:val="28333E1D"/>
    <w:rsid w:val="28454BD6"/>
    <w:rsid w:val="28455253"/>
    <w:rsid w:val="28551971"/>
    <w:rsid w:val="285B1C53"/>
    <w:rsid w:val="289F7086"/>
    <w:rsid w:val="28C32028"/>
    <w:rsid w:val="28CC490F"/>
    <w:rsid w:val="28DE40AA"/>
    <w:rsid w:val="29345E77"/>
    <w:rsid w:val="294C65AD"/>
    <w:rsid w:val="29806583"/>
    <w:rsid w:val="298B3C4C"/>
    <w:rsid w:val="29B34495"/>
    <w:rsid w:val="29DB1BF4"/>
    <w:rsid w:val="29F26D24"/>
    <w:rsid w:val="2A015401"/>
    <w:rsid w:val="2A15033F"/>
    <w:rsid w:val="2A1662C1"/>
    <w:rsid w:val="2A1C7367"/>
    <w:rsid w:val="2A2815FA"/>
    <w:rsid w:val="2A385C74"/>
    <w:rsid w:val="2A5002AB"/>
    <w:rsid w:val="2A6D6092"/>
    <w:rsid w:val="2A7D76B4"/>
    <w:rsid w:val="2B437463"/>
    <w:rsid w:val="2B475678"/>
    <w:rsid w:val="2B7807EE"/>
    <w:rsid w:val="2BA50BF7"/>
    <w:rsid w:val="2BBF00EC"/>
    <w:rsid w:val="2BC37CFD"/>
    <w:rsid w:val="2BC414EB"/>
    <w:rsid w:val="2BD5237F"/>
    <w:rsid w:val="2BE536CE"/>
    <w:rsid w:val="2BE758D9"/>
    <w:rsid w:val="2BFE3CB2"/>
    <w:rsid w:val="2C09049E"/>
    <w:rsid w:val="2C0A653C"/>
    <w:rsid w:val="2C191F85"/>
    <w:rsid w:val="2C835E6C"/>
    <w:rsid w:val="2C974E26"/>
    <w:rsid w:val="2CE82D6F"/>
    <w:rsid w:val="2D0B48EB"/>
    <w:rsid w:val="2D3015D7"/>
    <w:rsid w:val="2D343236"/>
    <w:rsid w:val="2D3D6F98"/>
    <w:rsid w:val="2DB925F5"/>
    <w:rsid w:val="2DD15014"/>
    <w:rsid w:val="2DE95751"/>
    <w:rsid w:val="2DF72DE4"/>
    <w:rsid w:val="2E0220AF"/>
    <w:rsid w:val="2E4B082A"/>
    <w:rsid w:val="2E5D4E86"/>
    <w:rsid w:val="2E5D790B"/>
    <w:rsid w:val="2E9A3C18"/>
    <w:rsid w:val="2EBB0FEE"/>
    <w:rsid w:val="2EC63002"/>
    <w:rsid w:val="2ED17999"/>
    <w:rsid w:val="2F0A6B38"/>
    <w:rsid w:val="2F1A5A56"/>
    <w:rsid w:val="2F1D0383"/>
    <w:rsid w:val="2F6446E6"/>
    <w:rsid w:val="2F72594D"/>
    <w:rsid w:val="2F7D6EF5"/>
    <w:rsid w:val="2F946CCB"/>
    <w:rsid w:val="2FD25781"/>
    <w:rsid w:val="2FDC745C"/>
    <w:rsid w:val="2FF676D8"/>
    <w:rsid w:val="2FFD7934"/>
    <w:rsid w:val="306A5204"/>
    <w:rsid w:val="30733ACD"/>
    <w:rsid w:val="308C3862"/>
    <w:rsid w:val="309379D8"/>
    <w:rsid w:val="30A270F7"/>
    <w:rsid w:val="30DF1478"/>
    <w:rsid w:val="30EC586F"/>
    <w:rsid w:val="311E1FCA"/>
    <w:rsid w:val="314550B7"/>
    <w:rsid w:val="318A1295"/>
    <w:rsid w:val="319C6071"/>
    <w:rsid w:val="31AC537E"/>
    <w:rsid w:val="31C75B74"/>
    <w:rsid w:val="31E3679B"/>
    <w:rsid w:val="31E732FD"/>
    <w:rsid w:val="32517576"/>
    <w:rsid w:val="328E5596"/>
    <w:rsid w:val="32BE5C2C"/>
    <w:rsid w:val="32FB6478"/>
    <w:rsid w:val="33194AB9"/>
    <w:rsid w:val="33263B3F"/>
    <w:rsid w:val="332F6941"/>
    <w:rsid w:val="336963EB"/>
    <w:rsid w:val="336A5838"/>
    <w:rsid w:val="33816EEB"/>
    <w:rsid w:val="33984010"/>
    <w:rsid w:val="33E97D25"/>
    <w:rsid w:val="33EB55CD"/>
    <w:rsid w:val="33EC4C02"/>
    <w:rsid w:val="340D2360"/>
    <w:rsid w:val="3410665D"/>
    <w:rsid w:val="341B06B3"/>
    <w:rsid w:val="34211214"/>
    <w:rsid w:val="342E63AB"/>
    <w:rsid w:val="34950E68"/>
    <w:rsid w:val="34986E94"/>
    <w:rsid w:val="34AF62C9"/>
    <w:rsid w:val="34B45226"/>
    <w:rsid w:val="34CB4388"/>
    <w:rsid w:val="34FA6E12"/>
    <w:rsid w:val="354D7158"/>
    <w:rsid w:val="355C665B"/>
    <w:rsid w:val="35721391"/>
    <w:rsid w:val="358D5588"/>
    <w:rsid w:val="363A3B40"/>
    <w:rsid w:val="364000C3"/>
    <w:rsid w:val="365302AE"/>
    <w:rsid w:val="36607A0A"/>
    <w:rsid w:val="366E227C"/>
    <w:rsid w:val="366E25F0"/>
    <w:rsid w:val="366F2E0D"/>
    <w:rsid w:val="367B6A5C"/>
    <w:rsid w:val="36A74ADA"/>
    <w:rsid w:val="36AD60D5"/>
    <w:rsid w:val="36B224F9"/>
    <w:rsid w:val="36EC0CC9"/>
    <w:rsid w:val="373F410B"/>
    <w:rsid w:val="373F6442"/>
    <w:rsid w:val="37B63C1C"/>
    <w:rsid w:val="37EE4E6A"/>
    <w:rsid w:val="37EE7094"/>
    <w:rsid w:val="38296C89"/>
    <w:rsid w:val="383002EB"/>
    <w:rsid w:val="38586797"/>
    <w:rsid w:val="38936601"/>
    <w:rsid w:val="38B140EA"/>
    <w:rsid w:val="38BC0149"/>
    <w:rsid w:val="38D87D1C"/>
    <w:rsid w:val="395466CF"/>
    <w:rsid w:val="39636459"/>
    <w:rsid w:val="3963760F"/>
    <w:rsid w:val="396B7F6C"/>
    <w:rsid w:val="399D77A2"/>
    <w:rsid w:val="39B417A9"/>
    <w:rsid w:val="39E8760E"/>
    <w:rsid w:val="39F20325"/>
    <w:rsid w:val="39FC5695"/>
    <w:rsid w:val="3A006D8E"/>
    <w:rsid w:val="3A3651E5"/>
    <w:rsid w:val="3A4C2C68"/>
    <w:rsid w:val="3A744481"/>
    <w:rsid w:val="3A8C7BEF"/>
    <w:rsid w:val="3A906246"/>
    <w:rsid w:val="3B136A74"/>
    <w:rsid w:val="3B1A2538"/>
    <w:rsid w:val="3B2349B7"/>
    <w:rsid w:val="3B616CFF"/>
    <w:rsid w:val="3B6259F6"/>
    <w:rsid w:val="3B976654"/>
    <w:rsid w:val="3BC01EFC"/>
    <w:rsid w:val="3BCA786A"/>
    <w:rsid w:val="3BD31E2F"/>
    <w:rsid w:val="3BF07939"/>
    <w:rsid w:val="3BF15831"/>
    <w:rsid w:val="3C105946"/>
    <w:rsid w:val="3C471448"/>
    <w:rsid w:val="3C5F759A"/>
    <w:rsid w:val="3C6C525A"/>
    <w:rsid w:val="3CCE23CB"/>
    <w:rsid w:val="3CD17D17"/>
    <w:rsid w:val="3CF87E5E"/>
    <w:rsid w:val="3D3C7F39"/>
    <w:rsid w:val="3D440F09"/>
    <w:rsid w:val="3D4504A0"/>
    <w:rsid w:val="3D8734BB"/>
    <w:rsid w:val="3D8F1791"/>
    <w:rsid w:val="3D9A11D4"/>
    <w:rsid w:val="3DA16D89"/>
    <w:rsid w:val="3DA364BE"/>
    <w:rsid w:val="3DE041CB"/>
    <w:rsid w:val="3DEE5F53"/>
    <w:rsid w:val="3E0D48F6"/>
    <w:rsid w:val="3E0F346A"/>
    <w:rsid w:val="3E1868B4"/>
    <w:rsid w:val="3E377251"/>
    <w:rsid w:val="3E42664B"/>
    <w:rsid w:val="3E481343"/>
    <w:rsid w:val="3E5A7334"/>
    <w:rsid w:val="3E7B5D6B"/>
    <w:rsid w:val="3E843E66"/>
    <w:rsid w:val="3E8F51FE"/>
    <w:rsid w:val="3E926F87"/>
    <w:rsid w:val="3E9A59DE"/>
    <w:rsid w:val="3EA10078"/>
    <w:rsid w:val="3EAF4836"/>
    <w:rsid w:val="3EC33DFA"/>
    <w:rsid w:val="3F060E16"/>
    <w:rsid w:val="3F192D2C"/>
    <w:rsid w:val="3F1D1096"/>
    <w:rsid w:val="3F2F0234"/>
    <w:rsid w:val="3F6363FE"/>
    <w:rsid w:val="3F756B8F"/>
    <w:rsid w:val="3F95482B"/>
    <w:rsid w:val="3FC27B53"/>
    <w:rsid w:val="4019356B"/>
    <w:rsid w:val="404B49C3"/>
    <w:rsid w:val="40592157"/>
    <w:rsid w:val="406E1CAE"/>
    <w:rsid w:val="40A0133A"/>
    <w:rsid w:val="40AF5E62"/>
    <w:rsid w:val="40C31A53"/>
    <w:rsid w:val="40FF545D"/>
    <w:rsid w:val="410067C8"/>
    <w:rsid w:val="41410E54"/>
    <w:rsid w:val="41817EC7"/>
    <w:rsid w:val="418F0D2A"/>
    <w:rsid w:val="419B0E8C"/>
    <w:rsid w:val="41D01505"/>
    <w:rsid w:val="41DE06F1"/>
    <w:rsid w:val="423229B8"/>
    <w:rsid w:val="42474939"/>
    <w:rsid w:val="424C3C57"/>
    <w:rsid w:val="42613FF3"/>
    <w:rsid w:val="42660D96"/>
    <w:rsid w:val="428667D2"/>
    <w:rsid w:val="42CD1CE0"/>
    <w:rsid w:val="42E1381E"/>
    <w:rsid w:val="42ED6459"/>
    <w:rsid w:val="42F0679A"/>
    <w:rsid w:val="42FE58DD"/>
    <w:rsid w:val="43174B3D"/>
    <w:rsid w:val="431D774E"/>
    <w:rsid w:val="434B790E"/>
    <w:rsid w:val="4360274F"/>
    <w:rsid w:val="438324EF"/>
    <w:rsid w:val="43977AB6"/>
    <w:rsid w:val="43A3342B"/>
    <w:rsid w:val="43C77C27"/>
    <w:rsid w:val="43DE09EE"/>
    <w:rsid w:val="44002FAD"/>
    <w:rsid w:val="44406D3F"/>
    <w:rsid w:val="449101DD"/>
    <w:rsid w:val="44DE1391"/>
    <w:rsid w:val="451B225C"/>
    <w:rsid w:val="452410C9"/>
    <w:rsid w:val="45317DFB"/>
    <w:rsid w:val="456D3CE4"/>
    <w:rsid w:val="45783434"/>
    <w:rsid w:val="4579042C"/>
    <w:rsid w:val="457F0571"/>
    <w:rsid w:val="45851176"/>
    <w:rsid w:val="45C63B94"/>
    <w:rsid w:val="460E7DA5"/>
    <w:rsid w:val="46422483"/>
    <w:rsid w:val="4659254A"/>
    <w:rsid w:val="465B0637"/>
    <w:rsid w:val="465E3F0D"/>
    <w:rsid w:val="466A16E6"/>
    <w:rsid w:val="46893F2B"/>
    <w:rsid w:val="46AF79F9"/>
    <w:rsid w:val="46C4686E"/>
    <w:rsid w:val="473B437E"/>
    <w:rsid w:val="477B778F"/>
    <w:rsid w:val="478203EC"/>
    <w:rsid w:val="47B025FA"/>
    <w:rsid w:val="4809698F"/>
    <w:rsid w:val="4811697D"/>
    <w:rsid w:val="481D53D0"/>
    <w:rsid w:val="483C664E"/>
    <w:rsid w:val="4875679A"/>
    <w:rsid w:val="487A3E25"/>
    <w:rsid w:val="488B5503"/>
    <w:rsid w:val="48937E21"/>
    <w:rsid w:val="489A0361"/>
    <w:rsid w:val="48AB707A"/>
    <w:rsid w:val="48B94FF3"/>
    <w:rsid w:val="48E37AAB"/>
    <w:rsid w:val="48FD4B4C"/>
    <w:rsid w:val="490A68E0"/>
    <w:rsid w:val="491055FE"/>
    <w:rsid w:val="4924528A"/>
    <w:rsid w:val="495F5B3E"/>
    <w:rsid w:val="496F77D7"/>
    <w:rsid w:val="49734E7D"/>
    <w:rsid w:val="497654FD"/>
    <w:rsid w:val="49A455B6"/>
    <w:rsid w:val="49B64211"/>
    <w:rsid w:val="49E56AF9"/>
    <w:rsid w:val="49F0368B"/>
    <w:rsid w:val="49F6167F"/>
    <w:rsid w:val="4A064FA0"/>
    <w:rsid w:val="4A16615C"/>
    <w:rsid w:val="4A4424D7"/>
    <w:rsid w:val="4A463AC2"/>
    <w:rsid w:val="4A7E52E5"/>
    <w:rsid w:val="4A893EE6"/>
    <w:rsid w:val="4AB82D0F"/>
    <w:rsid w:val="4ACB6250"/>
    <w:rsid w:val="4AE67F1D"/>
    <w:rsid w:val="4AEB7664"/>
    <w:rsid w:val="4AFD7C19"/>
    <w:rsid w:val="4B0567D1"/>
    <w:rsid w:val="4B236AAE"/>
    <w:rsid w:val="4B707271"/>
    <w:rsid w:val="4B9739F7"/>
    <w:rsid w:val="4BB50BC4"/>
    <w:rsid w:val="4BEE2503"/>
    <w:rsid w:val="4C19550A"/>
    <w:rsid w:val="4C245A30"/>
    <w:rsid w:val="4C8D15D8"/>
    <w:rsid w:val="4CB6685F"/>
    <w:rsid w:val="4CC367FE"/>
    <w:rsid w:val="4CD95142"/>
    <w:rsid w:val="4D077F3C"/>
    <w:rsid w:val="4D0C42BE"/>
    <w:rsid w:val="4D123355"/>
    <w:rsid w:val="4D2A3B31"/>
    <w:rsid w:val="4D312C52"/>
    <w:rsid w:val="4D5E2FC0"/>
    <w:rsid w:val="4D905305"/>
    <w:rsid w:val="4D964A72"/>
    <w:rsid w:val="4D9C1254"/>
    <w:rsid w:val="4E697333"/>
    <w:rsid w:val="4E793892"/>
    <w:rsid w:val="4E800872"/>
    <w:rsid w:val="4E8C1402"/>
    <w:rsid w:val="4EA00746"/>
    <w:rsid w:val="4EC569ED"/>
    <w:rsid w:val="4ED50EA1"/>
    <w:rsid w:val="4ED817CF"/>
    <w:rsid w:val="4EEC050C"/>
    <w:rsid w:val="4F104EC3"/>
    <w:rsid w:val="4F2A5F90"/>
    <w:rsid w:val="4F47354A"/>
    <w:rsid w:val="4F7E3B05"/>
    <w:rsid w:val="4F911C54"/>
    <w:rsid w:val="4FE625E0"/>
    <w:rsid w:val="4FED5402"/>
    <w:rsid w:val="4FF10310"/>
    <w:rsid w:val="4FF52BAA"/>
    <w:rsid w:val="500B71A4"/>
    <w:rsid w:val="5021480F"/>
    <w:rsid w:val="50740CF9"/>
    <w:rsid w:val="507C328E"/>
    <w:rsid w:val="50962ECB"/>
    <w:rsid w:val="50A42E38"/>
    <w:rsid w:val="50A4577F"/>
    <w:rsid w:val="50B73D1F"/>
    <w:rsid w:val="50BD5BC9"/>
    <w:rsid w:val="50C11EEE"/>
    <w:rsid w:val="50E97CFC"/>
    <w:rsid w:val="50FA4028"/>
    <w:rsid w:val="510D65B7"/>
    <w:rsid w:val="511157AB"/>
    <w:rsid w:val="5142540C"/>
    <w:rsid w:val="518832C8"/>
    <w:rsid w:val="51944027"/>
    <w:rsid w:val="519D3C50"/>
    <w:rsid w:val="51A0432A"/>
    <w:rsid w:val="51A86090"/>
    <w:rsid w:val="51B7396D"/>
    <w:rsid w:val="51CB489B"/>
    <w:rsid w:val="521215D8"/>
    <w:rsid w:val="52270592"/>
    <w:rsid w:val="522E4CC3"/>
    <w:rsid w:val="5244713B"/>
    <w:rsid w:val="52615633"/>
    <w:rsid w:val="526D7CA2"/>
    <w:rsid w:val="526F4DE4"/>
    <w:rsid w:val="52944479"/>
    <w:rsid w:val="52977FD4"/>
    <w:rsid w:val="52A25790"/>
    <w:rsid w:val="52A96B6F"/>
    <w:rsid w:val="52B45975"/>
    <w:rsid w:val="52D94AA4"/>
    <w:rsid w:val="52EA3A62"/>
    <w:rsid w:val="52F50BB8"/>
    <w:rsid w:val="53097272"/>
    <w:rsid w:val="53544462"/>
    <w:rsid w:val="53904970"/>
    <w:rsid w:val="5397158E"/>
    <w:rsid w:val="53990C1F"/>
    <w:rsid w:val="53FA34BA"/>
    <w:rsid w:val="54013861"/>
    <w:rsid w:val="542D5D29"/>
    <w:rsid w:val="542E6958"/>
    <w:rsid w:val="543C0C79"/>
    <w:rsid w:val="54487265"/>
    <w:rsid w:val="544D6070"/>
    <w:rsid w:val="54605E1E"/>
    <w:rsid w:val="546A2608"/>
    <w:rsid w:val="54A44DCE"/>
    <w:rsid w:val="54B3506A"/>
    <w:rsid w:val="54CA0D16"/>
    <w:rsid w:val="54DD4057"/>
    <w:rsid w:val="54E7490F"/>
    <w:rsid w:val="550764A4"/>
    <w:rsid w:val="550B2BF6"/>
    <w:rsid w:val="55214EB5"/>
    <w:rsid w:val="55364EFD"/>
    <w:rsid w:val="555D4828"/>
    <w:rsid w:val="557A4C8B"/>
    <w:rsid w:val="557D7E0C"/>
    <w:rsid w:val="558931E1"/>
    <w:rsid w:val="55923347"/>
    <w:rsid w:val="55925180"/>
    <w:rsid w:val="55983B1B"/>
    <w:rsid w:val="55A8376B"/>
    <w:rsid w:val="55B73B71"/>
    <w:rsid w:val="55C62F77"/>
    <w:rsid w:val="55DC29B6"/>
    <w:rsid w:val="55DD4241"/>
    <w:rsid w:val="56365413"/>
    <w:rsid w:val="565432B3"/>
    <w:rsid w:val="566B6D1E"/>
    <w:rsid w:val="56856D59"/>
    <w:rsid w:val="57032A2C"/>
    <w:rsid w:val="570F5219"/>
    <w:rsid w:val="57421F9C"/>
    <w:rsid w:val="575D12B5"/>
    <w:rsid w:val="57610A87"/>
    <w:rsid w:val="577B1140"/>
    <w:rsid w:val="577B7F21"/>
    <w:rsid w:val="577F181B"/>
    <w:rsid w:val="57921984"/>
    <w:rsid w:val="579737F0"/>
    <w:rsid w:val="57AB7B30"/>
    <w:rsid w:val="57AF5251"/>
    <w:rsid w:val="57B26373"/>
    <w:rsid w:val="57B63F04"/>
    <w:rsid w:val="57CD20C2"/>
    <w:rsid w:val="57D675AB"/>
    <w:rsid w:val="57D95FDD"/>
    <w:rsid w:val="587C1217"/>
    <w:rsid w:val="58917D2F"/>
    <w:rsid w:val="5894085C"/>
    <w:rsid w:val="58AE4F0C"/>
    <w:rsid w:val="58B85899"/>
    <w:rsid w:val="58E363A9"/>
    <w:rsid w:val="58FA5DED"/>
    <w:rsid w:val="59387FC9"/>
    <w:rsid w:val="5955110A"/>
    <w:rsid w:val="595E1678"/>
    <w:rsid w:val="59622AE1"/>
    <w:rsid w:val="596D5BD4"/>
    <w:rsid w:val="597E3DD8"/>
    <w:rsid w:val="59F80043"/>
    <w:rsid w:val="5A09252F"/>
    <w:rsid w:val="5A0B2778"/>
    <w:rsid w:val="5A0B6BA5"/>
    <w:rsid w:val="5A2A7C7B"/>
    <w:rsid w:val="5A3E2560"/>
    <w:rsid w:val="5A4E03B9"/>
    <w:rsid w:val="5A566598"/>
    <w:rsid w:val="5A5D3B6E"/>
    <w:rsid w:val="5A637A76"/>
    <w:rsid w:val="5A6D33BA"/>
    <w:rsid w:val="5A792B1F"/>
    <w:rsid w:val="5A874767"/>
    <w:rsid w:val="5AA8315C"/>
    <w:rsid w:val="5AA85BE2"/>
    <w:rsid w:val="5AAD6F28"/>
    <w:rsid w:val="5AB10D16"/>
    <w:rsid w:val="5ABA7BFC"/>
    <w:rsid w:val="5AC4691D"/>
    <w:rsid w:val="5AD63A24"/>
    <w:rsid w:val="5B2E1A1D"/>
    <w:rsid w:val="5B843A1C"/>
    <w:rsid w:val="5B873E3F"/>
    <w:rsid w:val="5C02690E"/>
    <w:rsid w:val="5C196DA7"/>
    <w:rsid w:val="5C2A048C"/>
    <w:rsid w:val="5C4A6129"/>
    <w:rsid w:val="5C4F135F"/>
    <w:rsid w:val="5C7F0CFE"/>
    <w:rsid w:val="5C80234E"/>
    <w:rsid w:val="5C8A680C"/>
    <w:rsid w:val="5CBA0400"/>
    <w:rsid w:val="5CC2781D"/>
    <w:rsid w:val="5CD22236"/>
    <w:rsid w:val="5D0C4701"/>
    <w:rsid w:val="5D0F0395"/>
    <w:rsid w:val="5D221076"/>
    <w:rsid w:val="5D397964"/>
    <w:rsid w:val="5D5A391C"/>
    <w:rsid w:val="5D5F10C0"/>
    <w:rsid w:val="5D891B7B"/>
    <w:rsid w:val="5DAD38EE"/>
    <w:rsid w:val="5DC44938"/>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153F0"/>
    <w:rsid w:val="5FFE1E36"/>
    <w:rsid w:val="60150B9A"/>
    <w:rsid w:val="60232584"/>
    <w:rsid w:val="607330CE"/>
    <w:rsid w:val="60825176"/>
    <w:rsid w:val="609F2AC4"/>
    <w:rsid w:val="60A07495"/>
    <w:rsid w:val="60FA2EE8"/>
    <w:rsid w:val="61054A27"/>
    <w:rsid w:val="610A52BC"/>
    <w:rsid w:val="611D2366"/>
    <w:rsid w:val="61421856"/>
    <w:rsid w:val="615227C4"/>
    <w:rsid w:val="61654E3F"/>
    <w:rsid w:val="6182292A"/>
    <w:rsid w:val="619F7F92"/>
    <w:rsid w:val="61A94127"/>
    <w:rsid w:val="61F94C26"/>
    <w:rsid w:val="62000E56"/>
    <w:rsid w:val="624F3E49"/>
    <w:rsid w:val="625C58C6"/>
    <w:rsid w:val="62632286"/>
    <w:rsid w:val="62885958"/>
    <w:rsid w:val="62B92B4D"/>
    <w:rsid w:val="62F40B65"/>
    <w:rsid w:val="62FC2CFE"/>
    <w:rsid w:val="63024505"/>
    <w:rsid w:val="63355430"/>
    <w:rsid w:val="635600A5"/>
    <w:rsid w:val="635B1DB5"/>
    <w:rsid w:val="63711FED"/>
    <w:rsid w:val="637649C5"/>
    <w:rsid w:val="637D5DAF"/>
    <w:rsid w:val="63880DDC"/>
    <w:rsid w:val="638D750D"/>
    <w:rsid w:val="63AC6CC0"/>
    <w:rsid w:val="64055776"/>
    <w:rsid w:val="641734A5"/>
    <w:rsid w:val="64240056"/>
    <w:rsid w:val="643E143A"/>
    <w:rsid w:val="643F0D73"/>
    <w:rsid w:val="64491666"/>
    <w:rsid w:val="648B6EEF"/>
    <w:rsid w:val="64AC0F89"/>
    <w:rsid w:val="64C158BF"/>
    <w:rsid w:val="64CE2EAA"/>
    <w:rsid w:val="65123D2A"/>
    <w:rsid w:val="653C3090"/>
    <w:rsid w:val="657A5DA3"/>
    <w:rsid w:val="65854376"/>
    <w:rsid w:val="658767BE"/>
    <w:rsid w:val="65882DCF"/>
    <w:rsid w:val="65892531"/>
    <w:rsid w:val="65DB4D70"/>
    <w:rsid w:val="65E70F67"/>
    <w:rsid w:val="66195831"/>
    <w:rsid w:val="662E75B1"/>
    <w:rsid w:val="66342C2E"/>
    <w:rsid w:val="663E784C"/>
    <w:rsid w:val="665D000C"/>
    <w:rsid w:val="668B6A45"/>
    <w:rsid w:val="66B1634A"/>
    <w:rsid w:val="67011F07"/>
    <w:rsid w:val="67066774"/>
    <w:rsid w:val="672F3F24"/>
    <w:rsid w:val="673E055F"/>
    <w:rsid w:val="67551CE3"/>
    <w:rsid w:val="675B29A9"/>
    <w:rsid w:val="67A22552"/>
    <w:rsid w:val="67B22DCC"/>
    <w:rsid w:val="67BE71AA"/>
    <w:rsid w:val="67D90273"/>
    <w:rsid w:val="67DE5875"/>
    <w:rsid w:val="67E55852"/>
    <w:rsid w:val="67EB1AB4"/>
    <w:rsid w:val="67FA1285"/>
    <w:rsid w:val="68132720"/>
    <w:rsid w:val="682324A9"/>
    <w:rsid w:val="68480CB8"/>
    <w:rsid w:val="68551F4F"/>
    <w:rsid w:val="6868111E"/>
    <w:rsid w:val="687100D9"/>
    <w:rsid w:val="687C10C9"/>
    <w:rsid w:val="68840C16"/>
    <w:rsid w:val="68872541"/>
    <w:rsid w:val="68876EFB"/>
    <w:rsid w:val="68884654"/>
    <w:rsid w:val="689F444F"/>
    <w:rsid w:val="68B96DBB"/>
    <w:rsid w:val="68C161FA"/>
    <w:rsid w:val="68CA2805"/>
    <w:rsid w:val="68E937A3"/>
    <w:rsid w:val="68EB0ED6"/>
    <w:rsid w:val="691664E5"/>
    <w:rsid w:val="69342E70"/>
    <w:rsid w:val="693E15D3"/>
    <w:rsid w:val="69627681"/>
    <w:rsid w:val="6977531D"/>
    <w:rsid w:val="69CC2BFF"/>
    <w:rsid w:val="69FD55B8"/>
    <w:rsid w:val="6A0B1C62"/>
    <w:rsid w:val="6A2406C8"/>
    <w:rsid w:val="6A742471"/>
    <w:rsid w:val="6ADE0BD1"/>
    <w:rsid w:val="6AE96859"/>
    <w:rsid w:val="6B147746"/>
    <w:rsid w:val="6B1D6879"/>
    <w:rsid w:val="6B24787C"/>
    <w:rsid w:val="6B40098D"/>
    <w:rsid w:val="6B573233"/>
    <w:rsid w:val="6B5B6274"/>
    <w:rsid w:val="6B935D53"/>
    <w:rsid w:val="6BEA55F0"/>
    <w:rsid w:val="6BEE02A6"/>
    <w:rsid w:val="6BF0165A"/>
    <w:rsid w:val="6C196F71"/>
    <w:rsid w:val="6C226FCB"/>
    <w:rsid w:val="6C2F2B09"/>
    <w:rsid w:val="6C31226F"/>
    <w:rsid w:val="6C552F0B"/>
    <w:rsid w:val="6C7964CA"/>
    <w:rsid w:val="6C8B40D0"/>
    <w:rsid w:val="6C8C67B7"/>
    <w:rsid w:val="6C9D744C"/>
    <w:rsid w:val="6D0A37D9"/>
    <w:rsid w:val="6D167928"/>
    <w:rsid w:val="6D26299B"/>
    <w:rsid w:val="6D2D3E2F"/>
    <w:rsid w:val="6D316241"/>
    <w:rsid w:val="6D4772EC"/>
    <w:rsid w:val="6D9078AF"/>
    <w:rsid w:val="6DAA3FEF"/>
    <w:rsid w:val="6DAA75C3"/>
    <w:rsid w:val="6DC0172B"/>
    <w:rsid w:val="6DCB690C"/>
    <w:rsid w:val="6DD41A5B"/>
    <w:rsid w:val="6DF43C2E"/>
    <w:rsid w:val="6DF51CA3"/>
    <w:rsid w:val="6E8335BD"/>
    <w:rsid w:val="6E8E12EF"/>
    <w:rsid w:val="6E972936"/>
    <w:rsid w:val="6E97570D"/>
    <w:rsid w:val="6E9D193C"/>
    <w:rsid w:val="6ED446C5"/>
    <w:rsid w:val="6F2A7D94"/>
    <w:rsid w:val="6F5B58E3"/>
    <w:rsid w:val="6F8331F1"/>
    <w:rsid w:val="6FAE1A09"/>
    <w:rsid w:val="6FD75BF8"/>
    <w:rsid w:val="6FED7CEB"/>
    <w:rsid w:val="7058027F"/>
    <w:rsid w:val="707723D0"/>
    <w:rsid w:val="707E07AB"/>
    <w:rsid w:val="70F5661B"/>
    <w:rsid w:val="71360107"/>
    <w:rsid w:val="713B688E"/>
    <w:rsid w:val="71BD61D2"/>
    <w:rsid w:val="71C22401"/>
    <w:rsid w:val="71D43752"/>
    <w:rsid w:val="71F1796A"/>
    <w:rsid w:val="720A1713"/>
    <w:rsid w:val="72154626"/>
    <w:rsid w:val="72262B5D"/>
    <w:rsid w:val="72283FF7"/>
    <w:rsid w:val="722E7212"/>
    <w:rsid w:val="723A0474"/>
    <w:rsid w:val="725923E4"/>
    <w:rsid w:val="72864BF7"/>
    <w:rsid w:val="729023FC"/>
    <w:rsid w:val="72AB79C6"/>
    <w:rsid w:val="72CC5BD6"/>
    <w:rsid w:val="731534B1"/>
    <w:rsid w:val="73656558"/>
    <w:rsid w:val="73C0646E"/>
    <w:rsid w:val="73C47B24"/>
    <w:rsid w:val="742222F5"/>
    <w:rsid w:val="74476126"/>
    <w:rsid w:val="745E5840"/>
    <w:rsid w:val="74706664"/>
    <w:rsid w:val="747F3682"/>
    <w:rsid w:val="749C4185"/>
    <w:rsid w:val="75067759"/>
    <w:rsid w:val="752E6DCD"/>
    <w:rsid w:val="75372B45"/>
    <w:rsid w:val="7551380D"/>
    <w:rsid w:val="75600BE5"/>
    <w:rsid w:val="7564475C"/>
    <w:rsid w:val="7583797F"/>
    <w:rsid w:val="75917CED"/>
    <w:rsid w:val="75CD5F0B"/>
    <w:rsid w:val="75D20F1D"/>
    <w:rsid w:val="75DA2C18"/>
    <w:rsid w:val="75F54412"/>
    <w:rsid w:val="761B5537"/>
    <w:rsid w:val="761D08E0"/>
    <w:rsid w:val="765D347C"/>
    <w:rsid w:val="76826699"/>
    <w:rsid w:val="76967C6D"/>
    <w:rsid w:val="76C0074B"/>
    <w:rsid w:val="76C5235F"/>
    <w:rsid w:val="76C87133"/>
    <w:rsid w:val="76CD08D5"/>
    <w:rsid w:val="76DB4B92"/>
    <w:rsid w:val="76FD013A"/>
    <w:rsid w:val="77052AA4"/>
    <w:rsid w:val="77136511"/>
    <w:rsid w:val="77340A39"/>
    <w:rsid w:val="77351FD0"/>
    <w:rsid w:val="77375D74"/>
    <w:rsid w:val="77472422"/>
    <w:rsid w:val="77493ED3"/>
    <w:rsid w:val="7750356B"/>
    <w:rsid w:val="777F31F2"/>
    <w:rsid w:val="777F364F"/>
    <w:rsid w:val="7785787E"/>
    <w:rsid w:val="7796031C"/>
    <w:rsid w:val="77D1700D"/>
    <w:rsid w:val="77EC04CC"/>
    <w:rsid w:val="77EF1633"/>
    <w:rsid w:val="78775729"/>
    <w:rsid w:val="78981D74"/>
    <w:rsid w:val="78A42DB0"/>
    <w:rsid w:val="78A656AB"/>
    <w:rsid w:val="78B2245C"/>
    <w:rsid w:val="78E068EC"/>
    <w:rsid w:val="78E172CC"/>
    <w:rsid w:val="78EA1D1F"/>
    <w:rsid w:val="78F72076"/>
    <w:rsid w:val="7904172F"/>
    <w:rsid w:val="790F7E27"/>
    <w:rsid w:val="792A231A"/>
    <w:rsid w:val="79316829"/>
    <w:rsid w:val="793D3346"/>
    <w:rsid w:val="794C645A"/>
    <w:rsid w:val="797E66A9"/>
    <w:rsid w:val="798518A4"/>
    <w:rsid w:val="79893713"/>
    <w:rsid w:val="79A47660"/>
    <w:rsid w:val="79A97383"/>
    <w:rsid w:val="79E27E8B"/>
    <w:rsid w:val="79F850CE"/>
    <w:rsid w:val="79FD443C"/>
    <w:rsid w:val="7A1D1975"/>
    <w:rsid w:val="7A3E5150"/>
    <w:rsid w:val="7A4670D6"/>
    <w:rsid w:val="7A534B63"/>
    <w:rsid w:val="7A537953"/>
    <w:rsid w:val="7A615382"/>
    <w:rsid w:val="7A67303B"/>
    <w:rsid w:val="7AAB1D04"/>
    <w:rsid w:val="7ABA4368"/>
    <w:rsid w:val="7AD05746"/>
    <w:rsid w:val="7B257FFD"/>
    <w:rsid w:val="7B273D20"/>
    <w:rsid w:val="7B343476"/>
    <w:rsid w:val="7B47340A"/>
    <w:rsid w:val="7B5A2978"/>
    <w:rsid w:val="7B5A7E4C"/>
    <w:rsid w:val="7B667AF9"/>
    <w:rsid w:val="7B6A569E"/>
    <w:rsid w:val="7B7468F8"/>
    <w:rsid w:val="7B9D26BC"/>
    <w:rsid w:val="7BEE0103"/>
    <w:rsid w:val="7C0A0FE4"/>
    <w:rsid w:val="7C254906"/>
    <w:rsid w:val="7C590818"/>
    <w:rsid w:val="7C666AC1"/>
    <w:rsid w:val="7C7C10F6"/>
    <w:rsid w:val="7C853BEA"/>
    <w:rsid w:val="7C881368"/>
    <w:rsid w:val="7C9E2682"/>
    <w:rsid w:val="7CE27788"/>
    <w:rsid w:val="7CEB0AB6"/>
    <w:rsid w:val="7D0C32F1"/>
    <w:rsid w:val="7D0F408D"/>
    <w:rsid w:val="7D491C6C"/>
    <w:rsid w:val="7D5429C0"/>
    <w:rsid w:val="7D556349"/>
    <w:rsid w:val="7D5F4D26"/>
    <w:rsid w:val="7D6E6D43"/>
    <w:rsid w:val="7DB57A34"/>
    <w:rsid w:val="7DE0456D"/>
    <w:rsid w:val="7DE60973"/>
    <w:rsid w:val="7DEF0916"/>
    <w:rsid w:val="7E1E5218"/>
    <w:rsid w:val="7E9A4E1F"/>
    <w:rsid w:val="7EA7723A"/>
    <w:rsid w:val="7EF56FBB"/>
    <w:rsid w:val="7F0768EB"/>
    <w:rsid w:val="7F143BEC"/>
    <w:rsid w:val="7F192E0E"/>
    <w:rsid w:val="7F256C43"/>
    <w:rsid w:val="7F715AF2"/>
    <w:rsid w:val="7F770242"/>
    <w:rsid w:val="7F886E69"/>
    <w:rsid w:val="7FEA49B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21"/>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27"/>
    <w:link w:val="265"/>
    <w:qFormat/>
    <w:uiPriority w:val="0"/>
    <w:pPr>
      <w:spacing w:line="480" w:lineRule="exact"/>
      <w:ind w:firstLine="480" w:firstLineChars="200"/>
    </w:pPr>
    <w:rPr>
      <w:rFonts w:ascii="宋体" w:hAnsi="宋体"/>
      <w:sz w:val="24"/>
    </w:rPr>
  </w:style>
  <w:style w:type="paragraph" w:styleId="27">
    <w:name w:val="Body Text First Indent 2"/>
    <w:basedOn w:val="26"/>
    <w:next w:val="1"/>
    <w:link w:val="121"/>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1"/>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0"/>
    <w:rPr>
      <w:lang w:val="zh-CN"/>
    </w:rPr>
  </w:style>
  <w:style w:type="paragraph" w:styleId="41">
    <w:name w:val="Balloon Text"/>
    <w:basedOn w:val="1"/>
    <w:link w:val="188"/>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310"/>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Indent1"/>
    <w:basedOn w:val="1"/>
    <w:qFormat/>
    <w:uiPriority w:val="0"/>
    <w:pPr>
      <w:ind w:firstLine="420" w:firstLineChars="200"/>
    </w:pPr>
  </w:style>
  <w:style w:type="paragraph" w:customStyle="1" w:styleId="80">
    <w:name w:val="正文文本首行缩进 21"/>
    <w:basedOn w:val="26"/>
    <w:qFormat/>
    <w:uiPriority w:val="99"/>
    <w:pPr>
      <w:spacing w:line="200" w:lineRule="atLeast"/>
      <w:ind w:firstLine="420"/>
    </w:pPr>
    <w:rPr>
      <w:rFonts w:hAnsi="Courier New"/>
      <w:spacing w:val="-4"/>
      <w:sz w:val="18"/>
      <w:szCs w:val="18"/>
    </w:rPr>
  </w:style>
  <w:style w:type="paragraph" w:customStyle="1" w:styleId="81">
    <w:name w:val="正文文本首行缩进 2"/>
    <w:basedOn w:val="26"/>
    <w:qFormat/>
    <w:uiPriority w:val="99"/>
    <w:pPr>
      <w:spacing w:line="200" w:lineRule="atLeast"/>
      <w:ind w:firstLine="420"/>
    </w:pPr>
    <w:rPr>
      <w:rFonts w:ascii="宋体" w:hAnsi="Courier New"/>
      <w:spacing w:val="-4"/>
      <w:sz w:val="18"/>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7"/>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9"/>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2"/>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8"/>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1"/>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2"/>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8"/>
    <w:qFormat/>
    <w:uiPriority w:val="0"/>
    <w:rPr>
      <w:rFonts w:ascii="黑体" w:hAnsi="Courier New" w:eastAsia="黑体"/>
    </w:rPr>
  </w:style>
  <w:style w:type="character" w:customStyle="1" w:styleId="302">
    <w:name w:val="正文文本 2 Char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9"/>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4"/>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99"/>
    <w:rPr>
      <w:kern w:val="2"/>
      <w:sz w:val="21"/>
      <w:szCs w:val="24"/>
    </w:rPr>
  </w:style>
  <w:style w:type="character" w:customStyle="1" w:styleId="345">
    <w:name w:val="签名 Char"/>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 Spacing1"/>
    <w:qFormat/>
    <w:uiPriority w:val="0"/>
    <w:rPr>
      <w:rFonts w:ascii="Times New Roman" w:hAnsi="Times New Roman" w:eastAsia="??" w:cs="宋体"/>
      <w:sz w:val="22"/>
      <w:szCs w:val="22"/>
      <w:lang w:val="en-US" w:eastAsia="en-US" w:bidi="ar-SA"/>
    </w:rPr>
  </w:style>
  <w:style w:type="character" w:customStyle="1" w:styleId="966">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100</Pages>
  <Words>52720</Words>
  <Characters>56102</Characters>
  <Lines>281</Lines>
  <Paragraphs>79</Paragraphs>
  <TotalTime>3</TotalTime>
  <ScaleCrop>false</ScaleCrop>
  <LinksUpToDate>false</LinksUpToDate>
  <CharactersWithSpaces>61624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AAAAA</cp:lastModifiedBy>
  <cp:lastPrinted>2023-04-18T02:12:00Z</cp:lastPrinted>
  <dcterms:modified xsi:type="dcterms:W3CDTF">2023-04-21T07:18:54Z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E7FF3CC42527424EB552465B1FAB20AB_13</vt:lpwstr>
  </property>
</Properties>
</file>