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乔司街道安保服务采购项目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SQZFCG-2023-014</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：杭州市临平区人民政府乔司街道办事处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：杭州盛乔工程咨询有限公司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三</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四</w:t>
      </w:r>
      <w:r>
        <w:rPr>
          <w:rFonts w:hint="eastAsia" w:ascii="仿宋" w:hAnsi="仿宋" w:eastAsia="仿宋" w:cs="仿宋"/>
          <w:b w:val="0"/>
          <w:bCs w:val="0"/>
          <w:color w:val="auto"/>
          <w:sz w:val="32"/>
          <w:szCs w:val="32"/>
          <w:highlight w:val="none"/>
        </w:rPr>
        <w:t>月</w:t>
      </w:r>
    </w:p>
    <w:p>
      <w:pPr>
        <w:pStyle w:val="636"/>
        <w:rPr>
          <w:color w:val="auto"/>
          <w:highlight w:val="none"/>
        </w:rPr>
      </w:pP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649545"/>
      <w:bookmarkEnd w:id="3"/>
      <w:bookmarkStart w:id="4" w:name="_Hlt74728647"/>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lang w:eastAsia="zh-CN"/>
        </w:rPr>
        <w:t>乔司街道安保服务采购项目招标项目的</w:t>
      </w:r>
      <w:r>
        <w:rPr>
          <w:rFonts w:hint="eastAsia" w:ascii="宋体" w:hAnsi="宋体" w:cs="宋体"/>
          <w:color w:val="auto"/>
          <w:sz w:val="24"/>
          <w:highlight w:val="none"/>
        </w:rPr>
        <w:t>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8"/>
          <w:rFonts w:hint="eastAsia" w:ascii="宋体" w:hAnsi="宋体" w:eastAsia="宋体" w:cs="宋体"/>
          <w:snapToGrid/>
          <w:color w:val="auto"/>
          <w:kern w:val="2"/>
          <w:sz w:val="24"/>
          <w:szCs w:val="24"/>
          <w:highlight w:val="none"/>
        </w:rPr>
        <w:t>https://www.zcygov.cn/）获取（下载）招标文件，并于202</w:t>
      </w:r>
      <w:r>
        <w:rPr>
          <w:rStyle w:val="78"/>
          <w:rFonts w:hint="eastAsia" w:ascii="宋体" w:hAnsi="宋体" w:cs="宋体"/>
          <w:snapToGrid/>
          <w:color w:val="auto"/>
          <w:kern w:val="2"/>
          <w:sz w:val="24"/>
          <w:szCs w:val="24"/>
          <w:highlight w:val="none"/>
          <w:lang w:val="en-US" w:eastAsia="zh-CN"/>
        </w:rPr>
        <w:t>3</w:t>
      </w:r>
      <w:r>
        <w:rPr>
          <w:rStyle w:val="78"/>
          <w:rFonts w:hint="eastAsia" w:ascii="宋体" w:hAnsi="宋体" w:eastAsia="宋体" w:cs="宋体"/>
          <w:snapToGrid/>
          <w:color w:val="auto"/>
          <w:kern w:val="2"/>
          <w:sz w:val="24"/>
          <w:szCs w:val="24"/>
          <w:highlight w:val="none"/>
        </w:rPr>
        <w:t>年</w:t>
      </w:r>
      <w:r>
        <w:rPr>
          <w:rStyle w:val="78"/>
          <w:rFonts w:hint="eastAsia" w:ascii="宋体" w:hAnsi="宋体" w:cs="宋体"/>
          <w:snapToGrid/>
          <w:color w:val="auto"/>
          <w:kern w:val="2"/>
          <w:sz w:val="24"/>
          <w:szCs w:val="24"/>
          <w:highlight w:val="none"/>
          <w:lang w:val="en-US" w:eastAsia="zh-CN"/>
        </w:rPr>
        <w:t>5</w:t>
      </w:r>
      <w:r>
        <w:rPr>
          <w:rStyle w:val="78"/>
          <w:rFonts w:hint="eastAsia" w:ascii="宋体" w:hAnsi="宋体" w:eastAsia="宋体" w:cs="宋体"/>
          <w:snapToGrid/>
          <w:color w:val="auto"/>
          <w:kern w:val="2"/>
          <w:sz w:val="24"/>
          <w:szCs w:val="24"/>
          <w:highlight w:val="none"/>
        </w:rPr>
        <w:t>月</w:t>
      </w:r>
      <w:r>
        <w:rPr>
          <w:rStyle w:val="78"/>
          <w:rFonts w:hint="eastAsia" w:ascii="宋体" w:hAnsi="宋体" w:cs="宋体"/>
          <w:snapToGrid/>
          <w:color w:val="auto"/>
          <w:kern w:val="2"/>
          <w:sz w:val="24"/>
          <w:szCs w:val="24"/>
          <w:highlight w:val="none"/>
          <w:lang w:val="en-US" w:eastAsia="zh-CN"/>
        </w:rPr>
        <w:t>19</w:t>
      </w:r>
      <w:r>
        <w:rPr>
          <w:rStyle w:val="78"/>
          <w:rFonts w:hint="eastAsia" w:ascii="宋体" w:hAnsi="宋体" w:eastAsia="宋体" w:cs="宋体"/>
          <w:snapToGrid/>
          <w:color w:val="auto"/>
          <w:kern w:val="2"/>
          <w:sz w:val="24"/>
          <w:szCs w:val="24"/>
          <w:highlight w:val="none"/>
        </w:rPr>
        <w:t>日</w:t>
      </w:r>
      <w:r>
        <w:rPr>
          <w:rStyle w:val="78"/>
          <w:rFonts w:hint="eastAsia" w:ascii="宋体" w:hAnsi="宋体" w:cs="宋体"/>
          <w:snapToGrid/>
          <w:color w:val="auto"/>
          <w:kern w:val="2"/>
          <w:sz w:val="24"/>
          <w:szCs w:val="24"/>
          <w:highlight w:val="none"/>
          <w:lang w:val="en-US" w:eastAsia="zh-CN"/>
        </w:rPr>
        <w:t>14</w:t>
      </w:r>
      <w:r>
        <w:rPr>
          <w:rStyle w:val="78"/>
          <w:rFonts w:hint="eastAsia" w:ascii="宋体" w:hAnsi="宋体" w:eastAsia="宋体" w:cs="宋体"/>
          <w:snapToGrid/>
          <w:color w:val="auto"/>
          <w:kern w:val="2"/>
          <w:sz w:val="24"/>
          <w:szCs w:val="24"/>
          <w:highlight w:val="none"/>
        </w:rPr>
        <w:t>点</w:t>
      </w:r>
      <w:r>
        <w:rPr>
          <w:rStyle w:val="78"/>
          <w:rFonts w:hint="eastAsia" w:ascii="宋体" w:hAnsi="宋体" w:cs="宋体"/>
          <w:snapToGrid/>
          <w:color w:val="auto"/>
          <w:kern w:val="2"/>
          <w:sz w:val="24"/>
          <w:szCs w:val="24"/>
          <w:highlight w:val="none"/>
          <w:lang w:val="en-US" w:eastAsia="zh-CN"/>
        </w:rPr>
        <w:t>00</w:t>
      </w:r>
      <w:r>
        <w:rPr>
          <w:rStyle w:val="78"/>
          <w:rFonts w:hint="eastAsia" w:ascii="宋体" w:hAnsi="宋体" w:eastAsia="宋体" w:cs="宋体"/>
          <w:snapToGrid/>
          <w:color w:val="auto"/>
          <w:kern w:val="2"/>
          <w:sz w:val="24"/>
          <w:szCs w:val="24"/>
          <w:highlight w:val="none"/>
        </w:rPr>
        <w:t>分</w:t>
      </w:r>
      <w:r>
        <w:rPr>
          <w:rStyle w:val="78"/>
          <w:rFonts w:hint="eastAsia" w:ascii="宋体" w:hAnsi="宋体" w:cs="宋体"/>
          <w:snapToGrid/>
          <w:color w:val="auto"/>
          <w:kern w:val="2"/>
          <w:sz w:val="24"/>
          <w:szCs w:val="24"/>
          <w:highlight w:val="none"/>
          <w:lang w:val="en-US" w:eastAsia="zh-CN"/>
        </w:rPr>
        <w:t>00</w:t>
      </w:r>
      <w:r>
        <w:rPr>
          <w:rStyle w:val="78"/>
          <w:rFonts w:hint="eastAsia" w:ascii="宋体" w:hAnsi="宋体" w:eastAsia="宋体" w:cs="宋体"/>
          <w:bCs/>
          <w:snapToGrid/>
          <w:color w:val="auto"/>
          <w:kern w:val="2"/>
          <w:sz w:val="24"/>
          <w:szCs w:val="24"/>
          <w:highlight w:val="none"/>
        </w:rPr>
        <w:t>秒</w:t>
      </w:r>
      <w:r>
        <w:rPr>
          <w:rStyle w:val="78"/>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ind w:firstLine="480"/>
        <w:rPr>
          <w:rFonts w:hint="eastAsia" w:ascii="宋体" w:hAnsi="宋体" w:cs="宋体"/>
          <w:b/>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SQZFCG-2023-014</w:t>
      </w:r>
      <w:r>
        <w:rPr>
          <w:rFonts w:hint="eastAsia" w:ascii="宋体" w:hAnsi="宋体" w:cs="宋体"/>
          <w:b/>
          <w:color w:val="auto"/>
          <w:sz w:val="24"/>
          <w:highlight w:val="none"/>
          <w:lang w:val="en-US" w:eastAsia="zh-CN"/>
        </w:rPr>
        <w:t xml:space="preserve">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乔司街道安保服务采购项目</w:t>
      </w:r>
    </w:p>
    <w:p>
      <w:pPr>
        <w:spacing w:line="360" w:lineRule="auto"/>
        <w:rPr>
          <w:rFonts w:hint="eastAsia" w:ascii="宋体" w:hAnsi="宋体" w:cs="宋体"/>
          <w:b/>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预算金额（元）：5700000 </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最高限价（元）：5700000</w:t>
      </w:r>
    </w:p>
    <w:p>
      <w:pPr>
        <w:pStyle w:val="6"/>
        <w:spacing w:line="360" w:lineRule="auto"/>
        <w:ind w:firstLine="480"/>
        <w:rPr>
          <w:rFonts w:hint="eastAsia" w:ascii="宋体" w:hAnsi="宋体" w:cs="宋体"/>
          <w:color w:val="auto"/>
          <w:sz w:val="24"/>
          <w:highlight w:val="none"/>
          <w:lang w:eastAsia="zh-CN"/>
        </w:rPr>
      </w:pPr>
      <w:r>
        <w:rPr>
          <w:rFonts w:hint="eastAsia" w:hAnsi="宋体" w:cs="宋体"/>
          <w:b/>
          <w:color w:val="auto"/>
          <w:sz w:val="24"/>
          <w:highlight w:val="none"/>
        </w:rPr>
        <w:t>采购需求：</w:t>
      </w:r>
      <w:r>
        <w:rPr>
          <w:rFonts w:hint="eastAsia" w:ascii="宋体" w:hAnsi="宋体" w:cs="宋体"/>
          <w:color w:val="auto"/>
          <w:sz w:val="24"/>
          <w:highlight w:val="none"/>
          <w:lang w:eastAsia="zh-CN"/>
        </w:rPr>
        <w:t>乔司街道安保服务采购项目</w:t>
      </w:r>
    </w:p>
    <w:p>
      <w:pPr>
        <w:pStyle w:val="6"/>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主要内容：</w:t>
      </w:r>
      <w:r>
        <w:rPr>
          <w:rFonts w:hint="eastAsia" w:cs="Times New Roman" w:asciiTheme="minorEastAsia" w:hAnsiTheme="minorEastAsia" w:eastAsiaTheme="minorEastAsia"/>
          <w:snapToGrid/>
          <w:color w:val="auto"/>
          <w:kern w:val="2"/>
          <w:sz w:val="24"/>
          <w:szCs w:val="24"/>
          <w:highlight w:val="none"/>
        </w:rPr>
        <w:t>主要为</w:t>
      </w:r>
      <w:r>
        <w:rPr>
          <w:rFonts w:hint="eastAsia" w:cs="Times New Roman" w:asciiTheme="minorEastAsia" w:hAnsiTheme="minorEastAsia" w:eastAsiaTheme="minorEastAsia"/>
          <w:snapToGrid/>
          <w:color w:val="auto"/>
          <w:kern w:val="2"/>
          <w:sz w:val="24"/>
          <w:szCs w:val="24"/>
          <w:highlight w:val="none"/>
          <w:lang w:val="en-US" w:eastAsia="zh-CN"/>
        </w:rPr>
        <w:t>乔司街道秩序维护</w:t>
      </w:r>
      <w:r>
        <w:rPr>
          <w:rFonts w:hint="eastAsia" w:hAnsi="宋体" w:cs="宋体"/>
          <w:bCs/>
          <w:snapToGrid/>
          <w:color w:val="auto"/>
          <w:kern w:val="2"/>
          <w:sz w:val="24"/>
          <w:szCs w:val="24"/>
          <w:highlight w:val="none"/>
          <w:lang w:eastAsia="zh-CN"/>
        </w:rPr>
        <w:t>安全服务项目</w:t>
      </w:r>
      <w:r>
        <w:rPr>
          <w:rFonts w:hint="eastAsia" w:cs="Times New Roman"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color w:val="auto"/>
          <w:highlight w:val="none"/>
          <w:lang w:val="en-US" w:eastAsia="zh-CN"/>
        </w:rPr>
        <w:t>一年</w:t>
      </w:r>
      <w:r>
        <w:rPr>
          <w:rFonts w:ascii="宋体" w:hAnsi="宋体" w:cs="宋体"/>
          <w:color w:val="auto"/>
          <w:highlight w:val="none"/>
        </w:rPr>
        <w:t xml:space="preserve"> </w:t>
      </w:r>
    </w:p>
    <w:p>
      <w:pPr>
        <w:pStyle w:val="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Style w:val="78"/>
          <w:rFonts w:hint="eastAsia" w:ascii="宋体" w:hAnsi="宋体" w:eastAsia="宋体" w:cs="宋体"/>
          <w:snapToGrid/>
          <w:color w:val="auto"/>
          <w:kern w:val="2"/>
          <w:sz w:val="24"/>
          <w:szCs w:val="24"/>
          <w:highlight w:val="none"/>
        </w:rPr>
        <w:t>202</w:t>
      </w:r>
      <w:r>
        <w:rPr>
          <w:rStyle w:val="78"/>
          <w:rFonts w:hint="eastAsia" w:ascii="宋体" w:hAnsi="宋体" w:cs="宋体"/>
          <w:snapToGrid/>
          <w:color w:val="auto"/>
          <w:kern w:val="2"/>
          <w:sz w:val="24"/>
          <w:szCs w:val="24"/>
          <w:highlight w:val="none"/>
          <w:lang w:val="en-US" w:eastAsia="zh-CN"/>
        </w:rPr>
        <w:t>3</w:t>
      </w:r>
      <w:r>
        <w:rPr>
          <w:rStyle w:val="78"/>
          <w:rFonts w:hint="eastAsia" w:ascii="宋体" w:hAnsi="宋体" w:eastAsia="宋体" w:cs="宋体"/>
          <w:snapToGrid/>
          <w:color w:val="auto"/>
          <w:kern w:val="2"/>
          <w:sz w:val="24"/>
          <w:szCs w:val="24"/>
          <w:highlight w:val="none"/>
        </w:rPr>
        <w:t>年</w:t>
      </w:r>
      <w:r>
        <w:rPr>
          <w:rStyle w:val="78"/>
          <w:rFonts w:hint="eastAsia" w:ascii="宋体" w:hAnsi="宋体" w:cs="宋体"/>
          <w:snapToGrid/>
          <w:color w:val="auto"/>
          <w:kern w:val="2"/>
          <w:sz w:val="24"/>
          <w:szCs w:val="24"/>
          <w:highlight w:val="none"/>
          <w:lang w:val="en-US" w:eastAsia="zh-CN"/>
        </w:rPr>
        <w:t>5</w:t>
      </w:r>
      <w:r>
        <w:rPr>
          <w:rStyle w:val="78"/>
          <w:rFonts w:hint="eastAsia" w:ascii="宋体" w:hAnsi="宋体" w:eastAsia="宋体" w:cs="宋体"/>
          <w:snapToGrid/>
          <w:color w:val="auto"/>
          <w:kern w:val="2"/>
          <w:sz w:val="24"/>
          <w:szCs w:val="24"/>
          <w:highlight w:val="none"/>
        </w:rPr>
        <w:t>月</w:t>
      </w:r>
      <w:r>
        <w:rPr>
          <w:rStyle w:val="78"/>
          <w:rFonts w:hint="eastAsia" w:ascii="宋体" w:hAnsi="宋体" w:cs="宋体"/>
          <w:snapToGrid/>
          <w:color w:val="auto"/>
          <w:kern w:val="2"/>
          <w:sz w:val="24"/>
          <w:szCs w:val="24"/>
          <w:highlight w:val="none"/>
          <w:lang w:val="en-US" w:eastAsia="zh-CN"/>
        </w:rPr>
        <w:t>19</w:t>
      </w:r>
      <w:r>
        <w:rPr>
          <w:rStyle w:val="78"/>
          <w:rFonts w:hint="eastAsia" w:ascii="宋体" w:hAnsi="宋体" w:eastAsia="宋体" w:cs="宋体"/>
          <w:snapToGrid/>
          <w:color w:val="auto"/>
          <w:kern w:val="2"/>
          <w:sz w:val="24"/>
          <w:szCs w:val="24"/>
          <w:highlight w:val="none"/>
        </w:rPr>
        <w:t>日</w:t>
      </w:r>
      <w:r>
        <w:rPr>
          <w:rStyle w:val="78"/>
          <w:rFonts w:hint="eastAsia" w:ascii="宋体" w:hAnsi="宋体" w:cs="宋体"/>
          <w:snapToGrid/>
          <w:color w:val="auto"/>
          <w:kern w:val="2"/>
          <w:sz w:val="24"/>
          <w:szCs w:val="24"/>
          <w:highlight w:val="none"/>
          <w:lang w:val="en-US" w:eastAsia="zh-CN"/>
        </w:rPr>
        <w:t>14</w:t>
      </w:r>
      <w:r>
        <w:rPr>
          <w:rStyle w:val="78"/>
          <w:rFonts w:hint="eastAsia" w:ascii="宋体" w:hAnsi="宋体" w:eastAsia="宋体" w:cs="宋体"/>
          <w:snapToGrid/>
          <w:color w:val="auto"/>
          <w:kern w:val="2"/>
          <w:sz w:val="24"/>
          <w:szCs w:val="24"/>
          <w:highlight w:val="none"/>
        </w:rPr>
        <w:t>点</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年 </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19</w:t>
      </w:r>
      <w:r>
        <w:rPr>
          <w:rFonts w:hint="eastAsia" w:ascii="宋体" w:hAnsi="宋体" w:cs="宋体"/>
          <w:color w:val="auto"/>
          <w:sz w:val="24"/>
          <w:highlight w:val="none"/>
          <w:u w:val="single"/>
        </w:rPr>
        <w:t xml:space="preserve">日 </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 xml:space="preserve">点 </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yellow"/>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年 </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杭州市临平区人民政府</w:t>
      </w:r>
      <w:r>
        <w:rPr>
          <w:rFonts w:hint="eastAsia" w:ascii="宋体" w:hAnsi="宋体" w:cs="宋体"/>
          <w:color w:val="auto"/>
          <w:sz w:val="24"/>
          <w:highlight w:val="none"/>
          <w:lang w:eastAsia="zh-CN"/>
        </w:rPr>
        <w:t>乔司</w:t>
      </w:r>
      <w:r>
        <w:rPr>
          <w:rFonts w:hint="eastAsia" w:ascii="宋体" w:hAnsi="宋体" w:eastAsia="宋体" w:cs="宋体"/>
          <w:color w:val="auto"/>
          <w:sz w:val="24"/>
          <w:highlight w:val="none"/>
          <w:lang w:eastAsia="zh-CN"/>
        </w:rPr>
        <w:t>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址：浙江省杭州市临平区</w:t>
      </w:r>
      <w:r>
        <w:rPr>
          <w:rFonts w:hint="eastAsia" w:ascii="宋体" w:hAnsi="宋体" w:cs="宋体"/>
          <w:color w:val="auto"/>
          <w:sz w:val="24"/>
          <w:highlight w:val="none"/>
          <w:lang w:eastAsia="zh-CN"/>
        </w:rPr>
        <w:t>乔井路</w:t>
      </w:r>
      <w:r>
        <w:rPr>
          <w:rFonts w:hint="eastAsia" w:ascii="宋体" w:hAnsi="宋体" w:cs="宋体"/>
          <w:color w:val="auto"/>
          <w:sz w:val="24"/>
          <w:highlight w:val="none"/>
          <w:lang w:val="en-US" w:eastAsia="zh-CN"/>
        </w:rPr>
        <w:t>268</w:t>
      </w:r>
      <w:r>
        <w:rPr>
          <w:rFonts w:hint="eastAsia" w:ascii="宋体" w:hAnsi="宋体" w:eastAsia="宋体" w:cs="宋体"/>
          <w:color w:val="auto"/>
          <w:sz w:val="24"/>
          <w:highlight w:val="none"/>
        </w:rPr>
        <w:t>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ascii="宋体" w:hAnsi="宋体" w:cs="宋体"/>
          <w:sz w:val="24"/>
        </w:rPr>
      </w:pPr>
      <w:r>
        <w:rPr>
          <w:rFonts w:hint="eastAsia" w:ascii="宋体" w:hAnsi="宋体" w:cs="宋体"/>
          <w:sz w:val="24"/>
        </w:rPr>
        <w:t>项目联系人（询问）：倪国建</w:t>
      </w:r>
    </w:p>
    <w:p>
      <w:pPr>
        <w:spacing w:line="360" w:lineRule="auto"/>
        <w:ind w:firstLine="480"/>
        <w:rPr>
          <w:rFonts w:ascii="宋体" w:hAnsi="宋体" w:cs="宋体"/>
          <w:sz w:val="24"/>
        </w:rPr>
      </w:pPr>
      <w:r>
        <w:rPr>
          <w:rFonts w:hint="eastAsia" w:ascii="宋体" w:hAnsi="宋体" w:cs="宋体"/>
          <w:sz w:val="24"/>
        </w:rPr>
        <w:t>项目联系方式（询问）：0571-86296138</w:t>
      </w:r>
    </w:p>
    <w:p>
      <w:pPr>
        <w:spacing w:line="360" w:lineRule="auto"/>
        <w:ind w:firstLine="480"/>
        <w:rPr>
          <w:rFonts w:ascii="宋体" w:hAnsi="宋体" w:cs="宋体"/>
          <w:sz w:val="24"/>
        </w:rPr>
      </w:pPr>
      <w:r>
        <w:rPr>
          <w:rFonts w:hint="eastAsia" w:ascii="宋体" w:hAnsi="宋体" w:cs="宋体"/>
          <w:sz w:val="24"/>
        </w:rPr>
        <w:t>质疑联系人：翁振泉</w:t>
      </w:r>
    </w:p>
    <w:p>
      <w:pPr>
        <w:spacing w:line="360" w:lineRule="auto"/>
        <w:ind w:firstLine="480"/>
        <w:rPr>
          <w:rFonts w:ascii="宋体" w:hAnsi="宋体" w:cs="宋体"/>
          <w:sz w:val="24"/>
        </w:rPr>
      </w:pPr>
      <w:r>
        <w:rPr>
          <w:rFonts w:hint="eastAsia" w:ascii="宋体" w:hAnsi="宋体" w:cs="宋体"/>
          <w:sz w:val="24"/>
        </w:rPr>
        <w:t>质疑联系方式：</w:t>
      </w:r>
      <w:r>
        <w:rPr>
          <w:rFonts w:ascii="宋体" w:hAnsi="宋体" w:cs="宋体"/>
          <w:sz w:val="24"/>
        </w:rPr>
        <w:t>0571-86296891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eastAsia="宋体" w:cs="宋体"/>
          <w:color w:val="auto"/>
          <w:sz w:val="24"/>
          <w:szCs w:val="24"/>
          <w:highlight w:val="none"/>
        </w:rPr>
        <w:t xml:space="preserve">2.采购代理机构信息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杭州盛乔工程咨询有限公司</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地址：临平区南苑街道红丰南路61-63室二楼 </w:t>
      </w:r>
    </w:p>
    <w:p>
      <w:pPr>
        <w:wordWrap/>
        <w:adjustRightInd w:val="0"/>
        <w:spacing w:line="600" w:lineRule="exact"/>
        <w:ind w:firstLine="48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传真：0571-86231818            </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项目联系人（询问）：吴工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项目联系方式（询问）：15968125059</w:t>
      </w:r>
    </w:p>
    <w:p>
      <w:pPr>
        <w:wordWrap/>
        <w:adjustRightInd w:val="0"/>
        <w:spacing w:line="600" w:lineRule="exact"/>
        <w:ind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质疑联系人：周工</w:t>
      </w:r>
    </w:p>
    <w:p>
      <w:pPr>
        <w:wordWrap/>
        <w:adjustRightInd w:val="0"/>
        <w:spacing w:line="600" w:lineRule="exact"/>
        <w:ind w:firstLine="48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质疑联系方式：0571-</w:t>
      </w:r>
      <w:r>
        <w:rPr>
          <w:rFonts w:hint="eastAsia" w:ascii="宋体" w:hAnsi="宋体" w:cs="宋体"/>
          <w:color w:val="auto"/>
          <w:sz w:val="24"/>
          <w:szCs w:val="24"/>
          <w:highlight w:val="none"/>
          <w:lang w:eastAsia="zh-CN"/>
        </w:rPr>
        <w:t xml:space="preserve">86231818 </w:t>
      </w:r>
    </w:p>
    <w:p>
      <w:pPr>
        <w:spacing w:line="360" w:lineRule="auto"/>
        <w:rPr>
          <w:rFonts w:ascii="宋体" w:hAnsi="宋体" w:cs="宋体"/>
          <w:color w:val="auto"/>
          <w:sz w:val="24"/>
          <w:highlight w:val="none"/>
        </w:rPr>
      </w:pP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名称：杭州市临平区财政局</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地址：杭州市临平区东湖中路236号财税大楼</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eastAsia="宋体" w:cs="宋体"/>
          <w:color w:val="auto"/>
          <w:sz w:val="24"/>
          <w:szCs w:val="24"/>
          <w:highlight w:val="none"/>
        </w:rPr>
        <w:t>0571-8918</w:t>
      </w:r>
      <w:r>
        <w:rPr>
          <w:rFonts w:hint="eastAsia" w:ascii="宋体" w:cs="宋体"/>
          <w:color w:val="auto"/>
          <w:sz w:val="24"/>
          <w:szCs w:val="24"/>
          <w:highlight w:val="none"/>
          <w:lang w:val="en-US" w:eastAsia="zh-CN"/>
        </w:rPr>
        <w:t>5312</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 ：俞征</w:t>
      </w:r>
    </w:p>
    <w:p>
      <w:pPr>
        <w:spacing w:line="360" w:lineRule="auto"/>
        <w:ind w:firstLine="480"/>
        <w:jc w:val="left"/>
        <w:rPr>
          <w:rFonts w:hint="eastAsia" w:ascii="宋体" w:hAnsi="宋体" w:cs="宋体"/>
          <w:color w:val="auto"/>
          <w:sz w:val="24"/>
          <w:highlight w:val="none"/>
          <w:lang w:val="en-US" w:eastAsia="zh-CN"/>
        </w:rPr>
      </w:pPr>
      <w:r>
        <w:rPr>
          <w:rFonts w:hint="eastAsia" w:ascii="宋体" w:hAnsi="宋体" w:eastAsia="宋体" w:cs="宋体"/>
          <w:color w:val="auto"/>
          <w:sz w:val="24"/>
          <w:szCs w:val="24"/>
          <w:highlight w:val="none"/>
        </w:rPr>
        <w:t>监督投诉电话：</w:t>
      </w:r>
      <w:r>
        <w:rPr>
          <w:rFonts w:hint="eastAsia" w:ascii="宋体" w:eastAsia="宋体" w:cs="宋体"/>
          <w:color w:val="auto"/>
          <w:sz w:val="24"/>
          <w:szCs w:val="24"/>
          <w:highlight w:val="none"/>
        </w:rPr>
        <w:t>0571-8918</w:t>
      </w:r>
      <w:r>
        <w:rPr>
          <w:rFonts w:hint="eastAsia" w:ascii="宋体" w:cs="宋体"/>
          <w:color w:val="auto"/>
          <w:sz w:val="24"/>
          <w:szCs w:val="24"/>
          <w:highlight w:val="none"/>
          <w:lang w:val="en-US" w:eastAsia="zh-CN"/>
        </w:rPr>
        <w:t>5312</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rPr>
                <w:rFonts w:ascii="宋体" w:hAnsi="宋体" w:eastAsia="宋体" w:cs="宋体"/>
                <w:color w:val="auto"/>
                <w:highlight w:val="none"/>
                <w:lang w:val="en-US"/>
              </w:rPr>
            </w:pPr>
            <w:r>
              <w:rPr>
                <w:rFonts w:hint="eastAsia" w:ascii="仿宋" w:hAnsi="仿宋" w:eastAsia="仿宋" w:cs="宋体"/>
                <w:b/>
                <w:bCs/>
                <w:color w:val="auto"/>
                <w:kern w:val="2"/>
                <w:sz w:val="24"/>
                <w:szCs w:val="20"/>
                <w:highlight w:val="none"/>
                <w:lang w:val="en-US" w:eastAsia="zh-CN" w:bidi="ar-SA"/>
              </w:rPr>
              <w:t>（1）标的：</w:t>
            </w:r>
            <w:r>
              <w:rPr>
                <w:rFonts w:hint="eastAsia" w:ascii="仿宋" w:hAnsi="仿宋" w:eastAsia="仿宋" w:cs="宋体"/>
                <w:b/>
                <w:color w:val="auto"/>
                <w:sz w:val="24"/>
                <w:szCs w:val="20"/>
                <w:highlight w:val="none"/>
                <w:lang w:val="en-US" w:eastAsia="zh-CN"/>
              </w:rPr>
              <w:t>乔司街道安保服务采购项目</w:t>
            </w:r>
            <w:r>
              <w:rPr>
                <w:rFonts w:hint="eastAsia" w:ascii="仿宋" w:hAnsi="仿宋" w:eastAsia="仿宋" w:cs="宋体"/>
                <w:b/>
                <w:color w:val="auto"/>
                <w:sz w:val="24"/>
                <w:szCs w:val="20"/>
                <w:highlight w:val="none"/>
                <w:lang w:val="en-US"/>
              </w:rPr>
              <w:t>，属于租赁和商务服务业</w:t>
            </w:r>
            <w:r>
              <w:rPr>
                <w:rFonts w:hint="eastAsia" w:ascii="仿宋" w:eastAsia="仿宋" w:cs="仿宋"/>
                <w:color w:val="auto"/>
                <w:kern w:val="0"/>
                <w:sz w:val="24"/>
                <w:highlight w:val="none"/>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b/>
                <w:bCs/>
                <w:color w:val="auto"/>
                <w:sz w:val="24"/>
                <w:szCs w:val="24"/>
                <w:highlight w:val="none"/>
              </w:rPr>
            </w:pPr>
            <w:r>
              <w:rPr>
                <w:rFonts w:hint="eastAsia"/>
                <w:b/>
                <w:bCs/>
                <w:color w:val="auto"/>
                <w:sz w:val="24"/>
                <w:szCs w:val="24"/>
                <w:highlight w:val="none"/>
              </w:rPr>
              <w:t>备份投标文件送达地点：临平区南苑街道红丰南路61-63室二楼（</w:t>
            </w:r>
            <w:r>
              <w:rPr>
                <w:rFonts w:hint="eastAsia"/>
                <w:b/>
                <w:bCs/>
                <w:color w:val="auto"/>
                <w:sz w:val="24"/>
                <w:szCs w:val="24"/>
                <w:highlight w:val="none"/>
                <w:lang w:val="en-US" w:eastAsia="zh-CN"/>
              </w:rPr>
              <w:t>吴工</w:t>
            </w:r>
            <w:r>
              <w:rPr>
                <w:rFonts w:hint="eastAsia"/>
                <w:b/>
                <w:bCs/>
                <w:color w:val="auto"/>
                <w:sz w:val="24"/>
                <w:szCs w:val="24"/>
                <w:highlight w:val="none"/>
              </w:rPr>
              <w:t>收）；备份投标文件签收人员联系电话：86231818 。</w:t>
            </w:r>
          </w:p>
          <w:p>
            <w:pPr>
              <w:pStyle w:val="34"/>
              <w:spacing w:line="360" w:lineRule="auto"/>
              <w:rPr>
                <w:rFonts w:hAnsi="宋体" w:cs="宋体"/>
                <w:color w:val="auto"/>
                <w:kern w:val="28"/>
                <w:sz w:val="24"/>
                <w:highlight w:val="none"/>
              </w:rPr>
            </w:pPr>
            <w:r>
              <w:rPr>
                <w:rFonts w:hint="eastAsia"/>
                <w:b/>
                <w:bCs/>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auto" w:sz="4" w:space="0"/>
              <w:left w:val="single" w:color="000000" w:sz="2"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cs="宋体"/>
                <w:color w:val="auto"/>
                <w:sz w:val="24"/>
                <w:highlight w:val="none"/>
              </w:rPr>
            </w:pPr>
            <w:r>
              <w:rPr>
                <w:rFonts w:hint="eastAsia"/>
                <w:color w:val="auto"/>
                <w:highlight w:val="none"/>
                <w:lang w:val="en-US" w:eastAsia="zh-CN"/>
              </w:rPr>
              <w:t>14</w:t>
            </w:r>
          </w:p>
        </w:tc>
        <w:tc>
          <w:tcPr>
            <w:tcW w:w="1843" w:type="dxa"/>
            <w:tcBorders>
              <w:top w:val="single" w:color="auto" w:sz="4" w:space="0"/>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ascii="仿宋" w:hAnsi="仿宋" w:eastAsia="仿宋" w:cs="宋体"/>
                <w:b/>
                <w:color w:val="auto"/>
                <w:sz w:val="24"/>
                <w:highlight w:val="none"/>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 xml:space="preserve">中标人在领取中标通知书时需向招标代理机构支付人民币   </w:t>
            </w:r>
            <w:r>
              <w:rPr>
                <w:rFonts w:hint="eastAsia" w:ascii="仿宋_GB2312" w:hAnsi="仿宋" w:eastAsia="仿宋_GB2312"/>
                <w:snapToGrid w:val="0"/>
                <w:color w:val="auto"/>
                <w:kern w:val="28"/>
                <w:sz w:val="24"/>
                <w:highlight w:val="none"/>
                <w:lang w:val="en-US" w:eastAsia="zh-CN"/>
              </w:rPr>
              <w:t>60000</w:t>
            </w:r>
            <w:r>
              <w:rPr>
                <w:rFonts w:hint="eastAsia" w:ascii="仿宋_GB2312" w:hAnsi="仿宋" w:eastAsia="仿宋_GB2312"/>
                <w:snapToGrid w:val="0"/>
                <w:color w:val="auto"/>
                <w:kern w:val="28"/>
                <w:sz w:val="24"/>
                <w:highlight w:val="none"/>
              </w:rPr>
              <w:t>元招标代理服务费，费用包含在总报价中，不单独列项报价。</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招标代理服务费的交纳方式：以转帐或支票的形式支付，开户行名称：浙江杭州余杭农村商业银行股份有限公司营业部；帐号：201000307172203；户名：</w:t>
            </w:r>
            <w:r>
              <w:rPr>
                <w:rFonts w:hint="eastAsia" w:ascii="仿宋_GB2312" w:hAnsi="仿宋" w:eastAsia="仿宋_GB2312"/>
                <w:snapToGrid w:val="0"/>
                <w:color w:val="auto"/>
                <w:kern w:val="28"/>
                <w:sz w:val="24"/>
                <w:highlight w:val="none"/>
                <w:lang w:eastAsia="zh-CN"/>
              </w:rPr>
              <w:t>杭州盛乔工程咨询有限公司</w:t>
            </w:r>
            <w:r>
              <w:rPr>
                <w:rFonts w:hint="eastAsia" w:ascii="仿宋_GB2312" w:hAnsi="仿宋" w:eastAsia="仿宋_GB2312"/>
                <w:snapToGrid w:val="0"/>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宋体" w:hAnsi="宋体" w:cs="宋体"/>
                <w:color w:val="auto"/>
                <w:sz w:val="24"/>
                <w:highlight w:val="none"/>
              </w:rPr>
            </w:pPr>
            <w:r>
              <w:rPr>
                <w:rFonts w:hint="eastAsia"/>
                <w:color w:val="auto"/>
                <w:highlight w:val="none"/>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仿宋_GB2312" w:hAnsi="仿宋" w:eastAsia="仿宋_GB2312"/>
                <w:b/>
                <w:snapToGrid w:val="0"/>
                <w:color w:val="auto"/>
                <w:kern w:val="28"/>
                <w:sz w:val="24"/>
                <w:highlight w:val="none"/>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leftChars="0" w:right="0" w:rightChars="0"/>
              <w:jc w:val="center"/>
              <w:rPr>
                <w:rFonts w:hint="eastAsia"/>
                <w:color w:val="auto"/>
                <w:highlight w:val="none"/>
                <w:lang w:val="en-US" w:eastAsia="zh-CN"/>
              </w:rPr>
            </w:pPr>
            <w:r>
              <w:rPr>
                <w:rFonts w:hint="eastAsia" w:ascii="仿宋" w:hAnsi="仿宋" w:eastAsia="仿宋" w:cs="宋体"/>
                <w:b/>
                <w:color w:val="auto"/>
                <w:sz w:val="24"/>
                <w:szCs w:val="20"/>
                <w:highlight w:val="none"/>
                <w:lang w:val="en-US" w:eastAsia="zh-CN"/>
              </w:rPr>
              <w:t>16</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_GB2312" w:hAnsi="仿宋" w:eastAsia="仿宋_GB2312"/>
                <w:b/>
                <w:snapToGrid w:val="0"/>
                <w:color w:val="auto"/>
                <w:kern w:val="28"/>
                <w:sz w:val="24"/>
                <w:highlight w:val="none"/>
              </w:rPr>
            </w:pPr>
            <w:r>
              <w:rPr>
                <w:rFonts w:hint="eastAsia" w:ascii="仿宋" w:hAnsi="仿宋" w:eastAsia="仿宋" w:cs="仿宋"/>
                <w:b/>
                <w:bCs/>
                <w:color w:val="auto"/>
                <w:kern w:val="2"/>
                <w:sz w:val="24"/>
                <w:szCs w:val="24"/>
                <w:highlight w:val="none"/>
                <w:lang w:val="en-US" w:eastAsia="zh-CN" w:bidi="ar-SA"/>
              </w:rPr>
              <w:t>评标委员会推荐中标候选人的人数</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仿宋_GB2312" w:hAnsi="仿宋" w:eastAsia="仿宋_GB2312"/>
                <w:snapToGrid w:val="0"/>
                <w:color w:val="auto"/>
                <w:kern w:val="28"/>
                <w:sz w:val="24"/>
                <w:highlight w:val="none"/>
              </w:rPr>
            </w:pPr>
            <w:r>
              <w:rPr>
                <w:rFonts w:hint="eastAsia" w:ascii="仿宋" w:hAnsi="仿宋" w:eastAsia="仿宋" w:cs="仿宋"/>
                <w:color w:val="auto"/>
                <w:kern w:val="2"/>
                <w:sz w:val="24"/>
                <w:szCs w:val="24"/>
                <w:highlight w:val="none"/>
                <w:lang w:val="en-US" w:eastAsia="zh-CN" w:bidi="ar-SA"/>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仿宋" w:hAnsi="仿宋" w:eastAsia="仿宋" w:cs="Arial"/>
                <w:b/>
                <w:color w:val="auto"/>
                <w:kern w:val="0"/>
                <w:sz w:val="24"/>
                <w:szCs w:val="20"/>
                <w:highlight w:val="none"/>
              </w:rPr>
              <w:sym w:font="Wingdings" w:char="F0FE"/>
            </w:r>
            <w:r>
              <w:rPr>
                <w:rFonts w:hint="eastAsia" w:ascii="仿宋" w:hAnsi="仿宋" w:eastAsia="仿宋" w:cs="仿宋"/>
                <w:color w:val="auto"/>
                <w:kern w:val="2"/>
                <w:sz w:val="24"/>
                <w:szCs w:val="24"/>
                <w:highlight w:val="none"/>
                <w:lang w:val="en-US" w:eastAsia="zh-CN" w:bidi="ar-SA"/>
              </w:rPr>
              <w:t>重新招标 □按中标候选人名单排序依次确定其他中标候选人为中标人）</w:t>
            </w:r>
          </w:p>
        </w:tc>
      </w:tr>
    </w:tbl>
    <w:p>
      <w:pPr>
        <w:snapToGrid w:val="0"/>
        <w:spacing w:line="360" w:lineRule="auto"/>
        <w:jc w:val="center"/>
        <w:rPr>
          <w:rFonts w:ascii="宋体" w:hAnsi="宋体" w:cs="宋体"/>
          <w:b/>
          <w:color w:val="auto"/>
          <w:sz w:val="32"/>
          <w:szCs w:val="20"/>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0" w:name="第三部分"/>
      <w:bookmarkStart w:id="11"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color w:val="auto"/>
          <w:sz w:val="24"/>
          <w:highlight w:val="none"/>
        </w:rPr>
        <w:t>资格审查情况、评审专家抽取规则、符合性审查情况、</w:t>
      </w:r>
      <w:bookmarkEnd w:id="13"/>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5236290"/>
      <w:bookmarkEnd w:id="15"/>
      <w:bookmarkStart w:id="16" w:name="_Hlt74729768"/>
      <w:bookmarkEnd w:id="16"/>
      <w:bookmarkStart w:id="17" w:name="_Hlt68073093"/>
      <w:bookmarkEnd w:id="17"/>
      <w:bookmarkStart w:id="18" w:name="_Hlt75236101"/>
      <w:bookmarkEnd w:id="18"/>
      <w:bookmarkStart w:id="19" w:name="_Hlt68072990"/>
      <w:bookmarkEnd w:id="19"/>
      <w:bookmarkStart w:id="20" w:name="_Hlt74707468"/>
      <w:bookmarkEnd w:id="20"/>
      <w:bookmarkStart w:id="21" w:name="_Hlt75236011"/>
      <w:bookmarkEnd w:id="21"/>
      <w:bookmarkStart w:id="22" w:name="_Hlt74714665"/>
      <w:bookmarkEnd w:id="22"/>
      <w:bookmarkStart w:id="23" w:name="_Hlt68403820"/>
      <w:bookmarkEnd w:id="23"/>
      <w:bookmarkStart w:id="24" w:name="_Hlt68057669"/>
      <w:bookmarkEnd w:id="24"/>
      <w:bookmarkStart w:id="25" w:name="_Hlt74730295"/>
      <w:bookmarkEnd w:id="25"/>
    </w:p>
    <w:bookmarkEnd w:id="10"/>
    <w:bookmarkEnd w:id="11"/>
    <w:p>
      <w:pPr>
        <w:spacing w:line="360" w:lineRule="auto"/>
        <w:jc w:val="center"/>
        <w:outlineLvl w:val="0"/>
        <w:rPr>
          <w:rFonts w:ascii="仿宋" w:hAnsi="仿宋" w:eastAsia="仿宋" w:cs="宋体"/>
          <w:b/>
          <w:color w:val="auto"/>
          <w:sz w:val="36"/>
          <w:szCs w:val="36"/>
          <w:highlight w:val="none"/>
        </w:rPr>
      </w:pPr>
      <w:bookmarkStart w:id="26" w:name="第四部分"/>
      <w:r>
        <w:rPr>
          <w:rFonts w:hint="eastAsia" w:ascii="仿宋" w:hAnsi="仿宋" w:eastAsia="仿宋" w:cs="宋体"/>
          <w:b/>
          <w:color w:val="auto"/>
          <w:sz w:val="36"/>
          <w:szCs w:val="36"/>
          <w:highlight w:val="none"/>
        </w:rPr>
        <w:t>第三部分   采购需求</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一、项目概述：</w:t>
      </w:r>
    </w:p>
    <w:p>
      <w:pPr>
        <w:numPr>
          <w:ilvl w:val="0"/>
          <w:numId w:val="0"/>
        </w:numPr>
        <w:spacing w:line="42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eastAsia="zh-CN"/>
        </w:rPr>
        <w:t>活动</w:t>
      </w:r>
      <w:r>
        <w:rPr>
          <w:rFonts w:hint="eastAsia" w:ascii="仿宋" w:hAnsi="仿宋" w:eastAsia="仿宋" w:cs="仿宋"/>
          <w:color w:val="auto"/>
          <w:sz w:val="24"/>
          <w:szCs w:val="24"/>
          <w:highlight w:val="none"/>
        </w:rPr>
        <w:t>为“交钥匙”项目，采购内容包括按提供符合采购人要求提供合格的公共安全服务。投标报价包括所有</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的工资、社保、</w:t>
      </w:r>
      <w:r>
        <w:rPr>
          <w:rFonts w:hint="eastAsia" w:ascii="仿宋" w:hAnsi="仿宋" w:eastAsia="仿宋" w:cs="仿宋"/>
          <w:color w:val="auto"/>
          <w:sz w:val="24"/>
          <w:szCs w:val="24"/>
          <w:highlight w:val="none"/>
          <w:lang w:eastAsia="zh-CN"/>
        </w:rPr>
        <w:t>公积金、超时补贴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绩效考核经费、伙食费、日常巡逻车辆保障费、</w:t>
      </w:r>
      <w:r>
        <w:rPr>
          <w:rFonts w:hint="eastAsia" w:ascii="仿宋" w:hAnsi="仿宋" w:eastAsia="仿宋" w:cs="仿宋"/>
          <w:color w:val="auto"/>
          <w:sz w:val="24"/>
          <w:szCs w:val="24"/>
          <w:highlight w:val="none"/>
        </w:rPr>
        <w:t>培训费、</w:t>
      </w:r>
      <w:r>
        <w:rPr>
          <w:rFonts w:hint="eastAsia" w:ascii="仿宋" w:hAnsi="仿宋" w:eastAsia="仿宋" w:cs="仿宋"/>
          <w:color w:val="auto"/>
          <w:sz w:val="24"/>
          <w:szCs w:val="24"/>
          <w:highlight w:val="none"/>
          <w:lang w:eastAsia="zh-CN"/>
        </w:rPr>
        <w:t>管理费、</w:t>
      </w:r>
      <w:r>
        <w:rPr>
          <w:rFonts w:hint="eastAsia" w:ascii="仿宋" w:hAnsi="仿宋" w:eastAsia="仿宋" w:cs="仿宋"/>
          <w:color w:val="auto"/>
          <w:sz w:val="24"/>
          <w:szCs w:val="24"/>
          <w:highlight w:val="none"/>
        </w:rPr>
        <w:t>通讯设备、低值易耗品、工具及相关</w:t>
      </w:r>
      <w:r>
        <w:rPr>
          <w:rFonts w:hint="eastAsia" w:ascii="仿宋" w:hAnsi="仿宋" w:eastAsia="仿宋" w:cs="仿宋"/>
          <w:color w:val="auto"/>
          <w:sz w:val="24"/>
          <w:szCs w:val="24"/>
          <w:highlight w:val="none"/>
          <w:lang w:eastAsia="zh-CN"/>
        </w:rPr>
        <w:t>安保</w:t>
      </w:r>
      <w:r>
        <w:rPr>
          <w:rFonts w:hint="eastAsia" w:ascii="仿宋" w:hAnsi="仿宋" w:eastAsia="仿宋" w:cs="仿宋"/>
          <w:color w:val="auto"/>
          <w:sz w:val="24"/>
          <w:szCs w:val="24"/>
          <w:highlight w:val="none"/>
        </w:rPr>
        <w:t>设备费、临时性杂项服务费、政策性文件规定及合同包含的所有风险、责任、税费、合理利润等各项全部费用</w:t>
      </w:r>
      <w:r>
        <w:rPr>
          <w:rFonts w:hint="eastAsia" w:ascii="仿宋" w:hAnsi="仿宋" w:eastAsia="仿宋" w:cs="仿宋"/>
          <w:color w:val="auto"/>
          <w:sz w:val="24"/>
          <w:szCs w:val="24"/>
          <w:highlight w:val="none"/>
          <w:lang w:val="en-US" w:eastAsia="zh-CN"/>
        </w:rPr>
        <w:t>。</w:t>
      </w:r>
    </w:p>
    <w:p>
      <w:pPr>
        <w:numPr>
          <w:ilvl w:val="0"/>
          <w:numId w:val="1"/>
        </w:numPr>
        <w:adjustRightInd w:val="0"/>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具体服务内容、要求等：</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、保安人员持证要求: 本项目的所有保安员上岗时必须持有公安机关颁发的《保安员证》，持证上岗，统一着装，进场服务前由采购人统一审核；</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（1）人员配备：</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r>
        <w:rPr>
          <w:rFonts w:hint="eastAsia" w:ascii="仿宋" w:hAnsi="仿宋" w:eastAsia="仿宋" w:cs="仿宋"/>
          <w:b/>
          <w:color w:val="auto"/>
          <w:sz w:val="24"/>
          <w:szCs w:val="24"/>
          <w:highlight w:val="none"/>
          <w:lang w:eastAsia="zh-CN"/>
        </w:rPr>
        <w:t>队员</w:t>
      </w:r>
      <w:r>
        <w:rPr>
          <w:rFonts w:hint="eastAsia" w:ascii="仿宋" w:hAnsi="仿宋" w:eastAsia="仿宋" w:cs="仿宋"/>
          <w:b/>
          <w:color w:val="auto"/>
          <w:sz w:val="24"/>
          <w:szCs w:val="24"/>
          <w:highlight w:val="none"/>
        </w:rPr>
        <w:t>配备要求：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持证要求: 本项目的所有</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上岗时必须持有公安机关颁发的《</w:t>
      </w:r>
      <w:r>
        <w:rPr>
          <w:rFonts w:hint="eastAsia" w:ascii="仿宋" w:hAnsi="仿宋" w:eastAsia="仿宋" w:cs="仿宋"/>
          <w:color w:val="auto"/>
          <w:sz w:val="24"/>
          <w:szCs w:val="24"/>
          <w:highlight w:val="none"/>
          <w:lang w:eastAsia="zh-CN"/>
        </w:rPr>
        <w:t>保安</w:t>
      </w:r>
      <w:r>
        <w:rPr>
          <w:rFonts w:hint="eastAsia" w:ascii="仿宋" w:hAnsi="仿宋" w:eastAsia="仿宋" w:cs="仿宋"/>
          <w:color w:val="auto"/>
          <w:sz w:val="24"/>
          <w:szCs w:val="24"/>
          <w:highlight w:val="none"/>
        </w:rPr>
        <w:t>员证》，持证上岗，统一着装，进场服务前由采购人统一审核；</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素质要求:队伍管理的各级管理人员，应具有较高的管理能力、应变能力、组织能力、年轻化、专业化，并具有高中及以上文化程度， 政治上合格，素质上过硬，无任何违法、违纪等不良记录。</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的仪容仪表和执勤规范：</w:t>
      </w:r>
      <w:r>
        <w:rPr>
          <w:rFonts w:hint="eastAsia" w:ascii="仿宋" w:hAnsi="仿宋" w:eastAsia="仿宋" w:cs="仿宋"/>
          <w:color w:val="auto"/>
          <w:sz w:val="24"/>
          <w:szCs w:val="24"/>
          <w:highlight w:val="none"/>
          <w:lang w:eastAsia="zh-CN"/>
        </w:rPr>
        <w:t>队员</w:t>
      </w:r>
      <w:r>
        <w:rPr>
          <w:rFonts w:hint="eastAsia" w:ascii="仿宋" w:hAnsi="仿宋" w:eastAsia="仿宋" w:cs="仿宋"/>
          <w:color w:val="auto"/>
          <w:sz w:val="24"/>
          <w:szCs w:val="24"/>
          <w:highlight w:val="none"/>
        </w:rPr>
        <w:t>应衣冠整洁，胸佩工作卡，必须配备通信联络工具（耳麦）；坚守工作岗位，提高警惕，严防犯罪分子从事破坏活动，保证财产、人身安全；认真做好防火防盗工作，发现不安全因素立即查明原因，尽快排除险情并及时向采购人汇报；认真做好各类台账记录，严格履行交接班制度。</w:t>
      </w:r>
    </w:p>
    <w:p>
      <w:pPr>
        <w:numPr>
          <w:ilvl w:val="0"/>
          <w:numId w:val="2"/>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服务范围及工作要求：</w:t>
      </w:r>
    </w:p>
    <w:p>
      <w:pPr>
        <w:pStyle w:val="4"/>
        <w:numPr>
          <w:ilvl w:val="0"/>
          <w:numId w:val="0"/>
        </w:numPr>
        <w:tabs>
          <w:tab w:val="left" w:pos="706"/>
          <w:tab w:val="clear" w:pos="432"/>
        </w:tabs>
        <w:ind w:firstLine="720" w:firstLineChars="3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w:t>
      </w:r>
      <w:r>
        <w:rPr>
          <w:rFonts w:hint="eastAsia" w:ascii="仿宋" w:eastAsia="仿宋" w:cs="仿宋"/>
          <w:b w:val="0"/>
          <w:bCs w:val="0"/>
          <w:color w:val="auto"/>
          <w:kern w:val="2"/>
          <w:sz w:val="24"/>
          <w:szCs w:val="24"/>
          <w:highlight w:val="none"/>
          <w:lang w:val="en-US" w:eastAsia="zh-CN" w:bidi="ar-SA"/>
        </w:rPr>
        <w:t>1</w:t>
      </w:r>
      <w:r>
        <w:rPr>
          <w:rFonts w:hint="eastAsia" w:ascii="仿宋" w:hAnsi="仿宋" w:eastAsia="仿宋" w:cs="仿宋"/>
          <w:b w:val="0"/>
          <w:bCs w:val="0"/>
          <w:color w:val="auto"/>
          <w:kern w:val="2"/>
          <w:sz w:val="24"/>
          <w:szCs w:val="24"/>
          <w:highlight w:val="none"/>
          <w:lang w:val="en-US" w:eastAsia="zh-CN" w:bidi="ar-SA"/>
        </w:rPr>
        <w:t>）协助甲方对服务区内的安保服务，有效维护秩序有序；</w:t>
      </w:r>
    </w:p>
    <w:p>
      <w:pPr>
        <w:adjustRightInd w:val="0"/>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(2)</w:t>
      </w:r>
      <w:r>
        <w:rPr>
          <w:rFonts w:hint="eastAsia" w:ascii="仿宋" w:hAnsi="仿宋" w:eastAsia="仿宋" w:cs="仿宋"/>
          <w:color w:val="auto"/>
          <w:sz w:val="24"/>
          <w:szCs w:val="24"/>
          <w:highlight w:val="none"/>
          <w:lang w:eastAsia="zh-CN"/>
        </w:rPr>
        <w:t>发现各类违法犯罪线索并及时汇报，制止；</w:t>
      </w:r>
    </w:p>
    <w:p>
      <w:pPr>
        <w:adjustRightInd w:val="0"/>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(3)</w:t>
      </w:r>
      <w:r>
        <w:rPr>
          <w:rFonts w:hint="eastAsia" w:ascii="仿宋" w:hAnsi="仿宋" w:eastAsia="仿宋" w:cs="仿宋"/>
          <w:color w:val="auto"/>
          <w:sz w:val="24"/>
          <w:szCs w:val="24"/>
          <w:highlight w:val="none"/>
          <w:lang w:eastAsia="zh-CN"/>
        </w:rPr>
        <w:t>完成甲方交办的其他各类任务。</w:t>
      </w:r>
    </w:p>
    <w:p>
      <w:pPr>
        <w:numPr>
          <w:ilvl w:val="0"/>
          <w:numId w:val="2"/>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其他相关费用说明：</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如遇特殊情况，</w:t>
      </w:r>
      <w:r>
        <w:rPr>
          <w:rFonts w:hint="eastAsia" w:ascii="仿宋" w:hAnsi="仿宋" w:eastAsia="仿宋" w:cs="仿宋"/>
          <w:color w:val="auto"/>
          <w:sz w:val="24"/>
          <w:szCs w:val="24"/>
          <w:highlight w:val="none"/>
          <w:lang w:eastAsia="zh-CN"/>
        </w:rPr>
        <w:t>安保</w:t>
      </w:r>
      <w:r>
        <w:rPr>
          <w:rFonts w:hint="eastAsia" w:ascii="仿宋" w:hAnsi="仿宋" w:eastAsia="仿宋" w:cs="仿宋"/>
          <w:color w:val="auto"/>
          <w:sz w:val="24"/>
          <w:szCs w:val="24"/>
          <w:highlight w:val="none"/>
        </w:rPr>
        <w:t>须按采购人需求进行加班，加班费在投标报价中自行考虑，中标后不作调整。</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其它临时性杂项服务极少，如采购人在日常工作时间搬运、看管物品，应急性地保障服务等，费用包含在中标价中。</w:t>
      </w:r>
    </w:p>
    <w:p>
      <w:pPr>
        <w:adjustRightInd w:val="0"/>
        <w:snapToGri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eastAsia="zh-CN"/>
        </w:rPr>
        <w:t>二</w:t>
      </w:r>
      <w:r>
        <w:rPr>
          <w:rFonts w:hint="eastAsia" w:ascii="仿宋" w:hAnsi="仿宋" w:eastAsia="仿宋" w:cs="仿宋"/>
          <w:b/>
          <w:bCs/>
          <w:color w:val="auto"/>
          <w:sz w:val="24"/>
          <w:szCs w:val="24"/>
          <w:highlight w:val="none"/>
        </w:rPr>
        <w:t>、服务要求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自合同签订之日起12个月</w:t>
      </w:r>
      <w:r>
        <w:rPr>
          <w:rFonts w:hint="eastAsia" w:ascii="仿宋" w:hAnsi="仿宋" w:eastAsia="仿宋" w:cs="仿宋"/>
          <w:color w:val="auto"/>
          <w:sz w:val="24"/>
          <w:szCs w:val="24"/>
          <w:highlight w:val="none"/>
        </w:rPr>
        <w:t>。</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eastAsia="zh-CN"/>
        </w:rPr>
        <w:t>三</w:t>
      </w:r>
      <w:r>
        <w:rPr>
          <w:rFonts w:hint="eastAsia" w:ascii="仿宋" w:hAnsi="仿宋" w:eastAsia="仿宋" w:cs="仿宋"/>
          <w:b/>
          <w:bCs/>
          <w:color w:val="auto"/>
          <w:sz w:val="24"/>
          <w:szCs w:val="24"/>
          <w:highlight w:val="none"/>
        </w:rPr>
        <w:t>、培训要求：</w:t>
      </w:r>
      <w:r>
        <w:rPr>
          <w:rFonts w:hint="eastAsia" w:ascii="仿宋" w:hAnsi="仿宋" w:eastAsia="仿宋" w:cs="仿宋"/>
          <w:color w:val="auto"/>
          <w:sz w:val="24"/>
          <w:szCs w:val="24"/>
          <w:highlight w:val="none"/>
          <w:lang w:eastAsia="zh-CN"/>
        </w:rPr>
        <w:t>队员需</w:t>
      </w:r>
      <w:r>
        <w:rPr>
          <w:rFonts w:hint="eastAsia" w:ascii="仿宋" w:hAnsi="仿宋" w:eastAsia="仿宋" w:cs="仿宋"/>
          <w:color w:val="auto"/>
          <w:sz w:val="24"/>
          <w:szCs w:val="24"/>
          <w:highlight w:val="none"/>
        </w:rPr>
        <w:t>进行完善的培训后方可上岗，有详细的培训计划、内容、方案、时间等。</w:t>
      </w:r>
    </w:p>
    <w:p>
      <w:pPr>
        <w:tabs>
          <w:tab w:val="left" w:pos="0"/>
        </w:tabs>
        <w:spacing w:line="336" w:lineRule="auto"/>
        <w:ind w:firstLine="241"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四、履约保证金</w:t>
      </w:r>
      <w:r>
        <w:rPr>
          <w:rFonts w:hint="eastAsia" w:ascii="仿宋" w:hAnsi="仿宋" w:eastAsia="仿宋" w:cs="仿宋"/>
          <w:color w:val="auto"/>
          <w:sz w:val="24"/>
          <w:szCs w:val="24"/>
          <w:highlight w:val="none"/>
          <w:lang w:val="en-US" w:eastAsia="zh-CN"/>
        </w:rPr>
        <w:t>：</w:t>
      </w:r>
    </w:p>
    <w:p>
      <w:pPr>
        <w:pStyle w:val="2"/>
        <w:ind w:firstLine="720" w:firstLineChars="300"/>
        <w:rPr>
          <w:rFonts w:hint="eastAsia" w:eastAsia="仿宋"/>
          <w:color w:val="auto"/>
          <w:highlight w:val="none"/>
          <w:lang w:val="en-US" w:eastAsia="zh-CN"/>
        </w:rPr>
      </w:pPr>
      <w:r>
        <w:rPr>
          <w:rFonts w:hint="eastAsia" w:ascii="仿宋" w:hAnsi="仿宋" w:eastAsia="仿宋" w:cs="仿宋"/>
          <w:color w:val="auto"/>
          <w:kern w:val="0"/>
          <w:sz w:val="24"/>
          <w:szCs w:val="24"/>
          <w:highlight w:val="none"/>
          <w:lang w:eastAsia="zh-CN"/>
        </w:rPr>
        <w:t>无</w:t>
      </w:r>
    </w:p>
    <w:p>
      <w:pPr>
        <w:adjustRightInd w:val="0"/>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、费用支付</w:t>
      </w:r>
      <w:r>
        <w:rPr>
          <w:rFonts w:hint="eastAsia" w:ascii="仿宋" w:hAnsi="仿宋" w:eastAsia="仿宋" w:cs="仿宋"/>
          <w:b/>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在签订合同后支付中标单位合同价款的20%作为本项目预付款，在签订合同6个月后支付合同价款的30%；9个月后支付合同价款的30%；服务结束后支付合同价款的20%。</w:t>
      </w: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注：除预付款外，每笔支付款项根据考核结果进行支付，凭乙方有效发票结算。采购人有权根据实际情况进行调整，中标单位需配合。</w:t>
      </w:r>
    </w:p>
    <w:p>
      <w:pPr>
        <w:pStyle w:val="2"/>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4"/>
        <w:rPr>
          <w:rFonts w:hint="eastAsia"/>
          <w:color w:val="auto"/>
          <w:highlight w:val="none"/>
          <w:lang w:val="en-US" w:eastAsia="zh-CN"/>
        </w:rPr>
      </w:pPr>
      <w:bookmarkStart w:id="519" w:name="_GoBack"/>
      <w:bookmarkEnd w:id="519"/>
    </w:p>
    <w:p>
      <w:pPr>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4"/>
        <w:rPr>
          <w:rFonts w:hint="eastAsia"/>
          <w:color w:val="auto"/>
          <w:highlight w:val="none"/>
          <w:lang w:val="en-US" w:eastAsia="zh-CN"/>
        </w:rPr>
      </w:pPr>
    </w:p>
    <w:p>
      <w:pPr>
        <w:rPr>
          <w:rFonts w:hint="eastAsia"/>
          <w:color w:val="auto"/>
          <w:highlight w:val="none"/>
          <w:lang w:val="en-US" w:eastAsia="zh-CN"/>
        </w:rPr>
      </w:pPr>
    </w:p>
    <w:p>
      <w:pPr>
        <w:pStyle w:val="20"/>
        <w:keepNext w:val="0"/>
        <w:keepLines w:val="0"/>
        <w:pageBreakBefore w:val="0"/>
        <w:numPr>
          <w:ilvl w:val="0"/>
          <w:numId w:val="0"/>
        </w:numPr>
        <w:kinsoku/>
        <w:wordWrap/>
        <w:overflowPunct/>
        <w:topLinePunct w:val="0"/>
        <w:autoSpaceDE/>
        <w:autoSpaceDN/>
        <w:bidi w:val="0"/>
        <w:spacing w:line="500" w:lineRule="exact"/>
        <w:ind w:right="0" w:rightChars="0"/>
        <w:textAlignment w:val="auto"/>
        <w:outlineLvl w:val="1"/>
        <w:rPr>
          <w:rFonts w:hint="eastAsia" w:ascii="仿宋" w:hAnsi="仿宋" w:eastAsia="仿宋" w:cs="仿宋"/>
          <w:b/>
          <w:bCs/>
          <w:color w:val="auto"/>
          <w:sz w:val="24"/>
          <w:szCs w:val="24"/>
          <w:highlight w:val="none"/>
          <w:lang w:val="en-US" w:eastAsia="zh-CN"/>
        </w:rPr>
      </w:pPr>
    </w:p>
    <w:p>
      <w:pPr>
        <w:pStyle w:val="20"/>
        <w:keepNext w:val="0"/>
        <w:keepLines w:val="0"/>
        <w:pageBreakBefore w:val="0"/>
        <w:numPr>
          <w:ilvl w:val="0"/>
          <w:numId w:val="0"/>
        </w:numPr>
        <w:kinsoku/>
        <w:wordWrap/>
        <w:overflowPunct/>
        <w:topLinePunct w:val="0"/>
        <w:autoSpaceDE/>
        <w:autoSpaceDN/>
        <w:bidi w:val="0"/>
        <w:spacing w:line="500" w:lineRule="exact"/>
        <w:ind w:right="0" w:rightChars="0"/>
        <w:textAlignment w:val="auto"/>
        <w:outlineLvl w:val="1"/>
        <w:rPr>
          <w:rFonts w:hint="eastAsia" w:ascii="仿宋" w:hAnsi="仿宋" w:eastAsia="仿宋" w:cs="仿宋"/>
          <w:b/>
          <w:bCs/>
          <w:color w:val="auto"/>
          <w:sz w:val="24"/>
          <w:szCs w:val="24"/>
          <w:highlight w:val="none"/>
          <w:lang w:val="en-US" w:eastAsia="zh-CN"/>
        </w:rPr>
      </w:pPr>
    </w:p>
    <w:p>
      <w:pPr>
        <w:pStyle w:val="20"/>
        <w:keepNext w:val="0"/>
        <w:keepLines w:val="0"/>
        <w:pageBreakBefore w:val="0"/>
        <w:numPr>
          <w:ilvl w:val="0"/>
          <w:numId w:val="0"/>
        </w:numPr>
        <w:kinsoku/>
        <w:wordWrap/>
        <w:overflowPunct/>
        <w:topLinePunct w:val="0"/>
        <w:autoSpaceDE/>
        <w:autoSpaceDN/>
        <w:bidi w:val="0"/>
        <w:spacing w:line="500" w:lineRule="exact"/>
        <w:ind w:right="0" w:rightChars="0"/>
        <w:textAlignment w:val="auto"/>
        <w:outlineLvl w:val="1"/>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考核细则</w:t>
      </w:r>
      <w:bookmarkStart w:id="27" w:name="_Toc303256693"/>
    </w:p>
    <w:p>
      <w:pPr>
        <w:keepNext w:val="0"/>
        <w:keepLines w:val="0"/>
        <w:pageBreakBefore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人员</w:t>
      </w:r>
      <w:r>
        <w:rPr>
          <w:rFonts w:hint="eastAsia" w:ascii="仿宋" w:hAnsi="仿宋" w:eastAsia="仿宋" w:cs="仿宋"/>
          <w:b/>
          <w:bCs/>
          <w:color w:val="auto"/>
          <w:sz w:val="24"/>
          <w:szCs w:val="24"/>
          <w:highlight w:val="none"/>
        </w:rPr>
        <w:t>日常管理督查考核细则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上班迟到、早退、擅自离岗</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无故</w:t>
            </w:r>
            <w:r>
              <w:rPr>
                <w:rFonts w:hint="eastAsia" w:ascii="仿宋" w:hAnsi="仿宋" w:eastAsia="仿宋" w:cs="仿宋"/>
                <w:color w:val="auto"/>
                <w:sz w:val="24"/>
                <w:szCs w:val="24"/>
                <w:highlight w:val="none"/>
              </w:rPr>
              <w:t>旷工</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无故不参加会议、集中学习</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上班期间着装不规范、不整洁</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在管理区域、路段聚众聊天、看手机、或进入店家做与工作无关的事</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违反请销假制度</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将警用装备借于他人使用</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不服从正常的工作调动</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队员对自己巡逻、管理区域、路段不熟悉，不了解消火栓地点并不能熟练使用消防器材</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遇险情未及时上报，未采取措施制止灾害扩大</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在巡逻过程中，遇有正在实施的不法侵害行为时，未迅速制止和报警</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受到国家法律及治安条例处罚</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对中队督查人员指出的问题不立即进行整改或还顶撞</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对中队领导及街道领导发现、指出的问题，不立即进行整改或还顶撞</w:t>
            </w:r>
            <w:r>
              <w:rPr>
                <w:rFonts w:hint="eastAsia" w:ascii="仿宋" w:hAnsi="仿宋" w:eastAsia="仿宋" w:cs="仿宋"/>
                <w:color w:val="auto"/>
                <w:sz w:val="24"/>
                <w:szCs w:val="24"/>
                <w:highlight w:val="none"/>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Autospacing="0" w:after="0" w:afterAutospacing="0" w:line="500" w:lineRule="exact"/>
              <w:ind w:left="0"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此督查考核仅限于招标单位对中标单位提供的服务外包人员根据服务外包管理内容履职进行考核，根据考核扣分情况进行每月汇总。</w:t>
            </w:r>
          </w:p>
        </w:tc>
      </w:tr>
    </w:tbl>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color w:val="auto"/>
          <w:sz w:val="24"/>
          <w:szCs w:val="24"/>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 xml:space="preserve">方：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检查人员签字：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部室负责人签字：      </w:t>
      </w:r>
    </w:p>
    <w:p>
      <w:pPr>
        <w:keepNext w:val="0"/>
        <w:keepLines w:val="0"/>
        <w:pageBreakBefore w:val="0"/>
        <w:kinsoku/>
        <w:wordWrap/>
        <w:overflowPunct/>
        <w:topLinePunct w:val="0"/>
        <w:autoSpaceDE/>
        <w:autoSpaceDN/>
        <w:bidi w:val="0"/>
        <w:adjustRightInd w:val="0"/>
        <w:snapToGrid w:val="0"/>
        <w:spacing w:line="500" w:lineRule="exact"/>
        <w:ind w:right="0" w:rightChars="0"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中标方：</w:t>
      </w:r>
      <w:r>
        <w:rPr>
          <w:rFonts w:hint="eastAsia" w:ascii="仿宋" w:hAnsi="仿宋" w:eastAsia="仿宋" w:cs="仿宋"/>
          <w:color w:val="auto"/>
          <w:sz w:val="24"/>
          <w:szCs w:val="24"/>
          <w:highlight w:val="none"/>
          <w:lang w:val="en-US" w:eastAsia="zh-CN"/>
        </w:rPr>
        <w:t xml:space="preserve">           项目负责人签字：             总经理签字：</w:t>
      </w: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备注：每月抽查一次，根据检查情况进行扣分；</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A、</w:t>
      </w:r>
      <w:r>
        <w:rPr>
          <w:rFonts w:hint="eastAsia" w:ascii="仿宋" w:hAnsi="仿宋" w:eastAsia="仿宋" w:cs="仿宋"/>
          <w:color w:val="auto"/>
          <w:sz w:val="24"/>
          <w:szCs w:val="24"/>
          <w:highlight w:val="none"/>
        </w:rPr>
        <w:t>若分值＜80分，</w:t>
      </w:r>
      <w:r>
        <w:rPr>
          <w:rFonts w:hint="eastAsia" w:ascii="仿宋" w:hAnsi="仿宋" w:eastAsia="仿宋" w:cs="仿宋"/>
          <w:color w:val="auto"/>
          <w:sz w:val="24"/>
          <w:szCs w:val="24"/>
          <w:highlight w:val="none"/>
          <w:lang w:eastAsia="zh-CN"/>
        </w:rPr>
        <w:t>视为考核不合格，并扣除本月巡逻安保服务经费</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、若80分≤考核得分＜85分，扣除本月巡逻安保服务经费</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C</w:t>
      </w:r>
      <w:r>
        <w:rPr>
          <w:rFonts w:hint="eastAsia" w:ascii="仿宋" w:hAnsi="仿宋" w:eastAsia="仿宋" w:cs="仿宋"/>
          <w:color w:val="auto"/>
          <w:sz w:val="24"/>
          <w:szCs w:val="24"/>
          <w:highlight w:val="none"/>
        </w:rPr>
        <w:t>、考核得分≥85分，支付合同约定服务费用的100%；</w:t>
      </w:r>
      <w:bookmarkEnd w:id="27"/>
    </w:p>
    <w:p>
      <w:pPr>
        <w:keepNext w:val="0"/>
        <w:keepLines w:val="0"/>
        <w:pageBreakBefore w:val="0"/>
        <w:widowControl w:val="0"/>
        <w:shd w:val="clear" w:color="auto" w:fill="auto"/>
        <w:kinsoku/>
        <w:wordWrap/>
        <w:overflowPunct/>
        <w:topLinePunct w:val="0"/>
        <w:bidi w:val="0"/>
        <w:spacing w:before="0" w:after="160" w:line="360" w:lineRule="auto"/>
        <w:ind w:left="0" w:right="0" w:firstLine="480"/>
        <w:jc w:val="left"/>
        <w:textAlignment w:val="auto"/>
        <w:rPr>
          <w:rFonts w:hint="eastAsia" w:ascii="仿宋" w:hAnsi="仿宋" w:eastAsia="仿宋" w:cs="仿宋"/>
          <w:color w:val="auto"/>
          <w:spacing w:val="0"/>
          <w:w w:val="100"/>
          <w:position w:val="0"/>
          <w:sz w:val="24"/>
          <w:szCs w:val="24"/>
          <w:highlight w:val="none"/>
          <w:u w:val="none"/>
          <w:shd w:val="clear" w:color="auto" w:fill="auto"/>
          <w:lang w:val="zh-TW" w:eastAsia="zh-TW" w:bidi="zh-TW"/>
        </w:rPr>
      </w:pPr>
      <w:r>
        <w:rPr>
          <w:rFonts w:hint="eastAsia" w:ascii="仿宋" w:hAnsi="仿宋" w:eastAsia="仿宋" w:cs="仿宋"/>
          <w:color w:val="auto"/>
          <w:sz w:val="24"/>
          <w:szCs w:val="24"/>
          <w:highlight w:val="none"/>
          <w:lang w:val="en-US" w:eastAsia="zh-CN"/>
        </w:rPr>
        <w:t>D、</w:t>
      </w:r>
      <w:r>
        <w:rPr>
          <w:rFonts w:hint="eastAsia" w:ascii="仿宋" w:hAnsi="仿宋" w:eastAsia="仿宋" w:cs="仿宋"/>
          <w:color w:val="auto"/>
          <w:sz w:val="24"/>
          <w:szCs w:val="24"/>
          <w:highlight w:val="none"/>
          <w:lang w:eastAsia="zh-CN"/>
        </w:rPr>
        <w:t>以下情况为强制性要求，一旦发生经查实，每次将扣除本月巡逻安保服务经费20%。</w:t>
      </w: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spacing w:line="360" w:lineRule="auto"/>
        <w:ind w:firstLine="2530" w:firstLineChars="700"/>
        <w:outlineLvl w:val="0"/>
        <w:rPr>
          <w:rFonts w:hint="eastAsia" w:ascii="宋体" w:cs="宋体"/>
          <w:b/>
          <w:color w:val="auto"/>
          <w:sz w:val="36"/>
          <w:szCs w:val="36"/>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numPr>
          <w:ilvl w:val="0"/>
          <w:numId w:val="3"/>
        </w:numPr>
        <w:spacing w:line="360" w:lineRule="auto"/>
        <w:jc w:val="center"/>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t xml:space="preserve">  </w:t>
      </w:r>
      <w:bookmarkStart w:id="28" w:name="_Toc184313253"/>
      <w:bookmarkEnd w:id="28"/>
      <w:bookmarkStart w:id="29" w:name="_Toc184314479"/>
      <w:bookmarkEnd w:id="29"/>
      <w:bookmarkStart w:id="30" w:name="_Toc184310277"/>
      <w:bookmarkEnd w:id="30"/>
      <w:bookmarkStart w:id="31" w:name="_Toc184308084"/>
      <w:bookmarkEnd w:id="31"/>
      <w:bookmarkStart w:id="32" w:name="_Toc184313262"/>
      <w:bookmarkEnd w:id="32"/>
      <w:bookmarkStart w:id="33" w:name="_Toc184308093"/>
      <w:bookmarkEnd w:id="33"/>
      <w:bookmarkStart w:id="34" w:name="_Toc184312083"/>
      <w:bookmarkEnd w:id="34"/>
      <w:bookmarkStart w:id="35" w:name="_Toc184314438"/>
      <w:bookmarkEnd w:id="35"/>
      <w:bookmarkStart w:id="36" w:name="_Toc184310334"/>
      <w:bookmarkEnd w:id="36"/>
      <w:bookmarkStart w:id="37" w:name="_Toc184314456"/>
      <w:bookmarkEnd w:id="37"/>
      <w:bookmarkStart w:id="38" w:name="_Toc184313259"/>
      <w:bookmarkEnd w:id="38"/>
      <w:bookmarkStart w:id="39" w:name="_Toc184314472"/>
      <w:bookmarkEnd w:id="39"/>
      <w:bookmarkStart w:id="40" w:name="_Toc184310293"/>
      <w:bookmarkEnd w:id="40"/>
      <w:bookmarkStart w:id="41" w:name="_Toc184310296"/>
      <w:bookmarkEnd w:id="41"/>
      <w:bookmarkStart w:id="42" w:name="_Toc184314446"/>
      <w:bookmarkEnd w:id="42"/>
      <w:bookmarkStart w:id="43" w:name="_Toc184308083"/>
      <w:bookmarkEnd w:id="43"/>
      <w:bookmarkStart w:id="44" w:name="_Toc184310284"/>
      <w:bookmarkEnd w:id="44"/>
      <w:bookmarkStart w:id="45" w:name="_Toc184312121"/>
      <w:bookmarkEnd w:id="45"/>
      <w:bookmarkStart w:id="46" w:name="_Toc184310272"/>
      <w:bookmarkEnd w:id="46"/>
      <w:bookmarkStart w:id="47" w:name="_Toc184312088"/>
      <w:bookmarkEnd w:id="47"/>
      <w:bookmarkStart w:id="48" w:name="_Toc184313278"/>
      <w:bookmarkEnd w:id="48"/>
      <w:bookmarkStart w:id="49" w:name="_Toc184310339"/>
      <w:bookmarkEnd w:id="49"/>
      <w:bookmarkStart w:id="50" w:name="_Toc184314422"/>
      <w:bookmarkEnd w:id="50"/>
      <w:bookmarkStart w:id="51" w:name="_Toc184314481"/>
      <w:bookmarkEnd w:id="51"/>
      <w:bookmarkStart w:id="52" w:name="_Toc184308103"/>
      <w:bookmarkEnd w:id="52"/>
      <w:bookmarkStart w:id="53" w:name="_Toc184314470"/>
      <w:bookmarkEnd w:id="53"/>
      <w:bookmarkStart w:id="54" w:name="_Toc184313241"/>
      <w:bookmarkEnd w:id="54"/>
      <w:bookmarkStart w:id="55" w:name="_Toc184312081"/>
      <w:bookmarkEnd w:id="55"/>
      <w:bookmarkStart w:id="56" w:name="_Toc184314433"/>
      <w:bookmarkEnd w:id="56"/>
      <w:bookmarkStart w:id="57" w:name="_Toc184314412"/>
      <w:bookmarkEnd w:id="57"/>
      <w:bookmarkStart w:id="58" w:name="_Toc184312068"/>
      <w:bookmarkEnd w:id="58"/>
      <w:bookmarkStart w:id="59" w:name="_Toc184312098"/>
      <w:bookmarkEnd w:id="59"/>
      <w:bookmarkStart w:id="60" w:name="_Toc184314449"/>
      <w:bookmarkEnd w:id="60"/>
      <w:bookmarkStart w:id="61" w:name="_Toc184313264"/>
      <w:bookmarkEnd w:id="61"/>
      <w:bookmarkStart w:id="62" w:name="_Toc184308087"/>
      <w:bookmarkEnd w:id="62"/>
      <w:bookmarkStart w:id="63" w:name="_Toc184308094"/>
      <w:bookmarkEnd w:id="63"/>
      <w:bookmarkStart w:id="64" w:name="_Toc184310294"/>
      <w:bookmarkEnd w:id="64"/>
      <w:bookmarkStart w:id="65" w:name="_Toc184310283"/>
      <w:bookmarkEnd w:id="65"/>
      <w:bookmarkStart w:id="66" w:name="_Toc184312095"/>
      <w:bookmarkEnd w:id="66"/>
      <w:bookmarkStart w:id="67" w:name="_Toc184310324"/>
      <w:bookmarkEnd w:id="67"/>
      <w:bookmarkStart w:id="68" w:name="_Toc184313251"/>
      <w:bookmarkEnd w:id="68"/>
      <w:bookmarkStart w:id="69" w:name="_Toc184314420"/>
      <w:bookmarkEnd w:id="69"/>
      <w:bookmarkStart w:id="70" w:name="_Toc184310329"/>
      <w:bookmarkEnd w:id="70"/>
      <w:bookmarkStart w:id="71" w:name="_Toc184310323"/>
      <w:bookmarkEnd w:id="71"/>
      <w:bookmarkStart w:id="72" w:name="_Toc184313266"/>
      <w:bookmarkEnd w:id="72"/>
      <w:bookmarkStart w:id="73" w:name="_Toc184310332"/>
      <w:bookmarkEnd w:id="73"/>
      <w:bookmarkStart w:id="74" w:name="_Toc184314444"/>
      <w:bookmarkEnd w:id="74"/>
      <w:bookmarkStart w:id="75" w:name="_Toc184312072"/>
      <w:bookmarkEnd w:id="75"/>
      <w:bookmarkStart w:id="76" w:name="_Toc184310304"/>
      <w:bookmarkEnd w:id="76"/>
      <w:bookmarkStart w:id="77" w:name="_Toc184314442"/>
      <w:bookmarkEnd w:id="77"/>
      <w:bookmarkStart w:id="78" w:name="_Toc184308059"/>
      <w:bookmarkEnd w:id="78"/>
      <w:bookmarkStart w:id="79" w:name="_Toc184310309"/>
      <w:bookmarkEnd w:id="79"/>
      <w:bookmarkStart w:id="80" w:name="_Toc184313270"/>
      <w:bookmarkEnd w:id="80"/>
      <w:bookmarkStart w:id="81" w:name="_Toc184310320"/>
      <w:bookmarkEnd w:id="81"/>
      <w:bookmarkStart w:id="82" w:name="_Toc184313238"/>
      <w:bookmarkEnd w:id="82"/>
      <w:bookmarkStart w:id="83" w:name="_Toc184313256"/>
      <w:bookmarkEnd w:id="83"/>
      <w:bookmarkStart w:id="84" w:name="_Toc184308043"/>
      <w:bookmarkEnd w:id="84"/>
      <w:bookmarkStart w:id="85" w:name="_Toc184312111"/>
      <w:bookmarkEnd w:id="85"/>
      <w:bookmarkStart w:id="86" w:name="_Toc184312077"/>
      <w:bookmarkEnd w:id="86"/>
      <w:bookmarkStart w:id="87" w:name="_Toc184312118"/>
      <w:bookmarkEnd w:id="87"/>
      <w:bookmarkStart w:id="88" w:name="_Toc184308067"/>
      <w:bookmarkEnd w:id="88"/>
      <w:bookmarkStart w:id="89" w:name="_Toc184314440"/>
      <w:bookmarkEnd w:id="89"/>
      <w:bookmarkStart w:id="90" w:name="_Toc184312125"/>
      <w:bookmarkEnd w:id="90"/>
      <w:bookmarkStart w:id="91" w:name="_Toc184312104"/>
      <w:bookmarkEnd w:id="91"/>
      <w:bookmarkStart w:id="92" w:name="_Toc184314469"/>
      <w:bookmarkEnd w:id="92"/>
      <w:bookmarkStart w:id="93" w:name="_Toc184312080"/>
      <w:bookmarkEnd w:id="93"/>
      <w:bookmarkStart w:id="94" w:name="_Toc184313308"/>
      <w:bookmarkEnd w:id="94"/>
      <w:bookmarkStart w:id="95" w:name="_Toc184310278"/>
      <w:bookmarkEnd w:id="95"/>
      <w:bookmarkStart w:id="96" w:name="_Toc184314464"/>
      <w:bookmarkEnd w:id="96"/>
      <w:bookmarkStart w:id="97" w:name="_Toc184310322"/>
      <w:bookmarkEnd w:id="97"/>
      <w:bookmarkStart w:id="98" w:name="_Toc184314426"/>
      <w:bookmarkEnd w:id="98"/>
      <w:bookmarkStart w:id="99" w:name="_Toc184314421"/>
      <w:bookmarkEnd w:id="99"/>
      <w:bookmarkStart w:id="100" w:name="_Toc184308092"/>
      <w:bookmarkEnd w:id="100"/>
      <w:bookmarkStart w:id="101" w:name="_Toc184313299"/>
      <w:bookmarkEnd w:id="101"/>
      <w:bookmarkStart w:id="102" w:name="_Toc184308090"/>
      <w:bookmarkEnd w:id="102"/>
      <w:bookmarkStart w:id="103" w:name="_Toc184314441"/>
      <w:bookmarkEnd w:id="103"/>
      <w:bookmarkStart w:id="104" w:name="_Toc184314454"/>
      <w:bookmarkEnd w:id="104"/>
      <w:bookmarkStart w:id="105" w:name="_Toc184313271"/>
      <w:bookmarkEnd w:id="105"/>
      <w:bookmarkStart w:id="106" w:name="_Toc184313246"/>
      <w:bookmarkEnd w:id="106"/>
      <w:bookmarkStart w:id="107" w:name="_Toc184312078"/>
      <w:bookmarkEnd w:id="107"/>
      <w:bookmarkStart w:id="108" w:name="_Toc184313263"/>
      <w:bookmarkEnd w:id="108"/>
      <w:bookmarkStart w:id="109" w:name="_Toc184308076"/>
      <w:bookmarkEnd w:id="109"/>
      <w:bookmarkStart w:id="110" w:name="_Toc184310312"/>
      <w:bookmarkEnd w:id="110"/>
      <w:bookmarkStart w:id="111" w:name="_Toc184312067"/>
      <w:bookmarkEnd w:id="111"/>
      <w:bookmarkStart w:id="112" w:name="_Toc184310326"/>
      <w:bookmarkEnd w:id="112"/>
      <w:bookmarkStart w:id="113" w:name="_Toc184312124"/>
      <w:bookmarkEnd w:id="113"/>
      <w:bookmarkStart w:id="114" w:name="_Toc184313296"/>
      <w:bookmarkEnd w:id="114"/>
      <w:bookmarkStart w:id="115" w:name="_Toc184314463"/>
      <w:bookmarkEnd w:id="115"/>
      <w:bookmarkStart w:id="116" w:name="_Toc184312134"/>
      <w:bookmarkEnd w:id="116"/>
      <w:bookmarkStart w:id="117" w:name="_Toc184308068"/>
      <w:bookmarkEnd w:id="117"/>
      <w:bookmarkStart w:id="118" w:name="_Toc184310331"/>
      <w:bookmarkEnd w:id="118"/>
      <w:bookmarkStart w:id="119" w:name="_Toc184314417"/>
      <w:bookmarkEnd w:id="119"/>
      <w:bookmarkStart w:id="120" w:name="_Toc184308036"/>
      <w:bookmarkEnd w:id="120"/>
      <w:bookmarkStart w:id="121" w:name="_Toc184312130"/>
      <w:bookmarkEnd w:id="121"/>
      <w:bookmarkStart w:id="122" w:name="_Toc184308078"/>
      <w:bookmarkEnd w:id="122"/>
      <w:bookmarkStart w:id="123" w:name="_Toc184312122"/>
      <w:bookmarkEnd w:id="123"/>
      <w:bookmarkStart w:id="124" w:name="_Toc184312096"/>
      <w:bookmarkEnd w:id="124"/>
      <w:bookmarkStart w:id="125" w:name="_Toc184308089"/>
      <w:bookmarkEnd w:id="125"/>
      <w:bookmarkStart w:id="126" w:name="_Toc184314455"/>
      <w:bookmarkEnd w:id="126"/>
      <w:bookmarkStart w:id="127" w:name="_Toc184310286"/>
      <w:bookmarkEnd w:id="127"/>
      <w:bookmarkStart w:id="128" w:name="_Toc184312139"/>
      <w:bookmarkEnd w:id="128"/>
      <w:bookmarkStart w:id="129" w:name="_Toc184312114"/>
      <w:bookmarkEnd w:id="129"/>
      <w:bookmarkStart w:id="130" w:name="_Toc184312131"/>
      <w:bookmarkEnd w:id="130"/>
      <w:bookmarkStart w:id="131" w:name="_Toc184312119"/>
      <w:bookmarkEnd w:id="131"/>
      <w:bookmarkStart w:id="132" w:name="_Toc184310344"/>
      <w:bookmarkEnd w:id="132"/>
      <w:bookmarkStart w:id="133" w:name="_Toc184310336"/>
      <w:bookmarkEnd w:id="133"/>
      <w:bookmarkStart w:id="134" w:name="_Toc184310317"/>
      <w:bookmarkEnd w:id="134"/>
      <w:bookmarkStart w:id="135" w:name="_Toc184308058"/>
      <w:bookmarkEnd w:id="135"/>
      <w:bookmarkStart w:id="136" w:name="_Toc184310342"/>
      <w:bookmarkEnd w:id="136"/>
      <w:bookmarkStart w:id="137" w:name="_Toc184314424"/>
      <w:bookmarkEnd w:id="137"/>
      <w:bookmarkStart w:id="138" w:name="_Toc184308046"/>
      <w:bookmarkEnd w:id="138"/>
      <w:bookmarkStart w:id="139" w:name="_Toc184312085"/>
      <w:bookmarkEnd w:id="139"/>
      <w:bookmarkStart w:id="140" w:name="_Toc184310273"/>
      <w:bookmarkEnd w:id="140"/>
      <w:bookmarkStart w:id="141" w:name="_Toc184313310"/>
      <w:bookmarkEnd w:id="141"/>
      <w:bookmarkStart w:id="142" w:name="_Toc184312075"/>
      <w:bookmarkEnd w:id="142"/>
      <w:bookmarkStart w:id="143" w:name="_Toc184308056"/>
      <w:bookmarkEnd w:id="143"/>
      <w:bookmarkStart w:id="144" w:name="_Toc184310279"/>
      <w:bookmarkEnd w:id="144"/>
      <w:bookmarkStart w:id="145" w:name="_Toc184310313"/>
      <w:bookmarkEnd w:id="145"/>
      <w:bookmarkStart w:id="146" w:name="_Toc184308102"/>
      <w:bookmarkEnd w:id="146"/>
      <w:bookmarkStart w:id="147" w:name="_Toc184308038"/>
      <w:bookmarkEnd w:id="147"/>
      <w:bookmarkStart w:id="148" w:name="_Toc184314419"/>
      <w:bookmarkEnd w:id="148"/>
      <w:bookmarkStart w:id="149" w:name="_Toc184313277"/>
      <w:bookmarkEnd w:id="149"/>
      <w:bookmarkStart w:id="150" w:name="_Toc184310319"/>
      <w:bookmarkEnd w:id="150"/>
      <w:bookmarkStart w:id="151" w:name="_Toc184313250"/>
      <w:bookmarkEnd w:id="151"/>
      <w:bookmarkStart w:id="152" w:name="_Toc184308098"/>
      <w:bookmarkEnd w:id="152"/>
      <w:bookmarkStart w:id="153" w:name="_Toc184314416"/>
      <w:bookmarkEnd w:id="153"/>
      <w:bookmarkStart w:id="154" w:name="_Toc184312117"/>
      <w:bookmarkEnd w:id="154"/>
      <w:bookmarkStart w:id="155" w:name="_Toc184314461"/>
      <w:bookmarkEnd w:id="155"/>
      <w:bookmarkStart w:id="156" w:name="_Toc184310310"/>
      <w:bookmarkEnd w:id="156"/>
      <w:bookmarkStart w:id="157" w:name="_Toc184313290"/>
      <w:bookmarkEnd w:id="157"/>
      <w:bookmarkStart w:id="158" w:name="_Toc184308069"/>
      <w:bookmarkEnd w:id="158"/>
      <w:bookmarkStart w:id="159" w:name="_Toc184313247"/>
      <w:bookmarkEnd w:id="159"/>
      <w:bookmarkStart w:id="160" w:name="_Toc184312132"/>
      <w:bookmarkEnd w:id="160"/>
      <w:bookmarkStart w:id="161" w:name="_Toc184313249"/>
      <w:bookmarkEnd w:id="161"/>
      <w:bookmarkStart w:id="162" w:name="_Toc184313282"/>
      <w:bookmarkEnd w:id="162"/>
      <w:bookmarkStart w:id="163" w:name="_Toc184313268"/>
      <w:bookmarkEnd w:id="163"/>
      <w:bookmarkStart w:id="164" w:name="_Toc184313274"/>
      <w:bookmarkEnd w:id="164"/>
      <w:bookmarkStart w:id="165" w:name="_Toc184308049"/>
      <w:bookmarkEnd w:id="165"/>
      <w:bookmarkStart w:id="166" w:name="_Toc184312086"/>
      <w:bookmarkEnd w:id="166"/>
      <w:bookmarkStart w:id="167" w:name="_Toc184314437"/>
      <w:bookmarkEnd w:id="167"/>
      <w:bookmarkStart w:id="168" w:name="_Toc184313306"/>
      <w:bookmarkEnd w:id="168"/>
      <w:bookmarkStart w:id="169" w:name="_Toc184313261"/>
      <w:bookmarkEnd w:id="169"/>
      <w:bookmarkStart w:id="170" w:name="_Toc184308053"/>
      <w:bookmarkEnd w:id="170"/>
      <w:bookmarkStart w:id="171" w:name="_Toc184314460"/>
      <w:bookmarkEnd w:id="171"/>
      <w:bookmarkStart w:id="172" w:name="_Toc184314411"/>
      <w:bookmarkEnd w:id="172"/>
      <w:bookmarkStart w:id="173" w:name="_Toc184312091"/>
      <w:bookmarkEnd w:id="173"/>
      <w:bookmarkStart w:id="174" w:name="_Toc184314478"/>
      <w:bookmarkEnd w:id="174"/>
      <w:bookmarkStart w:id="175" w:name="_Toc184308101"/>
      <w:bookmarkEnd w:id="175"/>
      <w:bookmarkStart w:id="176" w:name="_Toc184314423"/>
      <w:bookmarkEnd w:id="176"/>
      <w:bookmarkStart w:id="177" w:name="_Toc184308047"/>
      <w:bookmarkEnd w:id="177"/>
      <w:bookmarkStart w:id="178" w:name="_Toc184314429"/>
      <w:bookmarkEnd w:id="178"/>
      <w:bookmarkStart w:id="179" w:name="_Toc184308085"/>
      <w:bookmarkEnd w:id="179"/>
      <w:bookmarkStart w:id="180" w:name="_Toc184313295"/>
      <w:bookmarkEnd w:id="180"/>
      <w:bookmarkStart w:id="181" w:name="_Toc184313309"/>
      <w:bookmarkEnd w:id="181"/>
      <w:bookmarkStart w:id="182" w:name="_Toc184313248"/>
      <w:bookmarkEnd w:id="182"/>
      <w:bookmarkStart w:id="183" w:name="_Toc184308061"/>
      <w:bookmarkEnd w:id="183"/>
      <w:bookmarkStart w:id="184" w:name="_Toc184313305"/>
      <w:bookmarkEnd w:id="184"/>
      <w:bookmarkStart w:id="185" w:name="_Toc184312094"/>
      <w:bookmarkEnd w:id="185"/>
      <w:bookmarkStart w:id="186" w:name="_Toc184313284"/>
      <w:bookmarkEnd w:id="186"/>
      <w:bookmarkStart w:id="187" w:name="_Toc184313245"/>
      <w:bookmarkEnd w:id="187"/>
      <w:bookmarkStart w:id="188" w:name="_Toc184312138"/>
      <w:bookmarkEnd w:id="188"/>
      <w:bookmarkStart w:id="189" w:name="_Toc184314458"/>
      <w:bookmarkEnd w:id="189"/>
      <w:bookmarkStart w:id="190" w:name="_Toc184314410"/>
      <w:bookmarkEnd w:id="190"/>
      <w:bookmarkStart w:id="191" w:name="_Toc184314475"/>
      <w:bookmarkEnd w:id="191"/>
      <w:bookmarkStart w:id="192" w:name="_Toc184312106"/>
      <w:bookmarkEnd w:id="192"/>
      <w:bookmarkStart w:id="193" w:name="_Toc184314451"/>
      <w:bookmarkEnd w:id="193"/>
      <w:bookmarkStart w:id="194" w:name="_Toc184314443"/>
      <w:bookmarkEnd w:id="194"/>
      <w:bookmarkStart w:id="195" w:name="_Toc184314471"/>
      <w:bookmarkEnd w:id="195"/>
      <w:bookmarkStart w:id="196" w:name="_Toc184308063"/>
      <w:bookmarkEnd w:id="196"/>
      <w:bookmarkStart w:id="197" w:name="_Toc184314434"/>
      <w:bookmarkEnd w:id="197"/>
      <w:bookmarkStart w:id="198" w:name="_Toc184313244"/>
      <w:bookmarkEnd w:id="198"/>
      <w:bookmarkStart w:id="199" w:name="_Toc184310340"/>
      <w:bookmarkEnd w:id="199"/>
      <w:bookmarkStart w:id="200" w:name="_Toc184313275"/>
      <w:bookmarkEnd w:id="200"/>
      <w:bookmarkStart w:id="201" w:name="_Toc184310315"/>
      <w:bookmarkEnd w:id="201"/>
      <w:bookmarkStart w:id="202" w:name="_Toc184314476"/>
      <w:bookmarkEnd w:id="202"/>
      <w:bookmarkStart w:id="203" w:name="_Toc184310298"/>
      <w:bookmarkEnd w:id="203"/>
      <w:bookmarkStart w:id="204" w:name="_Toc184308072"/>
      <w:bookmarkEnd w:id="204"/>
      <w:bookmarkStart w:id="205" w:name="_Toc184308074"/>
      <w:bookmarkEnd w:id="205"/>
      <w:bookmarkStart w:id="206" w:name="_Toc184314414"/>
      <w:bookmarkEnd w:id="206"/>
      <w:bookmarkStart w:id="207" w:name="_Toc184308060"/>
      <w:bookmarkEnd w:id="207"/>
      <w:bookmarkStart w:id="208" w:name="_Toc184313258"/>
      <w:bookmarkEnd w:id="208"/>
      <w:bookmarkStart w:id="209" w:name="_Toc184312112"/>
      <w:bookmarkEnd w:id="209"/>
      <w:bookmarkStart w:id="210" w:name="_Toc184312082"/>
      <w:bookmarkEnd w:id="210"/>
      <w:bookmarkStart w:id="211" w:name="_Toc184314418"/>
      <w:bookmarkEnd w:id="211"/>
      <w:bookmarkStart w:id="212" w:name="_Toc184314452"/>
      <w:bookmarkEnd w:id="212"/>
      <w:bookmarkStart w:id="213" w:name="_Toc184314467"/>
      <w:bookmarkEnd w:id="213"/>
      <w:bookmarkStart w:id="214" w:name="_Toc184310282"/>
      <w:bookmarkEnd w:id="214"/>
      <w:bookmarkStart w:id="215" w:name="_Toc184310302"/>
      <w:bookmarkEnd w:id="215"/>
      <w:bookmarkStart w:id="216" w:name="_Toc184314413"/>
      <w:bookmarkEnd w:id="216"/>
      <w:bookmarkStart w:id="217" w:name="_Toc184308044"/>
      <w:bookmarkEnd w:id="217"/>
      <w:bookmarkStart w:id="218" w:name="_Toc184313302"/>
      <w:bookmarkEnd w:id="218"/>
      <w:bookmarkStart w:id="219" w:name="_Toc184314436"/>
      <w:bookmarkEnd w:id="219"/>
      <w:bookmarkStart w:id="220" w:name="_Toc184312069"/>
      <w:bookmarkEnd w:id="220"/>
      <w:bookmarkStart w:id="221" w:name="_Toc184314431"/>
      <w:bookmarkEnd w:id="221"/>
      <w:bookmarkStart w:id="222" w:name="_Toc184308106"/>
      <w:bookmarkEnd w:id="222"/>
      <w:bookmarkStart w:id="223" w:name="_Toc184312113"/>
      <w:bookmarkEnd w:id="223"/>
      <w:bookmarkStart w:id="224" w:name="_Toc184313239"/>
      <w:bookmarkEnd w:id="224"/>
      <w:bookmarkStart w:id="225" w:name="_Toc184313292"/>
      <w:bookmarkEnd w:id="225"/>
      <w:bookmarkStart w:id="226" w:name="_Toc184314457"/>
      <w:bookmarkEnd w:id="226"/>
      <w:bookmarkStart w:id="227" w:name="_Toc184312133"/>
      <w:bookmarkEnd w:id="227"/>
      <w:bookmarkStart w:id="228" w:name="_Toc184313304"/>
      <w:bookmarkEnd w:id="228"/>
      <w:bookmarkStart w:id="229" w:name="_Toc184314430"/>
      <w:bookmarkEnd w:id="229"/>
      <w:bookmarkStart w:id="230" w:name="_Toc184313307"/>
      <w:bookmarkEnd w:id="230"/>
      <w:bookmarkStart w:id="231" w:name="_Toc184314480"/>
      <w:bookmarkEnd w:id="231"/>
      <w:bookmarkStart w:id="232" w:name="_Toc184312107"/>
      <w:bookmarkEnd w:id="232"/>
      <w:bookmarkStart w:id="233" w:name="_Toc184310301"/>
      <w:bookmarkEnd w:id="233"/>
      <w:bookmarkStart w:id="234" w:name="_Toc184313269"/>
      <w:bookmarkEnd w:id="234"/>
      <w:bookmarkStart w:id="235" w:name="_Toc184308040"/>
      <w:bookmarkEnd w:id="235"/>
      <w:bookmarkStart w:id="236" w:name="_Toc184310285"/>
      <w:bookmarkEnd w:id="236"/>
      <w:bookmarkStart w:id="237" w:name="_Toc184308079"/>
      <w:bookmarkEnd w:id="237"/>
      <w:bookmarkStart w:id="238" w:name="_Toc184314435"/>
      <w:bookmarkEnd w:id="238"/>
      <w:bookmarkStart w:id="239" w:name="_Toc184310307"/>
      <w:bookmarkEnd w:id="239"/>
      <w:bookmarkStart w:id="240" w:name="_Toc184308081"/>
      <w:bookmarkEnd w:id="240"/>
      <w:bookmarkStart w:id="241" w:name="_Toc184310338"/>
      <w:bookmarkEnd w:id="241"/>
      <w:bookmarkStart w:id="242" w:name="_Toc184313276"/>
      <w:bookmarkEnd w:id="242"/>
      <w:bookmarkStart w:id="243" w:name="_Toc184312116"/>
      <w:bookmarkEnd w:id="243"/>
      <w:bookmarkStart w:id="244" w:name="_Toc184310321"/>
      <w:bookmarkEnd w:id="244"/>
      <w:bookmarkStart w:id="245" w:name="_Toc184312071"/>
      <w:bookmarkEnd w:id="245"/>
      <w:bookmarkStart w:id="246" w:name="_Toc184310330"/>
      <w:bookmarkEnd w:id="246"/>
      <w:bookmarkStart w:id="247" w:name="_Toc184312073"/>
      <w:bookmarkEnd w:id="247"/>
      <w:bookmarkStart w:id="248" w:name="_Toc184308100"/>
      <w:bookmarkEnd w:id="248"/>
      <w:bookmarkStart w:id="249" w:name="_Toc184308041"/>
      <w:bookmarkEnd w:id="249"/>
      <w:bookmarkStart w:id="250" w:name="_Toc184314445"/>
      <w:bookmarkEnd w:id="250"/>
      <w:bookmarkStart w:id="251" w:name="_Toc184310303"/>
      <w:bookmarkEnd w:id="251"/>
      <w:bookmarkStart w:id="252" w:name="_Toc184314425"/>
      <w:bookmarkEnd w:id="252"/>
      <w:bookmarkStart w:id="253" w:name="_Toc184308096"/>
      <w:bookmarkEnd w:id="253"/>
      <w:bookmarkStart w:id="254" w:name="_Toc184310318"/>
      <w:bookmarkEnd w:id="254"/>
      <w:bookmarkStart w:id="255" w:name="_Toc184314482"/>
      <w:bookmarkEnd w:id="255"/>
      <w:bookmarkStart w:id="256" w:name="_Toc184314453"/>
      <w:bookmarkEnd w:id="256"/>
      <w:bookmarkStart w:id="257" w:name="_Toc184312109"/>
      <w:bookmarkEnd w:id="257"/>
      <w:bookmarkStart w:id="258" w:name="_Toc184310275"/>
      <w:bookmarkEnd w:id="258"/>
      <w:bookmarkStart w:id="259" w:name="_Toc184314447"/>
      <w:bookmarkEnd w:id="259"/>
      <w:bookmarkStart w:id="260" w:name="_Toc184314465"/>
      <w:bookmarkEnd w:id="260"/>
      <w:bookmarkStart w:id="261" w:name="_Toc184313242"/>
      <w:bookmarkEnd w:id="261"/>
      <w:bookmarkStart w:id="262" w:name="_Toc184308071"/>
      <w:bookmarkEnd w:id="262"/>
      <w:bookmarkStart w:id="263" w:name="_Toc184308075"/>
      <w:bookmarkEnd w:id="263"/>
      <w:bookmarkStart w:id="264" w:name="_Toc184312123"/>
      <w:bookmarkEnd w:id="264"/>
      <w:bookmarkStart w:id="265" w:name="_Toc184308070"/>
      <w:bookmarkEnd w:id="265"/>
      <w:bookmarkStart w:id="266" w:name="_Toc184312097"/>
      <w:bookmarkEnd w:id="266"/>
      <w:bookmarkStart w:id="267" w:name="_Toc184312128"/>
      <w:bookmarkEnd w:id="267"/>
      <w:bookmarkStart w:id="268" w:name="_Toc184314439"/>
      <w:bookmarkEnd w:id="268"/>
      <w:bookmarkStart w:id="269" w:name="_Toc184310308"/>
      <w:bookmarkEnd w:id="269"/>
      <w:bookmarkStart w:id="270" w:name="_Toc184310292"/>
      <w:bookmarkEnd w:id="270"/>
      <w:bookmarkStart w:id="271" w:name="_Toc184313294"/>
      <w:bookmarkEnd w:id="271"/>
      <w:bookmarkStart w:id="272" w:name="_Toc184310290"/>
      <w:bookmarkEnd w:id="272"/>
      <w:bookmarkStart w:id="273" w:name="_Toc184308052"/>
      <w:bookmarkEnd w:id="273"/>
      <w:bookmarkStart w:id="274" w:name="_Toc184313281"/>
      <w:bookmarkEnd w:id="274"/>
      <w:bookmarkStart w:id="275" w:name="_Toc184312137"/>
      <w:bookmarkEnd w:id="275"/>
      <w:bookmarkStart w:id="276" w:name="_Toc184312076"/>
      <w:bookmarkEnd w:id="276"/>
      <w:bookmarkStart w:id="277" w:name="_Toc184313257"/>
      <w:bookmarkEnd w:id="277"/>
      <w:bookmarkStart w:id="278" w:name="_Toc184313287"/>
      <w:bookmarkEnd w:id="278"/>
      <w:bookmarkStart w:id="279" w:name="_Toc184310343"/>
      <w:bookmarkEnd w:id="279"/>
      <w:bookmarkStart w:id="280" w:name="_Toc184308066"/>
      <w:bookmarkEnd w:id="280"/>
      <w:bookmarkStart w:id="281" w:name="_Toc184313303"/>
      <w:bookmarkEnd w:id="281"/>
      <w:bookmarkStart w:id="282" w:name="_Toc184312100"/>
      <w:bookmarkEnd w:id="282"/>
      <w:bookmarkStart w:id="283" w:name="_Toc184308086"/>
      <w:bookmarkEnd w:id="283"/>
      <w:bookmarkStart w:id="284" w:name="_Toc184313260"/>
      <w:bookmarkEnd w:id="284"/>
      <w:bookmarkStart w:id="285" w:name="_Toc184310295"/>
      <w:bookmarkEnd w:id="285"/>
      <w:bookmarkStart w:id="286" w:name="_Toc184312115"/>
      <w:bookmarkEnd w:id="286"/>
      <w:bookmarkStart w:id="287" w:name="_Toc184313273"/>
      <w:bookmarkEnd w:id="287"/>
      <w:bookmarkStart w:id="288" w:name="_Toc184308062"/>
      <w:bookmarkEnd w:id="288"/>
      <w:bookmarkStart w:id="289" w:name="_Toc184308048"/>
      <w:bookmarkEnd w:id="289"/>
      <w:bookmarkStart w:id="290" w:name="_Toc184310287"/>
      <w:bookmarkEnd w:id="290"/>
      <w:bookmarkStart w:id="291" w:name="_Toc184310276"/>
      <w:bookmarkEnd w:id="291"/>
      <w:bookmarkStart w:id="292" w:name="_Toc184313267"/>
      <w:bookmarkEnd w:id="292"/>
      <w:bookmarkStart w:id="293" w:name="_Toc184314477"/>
      <w:bookmarkEnd w:id="293"/>
      <w:bookmarkStart w:id="294" w:name="_Toc184313243"/>
      <w:bookmarkEnd w:id="294"/>
      <w:bookmarkStart w:id="295" w:name="_Toc184312108"/>
      <w:bookmarkEnd w:id="295"/>
      <w:bookmarkStart w:id="296" w:name="_Toc184308054"/>
      <w:bookmarkEnd w:id="296"/>
      <w:bookmarkStart w:id="297" w:name="_Toc184308050"/>
      <w:bookmarkEnd w:id="297"/>
      <w:bookmarkStart w:id="298" w:name="_Toc184310335"/>
      <w:bookmarkEnd w:id="298"/>
      <w:bookmarkStart w:id="299" w:name="_Toc184312092"/>
      <w:bookmarkEnd w:id="299"/>
      <w:bookmarkStart w:id="300" w:name="_Toc184314474"/>
      <w:bookmarkEnd w:id="300"/>
      <w:bookmarkStart w:id="301" w:name="_Toc184308042"/>
      <w:bookmarkEnd w:id="301"/>
      <w:bookmarkStart w:id="302" w:name="_Toc184314432"/>
      <w:bookmarkEnd w:id="302"/>
      <w:bookmarkStart w:id="303" w:name="_Toc184312079"/>
      <w:bookmarkEnd w:id="303"/>
      <w:bookmarkStart w:id="304" w:name="_Toc184312087"/>
      <w:bookmarkEnd w:id="304"/>
      <w:bookmarkStart w:id="305" w:name="_Toc184312105"/>
      <w:bookmarkEnd w:id="305"/>
      <w:bookmarkStart w:id="306" w:name="_Toc184312090"/>
      <w:bookmarkEnd w:id="306"/>
      <w:bookmarkStart w:id="307" w:name="_Toc184310333"/>
      <w:bookmarkEnd w:id="307"/>
      <w:bookmarkStart w:id="308" w:name="_Toc184310328"/>
      <w:bookmarkEnd w:id="308"/>
      <w:bookmarkStart w:id="309" w:name="_Toc184310274"/>
      <w:bookmarkEnd w:id="309"/>
      <w:bookmarkStart w:id="310" w:name="_Toc184313300"/>
      <w:bookmarkEnd w:id="310"/>
      <w:bookmarkStart w:id="311" w:name="_Toc184314462"/>
      <w:bookmarkEnd w:id="311"/>
      <w:bookmarkStart w:id="312" w:name="_Toc184308091"/>
      <w:bookmarkEnd w:id="312"/>
      <w:bookmarkStart w:id="313" w:name="_Toc184310306"/>
      <w:bookmarkEnd w:id="313"/>
      <w:bookmarkStart w:id="314" w:name="_Toc184313289"/>
      <w:bookmarkEnd w:id="314"/>
      <w:bookmarkStart w:id="315" w:name="_Toc184310297"/>
      <w:bookmarkEnd w:id="315"/>
      <w:bookmarkStart w:id="316" w:name="_Toc184313252"/>
      <w:bookmarkEnd w:id="316"/>
      <w:bookmarkStart w:id="317" w:name="_Toc184312089"/>
      <w:bookmarkEnd w:id="317"/>
      <w:bookmarkStart w:id="318" w:name="_Toc184308097"/>
      <w:bookmarkEnd w:id="318"/>
      <w:bookmarkStart w:id="319" w:name="_Toc184314468"/>
      <w:bookmarkEnd w:id="319"/>
      <w:bookmarkStart w:id="320" w:name="_Toc184308080"/>
      <w:bookmarkEnd w:id="320"/>
      <w:bookmarkStart w:id="321" w:name="_Toc184312101"/>
      <w:bookmarkEnd w:id="321"/>
      <w:bookmarkStart w:id="322" w:name="_Toc184312135"/>
      <w:bookmarkEnd w:id="322"/>
      <w:bookmarkStart w:id="323" w:name="_Toc184312129"/>
      <w:bookmarkEnd w:id="323"/>
      <w:bookmarkStart w:id="324" w:name="_Toc184308095"/>
      <w:bookmarkEnd w:id="324"/>
      <w:bookmarkStart w:id="325" w:name="_Toc184314427"/>
      <w:bookmarkEnd w:id="325"/>
      <w:bookmarkStart w:id="326" w:name="_Toc184308051"/>
      <w:bookmarkEnd w:id="326"/>
      <w:bookmarkStart w:id="327" w:name="_Toc184310327"/>
      <w:bookmarkEnd w:id="327"/>
      <w:bookmarkStart w:id="328" w:name="_Toc184310291"/>
      <w:bookmarkEnd w:id="328"/>
      <w:bookmarkStart w:id="329" w:name="_Toc184313293"/>
      <w:bookmarkEnd w:id="329"/>
      <w:bookmarkStart w:id="330" w:name="_Toc184308039"/>
      <w:bookmarkEnd w:id="330"/>
      <w:bookmarkStart w:id="331" w:name="_Toc184312136"/>
      <w:bookmarkEnd w:id="331"/>
      <w:bookmarkStart w:id="332" w:name="_Toc184308065"/>
      <w:bookmarkEnd w:id="332"/>
      <w:bookmarkStart w:id="333" w:name="_Toc184313285"/>
      <w:bookmarkEnd w:id="333"/>
      <w:bookmarkStart w:id="334" w:name="_Toc184312102"/>
      <w:bookmarkEnd w:id="334"/>
      <w:bookmarkStart w:id="335" w:name="_Toc184313280"/>
      <w:bookmarkEnd w:id="335"/>
      <w:bookmarkStart w:id="336" w:name="_Toc184313283"/>
      <w:bookmarkEnd w:id="336"/>
      <w:bookmarkStart w:id="337" w:name="_Toc184310325"/>
      <w:bookmarkEnd w:id="337"/>
      <w:bookmarkStart w:id="338" w:name="_Toc184314450"/>
      <w:bookmarkEnd w:id="338"/>
      <w:bookmarkStart w:id="339" w:name="_Toc184314448"/>
      <w:bookmarkEnd w:id="339"/>
      <w:bookmarkStart w:id="340" w:name="_Toc184310281"/>
      <w:bookmarkEnd w:id="340"/>
      <w:bookmarkStart w:id="341" w:name="_Toc184313288"/>
      <w:bookmarkEnd w:id="341"/>
      <w:bookmarkStart w:id="342" w:name="_Toc184310288"/>
      <w:bookmarkEnd w:id="342"/>
      <w:bookmarkStart w:id="343" w:name="_Toc184308037"/>
      <w:bookmarkEnd w:id="343"/>
      <w:bookmarkStart w:id="344" w:name="_Toc184313298"/>
      <w:bookmarkEnd w:id="344"/>
      <w:bookmarkStart w:id="345" w:name="_Toc184310311"/>
      <w:bookmarkEnd w:id="345"/>
      <w:bookmarkStart w:id="346" w:name="_Toc184312127"/>
      <w:bookmarkEnd w:id="346"/>
      <w:bookmarkStart w:id="347" w:name="_Toc184314415"/>
      <w:bookmarkEnd w:id="347"/>
      <w:bookmarkStart w:id="348" w:name="_Toc184310314"/>
      <w:bookmarkEnd w:id="348"/>
      <w:bookmarkStart w:id="349" w:name="_Toc184314466"/>
      <w:bookmarkEnd w:id="349"/>
      <w:bookmarkStart w:id="350" w:name="_Toc184308082"/>
      <w:bookmarkEnd w:id="350"/>
      <w:bookmarkStart w:id="351" w:name="_Toc184313265"/>
      <w:bookmarkEnd w:id="351"/>
      <w:bookmarkStart w:id="352" w:name="_Toc184313254"/>
      <w:bookmarkEnd w:id="352"/>
      <w:bookmarkStart w:id="353" w:name="_Toc184312103"/>
      <w:bookmarkEnd w:id="353"/>
      <w:bookmarkStart w:id="354" w:name="_Toc184312084"/>
      <w:bookmarkEnd w:id="354"/>
      <w:bookmarkStart w:id="355" w:name="_Toc184308045"/>
      <w:bookmarkEnd w:id="355"/>
      <w:bookmarkStart w:id="356" w:name="_Toc184308108"/>
      <w:bookmarkEnd w:id="356"/>
      <w:bookmarkStart w:id="357" w:name="_Toc184312093"/>
      <w:bookmarkEnd w:id="357"/>
      <w:bookmarkStart w:id="358" w:name="_Toc184312110"/>
      <w:bookmarkEnd w:id="358"/>
      <w:bookmarkStart w:id="359" w:name="_Toc184310280"/>
      <w:bookmarkEnd w:id="359"/>
      <w:bookmarkStart w:id="360" w:name="_Toc184312126"/>
      <w:bookmarkEnd w:id="360"/>
      <w:bookmarkStart w:id="361" w:name="_Toc184308099"/>
      <w:bookmarkEnd w:id="361"/>
      <w:bookmarkStart w:id="362" w:name="_Toc184310337"/>
      <w:bookmarkEnd w:id="362"/>
      <w:bookmarkStart w:id="363" w:name="_Toc184313297"/>
      <w:bookmarkEnd w:id="363"/>
      <w:bookmarkStart w:id="364" w:name="_Toc184308105"/>
      <w:bookmarkEnd w:id="364"/>
      <w:bookmarkStart w:id="365" w:name="_Toc184312099"/>
      <w:bookmarkEnd w:id="365"/>
      <w:bookmarkStart w:id="366" w:name="_Toc184308104"/>
      <w:bookmarkEnd w:id="366"/>
      <w:bookmarkStart w:id="367" w:name="_Toc184313286"/>
      <w:bookmarkEnd w:id="367"/>
      <w:bookmarkStart w:id="368" w:name="_Toc184308077"/>
      <w:bookmarkEnd w:id="368"/>
      <w:bookmarkStart w:id="369" w:name="_Toc184314473"/>
      <w:bookmarkEnd w:id="369"/>
      <w:bookmarkStart w:id="370" w:name="_Toc184310316"/>
      <w:bookmarkEnd w:id="370"/>
      <w:bookmarkStart w:id="371" w:name="_Toc184312074"/>
      <w:bookmarkEnd w:id="371"/>
      <w:bookmarkStart w:id="372" w:name="_Toc184310289"/>
      <w:bookmarkEnd w:id="372"/>
      <w:bookmarkStart w:id="373" w:name="_Toc184308064"/>
      <w:bookmarkEnd w:id="373"/>
      <w:bookmarkStart w:id="374" w:name="_Toc184313291"/>
      <w:bookmarkEnd w:id="374"/>
      <w:bookmarkStart w:id="375" w:name="_Toc184310305"/>
      <w:bookmarkEnd w:id="375"/>
      <w:bookmarkStart w:id="376" w:name="_Toc184314428"/>
      <w:bookmarkEnd w:id="376"/>
      <w:bookmarkStart w:id="377" w:name="_Toc184312070"/>
      <w:bookmarkEnd w:id="377"/>
      <w:bookmarkStart w:id="378" w:name="_Toc184313255"/>
      <w:bookmarkEnd w:id="378"/>
      <w:bookmarkStart w:id="379" w:name="_Toc184308073"/>
      <w:bookmarkEnd w:id="379"/>
      <w:bookmarkStart w:id="380" w:name="_Toc184310300"/>
      <w:bookmarkEnd w:id="380"/>
      <w:bookmarkStart w:id="381" w:name="_Toc184313279"/>
      <w:bookmarkEnd w:id="381"/>
      <w:bookmarkStart w:id="382" w:name="_Toc184314459"/>
      <w:bookmarkEnd w:id="382"/>
      <w:bookmarkStart w:id="383" w:name="_Toc184308088"/>
      <w:bookmarkEnd w:id="383"/>
      <w:bookmarkStart w:id="384" w:name="_Toc184313272"/>
      <w:bookmarkEnd w:id="384"/>
      <w:bookmarkStart w:id="385" w:name="_Toc184308055"/>
      <w:bookmarkEnd w:id="385"/>
      <w:bookmarkStart w:id="386" w:name="_Toc184310299"/>
      <w:bookmarkEnd w:id="386"/>
      <w:bookmarkStart w:id="387" w:name="_Toc184310341"/>
      <w:bookmarkEnd w:id="387"/>
      <w:bookmarkStart w:id="388" w:name="_Toc184312120"/>
      <w:bookmarkEnd w:id="388"/>
      <w:bookmarkStart w:id="389" w:name="_Toc184308057"/>
      <w:bookmarkEnd w:id="389"/>
      <w:bookmarkStart w:id="390" w:name="_Toc184313240"/>
      <w:bookmarkEnd w:id="390"/>
      <w:bookmarkStart w:id="391" w:name="_Toc184313301"/>
      <w:bookmarkEnd w:id="391"/>
      <w:bookmarkStart w:id="392" w:name="_Toc184308107"/>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pPr w:leftFromText="180" w:rightFromText="180" w:vertAnchor="text" w:horzAnchor="page" w:tblpX="525" w:tblpY="867"/>
        <w:tblW w:w="11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6623"/>
        <w:gridCol w:w="709"/>
        <w:gridCol w:w="1290"/>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658" w:type="dxa"/>
            <w:vAlign w:val="center"/>
          </w:tcPr>
          <w:p>
            <w:pPr>
              <w:spacing w:line="36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6623" w:type="dxa"/>
            <w:vAlign w:val="center"/>
          </w:tcPr>
          <w:p>
            <w:pPr>
              <w:spacing w:line="36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评标标准</w:t>
            </w:r>
          </w:p>
        </w:tc>
        <w:tc>
          <w:tcPr>
            <w:tcW w:w="709"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290" w:type="dxa"/>
            <w:vAlign w:val="top"/>
          </w:tcPr>
          <w:p>
            <w:pPr>
              <w:spacing w:line="360" w:lineRule="auto"/>
              <w:jc w:val="left"/>
              <w:rPr>
                <w:rFonts w:hint="eastAsia" w:ascii="仿宋" w:hAnsi="仿宋" w:eastAsia="仿宋" w:cs="仿宋"/>
                <w:color w:val="auto"/>
                <w:sz w:val="24"/>
                <w:szCs w:val="24"/>
                <w:highlight w:val="none"/>
              </w:rPr>
            </w:pP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主观分/客观分属性</w:t>
            </w:r>
          </w:p>
        </w:tc>
        <w:tc>
          <w:tcPr>
            <w:tcW w:w="1901" w:type="dxa"/>
            <w:vAlign w:val="top"/>
          </w:tcPr>
          <w:p>
            <w:pPr>
              <w:spacing w:line="360" w:lineRule="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r>
              <w:rPr>
                <w:rFonts w:hint="eastAsia" w:ascii="仿宋" w:hAnsi="仿宋" w:eastAsia="仿宋" w:cs="仿宋"/>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623"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针对本项目的服务理念、定位、目标：根据本项目服务特点提出合理的管理服务理念，提出服务定位、目标，投标人的管理模式能够切合实际且可行</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完全符合本项目要求的得5分，基本符合得3分，部分符合的得1分，不符合或不提供不得分。</w:t>
            </w:r>
            <w:r>
              <w:rPr>
                <w:rFonts w:hint="eastAsia" w:ascii="宋体" w:eastAsia="宋体" w:cs="宋体"/>
                <w:color w:val="auto"/>
                <w:sz w:val="21"/>
                <w:szCs w:val="21"/>
                <w:highlight w:val="none"/>
              </w:rPr>
              <w:t>）</w:t>
            </w:r>
          </w:p>
        </w:tc>
        <w:tc>
          <w:tcPr>
            <w:tcW w:w="709"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90" w:type="dxa"/>
            <w:vAlign w:val="center"/>
          </w:tcPr>
          <w:p>
            <w:pPr>
              <w:spacing w:line="360" w:lineRule="auto"/>
              <w:ind w:firstLine="240" w:firstLineChars="10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901"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针对本项目的保安服务理念、定位、目标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623" w:type="dxa"/>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针对本项目的组织架构、管理机制：有比较完善的组织架构，清晰简练地列出主要管理流程，包括对运作流程图、激励机制、监督机制、自我约束机制、信息反馈渠道及处理机制</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完全符合本项目要求的得5分，基本符合得3分，部分符合的得1分，不符合或不提供不得分。</w:t>
            </w:r>
            <w:r>
              <w:rPr>
                <w:rFonts w:hint="eastAsia" w:ascii="宋体" w:eastAsia="宋体" w:cs="宋体"/>
                <w:color w:val="auto"/>
                <w:sz w:val="21"/>
                <w:szCs w:val="21"/>
                <w:highlight w:val="none"/>
              </w:rPr>
              <w:t>）</w:t>
            </w:r>
          </w:p>
        </w:tc>
        <w:tc>
          <w:tcPr>
            <w:tcW w:w="709" w:type="dxa"/>
            <w:vAlign w:val="center"/>
          </w:tcPr>
          <w:p>
            <w:pPr>
              <w:jc w:val="center"/>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c>
          <w:tcPr>
            <w:tcW w:w="1290" w:type="dxa"/>
            <w:vAlign w:val="top"/>
          </w:tcPr>
          <w:p>
            <w:pPr>
              <w:spacing w:line="360" w:lineRule="auto"/>
              <w:jc w:val="both"/>
              <w:outlineLvl w:val="0"/>
              <w:rPr>
                <w:rFonts w:hint="eastAsia" w:ascii="仿宋" w:hAnsi="仿宋" w:eastAsia="仿宋" w:cs="仿宋"/>
                <w:color w:val="auto"/>
                <w:sz w:val="24"/>
                <w:szCs w:val="24"/>
                <w:highlight w:val="none"/>
                <w:lang w:val="en-US" w:eastAsia="zh-CN"/>
              </w:rPr>
            </w:pPr>
          </w:p>
          <w:p>
            <w:pPr>
              <w:spacing w:line="360" w:lineRule="auto"/>
              <w:jc w:val="both"/>
              <w:outlineLvl w:val="0"/>
              <w:rPr>
                <w:rFonts w:hint="eastAsia" w:ascii="仿宋" w:hAnsi="仿宋" w:eastAsia="仿宋" w:cs="仿宋"/>
                <w:color w:val="auto"/>
                <w:sz w:val="24"/>
                <w:szCs w:val="24"/>
                <w:highlight w:val="none"/>
                <w:lang w:val="en-US" w:eastAsia="zh-CN"/>
              </w:rPr>
            </w:pPr>
          </w:p>
          <w:p>
            <w:pPr>
              <w:spacing w:line="360" w:lineRule="auto"/>
              <w:ind w:firstLine="240" w:firstLineChars="100"/>
              <w:jc w:val="both"/>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901" w:type="dxa"/>
            <w:vAlign w:val="top"/>
          </w:tcPr>
          <w:p>
            <w:pPr>
              <w:spacing w:line="360" w:lineRule="auto"/>
              <w:outlineLvl w:val="0"/>
              <w:rPr>
                <w:rFonts w:hint="eastAsia" w:ascii="仿宋" w:hAnsi="仿宋" w:eastAsia="仿宋" w:cs="仿宋"/>
                <w:color w:val="auto"/>
                <w:sz w:val="24"/>
                <w:szCs w:val="24"/>
                <w:highlight w:val="none"/>
              </w:rPr>
            </w:pP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针对本项目的组织架构、管理机制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623"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针对本项目的管理机构设置：根据机构设置情况的合理性等</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打分</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3</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290" w:type="dxa"/>
            <w:vAlign w:val="top"/>
          </w:tcPr>
          <w:p>
            <w:pPr>
              <w:spacing w:line="360" w:lineRule="auto"/>
              <w:jc w:val="both"/>
              <w:rPr>
                <w:rFonts w:hint="eastAsia"/>
                <w:color w:val="auto"/>
                <w:highlight w:val="none"/>
                <w:lang w:val="en-US" w:eastAsia="zh-CN"/>
              </w:rPr>
            </w:pPr>
          </w:p>
          <w:p>
            <w:pPr>
              <w:pStyle w:val="4"/>
              <w:ind w:left="433" w:leftChars="202" w:hanging="9" w:hangingChars="4"/>
              <w:jc w:val="both"/>
              <w:rPr>
                <w:rFonts w:hint="eastAsia"/>
                <w:color w:val="auto"/>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主观</w:t>
            </w:r>
          </w:p>
        </w:tc>
        <w:tc>
          <w:tcPr>
            <w:tcW w:w="1901" w:type="dxa"/>
            <w:vAlign w:val="top"/>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针对本项目的管理机构设置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23" w:type="dxa"/>
            <w:vAlign w:val="center"/>
          </w:tcPr>
          <w:p>
            <w:pPr>
              <w:numPr>
                <w:ilvl w:val="0"/>
                <w:numId w:val="0"/>
              </w:num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4"/>
                <w:szCs w:val="24"/>
                <w:lang w:val="en-US" w:eastAsia="zh-CN" w:bidi="ar-SA"/>
              </w:rPr>
              <w:t>运作流程图、激励机制、监督机制、自我约束机制、信息反馈渠道及处理机制切合本项目采购需求，详细、合理、完善</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3</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290" w:type="dxa"/>
            <w:vAlign w:val="top"/>
          </w:tcPr>
          <w:p>
            <w:pPr>
              <w:spacing w:line="360" w:lineRule="auto"/>
              <w:jc w:val="both"/>
              <w:rPr>
                <w:rFonts w:hint="eastAsia"/>
                <w:color w:val="auto"/>
                <w:highlight w:val="none"/>
                <w:lang w:val="en-US" w:eastAsia="zh-CN"/>
              </w:rPr>
            </w:pPr>
          </w:p>
          <w:p>
            <w:pPr>
              <w:pStyle w:val="4"/>
              <w:ind w:left="0" w:leftChars="0" w:firstLine="0" w:firstLineChars="0"/>
              <w:jc w:val="both"/>
              <w:rPr>
                <w:rFonts w:hint="eastAsia" w:ascii="仿宋" w:eastAsia="仿宋" w:cs="仿宋"/>
                <w:b w:val="0"/>
                <w:bCs w:val="0"/>
                <w:color w:val="auto"/>
                <w:kern w:val="2"/>
                <w:sz w:val="24"/>
                <w:szCs w:val="24"/>
                <w:highlight w:val="none"/>
                <w:lang w:val="en-US" w:eastAsia="zh-CN" w:bidi="ar-SA"/>
              </w:rPr>
            </w:pPr>
          </w:p>
          <w:p>
            <w:pPr>
              <w:pStyle w:val="4"/>
              <w:ind w:left="0" w:leftChars="0" w:firstLine="240" w:firstLineChars="100"/>
              <w:jc w:val="both"/>
              <w:rPr>
                <w:rFonts w:hint="eastAsia"/>
                <w:color w:val="auto"/>
                <w:highlight w:val="none"/>
                <w:lang w:val="en-US" w:eastAsia="zh-CN"/>
              </w:rPr>
            </w:pPr>
            <w:r>
              <w:rPr>
                <w:rFonts w:hint="eastAsia" w:ascii="仿宋" w:eastAsia="仿宋" w:cs="仿宋"/>
                <w:b w:val="0"/>
                <w:bCs w:val="0"/>
                <w:color w:val="auto"/>
                <w:kern w:val="2"/>
                <w:sz w:val="24"/>
                <w:szCs w:val="24"/>
                <w:highlight w:val="none"/>
                <w:lang w:val="en-US" w:eastAsia="zh-CN" w:bidi="ar-SA"/>
              </w:rPr>
              <w:t>主观</w:t>
            </w:r>
          </w:p>
        </w:tc>
        <w:tc>
          <w:tcPr>
            <w:tcW w:w="1901" w:type="dxa"/>
            <w:vAlign w:val="top"/>
          </w:tcPr>
          <w:p>
            <w:pPr>
              <w:rPr>
                <w:rFonts w:hint="eastAsia" w:ascii="仿宋" w:hAnsi="仿宋" w:eastAsia="仿宋" w:cs="仿宋"/>
                <w:color w:val="auto"/>
                <w:sz w:val="24"/>
                <w:szCs w:val="24"/>
                <w:highlight w:val="none"/>
                <w:lang w:val="en-US" w:eastAsia="zh-CN"/>
              </w:rPr>
            </w:pPr>
          </w:p>
          <w:p>
            <w:pPr>
              <w:rPr>
                <w:rFonts w:hint="eastAsia" w:ascii="仿宋" w:hAnsi="仿宋" w:eastAsia="仿宋" w:cs="仿宋"/>
                <w:color w:val="auto"/>
                <w:sz w:val="24"/>
                <w:szCs w:val="24"/>
                <w:highlight w:val="none"/>
                <w:lang w:eastAsia="zh-CN"/>
              </w:rPr>
            </w:pPr>
            <w:r>
              <w:rPr>
                <w:rFonts w:hint="eastAsia" w:ascii="仿宋" w:hAnsi="仿宋" w:eastAsia="仿宋" w:cs="仿宋"/>
                <w:kern w:val="2"/>
                <w:sz w:val="24"/>
                <w:szCs w:val="24"/>
                <w:lang w:val="en-US" w:eastAsia="zh-CN" w:bidi="ar-SA"/>
              </w:rPr>
              <w:t>运作流程图及管理机制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4"/>
                <w:szCs w:val="24"/>
                <w:lang w:val="en-US" w:eastAsia="zh-CN" w:bidi="ar-SA"/>
              </w:rPr>
              <w:t>保安服务质量措施方案，文明安全保证体系和安全保证措施方案切合本项目采购需求，针对性、操作性强，计划安排科学合理，制定工作方案，并建立完善的考核机制</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firstLine="240" w:firstLineChars="100"/>
              <w:jc w:val="both"/>
              <w:outlineLvl w:val="0"/>
              <w:rPr>
                <w:rFonts w:hint="default" w:ascii="仿宋" w:hAnsi="仿宋" w:eastAsia="仿宋" w:cs="仿宋"/>
                <w:color w:val="auto"/>
                <w:sz w:val="24"/>
                <w:szCs w:val="24"/>
                <w:highlight w:val="none"/>
                <w:lang w:val="en-US" w:eastAsia="zh-CN"/>
              </w:rPr>
            </w:pPr>
            <w:r>
              <w:rPr>
                <w:rFonts w:hint="eastAsia" w:ascii="仿宋" w:hAnsi="仿宋" w:eastAsia="仿宋" w:cs="仿宋"/>
                <w:kern w:val="2"/>
                <w:sz w:val="24"/>
                <w:szCs w:val="24"/>
                <w:lang w:val="en-US" w:eastAsia="zh-CN" w:bidi="ar-SA"/>
              </w:rPr>
              <w:t>4</w:t>
            </w:r>
          </w:p>
        </w:tc>
        <w:tc>
          <w:tcPr>
            <w:tcW w:w="1290" w:type="dxa"/>
            <w:vAlign w:val="top"/>
          </w:tcPr>
          <w:p>
            <w:pPr>
              <w:spacing w:line="360" w:lineRule="auto"/>
              <w:jc w:val="both"/>
              <w:rPr>
                <w:rFonts w:hint="eastAsia" w:ascii="仿宋" w:hAnsi="仿宋" w:eastAsia="仿宋" w:cs="仿宋"/>
                <w:color w:val="auto"/>
                <w:sz w:val="24"/>
                <w:szCs w:val="24"/>
                <w:highlight w:val="none"/>
                <w:lang w:val="en-US" w:eastAsia="zh-CN"/>
              </w:rPr>
            </w:pPr>
          </w:p>
          <w:p>
            <w:pPr>
              <w:spacing w:line="360" w:lineRule="auto"/>
              <w:jc w:val="both"/>
              <w:rPr>
                <w:rFonts w:hint="eastAsia" w:ascii="仿宋" w:hAnsi="仿宋" w:eastAsia="仿宋" w:cs="仿宋"/>
                <w:color w:val="auto"/>
                <w:sz w:val="24"/>
                <w:szCs w:val="24"/>
                <w:highlight w:val="none"/>
                <w:lang w:val="en-US" w:eastAsia="zh-CN"/>
              </w:rPr>
            </w:pPr>
          </w:p>
          <w:p>
            <w:pPr>
              <w:spacing w:line="360" w:lineRule="auto"/>
              <w:ind w:firstLine="240" w:firstLineChars="10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kern w:val="2"/>
                <w:sz w:val="24"/>
                <w:szCs w:val="24"/>
                <w:lang w:val="en-US" w:eastAsia="zh-CN" w:bidi="ar-SA"/>
              </w:rPr>
              <w:t>保安服务质量措施方案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default" w:ascii="仿宋" w:hAnsi="仿宋" w:eastAsia="仿宋" w:cs="仿宋"/>
                <w:color w:val="auto"/>
                <w:sz w:val="24"/>
                <w:szCs w:val="24"/>
                <w:highlight w:val="none"/>
                <w:lang w:val="en-US" w:eastAsia="zh-CN"/>
              </w:rPr>
            </w:pPr>
            <w:r>
              <w:rPr>
                <w:rFonts w:hint="eastAsia" w:ascii="仿宋" w:hAnsi="仿宋" w:eastAsia="仿宋" w:cs="仿宋"/>
                <w:kern w:val="2"/>
                <w:sz w:val="24"/>
                <w:szCs w:val="24"/>
                <w:lang w:val="en-US" w:eastAsia="zh-CN" w:bidi="ar-SA"/>
              </w:rPr>
              <w:t>安全制度切合本项目采购需求，针对性、操作性强、科学合理得4分；安全制度较为切合本项目采购需求</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290" w:type="dxa"/>
            <w:vAlign w:val="top"/>
          </w:tcPr>
          <w:p>
            <w:pPr>
              <w:spacing w:line="360" w:lineRule="auto"/>
              <w:jc w:val="both"/>
              <w:rPr>
                <w:rFonts w:hint="eastAsia" w:ascii="仿宋" w:hAnsi="仿宋" w:eastAsia="仿宋" w:cs="仿宋"/>
                <w:color w:val="auto"/>
                <w:sz w:val="24"/>
                <w:szCs w:val="24"/>
                <w:highlight w:val="none"/>
                <w:lang w:val="en-US" w:eastAsia="zh-CN"/>
              </w:rPr>
            </w:pPr>
          </w:p>
          <w:p>
            <w:pPr>
              <w:spacing w:line="360" w:lineRule="auto"/>
              <w:ind w:firstLine="240" w:firstLineChars="10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901" w:type="dxa"/>
            <w:vAlign w:val="top"/>
          </w:tcPr>
          <w:p>
            <w:pPr>
              <w:rPr>
                <w:rFonts w:hint="eastAsia" w:ascii="仿宋" w:hAnsi="仿宋" w:eastAsia="仿宋" w:cs="仿宋"/>
                <w:color w:val="auto"/>
                <w:sz w:val="24"/>
                <w:szCs w:val="24"/>
                <w:highlight w:val="none"/>
                <w:lang w:val="en-US" w:eastAsia="zh-CN"/>
              </w:rPr>
            </w:pPr>
          </w:p>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kern w:val="2"/>
                <w:sz w:val="24"/>
                <w:szCs w:val="24"/>
                <w:lang w:val="en-US" w:eastAsia="zh-CN" w:bidi="ar-SA"/>
              </w:rPr>
              <w:t>安全制度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岗位管理制度切合本项目采购需求，针对性、操作性强、科学合理</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4</w:t>
            </w:r>
          </w:p>
        </w:tc>
        <w:tc>
          <w:tcPr>
            <w:tcW w:w="1290" w:type="dxa"/>
            <w:vAlign w:val="top"/>
          </w:tcPr>
          <w:p>
            <w:pPr>
              <w:adjustRightInd w:val="0"/>
              <w:snapToGrid w:val="0"/>
              <w:spacing w:line="228" w:lineRule="auto"/>
              <w:ind w:left="-105" w:leftChars="-50" w:right="-105" w:rightChars="-50"/>
              <w:jc w:val="both"/>
              <w:rPr>
                <w:rFonts w:hint="eastAsia"/>
                <w:color w:val="auto"/>
                <w:highlight w:val="none"/>
                <w:lang w:val="en-US" w:eastAsia="zh-CN"/>
              </w:rPr>
            </w:pPr>
          </w:p>
          <w:p>
            <w:pPr>
              <w:jc w:val="both"/>
              <w:rPr>
                <w:rFonts w:hint="eastAsia" w:ascii="仿宋" w:hAnsi="仿宋" w:eastAsia="仿宋" w:cs="仿宋"/>
                <w:color w:val="auto"/>
                <w:sz w:val="24"/>
                <w:szCs w:val="24"/>
                <w:highlight w:val="none"/>
                <w:lang w:val="en-US" w:eastAsia="zh-CN"/>
              </w:rPr>
            </w:pPr>
          </w:p>
          <w:p>
            <w:pPr>
              <w:ind w:firstLine="240" w:firstLineChars="100"/>
              <w:jc w:val="both"/>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主观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kern w:val="2"/>
                <w:sz w:val="24"/>
                <w:szCs w:val="24"/>
                <w:lang w:val="en-US" w:eastAsia="zh-CN" w:bidi="ar-SA"/>
              </w:rPr>
              <w:t>岗位管理制度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各岗位职责、考核制度完善切合本项目采购需求，针对性、操作性强，制度安排科学合理</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4</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2</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4</w:t>
            </w:r>
          </w:p>
        </w:tc>
        <w:tc>
          <w:tcPr>
            <w:tcW w:w="1290" w:type="dxa"/>
            <w:vAlign w:val="top"/>
          </w:tcPr>
          <w:p>
            <w:pPr>
              <w:adjustRightInd w:val="0"/>
              <w:snapToGrid w:val="0"/>
              <w:spacing w:line="228" w:lineRule="auto"/>
              <w:ind w:left="-105" w:leftChars="-50" w:right="-105" w:rightChars="-50"/>
              <w:jc w:val="both"/>
              <w:rPr>
                <w:rFonts w:hint="eastAsia"/>
                <w:color w:val="auto"/>
                <w:highlight w:val="none"/>
                <w:lang w:val="en-US" w:eastAsia="zh-CN"/>
              </w:rPr>
            </w:pPr>
          </w:p>
          <w:p>
            <w:pPr>
              <w:pStyle w:val="4"/>
              <w:ind w:left="0" w:leftChars="0" w:firstLine="0" w:firstLineChars="0"/>
              <w:jc w:val="both"/>
              <w:rPr>
                <w:rFonts w:hint="eastAsia" w:ascii="仿宋" w:hAnsi="仿宋" w:eastAsia="仿宋" w:cs="仿宋"/>
                <w:b w:val="0"/>
                <w:bCs w:val="0"/>
                <w:color w:val="auto"/>
                <w:kern w:val="2"/>
                <w:sz w:val="24"/>
                <w:szCs w:val="24"/>
                <w:highlight w:val="none"/>
                <w:lang w:val="en-US" w:eastAsia="zh-CN" w:bidi="ar-SA"/>
              </w:rPr>
            </w:pPr>
          </w:p>
          <w:p>
            <w:pPr>
              <w:pStyle w:val="4"/>
              <w:ind w:left="437" w:leftChars="88" w:hanging="252" w:hangingChars="105"/>
              <w:jc w:val="both"/>
              <w:rPr>
                <w:rFonts w:hint="eastAsia"/>
                <w:color w:val="auto"/>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主观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kern w:val="2"/>
                <w:sz w:val="24"/>
                <w:szCs w:val="24"/>
                <w:lang w:val="en-US" w:eastAsia="zh-CN" w:bidi="ar-SA"/>
              </w:rPr>
              <w:t>各岗位职责、考核制度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保安管理与服务方案完切合本项目采购需求，针对性、操作性强，计划安排科学合理，制定工作方案，并建立完善的考核机制</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3</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adjustRightInd w:val="0"/>
              <w:snapToGrid w:val="0"/>
              <w:spacing w:line="228" w:lineRule="auto"/>
              <w:ind w:left="-105" w:leftChars="-50" w:right="-105" w:rightChars="-50"/>
              <w:jc w:val="both"/>
              <w:rPr>
                <w:rFonts w:hint="eastAsia"/>
                <w:color w:val="auto"/>
                <w:highlight w:val="none"/>
                <w:lang w:val="en-US" w:eastAsia="zh-CN"/>
              </w:rPr>
            </w:pPr>
          </w:p>
          <w:p>
            <w:pPr>
              <w:jc w:val="both"/>
              <w:rPr>
                <w:rFonts w:hint="eastAsia" w:ascii="仿宋" w:eastAsia="仿宋" w:cs="仿宋"/>
                <w:color w:val="auto"/>
                <w:kern w:val="2"/>
                <w:sz w:val="24"/>
                <w:szCs w:val="24"/>
                <w:highlight w:val="none"/>
                <w:lang w:val="en-US" w:eastAsia="zh-CN" w:bidi="ar-SA"/>
              </w:rPr>
            </w:pPr>
          </w:p>
          <w:p>
            <w:pPr>
              <w:jc w:val="both"/>
              <w:rPr>
                <w:rFonts w:hint="eastAsia" w:ascii="仿宋" w:eastAsia="仿宋" w:cs="仿宋"/>
                <w:color w:val="auto"/>
                <w:kern w:val="2"/>
                <w:sz w:val="24"/>
                <w:szCs w:val="24"/>
                <w:highlight w:val="none"/>
                <w:lang w:val="en-US" w:eastAsia="zh-CN" w:bidi="ar-SA"/>
              </w:rPr>
            </w:pPr>
          </w:p>
          <w:p>
            <w:pPr>
              <w:ind w:firstLine="240" w:firstLineChars="100"/>
              <w:jc w:val="both"/>
              <w:rPr>
                <w:rFonts w:hint="eastAsia"/>
                <w:color w:val="auto"/>
                <w:highlight w:val="none"/>
                <w:lang w:val="en-US" w:eastAsia="zh-CN"/>
              </w:rPr>
            </w:pPr>
            <w:r>
              <w:rPr>
                <w:rFonts w:hint="eastAsia" w:ascii="仿宋" w:eastAsia="仿宋" w:cs="仿宋"/>
                <w:color w:val="auto"/>
                <w:kern w:val="2"/>
                <w:sz w:val="24"/>
                <w:szCs w:val="24"/>
                <w:highlight w:val="none"/>
                <w:lang w:val="en-US" w:eastAsia="zh-CN" w:bidi="ar-SA"/>
              </w:rPr>
              <w:t>主观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kern w:val="2"/>
                <w:sz w:val="24"/>
                <w:szCs w:val="24"/>
                <w:lang w:val="en-US" w:eastAsia="zh-CN" w:bidi="ar-SA"/>
              </w:rPr>
              <w:t>保安管理与服务方案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623" w:type="dxa"/>
            <w:vAlign w:val="center"/>
          </w:tcPr>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项目负责人：</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①具有高级及以上职称得3分，中级职称得2分，初级职称得1分，本条满分3分。</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②具有高级保安管理师（一级保安员）证书的得2分，本条满分2分。</w:t>
            </w:r>
          </w:p>
          <w:p>
            <w:pPr>
              <w:widowControl w:val="0"/>
              <w:adjustRightInd w:val="0"/>
              <w:spacing w:before="0" w:beforeAutospacing="0" w:after="0" w:afterAutospacing="0" w:line="114"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宋体" w:eastAsia="宋体" w:cs="宋体"/>
                <w:color w:val="auto"/>
                <w:sz w:val="21"/>
                <w:szCs w:val="21"/>
                <w:highlight w:val="none"/>
                <w:lang w:val="en-US" w:eastAsia="zh-CN"/>
              </w:rPr>
              <w:t>（须提供本单位社保缴纳证明及相关证明材料的复印件或扫描打印件，否则不得分）</w:t>
            </w:r>
          </w:p>
        </w:tc>
        <w:tc>
          <w:tcPr>
            <w:tcW w:w="709" w:type="dxa"/>
            <w:vAlign w:val="center"/>
          </w:tcPr>
          <w:p>
            <w:pPr>
              <w:widowControl w:val="0"/>
              <w:adjustRightInd w:val="0"/>
              <w:spacing w:before="0" w:beforeAutospacing="0" w:after="0" w:afterAutospacing="0" w:line="114" w:lineRule="atLeast"/>
              <w:ind w:left="0" w:leftChars="0" w:right="0" w:rightChar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adjustRightInd w:val="0"/>
              <w:snapToGrid w:val="0"/>
              <w:spacing w:line="228" w:lineRule="auto"/>
              <w:ind w:left="-105" w:leftChars="-50"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firstLine="240" w:firstLineChars="100"/>
              <w:jc w:val="both"/>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项目负责人资质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623" w:type="dxa"/>
            <w:vAlign w:val="center"/>
          </w:tcPr>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保安主管：</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①具有大专及以上学历并持有建构筑物消防员证得1分，本条满分1分。</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②具有公安机关等政府部门颁发与本项目有关的荣誉证书每个得0.5分，本条满分2分。</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③具有高级保安管理师（一级保安员）证书的得2分，本条满分2分。</w:t>
            </w:r>
          </w:p>
          <w:p>
            <w:pPr>
              <w:widowControl w:val="0"/>
              <w:adjustRightInd w:val="0"/>
              <w:spacing w:before="0" w:beforeAutospacing="0" w:after="0" w:afterAutospacing="0" w:line="228"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宋体" w:eastAsia="宋体" w:cs="宋体"/>
                <w:color w:val="auto"/>
                <w:sz w:val="21"/>
                <w:szCs w:val="21"/>
                <w:highlight w:val="none"/>
                <w:lang w:val="en-US" w:eastAsia="zh-CN"/>
              </w:rPr>
              <w:t>（须提供本单位社保缴纳证明及相关证明材料的复印件或扫描打印件，否则不得分）</w:t>
            </w:r>
          </w:p>
        </w:tc>
        <w:tc>
          <w:tcPr>
            <w:tcW w:w="709" w:type="dxa"/>
            <w:vAlign w:val="center"/>
          </w:tcPr>
          <w:p>
            <w:pPr>
              <w:widowControl w:val="0"/>
              <w:adjustRightInd w:val="0"/>
              <w:spacing w:before="0" w:beforeAutospacing="0" w:after="0" w:afterAutospacing="0" w:line="228" w:lineRule="atLeast"/>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both"/>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firstLine="240" w:firstLineChars="1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p>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保安主管资质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623" w:type="dxa"/>
            <w:vAlign w:val="center"/>
          </w:tcPr>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保安班长：</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①具有本科及以上学历并是退伍军人得2分，本条满分2分。</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②具有公安机关等政府部门颁发与本项目有关的荣誉证书：省级及以上得2分，市级得1分，按最高荣誉得分，不累计。</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③具有保安管理师（二级保安员）及以上证书的得1分，本条满分1分。</w:t>
            </w:r>
          </w:p>
          <w:p>
            <w:pPr>
              <w:widowControl w:val="0"/>
              <w:adjustRightInd w:val="0"/>
              <w:spacing w:before="0" w:beforeAutospacing="0" w:after="0" w:afterAutospacing="0" w:line="228"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宋体" w:eastAsia="宋体" w:cs="宋体"/>
                <w:color w:val="auto"/>
                <w:sz w:val="21"/>
                <w:szCs w:val="21"/>
                <w:highlight w:val="none"/>
                <w:lang w:val="en-US" w:eastAsia="zh-CN"/>
              </w:rPr>
              <w:t>(须提供本单位社保缴纳证明及相关证明材料的扫描件，否则不得分)</w:t>
            </w:r>
          </w:p>
        </w:tc>
        <w:tc>
          <w:tcPr>
            <w:tcW w:w="709" w:type="dxa"/>
            <w:vAlign w:val="center"/>
          </w:tcPr>
          <w:p>
            <w:pPr>
              <w:widowControl w:val="0"/>
              <w:adjustRightInd w:val="0"/>
              <w:spacing w:before="0" w:beforeAutospacing="0" w:after="0" w:afterAutospacing="0" w:line="228" w:lineRule="atLeast"/>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adjustRightInd w:val="0"/>
              <w:snapToGrid w:val="0"/>
              <w:spacing w:line="228" w:lineRule="auto"/>
              <w:ind w:right="-105" w:rightChars="-50" w:firstLine="210" w:firstLineChars="100"/>
              <w:jc w:val="both"/>
              <w:rPr>
                <w:rFonts w:hint="eastAsia"/>
                <w:lang w:val="en-US" w:eastAsia="zh-CN"/>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lang w:val="en-US" w:eastAsia="zh-CN" w:bidi="ar-SA"/>
              </w:rPr>
              <w:t>保安班长资质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6623" w:type="dxa"/>
            <w:vAlign w:val="center"/>
          </w:tcPr>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其他人员（除项目经理、保安主管、保安班长）外</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①具有高级保安管理师（一级保安员）证书，每提供一人得0.5分，本条满分4分。</w:t>
            </w:r>
          </w:p>
          <w:p>
            <w:pPr>
              <w:widowControl w:val="0"/>
              <w:adjustRightInd w:val="0"/>
              <w:spacing w:before="0" w:beforeAutospacing="0" w:after="0" w:afterAutospacing="0" w:line="360" w:lineRule="auto"/>
              <w:ind w:left="0" w:right="0"/>
              <w:jc w:val="both"/>
              <w:outlineLvl w:val="0"/>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SA"/>
              </w:rPr>
              <w:t>②具有保安管理师（保安员二级）证书的每5人得1分，共3分。</w:t>
            </w:r>
          </w:p>
          <w:p>
            <w:pPr>
              <w:widowControl w:val="0"/>
              <w:adjustRightInd w:val="0"/>
              <w:spacing w:before="0" w:beforeAutospacing="0" w:after="0" w:afterAutospacing="0" w:line="114"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宋体" w:eastAsia="宋体" w:cs="宋体"/>
                <w:color w:val="auto"/>
                <w:sz w:val="21"/>
                <w:szCs w:val="21"/>
                <w:highlight w:val="none"/>
                <w:lang w:val="en-US" w:eastAsia="zh-CN"/>
              </w:rPr>
              <w:t>（须提供本单位社保缴纳证明及证书复印件，否则不得分）</w:t>
            </w:r>
          </w:p>
        </w:tc>
        <w:tc>
          <w:tcPr>
            <w:tcW w:w="709" w:type="dxa"/>
            <w:vAlign w:val="center"/>
          </w:tcPr>
          <w:p>
            <w:pPr>
              <w:widowControl w:val="0"/>
              <w:adjustRightInd w:val="0"/>
              <w:spacing w:before="0" w:beforeAutospacing="0" w:after="0" w:afterAutospacing="0" w:line="114" w:lineRule="atLeast"/>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1290" w:type="dxa"/>
            <w:vAlign w:val="top"/>
          </w:tcPr>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项目其他人员资质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应急</w:t>
            </w:r>
            <w:r>
              <w:rPr>
                <w:rFonts w:hint="eastAsia" w:ascii="仿宋" w:hAnsi="仿宋" w:eastAsia="仿宋" w:cs="宋体"/>
                <w:kern w:val="0"/>
                <w:sz w:val="24"/>
                <w:szCs w:val="24"/>
                <w:lang w:val="en-US" w:eastAsia="zh-CN" w:bidi="ar-SA"/>
              </w:rPr>
              <w:t>措施、</w:t>
            </w:r>
            <w:r>
              <w:rPr>
                <w:rFonts w:hint="eastAsia" w:ascii="仿宋" w:hAnsi="仿宋" w:eastAsia="仿宋" w:cs="仿宋"/>
                <w:kern w:val="2"/>
                <w:sz w:val="24"/>
                <w:szCs w:val="24"/>
                <w:lang w:val="en-US" w:eastAsia="zh-CN" w:bidi="ar-SA"/>
              </w:rPr>
              <w:t>响应方案切合本项目采购需求，针对性、操作性强，计划安排科学合理，制定工作方案，并建立完善的考核机制</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3</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ind w:left="0" w:leftChars="0" w:firstLine="480" w:firstLineChars="2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主观</w:t>
            </w:r>
          </w:p>
        </w:tc>
        <w:tc>
          <w:tcPr>
            <w:tcW w:w="1901" w:type="dxa"/>
            <w:vAlign w:val="top"/>
          </w:tcPr>
          <w:p>
            <w:pPr>
              <w:rPr>
                <w:rFonts w:hint="eastAsia" w:ascii="仿宋" w:hAnsi="仿宋" w:eastAsia="仿宋" w:cs="宋体"/>
                <w:kern w:val="0"/>
                <w:sz w:val="24"/>
                <w:szCs w:val="24"/>
                <w:lang w:val="en-US" w:eastAsia="zh-CN" w:bidi="ar-SA"/>
              </w:rPr>
            </w:pPr>
          </w:p>
          <w:p>
            <w:pPr>
              <w:rPr>
                <w:rFonts w:hint="eastAsia" w:ascii="仿宋" w:hAnsi="仿宋" w:eastAsia="仿宋" w:cs="宋体"/>
                <w:kern w:val="0"/>
                <w:sz w:val="24"/>
                <w:szCs w:val="24"/>
                <w:lang w:val="en-US" w:eastAsia="zh-CN" w:bidi="ar-SA"/>
              </w:rPr>
            </w:pPr>
          </w:p>
          <w:p>
            <w:pPr>
              <w:rPr>
                <w:rFonts w:hint="eastAsia" w:ascii="仿宋" w:hAnsi="仿宋" w:eastAsia="仿宋" w:cs="仿宋"/>
                <w:kern w:val="2"/>
                <w:sz w:val="24"/>
                <w:szCs w:val="24"/>
                <w:lang w:val="en-US" w:eastAsia="zh-CN" w:bidi="ar-SA"/>
              </w:rPr>
            </w:pPr>
            <w:r>
              <w:rPr>
                <w:rFonts w:hint="eastAsia" w:ascii="仿宋" w:hAnsi="仿宋" w:eastAsia="仿宋" w:cs="宋体"/>
                <w:kern w:val="0"/>
                <w:sz w:val="24"/>
                <w:szCs w:val="24"/>
                <w:lang w:val="en-US" w:eastAsia="zh-CN" w:bidi="ar-SA"/>
              </w:rPr>
              <w:t>突发事件的应急措施、应急响应能力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投标人提供的服务承诺、特色服务切合本项目采购需求，针对性、操作性强、新颖实用</w:t>
            </w:r>
            <w:r>
              <w:rPr>
                <w:rFonts w:hint="eastAsia" w:ascii="宋体" w:eastAsia="宋体" w:cs="宋体"/>
                <w:color w:val="auto"/>
                <w:sz w:val="21"/>
                <w:szCs w:val="21"/>
                <w:highlight w:val="none"/>
              </w:rPr>
              <w:t>（</w:t>
            </w:r>
            <w:r>
              <w:rPr>
                <w:rFonts w:hint="eastAsia" w:ascii="宋体" w:eastAsia="宋体" w:cs="宋体"/>
                <w:color w:val="auto"/>
                <w:sz w:val="21"/>
                <w:szCs w:val="21"/>
                <w:highlight w:val="none"/>
                <w:lang w:val="en-US" w:eastAsia="zh-CN"/>
              </w:rPr>
              <w:t>完全符合本项目要求的得</w:t>
            </w:r>
            <w:r>
              <w:rPr>
                <w:rFonts w:hint="eastAsia" w:ascii="宋体" w:cs="宋体"/>
                <w:color w:val="auto"/>
                <w:sz w:val="21"/>
                <w:szCs w:val="21"/>
                <w:highlight w:val="none"/>
                <w:lang w:val="en-US" w:eastAsia="zh-CN"/>
              </w:rPr>
              <w:t>5</w:t>
            </w:r>
            <w:r>
              <w:rPr>
                <w:rFonts w:hint="eastAsia" w:ascii="宋体" w:eastAsia="宋体" w:cs="宋体"/>
                <w:color w:val="auto"/>
                <w:sz w:val="21"/>
                <w:szCs w:val="21"/>
                <w:highlight w:val="none"/>
                <w:lang w:val="en-US" w:eastAsia="zh-CN"/>
              </w:rPr>
              <w:t>分，基本符合得</w:t>
            </w:r>
            <w:r>
              <w:rPr>
                <w:rFonts w:hint="eastAsia" w:ascii="宋体" w:cs="宋体"/>
                <w:color w:val="auto"/>
                <w:sz w:val="21"/>
                <w:szCs w:val="21"/>
                <w:highlight w:val="none"/>
                <w:lang w:val="en-US" w:eastAsia="zh-CN"/>
              </w:rPr>
              <w:t>3</w:t>
            </w:r>
            <w:r>
              <w:rPr>
                <w:rFonts w:hint="eastAsia" w:ascii="宋体" w:eastAsia="宋体" w:cs="宋体"/>
                <w:color w:val="auto"/>
                <w:sz w:val="21"/>
                <w:szCs w:val="21"/>
                <w:highlight w:val="none"/>
                <w:lang w:val="en-US" w:eastAsia="zh-CN"/>
              </w:rPr>
              <w:t>分，部分符合的得1分，不符合或不提供不得分。</w:t>
            </w:r>
            <w:r>
              <w:rPr>
                <w:rFonts w:hint="eastAsia" w:ascii="宋体" w:eastAsia="宋体" w:cs="宋体"/>
                <w:color w:val="auto"/>
                <w:sz w:val="21"/>
                <w:szCs w:val="21"/>
                <w:highlight w:val="none"/>
              </w:rPr>
              <w:t>）</w:t>
            </w:r>
          </w:p>
        </w:tc>
        <w:tc>
          <w:tcPr>
            <w:tcW w:w="709" w:type="dxa"/>
            <w:vAlign w:val="center"/>
          </w:tcPr>
          <w:p>
            <w:pPr>
              <w:widowControl w:val="0"/>
              <w:adjustRightInd w:val="0"/>
              <w:spacing w:before="0" w:beforeAutospacing="0" w:after="0" w:afterAutospacing="0" w:line="360" w:lineRule="auto"/>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pStyle w:val="2"/>
              <w:ind w:left="0" w:leftChars="0" w:firstLine="480" w:firstLineChars="200"/>
              <w:jc w:val="both"/>
              <w:rPr>
                <w:rFonts w:hint="eastAsia" w:ascii="仿宋" w:hAnsi="仿宋" w:eastAsia="仿宋" w:cs="仿宋"/>
                <w:color w:val="auto"/>
                <w:kern w:val="2"/>
                <w:sz w:val="24"/>
                <w:szCs w:val="24"/>
                <w:highlight w:val="none"/>
                <w:lang w:val="en-US" w:eastAsia="zh-CN" w:bidi="ar-SA"/>
              </w:rPr>
            </w:pPr>
          </w:p>
          <w:p>
            <w:pPr>
              <w:pStyle w:val="2"/>
              <w:ind w:left="0" w:leftChars="0" w:firstLine="240" w:firstLineChars="100"/>
              <w:jc w:val="both"/>
              <w:rPr>
                <w:rFonts w:hint="eastAsia" w:ascii="仿宋" w:hAnsi="仿宋" w:eastAsia="仿宋" w:cs="仿宋"/>
                <w:color w:val="auto"/>
                <w:kern w:val="2"/>
                <w:sz w:val="24"/>
                <w:szCs w:val="24"/>
                <w:highlight w:val="none"/>
                <w:lang w:val="en-US" w:eastAsia="zh-CN" w:bidi="ar-SA"/>
              </w:rPr>
            </w:pPr>
          </w:p>
          <w:p>
            <w:pPr>
              <w:pStyle w:val="2"/>
              <w:ind w:left="0" w:leftChars="0" w:firstLine="480" w:firstLineChars="2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主观</w:t>
            </w:r>
          </w:p>
        </w:tc>
        <w:tc>
          <w:tcPr>
            <w:tcW w:w="1901" w:type="dxa"/>
            <w:vAlign w:val="top"/>
          </w:tcPr>
          <w:p>
            <w:pPr>
              <w:rPr>
                <w:rFonts w:hint="eastAsia" w:ascii="仿宋" w:hAnsi="仿宋" w:eastAsia="仿宋" w:cs="宋体"/>
                <w:kern w:val="0"/>
                <w:sz w:val="24"/>
                <w:szCs w:val="24"/>
                <w:lang w:val="en-US" w:eastAsia="zh-CN" w:bidi="ar-SA"/>
              </w:rPr>
            </w:pPr>
          </w:p>
          <w:p>
            <w:pP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服务承诺和特色服务情况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6623" w:type="dxa"/>
            <w:vAlign w:val="center"/>
          </w:tcPr>
          <w:p>
            <w:pPr>
              <w:widowControl w:val="0"/>
              <w:adjustRightInd w:val="0"/>
              <w:spacing w:before="0" w:beforeAutospacing="0" w:after="0" w:afterAutospacing="0" w:line="360" w:lineRule="auto"/>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浙江省公安厅关于印发&lt;浙江省保安服务企业信用评价管理办法（试行）&gt;的通知》（浙公通字〔2021〕45号）精神，今年以来，省公安厅开展了全省首轮保安服务企业信用评价工作。投标人在名单当中取得A级加5分，取得B级加3分，取得C级加1分，查询网址（浙江省公安厅关于公布首轮全省保安服务企业信用评价结果的通告 http://gat.zj.gov.cn/art/2022/9/27/art_1229495724_59087733.html?jump_from=1_05_37_01）（</w:t>
            </w:r>
            <w:r>
              <w:rPr>
                <w:rFonts w:hint="eastAsia" w:ascii="宋体" w:eastAsia="宋体" w:cs="宋体"/>
                <w:color w:val="auto"/>
                <w:sz w:val="21"/>
                <w:szCs w:val="21"/>
                <w:highlight w:val="none"/>
                <w:lang w:val="en-US" w:eastAsia="zh-CN"/>
              </w:rPr>
              <w:t>需提供网页截图加盖投标人公章。</w:t>
            </w:r>
            <w:r>
              <w:rPr>
                <w:rFonts w:hint="eastAsia" w:ascii="仿宋" w:hAnsi="仿宋" w:eastAsia="仿宋" w:cs="仿宋"/>
                <w:kern w:val="2"/>
                <w:sz w:val="24"/>
                <w:szCs w:val="24"/>
                <w:lang w:val="en-US" w:eastAsia="zh-CN" w:bidi="ar-SA"/>
              </w:rPr>
              <w:t>）</w:t>
            </w:r>
          </w:p>
        </w:tc>
        <w:tc>
          <w:tcPr>
            <w:tcW w:w="709" w:type="dxa"/>
            <w:vAlign w:val="center"/>
          </w:tcPr>
          <w:p>
            <w:pPr>
              <w:widowControl w:val="0"/>
              <w:adjustRightInd w:val="0"/>
              <w:spacing w:before="0" w:beforeAutospacing="0" w:after="0" w:afterAutospacing="0" w:line="360" w:lineRule="auto"/>
              <w:ind w:right="0" w:rightChars="0"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1290" w:type="dxa"/>
            <w:vAlign w:val="top"/>
          </w:tcPr>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jc w:val="both"/>
              <w:rPr>
                <w:rFonts w:hint="eastAsia" w:ascii="仿宋" w:hAnsi="仿宋" w:eastAsia="仿宋" w:cs="仿宋"/>
                <w:color w:val="auto"/>
                <w:kern w:val="2"/>
                <w:sz w:val="24"/>
                <w:szCs w:val="24"/>
                <w:highlight w:val="none"/>
                <w:lang w:val="en-US" w:eastAsia="zh-CN" w:bidi="ar-SA"/>
              </w:rPr>
            </w:pPr>
          </w:p>
          <w:p>
            <w:pPr>
              <w:pStyle w:val="2"/>
              <w:ind w:left="0" w:leftChars="0" w:firstLine="480" w:firstLineChars="200"/>
              <w:jc w:val="both"/>
              <w:rPr>
                <w:rFonts w:hint="eastAsia" w:ascii="仿宋" w:hAnsi="仿宋" w:eastAsia="仿宋" w:cs="仿宋"/>
                <w:color w:val="auto"/>
                <w:kern w:val="2"/>
                <w:sz w:val="24"/>
                <w:szCs w:val="24"/>
                <w:highlight w:val="none"/>
                <w:lang w:val="en-US" w:eastAsia="zh-CN" w:bidi="ar-SA"/>
              </w:rPr>
            </w:pPr>
          </w:p>
          <w:p>
            <w:pPr>
              <w:pStyle w:val="2"/>
              <w:ind w:left="0" w:leftChars="0" w:firstLine="480" w:firstLineChars="2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rPr>
                <w:rFonts w:hint="eastAsia"/>
                <w:lang w:val="en-US" w:eastAsia="zh-CN"/>
              </w:rPr>
            </w:pPr>
            <w:r>
              <w:rPr>
                <w:rFonts w:hint="eastAsia"/>
                <w:lang w:val="en-US" w:eastAsia="zh-CN"/>
              </w:rPr>
              <w:t xml:space="preserve"> </w:t>
            </w:r>
          </w:p>
          <w:p>
            <w:pPr>
              <w:pStyle w:val="2"/>
              <w:rPr>
                <w:rFonts w:hint="eastAsia" w:ascii="仿宋" w:hAnsi="仿宋" w:eastAsia="仿宋" w:cs="仿宋"/>
                <w:kern w:val="2"/>
                <w:sz w:val="24"/>
                <w:szCs w:val="24"/>
                <w:lang w:val="en-US" w:eastAsia="zh-CN" w:bidi="ar-SA"/>
              </w:rPr>
            </w:pPr>
          </w:p>
          <w:p>
            <w:pPr>
              <w:pStyle w:val="2"/>
              <w:rPr>
                <w:rFonts w:hint="eastAsia" w:ascii="仿宋" w:hAnsi="仿宋" w:eastAsia="仿宋" w:cs="仿宋"/>
                <w:kern w:val="2"/>
                <w:sz w:val="24"/>
                <w:szCs w:val="24"/>
                <w:lang w:val="en-US" w:eastAsia="zh-CN" w:bidi="ar-SA"/>
              </w:rPr>
            </w:pPr>
          </w:p>
          <w:p>
            <w:pPr>
              <w:pStyle w:val="2"/>
              <w:rPr>
                <w:rFonts w:hint="eastAsia" w:ascii="仿宋" w:hAnsi="仿宋" w:eastAsia="仿宋" w:cs="仿宋"/>
                <w:kern w:val="2"/>
                <w:sz w:val="24"/>
                <w:szCs w:val="24"/>
                <w:lang w:val="en-US" w:eastAsia="zh-CN" w:bidi="ar-SA"/>
              </w:rPr>
            </w:pPr>
          </w:p>
          <w:p>
            <w:pPr>
              <w:pStyle w:val="2"/>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240" w:firstLineChars="100"/>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企业信用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6623" w:type="dxa"/>
            <w:vAlign w:val="center"/>
          </w:tcPr>
          <w:p>
            <w:pPr>
              <w:widowControl w:val="0"/>
              <w:adjustRightInd w:val="0"/>
              <w:spacing w:before="0" w:beforeAutospacing="0" w:after="0" w:afterAutospacing="0" w:line="91"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投标人自2020年1月1日以来单独实施的类似项目，每提供一个得0.5分，最多得1分。</w:t>
            </w:r>
            <w:r>
              <w:rPr>
                <w:rFonts w:hint="eastAsia" w:ascii="宋体" w:eastAsia="宋体" w:cs="宋体"/>
                <w:color w:val="auto"/>
                <w:sz w:val="21"/>
                <w:szCs w:val="21"/>
                <w:highlight w:val="none"/>
                <w:lang w:val="en-US" w:eastAsia="zh-CN"/>
              </w:rPr>
              <w:t>（在投标文件中提供合同、中标通知书的复印件或扫描打印件，否则不得分）</w:t>
            </w:r>
          </w:p>
        </w:tc>
        <w:tc>
          <w:tcPr>
            <w:tcW w:w="709" w:type="dxa"/>
            <w:vAlign w:val="center"/>
          </w:tcPr>
          <w:p>
            <w:pPr>
              <w:widowControl w:val="0"/>
              <w:adjustRightInd w:val="0"/>
              <w:snapToGrid w:val="0"/>
              <w:spacing w:before="0" w:beforeAutospacing="0" w:after="0" w:afterAutospacing="0" w:line="91" w:lineRule="atLeast"/>
              <w:ind w:left="-105" w:leftChars="-50" w:right="-105" w:rightChars="-5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1290" w:type="dxa"/>
            <w:vAlign w:val="top"/>
          </w:tcPr>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240" w:firstLineChars="1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6623" w:type="dxa"/>
            <w:vAlign w:val="center"/>
          </w:tcPr>
          <w:p>
            <w:pPr>
              <w:widowControl w:val="0"/>
              <w:adjustRightInd w:val="0"/>
              <w:spacing w:before="0" w:beforeAutospacing="0" w:after="0" w:afterAutospacing="0" w:line="91"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投标人具有通过质量管理体系认证证书、环境管理体系认证证书、职业健康安全管理体系认证证书、业务连续性管理体系认证证书且在有效期内的有1个得2分，没有不得分，本项最多得8分</w:t>
            </w:r>
            <w:r>
              <w:rPr>
                <w:rFonts w:hint="eastAsia" w:ascii="宋体" w:eastAsia="宋体" w:cs="宋体"/>
                <w:color w:val="auto"/>
                <w:sz w:val="21"/>
                <w:szCs w:val="21"/>
                <w:highlight w:val="none"/>
                <w:lang w:val="en-US" w:eastAsia="zh-CN"/>
              </w:rPr>
              <w:t>。（在投标文件中提供认证证书的复印件或扫描打印件，否则不得分）</w:t>
            </w:r>
          </w:p>
        </w:tc>
        <w:tc>
          <w:tcPr>
            <w:tcW w:w="709" w:type="dxa"/>
            <w:vAlign w:val="center"/>
          </w:tcPr>
          <w:p>
            <w:pPr>
              <w:widowControl/>
              <w:adjustRightInd w:val="0"/>
              <w:snapToGrid w:val="0"/>
              <w:spacing w:before="0" w:beforeAutospacing="0" w:after="0" w:afterAutospacing="0" w:line="91" w:lineRule="atLeast"/>
              <w:ind w:left="-105" w:leftChars="-50" w:right="-105" w:rightChars="-50"/>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8</w:t>
            </w:r>
          </w:p>
        </w:tc>
        <w:tc>
          <w:tcPr>
            <w:tcW w:w="1290" w:type="dxa"/>
            <w:vAlign w:val="top"/>
          </w:tcPr>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240" w:firstLineChars="1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企业认证证书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6623" w:type="dxa"/>
            <w:vAlign w:val="top"/>
          </w:tcPr>
          <w:p>
            <w:pPr>
              <w:widowControl w:val="0"/>
              <w:adjustRightInd w:val="0"/>
              <w:spacing w:before="0" w:beforeAutospacing="0" w:after="0" w:afterAutospacing="0" w:line="91"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投标人获得的荣誉证书或获奖文件评分：</w:t>
            </w:r>
          </w:p>
          <w:p>
            <w:pPr>
              <w:widowControl w:val="0"/>
              <w:adjustRightInd w:val="0"/>
              <w:spacing w:before="0" w:beforeAutospacing="0" w:after="0" w:afterAutospacing="0" w:line="91" w:lineRule="atLeast"/>
              <w:ind w:left="0" w:leftChars="0" w:right="0" w:rightChars="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投标人获得区级及以上政府或机关服务中心颁发的与本项目相关的先进荣誉或获奖证书，每个得1分，最多得7分，本条满分7分</w:t>
            </w:r>
            <w:r>
              <w:rPr>
                <w:rFonts w:hint="eastAsia" w:ascii="宋体" w:eastAsia="宋体" w:cs="宋体"/>
                <w:color w:val="auto"/>
                <w:sz w:val="21"/>
                <w:szCs w:val="21"/>
                <w:highlight w:val="none"/>
                <w:lang w:val="en-US" w:eastAsia="zh-CN"/>
              </w:rPr>
              <w:t>（在投标文件中提供荣誉证书或文件的复印件或扫描打印件，否则不得分）</w:t>
            </w:r>
          </w:p>
        </w:tc>
        <w:tc>
          <w:tcPr>
            <w:tcW w:w="709" w:type="dxa"/>
            <w:vAlign w:val="center"/>
          </w:tcPr>
          <w:p>
            <w:pPr>
              <w:widowControl/>
              <w:adjustRightInd w:val="0"/>
              <w:snapToGrid w:val="0"/>
              <w:spacing w:before="0" w:beforeAutospacing="0" w:after="0" w:afterAutospacing="0" w:line="91" w:lineRule="atLeast"/>
              <w:ind w:left="-105" w:leftChars="-50" w:right="-105" w:rightChars="-50"/>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7</w:t>
            </w:r>
          </w:p>
        </w:tc>
        <w:tc>
          <w:tcPr>
            <w:tcW w:w="1290" w:type="dxa"/>
            <w:vAlign w:val="top"/>
          </w:tcPr>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0" w:firstLineChars="0"/>
              <w:jc w:val="both"/>
              <w:rPr>
                <w:rFonts w:hint="eastAsia" w:ascii="仿宋" w:hAnsi="仿宋" w:eastAsia="仿宋" w:cs="仿宋"/>
                <w:color w:val="auto"/>
                <w:kern w:val="2"/>
                <w:sz w:val="24"/>
                <w:szCs w:val="24"/>
                <w:highlight w:val="none"/>
                <w:lang w:val="en-US" w:eastAsia="zh-CN" w:bidi="ar-SA"/>
              </w:rPr>
            </w:pPr>
          </w:p>
          <w:p>
            <w:pPr>
              <w:pStyle w:val="2"/>
              <w:ind w:left="0" w:leftChars="0" w:firstLine="240" w:firstLineChars="1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客观</w:t>
            </w:r>
          </w:p>
        </w:tc>
        <w:tc>
          <w:tcPr>
            <w:tcW w:w="1901" w:type="dxa"/>
            <w:vAlign w:val="top"/>
          </w:tcPr>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58" w:type="dxa"/>
            <w:vAlign w:val="center"/>
          </w:tcPr>
          <w:p>
            <w:pPr>
              <w:spacing w:line="360" w:lineRule="auto"/>
              <w:ind w:firstLine="240" w:firstLineChars="100"/>
              <w:outlineLvl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20</w:t>
            </w:r>
          </w:p>
        </w:tc>
        <w:tc>
          <w:tcPr>
            <w:tcW w:w="6623" w:type="dxa"/>
            <w:vAlign w:val="top"/>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709" w:type="dxa"/>
            <w:vAlign w:val="center"/>
          </w:tcPr>
          <w:p>
            <w:pPr>
              <w:spacing w:line="360" w:lineRule="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290" w:type="dxa"/>
            <w:vAlign w:val="center"/>
          </w:tcPr>
          <w:p>
            <w:pPr>
              <w:spacing w:line="360" w:lineRule="auto"/>
              <w:ind w:firstLine="240" w:firstLineChars="100"/>
              <w:jc w:val="both"/>
              <w:outlineLvl w:val="0"/>
              <w:rPr>
                <w:rFonts w:hint="default" w:ascii="仿宋" w:hAnsi="仿宋" w:eastAsia="仿宋" w:cs="仿宋"/>
                <w:color w:val="auto"/>
                <w:sz w:val="24"/>
                <w:szCs w:val="24"/>
                <w:highlight w:val="none"/>
                <w:lang w:val="en-US" w:eastAsia="zh-CN"/>
              </w:rPr>
            </w:pPr>
          </w:p>
        </w:tc>
        <w:tc>
          <w:tcPr>
            <w:tcW w:w="1901"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pStyle w:val="2"/>
        <w:numPr>
          <w:ilvl w:val="0"/>
          <w:numId w:val="0"/>
        </w:numPr>
      </w:pPr>
    </w:p>
    <w:p>
      <w:pPr>
        <w:spacing w:line="360" w:lineRule="auto"/>
        <w:rPr>
          <w:rFonts w:ascii="仿宋" w:hAnsi="仿宋" w:eastAsia="仿宋"/>
        </w:rPr>
      </w:pPr>
    </w:p>
    <w:p>
      <w:pPr>
        <w:snapToGrid w:val="0"/>
        <w:spacing w:line="360" w:lineRule="auto"/>
        <w:rPr>
          <w:rFonts w:ascii="仿宋" w:hAnsi="仿宋" w:eastAsia="仿宋" w:cs="宋体"/>
          <w:b/>
          <w:sz w:val="24"/>
        </w:rPr>
      </w:pPr>
      <w:r>
        <w:rPr>
          <w:rFonts w:hint="eastAsia" w:ascii="宋体" w:hAnsi="宋体" w:eastAsia="仿宋" w:cs="宋体"/>
          <w:sz w:val="20"/>
          <w:szCs w:val="20"/>
          <w:shd w:val="clear" w:color="auto" w:fill="FFFFFF"/>
        </w:rPr>
        <w:t> </w:t>
      </w:r>
      <w:r>
        <w:rPr>
          <w:rFonts w:hint="eastAsia" w:ascii="仿宋" w:hAnsi="仿宋" w:eastAsia="仿宋" w:cs="宋体"/>
          <w:sz w:val="20"/>
          <w:szCs w:val="20"/>
          <w:shd w:val="clear" w:color="auto" w:fill="FFFFFF"/>
        </w:rPr>
        <w:t>*</w:t>
      </w:r>
      <w:r>
        <w:rPr>
          <w:rFonts w:hint="eastAsia" w:ascii="仿宋" w:hAnsi="仿宋" w:eastAsia="仿宋" w:cs="宋体"/>
          <w:b/>
          <w:sz w:val="24"/>
        </w:rPr>
        <w:t>备注：</w:t>
      </w:r>
      <w:r>
        <w:rPr>
          <w:rFonts w:hint="eastAsia" w:ascii="仿宋" w:hAnsi="仿宋" w:eastAsia="仿宋" w:cs="宋体"/>
          <w:sz w:val="24"/>
        </w:rPr>
        <w:t>投标人编制投标文件（商务技术文件部分）时，建议按此目录（序号和内容）提供评标标准相应的商务技术资料。</w:t>
      </w:r>
      <w:r>
        <w:rPr>
          <w:rFonts w:hint="eastAsia" w:ascii="宋体" w:hAnsi="宋体" w:eastAsia="仿宋" w:cs="宋体"/>
          <w:sz w:val="24"/>
        </w:rPr>
        <w:t> </w:t>
      </w:r>
    </w:p>
    <w:p>
      <w:pPr>
        <w:rPr>
          <w:color w:val="auto"/>
          <w:highlight w:val="none"/>
        </w:rPr>
      </w:pP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highlight w:val="none"/>
        </w:rPr>
      </w:pPr>
    </w:p>
    <w:bookmarkEnd w:id="26"/>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4"/>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22" w:lineRule="atLeast"/>
        <w:rPr>
          <w:rFonts w:ascii="宋体" w:hAnsi="宋体" w:eastAsia="宋体" w:cs="宋体"/>
          <w:color w:val="auto"/>
          <w:szCs w:val="24"/>
          <w:highlight w:val="none"/>
        </w:rPr>
      </w:pPr>
    </w:p>
    <w:p>
      <w:pPr>
        <w:pStyle w:val="598"/>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360" w:lineRule="auto"/>
        <w:ind w:firstLine="48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杭州市临平区人民政府乔司街道办事处</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乔司街道安保服务采购</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杭州市临平区人民政府乔司街道办事处</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9273"/>
      <w:bookmarkStart w:id="396" w:name="_Toc20421"/>
      <w:bookmarkStart w:id="397" w:name="_Toc28855"/>
      <w:bookmarkStart w:id="398" w:name="_Toc22967"/>
      <w:bookmarkStart w:id="399"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773"/>
      <w:bookmarkStart w:id="401" w:name="_Toc22185"/>
      <w:bookmarkStart w:id="402" w:name="_Toc2918"/>
      <w:bookmarkStart w:id="403" w:name="_Toc6311"/>
      <w:bookmarkStart w:id="404"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4929"/>
      <w:bookmarkStart w:id="406" w:name="_Toc1386"/>
      <w:bookmarkStart w:id="407" w:name="_Toc21124"/>
      <w:bookmarkStart w:id="408" w:name="_Toc5635"/>
      <w:bookmarkStart w:id="409" w:name="_Toc13918"/>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9"/>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3654"/>
      <w:bookmarkStart w:id="411" w:name="_Toc30158"/>
      <w:bookmarkStart w:id="412" w:name="_Toc26916"/>
      <w:bookmarkStart w:id="413" w:name="_Toc30506"/>
      <w:bookmarkStart w:id="414" w:name="_Toc14993"/>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9"/>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31421"/>
      <w:bookmarkStart w:id="419" w:name="_Toc11108"/>
      <w:bookmarkStart w:id="420" w:name="_Toc4760"/>
      <w:bookmarkStart w:id="421" w:name="_Toc3625"/>
      <w:bookmarkStart w:id="422" w:name="_Toc8772"/>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8586"/>
      <w:bookmarkStart w:id="424" w:name="_Toc3079"/>
      <w:bookmarkStart w:id="425" w:name="_Toc2375"/>
      <w:bookmarkStart w:id="426" w:name="_Toc5698"/>
      <w:bookmarkStart w:id="427" w:name="_Toc24662"/>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2454"/>
      <w:bookmarkStart w:id="429" w:name="_Toc30329"/>
      <w:bookmarkStart w:id="430" w:name="_Toc26807"/>
      <w:bookmarkStart w:id="431" w:name="_Toc9497"/>
      <w:bookmarkStart w:id="432" w:name="_Toc18683"/>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28375"/>
      <w:bookmarkStart w:id="434" w:name="_Toc16021"/>
      <w:bookmarkStart w:id="435" w:name="_Toc15583"/>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15322"/>
      <w:bookmarkStart w:id="437" w:name="_Toc7245"/>
      <w:bookmarkStart w:id="438" w:name="_Toc11173"/>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31297"/>
      <w:bookmarkStart w:id="440" w:name="_Toc14021"/>
      <w:bookmarkStart w:id="441" w:name="_Toc19680"/>
      <w:bookmarkStart w:id="442" w:name="_Toc5228"/>
      <w:bookmarkStart w:id="443" w:name="_Toc25079"/>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16752"/>
      <w:bookmarkStart w:id="445" w:name="_Toc23289"/>
      <w:bookmarkStart w:id="446" w:name="_Toc19539"/>
      <w:bookmarkStart w:id="447" w:name="_Toc3769"/>
      <w:bookmarkStart w:id="448" w:name="_Toc31402"/>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3673"/>
      <w:bookmarkStart w:id="450" w:name="_Toc12412"/>
      <w:bookmarkStart w:id="451" w:name="_Toc27945"/>
      <w:bookmarkStart w:id="452" w:name="_Toc4133"/>
      <w:bookmarkStart w:id="453" w:name="_Toc9161"/>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2670"/>
      <w:bookmarkStart w:id="455" w:name="_Toc31233"/>
      <w:bookmarkStart w:id="456" w:name="_Toc15447"/>
      <w:bookmarkStart w:id="457" w:name="_Toc26555"/>
      <w:bookmarkStart w:id="458" w:name="_Toc22011"/>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30507"/>
      <w:bookmarkStart w:id="460" w:name="_Toc13154"/>
      <w:bookmarkStart w:id="461" w:name="_Toc13467"/>
      <w:bookmarkStart w:id="462" w:name="_Toc18990"/>
      <w:bookmarkStart w:id="463" w:name="_Toc16163"/>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10663"/>
      <w:bookmarkStart w:id="468" w:name="_Toc42"/>
      <w:bookmarkStart w:id="469" w:name="_Toc26689"/>
      <w:bookmarkStart w:id="470" w:name="_Toc21830"/>
      <w:bookmarkStart w:id="471" w:name="_Toc23368"/>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32494"/>
      <w:bookmarkStart w:id="473" w:name="_Toc14371"/>
      <w:bookmarkStart w:id="474" w:name="_Toc25571"/>
      <w:bookmarkStart w:id="475" w:name="_Toc4720"/>
      <w:bookmarkStart w:id="476" w:name="_Toc26633"/>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3638"/>
      <w:bookmarkStart w:id="478" w:name="_Toc23854"/>
      <w:bookmarkStart w:id="479" w:name="_Toc14115"/>
      <w:bookmarkStart w:id="480" w:name="_Toc25783"/>
      <w:bookmarkStart w:id="481" w:name="_Toc24465"/>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26883"/>
      <w:bookmarkStart w:id="483" w:name="_Toc25525"/>
      <w:bookmarkStart w:id="484" w:name="_Toc14814"/>
      <w:bookmarkStart w:id="485" w:name="_Toc7315"/>
      <w:bookmarkStart w:id="486" w:name="_Toc30105"/>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016"/>
      <w:bookmarkStart w:id="488" w:name="_Toc1123"/>
      <w:bookmarkStart w:id="489" w:name="_Toc23323"/>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969"/>
      <w:bookmarkStart w:id="491" w:name="_Toc17363"/>
      <w:bookmarkStart w:id="492" w:name="_Toc14525"/>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31892"/>
      <w:bookmarkStart w:id="494" w:name="_Toc2308"/>
      <w:bookmarkStart w:id="495" w:name="_Toc12666"/>
      <w:bookmarkStart w:id="496" w:name="_Toc9808"/>
      <w:bookmarkStart w:id="497" w:name="_Toc25198"/>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0808"/>
      <w:bookmarkStart w:id="501" w:name="_Toc12254"/>
      <w:bookmarkStart w:id="502" w:name="_Toc28906"/>
      <w:bookmarkStart w:id="503" w:name="_Toc5063"/>
      <w:bookmarkStart w:id="504" w:name="_Toc2764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4355"/>
      <w:bookmarkStart w:id="506" w:name="_Toc30599"/>
      <w:bookmarkStart w:id="507" w:name="_Toc18540"/>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SQZFCG-2023-014</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SQZFCG-2023-014</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SQZFCG-2023-014</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SQZFCG-2023-014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杭州市临平区人民政府乔司街道办事处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乔司街道安保服务</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SQZFCG-2023-014</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乔司街道安保服务</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杭州市临平区人民政府乔司街道办事处</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杭州盛乔工程咨询有限公司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yellow"/>
          <w:lang w:eastAsia="zh-CN"/>
        </w:rPr>
        <w:t xml:space="preserve">SQZFCG-2023-014010 </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yellow"/>
          <w:lang w:eastAsia="zh-CN"/>
        </w:rPr>
        <w:t>SQZFCG-2023-014010</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乔司街道安保服务</w:t>
      </w:r>
      <w:r>
        <w:rPr>
          <w:rFonts w:hint="eastAsia" w:ascii="宋体" w:hAnsi="宋体" w:cs="宋体"/>
          <w:color w:val="auto"/>
          <w:sz w:val="24"/>
          <w:highlight w:val="none"/>
        </w:rPr>
        <w:t>【招标编号：</w:t>
      </w:r>
      <w:r>
        <w:rPr>
          <w:rFonts w:hint="eastAsia" w:ascii="宋体" w:hAnsi="宋体" w:cs="宋体"/>
          <w:color w:val="auto"/>
          <w:sz w:val="24"/>
          <w:highlight w:val="yellow"/>
          <w:lang w:eastAsia="zh-CN"/>
        </w:rPr>
        <w:t>SQZFCG-2023-014010</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杭州市临平区人民政府乔司街道办事处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lang w:eastAsia="zh-CN"/>
        </w:rPr>
        <w:t>乔司街道安保服务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91899912"/>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CCB72"/>
    <w:multiLevelType w:val="singleLevel"/>
    <w:tmpl w:val="D3FCCB72"/>
    <w:lvl w:ilvl="0" w:tentative="0">
      <w:start w:val="4"/>
      <w:numFmt w:val="chineseCounting"/>
      <w:suff w:val="space"/>
      <w:lvlText w:val="第%1部分"/>
      <w:lvlJc w:val="left"/>
      <w:rPr>
        <w:rFonts w:hint="eastAsia"/>
      </w:rPr>
    </w:lvl>
  </w:abstractNum>
  <w:abstractNum w:abstractNumId="1">
    <w:nsid w:val="58C78917"/>
    <w:multiLevelType w:val="singleLevel"/>
    <w:tmpl w:val="58C78917"/>
    <w:lvl w:ilvl="0" w:tentative="0">
      <w:start w:val="2"/>
      <w:numFmt w:val="chineseCounting"/>
      <w:suff w:val="nothing"/>
      <w:lvlText w:val="%1、"/>
      <w:lvlJc w:val="left"/>
    </w:lvl>
  </w:abstractNum>
  <w:abstractNum w:abstractNumId="2">
    <w:nsid w:val="58D8BCD3"/>
    <w:multiLevelType w:val="singleLevel"/>
    <w:tmpl w:val="58D8BCD3"/>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DAxZDRiNDFlNzhiNTMzYmMyZGQ5OGUxZGUwZW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786"/>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42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C0502"/>
    <w:rsid w:val="011F6449"/>
    <w:rsid w:val="01236AFB"/>
    <w:rsid w:val="019F7441"/>
    <w:rsid w:val="01B37585"/>
    <w:rsid w:val="01D55165"/>
    <w:rsid w:val="01DF6BF8"/>
    <w:rsid w:val="01EC2C57"/>
    <w:rsid w:val="025D214D"/>
    <w:rsid w:val="025F0711"/>
    <w:rsid w:val="026B2E25"/>
    <w:rsid w:val="02824D4D"/>
    <w:rsid w:val="02DC4B10"/>
    <w:rsid w:val="02DD76CE"/>
    <w:rsid w:val="02F36323"/>
    <w:rsid w:val="02F5619C"/>
    <w:rsid w:val="0326446A"/>
    <w:rsid w:val="032D5555"/>
    <w:rsid w:val="033169AF"/>
    <w:rsid w:val="036634D2"/>
    <w:rsid w:val="0398212A"/>
    <w:rsid w:val="03DD35E4"/>
    <w:rsid w:val="04076900"/>
    <w:rsid w:val="041A5A3B"/>
    <w:rsid w:val="042311BA"/>
    <w:rsid w:val="042B157A"/>
    <w:rsid w:val="048F763B"/>
    <w:rsid w:val="049F330E"/>
    <w:rsid w:val="04AA775C"/>
    <w:rsid w:val="04AF1889"/>
    <w:rsid w:val="04F66F48"/>
    <w:rsid w:val="05251E14"/>
    <w:rsid w:val="055A7363"/>
    <w:rsid w:val="05A16594"/>
    <w:rsid w:val="05A7762D"/>
    <w:rsid w:val="060E5941"/>
    <w:rsid w:val="060F45F1"/>
    <w:rsid w:val="06110FAF"/>
    <w:rsid w:val="06493CA7"/>
    <w:rsid w:val="065A6178"/>
    <w:rsid w:val="066F1CF3"/>
    <w:rsid w:val="06930BB8"/>
    <w:rsid w:val="070677A2"/>
    <w:rsid w:val="07245D42"/>
    <w:rsid w:val="07264C62"/>
    <w:rsid w:val="0779354C"/>
    <w:rsid w:val="078F7797"/>
    <w:rsid w:val="08061376"/>
    <w:rsid w:val="08452D77"/>
    <w:rsid w:val="086401F8"/>
    <w:rsid w:val="08751CAA"/>
    <w:rsid w:val="087E4C40"/>
    <w:rsid w:val="08894E5C"/>
    <w:rsid w:val="08A871D0"/>
    <w:rsid w:val="08AA4C4F"/>
    <w:rsid w:val="08B550AD"/>
    <w:rsid w:val="08D66AD6"/>
    <w:rsid w:val="08DA33A3"/>
    <w:rsid w:val="08E80F13"/>
    <w:rsid w:val="09335624"/>
    <w:rsid w:val="093B4B56"/>
    <w:rsid w:val="0944690F"/>
    <w:rsid w:val="09535675"/>
    <w:rsid w:val="095F057D"/>
    <w:rsid w:val="09642282"/>
    <w:rsid w:val="09733572"/>
    <w:rsid w:val="09772C16"/>
    <w:rsid w:val="098353B5"/>
    <w:rsid w:val="09A92330"/>
    <w:rsid w:val="09B06B87"/>
    <w:rsid w:val="09C13146"/>
    <w:rsid w:val="09E04166"/>
    <w:rsid w:val="0A1C0718"/>
    <w:rsid w:val="0A3E7710"/>
    <w:rsid w:val="0A5B7E63"/>
    <w:rsid w:val="0A8D0153"/>
    <w:rsid w:val="0AA374A5"/>
    <w:rsid w:val="0AAB7649"/>
    <w:rsid w:val="0ABC5606"/>
    <w:rsid w:val="0B1870DA"/>
    <w:rsid w:val="0B30404E"/>
    <w:rsid w:val="0B4C6C14"/>
    <w:rsid w:val="0B547599"/>
    <w:rsid w:val="0B631A88"/>
    <w:rsid w:val="0B683D45"/>
    <w:rsid w:val="0B7F3F11"/>
    <w:rsid w:val="0B884417"/>
    <w:rsid w:val="0B985F4A"/>
    <w:rsid w:val="0BE2331A"/>
    <w:rsid w:val="0BE800E8"/>
    <w:rsid w:val="0BF6188C"/>
    <w:rsid w:val="0BF73C91"/>
    <w:rsid w:val="0C170175"/>
    <w:rsid w:val="0C450EBA"/>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B8556E"/>
    <w:rsid w:val="0DD63300"/>
    <w:rsid w:val="0DF50604"/>
    <w:rsid w:val="0DF702FE"/>
    <w:rsid w:val="0E060E51"/>
    <w:rsid w:val="0E5604B2"/>
    <w:rsid w:val="0E5B6625"/>
    <w:rsid w:val="0E6D5D79"/>
    <w:rsid w:val="0E9D0089"/>
    <w:rsid w:val="0EB803EE"/>
    <w:rsid w:val="0EF94D4B"/>
    <w:rsid w:val="0F0D3A9F"/>
    <w:rsid w:val="0F4958DC"/>
    <w:rsid w:val="0F515DF7"/>
    <w:rsid w:val="0F596BA8"/>
    <w:rsid w:val="0F6248D2"/>
    <w:rsid w:val="0F693536"/>
    <w:rsid w:val="0F73799F"/>
    <w:rsid w:val="0F7B0511"/>
    <w:rsid w:val="0F7B76D9"/>
    <w:rsid w:val="0F816ACD"/>
    <w:rsid w:val="0F9832DB"/>
    <w:rsid w:val="0FBF3FD2"/>
    <w:rsid w:val="0FBF7FF3"/>
    <w:rsid w:val="10646583"/>
    <w:rsid w:val="107D4B15"/>
    <w:rsid w:val="108A3C80"/>
    <w:rsid w:val="10A65097"/>
    <w:rsid w:val="10A6525C"/>
    <w:rsid w:val="10C26171"/>
    <w:rsid w:val="10F14A8A"/>
    <w:rsid w:val="10F33360"/>
    <w:rsid w:val="10FC16EA"/>
    <w:rsid w:val="110F1D40"/>
    <w:rsid w:val="11266F33"/>
    <w:rsid w:val="116C28F7"/>
    <w:rsid w:val="118963A1"/>
    <w:rsid w:val="11C6522A"/>
    <w:rsid w:val="11E104CC"/>
    <w:rsid w:val="11E20309"/>
    <w:rsid w:val="12255233"/>
    <w:rsid w:val="12530213"/>
    <w:rsid w:val="127723A9"/>
    <w:rsid w:val="12862074"/>
    <w:rsid w:val="12883966"/>
    <w:rsid w:val="128A6082"/>
    <w:rsid w:val="129E45B4"/>
    <w:rsid w:val="12D81596"/>
    <w:rsid w:val="13072A44"/>
    <w:rsid w:val="131342D8"/>
    <w:rsid w:val="13167EFC"/>
    <w:rsid w:val="135F4BE2"/>
    <w:rsid w:val="138B678C"/>
    <w:rsid w:val="139B1A0A"/>
    <w:rsid w:val="139D25C7"/>
    <w:rsid w:val="13B50586"/>
    <w:rsid w:val="13BF3CE4"/>
    <w:rsid w:val="141008D8"/>
    <w:rsid w:val="14125FE6"/>
    <w:rsid w:val="146D271E"/>
    <w:rsid w:val="14982588"/>
    <w:rsid w:val="149A5AD9"/>
    <w:rsid w:val="14A7619D"/>
    <w:rsid w:val="150536C3"/>
    <w:rsid w:val="150C1963"/>
    <w:rsid w:val="151447A0"/>
    <w:rsid w:val="15233C15"/>
    <w:rsid w:val="154A6454"/>
    <w:rsid w:val="15701C1F"/>
    <w:rsid w:val="15762120"/>
    <w:rsid w:val="16A8729C"/>
    <w:rsid w:val="16B33777"/>
    <w:rsid w:val="16BC70A7"/>
    <w:rsid w:val="16C6339E"/>
    <w:rsid w:val="172F2D79"/>
    <w:rsid w:val="17557BEF"/>
    <w:rsid w:val="17A740BC"/>
    <w:rsid w:val="17CF19E0"/>
    <w:rsid w:val="17D349C1"/>
    <w:rsid w:val="17EE4066"/>
    <w:rsid w:val="180D79FC"/>
    <w:rsid w:val="1830729E"/>
    <w:rsid w:val="18356139"/>
    <w:rsid w:val="1870062C"/>
    <w:rsid w:val="18817102"/>
    <w:rsid w:val="18830A15"/>
    <w:rsid w:val="18852B28"/>
    <w:rsid w:val="188B5321"/>
    <w:rsid w:val="18A4639B"/>
    <w:rsid w:val="18C43019"/>
    <w:rsid w:val="19932372"/>
    <w:rsid w:val="19A20DD5"/>
    <w:rsid w:val="19AE03F1"/>
    <w:rsid w:val="19B25567"/>
    <w:rsid w:val="1A071A03"/>
    <w:rsid w:val="1A0B7DFB"/>
    <w:rsid w:val="1A1F16AE"/>
    <w:rsid w:val="1A3B5C77"/>
    <w:rsid w:val="1A3C38EA"/>
    <w:rsid w:val="1A626F8D"/>
    <w:rsid w:val="1A984BAD"/>
    <w:rsid w:val="1AB8220E"/>
    <w:rsid w:val="1AC873E2"/>
    <w:rsid w:val="1AC90DBB"/>
    <w:rsid w:val="1AE4166C"/>
    <w:rsid w:val="1AF06CFB"/>
    <w:rsid w:val="1AF11B8D"/>
    <w:rsid w:val="1B11359C"/>
    <w:rsid w:val="1B124510"/>
    <w:rsid w:val="1B2A271F"/>
    <w:rsid w:val="1B530544"/>
    <w:rsid w:val="1B713184"/>
    <w:rsid w:val="1BA209CF"/>
    <w:rsid w:val="1BB4777D"/>
    <w:rsid w:val="1BB60F3D"/>
    <w:rsid w:val="1BD75AB8"/>
    <w:rsid w:val="1C0459C2"/>
    <w:rsid w:val="1C1B3B4A"/>
    <w:rsid w:val="1C243C3B"/>
    <w:rsid w:val="1C88086E"/>
    <w:rsid w:val="1C8B617A"/>
    <w:rsid w:val="1CE92519"/>
    <w:rsid w:val="1D266CE1"/>
    <w:rsid w:val="1D3963AF"/>
    <w:rsid w:val="1D632E00"/>
    <w:rsid w:val="1D6A673C"/>
    <w:rsid w:val="1D9247AE"/>
    <w:rsid w:val="1DB567EC"/>
    <w:rsid w:val="1DF51A98"/>
    <w:rsid w:val="1E1A3944"/>
    <w:rsid w:val="1E1B192D"/>
    <w:rsid w:val="1E3D060F"/>
    <w:rsid w:val="1E3F7D2E"/>
    <w:rsid w:val="1E4134E4"/>
    <w:rsid w:val="1E5062B3"/>
    <w:rsid w:val="1E523514"/>
    <w:rsid w:val="1E714A66"/>
    <w:rsid w:val="1E802593"/>
    <w:rsid w:val="1E8B6156"/>
    <w:rsid w:val="1EA703CC"/>
    <w:rsid w:val="1EB7330C"/>
    <w:rsid w:val="1EDC4173"/>
    <w:rsid w:val="1F0A0FF3"/>
    <w:rsid w:val="1F5771FF"/>
    <w:rsid w:val="1FD52DD5"/>
    <w:rsid w:val="1FE868A9"/>
    <w:rsid w:val="20034907"/>
    <w:rsid w:val="20173E4B"/>
    <w:rsid w:val="204E48BC"/>
    <w:rsid w:val="20790B8D"/>
    <w:rsid w:val="2086236C"/>
    <w:rsid w:val="208921B3"/>
    <w:rsid w:val="20973DEB"/>
    <w:rsid w:val="20B26522"/>
    <w:rsid w:val="20B44310"/>
    <w:rsid w:val="211116EB"/>
    <w:rsid w:val="216133FC"/>
    <w:rsid w:val="21D56769"/>
    <w:rsid w:val="21DE6B79"/>
    <w:rsid w:val="21E52EF3"/>
    <w:rsid w:val="21F94D1F"/>
    <w:rsid w:val="21FB5D7B"/>
    <w:rsid w:val="22015E94"/>
    <w:rsid w:val="220B1C3D"/>
    <w:rsid w:val="221D1D20"/>
    <w:rsid w:val="222334A6"/>
    <w:rsid w:val="22334A87"/>
    <w:rsid w:val="22BE6801"/>
    <w:rsid w:val="22EA5B1F"/>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F57E3"/>
    <w:rsid w:val="258B00E2"/>
    <w:rsid w:val="25900E53"/>
    <w:rsid w:val="25A917A6"/>
    <w:rsid w:val="25BE27CC"/>
    <w:rsid w:val="25C24D84"/>
    <w:rsid w:val="25DC0BEB"/>
    <w:rsid w:val="25F74A5C"/>
    <w:rsid w:val="260C2380"/>
    <w:rsid w:val="2628662C"/>
    <w:rsid w:val="262D45DE"/>
    <w:rsid w:val="26871DC8"/>
    <w:rsid w:val="268F2EB8"/>
    <w:rsid w:val="26A53EF9"/>
    <w:rsid w:val="26A56376"/>
    <w:rsid w:val="26A94201"/>
    <w:rsid w:val="26AC274F"/>
    <w:rsid w:val="27044A29"/>
    <w:rsid w:val="271D34C8"/>
    <w:rsid w:val="27432DFA"/>
    <w:rsid w:val="276142BF"/>
    <w:rsid w:val="27783712"/>
    <w:rsid w:val="277B168E"/>
    <w:rsid w:val="27907362"/>
    <w:rsid w:val="27A50D40"/>
    <w:rsid w:val="27AE55C0"/>
    <w:rsid w:val="27D112AE"/>
    <w:rsid w:val="280575BD"/>
    <w:rsid w:val="281A651F"/>
    <w:rsid w:val="28333E1D"/>
    <w:rsid w:val="28454BD6"/>
    <w:rsid w:val="28455253"/>
    <w:rsid w:val="28551971"/>
    <w:rsid w:val="2856732D"/>
    <w:rsid w:val="285B1C53"/>
    <w:rsid w:val="289F7086"/>
    <w:rsid w:val="28C32028"/>
    <w:rsid w:val="28CC490F"/>
    <w:rsid w:val="28D444FF"/>
    <w:rsid w:val="28DE40AA"/>
    <w:rsid w:val="29345E77"/>
    <w:rsid w:val="294C65AD"/>
    <w:rsid w:val="29806583"/>
    <w:rsid w:val="298B3C4C"/>
    <w:rsid w:val="29A43B61"/>
    <w:rsid w:val="29DB1BF4"/>
    <w:rsid w:val="29F26D24"/>
    <w:rsid w:val="2A15033F"/>
    <w:rsid w:val="2A1662C1"/>
    <w:rsid w:val="2A1C7367"/>
    <w:rsid w:val="2A2815FA"/>
    <w:rsid w:val="2A353B5D"/>
    <w:rsid w:val="2A4D7312"/>
    <w:rsid w:val="2A6D6092"/>
    <w:rsid w:val="2A7D76B4"/>
    <w:rsid w:val="2AB95178"/>
    <w:rsid w:val="2B437463"/>
    <w:rsid w:val="2B496A2D"/>
    <w:rsid w:val="2B4E2E20"/>
    <w:rsid w:val="2B7807EE"/>
    <w:rsid w:val="2BA50BF7"/>
    <w:rsid w:val="2BB4516F"/>
    <w:rsid w:val="2BBF00EC"/>
    <w:rsid w:val="2BC37CFD"/>
    <w:rsid w:val="2BD5237F"/>
    <w:rsid w:val="2BE536CE"/>
    <w:rsid w:val="2BE758D9"/>
    <w:rsid w:val="2C09049E"/>
    <w:rsid w:val="2C0A653C"/>
    <w:rsid w:val="2C191F85"/>
    <w:rsid w:val="2CE82D6F"/>
    <w:rsid w:val="2D124F5C"/>
    <w:rsid w:val="2D343236"/>
    <w:rsid w:val="2DD15014"/>
    <w:rsid w:val="2DF72DE4"/>
    <w:rsid w:val="2E0220AF"/>
    <w:rsid w:val="2E2C7C8A"/>
    <w:rsid w:val="2E4B082A"/>
    <w:rsid w:val="2E5D4E86"/>
    <w:rsid w:val="2E5D790B"/>
    <w:rsid w:val="2E9A3C18"/>
    <w:rsid w:val="2EBB0FEE"/>
    <w:rsid w:val="2EC63002"/>
    <w:rsid w:val="2F0361F1"/>
    <w:rsid w:val="2F0A6B38"/>
    <w:rsid w:val="2F946CCB"/>
    <w:rsid w:val="2FD25781"/>
    <w:rsid w:val="2FDC745C"/>
    <w:rsid w:val="2FFD7934"/>
    <w:rsid w:val="30733ACD"/>
    <w:rsid w:val="308C3862"/>
    <w:rsid w:val="309379D8"/>
    <w:rsid w:val="30A270F7"/>
    <w:rsid w:val="30BA4FD6"/>
    <w:rsid w:val="30CB0F91"/>
    <w:rsid w:val="30DF1478"/>
    <w:rsid w:val="30EC586F"/>
    <w:rsid w:val="314550B7"/>
    <w:rsid w:val="319C6071"/>
    <w:rsid w:val="31AC537E"/>
    <w:rsid w:val="31E3679B"/>
    <w:rsid w:val="31E732FD"/>
    <w:rsid w:val="32517576"/>
    <w:rsid w:val="32BD2D68"/>
    <w:rsid w:val="32BE5C2C"/>
    <w:rsid w:val="32FB6478"/>
    <w:rsid w:val="32FC4313"/>
    <w:rsid w:val="33242BDA"/>
    <w:rsid w:val="33263B3F"/>
    <w:rsid w:val="3338549E"/>
    <w:rsid w:val="334222D0"/>
    <w:rsid w:val="336963EB"/>
    <w:rsid w:val="336C3DBF"/>
    <w:rsid w:val="33816EEB"/>
    <w:rsid w:val="33EB55CD"/>
    <w:rsid w:val="33EC4C02"/>
    <w:rsid w:val="340D2360"/>
    <w:rsid w:val="3410665D"/>
    <w:rsid w:val="34211214"/>
    <w:rsid w:val="34265515"/>
    <w:rsid w:val="342E63AB"/>
    <w:rsid w:val="344C23E9"/>
    <w:rsid w:val="348953EB"/>
    <w:rsid w:val="34950E68"/>
    <w:rsid w:val="34986E94"/>
    <w:rsid w:val="34AF62C9"/>
    <w:rsid w:val="34CB4388"/>
    <w:rsid w:val="34FA6E12"/>
    <w:rsid w:val="354D7158"/>
    <w:rsid w:val="356B5DB2"/>
    <w:rsid w:val="358D5588"/>
    <w:rsid w:val="35D72186"/>
    <w:rsid w:val="35F745D6"/>
    <w:rsid w:val="35FC7E3E"/>
    <w:rsid w:val="36117F76"/>
    <w:rsid w:val="363A3B40"/>
    <w:rsid w:val="365302AE"/>
    <w:rsid w:val="36607A0A"/>
    <w:rsid w:val="366E227C"/>
    <w:rsid w:val="366E25F0"/>
    <w:rsid w:val="366F2E0D"/>
    <w:rsid w:val="367B6A5C"/>
    <w:rsid w:val="36A74ADA"/>
    <w:rsid w:val="36AD60D5"/>
    <w:rsid w:val="36B224F9"/>
    <w:rsid w:val="36EC0CC9"/>
    <w:rsid w:val="373F410B"/>
    <w:rsid w:val="373F6442"/>
    <w:rsid w:val="375F35B5"/>
    <w:rsid w:val="37BA5FE5"/>
    <w:rsid w:val="37E717C0"/>
    <w:rsid w:val="37EE7094"/>
    <w:rsid w:val="38296C89"/>
    <w:rsid w:val="383002EB"/>
    <w:rsid w:val="38586797"/>
    <w:rsid w:val="38BC0149"/>
    <w:rsid w:val="38C904AC"/>
    <w:rsid w:val="38D87D1C"/>
    <w:rsid w:val="39636459"/>
    <w:rsid w:val="396B7F6C"/>
    <w:rsid w:val="396F26D5"/>
    <w:rsid w:val="39B417A9"/>
    <w:rsid w:val="39E8760E"/>
    <w:rsid w:val="39FC5695"/>
    <w:rsid w:val="3A006D8E"/>
    <w:rsid w:val="3A3651E5"/>
    <w:rsid w:val="3A744481"/>
    <w:rsid w:val="3A783242"/>
    <w:rsid w:val="3A8C7BEF"/>
    <w:rsid w:val="3A906246"/>
    <w:rsid w:val="3A9479A4"/>
    <w:rsid w:val="3AB704E3"/>
    <w:rsid w:val="3B2349B7"/>
    <w:rsid w:val="3B29323F"/>
    <w:rsid w:val="3B616CFF"/>
    <w:rsid w:val="3B6259F6"/>
    <w:rsid w:val="3B976654"/>
    <w:rsid w:val="3BC01EFC"/>
    <w:rsid w:val="3BCA786A"/>
    <w:rsid w:val="3BD31E2F"/>
    <w:rsid w:val="3BD86C58"/>
    <w:rsid w:val="3BF07939"/>
    <w:rsid w:val="3BF15831"/>
    <w:rsid w:val="3C105946"/>
    <w:rsid w:val="3C471448"/>
    <w:rsid w:val="3C5F759A"/>
    <w:rsid w:val="3C6C525A"/>
    <w:rsid w:val="3CCE23CB"/>
    <w:rsid w:val="3CD17D17"/>
    <w:rsid w:val="3CF87E5E"/>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32EAB"/>
    <w:rsid w:val="3E843E66"/>
    <w:rsid w:val="3E8F51FE"/>
    <w:rsid w:val="3E926F87"/>
    <w:rsid w:val="3E9A59DE"/>
    <w:rsid w:val="3EAF4836"/>
    <w:rsid w:val="3EB92D70"/>
    <w:rsid w:val="3EC33DFA"/>
    <w:rsid w:val="3F060E16"/>
    <w:rsid w:val="3F1D1096"/>
    <w:rsid w:val="3F2F0234"/>
    <w:rsid w:val="3F6363FE"/>
    <w:rsid w:val="3F756B8F"/>
    <w:rsid w:val="3F95482B"/>
    <w:rsid w:val="3FC27B53"/>
    <w:rsid w:val="4019356B"/>
    <w:rsid w:val="404B49C3"/>
    <w:rsid w:val="404D3A7D"/>
    <w:rsid w:val="40592157"/>
    <w:rsid w:val="406E1CAE"/>
    <w:rsid w:val="409D5390"/>
    <w:rsid w:val="409E0DFA"/>
    <w:rsid w:val="40A0133A"/>
    <w:rsid w:val="40C31A53"/>
    <w:rsid w:val="40FF545D"/>
    <w:rsid w:val="410067C8"/>
    <w:rsid w:val="415B3C6B"/>
    <w:rsid w:val="416C126A"/>
    <w:rsid w:val="418F0D2A"/>
    <w:rsid w:val="41D01505"/>
    <w:rsid w:val="421B789E"/>
    <w:rsid w:val="42245B7B"/>
    <w:rsid w:val="423229B8"/>
    <w:rsid w:val="42474939"/>
    <w:rsid w:val="424C3C57"/>
    <w:rsid w:val="42613FF3"/>
    <w:rsid w:val="42660D96"/>
    <w:rsid w:val="428667D2"/>
    <w:rsid w:val="42B23D5F"/>
    <w:rsid w:val="42CD1CE0"/>
    <w:rsid w:val="42E1381E"/>
    <w:rsid w:val="42ED6459"/>
    <w:rsid w:val="42FE58DD"/>
    <w:rsid w:val="43174B3D"/>
    <w:rsid w:val="434B790E"/>
    <w:rsid w:val="43562468"/>
    <w:rsid w:val="435C4B95"/>
    <w:rsid w:val="4360274F"/>
    <w:rsid w:val="43977AB6"/>
    <w:rsid w:val="43A3342B"/>
    <w:rsid w:val="43C77C27"/>
    <w:rsid w:val="43DE09EE"/>
    <w:rsid w:val="44002FAD"/>
    <w:rsid w:val="441433BD"/>
    <w:rsid w:val="449101DD"/>
    <w:rsid w:val="44AE681A"/>
    <w:rsid w:val="44B85F15"/>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B41EF"/>
    <w:rsid w:val="47356D0C"/>
    <w:rsid w:val="47566984"/>
    <w:rsid w:val="4764581D"/>
    <w:rsid w:val="477B778F"/>
    <w:rsid w:val="478203EC"/>
    <w:rsid w:val="47B025FA"/>
    <w:rsid w:val="47F2527B"/>
    <w:rsid w:val="4809698F"/>
    <w:rsid w:val="4811697D"/>
    <w:rsid w:val="48256D81"/>
    <w:rsid w:val="487A3E25"/>
    <w:rsid w:val="488B5503"/>
    <w:rsid w:val="48937E21"/>
    <w:rsid w:val="489A0361"/>
    <w:rsid w:val="48B94FF3"/>
    <w:rsid w:val="48E37AAB"/>
    <w:rsid w:val="48FD4B4C"/>
    <w:rsid w:val="490A68E0"/>
    <w:rsid w:val="491055FE"/>
    <w:rsid w:val="495F5B3E"/>
    <w:rsid w:val="496F77D7"/>
    <w:rsid w:val="497654FD"/>
    <w:rsid w:val="49902920"/>
    <w:rsid w:val="49B64211"/>
    <w:rsid w:val="49E56AF9"/>
    <w:rsid w:val="49F6167F"/>
    <w:rsid w:val="4A064FA0"/>
    <w:rsid w:val="4A16615C"/>
    <w:rsid w:val="4A4424D7"/>
    <w:rsid w:val="4A463AC2"/>
    <w:rsid w:val="4A7E52E5"/>
    <w:rsid w:val="4AB82D0F"/>
    <w:rsid w:val="4AEB7664"/>
    <w:rsid w:val="4AFD7C19"/>
    <w:rsid w:val="4B0567D1"/>
    <w:rsid w:val="4B236AAE"/>
    <w:rsid w:val="4B707271"/>
    <w:rsid w:val="4B9739F7"/>
    <w:rsid w:val="4BB52448"/>
    <w:rsid w:val="4BEE2503"/>
    <w:rsid w:val="4C19550A"/>
    <w:rsid w:val="4C201254"/>
    <w:rsid w:val="4C245A30"/>
    <w:rsid w:val="4CB6685F"/>
    <w:rsid w:val="4CB701C3"/>
    <w:rsid w:val="4CC367FE"/>
    <w:rsid w:val="4CED014A"/>
    <w:rsid w:val="4CFA6A2E"/>
    <w:rsid w:val="4D077F3C"/>
    <w:rsid w:val="4D094A71"/>
    <w:rsid w:val="4D123355"/>
    <w:rsid w:val="4D2A3B31"/>
    <w:rsid w:val="4D312C52"/>
    <w:rsid w:val="4D5003BF"/>
    <w:rsid w:val="4D8D56B2"/>
    <w:rsid w:val="4D905305"/>
    <w:rsid w:val="4D964A72"/>
    <w:rsid w:val="4D9C1254"/>
    <w:rsid w:val="4D9C5D37"/>
    <w:rsid w:val="4DB30357"/>
    <w:rsid w:val="4DC4528E"/>
    <w:rsid w:val="4E086F29"/>
    <w:rsid w:val="4E127DA7"/>
    <w:rsid w:val="4E793892"/>
    <w:rsid w:val="4E800872"/>
    <w:rsid w:val="4E8C1402"/>
    <w:rsid w:val="4E9823FF"/>
    <w:rsid w:val="4E992277"/>
    <w:rsid w:val="4EBC339C"/>
    <w:rsid w:val="4EC569ED"/>
    <w:rsid w:val="4ED50EA1"/>
    <w:rsid w:val="4EDA4A64"/>
    <w:rsid w:val="4EEC050C"/>
    <w:rsid w:val="4F104EC3"/>
    <w:rsid w:val="4F47354A"/>
    <w:rsid w:val="4F5F701C"/>
    <w:rsid w:val="4F911C54"/>
    <w:rsid w:val="4F9D5D96"/>
    <w:rsid w:val="4FE625E0"/>
    <w:rsid w:val="4FF52BAA"/>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F4444"/>
    <w:rsid w:val="522E4CC3"/>
    <w:rsid w:val="52306A4E"/>
    <w:rsid w:val="5244713B"/>
    <w:rsid w:val="52615633"/>
    <w:rsid w:val="526F4DE4"/>
    <w:rsid w:val="52773616"/>
    <w:rsid w:val="52977FD4"/>
    <w:rsid w:val="52A25790"/>
    <w:rsid w:val="52A96B6F"/>
    <w:rsid w:val="52B45975"/>
    <w:rsid w:val="52D94AA4"/>
    <w:rsid w:val="52EA3A62"/>
    <w:rsid w:val="52F50BB8"/>
    <w:rsid w:val="52F85FC1"/>
    <w:rsid w:val="53097272"/>
    <w:rsid w:val="53544462"/>
    <w:rsid w:val="53904970"/>
    <w:rsid w:val="5397158E"/>
    <w:rsid w:val="53CA06C9"/>
    <w:rsid w:val="54013861"/>
    <w:rsid w:val="54487265"/>
    <w:rsid w:val="544D5142"/>
    <w:rsid w:val="544D6070"/>
    <w:rsid w:val="54605E1E"/>
    <w:rsid w:val="54B3506A"/>
    <w:rsid w:val="54CA0D16"/>
    <w:rsid w:val="54DD4057"/>
    <w:rsid w:val="54E65AA0"/>
    <w:rsid w:val="54E7490F"/>
    <w:rsid w:val="550764A4"/>
    <w:rsid w:val="550B2BF6"/>
    <w:rsid w:val="55214EB5"/>
    <w:rsid w:val="55364EFD"/>
    <w:rsid w:val="555D4828"/>
    <w:rsid w:val="557A4C8B"/>
    <w:rsid w:val="558931E1"/>
    <w:rsid w:val="55923347"/>
    <w:rsid w:val="55925180"/>
    <w:rsid w:val="5596730D"/>
    <w:rsid w:val="55977CE7"/>
    <w:rsid w:val="55983B1B"/>
    <w:rsid w:val="55A8376B"/>
    <w:rsid w:val="55DC29B6"/>
    <w:rsid w:val="55DD4241"/>
    <w:rsid w:val="56414B0E"/>
    <w:rsid w:val="566B6D1E"/>
    <w:rsid w:val="56B714EC"/>
    <w:rsid w:val="56B82E45"/>
    <w:rsid w:val="56F83CE7"/>
    <w:rsid w:val="57032A2C"/>
    <w:rsid w:val="570F5219"/>
    <w:rsid w:val="575D12B5"/>
    <w:rsid w:val="57610A87"/>
    <w:rsid w:val="5772567E"/>
    <w:rsid w:val="577B1140"/>
    <w:rsid w:val="577B7F21"/>
    <w:rsid w:val="577F181B"/>
    <w:rsid w:val="5780017C"/>
    <w:rsid w:val="57921984"/>
    <w:rsid w:val="579737F0"/>
    <w:rsid w:val="57AB7B30"/>
    <w:rsid w:val="57AF5251"/>
    <w:rsid w:val="57B26373"/>
    <w:rsid w:val="57B63F04"/>
    <w:rsid w:val="57BE4AFC"/>
    <w:rsid w:val="57CD20C2"/>
    <w:rsid w:val="57D675AB"/>
    <w:rsid w:val="57D95FDD"/>
    <w:rsid w:val="57ED0501"/>
    <w:rsid w:val="586A4374"/>
    <w:rsid w:val="587F24DD"/>
    <w:rsid w:val="58917D2F"/>
    <w:rsid w:val="5894085C"/>
    <w:rsid w:val="58AE4F0C"/>
    <w:rsid w:val="58B85899"/>
    <w:rsid w:val="58D73547"/>
    <w:rsid w:val="58E363A9"/>
    <w:rsid w:val="595E1678"/>
    <w:rsid w:val="59656BCD"/>
    <w:rsid w:val="596D5BD4"/>
    <w:rsid w:val="597E3DD8"/>
    <w:rsid w:val="598F17EF"/>
    <w:rsid w:val="59F80043"/>
    <w:rsid w:val="5A09252F"/>
    <w:rsid w:val="5A0B2778"/>
    <w:rsid w:val="5A0B6BA5"/>
    <w:rsid w:val="5A2A7C7B"/>
    <w:rsid w:val="5A3E2560"/>
    <w:rsid w:val="5A3E4927"/>
    <w:rsid w:val="5A5D3B6E"/>
    <w:rsid w:val="5A637A76"/>
    <w:rsid w:val="5A6D33BA"/>
    <w:rsid w:val="5A792B1F"/>
    <w:rsid w:val="5A874767"/>
    <w:rsid w:val="5AA85BE2"/>
    <w:rsid w:val="5AAD6F28"/>
    <w:rsid w:val="5AD63A24"/>
    <w:rsid w:val="5ADB4028"/>
    <w:rsid w:val="5AE92D75"/>
    <w:rsid w:val="5B2E1A1D"/>
    <w:rsid w:val="5B600325"/>
    <w:rsid w:val="5B794741"/>
    <w:rsid w:val="5B843A1C"/>
    <w:rsid w:val="5B872136"/>
    <w:rsid w:val="5B873E3F"/>
    <w:rsid w:val="5B8A0D51"/>
    <w:rsid w:val="5BCD22B6"/>
    <w:rsid w:val="5C02690E"/>
    <w:rsid w:val="5C196DA7"/>
    <w:rsid w:val="5C2A048C"/>
    <w:rsid w:val="5C7A1BCF"/>
    <w:rsid w:val="5C7F0CFE"/>
    <w:rsid w:val="5C80234E"/>
    <w:rsid w:val="5C8A680C"/>
    <w:rsid w:val="5CD8040E"/>
    <w:rsid w:val="5D0C4701"/>
    <w:rsid w:val="5D0F0395"/>
    <w:rsid w:val="5D221076"/>
    <w:rsid w:val="5D397964"/>
    <w:rsid w:val="5D5A391C"/>
    <w:rsid w:val="5D5F10C0"/>
    <w:rsid w:val="5D891B7B"/>
    <w:rsid w:val="5D9E6F62"/>
    <w:rsid w:val="5DAD38EE"/>
    <w:rsid w:val="5E006862"/>
    <w:rsid w:val="5E0207B9"/>
    <w:rsid w:val="5E111E29"/>
    <w:rsid w:val="5E1834A1"/>
    <w:rsid w:val="5E261785"/>
    <w:rsid w:val="5E4A7017"/>
    <w:rsid w:val="5E552BBA"/>
    <w:rsid w:val="5E611C10"/>
    <w:rsid w:val="5E7A0F3F"/>
    <w:rsid w:val="5EFC7377"/>
    <w:rsid w:val="5F06174D"/>
    <w:rsid w:val="5F1E25EF"/>
    <w:rsid w:val="5F265461"/>
    <w:rsid w:val="5F3A3602"/>
    <w:rsid w:val="5F45733B"/>
    <w:rsid w:val="5F6277C6"/>
    <w:rsid w:val="5F6D0B1D"/>
    <w:rsid w:val="5F8D0B82"/>
    <w:rsid w:val="5F99208C"/>
    <w:rsid w:val="5FCC5339"/>
    <w:rsid w:val="5FCF3D4A"/>
    <w:rsid w:val="5FE34A5B"/>
    <w:rsid w:val="5FFE1E36"/>
    <w:rsid w:val="60150B9A"/>
    <w:rsid w:val="60232584"/>
    <w:rsid w:val="607330CE"/>
    <w:rsid w:val="60825176"/>
    <w:rsid w:val="609F2AC4"/>
    <w:rsid w:val="60FA2EE8"/>
    <w:rsid w:val="61054A27"/>
    <w:rsid w:val="610A52BC"/>
    <w:rsid w:val="611D2366"/>
    <w:rsid w:val="61421856"/>
    <w:rsid w:val="614D13CA"/>
    <w:rsid w:val="615227C4"/>
    <w:rsid w:val="61654E3F"/>
    <w:rsid w:val="6182292A"/>
    <w:rsid w:val="619F7F92"/>
    <w:rsid w:val="61BB37CE"/>
    <w:rsid w:val="61F94C26"/>
    <w:rsid w:val="61FE7048"/>
    <w:rsid w:val="62000E56"/>
    <w:rsid w:val="624F3E49"/>
    <w:rsid w:val="62632286"/>
    <w:rsid w:val="62885958"/>
    <w:rsid w:val="62C62021"/>
    <w:rsid w:val="62F40B65"/>
    <w:rsid w:val="62FC2CFE"/>
    <w:rsid w:val="63024505"/>
    <w:rsid w:val="6310039E"/>
    <w:rsid w:val="63355430"/>
    <w:rsid w:val="635600A5"/>
    <w:rsid w:val="635B1DB5"/>
    <w:rsid w:val="63711FED"/>
    <w:rsid w:val="63880DDC"/>
    <w:rsid w:val="638D750D"/>
    <w:rsid w:val="63A6775E"/>
    <w:rsid w:val="63AC6CC0"/>
    <w:rsid w:val="64055776"/>
    <w:rsid w:val="64240056"/>
    <w:rsid w:val="643C1282"/>
    <w:rsid w:val="643E143A"/>
    <w:rsid w:val="64491666"/>
    <w:rsid w:val="648B6EEF"/>
    <w:rsid w:val="64923598"/>
    <w:rsid w:val="64AC0F89"/>
    <w:rsid w:val="64C158BF"/>
    <w:rsid w:val="64CE2EAA"/>
    <w:rsid w:val="65123D2A"/>
    <w:rsid w:val="65150451"/>
    <w:rsid w:val="653C3090"/>
    <w:rsid w:val="65854376"/>
    <w:rsid w:val="658767BE"/>
    <w:rsid w:val="65892531"/>
    <w:rsid w:val="66195831"/>
    <w:rsid w:val="662E75B1"/>
    <w:rsid w:val="66342C2E"/>
    <w:rsid w:val="663E784C"/>
    <w:rsid w:val="668B6A45"/>
    <w:rsid w:val="67011F07"/>
    <w:rsid w:val="67191E9B"/>
    <w:rsid w:val="672F3F24"/>
    <w:rsid w:val="6736645D"/>
    <w:rsid w:val="673E055F"/>
    <w:rsid w:val="67551CE3"/>
    <w:rsid w:val="67A22552"/>
    <w:rsid w:val="67B22DCC"/>
    <w:rsid w:val="67BE71AA"/>
    <w:rsid w:val="67D57A24"/>
    <w:rsid w:val="67D90273"/>
    <w:rsid w:val="67DE5875"/>
    <w:rsid w:val="67E55852"/>
    <w:rsid w:val="67EB1AB4"/>
    <w:rsid w:val="67FA1285"/>
    <w:rsid w:val="68551F4F"/>
    <w:rsid w:val="687C10C9"/>
    <w:rsid w:val="68840C16"/>
    <w:rsid w:val="68863414"/>
    <w:rsid w:val="68872541"/>
    <w:rsid w:val="68876EFB"/>
    <w:rsid w:val="68884654"/>
    <w:rsid w:val="689F444F"/>
    <w:rsid w:val="68B218C6"/>
    <w:rsid w:val="68B96DBB"/>
    <w:rsid w:val="68CA2805"/>
    <w:rsid w:val="68E937A3"/>
    <w:rsid w:val="68FB5BB0"/>
    <w:rsid w:val="691664E5"/>
    <w:rsid w:val="693E15D3"/>
    <w:rsid w:val="69627681"/>
    <w:rsid w:val="6977531D"/>
    <w:rsid w:val="69CC2BFF"/>
    <w:rsid w:val="69FD55B8"/>
    <w:rsid w:val="6A0B1C62"/>
    <w:rsid w:val="6A1E3383"/>
    <w:rsid w:val="6A2406C8"/>
    <w:rsid w:val="6AC54B15"/>
    <w:rsid w:val="6ADE0BD1"/>
    <w:rsid w:val="6AE96859"/>
    <w:rsid w:val="6AFC5C0F"/>
    <w:rsid w:val="6B147746"/>
    <w:rsid w:val="6B24787C"/>
    <w:rsid w:val="6B573233"/>
    <w:rsid w:val="6B5B6274"/>
    <w:rsid w:val="6B935D53"/>
    <w:rsid w:val="6BA53BB1"/>
    <w:rsid w:val="6C196F71"/>
    <w:rsid w:val="6C226FCB"/>
    <w:rsid w:val="6C31226F"/>
    <w:rsid w:val="6C552F0B"/>
    <w:rsid w:val="6C8C67B7"/>
    <w:rsid w:val="6C9D744C"/>
    <w:rsid w:val="6D167928"/>
    <w:rsid w:val="6D26299B"/>
    <w:rsid w:val="6D4772EC"/>
    <w:rsid w:val="6D9078AF"/>
    <w:rsid w:val="6DAA3FEF"/>
    <w:rsid w:val="6DC0172B"/>
    <w:rsid w:val="6DCA5B51"/>
    <w:rsid w:val="6DCB690C"/>
    <w:rsid w:val="6DD41A5B"/>
    <w:rsid w:val="6DF43C2E"/>
    <w:rsid w:val="6DF51CA3"/>
    <w:rsid w:val="6E277B71"/>
    <w:rsid w:val="6E62222D"/>
    <w:rsid w:val="6E8335BD"/>
    <w:rsid w:val="6E8E12EF"/>
    <w:rsid w:val="6E972936"/>
    <w:rsid w:val="6EB81E4D"/>
    <w:rsid w:val="6ED446C5"/>
    <w:rsid w:val="6F186900"/>
    <w:rsid w:val="6F2A7D94"/>
    <w:rsid w:val="6F641912"/>
    <w:rsid w:val="6F8331F1"/>
    <w:rsid w:val="6F99373A"/>
    <w:rsid w:val="6FAE1A09"/>
    <w:rsid w:val="6FC00FB9"/>
    <w:rsid w:val="6FD75BF8"/>
    <w:rsid w:val="703F5A70"/>
    <w:rsid w:val="707723D0"/>
    <w:rsid w:val="70F5661B"/>
    <w:rsid w:val="71360107"/>
    <w:rsid w:val="713B688E"/>
    <w:rsid w:val="71C22401"/>
    <w:rsid w:val="71D43752"/>
    <w:rsid w:val="71F1796A"/>
    <w:rsid w:val="72154626"/>
    <w:rsid w:val="72262B5D"/>
    <w:rsid w:val="72283FF7"/>
    <w:rsid w:val="722E7212"/>
    <w:rsid w:val="723A0474"/>
    <w:rsid w:val="725923E4"/>
    <w:rsid w:val="72864BF7"/>
    <w:rsid w:val="729023FC"/>
    <w:rsid w:val="72D6565A"/>
    <w:rsid w:val="72D8486C"/>
    <w:rsid w:val="73107E21"/>
    <w:rsid w:val="732B3D6D"/>
    <w:rsid w:val="73C0646E"/>
    <w:rsid w:val="742222F5"/>
    <w:rsid w:val="74476126"/>
    <w:rsid w:val="74706664"/>
    <w:rsid w:val="747F3682"/>
    <w:rsid w:val="748A428C"/>
    <w:rsid w:val="749C4185"/>
    <w:rsid w:val="749E3893"/>
    <w:rsid w:val="74A76BEC"/>
    <w:rsid w:val="75067759"/>
    <w:rsid w:val="752E6DCD"/>
    <w:rsid w:val="7551380D"/>
    <w:rsid w:val="75600BE5"/>
    <w:rsid w:val="7564475C"/>
    <w:rsid w:val="7583797F"/>
    <w:rsid w:val="75862CA5"/>
    <w:rsid w:val="75D20F1D"/>
    <w:rsid w:val="75DA2C18"/>
    <w:rsid w:val="75F54412"/>
    <w:rsid w:val="75FB4D1F"/>
    <w:rsid w:val="761D08E0"/>
    <w:rsid w:val="765D347C"/>
    <w:rsid w:val="76826699"/>
    <w:rsid w:val="76C87133"/>
    <w:rsid w:val="76CD08D5"/>
    <w:rsid w:val="76DB4B92"/>
    <w:rsid w:val="76F75EBB"/>
    <w:rsid w:val="76FA1255"/>
    <w:rsid w:val="76FD013A"/>
    <w:rsid w:val="77040B90"/>
    <w:rsid w:val="77052AA4"/>
    <w:rsid w:val="77136511"/>
    <w:rsid w:val="77340A39"/>
    <w:rsid w:val="77351FD0"/>
    <w:rsid w:val="77472422"/>
    <w:rsid w:val="777F31F2"/>
    <w:rsid w:val="7796031C"/>
    <w:rsid w:val="77D1700D"/>
    <w:rsid w:val="77EC04CC"/>
    <w:rsid w:val="78775729"/>
    <w:rsid w:val="78A42DB0"/>
    <w:rsid w:val="78A656AB"/>
    <w:rsid w:val="78B2245C"/>
    <w:rsid w:val="78E172CC"/>
    <w:rsid w:val="78EA1D1F"/>
    <w:rsid w:val="7904172F"/>
    <w:rsid w:val="790F7E27"/>
    <w:rsid w:val="792A231A"/>
    <w:rsid w:val="79316829"/>
    <w:rsid w:val="797E66A9"/>
    <w:rsid w:val="797E6F9C"/>
    <w:rsid w:val="798518A4"/>
    <w:rsid w:val="79A97383"/>
    <w:rsid w:val="79CE0777"/>
    <w:rsid w:val="79D53106"/>
    <w:rsid w:val="79E27E8B"/>
    <w:rsid w:val="79F850CE"/>
    <w:rsid w:val="79FD443C"/>
    <w:rsid w:val="7A1D1975"/>
    <w:rsid w:val="7A266805"/>
    <w:rsid w:val="7A3E5150"/>
    <w:rsid w:val="7A4670D6"/>
    <w:rsid w:val="7A534B63"/>
    <w:rsid w:val="7A615382"/>
    <w:rsid w:val="7A67303B"/>
    <w:rsid w:val="7A7E219D"/>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8D70F0"/>
    <w:rsid w:val="7CB34123"/>
    <w:rsid w:val="7CE27788"/>
    <w:rsid w:val="7CF81B5F"/>
    <w:rsid w:val="7D0C32F1"/>
    <w:rsid w:val="7D0F408D"/>
    <w:rsid w:val="7D491C6C"/>
    <w:rsid w:val="7D5429C0"/>
    <w:rsid w:val="7D6E6D43"/>
    <w:rsid w:val="7DB57A34"/>
    <w:rsid w:val="7DE60973"/>
    <w:rsid w:val="7DEF0916"/>
    <w:rsid w:val="7E1E5218"/>
    <w:rsid w:val="7E5E658D"/>
    <w:rsid w:val="7E9A4E1F"/>
    <w:rsid w:val="7EA7723A"/>
    <w:rsid w:val="7EF56FBB"/>
    <w:rsid w:val="7F0768EB"/>
    <w:rsid w:val="7F143BEC"/>
    <w:rsid w:val="7F621BB9"/>
    <w:rsid w:val="7F715AF2"/>
    <w:rsid w:val="7F7238C6"/>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99"/>
    <w:pPr>
      <w:spacing w:line="200" w:lineRule="atLeast"/>
      <w:ind w:firstLine="420"/>
    </w:pPr>
    <w:rPr>
      <w:rFonts w:ascii="宋体" w:hAnsi="Courier New"/>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5"/>
    <w:qFormat/>
    <w:uiPriority w:val="0"/>
    <w:rPr>
      <w:b/>
      <w:bCs/>
    </w:rPr>
  </w:style>
  <w:style w:type="paragraph" w:styleId="62">
    <w:name w:val="Body Text First Indent"/>
    <w:basedOn w:val="24"/>
    <w:link w:val="320"/>
    <w:qFormat/>
    <w:uiPriority w:val="0"/>
    <w:pPr>
      <w:ind w:firstLine="420"/>
    </w:pPr>
    <w:rPr>
      <w:rFonts w:hAnsi="Calibri" w:cs="Times New Roman"/>
      <w:snapToGrid/>
      <w:szCs w:val="20"/>
    </w:rPr>
  </w:style>
  <w:style w:type="paragraph" w:styleId="63">
    <w:name w:val="Body Text First Indent 2"/>
    <w:basedOn w:val="25"/>
    <w:link w:val="12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3"/>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9"/>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2"/>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7"/>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9"/>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 Spacing1"/>
    <w:qFormat/>
    <w:uiPriority w:val="0"/>
    <w:rPr>
      <w:rFonts w:ascii="Times New Roman" w:hAnsi="Times New Roman" w:eastAsia="??"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35515</Words>
  <Characters>37696</Characters>
  <Lines>281</Lines>
  <Paragraphs>79</Paragraphs>
  <TotalTime>10</TotalTime>
  <ScaleCrop>false</ScaleCrop>
  <LinksUpToDate>false</LinksUpToDate>
  <CharactersWithSpaces>43101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你的男孩J_J</cp:lastModifiedBy>
  <cp:lastPrinted>2021-12-27T11:06:00Z</cp:lastPrinted>
  <dcterms:modified xsi:type="dcterms:W3CDTF">2023-04-27T00:22:03Z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