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cs="宋体"/>
          <w:b/>
          <w:sz w:val="24"/>
          <w:highlight w:val="none"/>
        </w:rPr>
      </w:pPr>
      <w:bookmarkStart w:id="411" w:name="_GoBack"/>
    </w:p>
    <w:p>
      <w:pPr>
        <w:spacing w:line="360" w:lineRule="auto"/>
        <w:jc w:val="center"/>
        <w:rPr>
          <w:rFonts w:hint="eastAsia" w:ascii="宋体" w:hAnsi="宋体" w:eastAsia="宋体" w:cs="宋体"/>
          <w:b/>
          <w:sz w:val="24"/>
          <w:highlight w:val="none"/>
        </w:rPr>
      </w:pPr>
    </w:p>
    <w:p>
      <w:pPr>
        <w:adjustRightInd/>
        <w:spacing w:line="360" w:lineRule="auto"/>
        <w:jc w:val="center"/>
        <w:rPr>
          <w:rFonts w:hint="eastAsia" w:ascii="宋体" w:hAnsi="宋体" w:eastAsia="宋体" w:cs="宋体"/>
          <w:b/>
          <w:sz w:val="44"/>
          <w:szCs w:val="44"/>
          <w:highlight w:val="none"/>
        </w:rPr>
      </w:pPr>
    </w:p>
    <w:p>
      <w:pPr>
        <w:adjustRightInd/>
        <w:spacing w:line="360" w:lineRule="auto"/>
        <w:jc w:val="both"/>
        <w:rPr>
          <w:rFonts w:hint="eastAsia" w:ascii="宋体" w:hAnsi="宋体" w:eastAsia="宋体" w:cs="宋体"/>
          <w:b/>
          <w:sz w:val="48"/>
          <w:szCs w:val="48"/>
          <w:highlight w:val="none"/>
        </w:rPr>
      </w:pPr>
    </w:p>
    <w:p>
      <w:pPr>
        <w:adjustRightInd/>
        <w:spacing w:line="360" w:lineRule="auto"/>
        <w:jc w:val="center"/>
        <w:rPr>
          <w:rFonts w:hint="eastAsia" w:ascii="宋体" w:hAnsi="宋体" w:eastAsia="宋体" w:cs="宋体"/>
          <w:sz w:val="48"/>
          <w:szCs w:val="48"/>
          <w:highlight w:val="none"/>
          <w:lang w:eastAsia="zh-CN"/>
        </w:rPr>
      </w:pPr>
      <w:r>
        <w:rPr>
          <w:rFonts w:hint="eastAsia" w:ascii="宋体" w:hAnsi="宋体" w:eastAsia="宋体" w:cs="宋体"/>
          <w:sz w:val="48"/>
          <w:szCs w:val="48"/>
          <w:highlight w:val="none"/>
        </w:rPr>
        <w:t>崇贤街道物业管理服务</w:t>
      </w:r>
      <w:r>
        <w:rPr>
          <w:rFonts w:hint="eastAsia" w:ascii="宋体" w:hAnsi="宋体" w:eastAsia="宋体" w:cs="宋体"/>
          <w:sz w:val="48"/>
          <w:szCs w:val="48"/>
          <w:highlight w:val="none"/>
          <w:lang w:eastAsia="zh-CN"/>
        </w:rPr>
        <w:t>采购项目</w:t>
      </w:r>
    </w:p>
    <w:p>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招标文件</w:t>
      </w:r>
    </w:p>
    <w:p>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r>
        <w:rPr>
          <w:rFonts w:hint="eastAsia" w:ascii="宋体" w:hAnsi="宋体" w:eastAsia="宋体" w:cs="宋体"/>
          <w:b/>
          <w:sz w:val="44"/>
          <w:szCs w:val="44"/>
          <w:highlight w:val="none"/>
        </w:rPr>
        <w:t>（电子招投标）</w:t>
      </w:r>
    </w:p>
    <w:p>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（项目编号：</w:t>
      </w:r>
      <w:bookmarkStart w:id="0" w:name="projNo1"/>
      <w:r>
        <w:rPr>
          <w:rFonts w:hint="eastAsia" w:ascii="宋体" w:hAnsi="宋体" w:eastAsia="宋体" w:cs="宋体"/>
          <w:b/>
          <w:color w:val="000000"/>
          <w:sz w:val="36"/>
          <w:szCs w:val="36"/>
          <w:highlight w:val="none"/>
          <w:lang w:eastAsia="zh-CN"/>
        </w:rPr>
        <w:t>HZLP</w:t>
      </w:r>
      <w:r>
        <w:rPr>
          <w:rFonts w:hint="eastAsia" w:ascii="宋体" w:hAnsi="宋体" w:eastAsia="宋体" w:cs="宋体"/>
          <w:b/>
          <w:color w:val="000000"/>
          <w:sz w:val="36"/>
          <w:szCs w:val="36"/>
          <w:highlight w:val="none"/>
        </w:rPr>
        <w:t>ZFCG-</w:t>
      </w:r>
      <w:bookmarkEnd w:id="0"/>
      <w:r>
        <w:rPr>
          <w:rFonts w:hint="eastAsia" w:ascii="宋体" w:hAnsi="宋体" w:eastAsia="宋体" w:cs="宋体"/>
          <w:b/>
          <w:color w:val="000000"/>
          <w:sz w:val="36"/>
          <w:szCs w:val="36"/>
          <w:highlight w:val="none"/>
        </w:rPr>
        <w:t>20</w:t>
      </w:r>
      <w:r>
        <w:rPr>
          <w:rFonts w:hint="eastAsia" w:ascii="宋体" w:hAnsi="宋体" w:eastAsia="宋体" w:cs="宋体"/>
          <w:b/>
          <w:color w:val="000000"/>
          <w:sz w:val="36"/>
          <w:szCs w:val="36"/>
          <w:highlight w:val="none"/>
          <w:lang w:val="en-US" w:eastAsia="zh-CN"/>
        </w:rPr>
        <w:t>22</w:t>
      </w:r>
      <w:r>
        <w:rPr>
          <w:rFonts w:hint="eastAsia" w:ascii="宋体" w:hAnsi="宋体" w:eastAsia="宋体" w:cs="宋体"/>
          <w:b/>
          <w:color w:val="000000"/>
          <w:sz w:val="36"/>
          <w:szCs w:val="36"/>
          <w:highlight w:val="none"/>
        </w:rPr>
        <w:t>-</w:t>
      </w:r>
      <w:r>
        <w:rPr>
          <w:rFonts w:hint="eastAsia" w:ascii="宋体" w:hAnsi="宋体" w:eastAsia="宋体" w:cs="宋体"/>
          <w:b/>
          <w:color w:val="000000"/>
          <w:sz w:val="36"/>
          <w:szCs w:val="36"/>
          <w:highlight w:val="none"/>
          <w:lang w:val="en-US" w:eastAsia="zh-CN"/>
        </w:rPr>
        <w:t>017</w:t>
      </w:r>
      <w:r>
        <w:rPr>
          <w:rFonts w:hint="eastAsia" w:ascii="宋体" w:hAnsi="宋体" w:eastAsia="宋体" w:cs="宋体"/>
          <w:b/>
          <w:color w:val="000000"/>
          <w:sz w:val="36"/>
          <w:szCs w:val="36"/>
          <w:highlight w:val="none"/>
        </w:rPr>
        <w:t>）</w:t>
      </w:r>
    </w:p>
    <w:p>
      <w:pPr>
        <w:snapToGrid w:val="0"/>
        <w:spacing w:line="360" w:lineRule="auto"/>
        <w:jc w:val="center"/>
        <w:rPr>
          <w:rFonts w:hint="eastAsia" w:ascii="宋体" w:hAnsi="宋体" w:eastAsia="宋体" w:cs="宋体"/>
          <w:sz w:val="30"/>
          <w:szCs w:val="30"/>
          <w:highlight w:val="none"/>
        </w:rPr>
      </w:pPr>
    </w:p>
    <w:p>
      <w:pPr>
        <w:adjustRightInd/>
        <w:spacing w:line="360" w:lineRule="auto"/>
        <w:rPr>
          <w:rFonts w:hint="eastAsia" w:ascii="宋体" w:hAnsi="宋体" w:eastAsia="宋体" w:cs="宋体"/>
          <w:sz w:val="28"/>
          <w:szCs w:val="20"/>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rPr>
          <w:rFonts w:hint="eastAsia" w:ascii="宋体" w:hAnsi="宋体" w:eastAsia="宋体" w:cs="宋体"/>
          <w:sz w:val="32"/>
          <w:szCs w:val="32"/>
          <w:highlight w:val="none"/>
        </w:rPr>
      </w:pPr>
    </w:p>
    <w:p>
      <w:pPr>
        <w:adjustRightInd w:val="0"/>
        <w:snapToGrid w:val="0"/>
        <w:spacing w:line="360" w:lineRule="auto"/>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rPr>
        <w:t>采购人：杭州市临平区人民政府崇贤街道办事处</w:t>
      </w:r>
    </w:p>
    <w:p>
      <w:pPr>
        <w:adjustRightInd w:val="0"/>
        <w:snapToGrid w:val="0"/>
        <w:spacing w:line="360" w:lineRule="auto"/>
        <w:jc w:val="center"/>
        <w:rPr>
          <w:rFonts w:hint="eastAsia" w:ascii="宋体" w:hAnsi="宋体" w:eastAsia="宋体" w:cs="宋体"/>
          <w:bCs/>
          <w:color w:val="000000"/>
          <w:sz w:val="28"/>
          <w:szCs w:val="28"/>
          <w:highlight w:val="none"/>
        </w:rPr>
      </w:pPr>
      <w:r>
        <w:rPr>
          <w:rFonts w:hint="eastAsia" w:ascii="宋体" w:hAnsi="宋体" w:eastAsia="宋体" w:cs="宋体"/>
          <w:b/>
          <w:color w:val="000000"/>
          <w:sz w:val="36"/>
          <w:szCs w:val="36"/>
          <w:highlight w:val="none"/>
        </w:rPr>
        <w:t>采购代理机构：杭州市公共资源交易中心</w:t>
      </w:r>
      <w:r>
        <w:rPr>
          <w:rFonts w:hint="eastAsia" w:ascii="宋体" w:hAnsi="宋体" w:eastAsia="宋体" w:cs="宋体"/>
          <w:b/>
          <w:color w:val="000000"/>
          <w:sz w:val="36"/>
          <w:szCs w:val="36"/>
          <w:highlight w:val="none"/>
          <w:lang w:eastAsia="zh-CN"/>
        </w:rPr>
        <w:t>临平</w:t>
      </w:r>
      <w:r>
        <w:rPr>
          <w:rFonts w:hint="eastAsia" w:ascii="宋体" w:hAnsi="宋体" w:eastAsia="宋体" w:cs="宋体"/>
          <w:b/>
          <w:color w:val="000000"/>
          <w:sz w:val="36"/>
          <w:szCs w:val="36"/>
          <w:highlight w:val="none"/>
        </w:rPr>
        <w:t>分中心</w:t>
      </w:r>
    </w:p>
    <w:p>
      <w:pPr>
        <w:snapToGrid w:val="0"/>
        <w:spacing w:line="360" w:lineRule="auto"/>
        <w:jc w:val="center"/>
        <w:rPr>
          <w:rFonts w:hint="eastAsia" w:ascii="宋体" w:hAnsi="宋体" w:eastAsia="宋体" w:cs="宋体"/>
          <w:bCs/>
          <w:sz w:val="32"/>
          <w:szCs w:val="32"/>
          <w:highlight w:val="none"/>
        </w:rPr>
      </w:pPr>
      <w:r>
        <w:rPr>
          <w:rFonts w:hint="eastAsia" w:ascii="宋体" w:hAnsi="宋体" w:eastAsia="宋体" w:cs="宋体"/>
          <w:bCs/>
          <w:sz w:val="32"/>
          <w:szCs w:val="32"/>
          <w:highlight w:val="none"/>
        </w:rPr>
        <w:t>二〇二</w:t>
      </w:r>
      <w:r>
        <w:rPr>
          <w:rFonts w:hint="eastAsia" w:ascii="宋体" w:hAnsi="宋体" w:eastAsia="宋体" w:cs="宋体"/>
          <w:bCs/>
          <w:sz w:val="32"/>
          <w:szCs w:val="32"/>
          <w:highlight w:val="none"/>
          <w:lang w:val="en-US" w:eastAsia="zh-CN"/>
        </w:rPr>
        <w:t>二</w:t>
      </w:r>
      <w:r>
        <w:rPr>
          <w:rFonts w:hint="eastAsia" w:ascii="宋体" w:hAnsi="宋体" w:eastAsia="宋体" w:cs="宋体"/>
          <w:bCs/>
          <w:sz w:val="32"/>
          <w:szCs w:val="32"/>
          <w:highlight w:val="none"/>
        </w:rPr>
        <w:t>年</w:t>
      </w:r>
      <w:r>
        <w:rPr>
          <w:rFonts w:hint="eastAsia" w:ascii="宋体" w:hAnsi="宋体" w:eastAsia="宋体" w:cs="宋体"/>
          <w:bCs/>
          <w:sz w:val="32"/>
          <w:szCs w:val="32"/>
          <w:highlight w:val="none"/>
          <w:lang w:eastAsia="zh-CN"/>
        </w:rPr>
        <w:t>九</w:t>
      </w:r>
      <w:r>
        <w:rPr>
          <w:rFonts w:hint="eastAsia" w:ascii="宋体" w:hAnsi="宋体" w:eastAsia="宋体" w:cs="宋体"/>
          <w:bCs/>
          <w:sz w:val="32"/>
          <w:szCs w:val="32"/>
          <w:highlight w:val="none"/>
        </w:rPr>
        <w:t>月</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1" w:name="_Hlt67893495"/>
      <w:bookmarkEnd w:id="1"/>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spacing w:line="360" w:lineRule="auto"/>
        <w:rPr>
          <w:rFonts w:hint="eastAsia" w:ascii="宋体" w:hAnsi="宋体" w:eastAsia="宋体" w:cs="宋体"/>
          <w:sz w:val="32"/>
          <w:szCs w:val="32"/>
          <w:highlight w:val="none"/>
        </w:rPr>
      </w:pPr>
    </w:p>
    <w:p>
      <w:pPr>
        <w:spacing w:line="360" w:lineRule="auto"/>
        <w:rPr>
          <w:rFonts w:hint="eastAsia" w:ascii="宋体" w:hAnsi="宋体" w:eastAsia="宋体" w:cs="宋体"/>
          <w:sz w:val="32"/>
          <w:szCs w:val="32"/>
          <w:highlight w:val="none"/>
        </w:rPr>
      </w:pP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第五部分      拟签订的合同文本</w:t>
      </w:r>
    </w:p>
    <w:p>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第六部分      应提交的有关格式范例</w:t>
      </w:r>
    </w:p>
    <w:p>
      <w:pPr>
        <w:spacing w:line="360" w:lineRule="auto"/>
        <w:ind w:firstLine="549" w:firstLineChars="229"/>
        <w:rPr>
          <w:rFonts w:hint="eastAsia" w:ascii="宋体" w:hAnsi="宋体" w:eastAsia="宋体" w:cs="宋体"/>
          <w:sz w:val="24"/>
          <w:highlight w:val="none"/>
        </w:rPr>
      </w:pPr>
      <w:bookmarkStart w:id="2" w:name="_Hlt91233176"/>
      <w:bookmarkEnd w:id="2"/>
      <w:bookmarkStart w:id="3" w:name="_Toc91899869"/>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ind w:firstLine="549" w:firstLineChars="229"/>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p>
    <w:p>
      <w:pPr>
        <w:adjustRightInd/>
        <w:spacing w:line="360" w:lineRule="auto"/>
        <w:jc w:val="center"/>
        <w:outlineLvl w:val="0"/>
        <w:rPr>
          <w:rFonts w:hint="eastAsia" w:ascii="宋体" w:hAnsi="宋体" w:eastAsia="宋体" w:cs="宋体"/>
          <w:b/>
          <w:sz w:val="36"/>
          <w:szCs w:val="20"/>
          <w:highlight w:val="none"/>
        </w:rPr>
      </w:pPr>
      <w:bookmarkStart w:id="4" w:name="第一部分"/>
      <w:r>
        <w:rPr>
          <w:rFonts w:hint="eastAsia" w:ascii="宋体" w:hAnsi="宋体" w:eastAsia="宋体" w:cs="宋体"/>
          <w:b/>
          <w:sz w:val="36"/>
          <w:szCs w:val="36"/>
          <w:highlight w:val="none"/>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宋体" w:hAnsi="宋体" w:eastAsia="宋体" w:cs="宋体"/>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u w:val="single" w:color="auto"/>
        </w:rPr>
        <w:t>崇贤街道物业管理服务</w:t>
      </w:r>
      <w:r>
        <w:rPr>
          <w:rFonts w:hint="eastAsia" w:ascii="宋体" w:hAnsi="宋体" w:eastAsia="宋体" w:cs="宋体"/>
          <w:sz w:val="24"/>
          <w:highlight w:val="none"/>
          <w:u w:val="single" w:color="auto"/>
          <w:lang w:eastAsia="zh-CN"/>
        </w:rPr>
        <w:t>采购项目</w:t>
      </w:r>
      <w:r>
        <w:rPr>
          <w:rFonts w:hint="eastAsia" w:ascii="宋体" w:hAnsi="宋体" w:eastAsia="宋体" w:cs="宋体"/>
          <w:sz w:val="24"/>
          <w:highlight w:val="none"/>
        </w:rPr>
        <w:t>招标项目的潜在投标人应在政采云平台（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"https://www.zcygov.cn/）获取（下载）招标文件，并于2021年" </w:instrText>
      </w:r>
      <w:r>
        <w:rPr>
          <w:rFonts w:hint="eastAsia" w:ascii="宋体" w:hAnsi="宋体" w:eastAsia="宋体" w:cs="宋体"/>
          <w:highlight w:val="none"/>
        </w:rPr>
        <w:fldChar w:fldCharType="separate"/>
      </w:r>
      <w:r>
        <w:rPr>
          <w:rStyle w:val="70"/>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00秒</w:t>
      </w:r>
      <w:r>
        <w:rPr>
          <w:rFonts w:hint="eastAsia" w:ascii="宋体" w:hAnsi="宋体" w:eastAsia="宋体" w:cs="宋体"/>
          <w:highlight w:val="none"/>
        </w:rPr>
        <w:fldChar w:fldCharType="end"/>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递交（上传）投标文件。</w:t>
      </w:r>
    </w:p>
    <w:p>
      <w:pPr>
        <w:wordWrap/>
        <w:adjustRightInd w:val="0"/>
        <w:snapToGrid w:val="0"/>
        <w:spacing w:line="360" w:lineRule="auto"/>
        <w:ind w:left="0" w:leftChars="0" w:right="0"/>
        <w:jc w:val="both"/>
        <w:textAlignment w:val="auto"/>
        <w:rPr>
          <w:rFonts w:hint="eastAsia" w:ascii="宋体" w:hAnsi="宋体" w:eastAsia="宋体" w:cs="宋体"/>
          <w:b/>
          <w:sz w:val="24"/>
          <w:highlight w:val="none"/>
        </w:rPr>
      </w:pPr>
      <w:r>
        <w:rPr>
          <w:rFonts w:hint="eastAsia" w:ascii="宋体" w:hAnsi="宋体" w:eastAsia="宋体" w:cs="宋体"/>
          <w:b/>
          <w:sz w:val="24"/>
          <w:highlight w:val="none"/>
        </w:rPr>
        <w:t>一、</w:t>
      </w:r>
      <w:r>
        <w:rPr>
          <w:rFonts w:hint="eastAsia" w:ascii="宋体" w:hAnsi="宋体" w:eastAsia="宋体" w:cs="宋体"/>
          <w:b/>
          <w:sz w:val="24"/>
          <w:highlight w:val="none"/>
        </w:rPr>
        <w:t xml:space="preserve">项目基本情况       </w:t>
      </w:r>
      <w:r>
        <w:rPr>
          <w:rFonts w:hint="eastAsia" w:ascii="宋体" w:hAnsi="宋体" w:eastAsia="宋体" w:cs="宋体"/>
          <w:b/>
          <w:sz w:val="24"/>
          <w:highlight w:val="none"/>
        </w:rPr>
        <w:t xml:space="preserve">                                     </w:t>
      </w:r>
    </w:p>
    <w:p>
      <w:pPr>
        <w:wordWrap/>
        <w:adjustRightInd w:val="0"/>
        <w:snapToGrid w:val="0"/>
        <w:spacing w:line="360" w:lineRule="auto"/>
        <w:ind w:left="0" w:leftChars="0" w:right="0" w:firstLine="482" w:firstLineChars="200"/>
        <w:jc w:val="both"/>
        <w:textAlignment w:val="auto"/>
        <w:rPr>
          <w:rFonts w:hint="eastAsia" w:ascii="宋体" w:hAnsi="宋体" w:eastAsia="宋体" w:cs="宋体"/>
          <w:b w:val="0"/>
          <w:bCs/>
          <w:sz w:val="24"/>
          <w:highlight w:val="none"/>
          <w:lang w:val="en-US" w:eastAsia="zh-CN"/>
        </w:rPr>
      </w:pPr>
      <w:r>
        <w:rPr>
          <w:rFonts w:hint="eastAsia" w:ascii="宋体" w:hAnsi="宋体" w:eastAsia="宋体" w:cs="宋体"/>
          <w:b/>
          <w:sz w:val="24"/>
          <w:highlight w:val="none"/>
        </w:rPr>
        <w:t>项目编号：</w:t>
      </w:r>
      <w:r>
        <w:rPr>
          <w:rFonts w:hint="eastAsia" w:ascii="宋体" w:hAnsi="宋体" w:eastAsia="宋体" w:cs="宋体"/>
          <w:b w:val="0"/>
          <w:bCs/>
          <w:sz w:val="24"/>
          <w:highlight w:val="none"/>
          <w:lang w:eastAsia="zh-CN"/>
        </w:rPr>
        <w:t>HZLP</w:t>
      </w:r>
      <w:r>
        <w:rPr>
          <w:rFonts w:hint="eastAsia" w:ascii="宋体" w:hAnsi="宋体" w:eastAsia="宋体" w:cs="宋体"/>
          <w:b w:val="0"/>
          <w:bCs/>
          <w:sz w:val="24"/>
          <w:highlight w:val="none"/>
        </w:rPr>
        <w:t>ZFCG-20</w:t>
      </w:r>
      <w:r>
        <w:rPr>
          <w:rFonts w:hint="eastAsia" w:ascii="宋体" w:hAnsi="宋体" w:eastAsia="宋体" w:cs="宋体"/>
          <w:b w:val="0"/>
          <w:bCs/>
          <w:sz w:val="24"/>
          <w:highlight w:val="none"/>
          <w:lang w:val="en-US" w:eastAsia="zh-CN"/>
        </w:rPr>
        <w:t>22</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017</w:t>
      </w:r>
    </w:p>
    <w:p>
      <w:pPr>
        <w:wordWrap/>
        <w:adjustRightInd w:val="0"/>
        <w:snapToGrid w:val="0"/>
        <w:spacing w:line="360" w:lineRule="auto"/>
        <w:ind w:left="0" w:leftChars="0" w:right="0" w:firstLine="482" w:firstLineChars="200"/>
        <w:jc w:val="both"/>
        <w:textAlignment w:val="auto"/>
        <w:rPr>
          <w:rFonts w:hint="eastAsia" w:ascii="宋体" w:hAnsi="宋体" w:eastAsia="宋体" w:cs="宋体"/>
          <w:sz w:val="24"/>
          <w:highlight w:val="none"/>
        </w:rPr>
      </w:pPr>
      <w:r>
        <w:rPr>
          <w:rFonts w:hint="eastAsia" w:ascii="宋体" w:hAnsi="宋体" w:eastAsia="宋体" w:cs="宋体"/>
          <w:b/>
          <w:sz w:val="24"/>
          <w:highlight w:val="none"/>
        </w:rPr>
        <w:t>项目名称：</w:t>
      </w:r>
      <w:r>
        <w:rPr>
          <w:rFonts w:hint="eastAsia" w:ascii="宋体" w:hAnsi="宋体" w:eastAsia="宋体" w:cs="宋体"/>
          <w:b w:val="0"/>
          <w:bCs/>
          <w:sz w:val="24"/>
          <w:highlight w:val="none"/>
        </w:rPr>
        <w:t>崇贤街道物业管理服务</w:t>
      </w:r>
      <w:r>
        <w:rPr>
          <w:rFonts w:hint="eastAsia" w:ascii="宋体" w:hAnsi="宋体" w:eastAsia="宋体" w:cs="宋体"/>
          <w:b w:val="0"/>
          <w:bCs/>
          <w:sz w:val="24"/>
          <w:highlight w:val="none"/>
          <w:lang w:eastAsia="zh-CN"/>
        </w:rPr>
        <w:t>采购项目</w:t>
      </w:r>
    </w:p>
    <w:p>
      <w:pPr>
        <w:wordWrap/>
        <w:adjustRightInd w:val="0"/>
        <w:snapToGrid w:val="0"/>
        <w:spacing w:line="360" w:lineRule="auto"/>
        <w:ind w:left="0" w:leftChars="0" w:right="0"/>
        <w:jc w:val="both"/>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 xml:space="preserve"> 预算金额（元）：</w:t>
      </w:r>
      <w:r>
        <w:rPr>
          <w:rFonts w:hint="eastAsia" w:ascii="宋体" w:hAnsi="宋体" w:eastAsia="宋体" w:cs="宋体"/>
          <w:b w:val="0"/>
          <w:bCs/>
          <w:sz w:val="24"/>
          <w:highlight w:val="none"/>
          <w:lang w:val="en-US" w:eastAsia="zh-CN"/>
        </w:rPr>
        <w:t>6300000元</w:t>
      </w:r>
      <w:r>
        <w:rPr>
          <w:rFonts w:hint="eastAsia" w:ascii="宋体" w:hAnsi="宋体" w:eastAsia="宋体" w:cs="宋体"/>
          <w:b w:val="0"/>
          <w:bCs/>
          <w:sz w:val="24"/>
          <w:highlight w:val="none"/>
        </w:rPr>
        <w:t xml:space="preserve">  </w:t>
      </w:r>
      <w:r>
        <w:rPr>
          <w:rFonts w:hint="eastAsia" w:ascii="宋体" w:hAnsi="宋体" w:eastAsia="宋体" w:cs="宋体"/>
          <w:sz w:val="24"/>
          <w:highlight w:val="none"/>
        </w:rPr>
        <w:t xml:space="preserve">  </w:t>
      </w:r>
    </w:p>
    <w:p>
      <w:pPr>
        <w:pStyle w:val="7"/>
        <w:wordWrap/>
        <w:adjustRightInd w:val="0"/>
        <w:snapToGrid w:val="0"/>
        <w:spacing w:line="360" w:lineRule="auto"/>
        <w:ind w:left="0" w:leftChars="0" w:right="0" w:firstLine="480"/>
        <w:jc w:val="both"/>
        <w:textAlignment w:val="auto"/>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崇贤街道物业管理服务</w:t>
      </w:r>
      <w:r>
        <w:rPr>
          <w:rFonts w:hint="eastAsia" w:ascii="宋体" w:hAnsi="宋体" w:eastAsia="宋体" w:cs="宋体"/>
          <w:b w:val="0"/>
          <w:bCs/>
          <w:color w:val="auto"/>
          <w:sz w:val="24"/>
          <w:highlight w:val="none"/>
          <w:lang w:eastAsia="zh-CN"/>
        </w:rPr>
        <w:t>采购</w:t>
      </w:r>
      <w:r>
        <w:rPr>
          <w:rFonts w:hint="eastAsia" w:ascii="宋体" w:hAnsi="宋体" w:eastAsia="宋体" w:cs="宋体"/>
          <w:b w:val="0"/>
          <w:bCs/>
          <w:color w:val="auto"/>
          <w:kern w:val="2"/>
          <w:sz w:val="24"/>
          <w:szCs w:val="24"/>
          <w:highlight w:val="none"/>
        </w:rPr>
        <w:t>。</w:t>
      </w:r>
      <w:r>
        <w:rPr>
          <w:rFonts w:hint="eastAsia" w:ascii="宋体" w:hAnsi="宋体" w:eastAsia="宋体" w:cs="宋体"/>
          <w:bCs/>
          <w:color w:val="auto"/>
          <w:kern w:val="2"/>
          <w:sz w:val="24"/>
          <w:szCs w:val="24"/>
          <w:highlight w:val="none"/>
        </w:rPr>
        <w:t>详见招标文件第三部分采购需求。</w:t>
      </w:r>
    </w:p>
    <w:p>
      <w:pPr>
        <w:pStyle w:val="86"/>
        <w:wordWrap/>
        <w:adjustRightInd w:val="0"/>
        <w:snapToGrid w:val="0"/>
        <w:spacing w:before="0" w:line="360" w:lineRule="auto"/>
        <w:ind w:left="0" w:leftChars="0" w:right="0" w:firstLine="482"/>
        <w:jc w:val="both"/>
        <w:textAlignment w:val="auto"/>
        <w:outlineLvl w:val="2"/>
        <w:rPr>
          <w:rFonts w:hint="eastAsia" w:ascii="宋体" w:hAnsi="宋体" w:eastAsia="宋体" w:cs="宋体"/>
          <w:highlight w:val="none"/>
        </w:rPr>
      </w:pPr>
      <w:r>
        <w:rPr>
          <w:rFonts w:hint="eastAsia" w:ascii="宋体" w:hAnsi="宋体" w:eastAsia="宋体" w:cs="宋体"/>
          <w:b/>
          <w:highlight w:val="none"/>
        </w:rPr>
        <w:t>合同履约期限：</w:t>
      </w:r>
      <w:r>
        <w:rPr>
          <w:rFonts w:hint="eastAsia" w:ascii="宋体" w:hAnsi="宋体" w:cs="宋体"/>
          <w:b w:val="0"/>
          <w:bCs/>
          <w:highlight w:val="none"/>
          <w:lang w:val="en-US" w:eastAsia="zh-CN"/>
        </w:rPr>
        <w:t>24个月</w:t>
      </w:r>
    </w:p>
    <w:p>
      <w:pPr>
        <w:pStyle w:val="7"/>
        <w:wordWrap/>
        <w:adjustRightInd w:val="0"/>
        <w:snapToGrid w:val="0"/>
        <w:spacing w:line="360" w:lineRule="auto"/>
        <w:ind w:left="0" w:leftChars="0" w:right="0" w:firstLine="48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w:t>
      </w:r>
      <w:r>
        <w:rPr>
          <w:rFonts w:hint="eastAsia" w:ascii="宋体" w:hAnsi="宋体" w:eastAsia="宋体" w:cs="宋体"/>
          <w:b/>
          <w:color w:val="auto"/>
          <w:sz w:val="24"/>
          <w:highlight w:val="none"/>
        </w:rPr>
        <w:t>是，</w:t>
      </w:r>
      <w:r>
        <w:rPr>
          <w:rFonts w:hint="eastAsia" w:ascii="宋体" w:hAnsi="宋体" w:eastAsia="宋体" w:cs="宋体"/>
          <w:color w:val="auto"/>
          <w:kern w:val="0"/>
          <w:sz w:val="24"/>
          <w:highlight w:val="none"/>
        </w:rPr>
        <w:sym w:font="Wingdings" w:char="F0FE"/>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w:t>
      </w:r>
      <w:r>
        <w:rPr>
          <w:rFonts w:hint="eastAsia" w:ascii="宋体" w:hAnsi="宋体" w:eastAsia="宋体" w:cs="宋体"/>
          <w:b/>
          <w:sz w:val="24"/>
          <w:highlight w:val="none"/>
        </w:rPr>
        <w:t>、申请人的资格要求：</w:t>
      </w:r>
    </w:p>
    <w:p>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 xml:space="preserve">    2.落实政府采购政策需满足的资格要求：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97" w:firstLineChars="374"/>
        <w:rPr>
          <w:rFonts w:hint="eastAsia" w:ascii="宋体" w:hAnsi="宋体" w:eastAsia="宋体" w:cs="宋体"/>
          <w:sz w:val="24"/>
          <w:highlight w:val="none"/>
          <w:u w:val="singl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，小微企业合同金额应当达到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w:t>
      </w:r>
      <w:r>
        <w:rPr>
          <w:rFonts w:hint="eastAsia" w:ascii="宋体" w:hAnsi="宋体" w:eastAsia="宋体" w:cs="宋体"/>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3.本项目的特定资格要求：无；</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w:t>
      </w:r>
      <w:r>
        <w:rPr>
          <w:rFonts w:hint="eastAsia" w:ascii="宋体" w:hAnsi="宋体" w:eastAsia="宋体" w:cs="宋体"/>
          <w:b/>
          <w:sz w:val="24"/>
          <w:highlight w:val="none"/>
        </w:rPr>
        <w:t xml:space="preserve">、获取招标文件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en-US" w:eastAsia="zh-CN"/>
        </w:rPr>
        <w:t>获取网址</w:t>
      </w:r>
      <w:r>
        <w:rPr>
          <w:rFonts w:hint="eastAsia" w:ascii="宋体" w:hAnsi="宋体" w:eastAsia="宋体" w:cs="宋体"/>
          <w:b/>
          <w:sz w:val="24"/>
          <w:highlight w:val="none"/>
        </w:rPr>
        <w:t>：</w:t>
      </w:r>
      <w:r>
        <w:rPr>
          <w:rFonts w:hint="eastAsia" w:ascii="宋体" w:hAnsi="宋体" w:eastAsia="宋体" w:cs="宋体"/>
          <w:sz w:val="24"/>
          <w:highlight w:val="none"/>
        </w:rPr>
        <w:t xml:space="preserve">政采云平台（https://www.zcygov.cn/）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w:t>
      </w:r>
      <w:r>
        <w:rPr>
          <w:rFonts w:hint="eastAsia" w:ascii="宋体" w:hAnsi="宋体" w:eastAsia="宋体" w:cs="宋体"/>
          <w:b/>
          <w:sz w:val="24"/>
          <w:highlight w:val="none"/>
        </w:rPr>
        <w:t>提交投标文件截止时间、开标时间和地点</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提交投标文件截止时间：</w:t>
      </w:r>
      <w:r>
        <w:rPr>
          <w:rFonts w:hint="eastAsia" w:ascii="宋体" w:hAnsi="宋体" w:eastAsia="宋体" w:cs="宋体"/>
          <w:sz w:val="24"/>
          <w:highlight w:val="none"/>
          <w:u w:val="single"/>
        </w:rPr>
        <w:t xml:space="preserve"> 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sz w:val="24"/>
          <w:highlight w:val="none"/>
        </w:rPr>
        <w:t>（北京时间）</w:t>
      </w:r>
    </w:p>
    <w:p>
      <w:pPr>
        <w:spacing w:line="360" w:lineRule="auto"/>
        <w:ind w:firstLine="482" w:firstLineChars="200"/>
        <w:rPr>
          <w:rFonts w:hint="eastAsia" w:ascii="宋体" w:hAnsi="宋体" w:eastAsia="宋体" w:cs="宋体"/>
          <w:b w:val="0"/>
          <w:color w:val="auto"/>
          <w:sz w:val="24"/>
          <w:highlight w:val="none"/>
        </w:rPr>
      </w:pPr>
      <w:r>
        <w:rPr>
          <w:rFonts w:hint="eastAsia" w:ascii="宋体" w:hAnsi="宋体" w:eastAsia="宋体" w:cs="宋体"/>
          <w:b/>
          <w:sz w:val="24"/>
          <w:highlight w:val="none"/>
        </w:rPr>
        <w:t>投标地点：</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cs="宋体"/>
          <w:b w:val="0"/>
          <w:color w:val="auto"/>
          <w:kern w:val="2"/>
          <w:sz w:val="24"/>
          <w:highlight w:val="none"/>
          <w:lang w:val="en-US" w:eastAsia="zh-CN"/>
        </w:rPr>
        <w:t>2</w:t>
      </w:r>
      <w:r>
        <w:rPr>
          <w:rFonts w:hint="eastAsia" w:ascii="宋体" w:hAnsi="宋体" w:eastAsia="宋体" w:cs="宋体"/>
          <w:b w:val="0"/>
          <w:color w:val="auto"/>
          <w:sz w:val="24"/>
          <w:highlight w:val="none"/>
        </w:rPr>
        <w:t>号开标室</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lang w:val="en-US" w:eastAsia="zh-CN"/>
        </w:rPr>
        <w:t>投标网址：</w:t>
      </w:r>
      <w:r>
        <w:rPr>
          <w:rFonts w:hint="eastAsia" w:ascii="宋体" w:hAnsi="宋体" w:eastAsia="宋体" w:cs="宋体"/>
          <w:sz w:val="24"/>
          <w:highlight w:val="none"/>
          <w:lang w:val="en-US"/>
        </w:rPr>
        <w:t>政采云平台</w:t>
      </w:r>
      <w:r>
        <w:rPr>
          <w:rFonts w:hint="eastAsia" w:ascii="宋体" w:hAnsi="宋体" w:eastAsia="宋体" w:cs="宋体"/>
          <w:sz w:val="24"/>
          <w:highlight w:val="none"/>
        </w:rPr>
        <w:t xml:space="preserve">（https://www.zcygov.cn/） </w:t>
      </w:r>
    </w:p>
    <w:p>
      <w:pPr>
        <w:spacing w:line="360" w:lineRule="auto"/>
        <w:ind w:firstLine="482" w:firstLineChars="200"/>
        <w:rPr>
          <w:rFonts w:hint="eastAsia" w:ascii="宋体" w:hAnsi="宋体" w:eastAsia="宋体" w:cs="宋体"/>
          <w:bCs/>
          <w:sz w:val="24"/>
          <w:highlight w:val="none"/>
          <w:u w:val="single"/>
        </w:rPr>
      </w:pPr>
      <w:r>
        <w:rPr>
          <w:rFonts w:hint="eastAsia" w:ascii="宋体" w:hAnsi="宋体" w:eastAsia="宋体" w:cs="宋体"/>
          <w:b/>
          <w:sz w:val="24"/>
          <w:highlight w:val="none"/>
        </w:rPr>
        <w:t>开标时间：</w:t>
      </w:r>
      <w:r>
        <w:rPr>
          <w:rFonts w:hint="eastAsia" w:ascii="宋体" w:hAnsi="宋体" w:eastAsia="宋体" w:cs="宋体"/>
          <w:sz w:val="24"/>
          <w:highlight w:val="none"/>
          <w:u w:val="single"/>
        </w:rPr>
        <w:t>202</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9</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eastAsia="宋体" w:cs="宋体"/>
          <w:sz w:val="24"/>
          <w:highlight w:val="none"/>
          <w:u w:val="single"/>
        </w:rPr>
        <w:t>分</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rPr>
        <w:t xml:space="preserve"> </w:t>
      </w:r>
    </w:p>
    <w:p>
      <w:pPr>
        <w:spacing w:line="360" w:lineRule="auto"/>
        <w:ind w:firstLine="482" w:firstLineChars="200"/>
        <w:rPr>
          <w:rFonts w:hint="eastAsia" w:ascii="宋体" w:hAnsi="宋体" w:eastAsia="宋体" w:cs="宋体"/>
          <w:b w:val="0"/>
          <w:color w:val="auto"/>
          <w:sz w:val="24"/>
          <w:highlight w:val="none"/>
        </w:rPr>
      </w:pPr>
      <w:r>
        <w:rPr>
          <w:rFonts w:hint="eastAsia" w:ascii="宋体" w:hAnsi="宋体" w:eastAsia="宋体" w:cs="宋体"/>
          <w:b/>
          <w:sz w:val="24"/>
          <w:highlight w:val="none"/>
        </w:rPr>
        <w:t>开标地点：</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cs="宋体"/>
          <w:b w:val="0"/>
          <w:color w:val="auto"/>
          <w:kern w:val="2"/>
          <w:sz w:val="24"/>
          <w:highlight w:val="none"/>
          <w:lang w:val="en-US" w:eastAsia="zh-CN"/>
        </w:rPr>
        <w:t>2</w:t>
      </w:r>
      <w:r>
        <w:rPr>
          <w:rFonts w:hint="eastAsia" w:ascii="宋体" w:hAnsi="宋体" w:eastAsia="宋体" w:cs="宋体"/>
          <w:b w:val="0"/>
          <w:color w:val="auto"/>
          <w:sz w:val="24"/>
          <w:highlight w:val="none"/>
        </w:rPr>
        <w:t>号开标室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开标网址：</w:t>
      </w:r>
      <w:r>
        <w:rPr>
          <w:rFonts w:hint="eastAsia" w:ascii="宋体" w:hAnsi="宋体" w:eastAsia="宋体" w:cs="宋体"/>
          <w:sz w:val="24"/>
          <w:highlight w:val="none"/>
        </w:rPr>
        <w:t>政采云平台（https://www.zcygov.cn/）</w:t>
      </w:r>
    </w:p>
    <w:p>
      <w:pPr>
        <w:spacing w:line="360" w:lineRule="auto"/>
        <w:rPr>
          <w:rFonts w:hint="eastAsia" w:ascii="宋体" w:hAnsi="宋体" w:eastAsia="宋体" w:cs="宋体"/>
          <w:b/>
          <w:bCs/>
          <w:color w:val="000000"/>
          <w:sz w:val="28"/>
          <w:highlight w:val="none"/>
        </w:rPr>
      </w:pPr>
      <w:r>
        <w:rPr>
          <w:rFonts w:hint="eastAsia" w:ascii="宋体" w:hAnsi="宋体" w:eastAsia="宋体" w:cs="宋体"/>
          <w:b/>
          <w:sz w:val="24"/>
          <w:highlight w:val="none"/>
          <w:lang w:val="en-US" w:eastAsia="zh-CN"/>
        </w:rPr>
        <w:t xml:space="preserve">    注：</w:t>
      </w:r>
      <w:r>
        <w:rPr>
          <w:rFonts w:hint="eastAsia" w:ascii="宋体" w:hAnsi="宋体" w:eastAsia="宋体" w:cs="宋体"/>
          <w:b w:val="0"/>
          <w:bCs w:val="0"/>
          <w:color w:val="auto"/>
          <w:sz w:val="24"/>
          <w:highlight w:val="none"/>
        </w:rPr>
        <w:t>杭州市公共资源交易中心</w:t>
      </w:r>
      <w:r>
        <w:rPr>
          <w:rFonts w:hint="eastAsia" w:ascii="宋体" w:hAnsi="宋体" w:eastAsia="宋体" w:cs="宋体"/>
          <w:b w:val="0"/>
          <w:bCs w:val="0"/>
          <w:color w:val="auto"/>
          <w:sz w:val="24"/>
          <w:highlight w:val="none"/>
          <w:lang w:eastAsia="zh-CN"/>
        </w:rPr>
        <w:t>临平</w:t>
      </w:r>
      <w:r>
        <w:rPr>
          <w:rFonts w:hint="eastAsia" w:ascii="宋体" w:hAnsi="宋体" w:eastAsia="宋体" w:cs="宋体"/>
          <w:b w:val="0"/>
          <w:bCs w:val="0"/>
          <w:color w:val="auto"/>
          <w:sz w:val="24"/>
          <w:highlight w:val="none"/>
        </w:rPr>
        <w:t>分中心</w:t>
      </w:r>
      <w:r>
        <w:rPr>
          <w:rFonts w:hint="eastAsia" w:ascii="宋体" w:hAnsi="宋体" w:eastAsia="宋体" w:cs="宋体"/>
          <w:b w:val="0"/>
          <w:bCs w:val="0"/>
          <w:color w:val="auto"/>
          <w:sz w:val="24"/>
          <w:highlight w:val="none"/>
          <w:lang w:eastAsia="zh-CN"/>
        </w:rPr>
        <w:t>（</w:t>
      </w:r>
      <w:r>
        <w:rPr>
          <w:rFonts w:hint="eastAsia" w:ascii="宋体" w:hAnsi="宋体" w:eastAsia="宋体" w:cs="宋体"/>
          <w:color w:val="auto"/>
          <w:sz w:val="24"/>
          <w:highlight w:val="none"/>
        </w:rPr>
        <w:t>杭州市</w:t>
      </w: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区</w:t>
      </w:r>
      <w:r>
        <w:rPr>
          <w:rFonts w:hint="eastAsia" w:ascii="宋体" w:hAnsi="宋体" w:eastAsia="宋体" w:cs="宋体"/>
          <w:color w:val="auto"/>
          <w:sz w:val="24"/>
          <w:highlight w:val="none"/>
          <w:lang w:val="en-US" w:eastAsia="zh-CN"/>
        </w:rPr>
        <w:t>南苑街道</w:t>
      </w:r>
      <w:r>
        <w:rPr>
          <w:rFonts w:hint="eastAsia" w:ascii="宋体" w:hAnsi="宋体" w:eastAsia="宋体" w:cs="宋体"/>
          <w:color w:val="auto"/>
          <w:sz w:val="24"/>
          <w:highlight w:val="none"/>
        </w:rPr>
        <w:t>南大街265号市民之家三楼</w:t>
      </w:r>
      <w:r>
        <w:rPr>
          <w:rFonts w:hint="eastAsia" w:ascii="宋体" w:hAnsi="宋体" w:eastAsia="宋体" w:cs="宋体"/>
          <w:b w:val="0"/>
          <w:bCs w:val="0"/>
          <w:color w:val="auto"/>
          <w:sz w:val="24"/>
          <w:highlight w:val="none"/>
          <w:lang w:eastAsia="zh-CN"/>
        </w:rPr>
        <w:t>）</w:t>
      </w:r>
    </w:p>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pPr>
        <w:numPr>
          <w:ilvl w:val="0"/>
          <w:numId w:val="1"/>
        </w:num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其他补充事宜</w:t>
      </w:r>
    </w:p>
    <w:p>
      <w:pPr>
        <w:pStyle w:val="60"/>
        <w:widowControl/>
        <w:shd w:val="clear" w:color="auto" w:fill="FFFFFF"/>
        <w:spacing w:before="0" w:beforeAutospacing="0" w:after="0" w:afterAutospacing="0" w:line="500" w:lineRule="exact"/>
        <w:ind w:left="0" w:right="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b w:val="0"/>
          <w:bCs w:val="0"/>
          <w:color w:val="auto"/>
          <w:sz w:val="24"/>
          <w:highlight w:val="none"/>
          <w:lang w:eastAsia="zh-CN"/>
        </w:rPr>
        <w:t>、《</w:t>
      </w:r>
      <w:r>
        <w:rPr>
          <w:rFonts w:hint="eastAsia" w:ascii="宋体" w:hAnsi="宋体" w:eastAsia="宋体" w:cs="宋体"/>
          <w:w w:val="90"/>
          <w:kern w:val="30"/>
          <w:sz w:val="24"/>
          <w:szCs w:val="24"/>
          <w:highlight w:val="none"/>
          <w:shd w:val="clear" w:color="auto" w:fill="FFFFFF"/>
          <w:lang w:eastAsia="zh-CN"/>
        </w:rPr>
        <w:t>浙江省财政厅关于进一步加大政府采购</w:t>
      </w:r>
      <w:r>
        <w:rPr>
          <w:rFonts w:hint="eastAsia" w:ascii="宋体" w:hAnsi="宋体" w:eastAsia="宋体" w:cs="宋体"/>
          <w:w w:val="90"/>
          <w:kern w:val="30"/>
          <w:sz w:val="24"/>
          <w:szCs w:val="24"/>
          <w:highlight w:val="none"/>
          <w:shd w:val="clear" w:color="auto" w:fill="FFFFFF"/>
          <w:lang w:val="en-US" w:eastAsia="zh-CN"/>
        </w:rPr>
        <w:t xml:space="preserve"> </w:t>
      </w:r>
      <w:r>
        <w:rPr>
          <w:rFonts w:hint="eastAsia" w:ascii="宋体" w:hAnsi="宋体" w:eastAsia="宋体" w:cs="宋体"/>
          <w:w w:val="90"/>
          <w:kern w:val="30"/>
          <w:sz w:val="24"/>
          <w:szCs w:val="24"/>
          <w:highlight w:val="none"/>
          <w:shd w:val="clear" w:color="auto" w:fill="FFFFFF"/>
          <w:lang w:eastAsia="zh-CN"/>
        </w:rPr>
        <w:t>支持中小企业力度 助力扎实稳住经济的通知</w:t>
      </w:r>
      <w:r>
        <w:rPr>
          <w:rFonts w:hint="eastAsia" w:ascii="宋体" w:hAnsi="宋体" w:eastAsia="宋体" w:cs="宋体"/>
          <w:b w:val="0"/>
          <w:bCs w:val="0"/>
          <w:color w:val="auto"/>
          <w:sz w:val="24"/>
          <w:highlight w:val="none"/>
        </w:rPr>
        <w:t>》 （浙财采监（2022）</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号）已分别于2022年1月29日</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2022年2月1日</w:t>
      </w:r>
      <w:r>
        <w:rPr>
          <w:rFonts w:hint="eastAsia" w:ascii="宋体" w:hAnsi="宋体" w:eastAsia="宋体" w:cs="宋体"/>
          <w:b w:val="0"/>
          <w:bCs w:val="0"/>
          <w:color w:val="auto"/>
          <w:sz w:val="24"/>
          <w:highlight w:val="none"/>
          <w:lang w:eastAsia="zh-CN"/>
        </w:rPr>
        <w:t>和</w:t>
      </w:r>
      <w:r>
        <w:rPr>
          <w:rFonts w:hint="eastAsia" w:ascii="宋体" w:hAnsi="宋体" w:eastAsia="宋体" w:cs="宋体"/>
          <w:b w:val="0"/>
          <w:bCs w:val="0"/>
          <w:color w:val="auto"/>
          <w:sz w:val="24"/>
          <w:highlight w:val="none"/>
        </w:rPr>
        <w:t>2022年</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月1日开始实施，此前有关规定与上述文件内容不一致的，按上述文件要求执行。</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1.采购人信息</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名    称：</w:t>
      </w:r>
      <w:r>
        <w:rPr>
          <w:rFonts w:hint="eastAsia" w:ascii="Times New Roman" w:hAnsi="Times New Roman"/>
          <w:color w:val="000000"/>
          <w:kern w:val="0"/>
          <w:sz w:val="24"/>
          <w:highlight w:val="none"/>
        </w:rPr>
        <w:t>杭州市临平区人民政府崇贤街道办事处</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地    址：</w:t>
      </w:r>
      <w:r>
        <w:rPr>
          <w:rFonts w:hint="eastAsia" w:ascii="Times New Roman" w:hAnsi="Times New Roman"/>
          <w:color w:val="000000"/>
          <w:kern w:val="0"/>
          <w:sz w:val="24"/>
          <w:highlight w:val="none"/>
        </w:rPr>
        <w:t>杭州市临平区崇贤街道府新街105号</w:t>
      </w:r>
      <w:r>
        <w:rPr>
          <w:rFonts w:hint="eastAsia" w:ascii="宋体" w:hAnsi="宋体" w:eastAsia="宋体" w:cs="宋体"/>
          <w:sz w:val="24"/>
          <w:highlight w:val="none"/>
        </w:rPr>
        <w:t xml:space="preserve">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传    真： /</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w:t>
      </w:r>
      <w:r>
        <w:rPr>
          <w:rFonts w:hint="eastAsia" w:ascii="Times New Roman" w:hAnsi="Times New Roman"/>
          <w:color w:val="000000"/>
          <w:kern w:val="0"/>
          <w:sz w:val="24"/>
          <w:highlight w:val="none"/>
          <w:lang w:eastAsia="zh-CN"/>
        </w:rPr>
        <w:t>李</w:t>
      </w:r>
      <w:r>
        <w:rPr>
          <w:rFonts w:hint="eastAsia"/>
          <w:color w:val="000000"/>
          <w:kern w:val="0"/>
          <w:sz w:val="24"/>
          <w:highlight w:val="none"/>
          <w:lang w:eastAsia="zh-CN"/>
        </w:rPr>
        <w:t>女士</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项目联系方式（询问）：</w:t>
      </w:r>
      <w:r>
        <w:rPr>
          <w:rFonts w:hint="eastAsia" w:ascii="Times New Roman" w:hAnsi="Times New Roman"/>
          <w:color w:val="000000"/>
          <w:kern w:val="0"/>
          <w:sz w:val="24"/>
          <w:highlight w:val="none"/>
        </w:rPr>
        <w:t>0571-86271273</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w:t>
      </w:r>
      <w:r>
        <w:rPr>
          <w:rFonts w:hint="eastAsia" w:ascii="Times New Roman" w:hAnsi="Times New Roman"/>
          <w:kern w:val="0"/>
          <w:sz w:val="24"/>
          <w:highlight w:val="none"/>
          <w:lang w:eastAsia="zh-CN"/>
        </w:rPr>
        <w:t>姚</w:t>
      </w:r>
      <w:r>
        <w:rPr>
          <w:rFonts w:hint="eastAsia"/>
          <w:color w:val="000000"/>
          <w:kern w:val="0"/>
          <w:sz w:val="24"/>
          <w:highlight w:val="none"/>
          <w:lang w:eastAsia="zh-CN"/>
        </w:rPr>
        <w:t>女士</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质疑联系方式：</w:t>
      </w:r>
      <w:r>
        <w:rPr>
          <w:rFonts w:hint="eastAsia" w:ascii="Times New Roman" w:hAnsi="Times New Roman"/>
          <w:sz w:val="24"/>
          <w:highlight w:val="none"/>
        </w:rPr>
        <w:t>0571-86271259</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2.采购代理机构信息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称：杭州市公共资源交易中心临平分中心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地    址：临平南大街265号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 沈女士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项目联系方式（询问）：89360806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eastAsia="宋体" w:cs="宋体"/>
          <w:sz w:val="24"/>
          <w:highlight w:val="none"/>
          <w:lang w:eastAsia="zh-CN"/>
        </w:rPr>
        <w:t>张女士</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质疑联系方式：86164927</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3.同级政府采购监督管理部门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称：杭州市临平区财政局</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    址：杭州市临平区东湖街道东湖中路236号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 ：俞征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监督投诉电话：0571-89185312    </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 xml:space="preserve">                              </w:t>
      </w:r>
    </w:p>
    <w:p>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9"/>
      <w:r>
        <w:rPr>
          <w:rFonts w:hint="eastAsia" w:ascii="宋体" w:hAnsi="宋体" w:eastAsia="宋体" w:cs="宋体"/>
          <w:b/>
          <w:sz w:val="36"/>
          <w:szCs w:val="20"/>
          <w:highlight w:val="none"/>
        </w:rPr>
        <w:t xml:space="preserve"> 投标人须知</w:t>
      </w:r>
      <w:bookmarkEnd w:id="10"/>
    </w:p>
    <w:p>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7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203"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宋体" w:hAnsi="宋体" w:eastAsia="宋体" w:cs="宋体"/>
                <w:b/>
                <w:kern w:val="0"/>
                <w:sz w:val="24"/>
                <w:szCs w:val="20"/>
                <w:highlight w:val="none"/>
                <w:lang w:val="zh-CN"/>
              </w:rPr>
            </w:pPr>
            <w:r>
              <w:rPr>
                <w:rFonts w:hint="eastAsia" w:ascii="宋体" w:hAnsi="宋体" w:eastAsia="宋体" w:cs="宋体"/>
                <w:kern w:val="0"/>
                <w:sz w:val="24"/>
                <w:szCs w:val="20"/>
                <w:highlight w:val="none"/>
                <w:lang w:val="zh-CN"/>
              </w:rPr>
              <w:t>有关本项目实施所需的所有费用（含税费）均计入报价。</w:t>
            </w:r>
            <w:r>
              <w:rPr>
                <w:rFonts w:hint="eastAsia" w:ascii="宋体" w:hAnsi="宋体" w:eastAsia="宋体" w:cs="宋体"/>
                <w:sz w:val="24"/>
                <w:szCs w:val="20"/>
                <w:highlight w:val="none"/>
              </w:rPr>
              <w:t>开标一览表（报价表）是报价的唯一载体</w:t>
            </w:r>
            <w:r>
              <w:rPr>
                <w:rFonts w:hint="eastAsia" w:ascii="宋体" w:hAnsi="宋体" w:eastAsia="宋体" w:cs="宋体"/>
                <w:kern w:val="0"/>
                <w:sz w:val="24"/>
                <w:szCs w:val="20"/>
                <w:highlight w:val="none"/>
                <w:lang w:val="zh-CN"/>
              </w:rPr>
              <w:t>。投标文件中价格全部采用人民币报价。招标文件未列明，而投标人认为必需的费用也需列入报价。</w:t>
            </w:r>
            <w:r>
              <w:rPr>
                <w:rFonts w:hint="eastAsia" w:ascii="宋体" w:hAnsi="宋体" w:eastAsia="宋体" w:cs="宋体"/>
                <w:b/>
                <w:kern w:val="0"/>
                <w:sz w:val="24"/>
                <w:szCs w:val="20"/>
                <w:highlight w:val="none"/>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宋体" w:hAnsi="宋体" w:eastAsia="宋体" w:cs="宋体"/>
                <w:b/>
                <w:kern w:val="0"/>
                <w:sz w:val="24"/>
                <w:szCs w:val="20"/>
                <w:highlight w:val="none"/>
                <w:lang w:val="zh-CN"/>
              </w:rPr>
            </w:pPr>
            <w:r>
              <w:rPr>
                <w:rFonts w:hint="eastAsia" w:ascii="宋体" w:hAnsi="宋体" w:eastAsia="宋体" w:cs="宋体"/>
                <w:b/>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宋体" w:hAnsi="宋体" w:eastAsia="宋体" w:cs="宋体"/>
                <w:b/>
                <w:kern w:val="0"/>
                <w:sz w:val="24"/>
                <w:szCs w:val="20"/>
                <w:highlight w:val="none"/>
                <w:lang w:val="zh-CN"/>
              </w:rPr>
            </w:pPr>
            <w:r>
              <w:rPr>
                <w:rFonts w:hint="eastAsia" w:ascii="宋体" w:hAnsi="宋体" w:eastAsia="宋体" w:cs="宋体"/>
                <w:b/>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宋体" w:hAnsi="宋体" w:eastAsia="宋体" w:cs="宋体"/>
                <w:kern w:val="0"/>
                <w:sz w:val="24"/>
                <w:szCs w:val="20"/>
                <w:highlight w:val="none"/>
                <w:lang w:val="zh-CN"/>
              </w:rPr>
            </w:pPr>
            <w:r>
              <w:rPr>
                <w:rFonts w:hint="eastAsia" w:ascii="宋体" w:hAnsi="宋体" w:eastAsia="宋体" w:cs="宋体"/>
                <w:b/>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eastAsia" w:ascii="宋体" w:hAnsi="宋体" w:eastAsia="宋体" w:cs="宋体"/>
                <w:b/>
                <w:sz w:val="24"/>
                <w:szCs w:val="20"/>
                <w:highlight w:val="none"/>
              </w:rPr>
            </w:pPr>
            <w:r>
              <w:rPr>
                <w:rFonts w:hint="eastAsia" w:ascii="宋体" w:hAnsi="宋体" w:eastAsia="宋体" w:cs="宋体"/>
                <w:b/>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1"/>
                <w:highlight w:val="none"/>
              </w:rPr>
              <w:t>;</w:t>
            </w:r>
          </w:p>
          <w:p>
            <w:pPr>
              <w:spacing w:before="0" w:beforeAutospacing="0" w:after="0" w:afterAutospacing="0" w:line="360" w:lineRule="auto"/>
              <w:ind w:left="0" w:right="0" w:firstLine="241" w:firstLineChars="100"/>
              <w:rPr>
                <w:rFonts w:hint="eastAsia" w:ascii="宋体" w:hAnsi="宋体" w:eastAsia="宋体" w:cs="宋体"/>
                <w:sz w:val="24"/>
                <w:szCs w:val="20"/>
                <w:highlight w:val="none"/>
              </w:rPr>
            </w:pPr>
            <w:r>
              <w:rPr>
                <w:rFonts w:hint="eastAsia" w:ascii="宋体" w:hAnsi="宋体" w:eastAsia="宋体" w:cs="宋体"/>
                <w:b/>
                <w:kern w:val="0"/>
                <w:sz w:val="24"/>
                <w:szCs w:val="20"/>
                <w:highlight w:val="none"/>
              </w:rPr>
              <w:t>投标人对根据修正原则修正后的报价不确认的</w:t>
            </w:r>
            <w:r>
              <w:rPr>
                <w:rFonts w:hint="eastAsia" w:ascii="宋体" w:hAnsi="宋体" w:eastAsia="宋体" w:cs="宋体"/>
                <w:b/>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宋体" w:hAnsi="宋体" w:eastAsia="宋体" w:cs="宋体"/>
                <w:b/>
                <w:sz w:val="24"/>
                <w:szCs w:val="20"/>
                <w:highlight w:val="none"/>
              </w:rPr>
            </w:pPr>
            <w:r>
              <w:rPr>
                <w:rFonts w:hint="eastAsia" w:ascii="宋体" w:hAnsi="宋体" w:eastAsia="宋体" w:cs="宋体"/>
                <w:b/>
                <w:sz w:val="24"/>
                <w:szCs w:val="20"/>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 A</w:t>
            </w:r>
            <w:r>
              <w:rPr>
                <w:rFonts w:hint="eastAsia" w:ascii="宋体" w:hAnsi="宋体" w:eastAsia="宋体" w:cs="宋体"/>
                <w:sz w:val="24"/>
                <w:szCs w:val="20"/>
                <w:highlight w:val="none"/>
              </w:rPr>
              <w:t>同意将非主体、非关键性的</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工作分包。</w:t>
            </w:r>
            <w:r>
              <w:rPr>
                <w:rFonts w:hint="eastAsia" w:ascii="宋体" w:hAnsi="宋体" w:eastAsia="宋体" w:cs="宋体"/>
                <w:kern w:val="0"/>
                <w:sz w:val="24"/>
                <w:szCs w:val="20"/>
                <w:highlight w:val="none"/>
              </w:rPr>
              <w:sym w:font="Wingdings" w:char="00FE"/>
            </w:r>
            <w:r>
              <w:rPr>
                <w:rFonts w:hint="eastAsia" w:ascii="宋体" w:hAnsi="宋体" w:eastAsia="宋体" w:cs="宋体"/>
                <w:kern w:val="0"/>
                <w:sz w:val="24"/>
                <w:szCs w:val="20"/>
                <w:highlight w:val="none"/>
              </w:rPr>
              <w:t xml:space="preserve"> B</w:t>
            </w:r>
            <w:r>
              <w:rPr>
                <w:rFonts w:hint="eastAsia" w:ascii="宋体" w:hAnsi="宋体" w:eastAsia="宋体" w:cs="宋体"/>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50"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（1）资格证明文件：见招标文件第二部分11.1。</w:t>
            </w:r>
          </w:p>
          <w:p>
            <w:pPr>
              <w:spacing w:before="0" w:beforeAutospacing="0" w:after="0" w:afterAutospacing="0" w:line="360" w:lineRule="auto"/>
              <w:ind w:left="0" w:right="0"/>
              <w:rPr>
                <w:rFonts w:hint="eastAsia" w:ascii="宋体" w:hAnsi="宋体" w:eastAsia="宋体" w:cs="宋体"/>
                <w:snapToGrid w:val="0"/>
                <w:kern w:val="0"/>
                <w:sz w:val="20"/>
                <w:szCs w:val="21"/>
                <w:highlight w:val="none"/>
              </w:rPr>
            </w:pPr>
            <w:r>
              <w:rPr>
                <w:rFonts w:hint="eastAsia" w:ascii="宋体" w:hAnsi="宋体" w:eastAsia="宋体" w:cs="宋体"/>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sym w:font="Wingdings" w:char="0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r>
              <w:rPr>
                <w:rFonts w:hint="eastAsia" w:ascii="宋体" w:hAnsi="宋体" w:eastAsia="宋体" w:cs="宋体"/>
                <w:kern w:val="0"/>
                <w:sz w:val="24"/>
                <w:szCs w:val="20"/>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b/>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不要求提供。</w:t>
            </w:r>
            <w:r>
              <w:rPr>
                <w:rFonts w:hint="eastAsia" w:ascii="宋体" w:hAnsi="宋体" w:eastAsia="宋体" w:cs="宋体"/>
                <w:kern w:val="0"/>
                <w:sz w:val="24"/>
                <w:szCs w:val="20"/>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Cs/>
                <w:sz w:val="24"/>
                <w:szCs w:val="20"/>
                <w:highlight w:val="none"/>
              </w:rPr>
            </w:pPr>
            <w:r>
              <w:rPr>
                <w:rFonts w:hint="eastAsia" w:ascii="宋体" w:hAnsi="宋体" w:eastAsia="宋体" w:cs="宋体"/>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b/>
                <w:kern w:val="0"/>
                <w:sz w:val="24"/>
                <w:szCs w:val="20"/>
                <w:highlight w:val="none"/>
                <w:lang w:val="zh-CN"/>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r>
              <w:rPr>
                <w:rFonts w:hint="eastAsia" w:ascii="宋体" w:hAnsi="宋体" w:eastAsia="宋体" w:cs="宋体"/>
                <w:kern w:val="0"/>
                <w:sz w:val="24"/>
                <w:szCs w:val="20"/>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b w:val="0"/>
                <w:bCs w:val="0"/>
                <w:sz w:val="20"/>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sym w:font="Wingdings" w:char="F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货物类，单一产品或</w:t>
            </w:r>
            <w:r>
              <w:rPr>
                <w:rFonts w:hint="eastAsia" w:ascii="宋体" w:hAnsi="宋体" w:eastAsia="宋体" w:cs="宋体"/>
                <w:kern w:val="0"/>
                <w:sz w:val="24"/>
                <w:szCs w:val="20"/>
                <w:highlight w:val="none"/>
              </w:rPr>
              <w:t>核心产品为：</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w:t>
            </w:r>
          </w:p>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☐B</w:t>
            </w:r>
            <w:r>
              <w:rPr>
                <w:rFonts w:hint="eastAsia" w:ascii="宋体" w:hAnsi="宋体" w:eastAsia="宋体" w:cs="宋体"/>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宋体" w:hAnsi="宋体" w:eastAsia="宋体" w:cs="宋体"/>
                <w:sz w:val="20"/>
                <w:szCs w:val="20"/>
                <w:highlight w:val="none"/>
                <w:lang w:val="en-US"/>
              </w:rPr>
            </w:pPr>
            <w:r>
              <w:rPr>
                <w:rFonts w:hint="eastAsia" w:ascii="宋体" w:hAnsi="宋体" w:eastAsia="宋体" w:cs="宋体"/>
                <w:kern w:val="0"/>
                <w:sz w:val="24"/>
                <w:szCs w:val="20"/>
                <w:highlight w:val="none"/>
              </w:rPr>
              <w:t>（1）标的：</w:t>
            </w:r>
            <w:r>
              <w:rPr>
                <w:rFonts w:hint="eastAsia" w:ascii="宋体" w:hAnsi="宋体" w:eastAsia="宋体" w:cs="宋体"/>
                <w:kern w:val="0"/>
                <w:sz w:val="24"/>
                <w:szCs w:val="20"/>
                <w:highlight w:val="none"/>
                <w:u w:val="single"/>
              </w:rPr>
              <w:t xml:space="preserve"> 崇贤街道物业管理服务</w:t>
            </w:r>
            <w:r>
              <w:rPr>
                <w:rFonts w:hint="eastAsia" w:ascii="宋体" w:hAnsi="宋体" w:cs="宋体"/>
                <w:kern w:val="0"/>
                <w:sz w:val="24"/>
                <w:szCs w:val="20"/>
                <w:highlight w:val="none"/>
                <w:u w:val="single"/>
                <w:lang w:eastAsia="zh-CN"/>
              </w:rPr>
              <w:t>采购项目</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，属于</w:t>
            </w:r>
            <w:r>
              <w:rPr>
                <w:rFonts w:hint="eastAsia" w:ascii="宋体" w:hAnsi="宋体" w:eastAsia="宋体" w:cs="宋体"/>
                <w:kern w:val="0"/>
                <w:sz w:val="24"/>
                <w:szCs w:val="20"/>
                <w:highlight w:val="none"/>
                <w:u w:val="single"/>
              </w:rPr>
              <w:t xml:space="preserve"> </w:t>
            </w:r>
            <w:r>
              <w:rPr>
                <w:rFonts w:hint="eastAsia" w:ascii="宋体" w:hAnsi="宋体" w:cs="宋体"/>
                <w:kern w:val="0"/>
                <w:sz w:val="24"/>
                <w:szCs w:val="20"/>
                <w:highlight w:val="none"/>
                <w:u w:val="single"/>
                <w:lang w:eastAsia="zh-CN"/>
              </w:rPr>
              <w:t>物业管理</w:t>
            </w:r>
            <w:r>
              <w:rPr>
                <w:rFonts w:hint="eastAsia" w:ascii="宋体" w:hAnsi="宋体" w:eastAsia="宋体" w:cs="宋体"/>
                <w:kern w:val="0"/>
                <w:sz w:val="24"/>
                <w:szCs w:val="20"/>
                <w:highlight w:val="none"/>
                <w:u w:val="single"/>
              </w:rPr>
              <w:t xml:space="preserve"> </w:t>
            </w:r>
            <w:r>
              <w:rPr>
                <w:rFonts w:hint="eastAsia" w:ascii="宋体" w:hAnsi="宋体" w:eastAsia="宋体" w:cs="宋体"/>
                <w:kern w:val="0"/>
                <w:sz w:val="24"/>
                <w:szCs w:val="20"/>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宋体" w:hAnsi="宋体" w:eastAsia="宋体" w:cs="宋体"/>
                <w:sz w:val="20"/>
                <w:szCs w:val="20"/>
                <w:highlight w:val="none"/>
              </w:rPr>
            </w:pPr>
            <w:r>
              <w:rPr>
                <w:rFonts w:hint="eastAsia" w:ascii="宋体" w:hAnsi="宋体" w:eastAsia="宋体" w:cs="宋体"/>
                <w:kern w:val="0"/>
                <w:sz w:val="24"/>
                <w:szCs w:val="20"/>
                <w:highlight w:val="none"/>
                <w:lang w:val="en-US" w:eastAsia="zh-CN"/>
              </w:rPr>
              <w:t xml:space="preserve">    </w:t>
            </w:r>
            <w:r>
              <w:rPr>
                <w:rFonts w:hint="eastAsia" w:ascii="宋体" w:hAnsi="宋体" w:eastAsia="宋体" w:cs="宋体"/>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宋体" w:hAnsi="宋体" w:eastAsia="宋体" w:cs="宋体"/>
                <w:sz w:val="24"/>
                <w:szCs w:val="20"/>
                <w:highlight w:val="none"/>
              </w:rPr>
            </w:pPr>
            <w:r>
              <w:rPr>
                <w:rFonts w:hint="eastAsia" w:ascii="宋体" w:hAnsi="宋体" w:eastAsia="宋体" w:cs="宋体"/>
                <w:snapToGrid w:val="0"/>
                <w:kern w:val="28"/>
                <w:sz w:val="24"/>
                <w:szCs w:val="20"/>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00" w:firstLineChars="200"/>
              <w:rPr>
                <w:rFonts w:hint="eastAsia" w:ascii="宋体" w:hAnsi="宋体" w:eastAsia="宋体" w:cs="宋体"/>
                <w:sz w:val="20"/>
                <w:szCs w:val="20"/>
                <w:highlight w:val="none"/>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00" w:firstLineChars="200"/>
              <w:rPr>
                <w:rFonts w:hint="eastAsia" w:ascii="宋体" w:hAnsi="宋体" w:eastAsia="宋体" w:cs="宋体"/>
                <w:sz w:val="20"/>
                <w:szCs w:val="20"/>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2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kern w:val="28"/>
                <w:sz w:val="24"/>
                <w:szCs w:val="24"/>
                <w:highlight w:val="none"/>
              </w:rPr>
              <w:t>备份投标文件送达地点：</w:t>
            </w:r>
            <w:r>
              <w:rPr>
                <w:rFonts w:hint="eastAsia" w:ascii="宋体" w:hAnsi="宋体" w:eastAsia="宋体" w:cs="宋体"/>
                <w:b w:val="0"/>
                <w:bCs w:val="0"/>
                <w:color w:val="auto"/>
                <w:sz w:val="24"/>
                <w:szCs w:val="20"/>
                <w:highlight w:val="none"/>
              </w:rPr>
              <w:t>杭州市公共资源交易中心</w:t>
            </w:r>
            <w:r>
              <w:rPr>
                <w:rFonts w:hint="eastAsia" w:ascii="宋体" w:hAnsi="宋体" w:eastAsia="宋体" w:cs="宋体"/>
                <w:b w:val="0"/>
                <w:bCs w:val="0"/>
                <w:color w:val="auto"/>
                <w:sz w:val="24"/>
                <w:szCs w:val="20"/>
                <w:highlight w:val="none"/>
                <w:lang w:eastAsia="zh-CN"/>
              </w:rPr>
              <w:t>临平</w:t>
            </w:r>
            <w:r>
              <w:rPr>
                <w:rFonts w:hint="eastAsia" w:ascii="宋体" w:hAnsi="宋体" w:eastAsia="宋体" w:cs="宋体"/>
                <w:b w:val="0"/>
                <w:bCs w:val="0"/>
                <w:color w:val="auto"/>
                <w:sz w:val="24"/>
                <w:szCs w:val="20"/>
                <w:highlight w:val="none"/>
              </w:rPr>
              <w:t>分中心</w:t>
            </w:r>
            <w:r>
              <w:rPr>
                <w:rFonts w:hint="eastAsia" w:hAnsi="宋体" w:cs="宋体"/>
                <w:sz w:val="24"/>
                <w:szCs w:val="20"/>
                <w:highlight w:val="none"/>
                <w:u w:val="single"/>
                <w:lang w:val="en-US" w:eastAsia="zh-CN"/>
              </w:rPr>
              <w:t>2</w:t>
            </w:r>
            <w:r>
              <w:rPr>
                <w:rFonts w:hint="eastAsia" w:ascii="宋体" w:hAnsi="宋体" w:eastAsia="宋体" w:cs="宋体"/>
                <w:b w:val="0"/>
                <w:color w:val="auto"/>
                <w:sz w:val="24"/>
                <w:szCs w:val="20"/>
                <w:highlight w:val="none"/>
              </w:rPr>
              <w:t>号开标室</w:t>
            </w:r>
            <w:r>
              <w:rPr>
                <w:rFonts w:hint="eastAsia" w:ascii="宋体" w:hAnsi="宋体" w:eastAsia="宋体" w:cs="宋体"/>
                <w:sz w:val="24"/>
                <w:szCs w:val="24"/>
                <w:highlight w:val="none"/>
              </w:rPr>
              <w:t>。</w:t>
            </w:r>
          </w:p>
          <w:p>
            <w:pPr>
              <w:pStyle w:val="35"/>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3、未成功</w:t>
            </w:r>
            <w:r>
              <w:rPr>
                <w:rFonts w:hint="eastAsia" w:ascii="宋体" w:hAnsi="宋体" w:eastAsia="宋体" w:cs="宋体"/>
                <w:b/>
                <w:color w:val="000000"/>
                <w:sz w:val="24"/>
                <w:szCs w:val="20"/>
                <w:highlight w:val="none"/>
                <w:lang w:eastAsia="zh-CN"/>
              </w:rPr>
              <w:t>获取招标文件</w:t>
            </w:r>
            <w:r>
              <w:rPr>
                <w:rFonts w:hint="eastAsia" w:ascii="宋体" w:hAnsi="宋体" w:eastAsia="宋体" w:cs="宋体"/>
                <w:b/>
                <w:color w:val="000000"/>
                <w:sz w:val="24"/>
                <w:szCs w:val="20"/>
                <w:highlight w:val="none"/>
              </w:rPr>
              <w:t>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eastAsia="宋体" w:cs="宋体"/>
                <w:b/>
                <w:color w:val="000000"/>
                <w:sz w:val="24"/>
                <w:szCs w:val="20"/>
                <w:highlight w:val="none"/>
              </w:rPr>
            </w:pPr>
            <w:r>
              <w:rPr>
                <w:rFonts w:hint="eastAsia" w:ascii="宋体" w:hAnsi="宋体" w:eastAsia="宋体" w:cs="宋体"/>
                <w:b/>
                <w:color w:val="000000"/>
                <w:sz w:val="24"/>
                <w:szCs w:val="20"/>
                <w:highlight w:val="none"/>
              </w:rPr>
              <w:t>5、以介质存储的数据电文形式的备份投标文件，未采用DVD光盘形式提供的。</w:t>
            </w:r>
          </w:p>
          <w:p>
            <w:pPr>
              <w:pStyle w:val="35"/>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color w:val="000000"/>
                <w:sz w:val="24"/>
                <w:szCs w:val="20"/>
                <w:highlight w:val="none"/>
              </w:rPr>
              <w:t>注：仅提供备份投标文件的，投标无效。</w:t>
            </w:r>
          </w:p>
        </w:tc>
      </w:tr>
    </w:tbl>
    <w:p>
      <w:pPr>
        <w:snapToGrid w:val="0"/>
        <w:spacing w:line="360" w:lineRule="auto"/>
        <w:jc w:val="center"/>
        <w:rPr>
          <w:rFonts w:hint="eastAsia" w:ascii="宋体" w:hAnsi="宋体" w:eastAsia="宋体" w:cs="宋体"/>
          <w:b/>
          <w:sz w:val="32"/>
          <w:szCs w:val="20"/>
          <w:highlight w:val="none"/>
        </w:rPr>
      </w:pPr>
    </w:p>
    <w:bookmarkEnd w:id="11"/>
    <w:p>
      <w:pPr>
        <w:adjustRightInd/>
        <w:spacing w:line="360" w:lineRule="auto"/>
        <w:ind w:firstLine="3845" w:firstLineChars="1197"/>
        <w:outlineLvl w:val="0"/>
        <w:rPr>
          <w:rFonts w:hint="eastAsia" w:ascii="宋体" w:hAnsi="宋体" w:eastAsia="宋体" w:cs="宋体"/>
          <w:b/>
          <w:sz w:val="32"/>
          <w:szCs w:val="20"/>
          <w:highlight w:val="none"/>
        </w:rPr>
      </w:pPr>
      <w:bookmarkStart w:id="12" w:name="_Toc164416483"/>
      <w:bookmarkStart w:id="13" w:name="第三部分"/>
    </w:p>
    <w:p>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系指实质性要求条款，“★”系产品采购项目中单一产品或核心产品，“</w:t>
      </w:r>
      <w:r>
        <w:rPr>
          <w:rFonts w:hint="eastAsia" w:ascii="宋体" w:hAnsi="宋体" w:eastAsia="宋体" w:cs="宋体"/>
          <w:kern w:val="0"/>
          <w:sz w:val="24"/>
          <w:highlight w:val="none"/>
        </w:rPr>
        <w:t></w:t>
      </w:r>
      <w:r>
        <w:rPr>
          <w:rFonts w:hint="eastAsia" w:ascii="宋体" w:hAnsi="宋体" w:eastAsia="宋体" w:cs="宋体"/>
          <w:sz w:val="24"/>
          <w:highlight w:val="none"/>
        </w:rPr>
        <w:t>” 系指适用本项目的要求，“</w:t>
      </w:r>
      <w:r>
        <w:rPr>
          <w:rFonts w:hint="eastAsia" w:ascii="宋体" w:hAnsi="宋体" w:eastAsia="宋体" w:cs="宋体"/>
          <w:kern w:val="0"/>
          <w:sz w:val="24"/>
          <w:highlight w:val="none"/>
        </w:rPr>
        <w:t>☐</w:t>
      </w:r>
      <w:r>
        <w:rPr>
          <w:rFonts w:hint="eastAsia" w:ascii="宋体" w:hAnsi="宋体" w:eastAsia="宋体" w:cs="宋体"/>
          <w:sz w:val="24"/>
          <w:highlight w:val="none"/>
        </w:rPr>
        <w:t>” 系指不适用本项目的要求。</w:t>
      </w:r>
    </w:p>
    <w:p>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采购项目需要落实的政府采购政策</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3.2 支持绿色发展</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3.2.1</w:t>
      </w:r>
      <w:r>
        <w:rPr>
          <w:rFonts w:hint="eastAsia" w:ascii="宋体" w:hAnsi="宋体" w:eastAsia="宋体" w:cs="宋体"/>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3.3支持中小企业发展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bCs/>
          <w:sz w:val="24"/>
          <w:highlight w:val="none"/>
        </w:rPr>
        <w:t>3.3.2</w:t>
      </w:r>
      <w:r>
        <w:rPr>
          <w:rFonts w:hint="eastAsia" w:ascii="宋体" w:hAnsi="宋体" w:eastAsia="宋体" w:cs="宋体"/>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3.4</w:t>
      </w:r>
      <w:r>
        <w:rPr>
          <w:rFonts w:hint="eastAsia" w:ascii="宋体" w:hAnsi="宋体" w:eastAsia="宋体" w:cs="宋体"/>
          <w:bCs/>
          <w:sz w:val="24"/>
          <w:highlight w:val="none"/>
        </w:rPr>
        <w:t>支持创新发展</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highlight w:val="none"/>
        </w:rPr>
        <w:t>3.4.2</w:t>
      </w:r>
      <w:r>
        <w:rPr>
          <w:rFonts w:hint="eastAsia" w:ascii="宋体" w:hAnsi="宋体" w:eastAsia="宋体" w:cs="宋体"/>
          <w:b/>
          <w:bCs/>
          <w:spacing w:val="-6"/>
          <w:kern w:val="2"/>
          <w:sz w:val="24"/>
          <w:szCs w:val="24"/>
          <w:highlight w:val="none"/>
          <w:lang w:val="en-US" w:eastAsia="zh-CN" w:bidi="ar-SA"/>
        </w:rPr>
        <w:t>对省级以上主管部门认定的首台套产品，自纳入《省推广应用指导目录》起三年内参加政府采购活动，视同已具备相应销售业绩，业绩分为满分。</w:t>
      </w:r>
    </w:p>
    <w:p>
      <w:pPr>
        <w:spacing w:line="360" w:lineRule="auto"/>
        <w:rPr>
          <w:rFonts w:hint="eastAsia" w:ascii="宋体" w:hAnsi="宋体" w:eastAsia="宋体" w:cs="宋体"/>
          <w:b/>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z w:val="24"/>
          <w:highlight w:val="none"/>
        </w:rPr>
        <w:cr/>
      </w:r>
      <w:r>
        <w:rPr>
          <w:rFonts w:hint="eastAsia" w:ascii="宋体" w:hAnsi="宋体" w:eastAsia="宋体" w:cs="宋体"/>
          <w:b/>
          <w:sz w:val="24"/>
          <w:highlight w:val="none"/>
        </w:rPr>
        <w:t>4. 询问、质疑、投诉</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4.2供应商质疑</w:t>
      </w:r>
    </w:p>
    <w:p>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4.2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4.2.2.3对采购结果提出质疑的，质疑期限自采购结果公告期限届满之日起计算。</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w:t>
      </w:r>
      <w:r>
        <w:rPr>
          <w:rFonts w:hint="eastAsia" w:ascii="宋体" w:hAnsi="宋体" w:eastAsia="宋体" w:cs="宋体"/>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4.2.3.1供应商的姓名或者名称、地址、邮编、联系人及联系电话；</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4.2.3.2质疑项目的名称、编号；</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4.2.3.3具体、明确的质疑事项和与质疑事项相关的请求；</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4.2.3.4事实依据；</w:t>
      </w:r>
    </w:p>
    <w:p>
      <w:pPr>
        <w:pStyle w:val="35"/>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4.2.3.5必要的法律依据；</w:t>
      </w:r>
    </w:p>
    <w:p>
      <w:pPr>
        <w:pStyle w:val="35"/>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4.2.3.6提出质疑的日期。</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rPr>
        <w:t>4.2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val="zh-CN"/>
        </w:rPr>
        <w:t>4.2</w:t>
      </w:r>
      <w:r>
        <w:rPr>
          <w:rFonts w:hint="eastAsia" w:ascii="宋体" w:hAnsi="宋体" w:eastAsia="宋体" w:cs="宋体"/>
          <w:highlight w:val="none"/>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4.3供应商投诉</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4.3.3供应商投诉应当有明确的请求和必要的证明材料。</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4.3.</w:t>
      </w:r>
      <w:r>
        <w:rPr>
          <w:rFonts w:hint="eastAsia" w:ascii="宋体" w:hAnsi="宋体" w:eastAsia="宋体" w:cs="宋体"/>
          <w:highlight w:val="none"/>
          <w:lang w:val="en-US" w:eastAsia="zh-CN"/>
        </w:rPr>
        <w:t>4</w:t>
      </w:r>
      <w:r>
        <w:rPr>
          <w:rFonts w:hint="eastAsia" w:ascii="宋体" w:hAnsi="宋体" w:eastAsia="宋体" w:cs="宋体"/>
          <w:highlight w:val="none"/>
        </w:rPr>
        <w:t xml:space="preserve"> 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pPr>
        <w:pStyle w:val="86"/>
        <w:snapToGrid w:val="0"/>
        <w:spacing w:before="0"/>
        <w:ind w:firstLine="360"/>
        <w:rPr>
          <w:rFonts w:hint="eastAsia" w:ascii="宋体" w:hAnsi="宋体" w:eastAsia="宋体" w:cs="宋体"/>
          <w:sz w:val="18"/>
          <w:szCs w:val="18"/>
          <w:highlight w:val="none"/>
        </w:rPr>
      </w:pPr>
    </w:p>
    <w:p>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5．招标文件的构成</w:t>
      </w:r>
    </w:p>
    <w:p>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highlight w:val="none"/>
        </w:rPr>
        <w:t>5.1.6</w:t>
      </w:r>
      <w:r>
        <w:rPr>
          <w:rFonts w:hint="eastAsia" w:ascii="宋体" w:hAnsi="宋体" w:eastAsia="宋体" w:cs="宋体"/>
          <w:sz w:val="24"/>
          <w:szCs w:val="24"/>
          <w:highlight w:val="none"/>
        </w:rPr>
        <w:t>应提交的有关格式范例。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 招标文件的澄清、修改</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6.1已获取招标文件的潜在投标人，若有问题需要澄清，应于投标截止时间前，以书面形式向采购机构提出。</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8"/>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 招标文件的获取</w:t>
      </w:r>
    </w:p>
    <w:p>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8.开标前答疑会或现场考察</w:t>
      </w:r>
    </w:p>
    <w:p>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szCs w:val="24"/>
          <w:highlight w:val="none"/>
        </w:rPr>
      </w:pPr>
      <w:r>
        <w:rPr>
          <w:rFonts w:hint="eastAsia" w:ascii="宋体" w:hAnsi="宋体" w:eastAsia="宋体" w:cs="宋体"/>
          <w:b/>
          <w:kern w:val="28"/>
          <w:sz w:val="24"/>
          <w:szCs w:val="24"/>
          <w:highlight w:val="none"/>
        </w:rPr>
        <w:t>9.投标保证金</w:t>
      </w:r>
    </w:p>
    <w:p>
      <w:pPr>
        <w:pStyle w:val="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 投标文件的组成</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11.1.1符合参加政府</w:t>
      </w:r>
      <w:r>
        <w:rPr>
          <w:rFonts w:hint="eastAsia" w:ascii="宋体" w:hAnsi="宋体" w:eastAsia="宋体" w:cs="宋体"/>
          <w:sz w:val="24"/>
          <w:highlight w:val="none"/>
        </w:rPr>
        <w:t>采购活动应当具备的一般条件的承诺函；</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11.1.2落实政府采购政策需满足的资格要求（如有)；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11.1.3本项目的特定资格要求（如有)。</w:t>
      </w:r>
    </w:p>
    <w:p>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b/>
          <w:bCs/>
          <w:sz w:val="24"/>
          <w:highlight w:val="none"/>
        </w:rPr>
        <w:t>商务技术</w:t>
      </w:r>
      <w:r>
        <w:rPr>
          <w:rFonts w:hint="eastAsia" w:ascii="宋体" w:hAnsi="宋体" w:eastAsia="宋体" w:cs="宋体"/>
          <w:b/>
          <w:bCs/>
          <w:sz w:val="24"/>
          <w:highlight w:val="none"/>
          <w:lang w:val="zh-CN"/>
        </w:rPr>
        <w:t>文件：</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11.2.1投标函；</w:t>
      </w:r>
      <w:r>
        <w:rPr>
          <w:rFonts w:hint="eastAsia" w:ascii="宋体" w:hAnsi="宋体" w:eastAsia="宋体" w:cs="宋体"/>
          <w:sz w:val="24"/>
          <w:highlight w:val="none"/>
          <w:lang w:val="zh-CN"/>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11.2.3联合协议（如有)；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11.2.4分包意向协议（如有)；</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11.2.5符合性审查资料；</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11.2.6评标标准相应的商务技术资料；</w:t>
      </w:r>
    </w:p>
    <w:p>
      <w:pPr>
        <w:snapToGrid w:val="0"/>
        <w:spacing w:line="360" w:lineRule="auto"/>
        <w:ind w:left="0" w:leftChars="0" w:firstLine="960" w:firstLineChars="4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rPr>
        <w:t>11.2.7投标标的清单；</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商务技术偏离表；</w:t>
      </w:r>
    </w:p>
    <w:p>
      <w:pPr>
        <w:snapToGrid w:val="0"/>
        <w:spacing w:line="360" w:lineRule="auto"/>
        <w:ind w:firstLine="960" w:firstLineChars="400"/>
        <w:rPr>
          <w:rFonts w:hint="eastAsia" w:ascii="宋体" w:hAnsi="宋体" w:eastAsia="宋体" w:cs="宋体"/>
          <w:sz w:val="24"/>
          <w:highlight w:val="none"/>
          <w:lang w:val="zh-CN"/>
        </w:rPr>
      </w:pPr>
      <w:r>
        <w:rPr>
          <w:rFonts w:hint="eastAsia" w:ascii="宋体" w:hAnsi="宋体" w:eastAsia="宋体" w:cs="宋体"/>
          <w:sz w:val="24"/>
          <w:highlight w:val="none"/>
          <w:lang w:val="zh-CN"/>
        </w:rPr>
        <w:t>11.</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政府采购供应商廉洁自律承诺书；</w:t>
      </w:r>
    </w:p>
    <w:p>
      <w:pPr>
        <w:snapToGrid w:val="0"/>
        <w:spacing w:line="360" w:lineRule="auto"/>
        <w:ind w:firstLine="0" w:firstLineChars="0"/>
        <w:jc w:val="both"/>
        <w:rPr>
          <w:rFonts w:hint="eastAsia" w:ascii="宋体" w:hAnsi="宋体" w:eastAsia="宋体" w:cs="宋体"/>
          <w:color w:val="auto"/>
          <w:sz w:val="24"/>
          <w:szCs w:val="20"/>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eastAsia="zh-CN"/>
        </w:rPr>
        <w:t xml:space="preserve"> 11.2.</w:t>
      </w:r>
      <w:r>
        <w:rPr>
          <w:rFonts w:hint="eastAsia" w:ascii="宋体" w:hAnsi="宋体" w:eastAsia="宋体" w:cs="宋体"/>
          <w:sz w:val="24"/>
          <w:highlight w:val="none"/>
          <w:lang w:val="en-US" w:eastAsia="zh-CN"/>
        </w:rPr>
        <w:t>10</w:t>
      </w:r>
      <w:r>
        <w:rPr>
          <w:rFonts w:hint="eastAsia" w:ascii="宋体" w:hAnsi="宋体" w:eastAsia="宋体" w:cs="宋体"/>
          <w:color w:val="auto"/>
          <w:sz w:val="24"/>
          <w:szCs w:val="20"/>
          <w:highlight w:val="none"/>
          <w:lang w:val="zh-CN"/>
        </w:rPr>
        <w:t>投标</w:t>
      </w:r>
      <w:r>
        <w:rPr>
          <w:rFonts w:hint="eastAsia" w:ascii="宋体" w:hAnsi="宋体" w:eastAsia="宋体" w:cs="宋体"/>
          <w:color w:val="auto"/>
          <w:sz w:val="24"/>
          <w:szCs w:val="20"/>
          <w:highlight w:val="none"/>
          <w:lang w:val="en-US" w:eastAsia="zh-CN"/>
        </w:rPr>
        <w:t>人</w:t>
      </w:r>
      <w:r>
        <w:rPr>
          <w:rFonts w:hint="eastAsia" w:ascii="宋体" w:hAnsi="宋体" w:eastAsia="宋体" w:cs="宋体"/>
          <w:color w:val="auto"/>
          <w:sz w:val="24"/>
          <w:szCs w:val="20"/>
          <w:highlight w:val="none"/>
          <w:lang w:val="zh-CN"/>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sz w:val="24"/>
          <w:highlight w:val="none"/>
        </w:rPr>
        <w:t>。</w:t>
      </w:r>
    </w:p>
    <w:p>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11.</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11.3.1开标一览表（报价表）；</w:t>
      </w:r>
    </w:p>
    <w:p>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11.3.2中小企业声明函</w:t>
      </w:r>
      <w:r>
        <w:rPr>
          <w:rFonts w:hint="eastAsia" w:ascii="宋体" w:hAnsi="宋体" w:eastAsia="宋体" w:cs="宋体"/>
          <w:sz w:val="24"/>
          <w:highlight w:val="none"/>
          <w:lang w:eastAsia="zh-CN"/>
        </w:rPr>
        <w:t>；</w:t>
      </w:r>
    </w:p>
    <w:p>
      <w:pPr>
        <w:snapToGrid w:val="0"/>
        <w:ind w:firstLine="960" w:firstLineChars="400"/>
        <w:rPr>
          <w:rFonts w:hint="eastAsia" w:ascii="宋体" w:hAnsi="宋体" w:eastAsia="宋体" w:cs="宋体"/>
          <w:sz w:val="24"/>
          <w:highlight w:val="none"/>
        </w:rPr>
      </w:pPr>
      <w:r>
        <w:rPr>
          <w:rFonts w:hint="eastAsia" w:ascii="宋体" w:hAnsi="宋体" w:eastAsia="宋体" w:cs="宋体"/>
          <w:sz w:val="24"/>
          <w:highlight w:val="none"/>
          <w:lang w:val="en-US" w:eastAsia="zh-CN"/>
        </w:rPr>
        <w:t>11.3.3</w:t>
      </w:r>
      <w:r>
        <w:rPr>
          <w:rFonts w:hint="eastAsia" w:ascii="宋体" w:hAnsi="宋体" w:eastAsia="宋体" w:cs="宋体"/>
          <w:sz w:val="24"/>
          <w:highlight w:val="none"/>
        </w:rPr>
        <w:t>投标人针对报价需要说明的其他文件和说</w:t>
      </w:r>
      <w:r>
        <w:rPr>
          <w:rFonts w:hint="eastAsia" w:ascii="宋体" w:hAnsi="宋体" w:eastAsia="宋体" w:cs="宋体"/>
          <w:sz w:val="24"/>
          <w:highlight w:val="none"/>
        </w:rPr>
        <w:t>明</w:t>
      </w:r>
      <w:r>
        <w:rPr>
          <w:rFonts w:hint="eastAsia" w:ascii="宋体" w:hAnsi="宋体" w:eastAsia="宋体" w:cs="宋体"/>
          <w:sz w:val="24"/>
          <w:highlight w:val="none"/>
          <w:lang w:eastAsia="zh-CN"/>
        </w:rPr>
        <w:t>（如有）</w:t>
      </w:r>
      <w:r>
        <w:rPr>
          <w:rFonts w:hint="eastAsia" w:ascii="宋体" w:hAnsi="宋体" w:eastAsia="宋体" w:cs="宋体"/>
          <w:sz w:val="24"/>
          <w:highlight w:val="none"/>
        </w:rPr>
        <w:t>。</w:t>
      </w:r>
    </w:p>
    <w:p>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pPr>
        <w:pStyle w:val="86"/>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12</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13.投标文件的签署、盖章</w:t>
      </w:r>
    </w:p>
    <w:p>
      <w:pPr>
        <w:pStyle w:val="86"/>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13.1投标文件按照招标文件第六部分格式要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13.3招标文件对投标文件签署、盖章的要求适用于电子签名。</w:t>
      </w:r>
    </w:p>
    <w:p>
      <w:pPr>
        <w:pStyle w:val="86"/>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14. 投标文件的提交、补充、修改、撤回</w:t>
      </w:r>
    </w:p>
    <w:p>
      <w:pPr>
        <w:pStyle w:val="86"/>
        <w:ind w:firstLine="480"/>
        <w:rPr>
          <w:rFonts w:hint="eastAsia" w:ascii="宋体" w:hAnsi="宋体" w:eastAsia="宋体" w:cs="宋体"/>
          <w:szCs w:val="24"/>
          <w:highlight w:val="none"/>
        </w:rPr>
      </w:pPr>
      <w:r>
        <w:rPr>
          <w:rFonts w:hint="eastAsia" w:ascii="宋体" w:hAnsi="宋体" w:eastAsia="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15.备份投标文件</w:t>
      </w:r>
    </w:p>
    <w:p>
      <w:pPr>
        <w:pStyle w:val="35"/>
        <w:spacing w:line="360" w:lineRule="auto"/>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15.1投标人在电子交易平台传输递交投标文件后，还可以</w:t>
      </w:r>
      <w:r>
        <w:rPr>
          <w:rFonts w:hint="eastAsia" w:ascii="宋体" w:hAnsi="宋体" w:eastAsia="宋体" w:cs="宋体"/>
          <w:b/>
          <w:color w:val="000000"/>
          <w:sz w:val="24"/>
          <w:szCs w:val="24"/>
          <w:highlight w:val="none"/>
        </w:rPr>
        <w:t>在投标截止时间前半小时内</w:t>
      </w:r>
      <w:r>
        <w:rPr>
          <w:rFonts w:hint="eastAsia" w:ascii="宋体" w:hAnsi="宋体" w:eastAsia="宋体" w:cs="宋体"/>
          <w:sz w:val="24"/>
          <w:szCs w:val="24"/>
          <w:highlight w:val="none"/>
        </w:rPr>
        <w:t>递交备份投标文件1份</w:t>
      </w:r>
      <w:r>
        <w:rPr>
          <w:rFonts w:hint="eastAsia" w:ascii="宋体" w:hAnsi="宋体" w:eastAsia="宋体" w:cs="宋体"/>
          <w:sz w:val="24"/>
          <w:szCs w:val="24"/>
          <w:highlight w:val="none"/>
          <w:lang w:val="en-US" w:eastAsia="zh-CN"/>
        </w:rPr>
        <w:t>至杭州市公共资源交易中心临平分中心</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但采购人、采购机构不强制或变相强制投标人提交备份投标文件。</w:t>
      </w:r>
    </w:p>
    <w:p>
      <w:pPr>
        <w:pStyle w:val="35"/>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15.2备份投标文件须在“政采云投标客户端”制作生成，并储存在</w:t>
      </w:r>
      <w:r>
        <w:rPr>
          <w:rFonts w:hint="eastAsia" w:ascii="宋体" w:hAnsi="宋体" w:eastAsia="宋体" w:cs="宋体"/>
          <w:sz w:val="24"/>
          <w:highlight w:val="none"/>
        </w:rPr>
        <w:t>DVD光盘</w:t>
      </w:r>
      <w:r>
        <w:rPr>
          <w:rFonts w:hint="eastAsia" w:ascii="宋体" w:hAnsi="宋体" w:eastAsia="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z w:val="24"/>
          <w:highlight w:val="none"/>
        </w:rPr>
        <w:t>不符合上述制作、</w:t>
      </w:r>
      <w:r>
        <w:rPr>
          <w:rFonts w:hint="eastAsia" w:ascii="宋体" w:hAnsi="宋体" w:eastAsia="宋体" w:cs="宋体"/>
          <w:b/>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宋体" w:hAnsi="宋体" w:eastAsia="宋体" w:cs="宋体"/>
          <w:b/>
          <w:sz w:val="24"/>
          <w:szCs w:val="24"/>
          <w:highlight w:val="none"/>
        </w:rPr>
      </w:pPr>
      <w:r>
        <w:rPr>
          <w:rFonts w:hint="eastAsia" w:ascii="宋体" w:hAnsi="宋体" w:eastAsia="宋体" w:cs="宋体"/>
          <w:b/>
          <w:sz w:val="24"/>
          <w:szCs w:val="24"/>
          <w:highlight w:val="none"/>
        </w:rPr>
        <w:t>15.</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投标人仅提交备份投标文件，没有在电子交易平台传输递交投标文件的，投标无效。</w:t>
      </w:r>
    </w:p>
    <w:p>
      <w:pPr>
        <w:pStyle w:val="86"/>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16.投标文件的无效处理</w:t>
      </w:r>
    </w:p>
    <w:p>
      <w:pPr>
        <w:pStyle w:val="3"/>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lang w:val="en-US" w:eastAsia="zh-CN"/>
        </w:rPr>
        <w:t>4.2</w:t>
      </w:r>
      <w:r>
        <w:rPr>
          <w:rFonts w:hint="eastAsia" w:ascii="宋体" w:hAnsi="宋体" w:eastAsia="宋体" w:cs="宋体"/>
          <w:highlight w:val="none"/>
        </w:rPr>
        <w:t>规定</w:t>
      </w:r>
      <w:r>
        <w:rPr>
          <w:rFonts w:hint="eastAsia" w:ascii="宋体" w:hAnsi="宋体" w:eastAsia="宋体" w:cs="宋体"/>
          <w:szCs w:val="21"/>
          <w:highlight w:val="none"/>
        </w:rPr>
        <w:t>的情形之一的，投标无效：</w:t>
      </w:r>
    </w:p>
    <w:p>
      <w:pPr>
        <w:pStyle w:val="86"/>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17.投标有效期</w:t>
      </w:r>
    </w:p>
    <w:p>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17.1投标有效期为从提交投标文件的截止之日起90天。▲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pPr>
        <w:pStyle w:val="86"/>
        <w:spacing w:before="0"/>
        <w:ind w:firstLine="480"/>
        <w:rPr>
          <w:rFonts w:hint="eastAsia" w:ascii="宋体" w:hAnsi="宋体" w:eastAsia="宋体" w:cs="宋体"/>
          <w:highlight w:val="none"/>
        </w:rPr>
      </w:pPr>
      <w:r>
        <w:rPr>
          <w:rFonts w:hint="eastAsia" w:ascii="宋体" w:hAnsi="宋体" w:eastAsia="宋体" w:cs="宋体"/>
          <w:highlight w:val="none"/>
        </w:rPr>
        <w:t>17.2投标文件合格投递后，自投标截止日期起，在投标有效期内有效。</w:t>
      </w:r>
    </w:p>
    <w:p>
      <w:pPr>
        <w:pStyle w:val="86"/>
        <w:spacing w:before="0"/>
        <w:ind w:firstLine="480"/>
        <w:rPr>
          <w:rFonts w:hint="eastAsia" w:ascii="宋体" w:hAnsi="宋体" w:eastAsia="宋体" w:cs="宋体"/>
          <w:highlight w:val="none"/>
        </w:rPr>
      </w:pPr>
      <w:r>
        <w:rPr>
          <w:rFonts w:hint="eastAsia" w:ascii="宋体" w:hAnsi="宋体" w:eastAsia="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hint="eastAsia" w:ascii="宋体" w:hAnsi="宋体" w:eastAsia="宋体" w:cs="宋体"/>
          <w:b/>
          <w:sz w:val="32"/>
          <w:highlight w:val="none"/>
        </w:rPr>
      </w:pPr>
    </w:p>
    <w:p>
      <w:pPr>
        <w:pStyle w:val="86"/>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pPr>
        <w:pStyle w:val="240"/>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18.开标</w:t>
      </w:r>
      <w:r>
        <w:rPr>
          <w:rFonts w:hint="eastAsia" w:ascii="宋体" w:hAnsi="宋体" w:eastAsia="宋体" w:cs="宋体"/>
          <w:sz w:val="24"/>
          <w:highlight w:val="none"/>
        </w:rPr>
        <w:t xml:space="preserve"> </w:t>
      </w:r>
    </w:p>
    <w:p>
      <w:pPr>
        <w:pStyle w:val="240"/>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18.3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19、资格审查</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19.2</w:t>
      </w:r>
      <w:r>
        <w:rPr>
          <w:rFonts w:hint="eastAsia" w:ascii="宋体" w:hAnsi="宋体" w:eastAsia="宋体" w:cs="宋体"/>
          <w:sz w:val="24"/>
          <w:highlight w:val="none"/>
        </w:rPr>
        <w:t>采购人或采购机构依据法律法规和招标文件的规定，对投标人的基本资格条件、特定资格条件进行审查。</w:t>
      </w:r>
    </w:p>
    <w:p>
      <w:pPr>
        <w:pStyle w:val="8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pPr>
        <w:pStyle w:val="8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4对未通过资格审查的投标人，采购人或采购机构告知其未通过的原因。</w:t>
      </w:r>
    </w:p>
    <w:p>
      <w:pPr>
        <w:pStyle w:val="8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19.</w:t>
      </w:r>
      <w:r>
        <w:rPr>
          <w:rFonts w:hint="eastAsia" w:ascii="宋体" w:hAnsi="宋体" w:eastAsia="宋体" w:cs="宋体"/>
          <w:highlight w:val="none"/>
        </w:rPr>
        <w:t>5合格投标人不足3家的，不再评标。</w:t>
      </w:r>
    </w:p>
    <w:p>
      <w:pPr>
        <w:pStyle w:val="86"/>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20、信用信息查询</w:t>
      </w:r>
    </w:p>
    <w:p>
      <w:pPr>
        <w:pStyle w:val="86"/>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pPr>
        <w:pStyle w:val="86"/>
        <w:spacing w:before="0"/>
        <w:ind w:firstLine="0" w:firstLineChars="0"/>
        <w:rPr>
          <w:rFonts w:hint="eastAsia" w:ascii="宋体" w:hAnsi="宋体" w:eastAsia="宋体" w:cs="宋体"/>
          <w:kern w:val="0"/>
          <w:szCs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pPr>
        <w:spacing w:line="360" w:lineRule="auto"/>
        <w:rPr>
          <w:rFonts w:hint="eastAsia" w:ascii="宋体" w:hAnsi="宋体" w:eastAsia="宋体" w:cs="宋体"/>
          <w:b/>
          <w:sz w:val="24"/>
          <w:highlight w:val="none"/>
        </w:rPr>
      </w:pPr>
      <w:bookmarkStart w:id="14" w:name="_Toc91899903"/>
      <w:r>
        <w:rPr>
          <w:rFonts w:hint="eastAsia" w:ascii="宋体" w:hAnsi="宋体" w:eastAsia="宋体" w:cs="宋体"/>
          <w:b/>
          <w:sz w:val="24"/>
          <w:highlight w:val="none"/>
        </w:rPr>
        <w:t>21.</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pPr>
        <w:spacing w:line="360" w:lineRule="auto"/>
        <w:rPr>
          <w:rFonts w:hint="eastAsia" w:ascii="宋体" w:hAnsi="宋体" w:eastAsia="宋体" w:cs="宋体"/>
          <w:b/>
          <w:sz w:val="24"/>
          <w:highlight w:val="none"/>
        </w:rPr>
      </w:pPr>
    </w:p>
    <w:p>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pPr>
        <w:pStyle w:val="3"/>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22. 确定中标供应商</w:t>
      </w:r>
    </w:p>
    <w:p>
      <w:pPr>
        <w:pStyle w:val="86"/>
        <w:snapToGrid w:val="0"/>
        <w:spacing w:before="0"/>
        <w:ind w:firstLine="48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sz w:val="32"/>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pPr>
        <w:pStyle w:val="3"/>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 xml:space="preserve">24. </w:t>
      </w:r>
      <w:r>
        <w:rPr>
          <w:rFonts w:hint="eastAsia" w:ascii="宋体" w:hAnsi="宋体" w:eastAsia="宋体" w:cs="宋体"/>
          <w:highlight w:val="none"/>
        </w:rPr>
        <w:t>合同主要条款详见第五部分拟签订的合同文本。</w:t>
      </w:r>
    </w:p>
    <w:p>
      <w:pPr>
        <w:pStyle w:val="3"/>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25. 合同的签订</w:t>
      </w:r>
    </w:p>
    <w:p>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25.1</w:t>
      </w:r>
      <w:r>
        <w:rPr>
          <w:rFonts w:hint="eastAsia" w:ascii="宋体" w:hAnsi="宋体" w:eastAsia="宋体" w:cs="宋体"/>
          <w:kern w:val="0"/>
          <w:sz w:val="24"/>
          <w:highlight w:val="none"/>
        </w:rPr>
        <w:t xml:space="preserve"> 采购人与中标人应当通过电子交易平台在中标通知书发出之日起</w:t>
      </w:r>
      <w:r>
        <w:rPr>
          <w:rFonts w:hint="eastAsia" w:ascii="宋体" w:hAnsi="宋体" w:eastAsia="宋体" w:cs="宋体"/>
          <w:kern w:val="0"/>
          <w:sz w:val="24"/>
          <w:highlight w:val="none"/>
          <w:lang w:eastAsia="zh-CN"/>
        </w:rPr>
        <w:t>十个工作日</w:t>
      </w:r>
      <w:r>
        <w:rPr>
          <w:rFonts w:hint="eastAsia" w:ascii="宋体" w:hAnsi="宋体" w:eastAsia="宋体" w:cs="宋体"/>
          <w:kern w:val="0"/>
          <w:sz w:val="24"/>
          <w:highlight w:val="none"/>
        </w:rPr>
        <w:t>内，按照招标文件确定的事项签订政府采购合同，并在合同签订之日起2个工作日内依法发布合同公告。</w:t>
      </w:r>
    </w:p>
    <w:p>
      <w:pPr>
        <w:pStyle w:val="86"/>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25.3如签订合同并生效后，供应商无故拒绝或延期，除按照合同条款处理外，列入不良行为记录一次，并给予通报。</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26. 履约保证金</w:t>
      </w:r>
    </w:p>
    <w:p>
      <w:pPr>
        <w:tabs>
          <w:tab w:val="left" w:pos="0"/>
        </w:tabs>
        <w:spacing w:line="360" w:lineRule="auto"/>
        <w:ind w:firstLine="482"/>
        <w:rPr>
          <w:rFonts w:hint="eastAsia" w:ascii="宋体" w:hAnsi="宋体" w:eastAsia="宋体" w:cs="宋体"/>
          <w:b/>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w:t>
      </w:r>
      <w:r>
        <w:rPr>
          <w:rFonts w:hint="eastAsia" w:ascii="宋体" w:hAnsi="宋体" w:eastAsia="宋体" w:cs="宋体"/>
          <w:sz w:val="24"/>
          <w:highlight w:val="none"/>
          <w:lang w:eastAsia="zh-CN"/>
        </w:rPr>
        <w:t>杭州市政府采购网公布的供应商履约评价为满分的供应商，采购单位应当免收履约保证金。确需收履约保证金的，</w:t>
      </w:r>
      <w:r>
        <w:rPr>
          <w:rFonts w:hint="eastAsia" w:ascii="宋体" w:hAnsi="宋体" w:eastAsia="宋体" w:cs="宋体"/>
          <w:sz w:val="24"/>
          <w:highlight w:val="none"/>
        </w:rPr>
        <w:t>履约保证金的数额不得超过政府采购合同金额的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%。鼓励和</w:t>
      </w:r>
      <w:r>
        <w:rPr>
          <w:rFonts w:hint="eastAsia" w:ascii="宋体" w:hAnsi="宋体" w:eastAsia="宋体" w:cs="宋体"/>
          <w:sz w:val="24"/>
          <w:highlight w:val="none"/>
        </w:rPr>
        <w:t>支持供应商以银行、保险公司出具的保函形式提供履约保证金。</w:t>
      </w:r>
      <w:r>
        <w:rPr>
          <w:rFonts w:hint="eastAsia" w:ascii="宋体" w:hAnsi="宋体" w:eastAsia="宋体" w:cs="宋体"/>
          <w:b/>
          <w:sz w:val="24"/>
          <w:highlight w:val="none"/>
        </w:rPr>
        <w:t>采购人不得拒收履约保函。</w:t>
      </w:r>
    </w:p>
    <w:p>
      <w:pPr>
        <w:pStyle w:val="5"/>
        <w:ind w:left="0" w:firstLine="480" w:firstLineChars="200"/>
        <w:rPr>
          <w:rFonts w:hint="eastAsia"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sz w:val="32"/>
          <w:highlight w:val="none"/>
        </w:rPr>
      </w:pPr>
    </w:p>
    <w:p>
      <w:pPr>
        <w:snapToGrid w:val="0"/>
        <w:spacing w:line="360" w:lineRule="auto"/>
        <w:ind w:firstLine="3357" w:firstLineChars="1045"/>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pPr>
        <w:pStyle w:val="86"/>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b/>
          <w:szCs w:val="24"/>
          <w:highlight w:val="none"/>
        </w:rPr>
        <w:t>7.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27.1电子交易平台发生故障而无法登录访问的； </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27.2电子交易平台应用或数据库出现错误，不能进行正常操作的；</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27.3电子交易平台发现严重安全漏洞，有潜在泄密危险的；</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 xml:space="preserve">27.4病毒发作导致不能进行正常操作的； </w:t>
      </w:r>
    </w:p>
    <w:p>
      <w:pPr>
        <w:pStyle w:val="86"/>
        <w:snapToGrid w:val="0"/>
        <w:spacing w:before="0"/>
        <w:ind w:firstLine="480"/>
        <w:rPr>
          <w:rFonts w:hint="eastAsia" w:ascii="宋体" w:hAnsi="宋体" w:eastAsia="宋体" w:cs="宋体"/>
          <w:highlight w:val="none"/>
        </w:rPr>
      </w:pPr>
      <w:r>
        <w:rPr>
          <w:rFonts w:hint="eastAsia" w:ascii="宋体" w:hAnsi="宋体" w:eastAsia="宋体" w:cs="宋体"/>
          <w:highlight w:val="none"/>
        </w:rPr>
        <w:t>27.5其他无法保证电子交易的公平、公正和安全的情况。</w:t>
      </w:r>
    </w:p>
    <w:p>
      <w:pPr>
        <w:pStyle w:val="86"/>
        <w:snapToGrid w:val="0"/>
        <w:spacing w:before="0"/>
        <w:ind w:firstLine="0" w:firstLineChars="0"/>
        <w:rPr>
          <w:rFonts w:hint="eastAsia" w:ascii="宋体" w:hAnsi="宋体" w:eastAsia="宋体" w:cs="宋体"/>
          <w:highlight w:val="none"/>
        </w:rPr>
      </w:pPr>
      <w:r>
        <w:rPr>
          <w:rFonts w:hint="eastAsia" w:ascii="宋体" w:hAnsi="宋体" w:eastAsia="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sz w:val="24"/>
          <w:highlight w:val="none"/>
        </w:rPr>
      </w:pPr>
    </w:p>
    <w:p>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pPr>
        <w:pStyle w:val="3"/>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29.验收</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sz w:val="18"/>
          <w:szCs w:val="18"/>
          <w:highlight w:val="none"/>
        </w:rPr>
      </w:pPr>
      <w:r>
        <w:rPr>
          <w:rFonts w:hint="eastAsia" w:ascii="宋体" w:hAnsi="宋体" w:eastAsia="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hint="eastAsia" w:ascii="宋体" w:hAnsi="宋体" w:eastAsia="宋体" w:cs="宋体"/>
          <w:kern w:val="0"/>
          <w:sz w:val="24"/>
          <w:highlight w:val="none"/>
        </w:rPr>
      </w:pPr>
      <w:bookmarkStart w:id="15" w:name="_Hlt75236011"/>
      <w:bookmarkEnd w:id="15"/>
      <w:bookmarkStart w:id="16" w:name="_Hlt75236290"/>
      <w:bookmarkEnd w:id="16"/>
      <w:bookmarkStart w:id="17" w:name="_Hlt68072990"/>
      <w:bookmarkEnd w:id="17"/>
      <w:bookmarkStart w:id="18" w:name="_Hlt74729768"/>
      <w:bookmarkEnd w:id="18"/>
      <w:bookmarkStart w:id="19" w:name="_Hlt74730295"/>
      <w:bookmarkEnd w:id="19"/>
      <w:bookmarkStart w:id="20" w:name="_Hlt74707468"/>
      <w:bookmarkEnd w:id="20"/>
      <w:bookmarkStart w:id="21" w:name="_Hlt75236101"/>
      <w:bookmarkEnd w:id="21"/>
      <w:bookmarkStart w:id="22" w:name="_Hlt68057669"/>
      <w:bookmarkEnd w:id="22"/>
      <w:bookmarkStart w:id="23" w:name="_Hlt68072998"/>
      <w:bookmarkEnd w:id="23"/>
      <w:bookmarkStart w:id="24" w:name="_Hlt74714665"/>
      <w:bookmarkEnd w:id="24"/>
      <w:bookmarkStart w:id="25" w:name="_Hlt68403820"/>
      <w:bookmarkEnd w:id="25"/>
      <w:bookmarkStart w:id="26" w:name="_Hlt68073093"/>
      <w:bookmarkEnd w:id="26"/>
    </w:p>
    <w:p>
      <w:pPr>
        <w:widowControl w:val="0"/>
        <w:adjustRightInd w:val="0"/>
        <w:snapToGrid w:val="0"/>
        <w:spacing w:before="0" w:beforeAutospacing="0" w:after="0" w:afterAutospacing="0" w:line="360" w:lineRule="auto"/>
        <w:ind w:left="120" w:leftChars="57" w:right="0" w:firstLine="482" w:firstLineChars="150"/>
        <w:jc w:val="center"/>
        <w:rPr>
          <w:rFonts w:hint="eastAsia" w:ascii="宋体" w:hAnsi="宋体" w:eastAsia="宋体" w:cs="宋体"/>
          <w:b/>
          <w:sz w:val="32"/>
          <w:szCs w:val="20"/>
          <w:highlight w:val="none"/>
          <w:lang w:val="en-US"/>
        </w:rPr>
      </w:pPr>
      <w:r>
        <w:rPr>
          <w:rFonts w:hint="eastAsia" w:ascii="宋体" w:hAnsi="宋体" w:eastAsia="宋体" w:cs="宋体"/>
          <w:b/>
          <w:kern w:val="0"/>
          <w:sz w:val="32"/>
          <w:szCs w:val="20"/>
          <w:highlight w:val="none"/>
          <w:lang w:val="en-US" w:eastAsia="zh-CN" w:bidi="ar-SA"/>
        </w:rPr>
        <w:t>十、货款支付</w:t>
      </w:r>
    </w:p>
    <w:p>
      <w:pPr>
        <w:pStyle w:val="5"/>
        <w:tabs>
          <w:tab w:val="left" w:pos="0"/>
          <w:tab w:val="clear" w:pos="432"/>
        </w:tabs>
        <w:ind w:left="12" w:hanging="12"/>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30</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应当</w:t>
      </w:r>
      <w:r>
        <w:rPr>
          <w:rFonts w:hint="eastAsia" w:ascii="宋体" w:hAnsi="宋体" w:eastAsia="宋体" w:cs="宋体"/>
          <w:sz w:val="24"/>
          <w:highlight w:val="none"/>
        </w:rPr>
        <w:t>在政府采购合同中约定预付款，预付款比例</w:t>
      </w:r>
      <w:r>
        <w:rPr>
          <w:rFonts w:hint="eastAsia" w:ascii="宋体" w:hAnsi="宋体" w:eastAsia="宋体" w:cs="宋体"/>
          <w:spacing w:val="-6"/>
          <w:kern w:val="2"/>
          <w:sz w:val="24"/>
          <w:szCs w:val="24"/>
          <w:highlight w:val="none"/>
          <w:lang w:val="en-US" w:eastAsia="zh-CN" w:bidi="ar-SA"/>
        </w:rPr>
        <w:t>原则上不低于合同金额的40％</w:t>
      </w:r>
      <w:r>
        <w:rPr>
          <w:rFonts w:hint="eastAsia" w:ascii="宋体" w:hAnsi="宋体" w:eastAsia="宋体" w:cs="宋体"/>
          <w:sz w:val="24"/>
          <w:highlight w:val="none"/>
        </w:rPr>
        <w:t>；项目分年安排预算的，每年预付款比例</w:t>
      </w:r>
      <w:r>
        <w:rPr>
          <w:rFonts w:hint="eastAsia" w:ascii="宋体" w:hAnsi="宋体" w:eastAsia="宋体" w:cs="宋体"/>
          <w:spacing w:val="-6"/>
          <w:kern w:val="2"/>
          <w:sz w:val="24"/>
          <w:szCs w:val="24"/>
          <w:highlight w:val="none"/>
          <w:lang w:val="en-US" w:eastAsia="zh-CN" w:bidi="ar-SA"/>
        </w:rPr>
        <w:t>不低于项目年度计划支付资金额的40％</w:t>
      </w:r>
      <w:r>
        <w:rPr>
          <w:rFonts w:hint="eastAsia" w:ascii="宋体" w:hAnsi="宋体" w:eastAsia="宋体" w:cs="宋体"/>
          <w:sz w:val="24"/>
          <w:highlight w:val="none"/>
        </w:rPr>
        <w:t>。</w:t>
      </w:r>
      <w:r>
        <w:rPr>
          <w:rFonts w:hint="eastAsia" w:ascii="宋体" w:hAnsi="宋体" w:eastAsia="宋体" w:cs="宋体"/>
          <w:sz w:val="24"/>
          <w:highlight w:val="none"/>
        </w:rPr>
        <w:t>采购项目实施以人工投入为主的，可适当降低预付款比例，但不低于</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%。可以根据项目特点、</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信用等实际情况提高预付款比例，最高预付比例可以达到</w:t>
      </w:r>
      <w:r>
        <w:rPr>
          <w:rFonts w:hint="eastAsia" w:ascii="宋体" w:hAnsi="宋体" w:eastAsia="宋体" w:cs="宋体"/>
          <w:sz w:val="24"/>
          <w:highlight w:val="none"/>
          <w:lang w:val="en-US" w:eastAsia="zh-CN"/>
        </w:rPr>
        <w:t>70</w:t>
      </w:r>
      <w:r>
        <w:rPr>
          <w:rFonts w:hint="eastAsia" w:ascii="宋体" w:hAnsi="宋体" w:eastAsia="宋体" w:cs="宋体"/>
          <w:sz w:val="24"/>
          <w:highlight w:val="none"/>
        </w:rPr>
        <w:t>%。</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30.2</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hint="eastAsia" w:ascii="宋体" w:hAnsi="宋体" w:eastAsia="宋体" w:cs="宋体"/>
          <w:sz w:val="24"/>
          <w:highlight w:val="none"/>
        </w:rPr>
      </w:pPr>
      <w:r>
        <w:rPr>
          <w:rFonts w:hint="eastAsia" w:ascii="宋体" w:hAnsi="宋体" w:eastAsia="宋体" w:cs="宋体"/>
          <w:sz w:val="24"/>
          <w:highlight w:val="none"/>
          <w:lang w:val="en-US" w:eastAsia="zh-CN"/>
        </w:rPr>
        <w:t>30.3</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rPr>
          <w:rFonts w:hint="eastAsia" w:ascii="宋体" w:hAnsi="宋体" w:eastAsia="宋体" w:cs="宋体"/>
          <w:highlight w:val="none"/>
          <w:lang w:val="en-US" w:eastAsia="zh-CN"/>
        </w:rPr>
      </w:pPr>
    </w:p>
    <w:p>
      <w:pPr>
        <w:pStyle w:val="617"/>
        <w:spacing w:before="0" w:beforeAutospacing="0" w:after="0" w:afterAutospacing="0" w:line="360" w:lineRule="auto"/>
        <w:ind w:firstLine="480"/>
        <w:rPr>
          <w:rFonts w:hint="eastAsia" w:ascii="宋体" w:hAnsi="宋体" w:eastAsia="宋体" w:cs="宋体"/>
          <w:highlight w:val="none"/>
        </w:rPr>
      </w:pPr>
      <w:r>
        <w:rPr>
          <w:rFonts w:hint="eastAsia" w:ascii="宋体" w:hAnsi="宋体" w:eastAsia="宋体" w:cs="宋体"/>
          <w:highlight w:val="none"/>
          <w:lang w:val="en-US" w:eastAsia="zh-CN"/>
        </w:rPr>
        <w:t>30.4</w:t>
      </w:r>
      <w:r>
        <w:rPr>
          <w:rFonts w:hint="eastAsia" w:ascii="宋体" w:hAnsi="宋体" w:eastAsia="宋体" w:cs="宋体"/>
          <w:highlight w:val="none"/>
          <w:lang w:eastAsia="zh-CN"/>
        </w:rPr>
        <w:t>采购人</w:t>
      </w:r>
      <w:r>
        <w:rPr>
          <w:rFonts w:hint="eastAsia" w:ascii="宋体" w:hAnsi="宋体" w:eastAsia="宋体" w:cs="宋体"/>
          <w:highlight w:val="none"/>
        </w:rPr>
        <w:t>应严格履行合同，及时组织验收，验收合格后及时将合同款支付完毕。对于满足合同约定支付条件的，</w:t>
      </w:r>
      <w:r>
        <w:rPr>
          <w:rFonts w:hint="eastAsia" w:ascii="宋体" w:hAnsi="宋体" w:eastAsia="宋体" w:cs="宋体"/>
          <w:highlight w:val="none"/>
          <w:lang w:eastAsia="zh-CN"/>
        </w:rPr>
        <w:t>采购人</w:t>
      </w:r>
      <w:r>
        <w:rPr>
          <w:rFonts w:hint="eastAsia" w:ascii="宋体" w:hAnsi="宋体" w:eastAsia="宋体" w:cs="宋体"/>
          <w:highlight w:val="none"/>
        </w:rPr>
        <w:t>自收到发票后</w:t>
      </w:r>
      <w:r>
        <w:rPr>
          <w:rFonts w:hint="eastAsia" w:ascii="宋体" w:hAnsi="宋体" w:eastAsia="宋体" w:cs="宋体"/>
          <w:highlight w:val="none"/>
          <w:lang w:val="en-US" w:eastAsia="zh-CN"/>
        </w:rPr>
        <w:t>7</w:t>
      </w:r>
      <w:r>
        <w:rPr>
          <w:rFonts w:hint="eastAsia" w:ascii="宋体" w:hAnsi="宋体" w:eastAsia="宋体" w:cs="宋体"/>
          <w:highlight w:val="none"/>
        </w:rPr>
        <w:t>个工作日内将资金支付到合同约定的乙方账户。</w:t>
      </w:r>
    </w:p>
    <w:p>
      <w:pPr>
        <w:pStyle w:val="5"/>
        <w:rPr>
          <w:rFonts w:hint="eastAsia" w:ascii="宋体" w:hAnsi="宋体" w:eastAsia="宋体" w:cs="宋体"/>
          <w:highlight w:val="none"/>
          <w:lang w:val="en-US" w:eastAsia="zh-CN"/>
        </w:rPr>
        <w:sectPr>
          <w:headerReference r:id="rId5" w:type="first"/>
          <w:footerReference r:id="rId8" w:type="first"/>
          <w:headerReference r:id="rId4" w:type="default"/>
          <w:footerReference r:id="rId6" w:type="default"/>
          <w:footerReference r:id="rId7"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hint="eastAsia" w:ascii="宋体" w:hAnsi="宋体" w:eastAsia="宋体" w:cs="宋体"/>
          <w:b/>
          <w:sz w:val="36"/>
          <w:szCs w:val="36"/>
          <w:highlight w:val="none"/>
        </w:rPr>
      </w:pPr>
      <w:bookmarkStart w:id="27" w:name="第四部分"/>
      <w:r>
        <w:rPr>
          <w:rFonts w:hint="eastAsia" w:ascii="宋体" w:hAnsi="宋体" w:eastAsia="宋体" w:cs="宋体"/>
          <w:b/>
          <w:sz w:val="36"/>
          <w:szCs w:val="36"/>
          <w:highlight w:val="none"/>
        </w:rPr>
        <w:t>第三部分   采购需求</w:t>
      </w:r>
    </w:p>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一、项目概述：</w:t>
      </w:r>
    </w:p>
    <w:p>
      <w:pPr>
        <w:adjustRightInd w:val="0"/>
        <w:snapToGrid w:val="0"/>
        <w:spacing w:line="400" w:lineRule="atLeast"/>
        <w:ind w:left="0" w:leftChars="0" w:firstLine="420" w:firstLineChars="175"/>
        <w:rPr>
          <w:rFonts w:hint="eastAsia" w:ascii="Times New Roman" w:hAnsi="Times New Roman"/>
          <w:bCs/>
          <w:color w:val="000000"/>
          <w:sz w:val="24"/>
          <w:szCs w:val="24"/>
          <w:highlight w:val="none"/>
        </w:rPr>
      </w:pPr>
      <w:r>
        <w:rPr>
          <w:rFonts w:hint="eastAsia"/>
          <w:bCs/>
          <w:color w:val="000000"/>
          <w:sz w:val="24"/>
          <w:szCs w:val="24"/>
          <w:highlight w:val="none"/>
          <w:lang w:val="en-US" w:eastAsia="zh-CN"/>
        </w:rPr>
        <w:t xml:space="preserve"> </w:t>
      </w:r>
      <w:r>
        <w:rPr>
          <w:rFonts w:hint="eastAsia" w:ascii="Times New Roman" w:hAnsi="Times New Roman"/>
          <w:bCs/>
          <w:color w:val="000000"/>
          <w:sz w:val="24"/>
          <w:szCs w:val="24"/>
          <w:highlight w:val="none"/>
        </w:rPr>
        <w:t>本项目采购内容包括共用设备管理与维修养护（含供电系统、给排水系统、绿化服务、电梯维护、消防设备维护、空调维护等）、安全保卫、公共区域环境卫生管理等及采购单位交办的其他工作，本项目的投标报价包含日常水电维修费用、设备维护费、安全保卫费、卫生管理费、绿化养护费、人员工资、税费等用以及针对本项目物业管理所产生的所有费用及合同包含的所有风险、责任等各项全部费用。采购人不再支付其他费用。</w:t>
      </w:r>
    </w:p>
    <w:p>
      <w:pPr>
        <w:numPr>
          <w:ilvl w:val="0"/>
          <w:numId w:val="2"/>
        </w:numPr>
        <w:adjustRightInd w:val="0"/>
        <w:snapToGrid w:val="0"/>
        <w:spacing w:line="400" w:lineRule="atLeast"/>
        <w:rPr>
          <w:rFonts w:ascii="Times New Roman" w:hAnsi="Times New Roman"/>
          <w:b/>
          <w:bCs/>
          <w:color w:val="000000"/>
          <w:sz w:val="24"/>
          <w:szCs w:val="24"/>
          <w:highlight w:val="none"/>
        </w:rPr>
      </w:pPr>
      <w:r>
        <w:rPr>
          <w:rFonts w:ascii="Times New Roman" w:hAnsi="Times New Roman"/>
          <w:b/>
          <w:bCs/>
          <w:color w:val="000000"/>
          <w:sz w:val="24"/>
          <w:szCs w:val="24"/>
          <w:highlight w:val="none"/>
        </w:rPr>
        <w:t>具体服务内容、要求等：</w:t>
      </w:r>
    </w:p>
    <w:tbl>
      <w:tblPr>
        <w:tblStyle w:val="74"/>
        <w:tblW w:w="8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809" w:type="dxa"/>
            <w:vAlign w:val="center"/>
          </w:tcPr>
          <w:p>
            <w:pPr>
              <w:spacing w:before="0" w:beforeAutospacing="0" w:after="0" w:afterAutospacing="0"/>
              <w:ind w:left="0" w:right="0"/>
              <w:jc w:val="center"/>
              <w:rPr>
                <w:rFonts w:hint="eastAsia" w:ascii="宋体" w:hAnsi="宋体" w:cs="宋体"/>
                <w:b/>
                <w:color w:val="000000"/>
                <w:highlight w:val="none"/>
              </w:rPr>
            </w:pPr>
            <w:r>
              <w:rPr>
                <w:rFonts w:hint="eastAsia"/>
                <w:b/>
                <w:color w:val="000000"/>
                <w:highlight w:val="none"/>
              </w:rPr>
              <w:t>项目名称</w:t>
            </w:r>
          </w:p>
        </w:tc>
        <w:tc>
          <w:tcPr>
            <w:tcW w:w="7164" w:type="dxa"/>
            <w:vAlign w:val="center"/>
          </w:tcPr>
          <w:p>
            <w:pPr>
              <w:spacing w:before="0" w:beforeAutospacing="0" w:after="0" w:afterAutospacing="0"/>
              <w:ind w:left="0" w:right="0"/>
              <w:jc w:val="center"/>
              <w:rPr>
                <w:rFonts w:hint="eastAsia" w:ascii="宋体" w:hAnsi="宋体" w:cs="宋体"/>
                <w:b/>
                <w:color w:val="000000"/>
                <w:highlight w:val="none"/>
              </w:rPr>
            </w:pPr>
            <w:r>
              <w:rPr>
                <w:rFonts w:hint="eastAsia"/>
                <w:b/>
                <w:color w:val="000000"/>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物业项目负责人</w:t>
            </w:r>
          </w:p>
        </w:tc>
        <w:tc>
          <w:tcPr>
            <w:tcW w:w="7164" w:type="dxa"/>
            <w:vAlign w:val="center"/>
          </w:tcPr>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1、主要职责：全面负责本项目的物业管理。</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2、人员设置：1人。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保安及门卫</w:t>
            </w:r>
          </w:p>
        </w:tc>
        <w:tc>
          <w:tcPr>
            <w:tcW w:w="7164" w:type="dxa"/>
            <w:vAlign w:val="center"/>
          </w:tcPr>
          <w:p>
            <w:pPr>
              <w:adjustRightInd w:val="0"/>
              <w:snapToGrid w:val="0"/>
              <w:spacing w:before="0" w:beforeAutospacing="0" w:after="0" w:afterAutospacing="0"/>
              <w:ind w:left="0" w:right="0" w:firstLine="480"/>
              <w:rPr>
                <w:rFonts w:hint="eastAsia"/>
                <w:highlight w:val="none"/>
              </w:rPr>
            </w:pPr>
            <w:r>
              <w:rPr>
                <w:rFonts w:hint="eastAsia"/>
                <w:highlight w:val="none"/>
              </w:rPr>
              <w:t>（一）保安（含门卫）人员要求</w:t>
            </w:r>
          </w:p>
          <w:p>
            <w:pPr>
              <w:adjustRightInd w:val="0"/>
              <w:snapToGrid w:val="0"/>
              <w:spacing w:before="0" w:beforeAutospacing="0" w:after="0" w:afterAutospacing="0"/>
              <w:ind w:left="0" w:right="0" w:firstLine="480"/>
              <w:rPr>
                <w:rFonts w:hint="eastAsia"/>
                <w:highlight w:val="none"/>
              </w:rPr>
            </w:pPr>
            <w:r>
              <w:rPr>
                <w:rFonts w:hint="eastAsia"/>
                <w:highlight w:val="none"/>
              </w:rPr>
              <w:t>人员要求身体健康，仪表端庄，精力充沛，无不良嗜好，无犯罪记录，工作认真负责并定期接受培训，具体要求如下：</w:t>
            </w:r>
          </w:p>
          <w:p>
            <w:pPr>
              <w:adjustRightInd w:val="0"/>
              <w:snapToGrid w:val="0"/>
              <w:spacing w:before="0" w:beforeAutospacing="0" w:after="0" w:afterAutospacing="0"/>
              <w:ind w:left="0" w:right="0" w:firstLine="480"/>
              <w:rPr>
                <w:rFonts w:hint="eastAsia"/>
                <w:highlight w:val="none"/>
              </w:rPr>
            </w:pPr>
            <w:r>
              <w:rPr>
                <w:rFonts w:hint="eastAsia"/>
                <w:highlight w:val="none"/>
              </w:rPr>
              <w:t>1、能处理和应对采购人公共秩序维护工作，能正确使用各类消防器械和设备，能够熟悉、掌握各类刑事、治安案件和各类灾害事故的应急预案；</w:t>
            </w:r>
          </w:p>
          <w:p>
            <w:pPr>
              <w:adjustRightInd w:val="0"/>
              <w:snapToGrid w:val="0"/>
              <w:spacing w:before="0" w:beforeAutospacing="0" w:after="0" w:afterAutospacing="0"/>
              <w:ind w:left="0" w:right="0" w:firstLine="480"/>
              <w:rPr>
                <w:rFonts w:hint="eastAsia"/>
                <w:highlight w:val="none"/>
              </w:rPr>
            </w:pPr>
            <w:r>
              <w:rPr>
                <w:rFonts w:hint="eastAsia"/>
                <w:highlight w:val="none"/>
              </w:rPr>
              <w:t>2、上岗时佩戴统一标志，按需求穿戴统一制服（精致），装备佩戴规范，仪容仪表规范整齐，当值时坐姿挺直，站岗时不倚不靠、采用跨立站岗。</w:t>
            </w:r>
          </w:p>
          <w:p>
            <w:pPr>
              <w:adjustRightInd w:val="0"/>
              <w:snapToGrid w:val="0"/>
              <w:spacing w:before="0" w:beforeAutospacing="0" w:after="0" w:afterAutospacing="0"/>
              <w:ind w:left="0" w:right="0" w:firstLine="480"/>
              <w:rPr>
                <w:rFonts w:hint="eastAsia"/>
                <w:highlight w:val="none"/>
              </w:rPr>
            </w:pPr>
            <w:r>
              <w:rPr>
                <w:rFonts w:hint="eastAsia"/>
                <w:highlight w:val="none"/>
              </w:rPr>
              <w:t>3、文明执勤，训练有素，言语规范，认真负责；配备必备的安全护卫器械和通讯器材（由中标单位负责），盾牌、钢叉等**设备由采购人提供。</w:t>
            </w:r>
          </w:p>
          <w:p>
            <w:pPr>
              <w:adjustRightInd w:val="0"/>
              <w:snapToGrid w:val="0"/>
              <w:spacing w:before="0" w:beforeAutospacing="0" w:after="0" w:afterAutospacing="0"/>
              <w:ind w:left="0" w:right="0" w:firstLine="480"/>
              <w:rPr>
                <w:rFonts w:hint="eastAsia"/>
                <w:highlight w:val="none"/>
              </w:rPr>
            </w:pPr>
            <w:r>
              <w:rPr>
                <w:rFonts w:hint="eastAsia" w:ascii="仿宋_GB2312" w:hAnsi="仿宋" w:eastAsia="仿宋_GB2312" w:cs="仿宋_GB2312"/>
                <w:sz w:val="24"/>
                <w:szCs w:val="20"/>
                <w:highlight w:val="none"/>
              </w:rPr>
              <w:t>▲</w:t>
            </w:r>
            <w:r>
              <w:rPr>
                <w:rFonts w:hint="eastAsia"/>
                <w:highlight w:val="none"/>
              </w:rPr>
              <w:t>（二）人员设置需求：</w:t>
            </w:r>
          </w:p>
          <w:p>
            <w:pPr>
              <w:adjustRightInd w:val="0"/>
              <w:snapToGrid w:val="0"/>
              <w:spacing w:before="0" w:beforeAutospacing="0" w:after="0" w:afterAutospacing="0"/>
              <w:ind w:left="0" w:right="0" w:firstLine="480"/>
              <w:rPr>
                <w:rFonts w:hint="eastAsia"/>
                <w:highlight w:val="none"/>
              </w:rPr>
            </w:pPr>
            <w:r>
              <w:rPr>
                <w:rFonts w:hint="eastAsia"/>
                <w:highlight w:val="none"/>
              </w:rPr>
              <w:t>保安（含门卫）不少于15人，人员要求至少7人35周岁以下，剩余人员45周岁以下，具体分配如下：队长1人；机关大院10人；下层部门（七站八所）4人，其中一人为残疾人之家固定保安；综治大楼1人。后期具体人员安排由中标单位根据采购单位要求进行调度。</w:t>
            </w:r>
          </w:p>
          <w:p>
            <w:pPr>
              <w:adjustRightInd w:val="0"/>
              <w:snapToGrid w:val="0"/>
              <w:spacing w:before="0" w:beforeAutospacing="0" w:after="0" w:afterAutospacing="0"/>
              <w:ind w:left="0" w:right="0" w:firstLine="480"/>
              <w:rPr>
                <w:rFonts w:hint="eastAsia"/>
                <w:highlight w:val="none"/>
              </w:rPr>
            </w:pPr>
            <w:r>
              <w:rPr>
                <w:rFonts w:hint="eastAsia"/>
                <w:highlight w:val="none"/>
              </w:rPr>
              <w:t>（三）保安（含门卫）服务内容及要求：</w:t>
            </w:r>
          </w:p>
          <w:p>
            <w:pPr>
              <w:adjustRightInd w:val="0"/>
              <w:snapToGrid w:val="0"/>
              <w:spacing w:before="0" w:beforeAutospacing="0" w:after="0" w:afterAutospacing="0"/>
              <w:ind w:left="0" w:right="0" w:firstLine="480"/>
              <w:rPr>
                <w:rFonts w:hint="eastAsia"/>
                <w:highlight w:val="none"/>
              </w:rPr>
            </w:pPr>
            <w:r>
              <w:rPr>
                <w:rFonts w:hint="eastAsia"/>
                <w:highlight w:val="none"/>
              </w:rPr>
              <w:t>1、白天室外停车场及大厅需有专人进行引导登记管理。</w:t>
            </w:r>
          </w:p>
          <w:p>
            <w:pPr>
              <w:adjustRightInd w:val="0"/>
              <w:snapToGrid w:val="0"/>
              <w:spacing w:before="0" w:beforeAutospacing="0" w:after="0" w:afterAutospacing="0"/>
              <w:ind w:left="0" w:right="0" w:firstLine="480"/>
              <w:rPr>
                <w:rFonts w:hint="eastAsia"/>
                <w:highlight w:val="none"/>
              </w:rPr>
            </w:pPr>
            <w:r>
              <w:rPr>
                <w:rFonts w:hint="eastAsia"/>
                <w:highlight w:val="none"/>
              </w:rPr>
              <w:t>2、外来车辆及外来人员：禁止无关车辆进入采购人场地，确需进入的应做好登记并引导车辆有序通行、所有各类车辆在指定位置停放。禁止无关人员（产品推销及收购废品等闲杂人员）进入。</w:t>
            </w:r>
          </w:p>
          <w:p>
            <w:pPr>
              <w:adjustRightInd w:val="0"/>
              <w:snapToGrid w:val="0"/>
              <w:spacing w:before="0" w:beforeAutospacing="0" w:after="0" w:afterAutospacing="0"/>
              <w:ind w:left="0" w:right="0" w:firstLine="480"/>
              <w:rPr>
                <w:rFonts w:hint="eastAsia"/>
                <w:highlight w:val="none"/>
              </w:rPr>
            </w:pPr>
            <w:r>
              <w:rPr>
                <w:rFonts w:hint="eastAsia"/>
                <w:highlight w:val="none"/>
              </w:rPr>
              <w:t>3、保证大楼内、大楼周边秩序井然。登记、引导规范，并进行楼层巡楼。</w:t>
            </w:r>
          </w:p>
          <w:p>
            <w:pPr>
              <w:adjustRightInd w:val="0"/>
              <w:snapToGrid w:val="0"/>
              <w:spacing w:before="0" w:beforeAutospacing="0" w:after="0" w:afterAutospacing="0"/>
              <w:ind w:left="0" w:right="0" w:firstLine="480"/>
              <w:rPr>
                <w:rFonts w:hint="eastAsia"/>
                <w:highlight w:val="none"/>
              </w:rPr>
            </w:pPr>
            <w:r>
              <w:rPr>
                <w:rFonts w:hint="eastAsia"/>
                <w:highlight w:val="none"/>
              </w:rPr>
              <w:t>4、保持值班室、院子和大门口环境整洁、有序、道路畅通。</w:t>
            </w:r>
          </w:p>
          <w:p>
            <w:pPr>
              <w:adjustRightInd w:val="0"/>
              <w:snapToGrid w:val="0"/>
              <w:spacing w:before="0" w:beforeAutospacing="0" w:after="0" w:afterAutospacing="0"/>
              <w:ind w:left="0" w:right="0" w:firstLine="480"/>
              <w:rPr>
                <w:rFonts w:hint="eastAsia"/>
                <w:highlight w:val="none"/>
              </w:rPr>
            </w:pPr>
            <w:r>
              <w:rPr>
                <w:rFonts w:hint="eastAsia"/>
                <w:highlight w:val="none"/>
              </w:rPr>
              <w:t>5、夜间：对办公室门窗及楼道窗户关闭情况进行必要的安全检查，按时开启、关闭报警及其他有关设施。</w:t>
            </w:r>
          </w:p>
          <w:p>
            <w:pPr>
              <w:adjustRightInd w:val="0"/>
              <w:snapToGrid w:val="0"/>
              <w:spacing w:before="0" w:beforeAutospacing="0" w:after="0" w:afterAutospacing="0"/>
              <w:ind w:left="0" w:right="0" w:firstLine="480"/>
              <w:rPr>
                <w:rFonts w:hint="eastAsia"/>
                <w:highlight w:val="none"/>
              </w:rPr>
            </w:pPr>
            <w:r>
              <w:rPr>
                <w:rFonts w:hint="eastAsia"/>
                <w:highlight w:val="none"/>
              </w:rPr>
              <w:t>6、提供帮助：在遇到来办公楼咨询和服务的老人、残疾人等需要帮助时，应主动热情。</w:t>
            </w:r>
          </w:p>
          <w:p>
            <w:pPr>
              <w:adjustRightInd w:val="0"/>
              <w:snapToGrid w:val="0"/>
              <w:spacing w:before="0" w:beforeAutospacing="0" w:after="0" w:afterAutospacing="0"/>
              <w:ind w:left="0" w:right="0" w:firstLine="480"/>
              <w:rPr>
                <w:rFonts w:hint="eastAsia"/>
                <w:highlight w:val="none"/>
              </w:rPr>
            </w:pPr>
            <w:r>
              <w:rPr>
                <w:rFonts w:hint="eastAsia"/>
                <w:highlight w:val="none"/>
              </w:rPr>
              <w:t>7、应急响应：接到火警、警情后3分钟内到达现场处置，并报负责人，同时根据要求与警方联系与协调。</w:t>
            </w:r>
          </w:p>
          <w:p>
            <w:pPr>
              <w:adjustRightInd w:val="0"/>
              <w:snapToGrid w:val="0"/>
              <w:spacing w:before="0" w:beforeAutospacing="0" w:after="0" w:afterAutospacing="0"/>
              <w:ind w:left="0" w:right="0" w:firstLine="480"/>
              <w:rPr>
                <w:rFonts w:hint="eastAsia"/>
                <w:highlight w:val="none"/>
              </w:rPr>
            </w:pPr>
            <w:r>
              <w:rPr>
                <w:rFonts w:hint="eastAsia"/>
                <w:highlight w:val="none"/>
              </w:rPr>
              <w:t>8、工作纪律：保安员在工作期间要接受采购人的领导和监督，遵守采购人的有关规章制度。</w:t>
            </w:r>
          </w:p>
          <w:p>
            <w:pPr>
              <w:adjustRightInd w:val="0"/>
              <w:snapToGrid w:val="0"/>
              <w:spacing w:before="0" w:beforeAutospacing="0" w:after="0" w:afterAutospacing="0"/>
              <w:ind w:left="0" w:right="0" w:firstLine="480"/>
              <w:rPr>
                <w:rFonts w:hint="eastAsia"/>
                <w:highlight w:val="none"/>
              </w:rPr>
            </w:pPr>
            <w:r>
              <w:rPr>
                <w:rFonts w:hint="eastAsia"/>
                <w:highlight w:val="none"/>
              </w:rPr>
              <w:t>9、如遇到门口搬运货物，需主动帮助运送。</w:t>
            </w:r>
          </w:p>
          <w:p>
            <w:pPr>
              <w:adjustRightInd w:val="0"/>
              <w:snapToGrid w:val="0"/>
              <w:spacing w:before="0" w:beforeAutospacing="0" w:after="0" w:afterAutospacing="0"/>
              <w:ind w:left="0" w:right="0" w:firstLine="480"/>
              <w:rPr>
                <w:rFonts w:hint="eastAsia"/>
                <w:highlight w:val="none"/>
              </w:rPr>
            </w:pPr>
            <w:r>
              <w:rPr>
                <w:rFonts w:hint="eastAsia"/>
                <w:highlight w:val="none"/>
              </w:rPr>
              <w:t>10、无条件配合采购单位人员大楼内部物件搬运工作。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水电维修</w:t>
            </w:r>
          </w:p>
        </w:tc>
        <w:tc>
          <w:tcPr>
            <w:tcW w:w="7164" w:type="dxa"/>
            <w:vAlign w:val="center"/>
          </w:tcPr>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（一）维保人员要求</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1、专业人员要求身体健康，仪表端庄，无不良嗜好，工作认真负责并定期接受培训。</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2、上岗时统一着装，佩戴统一标志，仪容仪表规范整齐。</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3、文明工作，训练有素，言语规范，认真负责。</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4、相关维修人员必须持证上岗；严格执行用电安全规范，确保用电安全。</w:t>
            </w:r>
          </w:p>
          <w:p>
            <w:pPr>
              <w:adjustRightInd w:val="0"/>
              <w:snapToGrid w:val="0"/>
              <w:spacing w:before="0" w:beforeAutospacing="0" w:after="0" w:afterAutospacing="0"/>
              <w:ind w:left="0" w:right="0" w:firstLine="480" w:firstLineChars="200"/>
              <w:rPr>
                <w:rFonts w:hint="eastAsia"/>
                <w:highlight w:val="none"/>
              </w:rPr>
            </w:pPr>
            <w:r>
              <w:rPr>
                <w:rFonts w:hint="eastAsia" w:ascii="仿宋_GB2312" w:hAnsi="仿宋" w:eastAsia="仿宋_GB2312" w:cs="仿宋_GB2312"/>
                <w:sz w:val="24"/>
                <w:szCs w:val="20"/>
                <w:highlight w:val="none"/>
              </w:rPr>
              <w:t>▲</w:t>
            </w:r>
            <w:r>
              <w:rPr>
                <w:rFonts w:hint="eastAsia"/>
                <w:highlight w:val="none"/>
              </w:rPr>
              <w:t>（二）人员设置需求：</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水电维修工不少于1人。</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（三）水电维修要求</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供电系统</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 xml:space="preserve">1、服务内容：对区域内的电气管线、电线电缆、电源开关、动力插座等低压用电设施进行日常管理和巡检，保持设施正常运行。 </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2、服务质量标准：</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负责各类照明灯具、泛光照明系统、供用电设备设施的日常管理和巡检。各分电表箱、配电箱、配电柜及每层管线分线盒：无积尘，接头无松动现象，每季清洁一次；主要用电线路的绝缘状况，每半年测试一次，绝缘良好。总配电箱、高配电房：定期检查，无积尘，接头无松动现象；公共使用的照明、指示灯具线路、开关要保证完好。</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（2）保证整个管理区域的供电安全。</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（3）应急供电系统运行正常。</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 xml:space="preserve">（4）通过有效的管理措施及技术措施，积极开展节能管理工作。 </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给排水系统</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服务内容：对物业管理区域室内外给排水系统的设备、设施，如水泵、水箱、气压给水装置、水处理设备、消火栓、管道、管件、阀门、水嘴、卫生洁具、排水管、透气管、水封设备、室外排水管及附属构筑物等进行日常管理及巡检，保持正常运行。</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2、服务质量标准：</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（1）每半年对给排水系统进行维护、润滑。</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（2）用户末端的水压及流量满足使用要求。</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（3）每季对楼宇排水总管进行检查，每半年对水泵、管道进行防锈处理。</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4）确保水质无污染并符合规定的要求，生活饮用水水质符合GB5749一2006《生活饮用水卫生标准》的要求。生活饮用水设施的日常使用管理、清洗消毒、作业人员健康检查以及水质检测参照建设部、卫生部《城市供水水质管理规定》（建设部令第67号）执行。定期清洗水箱，每年不少于2次，并提供清洗后水质检测报告。</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（5）每季度对水质处理、消毒装置、电开水炉及设备控制柜进行保养。</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弱电系统</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服务内容及要求：由专业人员定期对监控系统、门禁系统、多媒体系统、会议系统等智能弱电设备进行巡查，定期清理设备机柜、控制箱、交换机等外表吸附的灰尘和絮状物。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公共区域保洁</w:t>
            </w:r>
          </w:p>
        </w:tc>
        <w:tc>
          <w:tcPr>
            <w:tcW w:w="7164" w:type="dxa"/>
            <w:vAlign w:val="center"/>
          </w:tcPr>
          <w:p>
            <w:pPr>
              <w:adjustRightInd w:val="0"/>
              <w:snapToGrid w:val="0"/>
              <w:spacing w:before="0" w:beforeAutospacing="0" w:after="0" w:afterAutospacing="0"/>
              <w:ind w:left="0" w:right="0" w:firstLine="480"/>
              <w:rPr>
                <w:rFonts w:hint="eastAsia"/>
                <w:highlight w:val="none"/>
              </w:rPr>
            </w:pPr>
            <w:r>
              <w:rPr>
                <w:rFonts w:hint="eastAsia"/>
                <w:highlight w:val="none"/>
              </w:rPr>
              <w:t>（一）保洁、会务人员要求：</w:t>
            </w:r>
          </w:p>
          <w:p>
            <w:pPr>
              <w:adjustRightInd w:val="0"/>
              <w:snapToGrid w:val="0"/>
              <w:spacing w:before="0" w:beforeAutospacing="0" w:after="0" w:afterAutospacing="0"/>
              <w:ind w:left="0" w:right="0" w:firstLine="480"/>
              <w:rPr>
                <w:rFonts w:hint="eastAsia"/>
                <w:highlight w:val="none"/>
              </w:rPr>
            </w:pPr>
            <w:r>
              <w:rPr>
                <w:rFonts w:hint="eastAsia"/>
                <w:highlight w:val="none"/>
              </w:rPr>
              <w:t>1、保洁人员要求身体健康，无不良嗜好，工作认真负责并定期接受培训。会务人员要求高中及相关学历以上，会操作一般会议音响设备。</w:t>
            </w:r>
          </w:p>
          <w:p>
            <w:pPr>
              <w:adjustRightInd w:val="0"/>
              <w:snapToGrid w:val="0"/>
              <w:spacing w:before="0" w:beforeAutospacing="0" w:after="0" w:afterAutospacing="0"/>
              <w:ind w:left="0" w:right="0" w:firstLine="480"/>
              <w:rPr>
                <w:rFonts w:hint="eastAsia"/>
                <w:highlight w:val="none"/>
              </w:rPr>
            </w:pPr>
            <w:r>
              <w:rPr>
                <w:rFonts w:hint="eastAsia"/>
                <w:highlight w:val="none"/>
              </w:rPr>
              <w:t>2、上岗时佩戴统一标志，按需求穿戴统一制服，仪容仪表规范整齐。</w:t>
            </w:r>
          </w:p>
          <w:p>
            <w:pPr>
              <w:adjustRightInd w:val="0"/>
              <w:snapToGrid w:val="0"/>
              <w:spacing w:before="0" w:beforeAutospacing="0" w:after="0" w:afterAutospacing="0"/>
              <w:ind w:left="0" w:right="0" w:firstLine="480"/>
              <w:rPr>
                <w:rFonts w:hint="eastAsia"/>
                <w:highlight w:val="none"/>
              </w:rPr>
            </w:pPr>
            <w:r>
              <w:rPr>
                <w:rFonts w:hint="eastAsia"/>
                <w:highlight w:val="none"/>
              </w:rPr>
              <w:t>3、文明工作，训练有素，言语规范，认真负责。</w:t>
            </w:r>
          </w:p>
          <w:p>
            <w:pPr>
              <w:adjustRightInd w:val="0"/>
              <w:snapToGrid w:val="0"/>
              <w:spacing w:before="0" w:beforeAutospacing="0" w:after="0" w:afterAutospacing="0"/>
              <w:ind w:left="0" w:right="0" w:firstLine="480"/>
              <w:rPr>
                <w:rFonts w:hint="eastAsia"/>
                <w:highlight w:val="none"/>
              </w:rPr>
            </w:pPr>
            <w:r>
              <w:rPr>
                <w:rFonts w:hint="eastAsia" w:ascii="仿宋_GB2312" w:hAnsi="仿宋" w:eastAsia="仿宋_GB2312" w:cs="仿宋_GB2312"/>
                <w:sz w:val="24"/>
                <w:szCs w:val="20"/>
                <w:highlight w:val="none"/>
              </w:rPr>
              <w:t>▲</w:t>
            </w:r>
            <w:r>
              <w:rPr>
                <w:rFonts w:hint="eastAsia"/>
                <w:highlight w:val="none"/>
              </w:rPr>
              <w:t>（二）人员设置需求：</w:t>
            </w:r>
          </w:p>
          <w:p>
            <w:pPr>
              <w:adjustRightInd w:val="0"/>
              <w:snapToGrid w:val="0"/>
              <w:spacing w:before="0" w:beforeAutospacing="0" w:after="0" w:afterAutospacing="0"/>
              <w:ind w:left="0" w:right="0" w:firstLine="480"/>
              <w:rPr>
                <w:rFonts w:hint="eastAsia"/>
                <w:highlight w:val="none"/>
              </w:rPr>
            </w:pPr>
            <w:r>
              <w:rPr>
                <w:rFonts w:hint="eastAsia"/>
                <w:highlight w:val="none"/>
              </w:rPr>
              <w:t>1、保洁员不少于19人，其中：机关大院8人；下层部门（七站八所）4人；综治大楼5人；运河西岸、应急消防站保洁共2名人员要求55周岁以下。</w:t>
            </w:r>
          </w:p>
          <w:p>
            <w:pPr>
              <w:adjustRightInd w:val="0"/>
              <w:snapToGrid w:val="0"/>
              <w:spacing w:before="0" w:beforeAutospacing="0" w:after="0" w:afterAutospacing="0"/>
              <w:ind w:left="0" w:right="0" w:firstLine="480"/>
              <w:rPr>
                <w:rFonts w:hint="eastAsia"/>
                <w:highlight w:val="none"/>
              </w:rPr>
            </w:pPr>
            <w:r>
              <w:rPr>
                <w:rFonts w:hint="eastAsia"/>
                <w:highlight w:val="none"/>
              </w:rPr>
              <w:t>2、会务人员5人，人员要求至少2人30周岁以下，剩余人员40周岁以下。</w:t>
            </w:r>
          </w:p>
          <w:p>
            <w:pPr>
              <w:adjustRightInd w:val="0"/>
              <w:snapToGrid w:val="0"/>
              <w:spacing w:before="0" w:beforeAutospacing="0" w:after="0" w:afterAutospacing="0"/>
              <w:ind w:left="0" w:right="0" w:firstLine="480"/>
              <w:rPr>
                <w:rFonts w:hint="eastAsia"/>
                <w:highlight w:val="none"/>
              </w:rPr>
            </w:pPr>
            <w:r>
              <w:rPr>
                <w:rFonts w:hint="eastAsia"/>
                <w:highlight w:val="none"/>
              </w:rPr>
              <w:t>3、后期具体人员安排由中标单位根据采购单位要求进行调度。</w:t>
            </w:r>
          </w:p>
          <w:p>
            <w:pPr>
              <w:adjustRightInd w:val="0"/>
              <w:snapToGrid w:val="0"/>
              <w:spacing w:before="0" w:beforeAutospacing="0" w:after="0" w:afterAutospacing="0"/>
              <w:ind w:left="0" w:right="0" w:firstLine="480"/>
              <w:rPr>
                <w:rFonts w:hint="eastAsia"/>
                <w:highlight w:val="none"/>
              </w:rPr>
            </w:pPr>
            <w:r>
              <w:rPr>
                <w:rFonts w:hint="eastAsia"/>
                <w:highlight w:val="none"/>
              </w:rPr>
              <w:t>（三）保洁服务内容及要求：</w:t>
            </w:r>
          </w:p>
          <w:p>
            <w:pPr>
              <w:adjustRightInd w:val="0"/>
              <w:snapToGrid w:val="0"/>
              <w:spacing w:before="0" w:beforeAutospacing="0" w:after="0" w:afterAutospacing="0"/>
              <w:ind w:left="0" w:right="0" w:firstLine="480"/>
              <w:rPr>
                <w:rFonts w:hint="eastAsia"/>
                <w:highlight w:val="none"/>
              </w:rPr>
            </w:pPr>
            <w:r>
              <w:rPr>
                <w:rFonts w:hint="eastAsia"/>
                <w:highlight w:val="none"/>
              </w:rPr>
              <w:t>1、服务内容： 完成本物业区域内的楼梯、大厅、走廊、屋顶天台、吊顶、平台、雨棚、卫生间、茶水间、花盆、会议室、接待室、办公区域及单位部分办公室、公共活动场所的台（地）面、明沟、墙面、门、窗、灯具、果壳箱等设施和器皿，楼宇外墙等所有公共部位设施，道路、园林、停车场（库）、垃圾房等所有公共场地及设施和门前三包区域的日常保洁保养以及垃圾、废弃物清理。具体如下：</w:t>
            </w:r>
          </w:p>
          <w:p>
            <w:pPr>
              <w:adjustRightInd w:val="0"/>
              <w:snapToGrid w:val="0"/>
              <w:spacing w:before="0" w:beforeAutospacing="0" w:after="0" w:afterAutospacing="0"/>
              <w:ind w:left="0" w:right="0" w:firstLine="480"/>
              <w:rPr>
                <w:rFonts w:hint="eastAsia"/>
                <w:highlight w:val="none"/>
              </w:rPr>
            </w:pPr>
            <w:r>
              <w:rPr>
                <w:rFonts w:hint="eastAsia"/>
                <w:highlight w:val="none"/>
              </w:rPr>
              <w:t>（1）公共场所日常服务内容：水泥地面、石材地面、扶手、门窗玻璃、门及门窗框及有关附体，沙发、桌子、各类宣传牌、橱窗及有关附体，天花板、栏杆、消防楼梯区域等，楼道地面、楼梯每日至少拖洗一次，扶手、门每日至少擦抹一次，天花板、公共楼道灯、会议室吊灯：每季至少除尘一次，做到巡回保洁，及时清除各种垃圾等杂物，无积灰、印迹、污渍。</w:t>
            </w:r>
          </w:p>
          <w:p>
            <w:pPr>
              <w:adjustRightInd w:val="0"/>
              <w:snapToGrid w:val="0"/>
              <w:spacing w:before="0" w:beforeAutospacing="0" w:after="0" w:afterAutospacing="0"/>
              <w:ind w:left="0" w:right="0" w:firstLine="480"/>
              <w:rPr>
                <w:rFonts w:hint="eastAsia"/>
                <w:highlight w:val="none"/>
              </w:rPr>
            </w:pPr>
            <w:r>
              <w:rPr>
                <w:rFonts w:hint="eastAsia"/>
                <w:highlight w:val="none"/>
              </w:rPr>
              <w:t>（2）门厅、办公区域等特定区域保洁服务内容：地面、大厅石材墙面、天花板、大厅、门窗玻璃、门及门窗框、墙壁附体，灯具、音响、垃圾桶等公用设施表面及卫生间，办公室内储物柜和桌椅表面等严格按要求做好清洁、清运及日常消杀工作，无积灰、印迹、污渍。卫生间每天至少拖洗一次，保持地面清洁、无杂物、无积水、无毛发、无异味、便池、水池下水道要畅通。配备洗手液、卫生纸、擦手纸等相关保洁耗材，每日检查，发现用完及时补充，有破损的及时更换，确保运作正常；瓷砖：2米以下每日擦抹不少于一次；2米以上每月清洁不少于一次，无明显积灰、水渍；暂时空置的房间每周进行一次卫生保洁，确保地面、桌面、玻璃面整洁干净。白色墙面及顶面如有污渍等应及时清除，墙面去污后及时用乳胶漆补刷。</w:t>
            </w:r>
          </w:p>
          <w:p>
            <w:pPr>
              <w:adjustRightInd w:val="0"/>
              <w:snapToGrid w:val="0"/>
              <w:spacing w:before="0" w:beforeAutospacing="0" w:after="0" w:afterAutospacing="0"/>
              <w:ind w:left="0" w:right="0" w:firstLine="480"/>
              <w:rPr>
                <w:rFonts w:hint="eastAsia"/>
                <w:highlight w:val="none"/>
              </w:rPr>
            </w:pPr>
            <w:r>
              <w:rPr>
                <w:rFonts w:hint="eastAsia"/>
                <w:highlight w:val="none"/>
              </w:rPr>
              <w:t>（3）顶篷等边缘区域服务内容：屋顶屋面、沟槽、地面、雨篷及边角区域，各种附体的表面清洁，大厅遮阳卷帘清洁且保持运行正常。</w:t>
            </w:r>
          </w:p>
          <w:p>
            <w:pPr>
              <w:adjustRightInd w:val="0"/>
              <w:snapToGrid w:val="0"/>
              <w:spacing w:before="0" w:beforeAutospacing="0" w:after="0" w:afterAutospacing="0"/>
              <w:ind w:left="0" w:right="0" w:firstLine="480"/>
              <w:rPr>
                <w:rFonts w:hint="eastAsia"/>
                <w:highlight w:val="none"/>
              </w:rPr>
            </w:pPr>
            <w:r>
              <w:rPr>
                <w:rFonts w:hint="eastAsia"/>
                <w:highlight w:val="none"/>
              </w:rPr>
              <w:t>（4 ）水电和设备等设施类服务内容：一般机器表面清洁（有特殊规定的设备除外），消防设施。空调的过滤网及外壳洗尘。开关盒、表箱盖2米以下的每日擦抹不少于一次；2米以上每周不少于一次，无灰尘、污迹。</w:t>
            </w:r>
          </w:p>
          <w:p>
            <w:pPr>
              <w:adjustRightInd w:val="0"/>
              <w:snapToGrid w:val="0"/>
              <w:spacing w:before="0" w:beforeAutospacing="0" w:after="0" w:afterAutospacing="0"/>
              <w:ind w:left="0" w:right="0" w:firstLine="480"/>
              <w:rPr>
                <w:rFonts w:hint="eastAsia"/>
                <w:highlight w:val="none"/>
              </w:rPr>
            </w:pPr>
            <w:r>
              <w:rPr>
                <w:rFonts w:hint="eastAsia"/>
                <w:highlight w:val="none"/>
              </w:rPr>
              <w:t>（5） 窗帘服务内容：保持窗帘表面清洁，普通窗帘根据窗帘清洁情况定时拆装清洗，布质窗帘一年清洗不少于一次。</w:t>
            </w:r>
          </w:p>
          <w:p>
            <w:pPr>
              <w:adjustRightInd w:val="0"/>
              <w:snapToGrid w:val="0"/>
              <w:spacing w:before="0" w:beforeAutospacing="0" w:after="0" w:afterAutospacing="0"/>
              <w:ind w:left="0" w:right="0" w:firstLine="480"/>
              <w:rPr>
                <w:rFonts w:hint="eastAsia"/>
                <w:highlight w:val="none"/>
              </w:rPr>
            </w:pPr>
            <w:r>
              <w:rPr>
                <w:rFonts w:hint="eastAsia"/>
                <w:highlight w:val="none"/>
              </w:rPr>
              <w:t>（6） 值班室清洁服务内容：值班室每天进行清洁打扫，床单确保一天一换，床面保持干净整洁，洗漱用品及时添加到位。</w:t>
            </w:r>
          </w:p>
          <w:p>
            <w:pPr>
              <w:adjustRightInd w:val="0"/>
              <w:snapToGrid w:val="0"/>
              <w:spacing w:before="0" w:beforeAutospacing="0" w:after="0" w:afterAutospacing="0"/>
              <w:ind w:left="0" w:right="0" w:firstLine="480"/>
              <w:rPr>
                <w:rFonts w:hint="eastAsia"/>
                <w:highlight w:val="none"/>
              </w:rPr>
            </w:pPr>
            <w:r>
              <w:rPr>
                <w:rFonts w:hint="eastAsia"/>
                <w:highlight w:val="none"/>
              </w:rPr>
              <w:t>（7）玻璃门、地、屏上每日清扫，无污渍、无灰尘及手印，表面光亮色泽一致；地面无污渍、灰尘、水渍及鞋印，洁净光亮、无灰尘及手印，整洁光亮（一年清洗玻璃1次）。</w:t>
            </w:r>
          </w:p>
          <w:p>
            <w:pPr>
              <w:adjustRightInd w:val="0"/>
              <w:snapToGrid w:val="0"/>
              <w:spacing w:before="0" w:beforeAutospacing="0" w:after="0" w:afterAutospacing="0"/>
              <w:ind w:left="0" w:right="0" w:firstLine="480"/>
              <w:rPr>
                <w:rFonts w:hint="eastAsia"/>
                <w:highlight w:val="none"/>
              </w:rPr>
            </w:pPr>
            <w:r>
              <w:rPr>
                <w:rFonts w:hint="eastAsia"/>
                <w:highlight w:val="none"/>
              </w:rPr>
              <w:t>（8）不锈钢保洁服务内容：包括所有不锈钢制品、设施、设备，除有明确规定的保洁要求外，至少每三个月用不锈钢油保养一次。哑光不锈钢表面无污渍、无灰尘；镜面不锈钢表面光亮，三米内能清晰映出人影。</w:t>
            </w:r>
          </w:p>
          <w:p>
            <w:pPr>
              <w:adjustRightInd w:val="0"/>
              <w:snapToGrid w:val="0"/>
              <w:spacing w:before="0" w:beforeAutospacing="0" w:after="0" w:afterAutospacing="0"/>
              <w:ind w:left="0" w:right="0" w:firstLine="480"/>
              <w:rPr>
                <w:rFonts w:hint="eastAsia"/>
                <w:highlight w:val="none"/>
              </w:rPr>
            </w:pPr>
            <w:r>
              <w:rPr>
                <w:rFonts w:hint="eastAsia"/>
                <w:highlight w:val="none"/>
              </w:rPr>
              <w:t>（9）垃圾分类及清运服务内容：按垃圾分类要求做好垃圾分类，并做好垃圾分类的监督工作；垃圾箱、筒的垃圾存量不超过上缘，垃圾不在筒箱内过夜。垃圾中转站工具摆放整齐，垃圾存量不超过三分之二且做到日产日清，定期清洗，每周消毒一次，无明显积水，无蚊蝇飞舞。垃圾清运工具应保持清洁无破损，清运过程中不得产生二次污染。各类垃圾运到规定的地方，再将垃圾运到垃圾转运站，其中公共区、卫生间无堆积垃圾。化粪池、污水池及时清理，确保排放指标正常。</w:t>
            </w:r>
          </w:p>
          <w:p>
            <w:pPr>
              <w:adjustRightInd w:val="0"/>
              <w:snapToGrid w:val="0"/>
              <w:spacing w:before="0" w:beforeAutospacing="0" w:after="0" w:afterAutospacing="0"/>
              <w:ind w:left="0" w:right="0" w:firstLine="480"/>
              <w:rPr>
                <w:rFonts w:hint="eastAsia"/>
                <w:highlight w:val="none"/>
              </w:rPr>
            </w:pPr>
            <w:r>
              <w:rPr>
                <w:rFonts w:hint="eastAsia"/>
                <w:highlight w:val="none"/>
              </w:rPr>
              <w:t>2、服务质量标准：</w:t>
            </w:r>
          </w:p>
          <w:p>
            <w:pPr>
              <w:adjustRightInd w:val="0"/>
              <w:snapToGrid w:val="0"/>
              <w:spacing w:before="0" w:beforeAutospacing="0" w:after="0" w:afterAutospacing="0"/>
              <w:ind w:left="0" w:right="0" w:firstLine="480"/>
              <w:rPr>
                <w:rFonts w:hint="eastAsia"/>
                <w:highlight w:val="none"/>
              </w:rPr>
            </w:pPr>
            <w:r>
              <w:rPr>
                <w:rFonts w:hint="eastAsia"/>
                <w:highlight w:val="none"/>
              </w:rPr>
              <w:t>（1）围墙内的道路、地下车库、停车场门前“三包”及所有公共区域的地面，无有形垃圾和建筑垃圾、无堆积杂物、无积灰、无积水和淤泥、无阻塞等。做到每日清扫两次，巡回保洁。</w:t>
            </w:r>
          </w:p>
          <w:p>
            <w:pPr>
              <w:adjustRightInd w:val="0"/>
              <w:snapToGrid w:val="0"/>
              <w:spacing w:before="0" w:beforeAutospacing="0" w:after="0" w:afterAutospacing="0"/>
              <w:ind w:left="0" w:right="0" w:firstLine="480"/>
              <w:rPr>
                <w:rFonts w:hint="eastAsia"/>
                <w:highlight w:val="none"/>
              </w:rPr>
            </w:pPr>
            <w:r>
              <w:rPr>
                <w:rFonts w:hint="eastAsia"/>
                <w:highlight w:val="none"/>
              </w:rPr>
              <w:t>（2）未列入的且为正常保洁工作以及突发性事件及重大活动造成的保洁工作的项目、部位均包括在本次采购范围内，中标单位不得因此拒绝提供保洁服务（保洁用品等所需费用全部包括在投标报价中）。</w:t>
            </w:r>
          </w:p>
          <w:p>
            <w:pPr>
              <w:adjustRightInd w:val="0"/>
              <w:snapToGrid w:val="0"/>
              <w:spacing w:before="0" w:beforeAutospacing="0" w:after="0" w:afterAutospacing="0"/>
              <w:ind w:left="0" w:right="0" w:firstLine="480"/>
              <w:rPr>
                <w:rFonts w:hint="eastAsia"/>
                <w:highlight w:val="none"/>
              </w:rPr>
            </w:pPr>
            <w:r>
              <w:rPr>
                <w:rFonts w:hint="eastAsia"/>
                <w:highlight w:val="none"/>
              </w:rPr>
              <w:t>（四）会议服务内容与要求</w:t>
            </w:r>
          </w:p>
          <w:p>
            <w:pPr>
              <w:adjustRightInd w:val="0"/>
              <w:snapToGrid w:val="0"/>
              <w:spacing w:before="0" w:beforeAutospacing="0" w:after="0" w:afterAutospacing="0"/>
              <w:ind w:left="0" w:right="0" w:firstLine="480"/>
              <w:rPr>
                <w:rFonts w:hint="eastAsia"/>
                <w:highlight w:val="none"/>
              </w:rPr>
            </w:pPr>
            <w:r>
              <w:rPr>
                <w:rFonts w:hint="eastAsia"/>
                <w:highlight w:val="none"/>
              </w:rPr>
              <w:t>（1）会议室依据会议、活动日程安排提前搞好卫生、打好开水，做好相关会议服务内容，会议中及时增添茶水，会议或活动结束后打扫干净。</w:t>
            </w:r>
          </w:p>
          <w:p>
            <w:pPr>
              <w:adjustRightInd w:val="0"/>
              <w:snapToGrid w:val="0"/>
              <w:spacing w:before="0" w:beforeAutospacing="0" w:after="0" w:afterAutospacing="0"/>
              <w:ind w:left="0" w:right="0" w:firstLine="480"/>
              <w:rPr>
                <w:rFonts w:hint="eastAsia"/>
                <w:highlight w:val="none"/>
              </w:rPr>
            </w:pPr>
            <w:r>
              <w:rPr>
                <w:rFonts w:hint="eastAsia"/>
                <w:highlight w:val="none"/>
              </w:rPr>
              <w:t>（2）会议服务员上岗前要按规定着装，仪容仪表端庄、整洁、精神饱满，提前到达会场。</w:t>
            </w:r>
          </w:p>
          <w:p>
            <w:pPr>
              <w:adjustRightInd w:val="0"/>
              <w:snapToGrid w:val="0"/>
              <w:spacing w:before="0" w:beforeAutospacing="0" w:after="0" w:afterAutospacing="0"/>
              <w:ind w:left="0" w:right="0" w:firstLine="480"/>
              <w:rPr>
                <w:rFonts w:hint="eastAsia"/>
                <w:highlight w:val="none"/>
              </w:rPr>
            </w:pPr>
            <w:r>
              <w:rPr>
                <w:rFonts w:hint="eastAsia"/>
                <w:highlight w:val="none"/>
              </w:rPr>
              <w:t>（3）掌握会议室、接待室所有设施性能和技术要求，会操作一般会议音响设备。</w:t>
            </w:r>
          </w:p>
          <w:p>
            <w:pPr>
              <w:adjustRightInd w:val="0"/>
              <w:snapToGrid w:val="0"/>
              <w:spacing w:before="0" w:beforeAutospacing="0" w:after="0" w:afterAutospacing="0"/>
              <w:ind w:left="0" w:right="0" w:firstLine="480"/>
              <w:rPr>
                <w:rFonts w:hint="eastAsia"/>
                <w:highlight w:val="none"/>
              </w:rPr>
            </w:pPr>
            <w:r>
              <w:rPr>
                <w:rFonts w:hint="eastAsia"/>
                <w:highlight w:val="none"/>
              </w:rPr>
              <w:t>（4）分发报纸、瓷杯清洗消毒等。</w:t>
            </w:r>
          </w:p>
          <w:p>
            <w:pPr>
              <w:adjustRightInd w:val="0"/>
              <w:snapToGrid w:val="0"/>
              <w:spacing w:before="0" w:beforeAutospacing="0" w:after="0" w:afterAutospacing="0"/>
              <w:ind w:left="0" w:right="0" w:firstLine="480"/>
              <w:rPr>
                <w:rFonts w:hint="eastAsia"/>
                <w:highlight w:val="none"/>
              </w:rPr>
            </w:pPr>
            <w:r>
              <w:rPr>
                <w:rFonts w:hint="eastAsia"/>
                <w:highlight w:val="none"/>
              </w:rPr>
              <w:t>（5）未尽事项根据实际工作情况具体调整。</w:t>
            </w:r>
          </w:p>
          <w:p>
            <w:pPr>
              <w:adjustRightInd w:val="0"/>
              <w:snapToGrid w:val="0"/>
              <w:spacing w:before="0" w:beforeAutospacing="0" w:after="0" w:afterAutospacing="0"/>
              <w:ind w:left="0" w:right="0" w:firstLine="480"/>
              <w:rPr>
                <w:rFonts w:hint="eastAsia"/>
                <w:highlight w:val="none"/>
              </w:rPr>
            </w:pPr>
            <w:r>
              <w:rPr>
                <w:rFonts w:hint="eastAsia"/>
                <w:highlight w:val="none"/>
              </w:rPr>
              <w:t>（五）耗材需求及要求：</w:t>
            </w:r>
          </w:p>
          <w:p>
            <w:pPr>
              <w:adjustRightInd w:val="0"/>
              <w:snapToGrid w:val="0"/>
              <w:spacing w:before="0" w:beforeAutospacing="0" w:after="0" w:afterAutospacing="0"/>
              <w:ind w:left="0" w:right="0" w:firstLine="480"/>
              <w:rPr>
                <w:rFonts w:hint="eastAsia"/>
                <w:highlight w:val="none"/>
              </w:rPr>
            </w:pPr>
            <w:r>
              <w:rPr>
                <w:rFonts w:hint="eastAsia"/>
                <w:highlight w:val="none"/>
              </w:rPr>
              <w:t>1、卫生间耗材：</w:t>
            </w:r>
          </w:p>
          <w:p>
            <w:pPr>
              <w:adjustRightInd w:val="0"/>
              <w:snapToGrid w:val="0"/>
              <w:spacing w:before="0" w:beforeAutospacing="0" w:after="0" w:afterAutospacing="0"/>
              <w:ind w:left="0" w:right="0" w:firstLine="480"/>
              <w:rPr>
                <w:rFonts w:hint="eastAsia"/>
                <w:highlight w:val="none"/>
              </w:rPr>
            </w:pPr>
            <w:r>
              <w:rPr>
                <w:rFonts w:hint="eastAsia"/>
                <w:highlight w:val="none"/>
              </w:rPr>
              <w:t>①洗手液；</w:t>
            </w:r>
          </w:p>
          <w:p>
            <w:pPr>
              <w:adjustRightInd w:val="0"/>
              <w:snapToGrid w:val="0"/>
              <w:spacing w:before="0" w:beforeAutospacing="0" w:after="0" w:afterAutospacing="0"/>
              <w:ind w:left="0" w:right="0" w:firstLine="480"/>
              <w:rPr>
                <w:rFonts w:hint="eastAsia"/>
                <w:highlight w:val="none"/>
              </w:rPr>
            </w:pPr>
            <w:r>
              <w:rPr>
                <w:rFonts w:hint="eastAsia"/>
                <w:highlight w:val="none"/>
              </w:rPr>
              <w:t>②皱纹卫生纸：要求柔软洁白、方便卫生，无致病菌产品；规格：230mm×160mm～250mm×170mm；</w:t>
            </w:r>
          </w:p>
          <w:p>
            <w:pPr>
              <w:adjustRightInd w:val="0"/>
              <w:snapToGrid w:val="0"/>
              <w:spacing w:before="0" w:beforeAutospacing="0" w:after="0" w:afterAutospacing="0"/>
              <w:ind w:left="0" w:right="0" w:firstLine="480"/>
              <w:rPr>
                <w:rFonts w:hint="eastAsia"/>
                <w:highlight w:val="none"/>
              </w:rPr>
            </w:pPr>
            <w:r>
              <w:rPr>
                <w:rFonts w:hint="eastAsia"/>
                <w:highlight w:val="none"/>
              </w:rPr>
              <w:t>③擦手纸：要求纸质柔软厚实、适用触感柔顺、单层无香型；主要成分：100%原生木浆；规格：210mm ×200mm ～225mm ×215mm；基重每平方米不少于40克；</w:t>
            </w:r>
          </w:p>
          <w:p>
            <w:pPr>
              <w:adjustRightInd w:val="0"/>
              <w:snapToGrid w:val="0"/>
              <w:spacing w:before="0" w:beforeAutospacing="0" w:after="0" w:afterAutospacing="0"/>
              <w:ind w:left="0" w:right="0" w:firstLine="480"/>
              <w:rPr>
                <w:rFonts w:hint="eastAsia"/>
                <w:highlight w:val="none"/>
              </w:rPr>
            </w:pPr>
            <w:r>
              <w:rPr>
                <w:rFonts w:hint="eastAsia"/>
                <w:highlight w:val="none"/>
              </w:rPr>
              <w:t>2、保洁耗材：各类拖把、扫把、毛巾、洁厕液、除臭剂等。</w:t>
            </w:r>
          </w:p>
          <w:p>
            <w:pPr>
              <w:adjustRightInd w:val="0"/>
              <w:snapToGrid w:val="0"/>
              <w:spacing w:before="0" w:beforeAutospacing="0" w:after="0" w:afterAutospacing="0"/>
              <w:ind w:left="0" w:right="0" w:firstLine="480"/>
              <w:rPr>
                <w:rFonts w:hint="eastAsia"/>
                <w:highlight w:val="none"/>
              </w:rPr>
            </w:pPr>
            <w:r>
              <w:rPr>
                <w:rFonts w:hint="eastAsia"/>
                <w:highlight w:val="none"/>
              </w:rPr>
              <w:t>以上卫生间耗材及保洁用品等均由中标单位提供，选用的洗手液、卫生纸、擦手纸等耗材由正规厂家生产，符合国家相关标准，要求每日检查，发现用完及时补充，发现有破损的，应及时更换，确保运作正常。</w:t>
            </w:r>
          </w:p>
          <w:p>
            <w:pPr>
              <w:adjustRightInd w:val="0"/>
              <w:snapToGrid w:val="0"/>
              <w:spacing w:before="0" w:beforeAutospacing="0" w:after="0" w:afterAutospacing="0"/>
              <w:ind w:left="0" w:right="0" w:firstLine="480"/>
              <w:rPr>
                <w:rFonts w:hint="eastAsia"/>
                <w:highlight w:val="none"/>
              </w:rPr>
            </w:pPr>
            <w:r>
              <w:rPr>
                <w:rFonts w:hint="eastAsia"/>
                <w:highlight w:val="none"/>
              </w:rPr>
              <w:t>（六）其他</w:t>
            </w:r>
          </w:p>
          <w:p>
            <w:pPr>
              <w:adjustRightInd w:val="0"/>
              <w:snapToGrid w:val="0"/>
              <w:spacing w:before="0" w:beforeAutospacing="0" w:after="0" w:afterAutospacing="0"/>
              <w:ind w:left="0" w:right="0" w:firstLine="480"/>
              <w:rPr>
                <w:rFonts w:hint="eastAsia"/>
                <w:highlight w:val="none"/>
              </w:rPr>
            </w:pPr>
            <w:r>
              <w:rPr>
                <w:rFonts w:hint="eastAsia"/>
                <w:highlight w:val="none"/>
              </w:rPr>
              <w:t>（1）工作纪律：保洁员在工作期间要接受采购人的领导和监督，遵守采购人的有关规章制度。</w:t>
            </w:r>
          </w:p>
          <w:p>
            <w:pPr>
              <w:adjustRightInd w:val="0"/>
              <w:snapToGrid w:val="0"/>
              <w:spacing w:before="0" w:beforeAutospacing="0" w:after="0" w:afterAutospacing="0"/>
              <w:ind w:left="0" w:right="0" w:firstLine="480"/>
              <w:rPr>
                <w:rFonts w:hint="eastAsia"/>
                <w:highlight w:val="none"/>
              </w:rPr>
            </w:pPr>
            <w:r>
              <w:rPr>
                <w:rFonts w:hint="eastAsia"/>
                <w:highlight w:val="none"/>
              </w:rPr>
              <w:t>（2）在遇到来咨询和服务的老人、残疾人需要帮助时，应主动热情。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绿化服务要求</w:t>
            </w:r>
          </w:p>
        </w:tc>
        <w:tc>
          <w:tcPr>
            <w:tcW w:w="7164" w:type="dxa"/>
            <w:vAlign w:val="center"/>
          </w:tcPr>
          <w:p>
            <w:pPr>
              <w:adjustRightInd w:val="0"/>
              <w:snapToGrid w:val="0"/>
              <w:spacing w:before="0" w:beforeAutospacing="0" w:after="0" w:afterAutospacing="0"/>
              <w:ind w:left="0" w:right="0" w:firstLine="480"/>
              <w:rPr>
                <w:rFonts w:hint="eastAsia"/>
                <w:highlight w:val="none"/>
              </w:rPr>
            </w:pPr>
            <w:r>
              <w:rPr>
                <w:rFonts w:hint="eastAsia"/>
                <w:highlight w:val="none"/>
              </w:rPr>
              <w:t>（一）人员要求：</w:t>
            </w:r>
          </w:p>
          <w:p>
            <w:pPr>
              <w:adjustRightInd w:val="0"/>
              <w:snapToGrid w:val="0"/>
              <w:spacing w:before="0" w:beforeAutospacing="0" w:after="0" w:afterAutospacing="0"/>
              <w:ind w:left="0" w:right="0" w:firstLine="480"/>
              <w:rPr>
                <w:rFonts w:hint="eastAsia"/>
                <w:highlight w:val="none"/>
              </w:rPr>
            </w:pPr>
            <w:r>
              <w:rPr>
                <w:rFonts w:hint="eastAsia"/>
                <w:highlight w:val="none"/>
              </w:rPr>
              <w:t>1、专业人员身体健康，工作认真负责并定期接受培训。</w:t>
            </w:r>
          </w:p>
          <w:p>
            <w:pPr>
              <w:adjustRightInd w:val="0"/>
              <w:snapToGrid w:val="0"/>
              <w:spacing w:before="0" w:beforeAutospacing="0" w:after="0" w:afterAutospacing="0"/>
              <w:ind w:left="0" w:right="0" w:firstLine="480"/>
              <w:rPr>
                <w:rFonts w:hint="eastAsia"/>
                <w:highlight w:val="none"/>
              </w:rPr>
            </w:pPr>
            <w:r>
              <w:rPr>
                <w:rFonts w:hint="eastAsia"/>
                <w:highlight w:val="none"/>
              </w:rPr>
              <w:t>2、上岗时佩戴统一标志，按需求穿戴统一制服，仪容仪表规范整齐。</w:t>
            </w:r>
          </w:p>
          <w:p>
            <w:pPr>
              <w:adjustRightInd w:val="0"/>
              <w:snapToGrid w:val="0"/>
              <w:spacing w:before="0" w:beforeAutospacing="0" w:after="0" w:afterAutospacing="0"/>
              <w:ind w:left="0" w:right="0" w:firstLine="480"/>
              <w:rPr>
                <w:rFonts w:hint="eastAsia"/>
                <w:highlight w:val="none"/>
              </w:rPr>
            </w:pPr>
            <w:r>
              <w:rPr>
                <w:rFonts w:hint="eastAsia"/>
                <w:highlight w:val="none"/>
              </w:rPr>
              <w:t>3、文明工作，训练有素，言语规范，认真负责。</w:t>
            </w:r>
          </w:p>
          <w:p>
            <w:pPr>
              <w:adjustRightInd w:val="0"/>
              <w:snapToGrid w:val="0"/>
              <w:spacing w:before="0" w:beforeAutospacing="0" w:after="0" w:afterAutospacing="0"/>
              <w:ind w:left="0" w:right="0" w:firstLine="480"/>
              <w:rPr>
                <w:rFonts w:hint="eastAsia"/>
                <w:highlight w:val="none"/>
              </w:rPr>
            </w:pPr>
            <w:r>
              <w:rPr>
                <w:rFonts w:hint="eastAsia" w:ascii="仿宋_GB2312" w:hAnsi="仿宋" w:eastAsia="仿宋_GB2312" w:cs="仿宋_GB2312"/>
                <w:sz w:val="24"/>
                <w:szCs w:val="20"/>
                <w:highlight w:val="none"/>
              </w:rPr>
              <w:t>▲</w:t>
            </w:r>
            <w:r>
              <w:rPr>
                <w:rFonts w:hint="eastAsia"/>
                <w:highlight w:val="none"/>
              </w:rPr>
              <w:t>（</w:t>
            </w:r>
            <w:r>
              <w:rPr>
                <w:rFonts w:hint="eastAsia"/>
                <w:highlight w:val="none"/>
                <w:lang w:eastAsia="zh-CN"/>
              </w:rPr>
              <w:t>二</w:t>
            </w:r>
            <w:r>
              <w:rPr>
                <w:rFonts w:hint="eastAsia"/>
                <w:highlight w:val="none"/>
              </w:rPr>
              <w:t>）人员设置需求：</w:t>
            </w:r>
          </w:p>
          <w:p>
            <w:pPr>
              <w:adjustRightInd w:val="0"/>
              <w:snapToGrid w:val="0"/>
              <w:spacing w:before="0" w:beforeAutospacing="0" w:after="0" w:afterAutospacing="0"/>
              <w:ind w:left="0" w:right="0" w:firstLine="480"/>
              <w:rPr>
                <w:rFonts w:hint="eastAsia"/>
                <w:highlight w:val="none"/>
              </w:rPr>
            </w:pPr>
            <w:r>
              <w:rPr>
                <w:rFonts w:hint="eastAsia"/>
                <w:highlight w:val="none"/>
              </w:rPr>
              <w:t>室外绿化不少于1人进行专业养护。</w:t>
            </w:r>
          </w:p>
          <w:p>
            <w:pPr>
              <w:adjustRightInd w:val="0"/>
              <w:snapToGrid w:val="0"/>
              <w:spacing w:before="0" w:beforeAutospacing="0" w:after="0" w:afterAutospacing="0"/>
              <w:ind w:left="0" w:right="0" w:firstLine="480"/>
              <w:rPr>
                <w:rFonts w:hint="eastAsia"/>
                <w:highlight w:val="none"/>
              </w:rPr>
            </w:pPr>
            <w:r>
              <w:rPr>
                <w:rFonts w:hint="eastAsia"/>
                <w:highlight w:val="none"/>
              </w:rPr>
              <w:t>（三）绿化服务内容及要求：</w:t>
            </w:r>
          </w:p>
          <w:p>
            <w:pPr>
              <w:adjustRightInd w:val="0"/>
              <w:snapToGrid w:val="0"/>
              <w:spacing w:before="0" w:beforeAutospacing="0" w:after="0" w:afterAutospacing="0"/>
              <w:ind w:left="0" w:right="0" w:firstLine="480"/>
              <w:rPr>
                <w:rFonts w:hint="eastAsia"/>
                <w:highlight w:val="none"/>
              </w:rPr>
            </w:pPr>
            <w:r>
              <w:rPr>
                <w:rFonts w:hint="eastAsia"/>
                <w:highlight w:val="none"/>
              </w:rPr>
              <w:t>1、服务内容：本物业服务范围内的绿化带的树木、花草、色块、草坪等的日常养护和管理。落实责任人进行养护，实行巡查制度，建档记录。</w:t>
            </w:r>
          </w:p>
          <w:p>
            <w:pPr>
              <w:adjustRightInd w:val="0"/>
              <w:snapToGrid w:val="0"/>
              <w:spacing w:before="0" w:beforeAutospacing="0" w:after="0" w:afterAutospacing="0"/>
              <w:ind w:left="0" w:right="0" w:firstLine="480"/>
              <w:rPr>
                <w:rFonts w:hint="eastAsia"/>
                <w:highlight w:val="none"/>
              </w:rPr>
            </w:pPr>
            <w:r>
              <w:rPr>
                <w:rFonts w:hint="eastAsia"/>
                <w:highlight w:val="none"/>
              </w:rPr>
              <w:t>2、服务质量标准：建立定期除草、修剪制度，确保绿化无杂草、造型规整；及时喷洒农药、浇水施肥，确保绿化养护期内100%存活。具体要求如下：</w:t>
            </w:r>
          </w:p>
          <w:p>
            <w:pPr>
              <w:adjustRightInd w:val="0"/>
              <w:snapToGrid w:val="0"/>
              <w:spacing w:before="0" w:beforeAutospacing="0" w:after="0" w:afterAutospacing="0"/>
              <w:ind w:left="0" w:right="0" w:firstLine="480"/>
              <w:rPr>
                <w:rFonts w:hint="eastAsia"/>
                <w:highlight w:val="none"/>
              </w:rPr>
            </w:pPr>
            <w:r>
              <w:rPr>
                <w:rFonts w:hint="eastAsia"/>
                <w:highlight w:val="none"/>
              </w:rPr>
              <w:t>坛和花景。及时清除枯萎的花蒂、黄叶、杂草、垃圾，做好病虫害防治。花坛和花景做到造型新颖、色彩鲜艳、植物长势好。</w:t>
            </w:r>
          </w:p>
          <w:p>
            <w:pPr>
              <w:adjustRightInd w:val="0"/>
              <w:snapToGrid w:val="0"/>
              <w:spacing w:before="0" w:beforeAutospacing="0" w:after="0" w:afterAutospacing="0"/>
              <w:ind w:left="0" w:right="0" w:firstLine="480"/>
              <w:rPr>
                <w:rFonts w:hint="eastAsia"/>
                <w:highlight w:val="none"/>
              </w:rPr>
            </w:pPr>
            <w:r>
              <w:rPr>
                <w:rFonts w:hint="eastAsia"/>
                <w:highlight w:val="none"/>
              </w:rPr>
              <w:t>3、室内绿化：应选择观赏性强、观赏期长、方便管理的鲜活植物摆放室内。不允许摆放有毒有害植物。植株长势良好，无残枝、无黄叶、无积尘，花朵饱满、无萎蔫，托盘内无积水。</w:t>
            </w:r>
          </w:p>
          <w:p>
            <w:pPr>
              <w:adjustRightInd w:val="0"/>
              <w:snapToGrid w:val="0"/>
              <w:spacing w:before="0" w:beforeAutospacing="0" w:after="0" w:afterAutospacing="0"/>
              <w:ind w:left="0" w:right="0" w:firstLine="480"/>
              <w:rPr>
                <w:rFonts w:hint="eastAsia"/>
                <w:highlight w:val="none"/>
              </w:rPr>
            </w:pPr>
            <w:r>
              <w:rPr>
                <w:rFonts w:hint="eastAsia"/>
                <w:highlight w:val="none"/>
              </w:rPr>
              <w:t>4、室外绿化：室外乔木丰满健壮、生长良好，灌木枝叶紧密圆整，无脱节、无枯枝。草坪生长整齐，清洁美观，修剪高度一致，覆盖率高。花卉色彩鲜艳，摆放造型新颖，无杂草、无枯死。雨、雪、台风等特殊天气前，应派专人巡查，及时加固、支撑、修剪高大乔木，排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电梯、消防设施、空调维护</w:t>
            </w:r>
          </w:p>
        </w:tc>
        <w:tc>
          <w:tcPr>
            <w:tcW w:w="7164" w:type="dxa"/>
            <w:vAlign w:val="center"/>
          </w:tcPr>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电梯升降系统</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服务内容：电梯应由专业资质维保单位至少每15日进行一次清洁、润滑、调整和检查，建立每台电梯的台账档案，日常维护和应急维修应及时记录。每年经有资质的检测机构检验合格，在《安全使用许可证》有效期内安全运行。</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2、服务要求应配置持有特种设备作业人员证的电梯安全管理人员，对电梯保养、运行进行监督管理。</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消防设施设备</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服务内容及要求：消防设施设备应由专业资质维保单位至少每15日进行一次维护保养，建立台账并记录在案。消防重点单位每年应经有资质的检测机构检验合格，并出具《建筑消防设施年度检测报告》。</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空调通风系统</w:t>
            </w:r>
          </w:p>
          <w:p>
            <w:pPr>
              <w:adjustRightInd w:val="0"/>
              <w:snapToGrid w:val="0"/>
              <w:spacing w:before="0" w:beforeAutospacing="0" w:after="0" w:afterAutospacing="0"/>
              <w:ind w:left="0" w:right="0" w:firstLine="480"/>
              <w:rPr>
                <w:rFonts w:hint="eastAsia"/>
                <w:highlight w:val="none"/>
              </w:rPr>
            </w:pPr>
            <w:r>
              <w:rPr>
                <w:rFonts w:hint="eastAsia"/>
                <w:highlight w:val="none"/>
              </w:rPr>
              <w:t>服务内容及要求：定期对空调通风系统进行检查、维护、清洁，测试运行控制和安全控制功能，记录运行参数，分析运行记录，确保空调系统正常运行。每年冬夏两次对空调通风系统进行全面的维护保养。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零星维护</w:t>
            </w:r>
          </w:p>
        </w:tc>
        <w:tc>
          <w:tcPr>
            <w:tcW w:w="7164" w:type="dxa"/>
            <w:vAlign w:val="center"/>
          </w:tcPr>
          <w:p>
            <w:pPr>
              <w:adjustRightInd w:val="0"/>
              <w:snapToGrid w:val="0"/>
              <w:spacing w:before="0" w:beforeAutospacing="0" w:after="0" w:afterAutospacing="0"/>
              <w:ind w:left="0" w:right="0" w:firstLine="480"/>
              <w:rPr>
                <w:rFonts w:hint="eastAsia"/>
                <w:highlight w:val="none"/>
              </w:rPr>
            </w:pPr>
            <w:r>
              <w:rPr>
                <w:rFonts w:hint="eastAsia"/>
                <w:highlight w:val="none"/>
              </w:rPr>
              <w:t>1、服务内容：房屋地面、墙、台面、吊顶、门窗、楼梯、通风道、卫生洁具、大厅玻璃顶、外墙幕墙等无霉变破损。</w:t>
            </w:r>
          </w:p>
          <w:p>
            <w:pPr>
              <w:adjustRightInd w:val="0"/>
              <w:snapToGrid w:val="0"/>
              <w:spacing w:before="0" w:beforeAutospacing="0" w:after="0" w:afterAutospacing="0"/>
              <w:ind w:left="0" w:right="0" w:firstLine="480"/>
              <w:rPr>
                <w:rFonts w:hint="eastAsia"/>
                <w:highlight w:val="none"/>
              </w:rPr>
            </w:pPr>
            <w:r>
              <w:rPr>
                <w:rFonts w:hint="eastAsia"/>
                <w:highlight w:val="none"/>
              </w:rPr>
              <w:t>2、服务要求：确保办公楼（区）零星维修的及时性，一般修理（屋面补漏、修补面层、泛水、屋脊等）在两小时内处理完毕，小修（水、电、暖、气等设备的故障排除及零部件的维修等）在半个工作日内处理完毕，其他大修项目（公用生活设备必须进行更换、对主体结构进行加固等）自受理之日起3个工作日内处理完毕，确保零星维修合格率达到100%。工程维修人员须持有效期内相应证件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其他管理</w:t>
            </w:r>
          </w:p>
        </w:tc>
        <w:tc>
          <w:tcPr>
            <w:tcW w:w="7164" w:type="dxa"/>
            <w:vAlign w:val="center"/>
          </w:tcPr>
          <w:p>
            <w:pPr>
              <w:adjustRightInd w:val="0"/>
              <w:snapToGrid w:val="0"/>
              <w:spacing w:before="0" w:beforeAutospacing="0" w:after="0" w:afterAutospacing="0"/>
              <w:ind w:left="0" w:right="0" w:firstLine="480"/>
              <w:rPr>
                <w:rFonts w:hint="eastAsia"/>
                <w:highlight w:val="none"/>
              </w:rPr>
            </w:pPr>
            <w:r>
              <w:rPr>
                <w:rFonts w:hint="eastAsia"/>
                <w:highlight w:val="none"/>
              </w:rPr>
              <w:t>根据采购单位需要提供综合会议、活动服务等各类活动的劳动服务，制定完备的会务服务工作流程、细则及服务工作计划并严格执行以及配合采购单位完成设施设备运行、一般性综合维修及巡查等相关工作，并做好记录和处理等。</w:t>
            </w:r>
          </w:p>
          <w:p>
            <w:pPr>
              <w:adjustRightInd w:val="0"/>
              <w:snapToGrid w:val="0"/>
              <w:spacing w:before="0" w:beforeAutospacing="0" w:after="0" w:afterAutospacing="0"/>
              <w:ind w:left="0" w:right="0" w:firstLine="480"/>
              <w:rPr>
                <w:rFonts w:hint="eastAsia"/>
                <w:highlight w:val="none"/>
              </w:rPr>
            </w:pPr>
            <w:r>
              <w:rPr>
                <w:rFonts w:hint="eastAsia"/>
                <w:highlight w:val="none"/>
              </w:rPr>
              <w:t>针对突发事件建立应急预案，并定期组织培训、演习，面临突发事件及时采取对应措施并上报。</w:t>
            </w:r>
          </w:p>
          <w:p>
            <w:pPr>
              <w:adjustRightInd w:val="0"/>
              <w:snapToGrid w:val="0"/>
              <w:spacing w:before="0" w:beforeAutospacing="0" w:after="0" w:afterAutospacing="0"/>
              <w:ind w:left="0" w:right="0" w:firstLine="480"/>
              <w:rPr>
                <w:rFonts w:hint="eastAsia"/>
                <w:highlight w:val="none"/>
              </w:rPr>
            </w:pPr>
            <w:r>
              <w:rPr>
                <w:rFonts w:hint="eastAsia"/>
                <w:highlight w:val="none"/>
              </w:rPr>
              <w:t>设施设备按规定进行检查、维修和保养，确保安全。每日进行水电气开关的检查和记录，并签字确认，排除隐患。严禁占用消防通道，发现安全隐患，必须及时上报。定期开展消防安全知识培训，每年至少组织一次演练。</w:t>
            </w:r>
          </w:p>
          <w:p>
            <w:pPr>
              <w:adjustRightInd w:val="0"/>
              <w:snapToGrid w:val="0"/>
              <w:spacing w:before="0" w:beforeAutospacing="0" w:after="0" w:afterAutospacing="0"/>
              <w:ind w:left="0" w:right="0" w:firstLine="480"/>
              <w:rPr>
                <w:rFonts w:hint="eastAsia"/>
                <w:highlight w:val="none"/>
              </w:rPr>
            </w:pPr>
            <w:r>
              <w:rPr>
                <w:rFonts w:hint="eastAsia"/>
                <w:highlight w:val="none"/>
              </w:rPr>
              <w:t>接到会务预定后，根据会议实际需求分配相应会场，并予以反馈。</w:t>
            </w:r>
          </w:p>
          <w:p>
            <w:pPr>
              <w:adjustRightInd w:val="0"/>
              <w:snapToGrid w:val="0"/>
              <w:spacing w:before="0" w:beforeAutospacing="0" w:after="0" w:afterAutospacing="0"/>
              <w:ind w:left="0" w:right="0" w:firstLine="480"/>
              <w:rPr>
                <w:rFonts w:hint="eastAsia"/>
                <w:highlight w:val="none"/>
              </w:rPr>
            </w:pPr>
            <w:r>
              <w:rPr>
                <w:rFonts w:hint="eastAsia"/>
                <w:highlight w:val="none"/>
              </w:rPr>
              <w:t>接到一卡通申请后，根据上传的文件资料予以审核，审核通过予以办理并反馈。</w:t>
            </w:r>
          </w:p>
          <w:p>
            <w:pPr>
              <w:adjustRightInd w:val="0"/>
              <w:snapToGrid w:val="0"/>
              <w:spacing w:before="0" w:beforeAutospacing="0" w:after="0" w:afterAutospacing="0"/>
              <w:ind w:left="0" w:right="0" w:firstLine="480"/>
              <w:rPr>
                <w:rFonts w:hint="eastAsia"/>
                <w:highlight w:val="none"/>
              </w:rPr>
            </w:pPr>
            <w:r>
              <w:rPr>
                <w:rFonts w:hint="eastAsia"/>
                <w:highlight w:val="none"/>
              </w:rPr>
              <w:t>接到停车申请后，根据上传的行驶证、文件（合同、文件、调令）等材料予以审核，审核通过后予以办理并反馈。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adjustRightInd w:val="0"/>
              <w:snapToGrid w:val="0"/>
              <w:spacing w:before="0" w:beforeAutospacing="0" w:after="0" w:afterAutospacing="0"/>
              <w:ind w:left="0" w:right="0"/>
              <w:jc w:val="center"/>
              <w:rPr>
                <w:rFonts w:hint="eastAsia"/>
                <w:highlight w:val="none"/>
              </w:rPr>
            </w:pPr>
            <w:r>
              <w:rPr>
                <w:rFonts w:hint="eastAsia"/>
                <w:highlight w:val="none"/>
              </w:rPr>
              <w:t>管理服务应达到的指标</w:t>
            </w:r>
          </w:p>
        </w:tc>
        <w:tc>
          <w:tcPr>
            <w:tcW w:w="7164" w:type="dxa"/>
            <w:vAlign w:val="center"/>
          </w:tcPr>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1、通过努力达到“三优一保证”（优美环境、优质服务、优化功能、保证安全）；</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2、环境卫生、清洁率达99%；零修、报修及时率100%，返修率小于1%；</w:t>
            </w:r>
          </w:p>
          <w:p>
            <w:pPr>
              <w:adjustRightInd w:val="0"/>
              <w:snapToGrid w:val="0"/>
              <w:spacing w:before="0" w:beforeAutospacing="0" w:after="0" w:afterAutospacing="0"/>
              <w:ind w:left="0" w:right="0" w:firstLine="420" w:firstLineChars="200"/>
              <w:rPr>
                <w:rFonts w:hint="eastAsia"/>
                <w:highlight w:val="none"/>
              </w:rPr>
            </w:pPr>
            <w:r>
              <w:rPr>
                <w:rFonts w:hint="eastAsia"/>
                <w:highlight w:val="none"/>
              </w:rPr>
              <w:t>3、服务有效投诉少于1%，处理率100%；业主满意率95%以上。</w:t>
            </w:r>
          </w:p>
        </w:tc>
      </w:tr>
    </w:tbl>
    <w:p>
      <w:pPr>
        <w:pStyle w:val="3"/>
        <w:numPr>
          <w:numId w:val="0"/>
        </w:numPr>
        <w:rPr>
          <w:rFonts w:hint="eastAsia" w:eastAsia="宋体"/>
          <w:highlight w:val="none"/>
          <w:lang w:eastAsia="zh-CN"/>
        </w:rPr>
      </w:pPr>
    </w:p>
    <w:p>
      <w:pPr>
        <w:shd w:val="clear" w:color="auto" w:fill="FFFFFF"/>
        <w:snapToGrid w:val="0"/>
        <w:rPr>
          <w:rFonts w:cs="宋体"/>
          <w:b/>
          <w:bCs/>
          <w:highlight w:val="none"/>
        </w:rPr>
      </w:pPr>
      <w:r>
        <w:rPr>
          <w:rFonts w:hint="eastAsia" w:cs="宋体"/>
          <w:b/>
          <w:bCs/>
          <w:highlight w:val="none"/>
        </w:rPr>
        <w:t>三、付款结算方式</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lang w:val="en-US" w:eastAsia="zh-CN"/>
        </w:rPr>
      </w:pPr>
      <w:r>
        <w:rPr>
          <w:rFonts w:hint="eastAsia" w:ascii="Times New Roman" w:hAnsi="Times New Roman" w:eastAsia="宋体" w:cs="Times New Roman"/>
          <w:bCs/>
          <w:color w:val="000000"/>
          <w:sz w:val="24"/>
          <w:szCs w:val="24"/>
          <w:highlight w:val="none"/>
        </w:rPr>
        <w:t>1、采购人根据物业服务质量考核结果按季支付物业管理服务费，自合同签订之日起</w:t>
      </w:r>
      <w:r>
        <w:rPr>
          <w:rFonts w:hint="eastAsia" w:ascii="Times New Roman" w:hAnsi="Times New Roman" w:eastAsia="宋体" w:cs="Times New Roman"/>
          <w:bCs/>
          <w:color w:val="000000"/>
          <w:sz w:val="24"/>
          <w:szCs w:val="24"/>
          <w:highlight w:val="none"/>
          <w:lang w:val="en-US" w:eastAsia="zh-CN"/>
        </w:rPr>
        <w:t>7</w:t>
      </w:r>
      <w:r>
        <w:rPr>
          <w:rFonts w:hint="eastAsia" w:ascii="Times New Roman" w:hAnsi="Times New Roman" w:eastAsia="宋体" w:cs="Times New Roman"/>
          <w:bCs/>
          <w:color w:val="000000"/>
          <w:sz w:val="24"/>
          <w:szCs w:val="24"/>
          <w:highlight w:val="none"/>
        </w:rPr>
        <w:t>日内支付年合同价预付款</w:t>
      </w:r>
      <w:r>
        <w:rPr>
          <w:rFonts w:hint="eastAsia" w:ascii="Times New Roman" w:hAnsi="Times New Roman" w:eastAsia="宋体" w:cs="Times New Roman"/>
          <w:bCs/>
          <w:color w:val="000000"/>
          <w:sz w:val="24"/>
          <w:szCs w:val="24"/>
          <w:highlight w:val="none"/>
          <w:lang w:val="en-US" w:eastAsia="zh-CN"/>
        </w:rPr>
        <w:t>2</w:t>
      </w:r>
      <w:r>
        <w:rPr>
          <w:rFonts w:hint="eastAsia" w:ascii="Times New Roman" w:hAnsi="Times New Roman" w:eastAsia="宋体" w:cs="Times New Roman"/>
          <w:bCs/>
          <w:color w:val="000000"/>
          <w:sz w:val="24"/>
          <w:szCs w:val="24"/>
          <w:highlight w:val="none"/>
        </w:rPr>
        <w:t>0%，经采购人考核合格后按季付款，每个季度支付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lang w:val="en-US" w:eastAsia="zh-CN"/>
        </w:rPr>
        <w:t>第一年度结束后7</w:t>
      </w:r>
      <w:r>
        <w:rPr>
          <w:rFonts w:hint="eastAsia" w:ascii="Times New Roman" w:hAnsi="Times New Roman" w:eastAsia="宋体" w:cs="Times New Roman"/>
          <w:bCs/>
          <w:color w:val="000000"/>
          <w:sz w:val="24"/>
          <w:szCs w:val="24"/>
          <w:highlight w:val="none"/>
        </w:rPr>
        <w:t>日内</w:t>
      </w:r>
      <w:r>
        <w:rPr>
          <w:rFonts w:hint="eastAsia" w:ascii="Times New Roman" w:hAnsi="Times New Roman" w:eastAsia="宋体" w:cs="Times New Roman"/>
          <w:bCs/>
          <w:color w:val="000000"/>
          <w:sz w:val="24"/>
          <w:szCs w:val="24"/>
          <w:highlight w:val="none"/>
          <w:lang w:val="en-US" w:eastAsia="zh-CN"/>
        </w:rPr>
        <w:t>支付第二年度年合同价预付款20%，</w:t>
      </w:r>
      <w:r>
        <w:rPr>
          <w:rFonts w:hint="eastAsia" w:ascii="Times New Roman" w:hAnsi="Times New Roman" w:eastAsia="宋体" w:cs="Times New Roman"/>
          <w:bCs/>
          <w:color w:val="000000"/>
          <w:sz w:val="24"/>
          <w:szCs w:val="24"/>
          <w:highlight w:val="none"/>
        </w:rPr>
        <w:t>经采购人考核合格后</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rPr>
        <w:t>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val="en-US" w:eastAsia="zh-CN"/>
        </w:rPr>
        <w:t>。</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2、物业公司因工作失误造成的扣款在季付款的同时相应扣除。</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3、物业管理服务费用以签订的合同价为准。</w:t>
      </w:r>
    </w:p>
    <w:p>
      <w:pPr>
        <w:adjustRightInd w:val="0"/>
        <w:snapToGrid w:val="0"/>
        <w:spacing w:line="400" w:lineRule="atLeast"/>
        <w:ind w:left="0" w:leftChars="0" w:firstLine="420" w:firstLineChars="175"/>
        <w:rPr>
          <w:rFonts w:cs="宋体"/>
          <w:highlight w:val="none"/>
        </w:rPr>
      </w:pPr>
      <w:r>
        <w:rPr>
          <w:rFonts w:hint="eastAsia" w:ascii="Times New Roman" w:hAnsi="Times New Roman" w:eastAsia="宋体" w:cs="Times New Roman"/>
          <w:bCs/>
          <w:color w:val="000000"/>
          <w:sz w:val="24"/>
          <w:szCs w:val="24"/>
          <w:highlight w:val="none"/>
        </w:rPr>
        <w:t>4、采购单位承担相关所需安保用品、物业保洁和维护设备、工具及所有保洁消耗品产生的费用。办公设备由采购单位按需配置在提供的办公区域内，办公用品所需耗材产生的费用在本次报价中，不额外收费。</w:t>
      </w:r>
    </w:p>
    <w:p>
      <w:pPr>
        <w:rPr>
          <w:rFonts w:cs="宋体"/>
          <w:b/>
          <w:bCs/>
          <w:highlight w:val="none"/>
        </w:rPr>
      </w:pPr>
      <w:r>
        <w:rPr>
          <w:rFonts w:hint="eastAsia" w:cs="宋体"/>
          <w:b/>
          <w:bCs/>
          <w:highlight w:val="none"/>
        </w:rPr>
        <w:t>四、履约保证金</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cs="Times New Roman"/>
          <w:bCs/>
          <w:color w:val="000000"/>
          <w:sz w:val="24"/>
          <w:szCs w:val="24"/>
          <w:highlight w:val="none"/>
          <w:lang w:val="en-US" w:eastAsia="zh-CN"/>
        </w:rPr>
        <w:t xml:space="preserve"> </w:t>
      </w:r>
      <w:r>
        <w:rPr>
          <w:rFonts w:hint="eastAsia" w:ascii="Times New Roman" w:hAnsi="Times New Roman" w:eastAsia="宋体" w:cs="Times New Roman"/>
          <w:bCs/>
          <w:color w:val="000000"/>
          <w:sz w:val="24"/>
          <w:szCs w:val="24"/>
          <w:highlight w:val="none"/>
        </w:rPr>
        <w:t>中标单位须向采购人交纳相当于合同价</w:t>
      </w:r>
      <w:r>
        <w:rPr>
          <w:rFonts w:hint="eastAsia" w:ascii="Times New Roman" w:hAnsi="Times New Roman" w:eastAsia="宋体" w:cs="Times New Roman"/>
          <w:bCs/>
          <w:color w:val="000000"/>
          <w:sz w:val="24"/>
          <w:szCs w:val="24"/>
          <w:highlight w:val="none"/>
          <w:lang w:val="en-US" w:eastAsia="zh-CN"/>
        </w:rPr>
        <w:t>1</w:t>
      </w:r>
      <w:r>
        <w:rPr>
          <w:rFonts w:hint="eastAsia" w:ascii="Times New Roman" w:hAnsi="Times New Roman" w:eastAsia="宋体" w:cs="Times New Roman"/>
          <w:bCs/>
          <w:color w:val="000000"/>
          <w:sz w:val="24"/>
          <w:szCs w:val="24"/>
          <w:highlight w:val="none"/>
        </w:rPr>
        <w:t>%的履约保证金。以保证中标单位遵守本合同的一切条款、条件和承诺，该保证金在采购人的规定存续期间不计息。</w:t>
      </w:r>
    </w:p>
    <w:p>
      <w:pPr>
        <w:rPr>
          <w:rFonts w:cs="宋体"/>
          <w:b/>
          <w:bCs/>
          <w:highlight w:val="none"/>
        </w:rPr>
      </w:pPr>
      <w:r>
        <w:rPr>
          <w:rFonts w:hint="eastAsia" w:cs="宋体"/>
          <w:b/>
          <w:bCs/>
          <w:highlight w:val="none"/>
        </w:rPr>
        <w:t>五、服务期限</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cs="Times New Roman"/>
          <w:bCs/>
          <w:color w:val="000000"/>
          <w:sz w:val="24"/>
          <w:szCs w:val="24"/>
          <w:highlight w:val="none"/>
          <w:lang w:val="en-US" w:eastAsia="zh-CN"/>
        </w:rPr>
        <w:t xml:space="preserve"> </w:t>
      </w:r>
      <w:r>
        <w:rPr>
          <w:rFonts w:hint="eastAsia" w:ascii="Times New Roman" w:hAnsi="Times New Roman" w:eastAsia="宋体" w:cs="Times New Roman"/>
          <w:bCs/>
          <w:color w:val="000000"/>
          <w:sz w:val="24"/>
          <w:szCs w:val="24"/>
          <w:highlight w:val="none"/>
        </w:rPr>
        <w:t>服务期限合同签订之日起24个月。若在合同期内中标单位有严重违约行为，采购单位有权提前终止合同，由此造成的一切后果和损失由中标单位承担。</w:t>
      </w:r>
    </w:p>
    <w:p>
      <w:pPr>
        <w:shd w:val="clear" w:color="auto" w:fill="FFFFFF"/>
        <w:snapToGrid w:val="0"/>
        <w:rPr>
          <w:rFonts w:cs="宋体"/>
          <w:b/>
          <w:highlight w:val="none"/>
        </w:rPr>
      </w:pPr>
      <w:r>
        <w:rPr>
          <w:rFonts w:hint="eastAsia" w:cs="宋体"/>
          <w:b/>
          <w:bCs/>
          <w:highlight w:val="none"/>
        </w:rPr>
        <w:t>六、</w:t>
      </w:r>
      <w:r>
        <w:rPr>
          <w:rFonts w:hint="eastAsia" w:cs="宋体"/>
          <w:b/>
          <w:highlight w:val="none"/>
        </w:rPr>
        <w:t>检查与考核</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采购单位定期和不定期地对中标单位管理服务进行检查和抽查，检查记录和整改时限反馈中标单位，并将每季考核结果进行反馈。中标单位达不到采购单位要求及各项服务承诺，采购单位有权要求其整改，直至扣款或终止合同。</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采购人将根据工作需要和招标文件规定，设定物业管理考核要求，具体内容见附件1“物业管理考核评分细则”。</w:t>
      </w:r>
    </w:p>
    <w:p>
      <w:pPr>
        <w:rPr>
          <w:b/>
          <w:bCs/>
          <w:highlight w:val="none"/>
        </w:rPr>
      </w:pPr>
      <w:r>
        <w:rPr>
          <w:rFonts w:hint="eastAsia" w:cs="宋体"/>
          <w:b/>
          <w:bCs/>
          <w:highlight w:val="none"/>
        </w:rPr>
        <w:t>七</w:t>
      </w:r>
      <w:r>
        <w:rPr>
          <w:rFonts w:hint="eastAsia" w:cs="宋体"/>
          <w:b/>
          <w:highlight w:val="none"/>
        </w:rPr>
        <w:t>、</w:t>
      </w:r>
      <w:r>
        <w:rPr>
          <w:rFonts w:hint="eastAsia" w:cs="宋体"/>
          <w:b/>
          <w:bCs/>
          <w:highlight w:val="none"/>
        </w:rPr>
        <w:t>相关场地提供</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1、采购单位提供物业管理的办公场地 （办公室1间），办公用品所需耗材产生的费用在本次报价中，不额外收费。</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2、根据需要在适合的楼层配备洁具堆放间，其它房间（如工程管理需要的应急备件仓库、工程值班室、保洁仓库、员工的更衣室）进场后视情况协调解决。</w:t>
      </w:r>
    </w:p>
    <w:p>
      <w:pPr>
        <w:widowControl/>
        <w:autoSpaceDE w:val="0"/>
        <w:autoSpaceDN w:val="0"/>
        <w:adjustRightInd w:val="0"/>
        <w:rPr>
          <w:b/>
          <w:highlight w:val="none"/>
        </w:rPr>
      </w:pPr>
      <w:r>
        <w:rPr>
          <w:rFonts w:hint="eastAsia"/>
          <w:b/>
          <w:highlight w:val="none"/>
        </w:rPr>
        <w:t>八</w:t>
      </w:r>
      <w:r>
        <w:rPr>
          <w:rFonts w:hint="eastAsia" w:cs="宋体"/>
          <w:b/>
          <w:bCs/>
          <w:highlight w:val="none"/>
        </w:rPr>
        <w:t>、</w:t>
      </w:r>
      <w:r>
        <w:rPr>
          <w:b/>
          <w:highlight w:val="none"/>
        </w:rPr>
        <w:t>其他</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（1）投标人应制订具体的质量保证措施及质量保证及相关服务的承诺。如因服务质量未达到目标，投标人应因此承担责任和经济赔偿。在维保范围项目，投标人无任何理由拒绝保养维修。</w:t>
      </w:r>
    </w:p>
    <w:p>
      <w:pPr>
        <w:adjustRightInd w:val="0"/>
        <w:snapToGrid w:val="0"/>
        <w:spacing w:line="400" w:lineRule="atLeast"/>
        <w:ind w:left="0" w:leftChars="0" w:firstLine="420" w:firstLineChars="175"/>
        <w:rPr>
          <w:rFonts w:hint="eastAsia" w:ascii="Times New Roman" w:hAnsi="Times New Roman" w:eastAsia="宋体" w:cs="Times New Roman"/>
          <w:b/>
          <w:bCs w:val="0"/>
          <w:color w:val="000000"/>
          <w:sz w:val="24"/>
          <w:szCs w:val="24"/>
          <w:highlight w:val="none"/>
        </w:rPr>
      </w:pPr>
      <w:r>
        <w:rPr>
          <w:rFonts w:ascii="仿宋_GB2312" w:hAnsi="仿宋" w:eastAsia="仿宋_GB2312" w:cs="仿宋_GB2312"/>
          <w:sz w:val="24"/>
          <w:szCs w:val="20"/>
          <w:highlight w:val="none"/>
        </w:rPr>
        <w:t>▲</w:t>
      </w:r>
      <w:r>
        <w:rPr>
          <w:rFonts w:hint="eastAsia" w:ascii="Times New Roman" w:hAnsi="Times New Roman" w:eastAsia="宋体" w:cs="Times New Roman"/>
          <w:b/>
          <w:bCs w:val="0"/>
          <w:color w:val="000000"/>
          <w:sz w:val="24"/>
          <w:szCs w:val="24"/>
          <w:highlight w:val="none"/>
        </w:rPr>
        <w:t>（2）按要求和事项发生量及时配备足够和胜任的相关管理和服务人员，并保持人员的稳定。遇调动或辞职时，物业项目负责人需提前20天、保安、保洁、会务需提前7天告知采购单位并得到同意后才能更换，按要求及时补充相应人员，提前做好交接班。对采购单位认为无能力、工作失职或不合适人员，应立即更换。岗位人数不足时，按相应岗位成本扣除服务费。</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（3）按国家和当地政府有关劳动法规、条例，向管理服务人员提供相应工种的劳动工资、加班工资、劳动保护等待遇。</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4）有关服务工种的人员，必须按国家规定具备相关工种的资格证、上岗证和“健康证”条件，要求持证上岗；并按国家有关部门规定定期体检且有年审合格记录。以上人员的工资不得低于杭州市政府公布的最低工资水平，并缴纳相关社会保险，提供福利待遇等方面的证明。</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（5）合同签订后，中标单位进场服务一个月内，须向采购人提供弱电、空调、消防设施、电梯保养等国家规定的相应资质证书或提供有相应资质分包单位的分包协议，否则自动解除合同。</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（6）服务人员上岗时须统一着装，服装样式体现岗位特色和方便不同岗位操作，并经采购人认可。</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（7）为提高物业管理服务水平，所有管理服务人员在服务期间按岗位要求进行定期短期培训。</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（8）中标单位应承诺在合同期内，承包区域内提供物业安保、保洁、会议服务、水电与设备维护及其他相关服务，并承担由此带来的一切风险。</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（9）中标单位所有的工作除应按中标单位的内部流程实施外还应接受采购单位或第三方的检查。中标单位达不到采购单位要求及各项服务承诺，采购单位有权要求其整改，直至扣款或终止合同。</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（10）如今后物业服务范围增加，采购单位将按成交单价根据有关规定另行签订补充协议。</w:t>
      </w:r>
    </w:p>
    <w:p>
      <w:pPr>
        <w:adjustRightInd w:val="0"/>
        <w:snapToGrid w:val="0"/>
        <w:spacing w:line="400" w:lineRule="atLeast"/>
        <w:ind w:left="0" w:leftChars="0" w:firstLine="420" w:firstLineChars="175"/>
        <w:rPr>
          <w:rFonts w:hint="eastAsia" w:ascii="Times New Roman" w:hAnsi="Times New Roman" w:eastAsia="宋体" w:cs="Times New Roman"/>
          <w:bCs/>
          <w:color w:val="000000"/>
          <w:sz w:val="24"/>
          <w:szCs w:val="24"/>
          <w:highlight w:val="none"/>
        </w:rPr>
      </w:pPr>
      <w:r>
        <w:rPr>
          <w:rFonts w:hint="eastAsia" w:ascii="Times New Roman" w:hAnsi="Times New Roman" w:eastAsia="宋体" w:cs="Times New Roman"/>
          <w:bCs/>
          <w:color w:val="000000"/>
          <w:sz w:val="24"/>
          <w:szCs w:val="24"/>
          <w:highlight w:val="none"/>
        </w:rPr>
        <w:t>（11）中标单位须按省、市、临平区相关物业管理条例及其他国家有关标准和规范完成采购文件要求的物业管理工作。</w:t>
      </w:r>
    </w:p>
    <w:p>
      <w:pPr>
        <w:adjustRightInd w:val="0"/>
        <w:snapToGrid w:val="0"/>
        <w:spacing w:line="400" w:lineRule="atLeast"/>
        <w:rPr>
          <w:rFonts w:hint="eastAsia" w:ascii="Times New Roman" w:hAnsi="Times New Roman" w:eastAsia="宋体" w:cs="Times New Roman"/>
          <w:b/>
          <w:bCs w:val="0"/>
          <w:color w:val="000000"/>
          <w:sz w:val="24"/>
          <w:szCs w:val="24"/>
          <w:highlight w:val="none"/>
        </w:rPr>
      </w:pPr>
      <w:r>
        <w:rPr>
          <w:rFonts w:hint="eastAsia" w:ascii="Times New Roman" w:hAnsi="Times New Roman" w:eastAsia="宋体" w:cs="Times New Roman"/>
          <w:b/>
          <w:bCs w:val="0"/>
          <w:color w:val="000000"/>
          <w:sz w:val="24"/>
          <w:szCs w:val="24"/>
          <w:highlight w:val="none"/>
        </w:rPr>
        <w:t>九、采购人认为必须说明的其他内容：</w:t>
      </w:r>
    </w:p>
    <w:p>
      <w:pPr>
        <w:adjustRightInd w:val="0"/>
        <w:snapToGrid w:val="0"/>
        <w:spacing w:line="400" w:lineRule="atLeast"/>
        <w:ind w:left="0" w:leftChars="0" w:firstLine="422" w:firstLineChars="175"/>
        <w:rPr>
          <w:rFonts w:hint="eastAsia" w:ascii="Times New Roman" w:hAnsi="Times New Roman" w:eastAsia="宋体" w:cs="Times New Roman"/>
          <w:bCs/>
          <w:color w:val="000000"/>
          <w:sz w:val="24"/>
          <w:szCs w:val="24"/>
          <w:highlight w:val="none"/>
        </w:rPr>
      </w:pPr>
      <w:r>
        <w:rPr>
          <w:rFonts w:hint="eastAsia" w:cs="Times New Roman"/>
          <w:b/>
          <w:bCs w:val="0"/>
          <w:color w:val="000000"/>
          <w:sz w:val="24"/>
          <w:szCs w:val="24"/>
          <w:highlight w:val="none"/>
          <w:lang w:val="en-US" w:eastAsia="zh-CN"/>
        </w:rPr>
        <w:t xml:space="preserve"> </w:t>
      </w:r>
      <w:r>
        <w:rPr>
          <w:rFonts w:hint="eastAsia" w:ascii="Times New Roman" w:hAnsi="Times New Roman" w:eastAsia="宋体" w:cs="Times New Roman"/>
          <w:b/>
          <w:bCs w:val="0"/>
          <w:color w:val="000000"/>
          <w:sz w:val="24"/>
          <w:szCs w:val="24"/>
          <w:highlight w:val="none"/>
        </w:rPr>
        <w:t>带“</w:t>
      </w:r>
      <w:r>
        <w:rPr>
          <w:rFonts w:ascii="仿宋_GB2312" w:hAnsi="仿宋" w:eastAsia="仿宋_GB2312" w:cs="仿宋_GB2312"/>
          <w:sz w:val="24"/>
          <w:szCs w:val="20"/>
          <w:highlight w:val="none"/>
        </w:rPr>
        <w:t>▲</w:t>
      </w:r>
      <w:r>
        <w:rPr>
          <w:rFonts w:hint="eastAsia" w:ascii="Times New Roman" w:hAnsi="Times New Roman" w:eastAsia="宋体" w:cs="Times New Roman"/>
          <w:b/>
          <w:bCs w:val="0"/>
          <w:color w:val="000000"/>
          <w:sz w:val="24"/>
          <w:szCs w:val="24"/>
          <w:highlight w:val="none"/>
        </w:rPr>
        <w:t>”条款为实质性条款，投标人须提供《采购需求实质性内容响应表》（格式见 第六章 投标文件格式），如有任意一条未响应或不满足，将被视为投标无效</w:t>
      </w:r>
      <w:r>
        <w:rPr>
          <w:rFonts w:hint="eastAsia" w:ascii="Times New Roman" w:hAnsi="Times New Roman" w:eastAsia="宋体" w:cs="Times New Roman"/>
          <w:bCs/>
          <w:color w:val="000000"/>
          <w:sz w:val="24"/>
          <w:szCs w:val="24"/>
          <w:highlight w:val="none"/>
        </w:rPr>
        <w:t>。</w:t>
      </w:r>
    </w:p>
    <w:p>
      <w:pPr>
        <w:adjustRightInd w:val="0"/>
        <w:snapToGrid w:val="0"/>
        <w:spacing w:line="400" w:lineRule="atLeast"/>
        <w:ind w:left="0" w:leftChars="0" w:firstLine="420" w:firstLineChars="175"/>
        <w:rPr>
          <w:rFonts w:ascii="宋体" w:hAnsi="宋体" w:cs="宋体"/>
          <w:highlight w:val="none"/>
        </w:rPr>
      </w:pPr>
      <w:r>
        <w:rPr>
          <w:rFonts w:hint="eastAsia" w:ascii="Times New Roman" w:hAnsi="Times New Roman" w:eastAsia="宋体" w:cs="Times New Roman"/>
          <w:bCs/>
          <w:color w:val="000000"/>
          <w:sz w:val="24"/>
          <w:szCs w:val="24"/>
          <w:highlight w:val="none"/>
        </w:rPr>
        <w:br w:type="page"/>
      </w:r>
      <w:r>
        <w:rPr>
          <w:rFonts w:hint="eastAsia" w:ascii="宋体" w:hAnsi="宋体" w:cs="宋体"/>
          <w:highlight w:val="none"/>
        </w:rPr>
        <w:t>附件1：</w:t>
      </w:r>
    </w:p>
    <w:p>
      <w:pPr>
        <w:spacing w:line="360" w:lineRule="auto"/>
        <w:ind w:firstLine="562" w:firstLineChars="200"/>
        <w:jc w:val="center"/>
        <w:rPr>
          <w:rFonts w:ascii="宋体" w:hAnsi="宋体" w:cs="宋体"/>
          <w:b/>
          <w:sz w:val="28"/>
          <w:szCs w:val="28"/>
          <w:highlight w:val="none"/>
        </w:rPr>
      </w:pPr>
      <w:r>
        <w:rPr>
          <w:rFonts w:hint="eastAsia" w:ascii="宋体" w:hAnsi="宋体" w:cs="宋体"/>
          <w:b/>
          <w:sz w:val="28"/>
          <w:szCs w:val="28"/>
          <w:highlight w:val="none"/>
        </w:rPr>
        <w:t>《物业管理考核评分细则》</w:t>
      </w:r>
    </w:p>
    <w:tbl>
      <w:tblPr>
        <w:tblStyle w:val="73"/>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815"/>
        <w:gridCol w:w="4253"/>
        <w:gridCol w:w="26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项目</w:t>
            </w: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内容</w:t>
            </w:r>
          </w:p>
        </w:tc>
        <w:tc>
          <w:tcPr>
            <w:tcW w:w="425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标准</w:t>
            </w:r>
          </w:p>
        </w:tc>
        <w:tc>
          <w:tcPr>
            <w:tcW w:w="269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扣分标准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安全服务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安保人员基本要求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所有安保人员要求具有保安员上岗证，消控室值班人员必须具有国考证。</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没有证件，发现一次扣2分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所有安保人员要求具有三个月以上保安工作经验并由所在单位提供证明，新进保安人员要求总公司出具一个月以上培训合格证明。</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没有相关证明，发现一次扣1分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所有安保人员要求进行定期培训，并提交培训计划交甲方备案。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没有培训记录，发现一次扣1分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所有安保人员年龄不得大于45周岁。</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超过规定年龄，发现一次扣2分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在岗时按规定着装，不得打瞌睡、睡觉。</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在岗时发现有打瞌睡、睡觉、精神不振的每次发现扣1分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公共秩序维护</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严格出入登记制度，发现问题及时上报处理，杜绝闲杂人员进入办公楼（区）。物品进出实施分类管理，实行物品进出审验制度，杜绝可疑危险品进入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未严格登记，发现一次扣1分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未严格审验，发现一次扣1分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对车辆、非机动车未进行有序管理，发现一次扣1分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消监控室未按要求值班，发现一次扣2分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未及时处理异常情况、防火报警，发现一次扣2分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未做好相关台账记录，发现一次扣1分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明确巡视工作职责，对设备机房等重要区域、部位进行重点巡视并做好相关记录，及时发现和处理各种安全和事故隐患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未按要求巡视，发现一次扣1分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消控安全管理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配备完善的消防设施和器材，定期对消防设施进行巡查，确保运行正常。消防设施的维护管理及消防控制室应符合国标要求。</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应在各楼层明显位置张贴平面疏散示意图、引路标志及控烟标志。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未按要求张贴相关标识，发现一次扣1分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定期开展防火检查，保证疏散通道、安全出口、消防车道通畅</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未按要求开展防火检查，发现一次扣1分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每年至少组织1次消防安全培训及消防演练</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未按要求组织培训、演练，发现一次扣1分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突发事件处理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建立突发时间应急预案体系，包括但不限于电梯困人、紧急会议、火警火灾、突发停电、水管破裂、意外伤害、群体性上访、台风、暴雨及雷电等应急预案。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未按要求建立应急预案，发现一次扣2分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突发事件发生时应立即启动应急预案，迅速展开指挥协调、信息报告、紧急处置、秩序维护、抢险救援、后勤保障等工作，并在第一时间内向有关部门汇报处理结果。</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未启动应急预案，导致未及时处理突发事件，发现一次扣2分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每年至少组织1次突发事件应急演习。</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未按要求组织演练，发现一次扣1分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保洁服务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室内区域清洁</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室内公共区域的地面、墙面、楼梯、扶手、大厅、玻璃、门及门窗框、天花板、栏杆、走廊等整洁干净，无垃圾、无积灰、无污渍、无手印。</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存在垃圾、积尘、污渍、手印等，发现一次扣1分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卫生间、茶水间清洁，无垃圾、无污渍、无积水、无异味、无堆积杂物，洁具、台面、镜面光洁无水迹，电器设施外观清洁，物品摆放有序。室内卫生间符合“美丽厕所”标准，包括标识、手机架、挂钩、绿植等设施。</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未符合“美丽厕所”相关标准，发现一次扣1分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室外区域清洁</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室外广场、道路、停车场（库）、屋面、“门前三包”等公共区域的地面干净，无杂物、无积水、无淤泥、无污垢。</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存在杂物、积水、淤泥、污垢等，发现一次扣1分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外墙应保持清洁，无明显污迹。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存在污迹，发现一次扣1分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定期对喷泉、景观、照明灯设施设备进行清洁，确保表面干净无污渍。</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未定期清洁，存在污渍，发现一次扣1分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垃圾分类</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垃圾、废弃物按分类要求及时收集、日产日清，化粪池及时清掏，垃圾箱（房）外侧表面清洁、内侧无残留物、无异味。</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未按要求及时处理，发现一次扣1分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垃圾应按照可回收物、有害垃圾、易腐垃圾和其他垃圾进行分类，对应垃圾桶颜色分别为蓝色、红色、绿色和灰色。</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未按要求进行垃圾分类，发现一次扣1分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在办公楼电梯口放置垃圾分类“每日一题”，做到每日更新。</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未按要求放置“每日一题”，发现一次扣1分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合理利用垃圾分类曝光台，对错误投放行为每日进行公示。</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未按要求进行公示，发现一次扣1分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实施垃圾分类动态监管，做好“每日一报、每周一报”工作。</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未按要求报送，发现一次扣1分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人员</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在岗时穿戴统一制服，仪容仪表规范整齐。文明工作，训练有素，言语规范，认真负责。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除“四害”</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建立“四害”消杀工作管理制度，根据实际情况定期开展消杀工作，有效控制鼠、蟑、蝇、蚊等害虫孳生，定期对各类病虫害进行预防控制，适时投放消杀药物和设施；“除四害”实施单位须具有杭州市鼠害与卫生虫害防制协会颁发的《杭州市病媒生物消杀专业机构资质证书》，提供的服务不得低于杭州市爱卫会“除四害”相关规定及验收标准，并视特殊情况增加次数，无明显蚊蝇滋生地、鼠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存在明显蚊蝇滋生、鼠迹等，发现一次扣2分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绿化服务</w:t>
            </w: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养护人员基本要求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在岗时佩戴统一标志，穿戴统一制服，仪容仪表规范整齐。文明工作，训练有素，言语规范，认真负责。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未按规定着装，发现一次扣1分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基本要求</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室内外绿化养护期内各类绿植应100%存活。</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未存活，发现一次扣1分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根据季节和气候状况，进行浇灌、施肥、修剪和松土等养护。</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未按要求养护，发现一次扣1分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定期检查病虫害情况，病虫害防治率100%，危害率低于5%。</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存在病虫害情况，发现一次扣1分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室内绿化</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应选择观赏性强、观赏期长、方便管理的鲜活植物摆放室内。不允许摆放有毒有害植物。</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未按要求摆放，发现一次扣1分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植株长势良好，无残枝、无黄叶、无积尘，花朵饱满、无萎蔫，托盘内无积水。</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长势不良，发现一次扣1分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室外绿化</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室外乔木丰满健壮、生长良好，灌木枝叶紧密圆整，无脱节、无枯枝。</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生长不良，发现一次扣1分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草坪生长整齐，清洁美观，修剪高度一致，覆盖率高。</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生长不良，发现一次扣1分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花卉色彩鲜艳，摆放造型新颖，无杂草、无枯死。</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有杂草、枯死，发现一次扣1分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雨、雪、台风等特殊天气前，应派专人巡查，及时加固、支撑、修剪高大乔木，排除安全隐患。</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未按要求巡查、处理，发现一次扣2分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b/>
                <w:bCs/>
                <w:sz w:val="20"/>
                <w:szCs w:val="20"/>
                <w:highlight w:val="none"/>
              </w:rPr>
              <w:t>会务服务</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会前准备</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明确当天会议安排、会议情况和主要事项</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未明确相关事项，发现一次扣1分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服务人员仪表自查，衣着整洁、上岗微笑服务并使用礼貌用语。</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服务人员提前到岗，检查落实服务保障工作。根据会议时间提前1-2小时布置会场，在会前5-10分钟倒好主席台茶水。</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未统一穿戴、着装，发现一次扣1分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未提前做好相关准备工作，发现一次扣1分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会中服务</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根据会议安排，帮助参会人员找到座位。遇到客人，要说：请，称呼要得当。迎客走在前，与客人保持1米距离，做到“三步一回头”，不随意变更站位。将主席台人员或领导领入休息室。</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会议开始后，在会议室门口悬挂“会议中请安静”的警示牌。</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未按要求引导，发现一次扣1分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未按要求悬挂警示牌，发现一次扣1分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参加人员就坐后，应随时观察用水情况，及时续水，一般控制在20分钟左右。</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未按要求续水，发现一次扣1分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随时关注话筒、音响设备、视频播放设备等，发现问题及时采取应急预案，做好应急处理。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未采取应急处理，发现一次扣1分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随时调整会场空调温度，符合节能的前提下以保证舒适度。</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未按要求调整，发现一次扣1分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会后整理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全体服务保障人员要严格遵守保密规定，不得泄露会议内容，不得翻录和私留会议材料。回收会场材料，统一做好保密材料处理。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未做好保密，发现一次扣2分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会议结束时，及时将门打开，热情、礼貌引导参会人员退场。</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未做好引导，发现一次扣1分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开展会场清洁及桌椅复原工作。查看有无客人遗留物品，若发现及时上报，转交并做好记录。</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会后及时收集整理提供的服务用品及设施设备，关闭灯光、空调及电器设备，锁好门窗。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未做好相关工作，发现一次扣1分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restart"/>
            <w:vAlign w:val="center"/>
          </w:tcPr>
          <w:p>
            <w:pPr>
              <w:spacing w:before="0" w:beforeAutospacing="0" w:after="0" w:afterAutospacing="0"/>
              <w:ind w:left="0" w:right="0"/>
              <w:jc w:val="center"/>
              <w:rPr>
                <w:rFonts w:hint="eastAsia" w:ascii="Times New Roman" w:hAnsi="Times New Roman" w:cs="Times New Roman"/>
                <w:b/>
                <w:bCs/>
                <w:sz w:val="20"/>
                <w:szCs w:val="20"/>
                <w:highlight w:val="none"/>
              </w:rPr>
            </w:pPr>
            <w:r>
              <w:rPr>
                <w:rFonts w:hint="eastAsia" w:ascii="Times New Roman" w:hAnsi="Times New Roman" w:cs="Times New Roman"/>
                <w:b/>
                <w:bCs/>
                <w:sz w:val="20"/>
                <w:szCs w:val="20"/>
                <w:highlight w:val="none"/>
              </w:rPr>
              <w:t>设施设备维护</w:t>
            </w: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零星维护</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房屋地面、墙、台面、吊顶、门窗、楼梯、通风道、卫生洁具、大厅玻璃顶、外墙幕墙等完好，无霉变破损。</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存在破损情况，发现一次扣1分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确保办公楼（区）零星维修的及时性，一般修理在两小时内处理完毕，小修在半个工作日内处理完毕，其他大修项目自受理之日起3个工作日内处理完毕，确保零星维修合格率达到100%。工程维修人员必须持有效期内相应证件上岗。</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未在规定时间内处理，发现一次扣1分</w:t>
            </w:r>
          </w:p>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工程人员未持证上岗，发现一次扣1分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供配电系统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至少每2小时巡视一次高配房设备运行情况，如实记录设备运行参数。定期对各类机房设备设施进行检查、维护、清洁，并做好记录。</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确保各类照明灯具、应急照明系统、供用电设备设施（包括配电箱、桥架、井道、开关、插座等）运行正常。</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未正常运行，发现一次扣1分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给排水系统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每日检查污水泵、排水泵、生活水泵、阀门、管道、仪表等，确保给排水系统正常运行，无“跑”、“冒”、“滴”、“漏”现象。</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未按要求检查，发现一次扣1分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定期对水泵、管道进行养护，每年至少两次对水箱进行全面清洗，并提供水质检测报告。</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未定期养护，发现一次扣1分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弱电系统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由专业人员定期对监控系统、门禁系统、多媒体系统、会议系统等智能弱电设备进行巡查，定期清理设备机柜、控制箱、交换机等外表吸附的灰尘和絮状物。</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电梯升降系统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未定期维保，发现一次扣2分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应配置持有特种设备作业人员证的电梯安全管理人员，对电梯保养、运行进行监督管理。</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未持证上岗，发现一次扣2分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消防设施设备</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消防设施设备应由专业资质维保单位至少每15日进行一次维护保养，建立台账并记录在案。消防重点单位每年应经有资质的检测机构检验合格，并出具《建筑消防设施年度检测报告》。</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未定期维保，发现一次扣2分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空调通风系统</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定期对空调通风系统进行检查、维护、清洁，测试运行控制和安全控制功能，记录运行参数，分析运行记录，确保空调系统正常运行。每年冬夏两次对空调通风系统进行全面的维护保养。</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未定期维保，发现一次扣1分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安全管理</w:t>
            </w:r>
          </w:p>
        </w:tc>
        <w:tc>
          <w:tcPr>
            <w:tcW w:w="4253" w:type="dxa"/>
            <w:vAlign w:val="center"/>
          </w:tcPr>
          <w:p>
            <w:pPr>
              <w:widowControl/>
              <w:spacing w:before="0" w:beforeAutospacing="0" w:after="0" w:afterAutospacing="0"/>
              <w:ind w:left="0" w:right="0"/>
              <w:jc w:val="left"/>
              <w:textAlignment w:val="center"/>
              <w:rPr>
                <w:rFonts w:hint="eastAsia" w:ascii="Times New Roman" w:hAnsi="Times New Roman" w:cs="Times New Roman"/>
                <w:sz w:val="20"/>
                <w:szCs w:val="20"/>
                <w:highlight w:val="none"/>
              </w:rPr>
            </w:pPr>
            <w:r>
              <w:rPr>
                <w:rFonts w:hint="eastAsia" w:ascii="Times New Roman" w:hAnsi="Times New Roman" w:cs="Times New Roman"/>
                <w:kern w:val="0"/>
                <w:sz w:val="20"/>
                <w:szCs w:val="20"/>
                <w:highlight w:val="none"/>
              </w:rPr>
              <w:t>针对突发事件建立应急预案，并定期组织培训、演习，面临突发事件及时采取对应措施并上报。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未建立应急预案并演练，发现一次扣1分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widowControl/>
              <w:spacing w:before="0" w:beforeAutospacing="0" w:after="0" w:afterAutospacing="0"/>
              <w:ind w:left="0" w:right="0"/>
              <w:jc w:val="left"/>
              <w:textAlignment w:val="center"/>
              <w:rPr>
                <w:rFonts w:hint="eastAsia" w:ascii="Times New Roman" w:hAnsi="Times New Roman" w:cs="Times New Roman"/>
                <w:sz w:val="20"/>
                <w:szCs w:val="20"/>
                <w:highlight w:val="none"/>
              </w:rPr>
            </w:pPr>
            <w:r>
              <w:rPr>
                <w:rFonts w:hint="eastAsia" w:ascii="Times New Roman" w:hAnsi="Times New Roman" w:cs="Times New Roman"/>
                <w:kern w:val="0"/>
                <w:sz w:val="20"/>
                <w:szCs w:val="20"/>
                <w:highlight w:val="none"/>
              </w:rPr>
              <w:t>设施设备按规定进行检查、维修和保养，确保安全。每日进行水电气开关的检查和记录，并签字确认，排除隐患。严禁占用消防通道，发现安全隐患，必须及时上报。定期开展消防安全知识培训，每年至少组织一次演练。</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未按消防要求管理，发现一次扣1分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restart"/>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设施设备管理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报修服务：接到报修订单，在规定时间内按相应流程处理智慧化报修单。处理完成后予以反馈。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未按要求处理报修单，发现一次扣1分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智慧巡更：定期通过手机扫二维码方式进行日常设施设备巡查及定期维护保养工作。中心巡查人员不定期更换二维码抽查。</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未按要求做好巡查，发现一次扣1分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会务预定</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接到会务预定后，根据会议实际需求分配相应会场，并予以反馈。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未按要求做好预定处理，发现一次扣1分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一卡通办理</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接到一卡通申请后，根据上传的文件资料予以审核，审核通过予以办理并反馈。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未按要求及时处理申请，发现一次扣1分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停车申请</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接到停车申请后，根据上传的行驶证、文件（合同、文件、调令）等材料予以审核，审核通过后予以办理并反馈。</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未按要求及时处理申请，发现一次扣1分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Merge w:val="continue"/>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评价反馈</w:t>
            </w:r>
          </w:p>
        </w:tc>
        <w:tc>
          <w:tcPr>
            <w:tcW w:w="425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根据服务情况，满意度评价最高五星，评价在四星以上为满意。</w:t>
            </w:r>
          </w:p>
        </w:tc>
        <w:tc>
          <w:tcPr>
            <w:tcW w:w="2693" w:type="dxa"/>
            <w:vAlign w:val="center"/>
          </w:tcPr>
          <w:p>
            <w:pPr>
              <w:spacing w:before="0" w:beforeAutospacing="0" w:after="0" w:afterAutospacing="0"/>
              <w:ind w:left="0" w:right="0"/>
              <w:jc w:val="left"/>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评价在三星及以下，扣2分</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815"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425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p>
        </w:tc>
        <w:tc>
          <w:tcPr>
            <w:tcW w:w="2693"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总计</w:t>
            </w:r>
          </w:p>
        </w:tc>
        <w:tc>
          <w:tcPr>
            <w:tcW w:w="709" w:type="dxa"/>
            <w:vAlign w:val="center"/>
          </w:tcPr>
          <w:p>
            <w:pPr>
              <w:spacing w:before="0" w:beforeAutospacing="0" w:after="0" w:afterAutospacing="0"/>
              <w:ind w:left="0" w:right="0"/>
              <w:jc w:val="center"/>
              <w:rPr>
                <w:rFonts w:hint="eastAsia" w:ascii="Times New Roman" w:hAnsi="Times New Roman" w:cs="Times New Roman"/>
                <w:sz w:val="20"/>
                <w:szCs w:val="20"/>
                <w:highlight w:val="none"/>
              </w:rPr>
            </w:pPr>
            <w:r>
              <w:rPr>
                <w:rFonts w:hint="eastAsia" w:ascii="Times New Roman" w:hAnsi="Times New Roman" w:cs="Times New Roman"/>
                <w:sz w:val="20"/>
                <w:szCs w:val="20"/>
                <w:highlight w:val="none"/>
              </w:rPr>
              <w:t>100</w:t>
            </w:r>
          </w:p>
        </w:tc>
      </w:tr>
    </w:tbl>
    <w:p>
      <w:pPr>
        <w:adjustRightInd w:val="0"/>
        <w:snapToGrid w:val="0"/>
        <w:spacing w:line="360" w:lineRule="auto"/>
        <w:jc w:val="center"/>
        <w:rPr>
          <w:rFonts w:hint="eastAsia" w:ascii="宋体" w:hAnsi="宋体" w:eastAsia="宋体" w:cs="宋体"/>
          <w:b/>
          <w:sz w:val="36"/>
          <w:szCs w:val="36"/>
          <w:highlight w:val="none"/>
        </w:rPr>
      </w:pPr>
      <w:r>
        <w:rPr>
          <w:rFonts w:hint="eastAsia" w:ascii="宋体" w:hAnsi="宋体" w:eastAsia="宋体" w:cs="宋体"/>
          <w:b/>
          <w:sz w:val="24"/>
          <w:highlight w:val="none"/>
        </w:rPr>
        <w:br w:type="page"/>
      </w:r>
      <w:r>
        <w:rPr>
          <w:rFonts w:hint="eastAsia" w:ascii="宋体" w:hAnsi="宋体" w:eastAsia="宋体" w:cs="宋体"/>
          <w:b/>
          <w:sz w:val="36"/>
          <w:szCs w:val="36"/>
          <w:highlight w:val="none"/>
        </w:rPr>
        <w:t xml:space="preserve">第四部分   </w:t>
      </w:r>
      <w:bookmarkStart w:id="28" w:name="_Toc184312072"/>
      <w:bookmarkEnd w:id="28"/>
      <w:bookmarkStart w:id="29" w:name="_Toc184310339"/>
      <w:bookmarkEnd w:id="29"/>
      <w:bookmarkStart w:id="30" w:name="_Toc184314411"/>
      <w:bookmarkEnd w:id="30"/>
      <w:bookmarkStart w:id="31" w:name="_Toc184312073"/>
      <w:bookmarkEnd w:id="31"/>
      <w:bookmarkStart w:id="32" w:name="_Toc184313246"/>
      <w:bookmarkEnd w:id="32"/>
      <w:bookmarkStart w:id="33" w:name="_Toc184314418"/>
      <w:bookmarkEnd w:id="33"/>
      <w:bookmarkStart w:id="34" w:name="_Toc184310290"/>
      <w:bookmarkEnd w:id="34"/>
      <w:bookmarkStart w:id="35" w:name="_Toc184314474"/>
      <w:bookmarkEnd w:id="35"/>
      <w:bookmarkStart w:id="36" w:name="_Toc184308038"/>
      <w:bookmarkEnd w:id="36"/>
      <w:bookmarkStart w:id="37" w:name="_Toc184313260"/>
      <w:bookmarkEnd w:id="37"/>
      <w:bookmarkStart w:id="38" w:name="_Toc184308105"/>
      <w:bookmarkEnd w:id="38"/>
      <w:bookmarkStart w:id="39" w:name="_Toc184308043"/>
      <w:bookmarkEnd w:id="39"/>
      <w:bookmarkStart w:id="40" w:name="_Toc184308104"/>
      <w:bookmarkEnd w:id="40"/>
      <w:bookmarkStart w:id="41" w:name="_Toc184310274"/>
      <w:bookmarkEnd w:id="41"/>
      <w:bookmarkStart w:id="42" w:name="_Toc184310335"/>
      <w:bookmarkEnd w:id="42"/>
      <w:bookmarkStart w:id="43" w:name="_Toc184314417"/>
      <w:bookmarkEnd w:id="43"/>
      <w:bookmarkStart w:id="44" w:name="_Toc184310342"/>
      <w:bookmarkEnd w:id="44"/>
      <w:bookmarkStart w:id="45" w:name="_Toc184310279"/>
      <w:bookmarkEnd w:id="45"/>
      <w:bookmarkStart w:id="46" w:name="_Toc184313244"/>
      <w:bookmarkEnd w:id="46"/>
      <w:bookmarkStart w:id="47" w:name="_Toc184314416"/>
      <w:bookmarkEnd w:id="47"/>
      <w:bookmarkStart w:id="48" w:name="_Toc184310312"/>
      <w:bookmarkEnd w:id="48"/>
      <w:bookmarkStart w:id="49" w:name="_Toc184310316"/>
      <w:bookmarkEnd w:id="49"/>
      <w:bookmarkStart w:id="50" w:name="_Toc184308044"/>
      <w:bookmarkEnd w:id="50"/>
      <w:bookmarkStart w:id="51" w:name="_Toc184312076"/>
      <w:bookmarkEnd w:id="51"/>
      <w:bookmarkStart w:id="52" w:name="_Toc184310272"/>
      <w:bookmarkEnd w:id="52"/>
      <w:bookmarkStart w:id="53" w:name="_Toc184314415"/>
      <w:bookmarkEnd w:id="53"/>
      <w:bookmarkStart w:id="54" w:name="_Toc184308041"/>
      <w:bookmarkEnd w:id="54"/>
      <w:bookmarkStart w:id="55" w:name="_Toc184312111"/>
      <w:bookmarkEnd w:id="55"/>
      <w:bookmarkStart w:id="56" w:name="_Toc184314414"/>
      <w:bookmarkEnd w:id="56"/>
      <w:bookmarkStart w:id="57" w:name="_Toc184310280"/>
      <w:bookmarkEnd w:id="57"/>
      <w:bookmarkStart w:id="58" w:name="_Toc184314472"/>
      <w:bookmarkEnd w:id="58"/>
      <w:bookmarkStart w:id="59" w:name="_Toc184312077"/>
      <w:bookmarkEnd w:id="59"/>
      <w:bookmarkStart w:id="60" w:name="_Toc184310318"/>
      <w:bookmarkEnd w:id="60"/>
      <w:bookmarkStart w:id="61" w:name="_Toc184312074"/>
      <w:bookmarkEnd w:id="61"/>
      <w:bookmarkStart w:id="62" w:name="_Toc184312075"/>
      <w:bookmarkEnd w:id="62"/>
      <w:bookmarkStart w:id="63" w:name="_Toc184313245"/>
      <w:bookmarkEnd w:id="63"/>
      <w:bookmarkStart w:id="64" w:name="_Toc184313282"/>
      <w:bookmarkEnd w:id="64"/>
      <w:bookmarkStart w:id="65" w:name="_Toc184310276"/>
      <w:bookmarkEnd w:id="65"/>
      <w:bookmarkStart w:id="66" w:name="_Toc184314448"/>
      <w:bookmarkEnd w:id="66"/>
      <w:bookmarkStart w:id="67" w:name="_Toc184310278"/>
      <w:bookmarkEnd w:id="67"/>
      <w:bookmarkStart w:id="68" w:name="_Toc184310344"/>
      <w:bookmarkEnd w:id="68"/>
      <w:bookmarkStart w:id="69" w:name="_Toc184314433"/>
      <w:bookmarkEnd w:id="69"/>
      <w:bookmarkStart w:id="70" w:name="_Toc184312092"/>
      <w:bookmarkEnd w:id="70"/>
      <w:bookmarkStart w:id="71" w:name="_Toc184308075"/>
      <w:bookmarkEnd w:id="71"/>
      <w:bookmarkStart w:id="72" w:name="_Toc184312082"/>
      <w:bookmarkEnd w:id="72"/>
      <w:bookmarkStart w:id="73" w:name="_Toc184308042"/>
      <w:bookmarkEnd w:id="73"/>
      <w:bookmarkStart w:id="74" w:name="_Toc184308059"/>
      <w:bookmarkEnd w:id="74"/>
      <w:bookmarkStart w:id="75" w:name="_Toc184314425"/>
      <w:bookmarkEnd w:id="75"/>
      <w:bookmarkStart w:id="76" w:name="_Toc184313261"/>
      <w:bookmarkEnd w:id="76"/>
      <w:bookmarkStart w:id="77" w:name="_Toc184308106"/>
      <w:bookmarkEnd w:id="77"/>
      <w:bookmarkStart w:id="78" w:name="_Toc184310277"/>
      <w:bookmarkEnd w:id="78"/>
      <w:bookmarkStart w:id="79" w:name="_Toc184308060"/>
      <w:bookmarkEnd w:id="79"/>
      <w:bookmarkStart w:id="80" w:name="_Toc184308062"/>
      <w:bookmarkEnd w:id="80"/>
      <w:bookmarkStart w:id="81" w:name="_Toc184313276"/>
      <w:bookmarkEnd w:id="81"/>
      <w:bookmarkStart w:id="82" w:name="_Toc184314477"/>
      <w:bookmarkEnd w:id="82"/>
      <w:bookmarkStart w:id="83" w:name="_Toc184310332"/>
      <w:bookmarkEnd w:id="83"/>
      <w:bookmarkStart w:id="84" w:name="_Toc184310287"/>
      <w:bookmarkEnd w:id="84"/>
      <w:bookmarkStart w:id="85" w:name="_Toc184310295"/>
      <w:bookmarkEnd w:id="85"/>
      <w:bookmarkStart w:id="86" w:name="_Toc184314471"/>
      <w:bookmarkEnd w:id="86"/>
      <w:bookmarkStart w:id="87" w:name="_Toc184308080"/>
      <w:bookmarkEnd w:id="87"/>
      <w:bookmarkStart w:id="88" w:name="_Toc184308096"/>
      <w:bookmarkEnd w:id="88"/>
      <w:bookmarkStart w:id="89" w:name="_Toc184308050"/>
      <w:bookmarkEnd w:id="89"/>
      <w:bookmarkStart w:id="90" w:name="_Toc184313309"/>
      <w:bookmarkEnd w:id="90"/>
      <w:bookmarkStart w:id="91" w:name="_Toc184308045"/>
      <w:bookmarkEnd w:id="91"/>
      <w:bookmarkStart w:id="92" w:name="_Toc184313284"/>
      <w:bookmarkEnd w:id="92"/>
      <w:bookmarkStart w:id="93" w:name="_Toc184312110"/>
      <w:bookmarkEnd w:id="93"/>
      <w:bookmarkStart w:id="94" w:name="_Toc184312089"/>
      <w:bookmarkEnd w:id="94"/>
      <w:bookmarkStart w:id="95" w:name="_Toc184313265"/>
      <w:bookmarkEnd w:id="95"/>
      <w:bookmarkStart w:id="96" w:name="_Toc184312125"/>
      <w:bookmarkEnd w:id="96"/>
      <w:bookmarkStart w:id="97" w:name="_Toc184310320"/>
      <w:bookmarkEnd w:id="97"/>
      <w:bookmarkStart w:id="98" w:name="_Toc184313243"/>
      <w:bookmarkEnd w:id="98"/>
      <w:bookmarkStart w:id="99" w:name="_Toc184313278"/>
      <w:bookmarkEnd w:id="99"/>
      <w:bookmarkStart w:id="100" w:name="_Toc184314435"/>
      <w:bookmarkEnd w:id="100"/>
      <w:bookmarkStart w:id="101" w:name="_Toc184310294"/>
      <w:bookmarkEnd w:id="101"/>
      <w:bookmarkStart w:id="102" w:name="_Toc184314437"/>
      <w:bookmarkEnd w:id="102"/>
      <w:bookmarkStart w:id="103" w:name="_Toc184308073"/>
      <w:bookmarkEnd w:id="103"/>
      <w:bookmarkStart w:id="104" w:name="_Toc184314424"/>
      <w:bookmarkEnd w:id="104"/>
      <w:bookmarkStart w:id="105" w:name="_Toc184310304"/>
      <w:bookmarkEnd w:id="105"/>
      <w:bookmarkStart w:id="106" w:name="_Toc184310321"/>
      <w:bookmarkEnd w:id="106"/>
      <w:bookmarkStart w:id="107" w:name="_Toc184314427"/>
      <w:bookmarkEnd w:id="107"/>
      <w:bookmarkStart w:id="108" w:name="_Toc184313290"/>
      <w:bookmarkEnd w:id="108"/>
      <w:bookmarkStart w:id="109" w:name="_Toc184312090"/>
      <w:bookmarkEnd w:id="109"/>
      <w:bookmarkStart w:id="110" w:name="_Toc184313296"/>
      <w:bookmarkEnd w:id="110"/>
      <w:bookmarkStart w:id="111" w:name="_Toc184313300"/>
      <w:bookmarkEnd w:id="111"/>
      <w:bookmarkStart w:id="112" w:name="_Toc184308036"/>
      <w:bookmarkEnd w:id="112"/>
      <w:bookmarkStart w:id="113" w:name="_Toc184314412"/>
      <w:bookmarkEnd w:id="113"/>
      <w:bookmarkStart w:id="114" w:name="_Toc184308098"/>
      <w:bookmarkEnd w:id="114"/>
      <w:bookmarkStart w:id="115" w:name="_Toc184313305"/>
      <w:bookmarkEnd w:id="115"/>
      <w:bookmarkStart w:id="116" w:name="_Toc184312129"/>
      <w:bookmarkEnd w:id="116"/>
      <w:bookmarkStart w:id="117" w:name="_Toc184308097"/>
      <w:bookmarkEnd w:id="117"/>
      <w:bookmarkStart w:id="118" w:name="_Toc184312134"/>
      <w:bookmarkEnd w:id="118"/>
      <w:bookmarkStart w:id="119" w:name="_Toc184308103"/>
      <w:bookmarkEnd w:id="119"/>
      <w:bookmarkStart w:id="120" w:name="_Toc184313304"/>
      <w:bookmarkEnd w:id="120"/>
      <w:bookmarkStart w:id="121" w:name="_Toc184314468"/>
      <w:bookmarkEnd w:id="121"/>
      <w:bookmarkStart w:id="122" w:name="_Toc184314469"/>
      <w:bookmarkEnd w:id="122"/>
      <w:bookmarkStart w:id="123" w:name="_Toc184308068"/>
      <w:bookmarkEnd w:id="123"/>
      <w:bookmarkStart w:id="124" w:name="_Toc184312091"/>
      <w:bookmarkEnd w:id="124"/>
      <w:bookmarkStart w:id="125" w:name="_Toc184308046"/>
      <w:bookmarkEnd w:id="125"/>
      <w:bookmarkStart w:id="126" w:name="_Toc184312130"/>
      <w:bookmarkEnd w:id="126"/>
      <w:bookmarkStart w:id="127" w:name="_Toc184312132"/>
      <w:bookmarkEnd w:id="127"/>
      <w:bookmarkStart w:id="128" w:name="_Toc184313299"/>
      <w:bookmarkEnd w:id="128"/>
      <w:bookmarkStart w:id="129" w:name="_Toc184314470"/>
      <w:bookmarkEnd w:id="129"/>
      <w:bookmarkStart w:id="130" w:name="_Toc184313285"/>
      <w:bookmarkEnd w:id="130"/>
      <w:bookmarkStart w:id="131" w:name="_Toc184310340"/>
      <w:bookmarkEnd w:id="131"/>
      <w:bookmarkStart w:id="132" w:name="_Toc184308076"/>
      <w:bookmarkEnd w:id="132"/>
      <w:bookmarkStart w:id="133" w:name="_Toc184312109"/>
      <w:bookmarkEnd w:id="133"/>
      <w:bookmarkStart w:id="134" w:name="_Toc184310330"/>
      <w:bookmarkEnd w:id="134"/>
      <w:bookmarkStart w:id="135" w:name="_Toc184314481"/>
      <w:bookmarkEnd w:id="135"/>
      <w:bookmarkStart w:id="136" w:name="_Toc184312128"/>
      <w:bookmarkEnd w:id="136"/>
      <w:bookmarkStart w:id="137" w:name="_Toc184312122"/>
      <w:bookmarkEnd w:id="137"/>
      <w:bookmarkStart w:id="138" w:name="_Toc184310329"/>
      <w:bookmarkEnd w:id="138"/>
      <w:bookmarkStart w:id="139" w:name="_Toc184308037"/>
      <w:bookmarkEnd w:id="139"/>
      <w:bookmarkStart w:id="140" w:name="_Toc184310334"/>
      <w:bookmarkEnd w:id="140"/>
      <w:bookmarkStart w:id="141" w:name="_Toc184314452"/>
      <w:bookmarkEnd w:id="141"/>
      <w:bookmarkStart w:id="142" w:name="_Toc184308092"/>
      <w:bookmarkEnd w:id="142"/>
      <w:bookmarkStart w:id="143" w:name="_Toc184308099"/>
      <w:bookmarkEnd w:id="143"/>
      <w:bookmarkStart w:id="144" w:name="_Toc184313297"/>
      <w:bookmarkEnd w:id="144"/>
      <w:bookmarkStart w:id="145" w:name="_Toc184313286"/>
      <w:bookmarkEnd w:id="145"/>
      <w:bookmarkStart w:id="146" w:name="_Toc184310338"/>
      <w:bookmarkEnd w:id="146"/>
      <w:bookmarkStart w:id="147" w:name="_Toc184312133"/>
      <w:bookmarkEnd w:id="147"/>
      <w:bookmarkStart w:id="148" w:name="_Toc184308095"/>
      <w:bookmarkEnd w:id="148"/>
      <w:bookmarkStart w:id="149" w:name="_Toc184308089"/>
      <w:bookmarkEnd w:id="149"/>
      <w:bookmarkStart w:id="150" w:name="_Toc184313288"/>
      <w:bookmarkEnd w:id="150"/>
      <w:bookmarkStart w:id="151" w:name="_Toc184308090"/>
      <w:bookmarkEnd w:id="151"/>
      <w:bookmarkStart w:id="152" w:name="_Toc184312120"/>
      <w:bookmarkEnd w:id="152"/>
      <w:bookmarkStart w:id="153" w:name="_Toc184310326"/>
      <w:bookmarkEnd w:id="153"/>
      <w:bookmarkStart w:id="154" w:name="_Toc184313294"/>
      <w:bookmarkEnd w:id="154"/>
      <w:bookmarkStart w:id="155" w:name="_Toc184314457"/>
      <w:bookmarkEnd w:id="155"/>
      <w:bookmarkStart w:id="156" w:name="_Toc184310331"/>
      <w:bookmarkEnd w:id="156"/>
      <w:bookmarkStart w:id="157" w:name="_Toc184308091"/>
      <w:bookmarkEnd w:id="157"/>
      <w:bookmarkStart w:id="158" w:name="_Toc184314463"/>
      <w:bookmarkEnd w:id="158"/>
      <w:bookmarkStart w:id="159" w:name="_Toc184308094"/>
      <w:bookmarkEnd w:id="159"/>
      <w:bookmarkStart w:id="160" w:name="_Toc184312127"/>
      <w:bookmarkEnd w:id="160"/>
      <w:bookmarkStart w:id="161" w:name="_Toc184310333"/>
      <w:bookmarkEnd w:id="161"/>
      <w:bookmarkStart w:id="162" w:name="_Toc184314467"/>
      <w:bookmarkEnd w:id="162"/>
      <w:bookmarkStart w:id="163" w:name="_Toc184312121"/>
      <w:bookmarkEnd w:id="163"/>
      <w:bookmarkStart w:id="164" w:name="_Toc184312107"/>
      <w:bookmarkEnd w:id="164"/>
      <w:bookmarkStart w:id="165" w:name="_Toc184312123"/>
      <w:bookmarkEnd w:id="165"/>
      <w:bookmarkStart w:id="166" w:name="_Toc184314466"/>
      <w:bookmarkEnd w:id="166"/>
      <w:bookmarkStart w:id="167" w:name="_Toc184314476"/>
      <w:bookmarkEnd w:id="167"/>
      <w:bookmarkStart w:id="168" w:name="_Toc184313298"/>
      <w:bookmarkEnd w:id="168"/>
      <w:bookmarkStart w:id="169" w:name="_Toc184308088"/>
      <w:bookmarkEnd w:id="169"/>
      <w:bookmarkStart w:id="170" w:name="_Toc184310325"/>
      <w:bookmarkEnd w:id="170"/>
      <w:bookmarkStart w:id="171" w:name="_Toc184312114"/>
      <w:bookmarkEnd w:id="171"/>
      <w:bookmarkStart w:id="172" w:name="_Toc184313248"/>
      <w:bookmarkEnd w:id="172"/>
      <w:bookmarkStart w:id="173" w:name="_Toc184312137"/>
      <w:bookmarkEnd w:id="173"/>
      <w:bookmarkStart w:id="174" w:name="_Toc184313241"/>
      <w:bookmarkEnd w:id="174"/>
      <w:bookmarkStart w:id="175" w:name="_Toc184308085"/>
      <w:bookmarkEnd w:id="175"/>
      <w:bookmarkStart w:id="176" w:name="_Toc184308093"/>
      <w:bookmarkEnd w:id="176"/>
      <w:bookmarkStart w:id="177" w:name="_Toc184308087"/>
      <w:bookmarkEnd w:id="177"/>
      <w:bookmarkStart w:id="178" w:name="_Toc184313250"/>
      <w:bookmarkEnd w:id="178"/>
      <w:bookmarkStart w:id="179" w:name="_Toc184308077"/>
      <w:bookmarkEnd w:id="179"/>
      <w:bookmarkStart w:id="180" w:name="_Toc184312105"/>
      <w:bookmarkEnd w:id="180"/>
      <w:bookmarkStart w:id="181" w:name="_Toc184314422"/>
      <w:bookmarkEnd w:id="181"/>
      <w:bookmarkStart w:id="182" w:name="_Toc184310313"/>
      <w:bookmarkEnd w:id="182"/>
      <w:bookmarkStart w:id="183" w:name="_Toc184314464"/>
      <w:bookmarkEnd w:id="183"/>
      <w:bookmarkStart w:id="184" w:name="_Toc184310327"/>
      <w:bookmarkEnd w:id="184"/>
      <w:bookmarkStart w:id="185" w:name="_Toc184314423"/>
      <w:bookmarkEnd w:id="185"/>
      <w:bookmarkStart w:id="186" w:name="_Toc184314480"/>
      <w:bookmarkEnd w:id="186"/>
      <w:bookmarkStart w:id="187" w:name="_Toc184314461"/>
      <w:bookmarkEnd w:id="187"/>
      <w:bookmarkStart w:id="188" w:name="_Toc184314479"/>
      <w:bookmarkEnd w:id="188"/>
      <w:bookmarkStart w:id="189" w:name="_Toc184313301"/>
      <w:bookmarkEnd w:id="189"/>
      <w:bookmarkStart w:id="190" w:name="_Toc184312093"/>
      <w:bookmarkEnd w:id="190"/>
      <w:bookmarkStart w:id="191" w:name="_Toc184314462"/>
      <w:bookmarkEnd w:id="191"/>
      <w:bookmarkStart w:id="192" w:name="_Toc184308063"/>
      <w:bookmarkEnd w:id="192"/>
      <w:bookmarkStart w:id="193" w:name="_Toc184312071"/>
      <w:bookmarkEnd w:id="193"/>
      <w:bookmarkStart w:id="194" w:name="_Toc184314451"/>
      <w:bookmarkEnd w:id="194"/>
      <w:bookmarkStart w:id="195" w:name="_Toc184310286"/>
      <w:bookmarkEnd w:id="195"/>
      <w:bookmarkStart w:id="196" w:name="_Toc184313252"/>
      <w:bookmarkEnd w:id="196"/>
      <w:bookmarkStart w:id="197" w:name="_Toc184310324"/>
      <w:bookmarkEnd w:id="197"/>
      <w:bookmarkStart w:id="198" w:name="_Toc184312080"/>
      <w:bookmarkEnd w:id="198"/>
      <w:bookmarkStart w:id="199" w:name="_Toc184314465"/>
      <w:bookmarkEnd w:id="199"/>
      <w:bookmarkStart w:id="200" w:name="_Toc184313242"/>
      <w:bookmarkEnd w:id="200"/>
      <w:bookmarkStart w:id="201" w:name="_Toc184312108"/>
      <w:bookmarkEnd w:id="201"/>
      <w:bookmarkStart w:id="202" w:name="_Toc184312119"/>
      <w:bookmarkEnd w:id="202"/>
      <w:bookmarkStart w:id="203" w:name="_Toc184313302"/>
      <w:bookmarkEnd w:id="203"/>
      <w:bookmarkStart w:id="204" w:name="_Toc184308102"/>
      <w:bookmarkEnd w:id="204"/>
      <w:bookmarkStart w:id="205" w:name="_Toc184313289"/>
      <w:bookmarkEnd w:id="205"/>
      <w:bookmarkStart w:id="206" w:name="_Toc184312124"/>
      <w:bookmarkEnd w:id="206"/>
      <w:bookmarkStart w:id="207" w:name="_Toc184312118"/>
      <w:bookmarkEnd w:id="207"/>
      <w:bookmarkStart w:id="208" w:name="_Toc184312113"/>
      <w:bookmarkEnd w:id="208"/>
      <w:bookmarkStart w:id="209" w:name="_Toc184314456"/>
      <w:bookmarkEnd w:id="209"/>
      <w:bookmarkStart w:id="210" w:name="_Toc184314419"/>
      <w:bookmarkEnd w:id="210"/>
      <w:bookmarkStart w:id="211" w:name="_Toc184312136"/>
      <w:bookmarkEnd w:id="211"/>
      <w:bookmarkStart w:id="212" w:name="_Toc184314436"/>
      <w:bookmarkEnd w:id="212"/>
      <w:bookmarkStart w:id="213" w:name="_Toc184308072"/>
      <w:bookmarkEnd w:id="213"/>
      <w:bookmarkStart w:id="214" w:name="_Toc184310309"/>
      <w:bookmarkEnd w:id="214"/>
      <w:bookmarkStart w:id="215" w:name="_Toc184312126"/>
      <w:bookmarkEnd w:id="215"/>
      <w:bookmarkStart w:id="216" w:name="_Toc184313293"/>
      <w:bookmarkEnd w:id="216"/>
      <w:bookmarkStart w:id="217" w:name="_Toc184308051"/>
      <w:bookmarkEnd w:id="217"/>
      <w:bookmarkStart w:id="218" w:name="_Toc184308107"/>
      <w:bookmarkEnd w:id="218"/>
      <w:bookmarkStart w:id="219" w:name="_Toc184310307"/>
      <w:bookmarkEnd w:id="219"/>
      <w:bookmarkStart w:id="220" w:name="_Toc184313310"/>
      <w:bookmarkEnd w:id="220"/>
      <w:bookmarkStart w:id="221" w:name="_Toc184314421"/>
      <w:bookmarkEnd w:id="221"/>
      <w:bookmarkStart w:id="222" w:name="_Toc184312138"/>
      <w:bookmarkEnd w:id="222"/>
      <w:bookmarkStart w:id="223" w:name="_Toc184314460"/>
      <w:bookmarkEnd w:id="223"/>
      <w:bookmarkStart w:id="224" w:name="_Toc184310319"/>
      <w:bookmarkEnd w:id="224"/>
      <w:bookmarkStart w:id="225" w:name="_Toc184313274"/>
      <w:bookmarkEnd w:id="225"/>
      <w:bookmarkStart w:id="226" w:name="_Toc184310328"/>
      <w:bookmarkEnd w:id="226"/>
      <w:bookmarkStart w:id="227" w:name="_Toc184310323"/>
      <w:bookmarkEnd w:id="227"/>
      <w:bookmarkStart w:id="228" w:name="_Toc184312104"/>
      <w:bookmarkEnd w:id="228"/>
      <w:bookmarkStart w:id="229" w:name="_Toc184308086"/>
      <w:bookmarkEnd w:id="229"/>
      <w:bookmarkStart w:id="230" w:name="_Toc184313295"/>
      <w:bookmarkEnd w:id="230"/>
      <w:bookmarkStart w:id="231" w:name="_Toc184312099"/>
      <w:bookmarkEnd w:id="231"/>
      <w:bookmarkStart w:id="232" w:name="_Toc184314444"/>
      <w:bookmarkEnd w:id="232"/>
      <w:bookmarkStart w:id="233" w:name="_Toc184314482"/>
      <w:bookmarkEnd w:id="233"/>
      <w:bookmarkStart w:id="234" w:name="_Toc184310284"/>
      <w:bookmarkEnd w:id="234"/>
      <w:bookmarkStart w:id="235" w:name="_Toc184308079"/>
      <w:bookmarkEnd w:id="235"/>
      <w:bookmarkStart w:id="236" w:name="_Toc184312079"/>
      <w:bookmarkEnd w:id="236"/>
      <w:bookmarkStart w:id="237" w:name="_Toc184312139"/>
      <w:bookmarkEnd w:id="237"/>
      <w:bookmarkStart w:id="238" w:name="_Toc184308108"/>
      <w:bookmarkEnd w:id="238"/>
      <w:bookmarkStart w:id="239" w:name="_Toc184312096"/>
      <w:bookmarkEnd w:id="239"/>
      <w:bookmarkStart w:id="240" w:name="_Toc184314420"/>
      <w:bookmarkEnd w:id="240"/>
      <w:bookmarkStart w:id="241" w:name="_Toc184308100"/>
      <w:bookmarkEnd w:id="241"/>
      <w:bookmarkStart w:id="242" w:name="_Toc184312102"/>
      <w:bookmarkEnd w:id="242"/>
      <w:bookmarkStart w:id="243" w:name="_Toc184310283"/>
      <w:bookmarkEnd w:id="243"/>
      <w:bookmarkStart w:id="244" w:name="_Toc184313238"/>
      <w:bookmarkEnd w:id="244"/>
      <w:bookmarkStart w:id="245" w:name="_Toc184314445"/>
      <w:bookmarkEnd w:id="245"/>
      <w:bookmarkStart w:id="246" w:name="_Toc184313308"/>
      <w:bookmarkEnd w:id="246"/>
      <w:bookmarkStart w:id="247" w:name="_Toc184310306"/>
      <w:bookmarkEnd w:id="247"/>
      <w:bookmarkStart w:id="248" w:name="_Toc184310337"/>
      <w:bookmarkEnd w:id="248"/>
      <w:bookmarkStart w:id="249" w:name="_Toc184308084"/>
      <w:bookmarkEnd w:id="249"/>
      <w:bookmarkStart w:id="250" w:name="_Toc184313249"/>
      <w:bookmarkEnd w:id="250"/>
      <w:bookmarkStart w:id="251" w:name="_Toc184314442"/>
      <w:bookmarkEnd w:id="251"/>
      <w:bookmarkStart w:id="252" w:name="_Toc184313239"/>
      <w:bookmarkEnd w:id="252"/>
      <w:bookmarkStart w:id="253" w:name="_Toc184313247"/>
      <w:bookmarkEnd w:id="253"/>
      <w:bookmarkStart w:id="254" w:name="_Toc184314441"/>
      <w:bookmarkEnd w:id="254"/>
      <w:bookmarkStart w:id="255" w:name="_Toc184314410"/>
      <w:bookmarkEnd w:id="255"/>
      <w:bookmarkStart w:id="256" w:name="_Toc184313279"/>
      <w:bookmarkEnd w:id="256"/>
      <w:bookmarkStart w:id="257" w:name="_Toc184312131"/>
      <w:bookmarkEnd w:id="257"/>
      <w:bookmarkStart w:id="258" w:name="_Toc184310285"/>
      <w:bookmarkEnd w:id="258"/>
      <w:bookmarkStart w:id="259" w:name="_Toc184314453"/>
      <w:bookmarkEnd w:id="259"/>
      <w:bookmarkStart w:id="260" w:name="_Toc184314440"/>
      <w:bookmarkEnd w:id="260"/>
      <w:bookmarkStart w:id="261" w:name="_Toc184313272"/>
      <w:bookmarkEnd w:id="261"/>
      <w:bookmarkStart w:id="262" w:name="_Toc184310303"/>
      <w:bookmarkEnd w:id="262"/>
      <w:bookmarkStart w:id="263" w:name="_Toc184308048"/>
      <w:bookmarkEnd w:id="263"/>
      <w:bookmarkStart w:id="264" w:name="_Toc184313291"/>
      <w:bookmarkEnd w:id="264"/>
      <w:bookmarkStart w:id="265" w:name="_Toc184308071"/>
      <w:bookmarkEnd w:id="265"/>
      <w:bookmarkStart w:id="266" w:name="_Toc184308070"/>
      <w:bookmarkEnd w:id="266"/>
      <w:bookmarkStart w:id="267" w:name="_Toc184310343"/>
      <w:bookmarkEnd w:id="267"/>
      <w:bookmarkStart w:id="268" w:name="_Toc184310311"/>
      <w:bookmarkEnd w:id="268"/>
      <w:bookmarkStart w:id="269" w:name="_Toc184313264"/>
      <w:bookmarkEnd w:id="269"/>
      <w:bookmarkStart w:id="270" w:name="_Toc184312078"/>
      <w:bookmarkEnd w:id="270"/>
      <w:bookmarkStart w:id="271" w:name="_Toc184308083"/>
      <w:bookmarkEnd w:id="271"/>
      <w:bookmarkStart w:id="272" w:name="_Toc184312081"/>
      <w:bookmarkEnd w:id="272"/>
      <w:bookmarkStart w:id="273" w:name="_Toc184313270"/>
      <w:bookmarkEnd w:id="273"/>
      <w:bookmarkStart w:id="274" w:name="_Toc184312101"/>
      <w:bookmarkEnd w:id="274"/>
      <w:bookmarkStart w:id="275" w:name="_Toc184313258"/>
      <w:bookmarkEnd w:id="275"/>
      <w:bookmarkStart w:id="276" w:name="_Toc184313255"/>
      <w:bookmarkEnd w:id="276"/>
      <w:bookmarkStart w:id="277" w:name="_Toc184313240"/>
      <w:bookmarkEnd w:id="277"/>
      <w:bookmarkStart w:id="278" w:name="_Toc184314439"/>
      <w:bookmarkEnd w:id="278"/>
      <w:bookmarkStart w:id="279" w:name="_Toc184313268"/>
      <w:bookmarkEnd w:id="279"/>
      <w:bookmarkStart w:id="280" w:name="_Toc184310305"/>
      <w:bookmarkEnd w:id="280"/>
      <w:bookmarkStart w:id="281" w:name="_Toc184313283"/>
      <w:bookmarkEnd w:id="281"/>
      <w:bookmarkStart w:id="282" w:name="_Toc184308069"/>
      <w:bookmarkEnd w:id="282"/>
      <w:bookmarkStart w:id="283" w:name="_Toc184310300"/>
      <w:bookmarkEnd w:id="283"/>
      <w:bookmarkStart w:id="284" w:name="_Toc184308082"/>
      <w:bookmarkEnd w:id="284"/>
      <w:bookmarkStart w:id="285" w:name="_Toc184308078"/>
      <w:bookmarkEnd w:id="285"/>
      <w:bookmarkStart w:id="286" w:name="_Toc184313281"/>
      <w:bookmarkEnd w:id="286"/>
      <w:bookmarkStart w:id="287" w:name="_Toc184310308"/>
      <w:bookmarkEnd w:id="287"/>
      <w:bookmarkStart w:id="288" w:name="_Toc184313269"/>
      <w:bookmarkEnd w:id="288"/>
      <w:bookmarkStart w:id="289" w:name="_Toc184313271"/>
      <w:bookmarkEnd w:id="289"/>
      <w:bookmarkStart w:id="290" w:name="_Toc184310310"/>
      <w:bookmarkEnd w:id="290"/>
      <w:bookmarkStart w:id="291" w:name="_Toc184310293"/>
      <w:bookmarkEnd w:id="291"/>
      <w:bookmarkStart w:id="292" w:name="_Toc184314426"/>
      <w:bookmarkEnd w:id="292"/>
      <w:bookmarkStart w:id="293" w:name="_Toc184313257"/>
      <w:bookmarkEnd w:id="293"/>
      <w:bookmarkStart w:id="294" w:name="_Toc184313267"/>
      <w:bookmarkEnd w:id="294"/>
      <w:bookmarkStart w:id="295" w:name="_Toc184308047"/>
      <w:bookmarkEnd w:id="295"/>
      <w:bookmarkStart w:id="296" w:name="_Toc184310302"/>
      <w:bookmarkEnd w:id="296"/>
      <w:bookmarkStart w:id="297" w:name="_Toc184312100"/>
      <w:bookmarkEnd w:id="297"/>
      <w:bookmarkStart w:id="298" w:name="_Toc184308052"/>
      <w:bookmarkEnd w:id="298"/>
      <w:bookmarkStart w:id="299" w:name="_Toc184312103"/>
      <w:bookmarkEnd w:id="299"/>
      <w:bookmarkStart w:id="300" w:name="_Toc184310282"/>
      <w:bookmarkEnd w:id="300"/>
      <w:bookmarkStart w:id="301" w:name="_Toc184310301"/>
      <w:bookmarkEnd w:id="301"/>
      <w:bookmarkStart w:id="302" w:name="_Toc184314443"/>
      <w:bookmarkEnd w:id="302"/>
      <w:bookmarkStart w:id="303" w:name="_Toc184313273"/>
      <w:bookmarkEnd w:id="303"/>
      <w:bookmarkStart w:id="304" w:name="_Toc184314446"/>
      <w:bookmarkEnd w:id="304"/>
      <w:bookmarkStart w:id="305" w:name="_Toc184314475"/>
      <w:bookmarkEnd w:id="305"/>
      <w:bookmarkStart w:id="306" w:name="_Toc184312083"/>
      <w:bookmarkEnd w:id="306"/>
      <w:bookmarkStart w:id="307" w:name="_Toc184308065"/>
      <w:bookmarkEnd w:id="307"/>
      <w:bookmarkStart w:id="308" w:name="_Toc184312088"/>
      <w:bookmarkEnd w:id="308"/>
      <w:bookmarkStart w:id="309" w:name="_Toc184310291"/>
      <w:bookmarkEnd w:id="309"/>
      <w:bookmarkStart w:id="310" w:name="_Toc184314473"/>
      <w:bookmarkEnd w:id="310"/>
      <w:bookmarkStart w:id="311" w:name="_Toc184310341"/>
      <w:bookmarkEnd w:id="311"/>
      <w:bookmarkStart w:id="312" w:name="_Toc184308057"/>
      <w:bookmarkEnd w:id="312"/>
      <w:bookmarkStart w:id="313" w:name="_Toc184312095"/>
      <w:bookmarkEnd w:id="313"/>
      <w:bookmarkStart w:id="314" w:name="_Toc184313259"/>
      <w:bookmarkEnd w:id="314"/>
      <w:bookmarkStart w:id="315" w:name="_Toc184310315"/>
      <w:bookmarkEnd w:id="315"/>
      <w:bookmarkStart w:id="316" w:name="_Toc184313254"/>
      <w:bookmarkEnd w:id="316"/>
      <w:bookmarkStart w:id="317" w:name="_Toc184312084"/>
      <w:bookmarkEnd w:id="317"/>
      <w:bookmarkStart w:id="318" w:name="_Toc184312106"/>
      <w:bookmarkEnd w:id="318"/>
      <w:bookmarkStart w:id="319" w:name="_Toc184314447"/>
      <w:bookmarkEnd w:id="319"/>
      <w:bookmarkStart w:id="320" w:name="_Toc184312098"/>
      <w:bookmarkEnd w:id="320"/>
      <w:bookmarkStart w:id="321" w:name="_Toc184308058"/>
      <w:bookmarkEnd w:id="321"/>
      <w:bookmarkStart w:id="322" w:name="_Toc184308074"/>
      <w:bookmarkEnd w:id="322"/>
      <w:bookmarkStart w:id="323" w:name="_Toc184314432"/>
      <w:bookmarkEnd w:id="323"/>
      <w:bookmarkStart w:id="324" w:name="_Toc184312068"/>
      <w:bookmarkEnd w:id="324"/>
      <w:bookmarkStart w:id="325" w:name="_Toc184308064"/>
      <w:bookmarkEnd w:id="325"/>
      <w:bookmarkStart w:id="326" w:name="_Toc184310273"/>
      <w:bookmarkEnd w:id="326"/>
      <w:bookmarkStart w:id="327" w:name="_Toc184314434"/>
      <w:bookmarkEnd w:id="327"/>
      <w:bookmarkStart w:id="328" w:name="_Toc184308055"/>
      <w:bookmarkEnd w:id="328"/>
      <w:bookmarkStart w:id="329" w:name="_Toc184312097"/>
      <w:bookmarkEnd w:id="329"/>
      <w:bookmarkStart w:id="330" w:name="_Toc184312087"/>
      <w:bookmarkEnd w:id="330"/>
      <w:bookmarkStart w:id="331" w:name="_Toc184313266"/>
      <w:bookmarkEnd w:id="331"/>
      <w:bookmarkStart w:id="332" w:name="_Toc184313256"/>
      <w:bookmarkEnd w:id="332"/>
      <w:bookmarkStart w:id="333" w:name="_Toc184308066"/>
      <w:bookmarkEnd w:id="333"/>
      <w:bookmarkStart w:id="334" w:name="_Toc184310314"/>
      <w:bookmarkEnd w:id="334"/>
      <w:bookmarkStart w:id="335" w:name="_Toc184314431"/>
      <w:bookmarkEnd w:id="335"/>
      <w:bookmarkStart w:id="336" w:name="_Toc184314438"/>
      <w:bookmarkEnd w:id="336"/>
      <w:bookmarkStart w:id="337" w:name="_Toc184308067"/>
      <w:bookmarkEnd w:id="337"/>
      <w:bookmarkStart w:id="338" w:name="_Toc184308061"/>
      <w:bookmarkEnd w:id="338"/>
      <w:bookmarkStart w:id="339" w:name="_Toc184312070"/>
      <w:bookmarkEnd w:id="339"/>
      <w:bookmarkStart w:id="340" w:name="_Toc184312135"/>
      <w:bookmarkEnd w:id="340"/>
      <w:bookmarkStart w:id="341" w:name="_Toc184310292"/>
      <w:bookmarkEnd w:id="341"/>
      <w:bookmarkStart w:id="342" w:name="_Toc184314455"/>
      <w:bookmarkEnd w:id="342"/>
      <w:bookmarkStart w:id="343" w:name="_Toc184313303"/>
      <w:bookmarkEnd w:id="343"/>
      <w:bookmarkStart w:id="344" w:name="_Toc184312117"/>
      <w:bookmarkEnd w:id="344"/>
      <w:bookmarkStart w:id="345" w:name="_Toc184312094"/>
      <w:bookmarkEnd w:id="345"/>
      <w:bookmarkStart w:id="346" w:name="_Toc184312115"/>
      <w:bookmarkEnd w:id="346"/>
      <w:bookmarkStart w:id="347" w:name="_Toc184308053"/>
      <w:bookmarkEnd w:id="347"/>
      <w:bookmarkStart w:id="348" w:name="_Toc184310281"/>
      <w:bookmarkEnd w:id="348"/>
      <w:bookmarkStart w:id="349" w:name="_Toc184314430"/>
      <w:bookmarkEnd w:id="349"/>
      <w:bookmarkStart w:id="350" w:name="_Toc184313251"/>
      <w:bookmarkEnd w:id="350"/>
      <w:bookmarkStart w:id="351" w:name="_Toc184310322"/>
      <w:bookmarkEnd w:id="351"/>
      <w:bookmarkStart w:id="352" w:name="_Toc184314454"/>
      <w:bookmarkEnd w:id="352"/>
      <w:bookmarkStart w:id="353" w:name="_Toc184313307"/>
      <w:bookmarkEnd w:id="353"/>
      <w:bookmarkStart w:id="354" w:name="_Toc184308101"/>
      <w:bookmarkEnd w:id="354"/>
      <w:bookmarkStart w:id="355" w:name="_Toc184310298"/>
      <w:bookmarkEnd w:id="355"/>
      <w:bookmarkStart w:id="356" w:name="_Toc184308081"/>
      <w:bookmarkEnd w:id="356"/>
      <w:bookmarkStart w:id="357" w:name="_Toc184310336"/>
      <w:bookmarkEnd w:id="357"/>
      <w:bookmarkStart w:id="358" w:name="_Toc184312086"/>
      <w:bookmarkEnd w:id="358"/>
      <w:bookmarkStart w:id="359" w:name="_Toc184314459"/>
      <w:bookmarkEnd w:id="359"/>
      <w:bookmarkStart w:id="360" w:name="_Toc184313292"/>
      <w:bookmarkEnd w:id="360"/>
      <w:bookmarkStart w:id="361" w:name="_Toc184313275"/>
      <w:bookmarkEnd w:id="361"/>
      <w:bookmarkStart w:id="362" w:name="_Toc184310275"/>
      <w:bookmarkEnd w:id="362"/>
      <w:bookmarkStart w:id="363" w:name="_Toc184312112"/>
      <w:bookmarkEnd w:id="363"/>
      <w:bookmarkStart w:id="364" w:name="_Toc184314429"/>
      <w:bookmarkEnd w:id="364"/>
      <w:bookmarkStart w:id="365" w:name="_Toc184308040"/>
      <w:bookmarkEnd w:id="365"/>
      <w:bookmarkStart w:id="366" w:name="_Toc184314458"/>
      <w:bookmarkEnd w:id="366"/>
      <w:bookmarkStart w:id="367" w:name="_Toc184308056"/>
      <w:bookmarkEnd w:id="367"/>
      <w:bookmarkStart w:id="368" w:name="_Toc184310317"/>
      <w:bookmarkEnd w:id="368"/>
      <w:bookmarkStart w:id="369" w:name="_Toc184308054"/>
      <w:bookmarkEnd w:id="369"/>
      <w:bookmarkStart w:id="370" w:name="_Toc184313287"/>
      <w:bookmarkEnd w:id="370"/>
      <w:bookmarkStart w:id="371" w:name="_Toc184313263"/>
      <w:bookmarkEnd w:id="371"/>
      <w:bookmarkStart w:id="372" w:name="_Toc184312116"/>
      <w:bookmarkEnd w:id="372"/>
      <w:bookmarkStart w:id="373" w:name="_Toc184314413"/>
      <w:bookmarkEnd w:id="373"/>
      <w:bookmarkStart w:id="374" w:name="_Toc184308049"/>
      <w:bookmarkEnd w:id="374"/>
      <w:bookmarkStart w:id="375" w:name="_Toc184310288"/>
      <w:bookmarkEnd w:id="375"/>
      <w:bookmarkStart w:id="376" w:name="_Toc184312069"/>
      <w:bookmarkEnd w:id="376"/>
      <w:bookmarkStart w:id="377" w:name="_Toc184313280"/>
      <w:bookmarkEnd w:id="377"/>
      <w:bookmarkStart w:id="378" w:name="_Toc184313253"/>
      <w:bookmarkEnd w:id="378"/>
      <w:bookmarkStart w:id="379" w:name="_Toc184313306"/>
      <w:bookmarkEnd w:id="379"/>
      <w:bookmarkStart w:id="380" w:name="_Toc184310296"/>
      <w:bookmarkEnd w:id="380"/>
      <w:bookmarkStart w:id="381" w:name="_Toc184308039"/>
      <w:bookmarkEnd w:id="381"/>
      <w:bookmarkStart w:id="382" w:name="_Toc184310299"/>
      <w:bookmarkEnd w:id="382"/>
      <w:bookmarkStart w:id="383" w:name="_Toc184314450"/>
      <w:bookmarkEnd w:id="383"/>
      <w:bookmarkStart w:id="384" w:name="_Toc184314449"/>
      <w:bookmarkEnd w:id="384"/>
      <w:bookmarkStart w:id="385" w:name="_Toc184312067"/>
      <w:bookmarkEnd w:id="385"/>
      <w:bookmarkStart w:id="386" w:name="_Toc184312085"/>
      <w:bookmarkEnd w:id="386"/>
      <w:bookmarkStart w:id="387" w:name="_Toc184314428"/>
      <w:bookmarkEnd w:id="387"/>
      <w:bookmarkStart w:id="388" w:name="_Toc184313262"/>
      <w:bookmarkEnd w:id="388"/>
      <w:bookmarkStart w:id="389" w:name="_Toc184310289"/>
      <w:bookmarkEnd w:id="389"/>
      <w:bookmarkStart w:id="390" w:name="_Toc184313277"/>
      <w:bookmarkEnd w:id="390"/>
      <w:bookmarkStart w:id="391" w:name="_Toc184310297"/>
      <w:bookmarkEnd w:id="391"/>
      <w:bookmarkStart w:id="392" w:name="_Toc184314478"/>
      <w:bookmarkEnd w:id="392"/>
      <w:r>
        <w:rPr>
          <w:rFonts w:hint="eastAsia" w:ascii="宋体" w:hAnsi="宋体" w:eastAsia="宋体" w:cs="宋体"/>
          <w:b/>
          <w:sz w:val="36"/>
          <w:szCs w:val="36"/>
          <w:highlight w:val="none"/>
        </w:rPr>
        <w:t>评标办法</w:t>
      </w:r>
    </w:p>
    <w:p>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评标办法前附表</w:t>
      </w:r>
    </w:p>
    <w:p>
      <w:pPr>
        <w:adjustRightInd/>
        <w:spacing w:line="440" w:lineRule="exact"/>
        <w:ind w:firstLine="602" w:firstLineChars="25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价格分</w:t>
      </w:r>
      <w:r>
        <w:rPr>
          <w:rFonts w:hint="eastAsia" w:ascii="宋体" w:hAnsi="宋体" w:eastAsia="宋体" w:cs="宋体"/>
          <w:b/>
          <w:bCs/>
          <w:color w:val="000000"/>
          <w:sz w:val="24"/>
          <w:highlight w:val="none"/>
        </w:rPr>
        <w:t>（</w:t>
      </w:r>
      <w:r>
        <w:rPr>
          <w:rFonts w:hint="eastAsia" w:ascii="宋体" w:hAnsi="宋体" w:cs="宋体"/>
          <w:b/>
          <w:bCs/>
          <w:color w:val="000000"/>
          <w:sz w:val="24"/>
          <w:highlight w:val="none"/>
          <w:lang w:val="en-US" w:eastAsia="zh-CN"/>
        </w:rPr>
        <w:t>10</w:t>
      </w:r>
      <w:r>
        <w:rPr>
          <w:rFonts w:hint="eastAsia" w:ascii="宋体" w:hAnsi="宋体" w:eastAsia="宋体" w:cs="宋体"/>
          <w:b/>
          <w:bCs/>
          <w:color w:val="000000"/>
          <w:sz w:val="24"/>
          <w:highlight w:val="none"/>
        </w:rPr>
        <w:t>分）：</w:t>
      </w:r>
    </w:p>
    <w:tbl>
      <w:tblPr>
        <w:tblStyle w:val="73"/>
        <w:tblpPr w:leftFromText="180" w:rightFromText="180" w:vertAnchor="text" w:horzAnchor="margin" w:tblpX="-491" w:tblpY="276"/>
        <w:tblW w:w="8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4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0" w:hRule="atLeast"/>
        </w:trPr>
        <w:tc>
          <w:tcPr>
            <w:tcW w:w="1320" w:type="dxa"/>
            <w:vAlign w:val="center"/>
          </w:tcPr>
          <w:p>
            <w:pPr>
              <w:spacing w:before="0" w:beforeAutospacing="0" w:after="0" w:afterAutospacing="0" w:line="360" w:lineRule="auto"/>
              <w:ind w:left="0" w:right="0" w:firstLine="240" w:firstLineChars="100"/>
              <w:outlineLvl w:val="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价格分</w:t>
            </w:r>
          </w:p>
        </w:tc>
        <w:tc>
          <w:tcPr>
            <w:tcW w:w="6450" w:type="dxa"/>
            <w:vAlign w:val="top"/>
          </w:tcPr>
          <w:p>
            <w:pPr>
              <w:spacing w:before="0" w:beforeAutospacing="0" w:after="0" w:afterAutospacing="0" w:line="360" w:lineRule="auto"/>
              <w:ind w:left="0" w:right="0"/>
              <w:outlineLvl w:val="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有效投标报价的最低价作为评标基准价，其最低报价为满分；按［投标报价得分=（评标基准价/投标报价）*</w:t>
            </w:r>
            <w:r>
              <w:rPr>
                <w:rFonts w:hint="eastAsia" w:ascii="宋体" w:hAnsi="宋体" w:cs="宋体"/>
                <w:color w:val="000000"/>
                <w:sz w:val="24"/>
                <w:szCs w:val="20"/>
                <w:highlight w:val="none"/>
                <w:lang w:val="en-US" w:eastAsia="zh-CN"/>
              </w:rPr>
              <w:t>1</w:t>
            </w:r>
            <w:r>
              <w:rPr>
                <w:rFonts w:hint="eastAsia" w:ascii="宋体" w:hAnsi="宋体" w:eastAsia="宋体" w:cs="宋体"/>
                <w:color w:val="000000"/>
                <w:sz w:val="24"/>
                <w:szCs w:val="20"/>
                <w:highlight w:val="none"/>
              </w:rPr>
              <w:t>0］的计算公式计算。</w:t>
            </w:r>
          </w:p>
          <w:p>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因落实政府采购政策需要进行价格调整的，以调整后的价格计算评标基准价和投标报价。</w:t>
            </w:r>
          </w:p>
        </w:tc>
        <w:tc>
          <w:tcPr>
            <w:tcW w:w="945" w:type="dxa"/>
            <w:vAlign w:val="center"/>
          </w:tcPr>
          <w:p>
            <w:pPr>
              <w:spacing w:before="0" w:beforeAutospacing="0" w:after="0" w:afterAutospacing="0" w:line="360" w:lineRule="auto"/>
              <w:ind w:left="0" w:right="0" w:firstLine="120" w:firstLineChars="50"/>
              <w:outlineLvl w:val="0"/>
              <w:rPr>
                <w:rFonts w:hint="eastAsia" w:ascii="宋体" w:hAnsi="宋体" w:eastAsia="宋体" w:cs="宋体"/>
                <w:color w:val="000000"/>
                <w:sz w:val="24"/>
                <w:szCs w:val="20"/>
                <w:highlight w:val="none"/>
              </w:rPr>
            </w:pPr>
            <w:r>
              <w:rPr>
                <w:rFonts w:hint="eastAsia" w:ascii="宋体" w:hAnsi="宋体" w:cs="宋体"/>
                <w:color w:val="000000"/>
                <w:sz w:val="24"/>
                <w:szCs w:val="20"/>
                <w:highlight w:val="none"/>
                <w:lang w:val="en-US" w:eastAsia="zh-CN"/>
              </w:rPr>
              <w:t>1</w:t>
            </w:r>
            <w:r>
              <w:rPr>
                <w:rFonts w:hint="eastAsia" w:ascii="宋体" w:hAnsi="宋体" w:eastAsia="宋体" w:cs="宋体"/>
                <w:color w:val="000000"/>
                <w:sz w:val="24"/>
                <w:szCs w:val="20"/>
                <w:highlight w:val="none"/>
              </w:rPr>
              <w:t>0分</w:t>
            </w:r>
          </w:p>
        </w:tc>
      </w:tr>
    </w:tbl>
    <w:p>
      <w:pPr>
        <w:rPr>
          <w:rFonts w:hint="eastAsia" w:ascii="宋体" w:hAnsi="宋体" w:eastAsia="宋体" w:cs="宋体"/>
          <w:highlight w:val="none"/>
          <w:lang w:val="en-US"/>
        </w:rPr>
      </w:pPr>
    </w:p>
    <w:p>
      <w:pPr>
        <w:adjustRightInd/>
        <w:spacing w:line="440" w:lineRule="exact"/>
        <w:rPr>
          <w:rFonts w:hint="eastAsia" w:ascii="宋体" w:hAnsi="宋体" w:eastAsia="宋体" w:cs="宋体"/>
          <w:b/>
          <w:bCs/>
          <w:color w:val="000000"/>
          <w:sz w:val="24"/>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422" w:firstLineChars="175"/>
        <w:rPr>
          <w:b/>
          <w:highlight w:val="none"/>
        </w:rPr>
      </w:pPr>
    </w:p>
    <w:p>
      <w:pPr>
        <w:pStyle w:val="86"/>
        <w:spacing w:before="0" w:line="440" w:lineRule="exact"/>
        <w:ind w:left="0" w:leftChars="0" w:firstLine="0" w:firstLineChars="0"/>
        <w:rPr>
          <w:b/>
          <w:highlight w:val="none"/>
        </w:rPr>
      </w:pPr>
      <w:r>
        <w:rPr>
          <w:b/>
          <w:highlight w:val="none"/>
        </w:rPr>
        <w:t>技术分（</w:t>
      </w:r>
      <w:r>
        <w:rPr>
          <w:rFonts w:hint="eastAsia"/>
          <w:b/>
          <w:highlight w:val="none"/>
          <w:lang w:val="en-US" w:eastAsia="zh-CN"/>
        </w:rPr>
        <w:t>75</w:t>
      </w:r>
      <w:r>
        <w:rPr>
          <w:b/>
          <w:highlight w:val="none"/>
        </w:rPr>
        <w:t>分）：</w:t>
      </w:r>
    </w:p>
    <w:tbl>
      <w:tblPr>
        <w:tblStyle w:val="7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37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sz w:val="20"/>
                <w:szCs w:val="20"/>
                <w:highlight w:val="none"/>
              </w:rPr>
            </w:pPr>
            <w:bookmarkStart w:id="393" w:name="scoringRules2"/>
            <w:r>
              <w:rPr>
                <w:rFonts w:hint="eastAsia" w:ascii="宋体" w:hAnsi="宋体" w:eastAsia="宋体" w:cs="宋体"/>
                <w:b/>
                <w:sz w:val="20"/>
                <w:szCs w:val="20"/>
                <w:highlight w:val="none"/>
              </w:rPr>
              <w:t>序号</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评分细则内容</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sz w:val="20"/>
                <w:szCs w:val="20"/>
                <w:highlight w:val="none"/>
              </w:rPr>
            </w:pPr>
            <w:r>
              <w:rPr>
                <w:rFonts w:hint="eastAsia" w:ascii="宋体" w:hAnsi="宋体" w:eastAsia="宋体" w:cs="宋体"/>
                <w:b/>
                <w:sz w:val="20"/>
                <w:szCs w:val="20"/>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根据本项目物业使用特点提出合理的物业管理服务理念，拟提出整体设想及策划:</w:t>
            </w:r>
          </w:p>
          <w:p>
            <w:pPr>
              <w:pStyle w:val="2"/>
              <w:spacing w:before="0" w:beforeAutospacing="0" w:after="0" w:afterAutospacing="0"/>
              <w:ind w:left="0" w:leftChars="0" w:right="0" w:firstLine="0" w:firstLineChars="0"/>
              <w:jc w:val="both"/>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1)物业管理总体设想;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spacing w:before="0" w:beforeAutospacing="0" w:after="0" w:afterAutospacing="0"/>
              <w:ind w:left="0" w:leftChars="0" w:right="0" w:firstLine="0" w:firstLineChars="0"/>
              <w:jc w:val="both"/>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2)管理深度和广度的做法;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spacing w:before="0" w:beforeAutospacing="0" w:after="0" w:afterAutospacing="0"/>
              <w:ind w:left="0" w:leftChars="0" w:right="0" w:firstLine="0" w:firstLineChars="0"/>
              <w:jc w:val="both"/>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3)超前性、创造性、全方位贴心服务的意识;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4)创造优美舒适、安全文明、洁净环境的设想。(0-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管理方式、工作计划和物资装备情况:</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1)管理方式:内部管理架构、激励机制、监督机制、自我约束机制、信息反馈及处理机制等; (0-2分)</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2)工作计划:工作流程、各项管理、服务项目的长远计划和短期安排等; (0-2分)</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3)物资装备:管理服务人员器械、交通工具以及通讯、安全防范装备及办公用品等。(0-2分)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人员的配备、培训、管理:</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1)人员配备:项目负责人简历、各类人员数量、文化素质、专业素质、各岗位人员的配置、拟派的管理人员持证上岗的比例等；(0-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2)人员培训:对各类人员的培训计划、方式、目标及行为规范的培训等;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3)人员的管理:录用与考核、淘汰机制、奖罚、协调关系、服务意识、量化管理及标准运作等。(0-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管理规章制度:</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1)公众制度、企业内部岗位责任制、管理维护运作制度及标准、人员考核制度及标准等，要求符合规范，体现高标准、科学合理、详细完整; (0-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2)档案的建立与管理:维修档案、巡视记录、运行档案、 投诉与回访记录、其他管理服务流动记录及档案。(0-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物业物品要求:详细说明投入的管理设备、工具、药剂的环保性和优越性，提供相关设备、工具、材料的品牌、型号、产地、数量等清单，品种数量配置是否合理；（0-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p>
            <w:pPr>
              <w:pStyle w:val="2"/>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1)对本项目提出的建议具有合理性; (0-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2)针对建议提出的管理方案具有可操作性。(0-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智能化系统的管理、维护:</w:t>
            </w:r>
          </w:p>
          <w:p>
            <w:pPr>
              <w:pStyle w:val="2"/>
              <w:numPr>
                <w:ilvl w:val="0"/>
                <w:numId w:val="3"/>
              </w:numPr>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智能化系统的日常运行方案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p>
          <w:p>
            <w:pPr>
              <w:pStyle w:val="2"/>
              <w:numPr>
                <w:ilvl w:val="0"/>
                <w:numId w:val="3"/>
              </w:numPr>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智能化系统的日常维护方案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0-2分</w:t>
            </w:r>
            <w:r>
              <w:rPr>
                <w:rFonts w:hint="eastAsia" w:ascii="宋体" w:hAnsi="宋体" w:eastAsia="宋体" w:cs="宋体"/>
                <w:color w:val="auto"/>
                <w:sz w:val="24"/>
                <w:szCs w:val="24"/>
                <w:highlight w:val="none"/>
                <w:lang w:eastAsia="zh-CN"/>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0"/>
                <w:szCs w:val="20"/>
                <w:highlight w:val="none"/>
              </w:rPr>
              <w:t>物业管理与服务方案:</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1)公共区城清洁卫生服务:</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②有规范的管理作业质量标准、制订可执行性的内部考核方法；(0-1分)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③有垃圾分类实施方案及考核细则；(0-1分)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2)公共区域秩序维护服务:</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②有规范的管理作业质量标准、制订可执行性的内部考核方法；(0-1分)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3)绿化养护服务管理: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②有规范的管理作业质量标准、作业流程、制订可执行性的内部考核方法; (0-1分)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③农药、化学物等危化品管理处置方案; (0-1 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4)共用部位、共用设施设备日常运行、维护服务:</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①有科学、可执行性的管理目标，制度健全规范; (0-1 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②有规范的管理作业质量标准、制订可执行性内部考核方法:(0-1分)</w:t>
            </w:r>
          </w:p>
          <w:p>
            <w:pPr>
              <w:pStyle w:val="2"/>
              <w:spacing w:before="0" w:beforeAutospacing="0" w:afterAutospacing="0"/>
              <w:ind w:left="0" w:leftChars="0" w:right="0" w:firstLine="0" w:firstLineChars="0"/>
              <w:rPr>
                <w:rFonts w:hint="eastAsia" w:ascii="宋体" w:hAnsi="宋体" w:eastAsia="宋体" w:cs="宋体"/>
                <w:sz w:val="20"/>
                <w:szCs w:val="20"/>
                <w:highlight w:val="none"/>
              </w:rPr>
            </w:pPr>
            <w:r>
              <w:rPr>
                <w:rFonts w:hint="eastAsia" w:ascii="宋体" w:hAnsi="宋体" w:eastAsia="宋体" w:cs="宋体"/>
                <w:color w:val="auto"/>
                <w:sz w:val="24"/>
                <w:szCs w:val="24"/>
                <w:highlight w:val="none"/>
              </w:rPr>
              <w:t>③有供配电、给排水、消防、安防等系统管理方案。(0-1分)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物业突发事件的应急措施:</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1)物业管理区域内安全防范措施、消防、抗台、抗震等紧急预案；(0-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2)物业管理区域内的防盗、防火的安全防范巡查、应急供电系统、给排水设备、空调系统、电气照明装置等设备应急检修措施等；(0-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2"/>
              <w:spacing w:before="0" w:beforeAutospacing="0" w:after="0" w:afterAutospacing="0"/>
              <w:ind w:left="0" w:leftChars="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3)物业管理区域内新冠疫情防控、防范措施。(0-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Style w:val="2"/>
              <w:spacing w:before="0" w:beforeAutospacing="0" w:afterAutospacing="0"/>
              <w:ind w:left="0" w:leftChars="0" w:right="0" w:firstLine="0" w:firstLineChars="0"/>
              <w:rPr>
                <w:rFonts w:hint="eastAsia" w:ascii="宋体" w:hAnsi="宋体" w:eastAsia="宋体" w:cs="宋体"/>
                <w:color w:val="auto"/>
                <w:sz w:val="24"/>
                <w:szCs w:val="24"/>
                <w:highlight w:val="none"/>
                <w:lang w:eastAsia="zh-CN"/>
              </w:rPr>
            </w:pPr>
            <w:r>
              <w:rPr>
                <w:rFonts w:hint="eastAsia" w:ascii="Times New Roman" w:hAnsi="Times New Roman"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具有突发事件应急化解成功经验案例且经媒体报道的</w:t>
            </w:r>
            <w:r>
              <w:rPr>
                <w:rFonts w:hint="eastAsia" w:ascii="宋体" w:hAnsi="宋体" w:eastAsia="宋体" w:cs="宋体"/>
                <w:color w:val="auto"/>
                <w:sz w:val="24"/>
                <w:szCs w:val="24"/>
                <w:highlight w:val="none"/>
              </w:rPr>
              <w:t>（如：灭火、**、极端天气、燃气泄漏、设施设备等应急案例）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每例得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，需提供媒体报道佐证材料。</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项目实施的人员安排情况:</w:t>
            </w:r>
          </w:p>
          <w:p>
            <w:pPr>
              <w:numPr>
                <w:ilvl w:val="0"/>
                <w:numId w:val="4"/>
              </w:num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5"/>
                <w:sz w:val="24"/>
                <w:szCs w:val="24"/>
                <w:highlight w:val="none"/>
              </w:rPr>
              <w:t>拟派本项目的</w:t>
            </w:r>
            <w:r>
              <w:rPr>
                <w:rFonts w:hint="eastAsia" w:ascii="宋体" w:hAnsi="宋体" w:eastAsia="宋体" w:cs="宋体"/>
                <w:b w:val="0"/>
                <w:bCs w:val="0"/>
                <w:color w:val="auto"/>
                <w:sz w:val="24"/>
                <w:szCs w:val="24"/>
                <w:highlight w:val="none"/>
              </w:rPr>
              <w:t>项目物业经理，年龄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周岁以下</w:t>
            </w:r>
            <w:r>
              <w:rPr>
                <w:rFonts w:hint="eastAsia" w:ascii="宋体" w:hAnsi="宋体" w:eastAsia="宋体" w:cs="宋体"/>
                <w:b w:val="0"/>
                <w:bCs w:val="0"/>
                <w:color w:val="auto"/>
                <w:sz w:val="24"/>
                <w:szCs w:val="24"/>
                <w:highlight w:val="none"/>
                <w:lang w:eastAsia="zh-CN"/>
              </w:rPr>
              <w:t>且</w:t>
            </w:r>
            <w:r>
              <w:rPr>
                <w:rFonts w:hint="eastAsia" w:ascii="宋体" w:hAnsi="宋体" w:eastAsia="宋体" w:cs="宋体"/>
                <w:b w:val="0"/>
                <w:bCs w:val="0"/>
                <w:color w:val="auto"/>
                <w:sz w:val="24"/>
                <w:szCs w:val="24"/>
                <w:highlight w:val="none"/>
              </w:rPr>
              <w:t>具有本科及以上学历</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2分，具有</w:t>
            </w:r>
            <w:r>
              <w:rPr>
                <w:rFonts w:hint="eastAsia" w:ascii="宋体" w:hAnsi="宋体" w:eastAsia="宋体" w:cs="宋体"/>
                <w:b w:val="0"/>
                <w:bCs w:val="0"/>
                <w:color w:val="auto"/>
                <w:sz w:val="24"/>
                <w:szCs w:val="24"/>
                <w:highlight w:val="none"/>
              </w:rPr>
              <w:t>全国物</w:t>
            </w:r>
            <w:r>
              <w:rPr>
                <w:rFonts w:hint="eastAsia" w:ascii="宋体" w:hAnsi="宋体" w:eastAsia="宋体" w:cs="宋体"/>
                <w:b w:val="0"/>
                <w:bCs w:val="0"/>
                <w:color w:val="auto"/>
                <w:sz w:val="24"/>
                <w:szCs w:val="24"/>
                <w:highlight w:val="none"/>
                <w:lang w:eastAsia="zh-CN"/>
              </w:rPr>
              <w:t>业</w:t>
            </w:r>
            <w:r>
              <w:rPr>
                <w:rFonts w:hint="eastAsia" w:ascii="宋体" w:hAnsi="宋体" w:eastAsia="宋体" w:cs="宋体"/>
                <w:b w:val="0"/>
                <w:bCs w:val="0"/>
                <w:color w:val="auto"/>
                <w:sz w:val="24"/>
                <w:szCs w:val="24"/>
                <w:highlight w:val="none"/>
                <w:lang w:val="en-US" w:eastAsia="zh-CN"/>
              </w:rPr>
              <w:t>管理企业</w:t>
            </w:r>
            <w:r>
              <w:rPr>
                <w:rFonts w:hint="eastAsia" w:ascii="宋体" w:hAnsi="宋体" w:eastAsia="宋体" w:cs="宋体"/>
                <w:b w:val="0"/>
                <w:bCs w:val="0"/>
                <w:color w:val="auto"/>
                <w:sz w:val="24"/>
                <w:szCs w:val="24"/>
                <w:highlight w:val="none"/>
              </w:rPr>
              <w:t>经理证书</w:t>
            </w:r>
            <w:r>
              <w:rPr>
                <w:rFonts w:hint="eastAsia" w:ascii="宋体" w:hAnsi="宋体" w:eastAsia="宋体" w:cs="宋体"/>
                <w:b w:val="0"/>
                <w:bCs w:val="0"/>
                <w:color w:val="auto"/>
                <w:sz w:val="24"/>
                <w:szCs w:val="24"/>
                <w:highlight w:val="none"/>
                <w:lang w:eastAsia="zh-CN"/>
              </w:rPr>
              <w:t>的再</w:t>
            </w:r>
            <w:r>
              <w:rPr>
                <w:rFonts w:hint="eastAsia" w:ascii="宋体" w:hAnsi="宋体" w:eastAsia="宋体" w:cs="宋体"/>
                <w:b w:val="0"/>
                <w:bCs w:val="0"/>
                <w:color w:val="auto"/>
                <w:sz w:val="24"/>
                <w:szCs w:val="24"/>
                <w:highlight w:val="none"/>
              </w:rPr>
              <w:t>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分(0-4分)。</w:t>
            </w:r>
          </w:p>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pacing w:val="-5"/>
                <w:sz w:val="24"/>
                <w:szCs w:val="24"/>
                <w:highlight w:val="none"/>
              </w:rPr>
              <w:t>拟派本项目的</w:t>
            </w:r>
            <w:r>
              <w:rPr>
                <w:rFonts w:hint="eastAsia" w:ascii="宋体" w:hAnsi="宋体" w:eastAsia="宋体" w:cs="宋体"/>
                <w:b w:val="0"/>
                <w:bCs w:val="0"/>
                <w:color w:val="auto"/>
                <w:sz w:val="24"/>
                <w:szCs w:val="24"/>
                <w:highlight w:val="none"/>
              </w:rPr>
              <w:t>水电维修工年龄</w:t>
            </w:r>
            <w:r>
              <w:rPr>
                <w:rFonts w:hint="eastAsia" w:ascii="宋体" w:hAnsi="宋体" w:eastAsia="宋体" w:cs="宋体"/>
                <w:b w:val="0"/>
                <w:bCs w:val="0"/>
                <w:color w:val="auto"/>
                <w:sz w:val="24"/>
                <w:szCs w:val="24"/>
                <w:highlight w:val="none"/>
                <w:lang w:val="en-US" w:eastAsia="zh-CN"/>
              </w:rPr>
              <w:t>55</w:t>
            </w:r>
            <w:r>
              <w:rPr>
                <w:rFonts w:hint="eastAsia" w:ascii="宋体" w:hAnsi="宋体" w:eastAsia="宋体" w:cs="宋体"/>
                <w:b w:val="0"/>
                <w:bCs w:val="0"/>
                <w:color w:val="auto"/>
                <w:sz w:val="24"/>
                <w:szCs w:val="24"/>
                <w:highlight w:val="none"/>
              </w:rPr>
              <w:t>周岁以下</w:t>
            </w:r>
            <w:r>
              <w:rPr>
                <w:rFonts w:hint="eastAsia" w:ascii="宋体" w:hAnsi="宋体" w:eastAsia="宋体" w:cs="宋体"/>
                <w:b w:val="0"/>
                <w:bCs w:val="0"/>
                <w:color w:val="auto"/>
                <w:sz w:val="24"/>
                <w:szCs w:val="24"/>
                <w:highlight w:val="none"/>
                <w:lang w:eastAsia="zh-CN"/>
              </w:rPr>
              <w:t>的得</w:t>
            </w:r>
            <w:r>
              <w:rPr>
                <w:rFonts w:hint="eastAsia" w:ascii="宋体" w:hAnsi="宋体" w:eastAsia="宋体" w:cs="宋体"/>
                <w:b w:val="0"/>
                <w:bCs w:val="0"/>
                <w:color w:val="auto"/>
                <w:sz w:val="24"/>
                <w:szCs w:val="24"/>
                <w:highlight w:val="none"/>
                <w:lang w:val="en-US" w:eastAsia="zh-CN"/>
              </w:rPr>
              <w:t>2分，</w:t>
            </w:r>
            <w:r>
              <w:rPr>
                <w:rFonts w:hint="eastAsia" w:ascii="宋体" w:hAnsi="宋体" w:eastAsia="宋体" w:cs="宋体"/>
                <w:b w:val="0"/>
                <w:bCs w:val="0"/>
                <w:color w:val="auto"/>
                <w:sz w:val="24"/>
                <w:szCs w:val="24"/>
                <w:highlight w:val="none"/>
              </w:rPr>
              <w:t>具有</w:t>
            </w:r>
            <w:r>
              <w:rPr>
                <w:rFonts w:hint="eastAsia" w:ascii="宋体" w:hAnsi="宋体" w:eastAsia="宋体" w:cs="宋体"/>
                <w:b w:val="0"/>
                <w:bCs w:val="0"/>
                <w:color w:val="auto"/>
                <w:sz w:val="24"/>
                <w:szCs w:val="24"/>
                <w:highlight w:val="none"/>
                <w:lang w:val="en-US" w:eastAsia="zh-CN"/>
              </w:rPr>
              <w:t>高压电工作业证的得2分</w:t>
            </w:r>
            <w:r>
              <w:rPr>
                <w:rFonts w:hint="eastAsia" w:ascii="宋体" w:hAnsi="宋体" w:eastAsia="宋体" w:cs="宋体"/>
                <w:b w:val="0"/>
                <w:bCs w:val="0"/>
                <w:color w:val="auto"/>
                <w:sz w:val="24"/>
                <w:szCs w:val="24"/>
                <w:highlight w:val="none"/>
                <w:lang w:eastAsia="zh-CN"/>
              </w:rPr>
              <w:t>，具有</w:t>
            </w:r>
            <w:r>
              <w:rPr>
                <w:rFonts w:hint="eastAsia" w:ascii="宋体" w:hAnsi="宋体" w:eastAsia="宋体" w:cs="宋体"/>
                <w:b w:val="0"/>
                <w:bCs w:val="0"/>
                <w:color w:val="auto"/>
                <w:sz w:val="24"/>
                <w:szCs w:val="24"/>
                <w:highlight w:val="none"/>
                <w:lang w:val="en-US" w:eastAsia="zh-CN"/>
              </w:rPr>
              <w:t>电梯安全管理员证的得2分、具有智能楼宇管理相关证书的得2分</w:t>
            </w:r>
            <w:r>
              <w:rPr>
                <w:rFonts w:hint="eastAsia" w:ascii="宋体" w:hAnsi="宋体" w:eastAsia="宋体" w:cs="宋体"/>
                <w:b w:val="0"/>
                <w:bCs w:val="0"/>
                <w:color w:val="auto"/>
                <w:sz w:val="24"/>
                <w:szCs w:val="24"/>
                <w:highlight w:val="none"/>
              </w:rPr>
              <w:t>。(0-</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p>
            <w:pPr>
              <w:pStyle w:val="2"/>
              <w:spacing w:before="0" w:beforeAutospacing="0" w:afterAutospacing="0"/>
              <w:ind w:left="0" w:leftChars="0" w:righ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以上所有人员须提供相应证书、学历证书材料复印件、缴纳社保记录并加盖公章，否则不得分。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r>
      <w:bookmarkEnd w:id="393"/>
    </w:tbl>
    <w:p>
      <w:pPr>
        <w:pStyle w:val="86"/>
        <w:spacing w:before="0" w:line="440" w:lineRule="exact"/>
        <w:ind w:firstLine="42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商务分（</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w:t>
      </w:r>
    </w:p>
    <w:tbl>
      <w:tblPr>
        <w:tblStyle w:val="73"/>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737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bookmarkStart w:id="394" w:name="scoringRules1"/>
            <w:r>
              <w:rPr>
                <w:rFonts w:hint="eastAsia" w:ascii="宋体" w:hAnsi="宋体" w:eastAsia="宋体" w:cs="宋体"/>
                <w:b w:val="0"/>
                <w:bCs w:val="0"/>
                <w:color w:val="auto"/>
                <w:sz w:val="24"/>
                <w:szCs w:val="24"/>
                <w:highlight w:val="none"/>
              </w:rPr>
              <w:t>序号</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firstLine="2040" w:firstLineChars="8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评分细则内容</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三体系认证证书情况：</w:t>
            </w:r>
          </w:p>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投标人提供职业健康安全管理体系认证证书复印件并加盖公章的得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分；提供质量管理体系认证证书复印件并加盖公章的得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分，提供环境管理体系认证证书复印件并加盖公章的得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分。所有证书须在有效期内，且证书范围须为物业服务相关，否则不得分。（0-</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2019年1月1日以来投标单位在管物业服务项目获得</w:t>
            </w:r>
            <w:r>
              <w:rPr>
                <w:rFonts w:hint="eastAsia" w:ascii="宋体" w:hAnsi="宋体" w:eastAsia="宋体" w:cs="宋体"/>
                <w:b w:val="0"/>
                <w:bCs w:val="0"/>
                <w:color w:val="auto"/>
                <w:sz w:val="24"/>
                <w:szCs w:val="24"/>
                <w:highlight w:val="none"/>
                <w:lang w:val="en-US" w:eastAsia="zh-CN"/>
              </w:rPr>
              <w:t>市级</w:t>
            </w:r>
            <w:r>
              <w:rPr>
                <w:rFonts w:hint="eastAsia" w:ascii="宋体" w:hAnsi="宋体" w:eastAsia="宋体" w:cs="宋体"/>
                <w:b w:val="0"/>
                <w:bCs w:val="0"/>
                <w:color w:val="auto"/>
                <w:sz w:val="24"/>
                <w:szCs w:val="24"/>
                <w:highlight w:val="none"/>
              </w:rPr>
              <w:t>的荣誉，每提供一个得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获得省级及以上</w:t>
            </w:r>
            <w:r>
              <w:rPr>
                <w:rFonts w:hint="eastAsia" w:ascii="宋体" w:hAnsi="宋体" w:eastAsia="宋体" w:cs="宋体"/>
                <w:b w:val="0"/>
                <w:bCs w:val="0"/>
                <w:color w:val="auto"/>
                <w:sz w:val="24"/>
                <w:szCs w:val="24"/>
                <w:highlight w:val="none"/>
              </w:rPr>
              <w:t>的荣誉，每提供一个得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分。最高得</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分，需提供相关证书复印件或扫描件加盖公章。</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bookmarkEnd w:id="39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p>
        </w:tc>
        <w:tc>
          <w:tcPr>
            <w:tcW w:w="737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投标人自2019年1月1日以来实施的机关行政大楼或综合办公楼等类似的物业管理服务的成功案例，以签订时间为准，须提供合同复印件。每提供一项得0.5分，最多得1分。</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r>
    </w:tbl>
    <w:p>
      <w:pPr>
        <w:snapToGrid w:val="0"/>
        <w:spacing w:line="360" w:lineRule="auto"/>
        <w:rPr>
          <w:rFonts w:hint="eastAsia" w:ascii="宋体" w:hAnsi="宋体" w:eastAsia="宋体" w:cs="宋体"/>
          <w:b/>
          <w:sz w:val="24"/>
          <w:highlight w:val="none"/>
        </w:rPr>
      </w:pPr>
      <w:r>
        <w:rPr>
          <w:rFonts w:hint="eastAsia" w:ascii="宋体" w:hAnsi="宋体" w:eastAsia="宋体" w:cs="宋体"/>
          <w:b w:val="0"/>
          <w:bCs w:val="0"/>
          <w:sz w:val="20"/>
          <w:szCs w:val="20"/>
          <w:highlight w:val="none"/>
          <w:shd w:val="clear" w:color="auto" w:fill="FFFFFF"/>
        </w:rPr>
        <w:t> *</w:t>
      </w:r>
      <w:r>
        <w:rPr>
          <w:rFonts w:hint="eastAsia" w:ascii="宋体" w:hAnsi="宋体" w:eastAsia="宋体" w:cs="宋体"/>
          <w:b w:val="0"/>
          <w:bCs w:val="0"/>
          <w:sz w:val="24"/>
          <w:highlight w:val="none"/>
        </w:rPr>
        <w:t>备注：投标人编制投标文件（商务技术</w:t>
      </w:r>
      <w:r>
        <w:rPr>
          <w:rFonts w:hint="eastAsia" w:ascii="宋体" w:hAnsi="宋体" w:eastAsia="宋体" w:cs="宋体"/>
          <w:sz w:val="24"/>
          <w:highlight w:val="none"/>
        </w:rPr>
        <w:t>文件部分）时，建议按此目录（序号和内容）提供评标标准相应的商务技术资料。 </w:t>
      </w: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pPr>
        <w:adjustRightInd/>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pPr>
        <w:spacing w:line="360" w:lineRule="auto"/>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三、评标程序</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pPr>
        <w:pStyle w:val="86"/>
        <w:spacing w:before="0"/>
        <w:ind w:firstLine="508" w:firstLineChars="212"/>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w:t>
      </w:r>
      <w:r>
        <w:rPr>
          <w:rFonts w:hint="eastAsia" w:ascii="宋体" w:hAnsi="宋体" w:eastAsia="宋体" w:cs="宋体"/>
          <w:kern w:val="0"/>
          <w:szCs w:val="24"/>
          <w:highlight w:val="none"/>
        </w:rPr>
        <w:t>府采购货物或服务项目中的非预留部分标项，对小型和微型企业的投标报价给予</w:t>
      </w:r>
      <w:r>
        <w:rPr>
          <w:rFonts w:hint="eastAsia" w:ascii="宋体" w:hAnsi="宋体" w:eastAsia="宋体" w:cs="宋体"/>
          <w:kern w:val="0"/>
          <w:szCs w:val="24"/>
          <w:highlight w:val="none"/>
          <w:lang w:val="en-US" w:eastAsia="zh-CN"/>
        </w:rPr>
        <w:t>20</w:t>
      </w:r>
      <w:r>
        <w:rPr>
          <w:rFonts w:hint="eastAsia" w:ascii="宋体" w:hAnsi="宋体" w:eastAsia="宋体" w:cs="宋体"/>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kern w:val="0"/>
          <w:szCs w:val="24"/>
          <w:highlight w:val="none"/>
          <w:lang w:val="en-US" w:eastAsia="zh-CN"/>
        </w:rPr>
        <w:t>6</w:t>
      </w:r>
      <w:r>
        <w:rPr>
          <w:rFonts w:hint="eastAsia" w:ascii="宋体" w:hAnsi="宋体" w:eastAsia="宋体" w:cs="宋体"/>
          <w:kern w:val="0"/>
          <w:szCs w:val="24"/>
          <w:highlight w:val="none"/>
        </w:rPr>
        <w:t>%的扣除，</w:t>
      </w:r>
      <w:r>
        <w:rPr>
          <w:rFonts w:hint="eastAsia" w:ascii="宋体" w:hAnsi="宋体" w:eastAsia="宋体" w:cs="宋体"/>
          <w:kern w:val="0"/>
          <w:szCs w:val="24"/>
          <w:highlight w:val="none"/>
        </w:rPr>
        <w:t>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pPr>
        <w:pStyle w:val="86"/>
        <w:spacing w:before="0"/>
        <w:ind w:firstLine="472" w:firstLineChars="196"/>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有下列情况之一的，投标无效：</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w:t>
      </w:r>
      <w:r>
        <w:rPr>
          <w:rFonts w:hint="eastAsia" w:ascii="宋体" w:hAnsi="宋体" w:eastAsia="宋体" w:cs="宋体"/>
          <w:kern w:val="0"/>
          <w:sz w:val="24"/>
          <w:highlight w:val="none"/>
          <w:lang w:val="en-US" w:eastAsia="zh-CN"/>
        </w:rPr>
        <w:t>未</w:t>
      </w:r>
      <w:r>
        <w:rPr>
          <w:rFonts w:hint="eastAsia" w:ascii="宋体" w:hAnsi="宋体" w:eastAsia="宋体" w:cs="宋体"/>
          <w:kern w:val="0"/>
          <w:sz w:val="24"/>
          <w:highlight w:val="none"/>
        </w:rPr>
        <w:t>在电子交易平台传输递交投标文件的，投标无效；</w:t>
      </w:r>
    </w:p>
    <w:p>
      <w:pPr>
        <w:pStyle w:val="5"/>
        <w:ind w:left="862" w:leftChars="205"/>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投标文件不满足招标文件的带“▲”</w:t>
      </w:r>
      <w:r>
        <w:rPr>
          <w:rFonts w:hint="eastAsia" w:ascii="宋体" w:hAnsi="宋体" w:eastAsia="宋体" w:cs="宋体"/>
          <w:b w:val="0"/>
          <w:bCs w:val="0"/>
          <w:kern w:val="0"/>
          <w:sz w:val="24"/>
          <w:szCs w:val="24"/>
          <w:highlight w:val="none"/>
          <w:lang w:val="en-US" w:eastAsia="zh-CN"/>
        </w:rPr>
        <w:t>号</w:t>
      </w:r>
      <w:r>
        <w:rPr>
          <w:rFonts w:hint="eastAsia" w:ascii="宋体" w:hAnsi="宋体" w:eastAsia="宋体" w:cs="宋体"/>
          <w:b w:val="0"/>
          <w:bCs w:val="0"/>
          <w:kern w:val="0"/>
          <w:sz w:val="24"/>
          <w:szCs w:val="24"/>
          <w:highlight w:val="none"/>
          <w:lang w:val="en-US"/>
        </w:rPr>
        <w:t>实质性要求的；</w:t>
      </w:r>
    </w:p>
    <w:p>
      <w:pPr>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lang w:val="en-US" w:eastAsia="zh-CN" w:bidi="ar-SA"/>
        </w:rPr>
        <w:t>4.2.14 招标文件规定的其他无效情形；</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法律、法规、规章（适用本市的）及省级以上规范性文件（适用本市的）规定的其他无效情</w:t>
      </w:r>
      <w:r>
        <w:rPr>
          <w:rFonts w:hint="eastAsia" w:ascii="宋体" w:hAnsi="宋体" w:eastAsia="宋体" w:cs="宋体"/>
          <w:kern w:val="0"/>
          <w:sz w:val="24"/>
          <w:highlight w:val="none"/>
        </w:rPr>
        <w:t>形。</w:t>
      </w:r>
    </w:p>
    <w:p>
      <w:pPr>
        <w:pStyle w:val="3"/>
        <w:snapToGrid w:val="0"/>
        <w:spacing w:line="360" w:lineRule="auto"/>
        <w:ind w:firstLine="472" w:firstLineChars="196"/>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5.4因重大变故，采购任务取消的。</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pPr>
        <w:pStyle w:val="3"/>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b/>
          <w:sz w:val="36"/>
          <w:szCs w:val="36"/>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bookmarkEnd w:id="27"/>
      <w:bookmarkStart w:id="395" w:name="第五部分"/>
      <w:bookmarkStart w:id="396" w:name="_Toc86217003"/>
    </w:p>
    <w:p>
      <w:pPr>
        <w:spacing w:line="360" w:lineRule="auto"/>
        <w:ind w:left="720" w:leftChars="343" w:firstLine="1084" w:firstLineChars="300"/>
        <w:outlineLvl w:val="0"/>
        <w:rPr>
          <w:rFonts w:hint="eastAsia" w:ascii="宋体" w:hAnsi="宋体" w:eastAsia="宋体" w:cs="宋体"/>
          <w:b/>
          <w:sz w:val="36"/>
          <w:szCs w:val="36"/>
          <w:highlight w:val="none"/>
        </w:rPr>
      </w:pPr>
    </w:p>
    <w:p>
      <w:pPr>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w:t>
      </w:r>
    </w:p>
    <w:p>
      <w:pPr>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pPr>
        <w:spacing w:line="480" w:lineRule="auto"/>
        <w:jc w:val="center"/>
        <w:rPr>
          <w:rFonts w:hint="eastAsia" w:ascii="宋体" w:hAnsi="宋体" w:eastAsia="宋体" w:cs="宋体"/>
          <w:b/>
          <w:sz w:val="28"/>
          <w:szCs w:val="28"/>
          <w:highlight w:val="none"/>
        </w:rPr>
      </w:pPr>
    </w:p>
    <w:p>
      <w:pPr>
        <w:spacing w:line="480" w:lineRule="auto"/>
        <w:jc w:val="center"/>
        <w:rPr>
          <w:rFonts w:hint="eastAsia" w:ascii="宋体" w:hAnsi="宋体" w:eastAsia="宋体" w:cs="宋体"/>
          <w:b/>
          <w:sz w:val="24"/>
          <w:highlight w:val="none"/>
        </w:rPr>
      </w:pPr>
    </w:p>
    <w:p>
      <w:pPr>
        <w:spacing w:line="480" w:lineRule="auto"/>
        <w:jc w:val="center"/>
        <w:rPr>
          <w:rFonts w:hint="eastAsia" w:ascii="宋体" w:hAnsi="宋体" w:eastAsia="宋体" w:cs="宋体"/>
          <w:b/>
          <w:sz w:val="24"/>
          <w:highlight w:val="none"/>
        </w:rPr>
      </w:pPr>
    </w:p>
    <w:p>
      <w:pPr>
        <w:spacing w:line="48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政府采购合同参考范本</w:t>
      </w:r>
    </w:p>
    <w:p>
      <w:pPr>
        <w:pStyle w:val="35"/>
        <w:snapToGrid w:val="0"/>
        <w:spacing w:line="400" w:lineRule="atLeast"/>
        <w:jc w:val="both"/>
        <w:rPr>
          <w:rFonts w:hint="eastAsia" w:ascii="Times New Roman" w:hAnsi="Times New Roman"/>
          <w:sz w:val="24"/>
          <w:szCs w:val="24"/>
          <w:highlight w:val="none"/>
        </w:rPr>
      </w:pPr>
      <w:bookmarkStart w:id="397" w:name="_Toc326765771"/>
      <w:bookmarkStart w:id="398" w:name="_Toc328381300"/>
      <w:bookmarkStart w:id="399" w:name="_Toc339872468"/>
      <w:bookmarkStart w:id="400" w:name="_Toc349721554"/>
      <w:bookmarkStart w:id="401" w:name="_Toc350327365"/>
      <w:bookmarkStart w:id="402" w:name="_Toc868"/>
      <w:r>
        <w:rPr>
          <w:rFonts w:hint="eastAsia" w:ascii="Times New Roman" w:hAnsi="Times New Roman"/>
          <w:sz w:val="24"/>
          <w:szCs w:val="24"/>
          <w:highlight w:val="none"/>
        </w:rPr>
        <w:t xml:space="preserve">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甲方：（买方）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乙方：（卖方）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   甲、乙双方基于                  项目（项目编号：HZLPZFCG-20  -    ）的采购结果，根据《中</w:t>
      </w:r>
      <w:r>
        <w:rPr>
          <w:rFonts w:hint="eastAsia" w:ascii="Times New Roman" w:hAnsi="Times New Roman"/>
          <w:sz w:val="24"/>
          <w:szCs w:val="24"/>
          <w:highlight w:val="none"/>
          <w:lang w:eastAsia="zh-CN"/>
        </w:rPr>
        <w:t>华</w:t>
      </w:r>
      <w:r>
        <w:rPr>
          <w:rFonts w:hint="eastAsia" w:ascii="Times New Roman" w:hAnsi="Times New Roman"/>
          <w:sz w:val="24"/>
          <w:szCs w:val="24"/>
          <w:highlight w:val="none"/>
        </w:rPr>
        <w:t xml:space="preserve">人民共和国合同法》等有关法律法规，经友好协商，在平等自愿的基础上签署本合同。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第一条：服务内容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1、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2、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第二条：服务期限</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自20    年   月   日至20    年    月     日（或者自合同生效之日起    年）。合同期满，乙方应根据甲方的要求延续提供1-2个月的服务，费用标准按原合同规定执行。</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第三条：服务费用及支付方式</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1、本项目合同金额为人民币            整（￥        元）。</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结算方式：</w:t>
      </w:r>
    </w:p>
    <w:p>
      <w:pPr>
        <w:pStyle w:val="35"/>
        <w:numPr>
          <w:ilvl w:val="0"/>
          <w:numId w:val="5"/>
        </w:numPr>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甲方根据物业服务质量考核结果按季支付物业管理服务费，</w:t>
      </w:r>
      <w:r>
        <w:rPr>
          <w:rFonts w:hint="eastAsia" w:ascii="Times New Roman" w:hAnsi="Times New Roman" w:eastAsia="宋体" w:cs="Times New Roman"/>
          <w:bCs/>
          <w:color w:val="000000"/>
          <w:sz w:val="24"/>
          <w:szCs w:val="24"/>
          <w:highlight w:val="none"/>
        </w:rPr>
        <w:t>自合同签订之日起</w:t>
      </w:r>
      <w:r>
        <w:rPr>
          <w:rFonts w:hint="eastAsia" w:ascii="Times New Roman" w:hAnsi="Times New Roman" w:eastAsia="宋体" w:cs="Times New Roman"/>
          <w:bCs/>
          <w:color w:val="000000"/>
          <w:sz w:val="24"/>
          <w:szCs w:val="24"/>
          <w:highlight w:val="none"/>
          <w:lang w:val="en-US" w:eastAsia="zh-CN"/>
        </w:rPr>
        <w:t>7</w:t>
      </w:r>
      <w:r>
        <w:rPr>
          <w:rFonts w:hint="eastAsia" w:ascii="Times New Roman" w:hAnsi="Times New Roman" w:eastAsia="宋体" w:cs="Times New Roman"/>
          <w:bCs/>
          <w:color w:val="000000"/>
          <w:sz w:val="24"/>
          <w:szCs w:val="24"/>
          <w:highlight w:val="none"/>
        </w:rPr>
        <w:t>日内支付年合同价预付款</w:t>
      </w:r>
      <w:r>
        <w:rPr>
          <w:rFonts w:hint="eastAsia" w:ascii="Times New Roman" w:hAnsi="Times New Roman" w:eastAsia="宋体" w:cs="Times New Roman"/>
          <w:bCs/>
          <w:color w:val="000000"/>
          <w:sz w:val="24"/>
          <w:szCs w:val="24"/>
          <w:highlight w:val="none"/>
          <w:lang w:val="en-US" w:eastAsia="zh-CN"/>
        </w:rPr>
        <w:t>2</w:t>
      </w:r>
      <w:r>
        <w:rPr>
          <w:rFonts w:hint="eastAsia" w:ascii="Times New Roman" w:hAnsi="Times New Roman" w:eastAsia="宋体" w:cs="Times New Roman"/>
          <w:bCs/>
          <w:color w:val="000000"/>
          <w:sz w:val="24"/>
          <w:szCs w:val="24"/>
          <w:highlight w:val="none"/>
        </w:rPr>
        <w:t>0%，经采购人考核合格后按季付款，每个季度支付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lang w:val="en-US" w:eastAsia="zh-CN"/>
        </w:rPr>
        <w:t>第一年度结束后7</w:t>
      </w:r>
      <w:r>
        <w:rPr>
          <w:rFonts w:hint="eastAsia" w:ascii="Times New Roman" w:hAnsi="Times New Roman" w:eastAsia="宋体" w:cs="Times New Roman"/>
          <w:bCs/>
          <w:color w:val="000000"/>
          <w:sz w:val="24"/>
          <w:szCs w:val="24"/>
          <w:highlight w:val="none"/>
        </w:rPr>
        <w:t>日内</w:t>
      </w:r>
      <w:r>
        <w:rPr>
          <w:rFonts w:hint="eastAsia" w:ascii="Times New Roman" w:hAnsi="Times New Roman" w:eastAsia="宋体" w:cs="Times New Roman"/>
          <w:bCs/>
          <w:color w:val="000000"/>
          <w:sz w:val="24"/>
          <w:szCs w:val="24"/>
          <w:highlight w:val="none"/>
          <w:lang w:val="en-US" w:eastAsia="zh-CN"/>
        </w:rPr>
        <w:t>支付第二年度年合同价预付款20%，</w:t>
      </w:r>
      <w:r>
        <w:rPr>
          <w:rFonts w:hint="eastAsia" w:ascii="Times New Roman" w:hAnsi="Times New Roman" w:eastAsia="宋体" w:cs="Times New Roman"/>
          <w:bCs/>
          <w:color w:val="000000"/>
          <w:sz w:val="24"/>
          <w:szCs w:val="24"/>
          <w:highlight w:val="none"/>
        </w:rPr>
        <w:t>经采购人考核合格后</w:t>
      </w:r>
      <w:r>
        <w:rPr>
          <w:rFonts w:hint="eastAsia" w:ascii="Times New Roman" w:hAnsi="Times New Roman" w:eastAsia="宋体" w:cs="Times New Roman"/>
          <w:bCs/>
          <w:color w:val="000000"/>
          <w:sz w:val="24"/>
          <w:szCs w:val="24"/>
          <w:highlight w:val="none"/>
          <w:lang w:eastAsia="zh-CN"/>
        </w:rPr>
        <w:t>，</w:t>
      </w:r>
      <w:r>
        <w:rPr>
          <w:rFonts w:hint="eastAsia" w:ascii="Times New Roman" w:hAnsi="Times New Roman" w:eastAsia="宋体" w:cs="Times New Roman"/>
          <w:bCs/>
          <w:color w:val="000000"/>
          <w:sz w:val="24"/>
          <w:szCs w:val="24"/>
          <w:highlight w:val="none"/>
        </w:rPr>
        <w:t>每个季度支付</w:t>
      </w:r>
      <w:r>
        <w:rPr>
          <w:rFonts w:hint="eastAsia" w:ascii="Times New Roman" w:hAnsi="Times New Roman" w:eastAsia="宋体" w:cs="Times New Roman"/>
          <w:bCs/>
          <w:color w:val="000000"/>
          <w:sz w:val="24"/>
          <w:szCs w:val="24"/>
          <w:highlight w:val="none"/>
          <w:lang w:val="en-US" w:eastAsia="zh-CN"/>
        </w:rPr>
        <w:t>年</w:t>
      </w:r>
      <w:r>
        <w:rPr>
          <w:rFonts w:hint="eastAsia" w:ascii="Times New Roman" w:hAnsi="Times New Roman" w:eastAsia="宋体" w:cs="Times New Roman"/>
          <w:bCs/>
          <w:color w:val="000000"/>
          <w:sz w:val="24"/>
          <w:szCs w:val="24"/>
          <w:highlight w:val="none"/>
        </w:rPr>
        <w:t>合同价1/4×</w:t>
      </w:r>
      <w:r>
        <w:rPr>
          <w:rFonts w:hint="eastAsia" w:ascii="Times New Roman" w:hAnsi="Times New Roman" w:eastAsia="宋体" w:cs="Times New Roman"/>
          <w:bCs/>
          <w:color w:val="000000"/>
          <w:sz w:val="24"/>
          <w:szCs w:val="24"/>
          <w:highlight w:val="none"/>
          <w:lang w:val="en-US" w:eastAsia="zh-CN"/>
        </w:rPr>
        <w:t>8</w:t>
      </w:r>
      <w:r>
        <w:rPr>
          <w:rFonts w:hint="eastAsia" w:ascii="Times New Roman" w:hAnsi="Times New Roman" w:eastAsia="宋体" w:cs="Times New Roman"/>
          <w:bCs/>
          <w:color w:val="000000"/>
          <w:sz w:val="24"/>
          <w:szCs w:val="24"/>
          <w:highlight w:val="none"/>
        </w:rPr>
        <w:t>0%</w:t>
      </w:r>
      <w:r>
        <w:rPr>
          <w:rFonts w:hint="eastAsia" w:ascii="Times New Roman" w:hAnsi="Times New Roman" w:eastAsia="宋体" w:cs="Times New Roman"/>
          <w:bCs/>
          <w:color w:val="000000"/>
          <w:sz w:val="24"/>
          <w:szCs w:val="24"/>
          <w:highlight w:val="none"/>
          <w:lang w:val="en-US" w:eastAsia="zh-CN"/>
        </w:rPr>
        <w:t>。</w:t>
      </w:r>
    </w:p>
    <w:p>
      <w:pPr>
        <w:pStyle w:val="35"/>
        <w:numPr>
          <w:numId w:val="0"/>
        </w:numPr>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（2）乙方因工作失误及按招标文件中的服务要求、考核要求造成的扣款则在季付款的同时相应扣除。</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第四条 物业装备、耗材的使用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甲方提供物业管理的办公场地及办公桌椅，甲方承担相关所需安保用品、物业保洁和维护设备、工具及所有保洁消耗品产生的费用。办公设备由甲方按需配置在提供的办公区域内，办公用品所需耗材产生的费用在本次报价中，不额外收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第五条 物业管理收费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本合同期为自合同签订生效之日起  个月，合同期内物业管理服务费为人民币   万元，年物业管理服务费用为    万元，按建筑面积分摊后收费标准为：   元/平方米.月。采用包干制，除本合同明确约定可以另行收取的费用外，所有物业管理及服务费用均包括在内，乙方不得另行向甲方或使用人收取任何费用。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物业服务费成本监审：</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乙方承诺，接收甲方主管部门实施的物业服务费成本监审，并遵守以下原则：</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1、合法性原则。计入定价成本的费用符合有关法律、行政法律和国家统一会计制度的规定；</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2、相关性原则。计入定价成本的费用为与物业服务直接相关或间接相关的费用；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3、对应性原则。计入定价成本的费用与物业服务内及服务标准相对应；</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4、合理性原则。与物业服务定价成本各项费用的主要技术、经济指标均符合行业标准或者社会公允水平。</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第六条  物业管理服务质量要求  考核分低于70分（不含）视为不合格，扣除当期物业管理服务费用的10%。（提前解除合同）。</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第七条 经营制约</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2、乙方不得以甲方的名义从事任何经济活动，且由此发生的一切债权、债务与甲方无关。</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第八条 乙方对甲方作出如下承诺：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2、乙方应允许甲方或其授权的人员对承包区域内各项服务质量控制进行检查，有关费用由乙方承担。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3、在承包区域的各项服务，其工作时间必须满足甲方的工作要求，包括星期天及公众假期。如遇特殊情况，甲方可要求乙方调整工作时间直至全天二十四小时工作。</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4、乙方必须聘请（或指定）一位经理（负责人），全权代表乙方与甲方保持密切联系并保证承包区域服务工作。根据综合考评或工作情况，甲方有权要求乙方在一个星期内更换经理（负责人）及相关人员。</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5、为承包区域的服务工作配备承诺的人员及人员数量（保安人数、保洁、绿化、会务人数及年龄要求），甲方不定期抽查乙方投入的人员数量，如果抽查时发现乙方安排在岗的人员数量少于合同约定的数量，甲方可以按缺少人数每人三个月的岗位工资累计扣除当季度合同款。乙方聘用的工作人员必须符合劳动部门有关用工规定，并经乙方相关专业考核合格后持证上岗，甲方有权进行审核，该类费用开支由乙方负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6、在承包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7、乙方工作人员上岗穿着由甲方确认的制服及甲方许可的装饰物品，费用和制作均由乙方负担。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8、乙方必须出具或办妥法律及甲方规定的与承包区域经营业务有关的执照和许可证，方可从事经营并在经营中遵守一切有关条例和规定。自行缴纳有关税、费。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9、乙方必须确保为甲方提供优质、高效的专业服务，并根据甲方要求改变不满意的服务状况。接受有关部门监督与检查。同时，乙方自觉参加甲方认为有助提高甲方形象的宣传活动。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10、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11、乙方在承包区域因作业所需增加机械、电力设备及设施应征得甲方同意，并聘请有资格的承造商进行安装、保养并将施工安装保养记录手册和图，交由甲方备案。</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12、禁止事项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12.1乙方不得以任何理由向甲方工作人员支付费用或赠送实物，违者将终止合同。乙方人员也不得以任何形式向甲方相关人员索取小费或钱物等。</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12.2不得在承包区域住宿或从事非法活动，也不得从事有损甲方利益的活动，同时不允许在承包区域对甲方经营活动进行滋扰性的行为。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12.4未获甲方书面同意，乙方任何时候都不能在承包区域存放易燃物品、挥发性大或气味浓烈的液体等。</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13、保险</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13.1第三者责任保险</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乙方应对乙方人员以及第三方全权负责（如乙方应投保第三责任险），在乙方的责任区内由于乙方原因导致自己员工或第三方的事故由乙方负责，甲方不承担任何责任。</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13.2员工人身意外</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在承包期内，乙方所有人员的事故由乙方自行全权负责（如乙方应对其员工投保人身意外险），以保证甲方在乙方工作人员索赔时不受任何责任的约束。</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13.3其他保险及费用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乙方须按《劳动合同法》和政府有关各部门规定为全体服务人员交纳所有相关的社会保险及其他相关费用。乙方对此全权负责。</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14、乙方及其员工遵守行政大楼内的一切行政管理、消防安全等规定和制度，保证承包区域的消防设施能正常使用，消防通道畅通，同时承担违规责任。</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15、遇突发事件或安全检查时，乙方必须配合有关部门执行任务，并指定专职人员协助工作，直至完成。</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16、乙方保证在承包期满当天下午五时前撤离现场。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17、乙方须积极配合甲方对其进行的物业服务综合考评。</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第九条 甲方对乙方作出如下承诺：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1、甲方在职权范围内保证乙方的正常经营不受干扰。</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2、保证乙方的员工按规定正常进入承包区域开展服务工作。</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第十条 合同生效和终止：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 本合同经甲乙双方法定代表人或其委托人签字盖章，由乙方向甲方缴纳</w:t>
      </w:r>
      <w:r>
        <w:rPr>
          <w:rFonts w:hint="eastAsia" w:ascii="Times New Roman" w:hAnsi="Times New Roman"/>
          <w:sz w:val="24"/>
          <w:szCs w:val="24"/>
          <w:highlight w:val="none"/>
          <w:lang w:val="en-US" w:eastAsia="zh-CN"/>
        </w:rPr>
        <w:t>1</w:t>
      </w:r>
      <w:r>
        <w:rPr>
          <w:rFonts w:hint="eastAsia" w:ascii="Times New Roman" w:hAnsi="Times New Roman"/>
          <w:sz w:val="24"/>
          <w:szCs w:val="24"/>
          <w:highlight w:val="none"/>
        </w:rPr>
        <w:t>%履约保证金后生效。</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2、终止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2.1提前终止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2.1.1 合同签订后，中标单位进场服务一个月内，须向采购人提供弱电、空调、消防设施、电梯保养等国家规定的相应资质证书或有相应资质分包单位的分包协议，否则自动解除合同。合同签订后，进场服务的项目组主要成员须与投标文件一致，如有出入自动解除合同。</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2.1.2如果甲方在服务期内无理由终止合同，甲方须提前一个月向乙方发出书面通知终止承包，甲方支付给乙方月度承包服务款二倍金额的赔偿金。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2.1.3因乙方在服务期内物业服务综合考评未达标，甲方可以单方面终止承包，且乙方须支付给甲方月度承包服务款二倍金额的赔偿金。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2.1.3因乙方在服务期内超过两次物业服务综合考评未达标，甲方可以单方面终止承包，且乙方须支付给甲方月度承包服务款二倍金额的赔偿金。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2.1.4如甲方发现乙方出现转租、转让、抵押承包等情况，甲方可以单方面终止承包，且乙方须支付给甲方月度承包服务款二倍金额的赔偿金。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2.1.5如果乙方在服务期内无理由终止合同，乙方须提前三个月向甲方发出书面通知终止承包，乙方须支付给甲方月度承包服务款二倍金额的赔偿金；如果乙方在服务期内突然无理由终止合同，未提前三个月向甲方发出书面通知终止承包，乙方须支付给甲方月度承包服务款三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2.1.6如果乙方在服务期内由于乙方原因造成重大责任事故或安全事故，甲方可以单方面终止承包，且乙方须赔偿给甲方造成的经济损失，并须支付给甲方月度承包服务款五倍金额的赔偿金。</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2.1.7提前终止承包期早于月底最后一天，应视为月底最后一天期满，此条适用于上述2.1.1、2.1.2、2.1.3、2.1.4、2.1.5、2.1.6五条。</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2.1.8乙方未能履行合同和遵守有关规定，在甲方发出书面警告后一周内乙方仍无采取补救措施，甲方可立即终止承包。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2.1.9乙方破产清处、重组及兼并等事实发生，或被债权人接管经营，甲方不必通知乙方即可终止承包。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2.2 协议终止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经双方协商同意，可在任何时候终止协议。</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2.3 自然终止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合同规定的承包服务期满，承包自然终止。在承包服务期内乙方服务通过甲方有关评分标准并得到甲方认可，双方可协商在下一年度续约。</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3、承包终止后果</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3.1终止承包，不影响根据合同规定进行的赔偿、补偿，也不影响履约保证金的效力。</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3.2上述2.1.6、2.1.7二条的终止，乙方的履约保证金作为违约金支付给甲方。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3.3承包终止时，双方应进行结算，甲方同时进行乙方承包区域设施、设备状况检查并要求乙方三天内将乙方物品撤离承包区域，否则甲方将代理处理，乙方支付甲方代理费及10%的手续费。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 不放弃权利</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甲方接受乙方的服务，但不放弃对乙方违约行为进行追究的权利；同时，若甲方对乙方某一违约行为放弃进行追究的权利，但不放弃对乙方其他违约行为进行追究的权利。</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第十一条 双方权利义务</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 甲方权利义务</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（1）代表和维护产权人、使用人的合法权益；</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（2）审定乙方拟定的物业管理制度；</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（3）检查监督乙方管理工作的实施及制度的执行情况；</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（4）审定乙方提出的物业管理服务年度计划、财务预算及决算；</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（5）负责收集、整理物业管理所需全部图纸、档案、资料，根据管理需要向乙方提供房屋相关资料和设备、设施的安装、使用和维护保养技术资料；</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（6）按期支付物业管理费用；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（7）在不可预见的情况下，如发生煤气泄漏、漏电、火灾、救助人命、协助公安机关执行任务等突发事件的，甲方应积极配合乙方采取必要的紧急避险措施。</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（8）提供乙方所需的办公用房。</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2、乙方权利义务</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（1）根据有关法律法规、投标文件及本合同的约定，制订物业管理制度、方案，根据甲方核定的物业管理制度、方案自主开展物业日常管理服务活动；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（2）按甲方要求及时如实向甲方报告物业管理服务实施情况；</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（3）征得甲方同意可选聘专营公司承担本物业的专项管理业务，但不得将本物业的管理责任转让给第三方；</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（4）负责编制房屋、附属建筑物、构筑物、设施、设备、绿化等的年度维修养护计划和大中修方案，经双方议定后由乙方组织实施；</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（5）向甲方工作人员和其他使用人告知物业使用的有关规定，并负责监督；</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（6）建立、妥善保管和正确使用本物业相关的管理档案，并负责及时记载有关变更情况；</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（7）对本物业的公用设施不得擅自占用和改变使用功能；</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（8）因乙方在管理中的过错或违反本合同的约定进行管理造成甲方或第三人损失的，乙方应依法承担赔偿责任；</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（9）乙方自行承担办公桌、电脑、打印机、文件柜等自身使用的办公用品，自行承担所有人员服装费用，但服装样式需经过甲方认可，办公、生活用水、电、通讯费用由乙方自行承担。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（10）本合同终止时，乙方必须向甲方移交全部管理用房及物业管理的全部档案资料，确保移交的资料和设备、设施完好无缺。</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第十二条 乙方的人员配置</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  乙方的人员配置</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1.1乙方的项目总负责人。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1.2乙方必须采取措施，确保乙方人员稳定，特别是骨干人员。骨干人员变动须经甲方同意，其他人员变动须甲方备案。</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1.3乙方项目总负责人及部门负责人须及时与甲方沟通，第一时间报告重大、紧急事件；每月须向甲方汇报上月工作情况，并提供相关报告。</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 物业人员要求：</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（1）所有相关人员的配备须获得相关主管部门认证的，须配证并持证上岗，且根据不同岗位统一着装。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（2）所有相关人员要求政治上可靠，身体素质好，无不良行为记录。</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（3）重要岗位人员必须由甲方人事部门考核、政治审查通过方可录用。</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（4）为提高物业管理水平，所有物业人员还需进行相关的培训。除乙方对服务人员的培训外，需接受甲方对服务人员的集中进行培训，培训费用由乙方承担。</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第十三条  诉讼</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 双方在执行合同中所发生的一切争议，应通过协商解决。如协商不成，可向甲方所在地法院起诉。</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第十四条  其他</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    1、采购文件、投标文件、更正公告、中标通知书、承诺函等均作为本合同组成部分，具有同等效力。</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2、合同执行中涉及采购资金和采购内容修改或补充的，须经财政部门审批，并签书面补充协议报政府采购监督管理部门备案，作为主合同不可分割的一部分。</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3、本合同（□是  □否）为可融资合同，关于中小企业信用融资事项可登陆临平区公共资源交易网（http：//www.yhggzy.com.cn/）“临平区中小企业信用融资模块”进行查询。</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4、本合同未尽事宜，遵照《合同法》有关条文执行。</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5、本合同一式多份，具有同等法律效力，甲乙双方、区公共资源交易中心、临平区财政局采购监管科，各执一份。</w:t>
      </w:r>
    </w:p>
    <w:p>
      <w:pPr>
        <w:pStyle w:val="35"/>
        <w:snapToGrid w:val="0"/>
        <w:spacing w:line="400" w:lineRule="atLeast"/>
        <w:jc w:val="both"/>
        <w:rPr>
          <w:rFonts w:hint="eastAsia" w:ascii="Times New Roman" w:hAnsi="Times New Roman"/>
          <w:sz w:val="24"/>
          <w:szCs w:val="24"/>
          <w:highlight w:val="none"/>
        </w:rPr>
      </w:pP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 甲方（盖章）：                          乙方（盖章）：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法定代表人：                           法定代表人：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或授权代表（签字）：                    或授权代表（签字）：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地址：                                 地址：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邮编：                                 邮编：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电话：                                 电话：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传真：                                 传真：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开户银行：                             开户银行：    </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帐号：                                 帐号：     </w:t>
      </w:r>
    </w:p>
    <w:p>
      <w:pPr>
        <w:pStyle w:val="35"/>
        <w:snapToGrid w:val="0"/>
        <w:spacing w:line="400" w:lineRule="atLeast"/>
        <w:jc w:val="both"/>
        <w:rPr>
          <w:rFonts w:hint="eastAsia" w:ascii="Times New Roman" w:hAnsi="Times New Roman"/>
          <w:sz w:val="24"/>
          <w:szCs w:val="24"/>
          <w:highlight w:val="none"/>
        </w:rPr>
      </w:pPr>
    </w:p>
    <w:p>
      <w:pPr>
        <w:pStyle w:val="35"/>
        <w:snapToGrid w:val="0"/>
        <w:spacing w:line="400" w:lineRule="atLeast"/>
        <w:jc w:val="both"/>
        <w:rPr>
          <w:rFonts w:hint="eastAsia" w:ascii="Times New Roman" w:hAnsi="Times New Roman"/>
          <w:sz w:val="24"/>
          <w:szCs w:val="24"/>
          <w:highlight w:val="none"/>
        </w:rPr>
      </w:pP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签约时间：      年    月   日</w:t>
      </w:r>
    </w:p>
    <w:p>
      <w:pPr>
        <w:pStyle w:val="35"/>
        <w:snapToGrid w:val="0"/>
        <w:spacing w:line="400" w:lineRule="atLeast"/>
        <w:jc w:val="both"/>
        <w:rPr>
          <w:rFonts w:hint="eastAsia" w:ascii="Times New Roman" w:hAnsi="Times New Roman"/>
          <w:sz w:val="24"/>
          <w:szCs w:val="24"/>
          <w:highlight w:val="none"/>
        </w:rPr>
      </w:pPr>
      <w:r>
        <w:rPr>
          <w:rFonts w:hint="eastAsia" w:ascii="Times New Roman" w:hAnsi="Times New Roman"/>
          <w:sz w:val="24"/>
          <w:szCs w:val="24"/>
          <w:highlight w:val="none"/>
        </w:rPr>
        <w:t xml:space="preserve">签约地点：                    </w:t>
      </w:r>
    </w:p>
    <w:p>
      <w:pPr>
        <w:pStyle w:val="35"/>
        <w:snapToGrid w:val="0"/>
        <w:spacing w:line="400" w:lineRule="atLeast"/>
        <w:jc w:val="both"/>
        <w:rPr>
          <w:rFonts w:ascii="Times New Roman" w:hAnsi="Times New Roman"/>
          <w:b/>
          <w:sz w:val="28"/>
          <w:szCs w:val="28"/>
          <w:highlight w:val="none"/>
        </w:rPr>
      </w:pPr>
      <w:r>
        <w:rPr>
          <w:rFonts w:hint="eastAsia" w:ascii="Times New Roman" w:hAnsi="Times New Roman"/>
          <w:sz w:val="24"/>
          <w:szCs w:val="24"/>
          <w:highlight w:val="none"/>
        </w:rPr>
        <w:t>★ 此仅为合同书样本，中标单位需根据实际情况和采购人签订相应的合同！</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 xml:space="preserve"> 此仅为合同书样本，中标单位需根据实际情况和采购人签订相应的合同！</w:t>
      </w:r>
      <w:bookmarkEnd w:id="397"/>
      <w:bookmarkEnd w:id="398"/>
      <w:bookmarkEnd w:id="399"/>
      <w:bookmarkEnd w:id="400"/>
      <w:bookmarkEnd w:id="401"/>
      <w:bookmarkEnd w:id="402"/>
    </w:p>
    <w:p>
      <w:pPr>
        <w:snapToGrid/>
        <w:spacing w:before="0" w:beforeLines="0" w:after="0" w:line="360" w:lineRule="auto"/>
        <w:rPr>
          <w:rFonts w:hint="eastAsia" w:ascii="宋体" w:hAnsi="宋体" w:eastAsia="宋体" w:cs="宋体"/>
          <w:b/>
          <w:bCs/>
          <w:sz w:val="24"/>
          <w:highlight w:val="none"/>
        </w:rPr>
        <w:sectPr>
          <w:pgSz w:w="11906" w:h="16838"/>
          <w:pgMar w:top="1558" w:right="1531" w:bottom="468" w:left="1531" w:header="851" w:footer="851" w:gutter="0"/>
          <w:cols w:space="720" w:num="1"/>
          <w:titlePg/>
          <w:docGrid w:type="lines" w:linePitch="312" w:charSpace="0"/>
        </w:sectPr>
      </w:pPr>
      <w:bookmarkStart w:id="403" w:name="_Toc194217895"/>
    </w:p>
    <w:bookmarkEnd w:id="403"/>
    <w:p>
      <w:pPr>
        <w:pStyle w:val="5"/>
        <w:rPr>
          <w:rFonts w:hint="eastAsia" w:ascii="宋体" w:hAnsi="宋体" w:eastAsia="宋体" w:cs="宋体"/>
          <w:highlight w:val="none"/>
        </w:rPr>
      </w:pPr>
    </w:p>
    <w:p>
      <w:pPr>
        <w:spacing w:line="360" w:lineRule="auto"/>
        <w:ind w:left="720" w:firstLine="723" w:firstLineChars="200"/>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第六部分</w:t>
      </w:r>
      <w:bookmarkEnd w:id="395"/>
      <w:r>
        <w:rPr>
          <w:rFonts w:hint="eastAsia" w:ascii="宋体" w:hAnsi="宋体" w:eastAsia="宋体" w:cs="宋体"/>
          <w:b/>
          <w:sz w:val="36"/>
          <w:szCs w:val="20"/>
          <w:highlight w:val="none"/>
        </w:rPr>
        <w:t xml:space="preserve"> </w:t>
      </w:r>
      <w:bookmarkEnd w:id="396"/>
      <w:r>
        <w:rPr>
          <w:rFonts w:hint="eastAsia" w:ascii="宋体" w:hAnsi="宋体" w:eastAsia="宋体" w:cs="宋体"/>
          <w:b/>
          <w:sz w:val="36"/>
          <w:szCs w:val="20"/>
          <w:highlight w:val="none"/>
        </w:rPr>
        <w:t>应提交的有关格式范例</w:t>
      </w:r>
    </w:p>
    <w:p>
      <w:pPr>
        <w:spacing w:line="360" w:lineRule="auto"/>
        <w:jc w:val="center"/>
        <w:outlineLvl w:val="0"/>
        <w:rPr>
          <w:rFonts w:hint="eastAsia" w:ascii="宋体" w:hAnsi="宋体" w:eastAsia="宋体" w:cs="宋体"/>
          <w:b/>
          <w:kern w:val="0"/>
          <w:sz w:val="36"/>
          <w:szCs w:val="36"/>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rPr>
        <w:t>符合参加政府采购活动应当具备的一般条件的承诺函………</w:t>
      </w:r>
      <w:r>
        <w:rPr>
          <w:rFonts w:hint="eastAsia" w:ascii="宋体" w:hAnsi="宋体" w:eastAsia="宋体" w:cs="宋体"/>
          <w:sz w:val="24"/>
          <w:highlight w:val="none"/>
        </w:rPr>
        <w:t>……（页码）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pPr>
        <w:snapToGrid w:val="0"/>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r>
        <w:rPr>
          <w:rFonts w:hint="eastAsia" w:ascii="宋体" w:hAnsi="宋体" w:eastAsia="宋体" w:cs="宋体"/>
          <w:b/>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我方参与（项目名称）【</w:t>
      </w:r>
      <w:r>
        <w:rPr>
          <w:rFonts w:hint="eastAsia" w:ascii="宋体" w:hAnsi="宋体" w:eastAsia="宋体" w:cs="宋体"/>
          <w:sz w:val="24"/>
          <w:highlight w:val="none"/>
          <w:lang w:val="en-US" w:eastAsia="zh-CN"/>
        </w:rPr>
        <w:t>项目编号</w:t>
      </w:r>
      <w:r>
        <w:rPr>
          <w:rFonts w:hint="eastAsia" w:ascii="宋体" w:hAnsi="宋体" w:eastAsia="宋体" w:cs="宋体"/>
          <w:sz w:val="24"/>
          <w:highlight w:val="none"/>
        </w:rPr>
        <w:t>：</w:t>
      </w:r>
      <w:r>
        <w:rPr>
          <w:rFonts w:hint="eastAsia" w:ascii="宋体" w:hAnsi="宋体" w:eastAsia="宋体" w:cs="宋体"/>
          <w:b/>
          <w:bCs/>
          <w:color w:val="auto"/>
          <w:sz w:val="24"/>
          <w:szCs w:val="24"/>
          <w:highlight w:val="none"/>
          <w:lang w:eastAsia="zh-CN"/>
        </w:rPr>
        <w:t>HZLP</w:t>
      </w:r>
      <w:r>
        <w:rPr>
          <w:rFonts w:hint="eastAsia" w:ascii="宋体" w:hAnsi="宋体" w:eastAsia="宋体" w:cs="宋体"/>
          <w:b/>
          <w:bCs/>
          <w:color w:val="auto"/>
          <w:sz w:val="24"/>
          <w:szCs w:val="24"/>
          <w:highlight w:val="none"/>
        </w:rPr>
        <w:t xml:space="preserve">ZFCG-20  -  </w:t>
      </w:r>
      <w:r>
        <w:rPr>
          <w:rFonts w:hint="eastAsia" w:ascii="宋体" w:hAnsi="宋体" w:eastAsia="宋体" w:cs="宋体"/>
          <w:sz w:val="24"/>
          <w:highlight w:val="none"/>
        </w:rPr>
        <w:t>】政府采购活动，郑重承诺：</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color w:val="auto"/>
          <w:sz w:val="24"/>
          <w:szCs w:val="24"/>
          <w:highlight w:val="none"/>
        </w:rPr>
        <w:t>符合参与政府采购活动的资格条件并且没有税收缴纳、社会保障等方面的失信记录的承诺函</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w:t>
      </w:r>
      <w:r>
        <w:rPr>
          <w:rFonts w:hint="eastAsia" w:ascii="宋体" w:hAnsi="宋体" w:eastAsia="宋体" w:cs="宋体"/>
          <w:sz w:val="24"/>
          <w:highlight w:val="none"/>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（三）不存在以下情况：</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5"/>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5"/>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5"/>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二、落实政府采购政策需满足的资格要求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宋体" w:hAnsi="宋体" w:eastAsia="宋体" w:cs="宋体"/>
          <w:sz w:val="24"/>
          <w:highlight w:val="none"/>
        </w:rPr>
      </w:pPr>
    </w:p>
    <w:p>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highlight w:val="none"/>
          <w:lang w:val="zh-CN"/>
        </w:rPr>
      </w:pPr>
      <w:r>
        <w:rPr>
          <w:rFonts w:hint="eastAsia" w:ascii="宋体" w:hAnsi="宋体" w:eastAsia="宋体" w:cs="宋体"/>
          <w:b/>
          <w:sz w:val="24"/>
          <w:highlight w:val="none"/>
        </w:rPr>
        <w:t xml:space="preserve">    </w:t>
      </w:r>
      <w:r>
        <w:rPr>
          <w:rFonts w:hint="eastAsia" w:ascii="宋体" w:hAnsi="宋体" w:eastAsia="宋体" w:cs="宋体"/>
          <w:b/>
          <w:kern w:val="0"/>
          <w:sz w:val="32"/>
          <w:szCs w:val="32"/>
          <w:highlight w:val="none"/>
          <w:lang w:val="zh-CN"/>
        </w:rPr>
        <w:t>联合协议</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pacing w:line="360" w:lineRule="auto"/>
        <w:ind w:firstLine="480" w:firstLineChars="200"/>
        <w:rPr>
          <w:rFonts w:hint="eastAsia" w:ascii="宋体" w:hAnsi="宋体" w:eastAsia="宋体" w:cs="宋体"/>
          <w:sz w:val="24"/>
          <w:highlight w:val="none"/>
        </w:rPr>
      </w:pP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C、</w:t>
      </w:r>
      <w:r>
        <w:rPr>
          <w:rFonts w:hint="eastAsia" w:ascii="宋体" w:hAnsi="宋体" w:eastAsia="宋体" w:cs="宋体"/>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kern w:val="0"/>
          <w:sz w:val="24"/>
          <w:highlight w:val="none"/>
          <w:lang w:val="zh-CN"/>
        </w:rPr>
      </w:pPr>
      <w:r>
        <w:rPr>
          <w:rFonts w:hint="eastAsia" w:ascii="宋体" w:hAnsi="宋体" w:eastAsia="宋体" w:cs="宋体"/>
          <w:sz w:val="24"/>
          <w:highlight w:val="none"/>
        </w:rPr>
        <w:t>中小企业合同金额达到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%，小微企业合同金额达到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kern w:val="0"/>
          <w:sz w:val="24"/>
          <w:highlight w:val="none"/>
          <w:lang w:val="zh-CN"/>
        </w:rPr>
        <w:t xml:space="preserve">  。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widowControl/>
        <w:spacing w:line="360" w:lineRule="auto"/>
        <w:ind w:left="150"/>
        <w:jc w:val="center"/>
        <w:rPr>
          <w:rFonts w:hint="eastAsia" w:ascii="宋体" w:hAnsi="宋体" w:eastAsia="宋体" w:cs="宋体"/>
          <w:b/>
          <w:kern w:val="0"/>
          <w:sz w:val="32"/>
          <w:szCs w:val="32"/>
          <w:highlight w:val="none"/>
        </w:rPr>
      </w:pPr>
    </w:p>
    <w:p>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pPr>
        <w:rPr>
          <w:rFonts w:hint="eastAsia" w:ascii="宋体" w:hAnsi="宋体" w:eastAsia="宋体" w:cs="宋体"/>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br w:type="page"/>
      </w:r>
    </w:p>
    <w:p>
      <w:pPr>
        <w:pStyle w:val="5"/>
        <w:rPr>
          <w:rFonts w:hint="eastAsia" w:ascii="宋体" w:hAnsi="宋体" w:eastAsia="宋体" w:cs="宋体"/>
          <w:highlight w:val="none"/>
        </w:rPr>
      </w:pPr>
    </w:p>
    <w:p>
      <w:pPr>
        <w:spacing w:line="360" w:lineRule="auto"/>
        <w:ind w:right="420" w:firstLine="3614" w:firstLineChars="100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pPr>
        <w:spacing w:line="360" w:lineRule="auto"/>
        <w:jc w:val="center"/>
        <w:outlineLvl w:val="0"/>
        <w:rPr>
          <w:rFonts w:hint="eastAsia" w:ascii="宋体" w:hAnsi="宋体" w:eastAsia="宋体" w:cs="宋体"/>
          <w:b/>
          <w:kern w:val="0"/>
          <w:sz w:val="24"/>
          <w:highlight w:val="none"/>
        </w:rPr>
      </w:pPr>
    </w:p>
    <w:p>
      <w:pPr>
        <w:spacing w:line="360" w:lineRule="auto"/>
        <w:jc w:val="center"/>
        <w:outlineLvl w:val="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（3）联合协议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（4）分包意向协议</w:t>
      </w:r>
      <w:r>
        <w:rPr>
          <w:rFonts w:hint="eastAsia" w:ascii="宋体" w:hAnsi="宋体" w:eastAsia="宋体" w:cs="宋体"/>
          <w:highlight w:val="none"/>
        </w:rPr>
        <w:t>…………………………………………………………………………（页码）</w:t>
      </w:r>
    </w:p>
    <w:p>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（5）符合性审查资料</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（6）评标标准相应的商务技术资料</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投标标的清单</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w:t>
      </w:r>
      <w:r>
        <w:rPr>
          <w:rFonts w:hint="eastAsia" w:ascii="宋体" w:hAnsi="宋体" w:eastAsia="宋体" w:cs="宋体"/>
          <w:sz w:val="24"/>
          <w:highlight w:val="none"/>
        </w:rPr>
        <w:t>…</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pPr>
        <w:snapToGrid w:val="0"/>
        <w:spacing w:line="360" w:lineRule="auto"/>
        <w:ind w:left="479" w:leftChars="228"/>
        <w:rPr>
          <w:rFonts w:hint="eastAsia" w:ascii="宋体" w:hAnsi="宋体" w:eastAsia="宋体" w:cs="宋体"/>
          <w:highlight w:val="none"/>
        </w:rPr>
      </w:pPr>
      <w:r>
        <w:rPr>
          <w:rFonts w:hint="eastAsia" w:ascii="宋体" w:hAnsi="宋体" w:eastAsia="宋体" w:cs="宋体"/>
          <w:sz w:val="24"/>
          <w:highlight w:val="none"/>
          <w:lang w:val="zh-CN"/>
        </w:rPr>
        <w:t>（</w:t>
      </w:r>
      <w:r>
        <w:rPr>
          <w:rFonts w:hint="eastAsia" w:ascii="宋体" w:hAnsi="宋体" w:eastAsia="宋体" w:cs="宋体"/>
          <w:sz w:val="24"/>
          <w:highlight w:val="none"/>
          <w:lang w:val="en-US" w:eastAsia="zh-CN"/>
        </w:rPr>
        <w:t>9</w:t>
      </w:r>
      <w:r>
        <w:rPr>
          <w:rFonts w:hint="eastAsia" w:ascii="宋体" w:hAnsi="宋体" w:eastAsia="宋体" w:cs="宋体"/>
          <w:sz w:val="24"/>
          <w:highlight w:val="none"/>
          <w:lang w:val="zh-CN"/>
        </w:rPr>
        <w:t>）政府采购供应商廉洁自律承诺书</w:t>
      </w:r>
      <w:r>
        <w:rPr>
          <w:rFonts w:hint="eastAsia" w:ascii="宋体" w:hAnsi="宋体" w:eastAsia="宋体" w:cs="宋体"/>
          <w:highlight w:val="none"/>
        </w:rPr>
        <w:t>…………………………………………………（页码）</w:t>
      </w:r>
    </w:p>
    <w:p>
      <w:pPr>
        <w:snapToGrid w:val="0"/>
        <w:spacing w:line="360" w:lineRule="auto"/>
        <w:jc w:val="both"/>
        <w:rPr>
          <w:rFonts w:hint="eastAsia" w:ascii="宋体" w:hAnsi="宋体" w:eastAsia="宋体" w:cs="宋体"/>
          <w:b/>
          <w:kern w:val="0"/>
          <w:sz w:val="32"/>
          <w:szCs w:val="32"/>
          <w:highlight w:val="none"/>
          <w:lang w:val="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zh-CN" w:eastAsia="zh-CN"/>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eastAsia="zh-CN"/>
        </w:rPr>
        <w:t>）</w:t>
      </w:r>
      <w:r>
        <w:rPr>
          <w:rFonts w:hint="eastAsia" w:ascii="宋体" w:hAnsi="宋体" w:eastAsia="宋体" w:cs="宋体"/>
          <w:color w:val="auto"/>
          <w:sz w:val="24"/>
          <w:szCs w:val="24"/>
          <w:highlight w:val="none"/>
          <w:lang w:val="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rPr>
        <w:t>认为需要的其他文件资料</w:t>
      </w:r>
      <w:r>
        <w:rPr>
          <w:rFonts w:hint="eastAsia" w:ascii="宋体" w:hAnsi="宋体" w:eastAsia="宋体" w:cs="宋体"/>
          <w:color w:val="auto"/>
          <w:sz w:val="24"/>
          <w:szCs w:val="24"/>
          <w:highlight w:val="none"/>
          <w:lang w:val="zh-CN" w:eastAsia="zh-CN"/>
        </w:rPr>
        <w:t>（如有）</w:t>
      </w:r>
      <w:r>
        <w:rPr>
          <w:rFonts w:hint="eastAsia" w:ascii="宋体" w:hAnsi="宋体" w:eastAsia="宋体" w:cs="宋体"/>
          <w:highlight w:val="none"/>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（页码）</w:t>
      </w: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kern w:val="0"/>
          <w:sz w:val="32"/>
          <w:szCs w:val="32"/>
          <w:highlight w:val="none"/>
        </w:rPr>
      </w:pPr>
    </w:p>
    <w:p>
      <w:pPr>
        <w:snapToGrid w:val="0"/>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2.1资格文件：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2.1.1承诺函；</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pPr>
        <w:snapToGrid w:val="0"/>
        <w:spacing w:line="360" w:lineRule="auto"/>
        <w:ind w:left="210" w:leftChars="1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2.2.3联合协议（如果有）；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2.2.5符合性审查资料；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2.2.7商务技术偏离表；</w:t>
      </w:r>
    </w:p>
    <w:p>
      <w:pPr>
        <w:snapToGrid w:val="0"/>
        <w:spacing w:line="360" w:lineRule="auto"/>
        <w:ind w:left="420" w:leftChars="200"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8</w:t>
      </w:r>
      <w:r>
        <w:rPr>
          <w:rFonts w:hint="eastAsia" w:ascii="宋体" w:hAnsi="宋体" w:eastAsia="宋体" w:cs="宋体"/>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360" w:lineRule="auto"/>
        <w:ind w:firstLine="3600" w:firstLineChars="1500"/>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kern w:val="0"/>
          <w:sz w:val="24"/>
          <w:highlight w:val="none"/>
          <w:u w:val="single"/>
          <w:lang w:val="zh-CN"/>
        </w:rPr>
      </w:pPr>
    </w:p>
    <w:p>
      <w:pPr>
        <w:snapToGrid w:val="0"/>
        <w:spacing w:line="360" w:lineRule="auto"/>
        <w:jc w:val="center"/>
        <w:rPr>
          <w:rFonts w:hint="eastAsia" w:ascii="宋体" w:hAnsi="宋体" w:eastAsia="宋体" w:cs="宋体"/>
          <w:b/>
          <w:kern w:val="0"/>
          <w:sz w:val="32"/>
          <w:szCs w:val="32"/>
          <w:highlight w:val="none"/>
          <w:lang w:val="zh-CN"/>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jc w:val="center"/>
        <w:rPr>
          <w:rFonts w:hint="eastAsia" w:ascii="宋体" w:hAnsi="宋体" w:eastAsia="宋体" w:cs="宋体"/>
          <w:b/>
          <w:kern w:val="0"/>
          <w:sz w:val="32"/>
          <w:szCs w:val="32"/>
          <w:highlight w:val="none"/>
          <w:lang w:val="zh-CN"/>
        </w:rPr>
      </w:pPr>
    </w:p>
    <w:p>
      <w:pPr>
        <w:pStyle w:val="5"/>
        <w:rPr>
          <w:rFonts w:hint="eastAsia" w:ascii="宋体" w:hAnsi="宋体" w:eastAsia="宋体" w:cs="宋体"/>
          <w:highlight w:val="none"/>
          <w:lang w:val="zh-CN"/>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line="360" w:lineRule="auto"/>
        <w:ind w:firstLine="2872" w:firstLineChars="894"/>
        <w:rPr>
          <w:rFonts w:hint="eastAsia" w:ascii="宋体" w:hAnsi="宋体" w:eastAsia="宋体" w:cs="宋体"/>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sz w:val="24"/>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zh-CN"/>
        </w:rPr>
        <w:t xml:space="preserve">      </w:t>
      </w:r>
      <w:r>
        <w:rPr>
          <w:rFonts w:hint="eastAsia" w:ascii="宋体" w:hAnsi="宋体" w:eastAsia="宋体" w:cs="宋体"/>
          <w:b/>
          <w:kern w:val="0"/>
          <w:sz w:val="32"/>
          <w:szCs w:val="32"/>
          <w:highlight w:val="none"/>
        </w:rPr>
        <w:t xml:space="preserve"> </w:t>
      </w:r>
      <w:r>
        <w:rPr>
          <w:rFonts w:hint="eastAsia" w:ascii="宋体" w:hAnsi="宋体" w:eastAsia="宋体" w:cs="宋体"/>
          <w:b/>
          <w:kern w:val="0"/>
          <w:sz w:val="32"/>
          <w:szCs w:val="32"/>
          <w:highlight w:val="none"/>
          <w:lang w:val="zh-CN"/>
        </w:rPr>
        <w:t>授权委托书（适用于联合体投标）</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pPr>
        <w:pStyle w:val="88"/>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7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eastAsia" w:ascii="宋体" w:hAnsi="宋体" w:eastAsia="宋体" w:cs="宋体"/>
                <w:bCs/>
                <w:sz w:val="24"/>
                <w:szCs w:val="20"/>
                <w:highlight w:val="none"/>
              </w:rPr>
            </w:pPr>
            <w:r>
              <w:rPr>
                <w:rFonts w:hint="eastAsia" w:ascii="宋体" w:hAnsi="宋体" w:eastAsia="宋体" w:cs="宋体"/>
                <w:bCs/>
                <w:sz w:val="24"/>
                <w:szCs w:val="20"/>
                <w:highlight w:val="none"/>
              </w:rPr>
              <w:t>正面：                                 反面：</w:t>
            </w:r>
          </w:p>
          <w:p>
            <w:pPr>
              <w:pStyle w:val="88"/>
              <w:adjustRightInd w:val="0"/>
              <w:spacing w:before="0" w:beforeAutospacing="0" w:after="0" w:afterAutospacing="0" w:line="360" w:lineRule="auto"/>
              <w:ind w:left="0" w:right="0"/>
              <w:rPr>
                <w:rFonts w:hint="eastAsia" w:ascii="宋体" w:hAnsi="宋体" w:eastAsia="宋体" w:cs="宋体"/>
                <w:bCs/>
                <w:sz w:val="24"/>
                <w:szCs w:val="20"/>
                <w:highlight w:val="none"/>
              </w:rPr>
            </w:pPr>
          </w:p>
        </w:tc>
      </w:tr>
    </w:tbl>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pPr>
        <w:snapToGrid w:val="0"/>
        <w:spacing w:line="360" w:lineRule="auto"/>
        <w:ind w:firstLine="576"/>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pPr>
        <w:spacing w:line="360" w:lineRule="auto"/>
        <w:jc w:val="center"/>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5"/>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rPr>
        <w:t>三、</w:t>
      </w:r>
      <w:r>
        <w:rPr>
          <w:rFonts w:hint="eastAsia" w:ascii="宋体" w:hAnsi="宋体" w:eastAsia="宋体" w:cs="宋体"/>
          <w:b/>
          <w:kern w:val="0"/>
          <w:sz w:val="32"/>
          <w:szCs w:val="32"/>
          <w:highlight w:val="none"/>
          <w:lang w:val="zh-CN"/>
        </w:rPr>
        <w:t>联合协议</w:t>
      </w:r>
    </w:p>
    <w:p>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（联合体所有成员名称）</w:t>
      </w:r>
      <w:r>
        <w:rPr>
          <w:rFonts w:hint="eastAsia" w:ascii="宋体" w:hAnsi="宋体" w:eastAsia="宋体" w:cs="宋体"/>
          <w:kern w:val="0"/>
          <w:sz w:val="24"/>
          <w:highlight w:val="none"/>
        </w:rPr>
        <w:t>自愿</w:t>
      </w:r>
      <w:r>
        <w:rPr>
          <w:rFonts w:hint="eastAsia" w:ascii="宋体" w:hAnsi="宋体" w:eastAsia="宋体" w:cs="宋体"/>
          <w:kern w:val="0"/>
          <w:sz w:val="24"/>
          <w:highlight w:val="none"/>
          <w:lang w:val="zh-CN"/>
        </w:rPr>
        <w:t>组成一个联合体，以一个投标人的身份</w:t>
      </w:r>
      <w:r>
        <w:rPr>
          <w:rFonts w:hint="eastAsia" w:ascii="宋体" w:hAnsi="宋体" w:eastAsia="宋体" w:cs="宋体"/>
          <w:kern w:val="0"/>
          <w:sz w:val="24"/>
          <w:highlight w:val="none"/>
        </w:rPr>
        <w:t>参加</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 xml:space="preserve">投标。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一、各方一致决定，</w:t>
      </w:r>
      <w:r>
        <w:rPr>
          <w:rFonts w:hint="eastAsia" w:ascii="宋体" w:hAnsi="宋体" w:eastAsia="宋体" w:cs="宋体"/>
          <w:kern w:val="0"/>
          <w:sz w:val="24"/>
          <w:highlight w:val="none"/>
          <w:u w:val="single"/>
        </w:rPr>
        <w:t>（某联合体成员名称）</w:t>
      </w:r>
      <w:r>
        <w:rPr>
          <w:rFonts w:hint="eastAsia" w:ascii="宋体" w:hAnsi="宋体" w:eastAsia="宋体" w:cs="宋体"/>
          <w:kern w:val="0"/>
          <w:sz w:val="24"/>
          <w:highlight w:val="none"/>
        </w:rPr>
        <w:t>为联合体</w:t>
      </w:r>
      <w:r>
        <w:rPr>
          <w:rFonts w:hint="eastAsia" w:ascii="宋体" w:hAnsi="宋体" w:eastAsia="宋体" w:cs="宋体"/>
          <w:kern w:val="0"/>
          <w:sz w:val="24"/>
          <w:highlight w:val="none"/>
          <w:lang w:val="zh-CN"/>
        </w:rPr>
        <w:t>牵头人</w:t>
      </w:r>
      <w:r>
        <w:rPr>
          <w:rFonts w:hint="eastAsia" w:ascii="宋体" w:hAnsi="宋体" w:eastAsia="宋体" w:cs="宋体"/>
          <w:sz w:val="24"/>
          <w:highlight w:val="none"/>
        </w:rPr>
        <w:t>，代表所有联合体成员负责投标和合同实施阶段的主办、协调工作</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w:t>
      </w:r>
      <w:r>
        <w:rPr>
          <w:rFonts w:hint="eastAsia" w:ascii="宋体" w:hAnsi="宋体" w:eastAsia="宋体" w:cs="宋体"/>
          <w:sz w:val="24"/>
          <w:highlight w:val="none"/>
        </w:rPr>
        <w:t>所有联合体成员各方签署授权书，授权书载明的</w:t>
      </w:r>
      <w:r>
        <w:rPr>
          <w:rFonts w:hint="eastAsia" w:ascii="宋体" w:hAnsi="宋体" w:eastAsia="宋体" w:cs="宋体"/>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三、本次联合投标中，分工如下：</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lang w:val="zh-CN"/>
        </w:rPr>
        <w:t>承担的工作和义务为：</w:t>
      </w:r>
      <w:r>
        <w:rPr>
          <w:rFonts w:hint="eastAsia" w:ascii="宋体" w:hAnsi="宋体" w:eastAsia="宋体" w:cs="宋体"/>
          <w:highlight w:val="none"/>
          <w:u w:val="single"/>
        </w:rPr>
        <w:t xml:space="preserve">             </w:t>
      </w:r>
      <w:r>
        <w:rPr>
          <w:rFonts w:hint="eastAsia" w:ascii="宋体" w:hAnsi="宋体" w:eastAsia="宋体" w:cs="宋体"/>
          <w:kern w:val="0"/>
          <w:sz w:val="24"/>
          <w:highlight w:val="none"/>
          <w:lang w:val="zh-CN"/>
        </w:rPr>
        <w:t>；……。</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四、</w:t>
      </w:r>
      <w:r>
        <w:rPr>
          <w:rFonts w:hint="eastAsia" w:ascii="宋体" w:hAnsi="宋体" w:eastAsia="宋体" w:cs="宋体"/>
          <w:kern w:val="0"/>
          <w:sz w:val="24"/>
          <w:highlight w:val="none"/>
          <w:u w:val="single"/>
        </w:rPr>
        <w:t>（联合体其中一方成员名称）</w:t>
      </w:r>
      <w:r>
        <w:rPr>
          <w:rFonts w:hint="eastAsia" w:ascii="宋体" w:hAnsi="宋体" w:eastAsia="宋体" w:cs="宋体"/>
          <w:kern w:val="0"/>
          <w:sz w:val="24"/>
          <w:highlight w:val="none"/>
        </w:rPr>
        <w:t>提供的全部货物由小微企业制造，其合同份额占到合同总金额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w:t>
      </w:r>
      <w:r>
        <w:rPr>
          <w:rFonts w:hint="eastAsia" w:ascii="宋体" w:hAnsi="宋体" w:eastAsia="宋体" w:cs="宋体"/>
          <w:b/>
          <w:kern w:val="0"/>
          <w:sz w:val="24"/>
          <w:highlight w:val="none"/>
          <w:lang w:val="zh-CN"/>
        </w:rPr>
        <w:t>对联合体报价给予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五、如果中标，</w:t>
      </w:r>
      <w:r>
        <w:rPr>
          <w:rFonts w:hint="eastAsia" w:ascii="宋体" w:hAnsi="宋体" w:eastAsia="宋体" w:cs="宋体"/>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六、有关本次联合投标的其他事宜：</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snapToGrid w:val="0"/>
        <w:spacing w:line="360" w:lineRule="auto"/>
        <w:ind w:right="480"/>
        <w:rPr>
          <w:rFonts w:hint="eastAsia" w:ascii="宋体" w:hAnsi="宋体" w:eastAsia="宋体" w:cs="宋体"/>
          <w:b/>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四、分包意向协议</w:t>
      </w:r>
    </w:p>
    <w:p>
      <w:pPr>
        <w:widowControl/>
        <w:spacing w:line="360" w:lineRule="auto"/>
        <w:ind w:firstLine="120" w:firstLineChars="5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sz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若成为</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的中标供应商，将依法采取分包方式履行合同。</w:t>
      </w: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rPr>
        <w:t>与</w:t>
      </w:r>
      <w:r>
        <w:rPr>
          <w:rFonts w:hint="eastAsia" w:ascii="宋体" w:hAnsi="宋体" w:eastAsia="宋体" w:cs="宋体"/>
          <w:kern w:val="0"/>
          <w:sz w:val="24"/>
          <w:highlight w:val="none"/>
          <w:u w:val="single"/>
        </w:rPr>
        <w:t>（所有分包供应商名称）</w:t>
      </w:r>
      <w:r>
        <w:rPr>
          <w:rFonts w:hint="eastAsia" w:ascii="宋体" w:hAnsi="宋体" w:eastAsia="宋体" w:cs="宋体"/>
          <w:kern w:val="0"/>
          <w:sz w:val="24"/>
          <w:highlight w:val="none"/>
        </w:rPr>
        <w:t>达成分包意向协议</w:t>
      </w:r>
      <w:r>
        <w:rPr>
          <w:rFonts w:hint="eastAsia" w:ascii="宋体" w:hAnsi="宋体" w:eastAsia="宋体" w:cs="宋体"/>
          <w:kern w:val="0"/>
          <w:sz w:val="24"/>
          <w:highlight w:val="none"/>
          <w:lang w:val="zh-CN"/>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一、分包标的及数量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u w:val="single"/>
        </w:rPr>
        <w:t>（投标人名称）</w:t>
      </w:r>
      <w:r>
        <w:rPr>
          <w:rFonts w:hint="eastAsia" w:ascii="宋体" w:hAnsi="宋体" w:eastAsia="宋体" w:cs="宋体"/>
          <w:kern w:val="0"/>
          <w:sz w:val="24"/>
          <w:highlight w:val="none"/>
          <w:lang w:val="zh-CN"/>
        </w:rPr>
        <w:t>将</w:t>
      </w:r>
      <w:r>
        <w:rPr>
          <w:rFonts w:hint="eastAsia" w:ascii="宋体" w:hAnsi="宋体" w:eastAsia="宋体" w:cs="宋体"/>
          <w:highlight w:val="none"/>
          <w:u w:val="single"/>
        </w:rPr>
        <w:t xml:space="preserve">   XX工作内容   </w:t>
      </w:r>
      <w:r>
        <w:rPr>
          <w:rFonts w:hint="eastAsia" w:ascii="宋体" w:hAnsi="宋体" w:eastAsia="宋体" w:cs="宋体"/>
          <w:sz w:val="24"/>
          <w:highlight w:val="none"/>
        </w:rPr>
        <w:t>分包给</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（某分包供应商名称），</w:t>
      </w:r>
      <w:r>
        <w:rPr>
          <w:rFonts w:hint="eastAsia" w:ascii="宋体" w:hAnsi="宋体" w:eastAsia="宋体" w:cs="宋体"/>
          <w:kern w:val="0"/>
          <w:sz w:val="24"/>
          <w:highlight w:val="none"/>
          <w:lang w:val="zh-CN"/>
        </w:rPr>
        <w:t>具备承</w:t>
      </w:r>
      <w:r>
        <w:rPr>
          <w:rFonts w:hint="eastAsia" w:ascii="宋体" w:hAnsi="宋体" w:eastAsia="宋体" w:cs="宋体"/>
          <w:kern w:val="0"/>
          <w:sz w:val="24"/>
          <w:highlight w:val="none"/>
        </w:rPr>
        <w:t>担</w:t>
      </w:r>
      <w:r>
        <w:rPr>
          <w:rFonts w:hint="eastAsia" w:ascii="宋体" w:hAnsi="宋体" w:eastAsia="宋体" w:cs="宋体"/>
          <w:kern w:val="0"/>
          <w:sz w:val="24"/>
          <w:highlight w:val="none"/>
          <w:u w:val="single"/>
          <w:lang w:val="zh-CN"/>
        </w:rPr>
        <w:t>XX工作内容</w:t>
      </w:r>
      <w:r>
        <w:rPr>
          <w:rFonts w:hint="eastAsia" w:ascii="宋体" w:hAnsi="宋体" w:eastAsia="宋体" w:cs="宋体"/>
          <w:kern w:val="0"/>
          <w:sz w:val="24"/>
          <w:highlight w:val="none"/>
          <w:lang w:val="zh-CN"/>
        </w:rPr>
        <w:t>相应资质条件且不得再次分包；</w:t>
      </w:r>
    </w:p>
    <w:p>
      <w:pPr>
        <w:pStyle w:val="5"/>
        <w:ind w:left="664" w:leftChars="316" w:firstLine="229" w:firstLineChars="95"/>
        <w:rPr>
          <w:rFonts w:hint="eastAsia" w:ascii="宋体" w:hAnsi="宋体" w:eastAsia="宋体" w:cs="宋体"/>
          <w:highlight w:val="none"/>
        </w:rPr>
      </w:pPr>
      <w:r>
        <w:rPr>
          <w:rFonts w:hint="eastAsia" w:ascii="宋体" w:hAnsi="宋体" w:eastAsia="宋体" w:cs="宋体"/>
          <w:kern w:val="0"/>
          <w:sz w:val="24"/>
          <w:szCs w:val="24"/>
          <w:highlight w:val="none"/>
        </w:rPr>
        <w:t>……</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二、分包工作履行期限、地点、方式</w:t>
      </w:r>
    </w:p>
    <w:p>
      <w:pPr>
        <w:snapToGrid w:val="0"/>
        <w:spacing w:line="360" w:lineRule="auto"/>
        <w:ind w:firstLine="576"/>
        <w:rPr>
          <w:rFonts w:hint="eastAsia" w:ascii="宋体" w:hAnsi="宋体" w:eastAsia="宋体" w:cs="宋体"/>
          <w:highlight w:val="none"/>
          <w:u w:val="single"/>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三、质量</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四、价款或者报酬</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left="573" w:leftChars="273"/>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五、违约责任</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六、争议解决的办法</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highlight w:val="none"/>
          <w:u w:val="single"/>
        </w:rPr>
        <w:t xml:space="preserve">                                                                                  </w:t>
      </w:r>
    </w:p>
    <w:p>
      <w:pPr>
        <w:snapToGrid w:val="0"/>
        <w:spacing w:line="360" w:lineRule="auto"/>
        <w:ind w:firstLine="576"/>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七、其他</w:t>
      </w:r>
    </w:p>
    <w:p>
      <w:pPr>
        <w:snapToGrid w:val="0"/>
        <w:spacing w:line="360" w:lineRule="auto"/>
        <w:ind w:firstLine="576"/>
        <w:rPr>
          <w:rFonts w:hint="eastAsia" w:ascii="宋体" w:hAnsi="宋体" w:eastAsia="宋体" w:cs="宋体"/>
          <w:b/>
          <w:kern w:val="0"/>
          <w:sz w:val="24"/>
          <w:highlight w:val="none"/>
          <w:lang w:val="zh-CN"/>
        </w:rPr>
      </w:pPr>
      <w:r>
        <w:rPr>
          <w:rFonts w:hint="eastAsia" w:ascii="宋体" w:hAnsi="宋体" w:eastAsia="宋体" w:cs="宋体"/>
          <w:kern w:val="0"/>
          <w:sz w:val="24"/>
          <w:highlight w:val="none"/>
          <w:u w:val="single"/>
        </w:rPr>
        <w:t>（分包供应商名称）提供的货物全部由小微企业制造，</w:t>
      </w:r>
      <w:r>
        <w:rPr>
          <w:rFonts w:hint="eastAsia" w:ascii="宋体" w:hAnsi="宋体" w:eastAsia="宋体" w:cs="宋体"/>
          <w:kern w:val="0"/>
          <w:sz w:val="24"/>
          <w:highlight w:val="none"/>
        </w:rPr>
        <w:t>其合同份额占到合同总金额</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%以上</w:t>
      </w:r>
      <w:r>
        <w:rPr>
          <w:rFonts w:hint="eastAsia" w:ascii="宋体" w:hAnsi="宋体" w:eastAsia="宋体" w:cs="宋体"/>
          <w:highlight w:val="none"/>
        </w:rPr>
        <w:t>。</w:t>
      </w:r>
      <w:r>
        <w:rPr>
          <w:rFonts w:hint="eastAsia" w:ascii="宋体" w:hAnsi="宋体" w:eastAsia="宋体" w:cs="宋体"/>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eastAsia="宋体" w:cs="宋体"/>
          <w:b/>
          <w:kern w:val="0"/>
          <w:sz w:val="24"/>
          <w:highlight w:val="none"/>
          <w:lang w:val="en-US" w:eastAsia="zh-CN"/>
        </w:rPr>
        <w:t>6</w:t>
      </w:r>
      <w:r>
        <w:rPr>
          <w:rFonts w:hint="eastAsia" w:ascii="宋体" w:hAnsi="宋体" w:eastAsia="宋体" w:cs="宋体"/>
          <w:b/>
          <w:kern w:val="0"/>
          <w:sz w:val="24"/>
          <w:highlight w:val="none"/>
          <w:lang w:val="zh-CN"/>
        </w:rPr>
        <w:t>%的扣除</w:t>
      </w:r>
      <w:r>
        <w:rPr>
          <w:rFonts w:hint="eastAsia" w:ascii="宋体" w:hAnsi="宋体" w:eastAsia="宋体" w:cs="宋体"/>
          <w:b/>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w:t>
      </w:r>
    </w:p>
    <w:p>
      <w:pPr>
        <w:snapToGrid w:val="0"/>
        <w:spacing w:line="360" w:lineRule="auto"/>
        <w:ind w:firstLine="5640" w:firstLineChars="23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分包供应商名称：</w:t>
      </w:r>
    </w:p>
    <w:p>
      <w:pPr>
        <w:snapToGrid w:val="0"/>
        <w:spacing w:line="360" w:lineRule="auto"/>
        <w:ind w:firstLine="5760" w:firstLineChars="2400"/>
        <w:rPr>
          <w:rFonts w:hint="eastAsia" w:ascii="宋体" w:hAnsi="宋体" w:eastAsia="宋体" w:cs="宋体"/>
          <w:highlight w:val="none"/>
        </w:rPr>
      </w:pPr>
      <w:r>
        <w:rPr>
          <w:rFonts w:hint="eastAsia" w:ascii="宋体" w:hAnsi="宋体" w:eastAsia="宋体" w:cs="宋体"/>
          <w:kern w:val="0"/>
          <w:sz w:val="24"/>
          <w:highlight w:val="none"/>
          <w:lang w:val="zh-CN"/>
        </w:rPr>
        <w:t>……</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五、符合性审查资料</w:t>
      </w:r>
    </w:p>
    <w:p>
      <w:pPr>
        <w:jc w:val="center"/>
        <w:rPr>
          <w:rFonts w:hint="eastAsia" w:ascii="宋体" w:hAnsi="宋体" w:eastAsia="宋体" w:cs="宋体"/>
          <w:b/>
          <w:kern w:val="0"/>
          <w:sz w:val="32"/>
          <w:szCs w:val="32"/>
          <w:highlight w:val="none"/>
        </w:rPr>
      </w:pPr>
    </w:p>
    <w:tbl>
      <w:tblPr>
        <w:tblStyle w:val="7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投标文件中的</w:t>
            </w:r>
          </w:p>
          <w:p>
            <w:pPr>
              <w:snapToGrid w:val="0"/>
              <w:spacing w:before="0" w:beforeAutospacing="0" w:after="0" w:afterAutospacing="0" w:line="240" w:lineRule="atLeast"/>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见投标文件</w:t>
            </w:r>
          </w:p>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节能产品认证证书（本项目拟采购的产品不属于政府强制采购的节能产品品目清单范围的，无需提供）</w:t>
            </w:r>
          </w:p>
        </w:tc>
        <w:tc>
          <w:tcPr>
            <w:tcW w:w="1418" w:type="dxa"/>
            <w:vAlign w:val="top"/>
          </w:tcPr>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p>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见投标文件</w:t>
            </w:r>
          </w:p>
          <w:p>
            <w:pPr>
              <w:pStyle w:val="5"/>
              <w:spacing w:before="0" w:beforeAutospacing="0" w:after="0" w:afterAutospacing="0"/>
              <w:ind w:right="0"/>
              <w:rPr>
                <w:rFonts w:hint="eastAsia" w:ascii="宋体" w:hAnsi="宋体" w:eastAsia="宋体" w:cs="宋体"/>
                <w:sz w:val="20"/>
                <w:szCs w:val="20"/>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3</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投标函</w:t>
            </w:r>
          </w:p>
        </w:tc>
        <w:tc>
          <w:tcPr>
            <w:tcW w:w="1418" w:type="dxa"/>
            <w:vAlign w:val="top"/>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见投标文件第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4</w:t>
            </w:r>
          </w:p>
        </w:tc>
        <w:tc>
          <w:tcPr>
            <w:tcW w:w="4991" w:type="dxa"/>
            <w:vAlign w:val="top"/>
          </w:tcPr>
          <w:p>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宋体" w:hAnsi="宋体" w:eastAsia="宋体" w:cs="宋体"/>
                <w:sz w:val="24"/>
                <w:szCs w:val="20"/>
                <w:highlight w:val="none"/>
              </w:rPr>
            </w:pPr>
            <w:r>
              <w:rPr>
                <w:rFonts w:hint="eastAsia" w:ascii="宋体" w:hAnsi="宋体" w:eastAsia="宋体" w:cs="宋体"/>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宋体" w:hAnsi="宋体" w:eastAsia="宋体" w:cs="宋体"/>
                <w:sz w:val="20"/>
                <w:szCs w:val="20"/>
                <w:highlight w:val="none"/>
              </w:rPr>
            </w:pPr>
            <w:r>
              <w:rPr>
                <w:rFonts w:hint="eastAsia" w:ascii="宋体" w:hAnsi="宋体" w:eastAsia="宋体" w:cs="宋体"/>
                <w:sz w:val="24"/>
                <w:szCs w:val="20"/>
                <w:highlight w:val="none"/>
              </w:rPr>
              <w:t>见投标文件第</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页</w:t>
            </w:r>
          </w:p>
        </w:tc>
      </w:tr>
    </w:tbl>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pStyle w:val="5"/>
        <w:rPr>
          <w:rFonts w:hint="eastAsia" w:ascii="宋体" w:hAnsi="宋体" w:eastAsia="宋体" w:cs="宋体"/>
          <w:highlight w:val="none"/>
        </w:rPr>
      </w:pPr>
    </w:p>
    <w:p>
      <w:pPr>
        <w:jc w:val="center"/>
        <w:rPr>
          <w:rFonts w:hint="eastAsia" w:ascii="宋体" w:hAnsi="宋体" w:eastAsia="宋体" w:cs="宋体"/>
          <w:highlight w:val="none"/>
        </w:rPr>
      </w:pPr>
      <w:r>
        <w:rPr>
          <w:rFonts w:hint="eastAsia" w:ascii="宋体" w:hAnsi="宋体" w:eastAsia="宋体" w:cs="宋体"/>
          <w:b/>
          <w:kern w:val="0"/>
          <w:sz w:val="32"/>
          <w:szCs w:val="32"/>
          <w:highlight w:val="none"/>
        </w:rPr>
        <w:t>六、评标标准相应的商务技术资料</w:t>
      </w:r>
    </w:p>
    <w:p>
      <w:pPr>
        <w:snapToGrid w:val="0"/>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tbl>
      <w:tblPr>
        <w:tblStyle w:val="7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pStyle w:val="5"/>
        <w:rPr>
          <w:rFonts w:hint="eastAsia" w:ascii="宋体" w:hAnsi="宋体" w:eastAsia="宋体" w:cs="宋体"/>
          <w:b/>
          <w:kern w:val="0"/>
          <w:sz w:val="32"/>
          <w:szCs w:val="32"/>
          <w:highlight w:val="none"/>
        </w:rPr>
      </w:pPr>
    </w:p>
    <w:p>
      <w:pPr>
        <w:rPr>
          <w:rFonts w:hint="eastAsia" w:ascii="宋体" w:hAnsi="宋体" w:eastAsia="宋体" w:cs="宋体"/>
          <w:b/>
          <w:kern w:val="0"/>
          <w:sz w:val="32"/>
          <w:szCs w:val="32"/>
          <w:highlight w:val="none"/>
        </w:rPr>
      </w:pPr>
    </w:p>
    <w:p>
      <w:pPr>
        <w:pStyle w:val="5"/>
        <w:rPr>
          <w:rFonts w:hint="eastAsia" w:ascii="宋体" w:hAnsi="宋体" w:eastAsia="宋体" w:cs="宋体"/>
          <w:b/>
          <w:kern w:val="0"/>
          <w:sz w:val="32"/>
          <w:szCs w:val="32"/>
          <w:highlight w:val="none"/>
        </w:rPr>
      </w:pPr>
    </w:p>
    <w:p>
      <w:pPr>
        <w:rPr>
          <w:rFonts w:hint="eastAsia" w:ascii="宋体" w:hAnsi="宋体" w:eastAsia="宋体" w:cs="宋体"/>
          <w:highlight w:val="none"/>
        </w:rPr>
      </w:pP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八</w:t>
      </w:r>
      <w:r>
        <w:rPr>
          <w:rFonts w:hint="eastAsia" w:ascii="宋体" w:hAnsi="宋体" w:eastAsia="宋体" w:cs="宋体"/>
          <w:b/>
          <w:kern w:val="0"/>
          <w:sz w:val="32"/>
          <w:szCs w:val="32"/>
          <w:highlight w:val="none"/>
        </w:rPr>
        <w:t>、商务技术偏离表</w:t>
      </w:r>
    </w:p>
    <w:tbl>
      <w:tblPr>
        <w:tblStyle w:val="7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vAlign w:val="top"/>
          </w:tcPr>
          <w:p>
            <w:pPr>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354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c>
          <w:tcPr>
            <w:tcW w:w="1276" w:type="dxa"/>
            <w:vAlign w:val="top"/>
          </w:tcPr>
          <w:p>
            <w:pPr>
              <w:spacing w:before="0" w:beforeAutospacing="0" w:after="0" w:afterAutospacing="0"/>
              <w:ind w:left="0" w:right="0"/>
              <w:jc w:val="center"/>
              <w:rPr>
                <w:rFonts w:hint="eastAsia" w:ascii="宋体" w:hAnsi="宋体" w:eastAsia="宋体" w:cs="宋体"/>
                <w:b/>
                <w:kern w:val="0"/>
                <w:sz w:val="32"/>
                <w:szCs w:val="32"/>
                <w:highlight w:val="none"/>
              </w:rPr>
            </w:pPr>
          </w:p>
        </w:tc>
      </w:tr>
    </w:tbl>
    <w:p>
      <w:pPr>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jc w:val="center"/>
        <w:rPr>
          <w:rFonts w:hint="eastAsia" w:ascii="宋体" w:hAnsi="宋体" w:eastAsia="宋体" w:cs="宋体"/>
          <w:b/>
          <w:kern w:val="0"/>
          <w:sz w:val="32"/>
          <w:szCs w:val="32"/>
          <w:highlight w:val="none"/>
        </w:rPr>
      </w:pPr>
    </w:p>
    <w:p>
      <w:pPr>
        <w:ind w:firstLine="1911" w:firstLineChars="595"/>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br w:type="page"/>
      </w:r>
    </w:p>
    <w:p>
      <w:pPr>
        <w:ind w:firstLine="1911" w:firstLineChars="595"/>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九</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pPr>
        <w:snapToGrid w:val="0"/>
        <w:spacing w:line="360" w:lineRule="auto"/>
        <w:rPr>
          <w:rFonts w:hint="eastAsia" w:ascii="宋体" w:hAnsi="宋体" w:eastAsia="宋体" w:cs="宋体"/>
          <w:sz w:val="24"/>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pPr>
        <w:autoSpaceDE w:val="0"/>
        <w:autoSpaceDN w:val="0"/>
        <w:spacing w:line="360" w:lineRule="auto"/>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jc w:val="left"/>
        <w:rPr>
          <w:rFonts w:hint="eastAsia" w:ascii="宋体" w:hAnsi="宋体" w:eastAsia="宋体" w:cs="宋体"/>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pPr>
        <w:spacing w:line="360" w:lineRule="auto"/>
        <w:ind w:left="4620" w:leftChars="22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b/>
          <w:bCs/>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pPr>
        <w:spacing w:line="360" w:lineRule="auto"/>
        <w:jc w:val="center"/>
        <w:outlineLvl w:val="0"/>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pPr>
        <w:spacing w:line="360" w:lineRule="auto"/>
        <w:jc w:val="center"/>
        <w:outlineLvl w:val="0"/>
        <w:rPr>
          <w:rFonts w:hint="eastAsia" w:ascii="宋体" w:hAnsi="宋体" w:eastAsia="宋体" w:cs="宋体"/>
          <w:b/>
          <w:kern w:val="0"/>
          <w:sz w:val="36"/>
          <w:szCs w:val="36"/>
          <w:highlight w:val="none"/>
        </w:rPr>
      </w:pP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（1）开标一览表（报价表）……………………………………………………（页码）</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（2）中小企业声明函……………………………………………………………（页码）</w:t>
      </w:r>
    </w:p>
    <w:p>
      <w:pPr>
        <w:snapToGrid w:val="0"/>
        <w:spacing w:line="360" w:lineRule="auto"/>
        <w:ind w:right="480"/>
        <w:jc w:val="both"/>
        <w:rPr>
          <w:rFonts w:hint="eastAsia" w:ascii="宋体" w:hAnsi="宋体" w:eastAsia="宋体" w:cs="宋体"/>
          <w:b/>
          <w:kern w:val="0"/>
          <w:sz w:val="32"/>
          <w:szCs w:val="32"/>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投标人针对报价需要说明的其他文件和说明</w:t>
      </w:r>
      <w:r>
        <w:rPr>
          <w:rFonts w:hint="eastAsia" w:ascii="宋体" w:hAnsi="宋体" w:eastAsia="宋体" w:cs="宋体"/>
          <w:sz w:val="24"/>
          <w:highlight w:val="none"/>
          <w:lang w:eastAsia="zh-CN"/>
        </w:rPr>
        <w:t>（如有）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（页码）</w:t>
      </w: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snapToGrid w:val="0"/>
        <w:spacing w:line="360" w:lineRule="auto"/>
        <w:ind w:right="480"/>
        <w:jc w:val="center"/>
        <w:rPr>
          <w:rFonts w:hint="eastAsia" w:ascii="宋体" w:hAnsi="宋体" w:eastAsia="宋体" w:cs="宋体"/>
          <w:b/>
          <w:kern w:val="0"/>
          <w:sz w:val="32"/>
          <w:szCs w:val="32"/>
          <w:highlight w:val="none"/>
        </w:rPr>
      </w:pPr>
    </w:p>
    <w:p>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pPr>
        <w:snapToGrid w:val="0"/>
        <w:spacing w:line="360" w:lineRule="auto"/>
        <w:ind w:firstLine="482"/>
        <w:rPr>
          <w:rFonts w:hint="eastAsia" w:ascii="宋体" w:hAnsi="宋体" w:eastAsia="宋体" w:cs="宋体"/>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lang w:val="en-US" w:eastAsia="zh-CN"/>
        </w:rPr>
        <w:t>项目编号</w:t>
      </w:r>
      <w:r>
        <w:rPr>
          <w:rFonts w:hint="eastAsia" w:ascii="宋体" w:hAnsi="宋体" w:eastAsia="宋体" w:cs="宋体"/>
          <w:kern w:val="0"/>
          <w:sz w:val="24"/>
          <w:highlight w:val="none"/>
          <w:lang w:val="zh-CN"/>
        </w:rPr>
        <w:t>：</w:t>
      </w:r>
      <w:r>
        <w:rPr>
          <w:rFonts w:hint="eastAsia" w:ascii="宋体" w:hAnsi="宋体" w:eastAsia="宋体" w:cs="宋体"/>
          <w:sz w:val="24"/>
          <w:highlight w:val="none"/>
        </w:rPr>
        <w:t>（采购编号）】的实施</w:t>
      </w:r>
      <w:r>
        <w:rPr>
          <w:rFonts w:hint="eastAsia" w:ascii="宋体" w:hAnsi="宋体" w:eastAsia="宋体" w:cs="宋体"/>
          <w:kern w:val="0"/>
          <w:sz w:val="24"/>
          <w:highlight w:val="none"/>
          <w:lang w:val="zh-CN"/>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开标一览表（报价表）(单位均为人民币元)</w:t>
      </w:r>
    </w:p>
    <w:tbl>
      <w:tblPr>
        <w:tblStyle w:val="73"/>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p>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eastAsia="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r>
              <w:rPr>
                <w:rFonts w:hint="eastAsia" w:ascii="宋体" w:hAnsi="宋体" w:eastAsia="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eastAsia="宋体" w:cs="宋体"/>
                <w:sz w:val="24"/>
                <w:szCs w:val="20"/>
                <w:highlight w:val="none"/>
              </w:rPr>
            </w:pPr>
          </w:p>
        </w:tc>
      </w:tr>
    </w:tbl>
    <w:p>
      <w:pPr>
        <w:pStyle w:val="5"/>
        <w:rPr>
          <w:rFonts w:hint="eastAsia" w:ascii="宋体" w:hAnsi="宋体" w:eastAsia="宋体" w:cs="宋体"/>
          <w:highlight w:val="none"/>
          <w:lang w:val="zh-CN"/>
        </w:rPr>
      </w:pPr>
    </w:p>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firstLine="480" w:firstLineChars="200"/>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5"/>
        <w:rPr>
          <w:rFonts w:hint="eastAsia" w:ascii="宋体" w:hAnsi="宋体" w:eastAsia="宋体" w:cs="宋体"/>
          <w:color w:val="auto"/>
          <w:highlight w:val="none"/>
          <w:lang w:val="en-US" w:eastAsia="zh-CN"/>
        </w:rPr>
      </w:pPr>
    </w:p>
    <w:p>
      <w:pPr>
        <w:rPr>
          <w:rFonts w:hint="eastAsia" w:ascii="宋体" w:hAnsi="宋体" w:eastAsia="宋体" w:cs="宋体"/>
          <w:kern w:val="0"/>
          <w:sz w:val="24"/>
          <w:highlight w:val="none"/>
          <w:lang w:val="zh-CN"/>
        </w:rPr>
      </w:pPr>
    </w:p>
    <w:p>
      <w:pPr>
        <w:pStyle w:val="5"/>
        <w:rPr>
          <w:rFonts w:hint="eastAsia" w:ascii="宋体" w:hAnsi="宋体" w:eastAsia="宋体" w:cs="宋体"/>
          <w:highlight w:val="none"/>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tabs>
          <w:tab w:val="left" w:pos="8085"/>
        </w:tabs>
        <w:spacing w:line="360" w:lineRule="auto"/>
        <w:ind w:firstLine="1285" w:firstLineChars="400"/>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t>政府采购支持中小企业信用融资相关事项通知</w:t>
      </w:r>
    </w:p>
    <w:p>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一、适用对象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二、相关信息获取方式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　政府采购信用融资操作流程：</w:t>
      </w:r>
    </w:p>
    <w:p>
      <w:pPr>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（一）线上融资模式：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4.审批通过后，在线办理放贷手续。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（二）线下融资模式：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4.审批通过后，合作银行应按照合作备忘录中约定的审批放款期限和优惠利率及时予以放款。</w:t>
      </w:r>
    </w:p>
    <w:p>
      <w:pPr>
        <w:pStyle w:val="5"/>
        <w:numPr>
          <w:numId w:val="0"/>
        </w:numPr>
        <w:ind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（三）杭州e融平台申请融资</w:t>
      </w:r>
    </w:p>
    <w:p>
      <w:pPr>
        <w:pStyle w:val="5"/>
        <w:numPr>
          <w:numId w:val="0"/>
        </w:numPr>
        <w:ind w:firstLine="960" w:firstLineChars="4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四、注意事项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highlight w:val="none"/>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highlight w:val="none"/>
        </w:rPr>
      </w:pPr>
      <w:bookmarkStart w:id="404" w:name="_Toc465665161"/>
      <w:r>
        <w:rPr>
          <w:rFonts w:hint="eastAsia" w:ascii="宋体" w:hAnsi="宋体" w:eastAsia="宋体" w:cs="宋体"/>
          <w:highlight w:val="none"/>
        </w:rPr>
        <w:t>附件</w:t>
      </w:r>
      <w:bookmarkEnd w:id="404"/>
    </w:p>
    <w:p>
      <w:pPr>
        <w:spacing w:line="360" w:lineRule="auto"/>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附件1：</w:t>
      </w:r>
    </w:p>
    <w:p>
      <w:pPr>
        <w:spacing w:line="360" w:lineRule="auto"/>
        <w:jc w:val="center"/>
        <w:rPr>
          <w:rFonts w:hint="eastAsia" w:ascii="宋体" w:hAnsi="宋体" w:eastAsia="宋体" w:cs="宋体"/>
          <w:b/>
          <w:spacing w:val="6"/>
          <w:sz w:val="32"/>
          <w:szCs w:val="32"/>
          <w:highlight w:val="none"/>
        </w:rPr>
      </w:pPr>
      <w:bookmarkStart w:id="405" w:name="OLE_LINK14"/>
      <w:bookmarkStart w:id="406" w:name="OLE_LINK13"/>
      <w:r>
        <w:rPr>
          <w:rFonts w:hint="eastAsia" w:ascii="宋体" w:hAnsi="宋体" w:eastAsia="宋体" w:cs="宋体"/>
          <w:b/>
          <w:spacing w:val="6"/>
          <w:sz w:val="32"/>
          <w:szCs w:val="32"/>
          <w:highlight w:val="none"/>
        </w:rPr>
        <w:t>残疾人福利性单位声明函</w:t>
      </w:r>
    </w:p>
    <w:bookmarkEnd w:id="405"/>
    <w:bookmarkEnd w:id="406"/>
    <w:p>
      <w:pPr>
        <w:spacing w:line="360" w:lineRule="auto"/>
        <w:rPr>
          <w:rFonts w:hint="eastAsia" w:ascii="宋体" w:hAnsi="宋体" w:eastAsia="宋体" w:cs="宋体"/>
          <w:b/>
          <w:spacing w:val="6"/>
          <w:sz w:val="30"/>
          <w:szCs w:val="30"/>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lang w:val="zh-CN"/>
        </w:rPr>
        <w:t>投标人名称（电子签名）</w:t>
      </w:r>
      <w:r>
        <w:rPr>
          <w:rFonts w:hint="eastAsia" w:ascii="宋体" w:hAnsi="宋体" w:eastAsia="宋体" w:cs="宋体"/>
          <w:sz w:val="24"/>
          <w:highlight w:val="none"/>
        </w:rPr>
        <w:t>：</w:t>
      </w:r>
    </w:p>
    <w:p>
      <w:pPr>
        <w:tabs>
          <w:tab w:val="left" w:pos="4860"/>
        </w:tabs>
        <w:spacing w:line="360" w:lineRule="auto"/>
        <w:ind w:right="1560"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spacing w:line="360" w:lineRule="auto"/>
        <w:ind w:firstLine="480" w:firstLineChars="200"/>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ind w:firstLine="420" w:firstLineChars="200"/>
        <w:rPr>
          <w:rFonts w:hint="eastAsia" w:ascii="宋体" w:hAnsi="宋体" w:eastAsia="宋体" w:cs="宋体"/>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附件2：质疑函范本及制作说明</w:t>
      </w: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pPr>
        <w:snapToGrid w:val="0"/>
        <w:spacing w:before="240" w:beforeLines="100" w:line="360" w:lineRule="auto"/>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质疑事项1：</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质疑事项2</w:t>
      </w:r>
    </w:p>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p>
    <w:p>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pPr>
        <w:snapToGrid w:val="0"/>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spacing w:line="360" w:lineRule="auto"/>
        <w:jc w:val="center"/>
        <w:rPr>
          <w:rFonts w:hint="eastAsia" w:ascii="宋体" w:hAnsi="宋体" w:eastAsia="宋体" w:cs="宋体"/>
          <w:b/>
          <w:spacing w:val="6"/>
          <w:sz w:val="32"/>
          <w:szCs w:val="32"/>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5"/>
        <w:rPr>
          <w:rFonts w:hint="eastAsia" w:ascii="宋体" w:hAnsi="宋体" w:eastAsia="宋体" w:cs="宋体"/>
          <w:highlight w:val="none"/>
        </w:rPr>
      </w:pPr>
    </w:p>
    <w:p>
      <w:pPr>
        <w:spacing w:line="360" w:lineRule="auto"/>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附件3：投诉书范本及制作说明</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投诉人：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tabs>
          <w:tab w:val="left" w:pos="6510"/>
        </w:tabs>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tabs>
          <w:tab w:val="left" w:pos="6510"/>
        </w:tabs>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授权代表：</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被投诉人1：</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被投诉人2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联系人：</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rPr>
        <w:t xml:space="preserve">                                           </w:t>
      </w:r>
      <w:r>
        <w:rPr>
          <w:rFonts w:hint="eastAsia" w:ascii="宋体" w:hAnsi="宋体" w:eastAsia="宋体" w:cs="宋体"/>
          <w:sz w:val="24"/>
          <w:highlight w:val="none"/>
          <w:u w:val="singl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三、质疑基本情况</w:t>
      </w:r>
    </w:p>
    <w:p>
      <w:pPr>
        <w:spacing w:line="360" w:lineRule="auto"/>
        <w:ind w:firstLine="480" w:firstLineChars="200"/>
        <w:rPr>
          <w:rFonts w:hint="eastAsia" w:ascii="宋体" w:hAnsi="宋体" w:eastAsia="宋体" w:cs="宋体"/>
          <w:sz w:val="24"/>
          <w:highlight w:val="none"/>
          <w:u w:val="dotted"/>
        </w:rPr>
      </w:pPr>
      <w:r>
        <w:rPr>
          <w:rFonts w:hint="eastAsia" w:ascii="宋体" w:hAnsi="宋体" w:eastAsia="宋体" w:cs="宋体"/>
          <w:sz w:val="24"/>
          <w:highlight w:val="none"/>
        </w:rPr>
        <w:t>投诉人于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u w:val="dotted"/>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日,就质疑事项作出了答复/没有在法定期限内作出答复。</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投诉事项 1：</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法律依据：</w:t>
      </w: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u w:val="dotted"/>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投诉事项2</w:t>
      </w:r>
    </w:p>
    <w:p>
      <w:pPr>
        <w:spacing w:line="360" w:lineRule="auto"/>
        <w:rPr>
          <w:rFonts w:hint="eastAsia" w:ascii="宋体" w:hAnsi="宋体" w:eastAsia="宋体" w:cs="宋体"/>
          <w:sz w:val="24"/>
          <w:highlight w:val="none"/>
          <w:u w:val="dotted"/>
        </w:rPr>
      </w:pPr>
      <w:r>
        <w:rPr>
          <w:rFonts w:hint="eastAsia" w:ascii="宋体" w:hAnsi="宋体" w:eastAsia="宋体" w:cs="宋体"/>
          <w:sz w:val="24"/>
          <w:highlight w:val="none"/>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rPr>
        <w:t xml:space="preserve">                                              </w:t>
      </w: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日期：    </w:t>
      </w: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pPr>
        <w:widowControl/>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附件4：</w:t>
      </w:r>
      <w:r>
        <w:rPr>
          <w:rFonts w:hint="eastAsia" w:ascii="宋体" w:hAnsi="宋体" w:eastAsia="宋体" w:cs="宋体"/>
          <w:b/>
          <w:bCs/>
          <w:sz w:val="32"/>
          <w:szCs w:val="32"/>
          <w:highlight w:val="none"/>
        </w:rPr>
        <w:t>业务专用章使用说明函</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firstLine="494"/>
        <w:rPr>
          <w:rFonts w:hint="eastAsia" w:ascii="宋体" w:hAnsi="宋体" w:eastAsia="宋体" w:cs="宋体"/>
          <w:sz w:val="24"/>
          <w:highlight w:val="none"/>
        </w:rPr>
      </w:pPr>
    </w:p>
    <w:p>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pPr>
        <w:rPr>
          <w:rFonts w:hint="eastAsia" w:ascii="宋体" w:hAnsi="宋体" w:eastAsia="宋体" w:cs="宋体"/>
          <w:sz w:val="24"/>
          <w:highlight w:val="none"/>
        </w:rPr>
      </w:pPr>
      <w:r>
        <w:rPr>
          <w:rFonts w:hint="eastAsia" w:ascii="宋体" w:hAnsi="宋体" w:eastAsia="宋体" w:cs="宋体"/>
          <w:b/>
          <w:bCs/>
          <w:sz w:val="24"/>
          <w:highlight w:val="none"/>
        </w:rPr>
        <w:t>附：</w:t>
      </w:r>
    </w:p>
    <w:p>
      <w:pPr>
        <w:spacing w:line="360" w:lineRule="auto"/>
        <w:rPr>
          <w:rFonts w:hint="eastAsia" w:ascii="宋体" w:hAnsi="宋体" w:eastAsia="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6" style="position:absolute;left:0;margin-left:238.9pt;margin-top:28.05pt;height:177.45pt;width:212.95pt;rotation:0f;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27" style="position:absolute;left:0;margin-left:-7.2pt;margin-top:30.3pt;height:177.45pt;width:208.5pt;rotation:0f;z-index:-251657216;"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hint="eastAsia" w:ascii="宋体" w:hAnsi="宋体" w:eastAsia="宋体" w:cs="宋体"/>
          <w:sz w:val="24"/>
          <w:highlight w:val="none"/>
        </w:rPr>
        <w:t>投标单位法定名称章（印模）                投标单位“XX专用章”（印模）</w:t>
      </w: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p>
    <w:p>
      <w:pPr>
        <w:autoSpaceDE w:val="0"/>
        <w:autoSpaceDN w:val="0"/>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p>
    <w:p>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附件5：</w:t>
      </w:r>
      <w:r>
        <w:rPr>
          <w:rFonts w:hint="eastAsia" w:ascii="宋体" w:hAnsi="宋体" w:eastAsia="宋体" w:cs="宋体"/>
          <w:b/>
          <w:sz w:val="32"/>
          <w:szCs w:val="32"/>
          <w:highlight w:val="none"/>
        </w:rPr>
        <w:t>中小企业声明函</w:t>
      </w:r>
    </w:p>
    <w:p>
      <w:pPr>
        <w:spacing w:line="360" w:lineRule="auto"/>
        <w:jc w:val="center"/>
        <w:rPr>
          <w:rFonts w:hint="eastAsia" w:ascii="宋体" w:hAnsi="宋体" w:eastAsia="宋体" w:cs="宋体"/>
          <w:sz w:val="24"/>
          <w:highlight w:val="none"/>
          <w:u w:val="singl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 ，属于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pPr>
        <w:snapToGrid w:val="0"/>
        <w:spacing w:line="360" w:lineRule="auto"/>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pacing w:line="360" w:lineRule="auto"/>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中</w:t>
      </w:r>
      <w:r>
        <w:rPr>
          <w:rFonts w:hint="eastAsia" w:ascii="宋体" w:hAnsi="宋体" w:eastAsia="宋体" w:cs="宋体"/>
          <w:b/>
          <w:sz w:val="32"/>
          <w:szCs w:val="32"/>
          <w:highlight w:val="none"/>
        </w:rPr>
        <w:t>小企业声明函（工程、服务）</w:t>
      </w:r>
    </w:p>
    <w:p>
      <w:pPr>
        <w:spacing w:line="360" w:lineRule="auto"/>
        <w:rPr>
          <w:rFonts w:hint="eastAsia" w:ascii="宋体" w:hAnsi="宋体" w:eastAsia="宋体" w:cs="宋体"/>
          <w:highlight w:val="none"/>
        </w:rPr>
      </w:pPr>
    </w:p>
    <w:p>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highlight w:val="none"/>
        </w:rPr>
        <w:t xml:space="preserve"> </w:t>
      </w:r>
      <w:r>
        <w:rPr>
          <w:rFonts w:hint="eastAsia" w:ascii="宋体" w:hAnsi="宋体" w:eastAsia="宋体" w:cs="宋体"/>
          <w:sz w:val="24"/>
          <w:highlight w:val="none"/>
          <w:u w:val="single"/>
        </w:rPr>
        <w:t>（标的名称）</w:t>
      </w:r>
      <w:r>
        <w:rPr>
          <w:rFonts w:hint="eastAsia" w:ascii="宋体" w:hAnsi="宋体" w:eastAsia="宋体" w:cs="宋体"/>
          <w:sz w:val="24"/>
          <w:highlight w:val="none"/>
        </w:rPr>
        <w:t xml:space="preserve">，属于 </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sz w:val="24"/>
          <w:highlight w:val="none"/>
        </w:rPr>
      </w:pPr>
      <w:r>
        <w:rPr>
          <w:rFonts w:hint="eastAsia" w:ascii="宋体" w:hAnsi="宋体" w:eastAsia="宋体" w:cs="宋体"/>
          <w:sz w:val="24"/>
          <w:highlight w:val="none"/>
        </w:rPr>
        <w:t>投标人名称（电子签名）：</w:t>
      </w:r>
    </w:p>
    <w:p>
      <w:pPr>
        <w:spacing w:line="360" w:lineRule="auto"/>
        <w:ind w:right="1120" w:firstLine="4680" w:firstLineChars="1950"/>
        <w:rPr>
          <w:rFonts w:hint="eastAsia" w:ascii="宋体" w:hAnsi="宋体" w:eastAsia="宋体" w:cs="宋体"/>
          <w:sz w:val="24"/>
          <w:highlight w:val="none"/>
        </w:rPr>
      </w:pPr>
      <w:r>
        <w:rPr>
          <w:rFonts w:hint="eastAsia" w:ascii="宋体" w:hAnsi="宋体" w:eastAsia="宋体" w:cs="宋体"/>
          <w:sz w:val="24"/>
          <w:highlight w:val="none"/>
        </w:rPr>
        <w:t>日 期：</w:t>
      </w:r>
    </w:p>
    <w:p>
      <w:pPr>
        <w:spacing w:line="360" w:lineRule="auto"/>
        <w:ind w:firstLine="310" w:firstLineChars="147"/>
        <w:jc w:val="left"/>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sz w:val="24"/>
          <w:highlight w:val="none"/>
        </w:rPr>
      </w:pPr>
    </w:p>
    <w:p>
      <w:pPr>
        <w:spacing w:line="360" w:lineRule="auto"/>
        <w:ind w:right="420"/>
        <w:rPr>
          <w:rFonts w:hint="eastAsia" w:ascii="宋体" w:hAnsi="宋体" w:eastAsia="宋体" w:cs="宋体"/>
          <w:sz w:val="24"/>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highlight w:val="none"/>
          <w:lang w:val="en-US"/>
        </w:rPr>
      </w:pPr>
    </w:p>
    <w:p>
      <w:pPr>
        <w:spacing w:line="360" w:lineRule="auto"/>
        <w:ind w:right="420"/>
        <w:rPr>
          <w:rFonts w:hint="eastAsia" w:ascii="宋体" w:hAnsi="宋体" w:eastAsia="宋体" w:cs="宋体"/>
          <w:highlight w:val="none"/>
        </w:rPr>
      </w:pPr>
    </w:p>
    <w:p>
      <w:pPr>
        <w:spacing w:line="360" w:lineRule="auto"/>
        <w:rPr>
          <w:rFonts w:hint="eastAsia" w:ascii="宋体" w:hAnsi="宋体" w:eastAsia="宋体" w:cs="宋体"/>
          <w:bCs/>
          <w:sz w:val="24"/>
          <w:highlight w:val="none"/>
        </w:rPr>
      </w:pPr>
    </w:p>
    <w:bookmarkEnd w:id="411"/>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7" w:name="_Toc164085800"/>
    <w:bookmarkStart w:id="408" w:name="_Toc36110187"/>
    <w:bookmarkStart w:id="409" w:name="_Toc131845147"/>
    <w:bookmarkStart w:id="410" w:name="_Toc91899912"/>
    <w:r>
      <w:rPr>
        <w:rFonts w:hint="eastAsia" w:ascii="仿宋_GB2312" w:eastAsia="仿宋_GB2312"/>
        <w:kern w:val="0"/>
        <w:szCs w:val="21"/>
      </w:rPr>
      <w:t xml:space="preserve"> 页</w:t>
    </w:r>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2"/>
      <w:framePr w:wrap="around" w:vAnchor="text" w:hAnchor="margin" w:xAlign="right" w:y="1"/>
      <w:rPr>
        <w:rStyle w:val="66"/>
      </w:rPr>
    </w:pPr>
    <w:r>
      <w:fldChar w:fldCharType="begin"/>
    </w:r>
    <w:r>
      <w:rPr>
        <w:rStyle w:val="66"/>
      </w:rPr>
      <w:instrText xml:space="preserve">PAGE  </w:instrText>
    </w:r>
    <w:r>
      <w:fldChar w:fldCharType="separate"/>
    </w:r>
    <w:r>
      <w:rPr>
        <w:rStyle w:val="66"/>
      </w:rPr>
      <w:t>8</w: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4"/>
      </w:pBdr>
      <w:jc w:val="right"/>
    </w:pPr>
    <w:r>
      <w:t></w:t>
    </w:r>
    <w:r>
      <w:rPr>
        <w:rFonts w:hint="eastAsia"/>
      </w:rPr>
      <w:t xml:space="preserve">             </w:t>
    </w:r>
    <w:r>
      <w:rPr>
        <w:rFonts w:hint="eastAsia"/>
        <w:lang w:val="en-US" w:eastAsia="zh-CN"/>
      </w:rPr>
      <w:t>临平区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229092267">
    <w:nsid w:val="84DD3FAB"/>
    <w:multiLevelType w:val="singleLevel"/>
    <w:tmpl w:val="84DD3FAB"/>
    <w:lvl w:ilvl="0" w:tentative="1">
      <w:start w:val="1"/>
      <w:numFmt w:val="decimal"/>
      <w:lvlText w:val="%1)"/>
      <w:lvlJc w:val="left"/>
      <w:pPr>
        <w:tabs>
          <w:tab w:val="left" w:pos="312"/>
        </w:tabs>
      </w:pPr>
    </w:lvl>
  </w:abstractNum>
  <w:abstractNum w:abstractNumId="2060110827">
    <w:nsid w:val="7ACACBEB"/>
    <w:multiLevelType w:val="singleLevel"/>
    <w:tmpl w:val="7ACACBEB"/>
    <w:lvl w:ilvl="0" w:tentative="1">
      <w:start w:val="1"/>
      <w:numFmt w:val="decimal"/>
      <w:suff w:val="nothing"/>
      <w:lvlText w:val="（%1）"/>
      <w:lvlJc w:val="left"/>
    </w:lvl>
  </w:abstractNum>
  <w:abstractNum w:abstractNumId="1654496543">
    <w:nsid w:val="629D9D1F"/>
    <w:multiLevelType w:val="singleLevel"/>
    <w:tmpl w:val="629D9D1F"/>
    <w:lvl w:ilvl="0" w:tentative="1">
      <w:start w:val="6"/>
      <w:numFmt w:val="chineseCounting"/>
      <w:suff w:val="nothing"/>
      <w:lvlText w:val="%1、"/>
      <w:lvlJc w:val="left"/>
    </w:lvl>
  </w:abstractNum>
  <w:abstractNum w:abstractNumId="3330579194">
    <w:nsid w:val="C6849AFA"/>
    <w:multiLevelType w:val="singleLevel"/>
    <w:tmpl w:val="C6849AFA"/>
    <w:lvl w:ilvl="0" w:tentative="1">
      <w:start w:val="1"/>
      <w:numFmt w:val="decimal"/>
      <w:lvlText w:val="%1)"/>
      <w:lvlJc w:val="left"/>
      <w:pPr>
        <w:tabs>
          <w:tab w:val="left" w:pos="312"/>
        </w:tabs>
      </w:pPr>
    </w:lvl>
  </w:abstractNum>
  <w:abstractNum w:abstractNumId="1267638610">
    <w:nsid w:val="4B8EA152"/>
    <w:multiLevelType w:val="singleLevel"/>
    <w:tmpl w:val="4B8EA152"/>
    <w:lvl w:ilvl="0" w:tentative="1">
      <w:start w:val="2"/>
      <w:numFmt w:val="chineseCounting"/>
      <w:suff w:val="nothing"/>
      <w:lvlText w:val="%1、"/>
      <w:lvlJc w:val="left"/>
      <w:rPr>
        <w:rFonts w:hint="eastAsia"/>
      </w:rPr>
    </w:lvl>
  </w:abstractNum>
  <w:num w:numId="1">
    <w:abstractNumId w:val="1654496543"/>
  </w:num>
  <w:num w:numId="2">
    <w:abstractNumId w:val="1267638610"/>
  </w:num>
  <w:num w:numId="3">
    <w:abstractNumId w:val="2229092267"/>
  </w:num>
  <w:num w:numId="4">
    <w:abstractNumId w:val="3330579194"/>
  </w:num>
  <w:num w:numId="5">
    <w:abstractNumId w:val="20601108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hmZTkzOWMxMjljMDZkYzUyOTYwZWU0MzYwYzZiNj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A11804"/>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F4BE2"/>
    <w:rsid w:val="137A4BC0"/>
    <w:rsid w:val="139B1A0A"/>
    <w:rsid w:val="139D25C7"/>
    <w:rsid w:val="13BF3CE4"/>
    <w:rsid w:val="13D57C19"/>
    <w:rsid w:val="141008D8"/>
    <w:rsid w:val="14125FE6"/>
    <w:rsid w:val="146D271E"/>
    <w:rsid w:val="14982588"/>
    <w:rsid w:val="149A5AD9"/>
    <w:rsid w:val="14A7619D"/>
    <w:rsid w:val="14BB7B9C"/>
    <w:rsid w:val="150536C3"/>
    <w:rsid w:val="150C1963"/>
    <w:rsid w:val="151447A0"/>
    <w:rsid w:val="15420A57"/>
    <w:rsid w:val="154A6454"/>
    <w:rsid w:val="156C0FB4"/>
    <w:rsid w:val="15762120"/>
    <w:rsid w:val="16A8729C"/>
    <w:rsid w:val="16B33777"/>
    <w:rsid w:val="16BC70A7"/>
    <w:rsid w:val="16C6339E"/>
    <w:rsid w:val="172F2D79"/>
    <w:rsid w:val="17557BEF"/>
    <w:rsid w:val="175F3F5B"/>
    <w:rsid w:val="17D349C1"/>
    <w:rsid w:val="17DD6621"/>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6A70"/>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4F4F90"/>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3500BF"/>
    <w:rsid w:val="23377FF7"/>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0F92FE5"/>
    <w:rsid w:val="31842653"/>
    <w:rsid w:val="319C6071"/>
    <w:rsid w:val="31AC537E"/>
    <w:rsid w:val="31E3679B"/>
    <w:rsid w:val="31E732FD"/>
    <w:rsid w:val="32517576"/>
    <w:rsid w:val="32BE5C2C"/>
    <w:rsid w:val="32FB6478"/>
    <w:rsid w:val="33196747"/>
    <w:rsid w:val="33263B3F"/>
    <w:rsid w:val="336963EB"/>
    <w:rsid w:val="33757D46"/>
    <w:rsid w:val="33816EEB"/>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475612"/>
    <w:rsid w:val="3A744481"/>
    <w:rsid w:val="3A8C7BEF"/>
    <w:rsid w:val="3A906246"/>
    <w:rsid w:val="3B2349B7"/>
    <w:rsid w:val="3B3D2948"/>
    <w:rsid w:val="3B3E621C"/>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AC7BA9"/>
    <w:rsid w:val="40C31A53"/>
    <w:rsid w:val="40FF545D"/>
    <w:rsid w:val="410067C8"/>
    <w:rsid w:val="41586BC4"/>
    <w:rsid w:val="418F0D2A"/>
    <w:rsid w:val="41D01505"/>
    <w:rsid w:val="420C686B"/>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47F0D"/>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7404B1"/>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671CE0"/>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43058F"/>
    <w:rsid w:val="668B6A45"/>
    <w:rsid w:val="672F3F24"/>
    <w:rsid w:val="673E055F"/>
    <w:rsid w:val="67430B21"/>
    <w:rsid w:val="67551CE3"/>
    <w:rsid w:val="67A22552"/>
    <w:rsid w:val="67B22DCC"/>
    <w:rsid w:val="67BE71AA"/>
    <w:rsid w:val="67D90273"/>
    <w:rsid w:val="67DE5875"/>
    <w:rsid w:val="67E55852"/>
    <w:rsid w:val="67EB1AB4"/>
    <w:rsid w:val="67FA1285"/>
    <w:rsid w:val="68191609"/>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1F436E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2CCC"/>
    <w:rsid w:val="7F715AF2"/>
    <w:rsid w:val="7F7E58BB"/>
    <w:rsid w:val="7F886E69"/>
    <w:rsid w:val="7FC405AE"/>
    <w:rsid w:val="BB7FA927"/>
    <w:rsid w:val="F5FFD3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link w:val="63"/>
    <w:unhideWhenUsed/>
    <w:uiPriority w:val="1"/>
    <w:rPr>
      <w:rFonts w:ascii="仿宋_GB2312" w:eastAsia="仿宋_GB2312"/>
      <w:b/>
      <w:sz w:val="32"/>
      <w:szCs w:val="32"/>
    </w:rPr>
  </w:style>
  <w:style w:type="table" w:default="1" w:styleId="73">
    <w:name w:val="Normal Table"/>
    <w:unhideWhenUsed/>
    <w:uiPriority w:val="99"/>
    <w:pPr>
      <w:widowControl/>
      <w:spacing w:before="0" w:beforeAutospacing="0" w:after="0" w:afterAutospacing="0"/>
      <w:ind w:left="0" w:right="0"/>
    </w:pPr>
    <w:rPr>
      <w:rFonts w:hint="eastAsia" w:ascii="Times New Roman" w:hAnsi="Times New Roman" w:cs="Times New Roman"/>
      <w:sz w:val="20"/>
      <w:szCs w:val="20"/>
    </w:rPr>
    <w:tblPr>
      <w:tblStyle w:val="73"/>
      <w:tblLayout w:type="fixed"/>
      <w:tblCellMar>
        <w:top w:w="0" w:type="dxa"/>
        <w:left w:w="108" w:type="dxa"/>
        <w:bottom w:w="0" w:type="dxa"/>
        <w:right w:w="108" w:type="dxa"/>
      </w:tblCellMar>
    </w:tblPr>
    <w:tcPr>
      <w:textDirection w:val="lrTb"/>
    </w:tcPr>
  </w:style>
  <w:style w:type="paragraph" w:styleId="2">
    <w:name w:val="Body Text First Indent 2"/>
    <w:basedOn w:val="3"/>
    <w:link w:val="654"/>
    <w:qFormat/>
    <w:uiPriority w:val="0"/>
    <w:pPr>
      <w:adjustRightInd/>
      <w:spacing w:after="120" w:line="240" w:lineRule="auto"/>
      <w:ind w:left="420" w:leftChars="200" w:firstLine="210"/>
    </w:pPr>
    <w:rPr>
      <w:sz w:val="21"/>
    </w:rPr>
  </w:style>
  <w:style w:type="paragraph" w:styleId="3">
    <w:name w:val="Body Text Indent"/>
    <w:basedOn w:val="1"/>
    <w:next w:val="1"/>
    <w:link w:val="782"/>
    <w:qFormat/>
    <w:uiPriority w:val="0"/>
    <w:pPr>
      <w:spacing w:line="480" w:lineRule="exact"/>
      <w:ind w:firstLine="480" w:firstLineChars="200"/>
    </w:pPr>
    <w:rPr>
      <w:rFonts w:ascii="宋体" w:hAnsi="宋体"/>
      <w:sz w:val="24"/>
    </w:rPr>
  </w:style>
  <w:style w:type="paragraph" w:styleId="7">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4">
    <w:name w:val="annotation subject"/>
    <w:basedOn w:val="15"/>
    <w:next w:val="15"/>
    <w:link w:val="631"/>
    <w:qFormat/>
    <w:uiPriority w:val="0"/>
    <w:rPr>
      <w:b/>
      <w:bCs/>
    </w:rPr>
  </w:style>
  <w:style w:type="paragraph" w:styleId="15">
    <w:name w:val="annotation text"/>
    <w:basedOn w:val="1"/>
    <w:link w:val="854"/>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16">
    <w:name w:val="toc 7"/>
    <w:basedOn w:val="1"/>
    <w:next w:val="1"/>
    <w:qFormat/>
    <w:uiPriority w:val="0"/>
    <w:pPr>
      <w:ind w:left="2520" w:leftChars="1200"/>
    </w:pPr>
  </w:style>
  <w:style w:type="paragraph" w:styleId="17">
    <w:name w:val="Body Text First Indent"/>
    <w:basedOn w:val="18"/>
    <w:link w:val="833"/>
    <w:qFormat/>
    <w:uiPriority w:val="0"/>
    <w:pPr>
      <w:ind w:firstLine="420"/>
    </w:pPr>
    <w:rPr>
      <w:rFonts w:hAnsi="Calibri" w:cs="Times New Roman"/>
      <w:szCs w:val="20"/>
    </w:rPr>
  </w:style>
  <w:style w:type="paragraph" w:styleId="18">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19">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20">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2">
    <w:name w:val="caption"/>
    <w:basedOn w:val="1"/>
    <w:next w:val="1"/>
    <w:link w:val="751"/>
    <w:qFormat/>
    <w:uiPriority w:val="0"/>
    <w:rPr>
      <w:b/>
      <w:sz w:val="28"/>
      <w:szCs w:val="20"/>
    </w:rPr>
  </w:style>
  <w:style w:type="paragraph" w:styleId="23">
    <w:name w:val="index 5"/>
    <w:basedOn w:val="1"/>
    <w:next w:val="1"/>
    <w:qFormat/>
    <w:uiPriority w:val="0"/>
    <w:pPr>
      <w:adjustRightInd/>
      <w:ind w:left="800" w:leftChars="800" w:firstLine="200" w:firstLineChars="200"/>
    </w:pPr>
  </w:style>
  <w:style w:type="paragraph" w:styleId="24">
    <w:name w:val="Document Map"/>
    <w:basedOn w:val="1"/>
    <w:link w:val="726"/>
    <w:qFormat/>
    <w:uiPriority w:val="0"/>
    <w:pPr>
      <w:shd w:val="clear" w:color="auto" w:fill="000080"/>
    </w:pPr>
  </w:style>
  <w:style w:type="paragraph" w:styleId="25">
    <w:name w:val="Salutation"/>
    <w:basedOn w:val="1"/>
    <w:next w:val="1"/>
    <w:link w:val="814"/>
    <w:qFormat/>
    <w:uiPriority w:val="0"/>
    <w:rPr>
      <w:rFonts w:ascii="仿宋_GB2312" w:eastAsia="仿宋_GB2312"/>
      <w:sz w:val="28"/>
      <w:szCs w:val="20"/>
    </w:rPr>
  </w:style>
  <w:style w:type="paragraph" w:styleId="26">
    <w:name w:val="Body Text 3"/>
    <w:basedOn w:val="1"/>
    <w:link w:val="842"/>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824"/>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2"/>
    <w:qFormat/>
    <w:uiPriority w:val="10"/>
    <w:pPr>
      <w:widowControl/>
      <w:overflowPunct w:val="0"/>
      <w:autoSpaceDE w:val="0"/>
      <w:autoSpaceDN w:val="0"/>
      <w:jc w:val="center"/>
      <w:textAlignment w:val="baseline"/>
    </w:pPr>
    <w:rPr>
      <w:b/>
      <w:kern w:val="0"/>
      <w:sz w:val="24"/>
      <w:szCs w:val="20"/>
    </w:rPr>
  </w:style>
  <w:style w:type="paragraph" w:customStyle="1" w:styleId="63">
    <w:name w:val="Char1"/>
    <w:basedOn w:val="1"/>
    <w:link w:val="62"/>
    <w:qFormat/>
    <w:uiPriority w:val="0"/>
    <w:rPr>
      <w:rFonts w:ascii="仿宋_GB2312" w:eastAsia="仿宋_GB2312"/>
      <w:b/>
      <w:sz w:val="32"/>
      <w:szCs w:val="32"/>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2"/>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2"/>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5">
    <w:name w:val="Table Theme"/>
    <w:basedOn w:val="73"/>
    <w:qFormat/>
    <w:uiPriority w:val="0"/>
    <w:p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styleId="76">
    <w:name w:val="Table Elegant"/>
    <w:basedOn w:val="73"/>
    <w:qFormat/>
    <w:uiPriority w:val="0"/>
    <w:pPr>
      <w:widowControl w:val="0"/>
      <w:jc w:val="both"/>
    </w:pPr>
    <w:tblPr>
      <w:tblStyle w:val="7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cap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7">
    <w:name w:val="Table Grid 5"/>
    <w:basedOn w:val="73"/>
    <w:qFormat/>
    <w:uiPriority w:val="0"/>
    <w:pPr>
      <w:widowControl w:val="0"/>
      <w:jc w:val="both"/>
    </w:pPr>
    <w:tblPr>
      <w:tblStyle w:val="7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tblPr>
        <w:tblStyle w:val="73"/>
        <w:tblLayout w:type="fixed"/>
      </w:tblPr>
      <w:tcPr>
        <w:tcBorders>
          <w:top w:val="nil"/>
          <w:left w:val="nil"/>
          <w:bottom w:val="single" w:color="000000" w:sz="12" w:space="0"/>
          <w:right w:val="nil"/>
          <w:insideH w:val="nil"/>
          <w:insideV w:val="nil"/>
          <w:tl2br w:val="nil"/>
          <w:tr2bl w:val="nil"/>
        </w:tcBorders>
        <w:textDirection w:val="lrTb"/>
      </w:tcPr>
    </w:tblStylePr>
    <w:tblStylePr w:type="lastRow">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rPr>
      <w:tblPr>
        <w:tblStyle w:val="73"/>
        <w:tblLayout w:type="fixed"/>
      </w:tblPr>
      <w:tcPr>
        <w:tcBorders>
          <w:top w:val="nil"/>
          <w:left w:val="nil"/>
          <w:bottom w:val="nil"/>
          <w:right w:val="nil"/>
          <w:insideH w:val="nil"/>
          <w:insideV w:val="nil"/>
          <w:tl2br w:val="nil"/>
          <w:tr2bl w:val="nil"/>
        </w:tcBorders>
        <w:textDirection w:val="lrTb"/>
      </w:tcPr>
    </w:tblStylePr>
    <w:tblStylePr w:type="nwCell">
      <w:tblPr>
        <w:tblStyle w:val="73"/>
        <w:tblLayout w:type="fixed"/>
      </w:tblPr>
      <w:tcPr>
        <w:tcBorders>
          <w:top w:val="nil"/>
          <w:left w:val="nil"/>
          <w:bottom w:val="nil"/>
          <w:right w:val="nil"/>
          <w:insideH w:val="nil"/>
          <w:insideV w:val="nil"/>
          <w:tl2br w:val="single" w:color="000000" w:sz="6" w:space="0"/>
          <w:tr2bl w:val="nil"/>
        </w:tcBorders>
        <w:textDirection w:val="lrTb"/>
      </w:tcPr>
    </w:tblStylePr>
  </w:style>
  <w:style w:type="table" w:styleId="78">
    <w:name w:val="Table Grid 8"/>
    <w:basedOn w:val="73"/>
    <w:qFormat/>
    <w:uiPriority w:val="0"/>
    <w:pPr>
      <w:widowControl w:val="0"/>
      <w:jc w:val="both"/>
    </w:pPr>
    <w:tblPr>
      <w:tblStyle w:val="7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FFFFFF"/>
      </w:rPr>
      <w:tblPr>
        <w:tblStyle w:val="73"/>
        <w:tblLayout w:type="fixed"/>
      </w:tblPr>
      <w:tcPr>
        <w:tcBorders>
          <w:top w:val="nil"/>
          <w:left w:val="nil"/>
          <w:bottom w:val="nil"/>
          <w:right w:val="nil"/>
          <w:insideH w:val="nil"/>
          <w:insideV w:val="nil"/>
          <w:tl2br w:val="nil"/>
          <w:tr2bl w:val="nil"/>
        </w:tcBorders>
        <w:shd w:val="solid" w:color="000080" w:fill="FFFFFF"/>
        <w:textDirection w:val="lrTb"/>
      </w:tcPr>
    </w:tblStylePr>
    <w:tblStylePr w:type="lastRow">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tblStylePr w:type="lastCol">
      <w:rPr>
        <w:b/>
        <w:bCs/>
        <w:color w:val="auto"/>
      </w:rPr>
      <w:tblPr>
        <w:tblStyle w:val="73"/>
        <w:tblLayout w:type="fixed"/>
      </w:tblPr>
      <w:tcPr>
        <w:tcBorders>
          <w:top w:val="nil"/>
          <w:left w:val="nil"/>
          <w:bottom w:val="nil"/>
          <w:right w:val="nil"/>
          <w:insideH w:val="nil"/>
          <w:insideV w:val="nil"/>
          <w:tl2br w:val="nil"/>
          <w:tr2bl w:val="nil"/>
        </w:tcBorders>
        <w:textDirection w:val="lrTb"/>
      </w:tcPr>
    </w:tblStylePr>
  </w:style>
  <w:style w:type="table" w:styleId="79">
    <w:name w:val="Table Professional"/>
    <w:basedOn w:val="73"/>
    <w:qFormat/>
    <w:uiPriority w:val="0"/>
    <w:pPr>
      <w:widowControl w:val="0"/>
      <w:jc w:val="both"/>
    </w:pPr>
    <w:tblPr>
      <w:tblStyle w:val="7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extDirection w:val="lrTb"/>
    </w:tcPr>
    <w:tblStylePr w:type="firstRow">
      <w:rPr>
        <w:b/>
        <w:bCs/>
        <w:color w:val="auto"/>
      </w:rPr>
      <w:tblPr>
        <w:tblStyle w:val="73"/>
        <w:tblLayout w:type="fixed"/>
      </w:tblPr>
      <w:tcPr>
        <w:tcBorders>
          <w:top w:val="nil"/>
          <w:left w:val="nil"/>
          <w:bottom w:val="nil"/>
          <w:right w:val="nil"/>
          <w:insideH w:val="nil"/>
          <w:insideV w:val="nil"/>
          <w:tl2br w:val="nil"/>
          <w:tr2bl w:val="nil"/>
        </w:tcBorders>
        <w:shd w:val="solid" w:color="000000" w:fill="FFFFFF"/>
        <w:textDirection w:val="lrTb"/>
      </w:tcPr>
    </w:tblStylePr>
  </w:style>
  <w:style w:type="paragraph" w:customStyle="1" w:styleId="80">
    <w:name w:val="Char Char Char Char Char Char Char Char Char Char Char Char Char"/>
    <w:basedOn w:val="1"/>
    <w:qFormat/>
    <w:uiPriority w:val="0"/>
    <w:rPr>
      <w:rFonts w:ascii="仿宋_GB2312" w:eastAsia="仿宋_GB2312"/>
      <w:b/>
      <w:sz w:val="32"/>
      <w:szCs w:val="32"/>
    </w:rPr>
  </w:style>
  <w:style w:type="paragraph" w:customStyle="1" w:styleId="81">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qFormat/>
    <w:uiPriority w:val="0"/>
    <w:pPr>
      <w:spacing w:before="156" w:line="360" w:lineRule="auto"/>
      <w:ind w:firstLine="510" w:firstLineChars="200"/>
    </w:pPr>
    <w:rPr>
      <w:sz w:val="24"/>
      <w:szCs w:val="20"/>
    </w:rPr>
  </w:style>
  <w:style w:type="paragraph" w:customStyle="1" w:styleId="87">
    <w:name w:val="无间隔1"/>
    <w:link w:val="671"/>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qFormat/>
    <w:uiPriority w:val="0"/>
    <w:pPr>
      <w:adjustRightInd/>
      <w:spacing w:line="360" w:lineRule="auto"/>
      <w:ind w:firstLine="480" w:firstLineChars="200"/>
    </w:pPr>
    <w:rPr>
      <w:kern w:val="0"/>
      <w:sz w:val="24"/>
    </w:rPr>
  </w:style>
  <w:style w:type="paragraph" w:customStyle="1" w:styleId="99">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qFormat/>
    <w:uiPriority w:val="0"/>
    <w:pPr>
      <w:tabs>
        <w:tab w:val="left" w:pos="2356"/>
      </w:tabs>
    </w:pPr>
  </w:style>
  <w:style w:type="paragraph" w:customStyle="1" w:styleId="104">
    <w:name w:val="样式 标题 4h4H4Fab-4T5Ref Heading 1rh1Heading sqlsect 1.2.3...."/>
    <w:basedOn w:val="8"/>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qFormat/>
    <w:uiPriority w:val="0"/>
    <w:pPr>
      <w:adjustRightInd/>
    </w:pPr>
    <w:rPr>
      <w:rFonts w:ascii="宋体" w:hAnsi="Courier New"/>
      <w:kern w:val="0"/>
      <w:sz w:val="20"/>
      <w:szCs w:val="20"/>
    </w:rPr>
  </w:style>
  <w:style w:type="paragraph" w:customStyle="1" w:styleId="107">
    <w:name w:val="正文说明"/>
    <w:basedOn w:val="1"/>
    <w:link w:val="844"/>
    <w:qFormat/>
    <w:uiPriority w:val="0"/>
    <w:pPr>
      <w:adjustRightInd/>
      <w:spacing w:line="360" w:lineRule="auto"/>
    </w:pPr>
    <w:rPr>
      <w:kern w:val="0"/>
      <w:sz w:val="24"/>
    </w:rPr>
  </w:style>
  <w:style w:type="paragraph" w:customStyle="1" w:styleId="108">
    <w:name w:val="Table Text"/>
    <w:basedOn w:val="1"/>
    <w:link w:val="850"/>
    <w:qFormat/>
    <w:uiPriority w:val="0"/>
    <w:pPr>
      <w:widowControl/>
      <w:spacing w:before="60" w:after="60"/>
      <w:jc w:val="left"/>
    </w:pPr>
    <w:rPr>
      <w:kern w:val="0"/>
      <w:sz w:val="24"/>
    </w:rPr>
  </w:style>
  <w:style w:type="paragraph" w:customStyle="1" w:styleId="109">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40"/>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1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7"/>
    <w:next w:val="97"/>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7"/>
    <w:next w:val="97"/>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8"/>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18"/>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18"/>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18"/>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1"/>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4"/>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18"/>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619">
    <w:name w:val="2"/>
    <w:basedOn w:val="1"/>
    <w:next w:val="1"/>
    <w:uiPriority w:val="0"/>
    <w:rPr>
      <w:rFonts w:eastAsia="仿宋_GB2312"/>
      <w:sz w:val="18"/>
      <w:szCs w:val="20"/>
    </w:rPr>
  </w:style>
  <w:style w:type="character" w:customStyle="1" w:styleId="620">
    <w:name w:val="表格非标题文字 Char"/>
    <w:link w:val="81"/>
    <w:qFormat/>
    <w:uiPriority w:val="0"/>
    <w:rPr>
      <w:rFonts w:ascii="Futura Bk" w:hAnsi="Futura Bk"/>
      <w:kern w:val="2"/>
      <w:sz w:val="18"/>
      <w:szCs w:val="21"/>
      <w:lang w:val="en-US" w:eastAsia="zh-CN" w:bidi="ar-SA"/>
    </w:rPr>
  </w:style>
  <w:style w:type="character" w:customStyle="1" w:styleId="621">
    <w:name w:val="*正文 Char"/>
    <w:link w:val="82"/>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3"/>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14"/>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5"/>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2"/>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2"/>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6"/>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7"/>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0"/>
    <w:qFormat/>
    <w:uiPriority w:val="0"/>
    <w:rPr>
      <w:rFonts w:ascii="Arial" w:hAnsi="Arial" w:eastAsia="黑体"/>
      <w:b/>
      <w:bCs/>
      <w:kern w:val="2"/>
      <w:sz w:val="24"/>
      <w:szCs w:val="24"/>
    </w:rPr>
  </w:style>
  <w:style w:type="character" w:customStyle="1" w:styleId="679">
    <w:name w:val="纯文本 Char_0"/>
    <w:link w:val="88"/>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0"/>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3"/>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2"/>
    <w:qFormat/>
    <w:locked/>
    <w:uiPriority w:val="0"/>
    <w:rPr>
      <w:rFonts w:ascii="Tahoma" w:hAnsi="Tahoma"/>
      <w:sz w:val="24"/>
      <w:szCs w:val="24"/>
    </w:rPr>
  </w:style>
  <w:style w:type="character" w:customStyle="1" w:styleId="719">
    <w:name w:val="正文缩进 Char2"/>
    <w:link w:val="7"/>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4"/>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2"/>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5"/>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6"/>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22"/>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7"/>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8"/>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9"/>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0"/>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3"/>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2"/>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4"/>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9"/>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5"/>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1"/>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5"/>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6"/>
    <w:qFormat/>
    <w:uiPriority w:val="0"/>
    <w:rPr>
      <w:rFonts w:ascii="宋体" w:hAnsi="Courier New"/>
    </w:rPr>
  </w:style>
  <w:style w:type="character" w:customStyle="1" w:styleId="833">
    <w:name w:val="正文首行缩进 Char"/>
    <w:link w:val="17"/>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8"/>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6"/>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7"/>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8"/>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5"/>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9"/>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0"/>
    <w:qFormat/>
    <w:uiPriority w:val="0"/>
    <w:rPr>
      <w:rFonts w:ascii="宋体"/>
    </w:rPr>
  </w:style>
  <w:style w:type="character" w:customStyle="1" w:styleId="866">
    <w:name w:val="标题 8 Char"/>
    <w:link w:val="12"/>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1"/>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2"/>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3"/>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2"/>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18"/>
    <w:qFormat/>
    <w:uiPriority w:val="0"/>
    <w:rPr>
      <w:rFonts w:ascii="宋体" w:hAnsi="Arial" w:eastAsia="宋体" w:cs="Arial"/>
      <w:snapToGrid w:val="0"/>
      <w:kern w:val="2"/>
      <w:sz w:val="24"/>
      <w:szCs w:val="21"/>
      <w:lang w:val="zh-CN" w:eastAsia="zh-CN" w:bidi="ar-SA"/>
    </w:rPr>
  </w:style>
  <w:style w:type="character" w:customStyle="1" w:styleId="932">
    <w:name w:val="gray6"/>
    <w:basedOn w:val="62"/>
    <w:qFormat/>
    <w:uiPriority w:val="0"/>
    <w:rPr>
      <w:rFonts w:ascii="Arial" w:hAnsi="Arial" w:eastAsia="黑体" w:cs="Arial"/>
      <w:snapToGrid w:val="0"/>
      <w:kern w:val="0"/>
      <w:szCs w:val="21"/>
    </w:rPr>
  </w:style>
  <w:style w:type="character" w:customStyle="1" w:styleId="933">
    <w:name w:val="hui"/>
    <w:basedOn w:val="62"/>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6"/>
    <w:qFormat/>
    <w:uiPriority w:val="99"/>
    <w:rPr>
      <w:kern w:val="2"/>
      <w:sz w:val="21"/>
      <w:szCs w:val="22"/>
    </w:rPr>
  </w:style>
  <w:style w:type="character" w:customStyle="1" w:styleId="941">
    <w:name w:val="标准文本 Char Char"/>
    <w:link w:val="605"/>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2"/>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59">
    <w:name w:val="网格型1"/>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0">
    <w:name w:val="网格型6"/>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1">
    <w:name w:val="网格型3"/>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2">
    <w:name w:val="网格型4"/>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table" w:customStyle="1" w:styleId="963">
    <w:name w:val="网格型5"/>
    <w:basedOn w:val="73"/>
    <w:qFormat/>
    <w:uiPriority w:val="39"/>
    <w:pPr/>
    <w:rPr>
      <w:rFonts w:ascii="等线" w:hAnsi="等线" w:eastAsia="等线"/>
    </w:rPr>
    <w:tblPr>
      <w:tblStyle w:val="7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Relationships xmlns="http://schemas.openxmlformats.org/package/2006/relationships"><Relationship Id="rId1" Target="fontTable.xml" Type="http://schemas.openxmlformats.org/officeDocument/2006/relationships/fontTable"/><Relationship Id="rId10" Target="header4.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5.xml" Type="http://schemas.openxmlformats.org/officeDocument/2006/relationships/header"/><Relationship Id="rId14" Target="header6.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header7.xml" Type="http://schemas.openxmlformats.org/officeDocument/2006/relationships/header"/><Relationship Id="rId18" Target="header8.xml" Type="http://schemas.openxmlformats.org/officeDocument/2006/relationships/header"/><Relationship Id="rId19" Target="footer8.xml" Type="http://schemas.openxmlformats.org/officeDocument/2006/relationships/footer"/><Relationship Id="rId2" Target="styles.xml" Type="http://schemas.openxmlformats.org/officeDocument/2006/relationships/styles"/><Relationship Id="rId20" Target="footer9.xml" Type="http://schemas.openxmlformats.org/officeDocument/2006/relationships/footer"/><Relationship Id="rId21" Target="footer10.xml" Type="http://schemas.openxmlformats.org/officeDocument/2006/relationships/footer"/><Relationship Id="rId22" Target="theme/theme1.xml" Type="http://schemas.openxmlformats.org/officeDocument/2006/relationships/theme"/><Relationship Id="rId23" Target="../customXml/item1.xml" Type="http://schemas.openxmlformats.org/officeDocument/2006/relationships/customXml"/><Relationship Id="rId24" Target="numbering.xml" Type="http://schemas.openxmlformats.org/officeDocument/2006/relationships/numbering"/><Relationship Id="rId3" Target="settings.xml" Type="http://schemas.openxmlformats.org/officeDocument/2006/relationships/setting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3.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45295</Words>
  <Characters>47147</Characters>
  <Lines>287</Lines>
  <Paragraphs>81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Administrator</cp:lastModifiedBy>
  <cp:lastPrinted>2022-02-24T05:45:00Z</cp:lastPrinted>
  <dcterms:modified xsi:type="dcterms:W3CDTF">2022-09-09T02:40:51Z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