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adjustRightInd/>
        <w:spacing w:line="360" w:lineRule="auto"/>
        <w:jc w:val="both"/>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b/>
          <w:bCs/>
          <w:sz w:val="48"/>
          <w:szCs w:val="48"/>
        </w:rPr>
        <w:t>202</w:t>
      </w:r>
      <w:r>
        <w:rPr>
          <w:rFonts w:hint="eastAsia" w:ascii="仿宋" w:hAnsi="仿宋" w:eastAsia="仿宋" w:cs="仿宋_GB2312"/>
          <w:b/>
          <w:bCs/>
          <w:sz w:val="48"/>
          <w:szCs w:val="48"/>
          <w:lang w:val="en-US" w:eastAsia="zh-CN"/>
        </w:rPr>
        <w:t>2</w:t>
      </w:r>
      <w:r>
        <w:rPr>
          <w:rFonts w:hint="eastAsia" w:ascii="仿宋" w:hAnsi="仿宋" w:eastAsia="仿宋" w:cs="仿宋_GB2312"/>
          <w:b/>
          <w:bCs/>
          <w:sz w:val="48"/>
          <w:szCs w:val="48"/>
        </w:rPr>
        <w:t>年</w:t>
      </w:r>
      <w:r>
        <w:rPr>
          <w:rFonts w:hint="eastAsia" w:ascii="仿宋" w:hAnsi="仿宋" w:eastAsia="仿宋" w:cs="仿宋_GB2312"/>
          <w:b/>
          <w:bCs/>
          <w:sz w:val="48"/>
          <w:szCs w:val="48"/>
          <w:lang w:val="en-US" w:eastAsia="zh-CN"/>
        </w:rPr>
        <w:t>临平</w:t>
      </w:r>
      <w:r>
        <w:rPr>
          <w:rFonts w:hint="eastAsia" w:ascii="仿宋" w:hAnsi="仿宋" w:eastAsia="仿宋" w:cs="仿宋_GB2312"/>
          <w:b/>
          <w:bCs/>
          <w:sz w:val="48"/>
          <w:szCs w:val="48"/>
        </w:rPr>
        <w:t>区教育系统</w:t>
      </w:r>
      <w:r>
        <w:rPr>
          <w:rFonts w:hint="eastAsia" w:ascii="仿宋" w:hAnsi="仿宋" w:eastAsia="仿宋" w:cs="仿宋_GB2312"/>
          <w:b/>
          <w:bCs/>
          <w:sz w:val="48"/>
          <w:szCs w:val="48"/>
          <w:lang w:val="en-US" w:eastAsia="zh-CN"/>
        </w:rPr>
        <w:t>学生电脑及机房布线</w:t>
      </w:r>
      <w:r>
        <w:rPr>
          <w:rFonts w:hint="eastAsia" w:ascii="仿宋" w:hAnsi="仿宋" w:eastAsia="仿宋" w:cs="仿宋_GB2312"/>
          <w:b/>
          <w:bCs/>
          <w:sz w:val="48"/>
          <w:szCs w:val="48"/>
        </w:rPr>
        <w:t>规模化采购项目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bookmarkStart w:id="0" w:name="projNo1"/>
      <w:r>
        <w:rPr>
          <w:rFonts w:hint="eastAsia" w:ascii="宋体" w:hAnsi="宋体" w:cs="宋体"/>
          <w:b/>
          <w:color w:val="000000"/>
          <w:sz w:val="36"/>
          <w:szCs w:val="36"/>
          <w:highlight w:val="none"/>
          <w:lang w:eastAsia="zh-CN"/>
        </w:rPr>
        <w:t>HZLP</w:t>
      </w:r>
      <w:r>
        <w:rPr>
          <w:rFonts w:hint="eastAsia" w:ascii="宋体" w:hAnsi="宋体" w:cs="宋体"/>
          <w:b/>
          <w:color w:val="000000"/>
          <w:sz w:val="36"/>
          <w:szCs w:val="36"/>
          <w:highlight w:val="none"/>
        </w:rPr>
        <w:t>ZFCG-</w:t>
      </w:r>
      <w:bookmarkEnd w:id="0"/>
      <w:r>
        <w:rPr>
          <w:rFonts w:hint="eastAsia" w:ascii="宋体" w:hAnsi="宋体" w:cs="宋体"/>
          <w:b/>
          <w:color w:val="000000"/>
          <w:sz w:val="36"/>
          <w:szCs w:val="36"/>
          <w:highlight w:val="none"/>
        </w:rPr>
        <w:t>20</w:t>
      </w:r>
      <w:r>
        <w:rPr>
          <w:rFonts w:hint="eastAsia" w:ascii="宋体" w:hAnsi="宋体" w:cs="宋体"/>
          <w:b/>
          <w:color w:val="000000"/>
          <w:sz w:val="36"/>
          <w:szCs w:val="36"/>
          <w:highlight w:val="none"/>
          <w:lang w:val="en-US" w:eastAsia="zh-CN"/>
        </w:rPr>
        <w:t>22</w:t>
      </w:r>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val="en-US" w:eastAsia="zh-CN"/>
        </w:rPr>
        <w:t>007</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val="en-US" w:eastAsia="zh-CN"/>
        </w:rPr>
        <w:t>杭州市临平区教育综合服务中心</w:t>
      </w:r>
    </w:p>
    <w:p>
      <w:pPr>
        <w:adjustRightInd w:val="0"/>
        <w:snapToGrid w:val="0"/>
        <w:spacing w:line="360" w:lineRule="auto"/>
        <w:jc w:val="center"/>
        <w:rPr>
          <w:rFonts w:hint="eastAsia" w:ascii="宋体" w:hAnsi="宋体" w:cs="宋体"/>
          <w:bCs/>
          <w:color w:val="000000"/>
          <w:sz w:val="28"/>
          <w:szCs w:val="28"/>
          <w:highlight w:val="none"/>
        </w:rPr>
      </w:pPr>
      <w:r>
        <w:rPr>
          <w:rFonts w:hint="eastAsia" w:ascii="宋体" w:hAnsi="宋体" w:cs="宋体"/>
          <w:b/>
          <w:color w:val="000000"/>
          <w:sz w:val="36"/>
          <w:szCs w:val="36"/>
          <w:highlight w:val="none"/>
        </w:rPr>
        <w:t>采购代理机构：杭州市公共资源交易中心</w:t>
      </w:r>
      <w:r>
        <w:rPr>
          <w:rFonts w:hint="eastAsia" w:ascii="宋体" w:hAnsi="宋体" w:cs="宋体"/>
          <w:b/>
          <w:color w:val="000000"/>
          <w:sz w:val="36"/>
          <w:szCs w:val="36"/>
          <w:highlight w:val="none"/>
          <w:lang w:eastAsia="zh-CN"/>
        </w:rPr>
        <w:t>临平</w:t>
      </w:r>
      <w:r>
        <w:rPr>
          <w:rFonts w:hint="eastAsia" w:ascii="宋体" w:hAnsi="宋体" w:cs="宋体"/>
          <w:b/>
          <w:color w:val="000000"/>
          <w:sz w:val="36"/>
          <w:szCs w:val="36"/>
          <w:highlight w:val="none"/>
        </w:rPr>
        <w:t>分中心</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eastAsia="zh-CN"/>
        </w:rPr>
        <w:t>五</w:t>
      </w:r>
      <w:r>
        <w:rPr>
          <w:rFonts w:hint="eastAsia" w:ascii="仿宋_GB2312" w:hAnsi="仿宋_GB2312" w:eastAsia="仿宋_GB2312" w:cs="仿宋_GB2312"/>
          <w:bCs/>
          <w:sz w:val="32"/>
          <w:szCs w:val="32"/>
          <w:highlight w:val="none"/>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1" w:name="_Hlt67893495"/>
      <w:bookmarkEnd w:id="1"/>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2" w:name="_Hlt91233176"/>
      <w:bookmarkEnd w:id="2"/>
      <w:bookmarkStart w:id="3"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4" w:name="第一部分"/>
      <w:r>
        <w:rPr>
          <w:rFonts w:ascii="仿宋" w:hAnsi="仿宋" w:eastAsia="仿宋" w:cs="仿宋_GB2312"/>
          <w:b/>
          <w:sz w:val="36"/>
          <w:szCs w:val="36"/>
        </w:rPr>
        <w:br w:type="page"/>
      </w:r>
      <w:bookmarkEnd w:id="3"/>
      <w:bookmarkEnd w:id="4"/>
      <w:bookmarkStart w:id="5" w:name="_Hlt74729822"/>
      <w:bookmarkEnd w:id="5"/>
      <w:bookmarkStart w:id="6" w:name="_Hlt74649545"/>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临平</w:t>
      </w:r>
      <w:r>
        <w:rPr>
          <w:rFonts w:hint="eastAsia" w:ascii="仿宋_GB2312" w:hAnsi="仿宋" w:eastAsia="仿宋_GB2312"/>
          <w:sz w:val="24"/>
          <w:u w:val="single"/>
        </w:rPr>
        <w:t>区教育系统</w:t>
      </w:r>
      <w:r>
        <w:rPr>
          <w:rFonts w:hint="eastAsia" w:ascii="仿宋_GB2312" w:hAnsi="仿宋" w:eastAsia="仿宋_GB2312"/>
          <w:sz w:val="24"/>
          <w:u w:val="single"/>
          <w:lang w:val="en-US" w:eastAsia="zh-CN"/>
        </w:rPr>
        <w:t>学生电脑及机房布线</w:t>
      </w:r>
      <w:r>
        <w:rPr>
          <w:rFonts w:hint="eastAsia" w:ascii="仿宋_GB2312" w:hAnsi="仿宋" w:eastAsia="仿宋_GB2312"/>
          <w:sz w:val="24"/>
          <w:u w:val="single"/>
        </w:rPr>
        <w:t>规模化采购项目</w:t>
      </w:r>
      <w:r>
        <w:rPr>
          <w:rFonts w:hint="eastAsia" w:ascii="仿宋_GB2312" w:hAnsi="仿宋" w:eastAsia="仿宋_GB2312"/>
          <w:sz w:val="24"/>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6</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 xml:space="preserve">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w:t>
      </w:r>
      <w:r>
        <w:rPr>
          <w:rFonts w:hint="eastAsia" w:ascii="仿宋_GB2312" w:hAnsi="仿宋" w:eastAsia="仿宋_GB2312"/>
          <w:b/>
          <w:sz w:val="24"/>
          <w:highlight w:val="none"/>
        </w:rPr>
        <w:t>项目基本情况</w:t>
      </w:r>
      <w:r>
        <w:rPr>
          <w:rFonts w:ascii="仿宋_GB2312" w:hAnsi="仿宋" w:eastAsia="仿宋_GB2312"/>
          <w:b/>
          <w:sz w:val="24"/>
          <w:highlight w:val="none"/>
        </w:rPr>
        <w:t xml:space="preserve">      </w:t>
      </w:r>
      <w:r>
        <w:rPr>
          <w:rFonts w:ascii="仿宋_GB2312" w:hAnsi="仿宋" w:eastAsia="仿宋_GB2312"/>
          <w:b/>
          <w:sz w:val="24"/>
        </w:rPr>
        <w:t xml:space="preserve">                                      </w:t>
      </w:r>
    </w:p>
    <w:p>
      <w:pPr>
        <w:spacing w:line="360" w:lineRule="auto"/>
        <w:rPr>
          <w:rFonts w:hint="default" w:ascii="仿宋_GB2312" w:hAnsi="仿宋" w:eastAsia="仿宋_GB2312"/>
          <w:sz w:val="24"/>
          <w:lang w:val="en-US"/>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val="0"/>
          <w:bCs/>
          <w:sz w:val="24"/>
          <w:lang w:eastAsia="zh-CN"/>
        </w:rPr>
        <w:t>HZLP</w:t>
      </w:r>
      <w:r>
        <w:rPr>
          <w:rFonts w:hint="eastAsia" w:ascii="仿宋_GB2312" w:hAnsi="仿宋" w:eastAsia="仿宋_GB2312"/>
          <w:b w:val="0"/>
          <w:bCs/>
          <w:sz w:val="24"/>
        </w:rPr>
        <w:t>ZFCG-20</w:t>
      </w:r>
      <w:r>
        <w:rPr>
          <w:rFonts w:hint="eastAsia" w:ascii="仿宋_GB2312" w:hAnsi="仿宋" w:eastAsia="仿宋_GB2312"/>
          <w:b w:val="0"/>
          <w:bCs/>
          <w:sz w:val="24"/>
          <w:lang w:val="en-US" w:eastAsia="zh-CN"/>
        </w:rPr>
        <w:t>22</w:t>
      </w:r>
      <w:r>
        <w:rPr>
          <w:rFonts w:hint="eastAsia" w:ascii="仿宋_GB2312" w:hAnsi="仿宋" w:eastAsia="仿宋_GB2312"/>
          <w:b w:val="0"/>
          <w:bCs/>
          <w:sz w:val="24"/>
        </w:rPr>
        <w:t>-</w:t>
      </w:r>
      <w:r>
        <w:rPr>
          <w:rFonts w:hint="eastAsia" w:ascii="仿宋_GB2312" w:hAnsi="仿宋" w:eastAsia="仿宋_GB2312"/>
          <w:b w:val="0"/>
          <w:bCs/>
          <w:sz w:val="24"/>
          <w:lang w:val="en-US" w:eastAsia="zh-CN"/>
        </w:rPr>
        <w:t>007</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b w:val="0"/>
          <w:bCs/>
          <w:sz w:val="24"/>
        </w:rPr>
        <w:t>202</w:t>
      </w:r>
      <w:r>
        <w:rPr>
          <w:rFonts w:hint="eastAsia" w:ascii="仿宋_GB2312" w:hAnsi="仿宋" w:eastAsia="仿宋_GB2312"/>
          <w:b w:val="0"/>
          <w:bCs/>
          <w:sz w:val="24"/>
          <w:lang w:val="en-US" w:eastAsia="zh-CN"/>
        </w:rPr>
        <w:t>2</w:t>
      </w:r>
      <w:r>
        <w:rPr>
          <w:rFonts w:hint="eastAsia" w:ascii="仿宋_GB2312" w:hAnsi="仿宋" w:eastAsia="仿宋_GB2312"/>
          <w:b w:val="0"/>
          <w:bCs/>
          <w:sz w:val="24"/>
        </w:rPr>
        <w:t>年</w:t>
      </w:r>
      <w:r>
        <w:rPr>
          <w:rFonts w:hint="eastAsia" w:ascii="仿宋_GB2312" w:hAnsi="仿宋" w:eastAsia="仿宋_GB2312"/>
          <w:b w:val="0"/>
          <w:bCs/>
          <w:sz w:val="24"/>
          <w:lang w:val="en-US" w:eastAsia="zh-CN"/>
        </w:rPr>
        <w:t>临平</w:t>
      </w:r>
      <w:r>
        <w:rPr>
          <w:rFonts w:hint="eastAsia" w:ascii="仿宋_GB2312" w:hAnsi="仿宋" w:eastAsia="仿宋_GB2312"/>
          <w:b w:val="0"/>
          <w:bCs/>
          <w:sz w:val="24"/>
        </w:rPr>
        <w:t>区教育系统</w:t>
      </w:r>
      <w:r>
        <w:rPr>
          <w:rFonts w:hint="eastAsia" w:ascii="仿宋_GB2312" w:hAnsi="仿宋" w:eastAsia="仿宋_GB2312"/>
          <w:b w:val="0"/>
          <w:bCs/>
          <w:sz w:val="24"/>
          <w:lang w:val="en-US" w:eastAsia="zh-CN"/>
        </w:rPr>
        <w:t>学生电脑及机房布线</w:t>
      </w:r>
      <w:r>
        <w:rPr>
          <w:rFonts w:hint="eastAsia" w:ascii="仿宋_GB2312" w:hAnsi="仿宋" w:eastAsia="仿宋_GB2312"/>
          <w:b w:val="0"/>
          <w:bCs/>
          <w:sz w:val="24"/>
        </w:rPr>
        <w:t>规模化采购项目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val="0"/>
          <w:bCs/>
          <w:sz w:val="24"/>
          <w:lang w:val="en-US" w:eastAsia="zh-CN"/>
        </w:rPr>
        <w:t>9424000元</w:t>
      </w:r>
      <w:r>
        <w:rPr>
          <w:rFonts w:hint="eastAsia" w:ascii="仿宋_GB2312" w:hAnsi="仿宋" w:eastAsia="仿宋_GB2312"/>
          <w:b w:val="0"/>
          <w:bCs/>
          <w:sz w:val="24"/>
        </w:rPr>
        <w:t xml:space="preserve"> </w:t>
      </w:r>
    </w:p>
    <w:p>
      <w:pPr>
        <w:pStyle w:val="2"/>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 w:val="0"/>
          <w:bCs/>
          <w:color w:val="auto"/>
          <w:sz w:val="24"/>
        </w:rPr>
        <w:t>202</w:t>
      </w:r>
      <w:r>
        <w:rPr>
          <w:rFonts w:hint="eastAsia" w:ascii="仿宋_GB2312" w:hAnsi="仿宋" w:eastAsia="仿宋_GB2312"/>
          <w:b w:val="0"/>
          <w:bCs/>
          <w:color w:val="auto"/>
          <w:sz w:val="24"/>
          <w:lang w:val="en-US" w:eastAsia="zh-CN"/>
        </w:rPr>
        <w:t>2</w:t>
      </w:r>
      <w:r>
        <w:rPr>
          <w:rFonts w:hint="eastAsia" w:ascii="仿宋_GB2312" w:hAnsi="仿宋" w:eastAsia="仿宋_GB2312"/>
          <w:b w:val="0"/>
          <w:bCs/>
          <w:color w:val="auto"/>
          <w:sz w:val="24"/>
        </w:rPr>
        <w:t>年</w:t>
      </w:r>
      <w:r>
        <w:rPr>
          <w:rFonts w:hint="eastAsia" w:ascii="仿宋_GB2312" w:hAnsi="仿宋" w:eastAsia="仿宋_GB2312"/>
          <w:b w:val="0"/>
          <w:bCs/>
          <w:color w:val="auto"/>
          <w:sz w:val="24"/>
          <w:lang w:val="en-US" w:eastAsia="zh-CN"/>
        </w:rPr>
        <w:t>临平</w:t>
      </w:r>
      <w:r>
        <w:rPr>
          <w:rFonts w:hint="eastAsia" w:ascii="仿宋_GB2312" w:hAnsi="仿宋" w:eastAsia="仿宋_GB2312"/>
          <w:b w:val="0"/>
          <w:bCs/>
          <w:color w:val="auto"/>
          <w:sz w:val="24"/>
        </w:rPr>
        <w:t>区教育系统</w:t>
      </w:r>
      <w:r>
        <w:rPr>
          <w:rFonts w:hint="eastAsia" w:ascii="仿宋_GB2312" w:hAnsi="仿宋" w:eastAsia="仿宋_GB2312"/>
          <w:b w:val="0"/>
          <w:bCs/>
          <w:color w:val="auto"/>
          <w:sz w:val="24"/>
          <w:lang w:val="en-US" w:eastAsia="zh-CN"/>
        </w:rPr>
        <w:t>学生电脑及机房布线</w:t>
      </w:r>
      <w:r>
        <w:rPr>
          <w:rFonts w:hint="eastAsia" w:ascii="仿宋_GB2312" w:hAnsi="仿宋" w:eastAsia="仿宋_GB2312"/>
          <w:b w:val="0"/>
          <w:bCs/>
          <w:color w:val="auto"/>
          <w:sz w:val="24"/>
        </w:rPr>
        <w:t>规模化采购</w:t>
      </w:r>
      <w:r>
        <w:rPr>
          <w:rFonts w:ascii="仿宋_GB2312" w:hAnsi="仿宋" w:eastAsia="仿宋_GB2312"/>
          <w:b w:val="0"/>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85"/>
        <w:ind w:firstLine="482"/>
        <w:outlineLvl w:val="2"/>
        <w:rPr>
          <w:rFonts w:ascii="仿宋_GB2312" w:hAnsi="仿宋" w:eastAsia="仿宋_GB2312"/>
          <w:b w:val="0"/>
          <w:bCs/>
        </w:rPr>
      </w:pPr>
      <w:r>
        <w:rPr>
          <w:rFonts w:hint="eastAsia" w:ascii="仿宋_GB2312" w:hAnsi="仿宋" w:eastAsia="仿宋_GB2312"/>
          <w:b/>
        </w:rPr>
        <w:t>合同履约期限：</w:t>
      </w:r>
      <w:r>
        <w:rPr>
          <w:rFonts w:hint="eastAsia" w:ascii="仿宋_GB2312" w:hAnsi="仿宋" w:eastAsia="仿宋_GB2312"/>
          <w:b w:val="0"/>
          <w:bCs/>
        </w:rPr>
        <w:t>202</w:t>
      </w:r>
      <w:r>
        <w:rPr>
          <w:rFonts w:hint="eastAsia" w:ascii="仿宋_GB2312" w:hAnsi="仿宋" w:eastAsia="仿宋_GB2312"/>
          <w:b w:val="0"/>
          <w:bCs/>
          <w:lang w:val="en-US" w:eastAsia="zh-CN"/>
        </w:rPr>
        <w:t>2</w:t>
      </w:r>
      <w:r>
        <w:rPr>
          <w:rFonts w:hint="eastAsia" w:ascii="仿宋_GB2312" w:hAnsi="仿宋" w:eastAsia="仿宋_GB2312"/>
          <w:b w:val="0"/>
          <w:bCs/>
        </w:rPr>
        <w:t>年</w:t>
      </w:r>
      <w:r>
        <w:rPr>
          <w:rFonts w:hint="eastAsia" w:ascii="仿宋_GB2312" w:hAnsi="仿宋" w:eastAsia="仿宋_GB2312"/>
          <w:b w:val="0"/>
          <w:bCs/>
          <w:lang w:val="en-US" w:eastAsia="zh-CN"/>
        </w:rPr>
        <w:t>7</w:t>
      </w:r>
      <w:r>
        <w:rPr>
          <w:rFonts w:hint="eastAsia" w:ascii="仿宋_GB2312" w:hAnsi="仿宋" w:eastAsia="仿宋_GB2312"/>
          <w:b w:val="0"/>
          <w:bCs/>
        </w:rPr>
        <w:t>月3</w:t>
      </w:r>
      <w:r>
        <w:rPr>
          <w:rFonts w:hint="eastAsia" w:ascii="仿宋_GB2312" w:hAnsi="仿宋" w:eastAsia="仿宋_GB2312"/>
          <w:b w:val="0"/>
          <w:bCs/>
          <w:lang w:val="en-US" w:eastAsia="zh-CN"/>
        </w:rPr>
        <w:t>1</w:t>
      </w:r>
      <w:r>
        <w:rPr>
          <w:rFonts w:hint="eastAsia" w:ascii="仿宋_GB2312" w:hAnsi="仿宋" w:eastAsia="仿宋_GB2312"/>
          <w:b w:val="0"/>
          <w:bCs/>
        </w:rPr>
        <w:t>日</w:t>
      </w:r>
    </w:p>
    <w:p>
      <w:pPr>
        <w:pStyle w:val="2"/>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t>☐</w:t>
      </w:r>
      <w:r>
        <w:rPr>
          <w:rFonts w:hint="eastAsia" w:ascii="仿宋_GB2312" w:hAnsi="仿宋" w:eastAsia="仿宋_GB2312"/>
          <w:b/>
          <w:color w:val="auto"/>
          <w:sz w:val="24"/>
        </w:rPr>
        <w:t>是，</w:t>
      </w:r>
      <w:r>
        <w:rPr>
          <w:rFonts w:hint="eastAsia" w:ascii="MS Gothic" w:hAnsi="MS Gothic" w:eastAsia="MS Gothic" w:cs="Arial"/>
          <w:color w:val="auto"/>
          <w:kern w:val="0"/>
          <w:sz w:val="24"/>
        </w:rPr>
        <w:sym w:font="Wingdings" w:char="0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w:t>
      </w:r>
      <w:r>
        <w:rPr>
          <w:rFonts w:hint="eastAsia" w:ascii="仿宋_GB2312" w:hAnsi="仿宋" w:eastAsia="仿宋_GB2312"/>
          <w:b/>
          <w:sz w:val="24"/>
          <w:highlight w:val="none"/>
        </w:rPr>
        <w:t>、申请人的资格要求：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w:t>
      </w:r>
      <w:r>
        <w:rPr>
          <w:rFonts w:hint="eastAsia" w:ascii="仿宋_GB2312" w:hAnsi="仿宋" w:eastAsia="仿宋_GB2312"/>
          <w:b/>
          <w:sz w:val="24"/>
          <w:highlight w:val="none"/>
        </w:rPr>
        <w:t>、获取招标文件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ascii="仿宋_GB2312" w:hAnsi="仿宋" w:eastAsia="仿宋_GB2312"/>
          <w:sz w:val="24"/>
          <w:u w:val="single"/>
        </w:rPr>
        <w:t>月</w:t>
      </w:r>
      <w:r>
        <w:rPr>
          <w:rFonts w:hint="eastAsia" w:ascii="仿宋_GB2312" w:hAnsi="仿宋" w:eastAsia="仿宋_GB2312"/>
          <w:sz w:val="24"/>
          <w:u w:val="single"/>
          <w:lang w:val="en-US" w:eastAsia="zh-CN"/>
        </w:rPr>
        <w:t>1</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lang w:val="en-US" w:eastAsia="zh-CN"/>
        </w:rPr>
        <w:t>获取网址</w:t>
      </w:r>
      <w:r>
        <w:rPr>
          <w:rFonts w:hint="eastAsia" w:ascii="仿宋_GB2312" w:hAnsi="仿宋" w:eastAsia="仿宋_GB2312"/>
          <w:b/>
          <w:sz w:val="24"/>
        </w:rPr>
        <w:t>：</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highlight w:val="cyan"/>
        </w:rPr>
      </w:pPr>
      <w:r>
        <w:rPr>
          <w:rFonts w:hint="eastAsia" w:ascii="仿宋_GB2312" w:hAnsi="仿宋" w:eastAsia="仿宋_GB2312"/>
          <w:b/>
          <w:sz w:val="24"/>
        </w:rPr>
        <w:t>四、</w:t>
      </w:r>
      <w:r>
        <w:rPr>
          <w:rFonts w:hint="eastAsia" w:ascii="仿宋_GB2312" w:hAnsi="仿宋" w:eastAsia="仿宋_GB2312"/>
          <w:b/>
          <w:sz w:val="24"/>
          <w:highlight w:val="none"/>
        </w:rPr>
        <w:t>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ascii="仿宋_GB2312" w:hAnsi="仿宋" w:eastAsia="仿宋_GB2312"/>
          <w:sz w:val="24"/>
          <w:u w:val="single"/>
        </w:rPr>
        <w:t>月</w:t>
      </w:r>
      <w:r>
        <w:rPr>
          <w:rFonts w:hint="eastAsia" w:ascii="仿宋_GB2312" w:hAnsi="仿宋" w:eastAsia="仿宋_GB2312"/>
          <w:sz w:val="24"/>
          <w:u w:val="single"/>
          <w:lang w:val="en-US" w:eastAsia="zh-CN"/>
        </w:rPr>
        <w:t>1</w:t>
      </w:r>
      <w:r>
        <w:rPr>
          <w:rFonts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投标地点：</w:t>
      </w:r>
      <w:r>
        <w:rPr>
          <w:rFonts w:hint="default" w:ascii="仿宋_GB2312" w:hAnsi="仿宋" w:eastAsia="仿宋_GB2312" w:cs="Times New Roman"/>
          <w:b w:val="0"/>
          <w:bCs w:val="0"/>
          <w:color w:val="auto"/>
          <w:sz w:val="24"/>
          <w:highlight w:val="none"/>
        </w:rPr>
        <w:t>杭州市公共资源交易中心</w:t>
      </w:r>
      <w:r>
        <w:rPr>
          <w:rFonts w:hint="default" w:ascii="仿宋_GB2312" w:hAnsi="仿宋" w:eastAsia="仿宋_GB2312" w:cs="Times New Roman"/>
          <w:b w:val="0"/>
          <w:bCs w:val="0"/>
          <w:color w:val="auto"/>
          <w:sz w:val="24"/>
          <w:highlight w:val="none"/>
          <w:lang w:eastAsia="zh-CN"/>
        </w:rPr>
        <w:t>临平</w:t>
      </w:r>
      <w:r>
        <w:rPr>
          <w:rFonts w:hint="default" w:ascii="仿宋_GB2312" w:hAnsi="仿宋" w:eastAsia="仿宋_GB2312" w:cs="Times New Roman"/>
          <w:b w:val="0"/>
          <w:bCs w:val="0"/>
          <w:color w:val="auto"/>
          <w:sz w:val="24"/>
          <w:highlight w:val="none"/>
        </w:rPr>
        <w:t>分中心</w:t>
      </w:r>
      <w:r>
        <w:rPr>
          <w:rFonts w:hint="eastAsia" w:ascii="仿宋_GB2312" w:hAnsi="仿宋" w:eastAsia="仿宋_GB2312"/>
          <w:b w:val="0"/>
          <w:color w:val="auto"/>
          <w:kern w:val="2"/>
          <w:sz w:val="24"/>
          <w:highlight w:val="none"/>
          <w:lang w:val="en-US" w:eastAsia="zh-CN"/>
        </w:rPr>
        <w:t>1</w:t>
      </w:r>
      <w:r>
        <w:rPr>
          <w:rFonts w:hint="default" w:ascii="仿宋_GB2312" w:hAnsi="仿宋" w:eastAsia="仿宋_GB2312" w:cs="Times New Roman"/>
          <w:b w:val="0"/>
          <w:color w:val="auto"/>
          <w:sz w:val="24"/>
          <w:highlight w:val="none"/>
        </w:rPr>
        <w:t>号开标室</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ascii="仿宋_GB2312" w:hAnsi="仿宋" w:eastAsia="仿宋_GB2312"/>
          <w:sz w:val="24"/>
          <w:u w:val="single"/>
        </w:rPr>
        <w:t>月</w:t>
      </w:r>
      <w:r>
        <w:rPr>
          <w:rFonts w:hint="eastAsia" w:ascii="仿宋_GB2312" w:hAnsi="仿宋" w:eastAsia="仿宋_GB2312"/>
          <w:sz w:val="24"/>
          <w:u w:val="single"/>
          <w:lang w:val="en-US" w:eastAsia="zh-CN"/>
        </w:rPr>
        <w:t>1</w:t>
      </w:r>
      <w:r>
        <w:rPr>
          <w:rFonts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bCs/>
          <w:sz w:val="24"/>
          <w:highlight w:val="none"/>
          <w:u w:val="single"/>
        </w:rPr>
        <w:t xml:space="preserve"> </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开标地点：</w:t>
      </w:r>
      <w:r>
        <w:rPr>
          <w:rFonts w:hint="default" w:ascii="仿宋_GB2312" w:hAnsi="仿宋" w:eastAsia="仿宋_GB2312" w:cs="Times New Roman"/>
          <w:b w:val="0"/>
          <w:bCs w:val="0"/>
          <w:color w:val="auto"/>
          <w:sz w:val="24"/>
          <w:highlight w:val="none"/>
        </w:rPr>
        <w:t>杭州市公共资源交易中心</w:t>
      </w:r>
      <w:r>
        <w:rPr>
          <w:rFonts w:hint="default" w:ascii="仿宋_GB2312" w:hAnsi="仿宋" w:eastAsia="仿宋_GB2312" w:cs="Times New Roman"/>
          <w:b w:val="0"/>
          <w:bCs w:val="0"/>
          <w:color w:val="auto"/>
          <w:sz w:val="24"/>
          <w:highlight w:val="none"/>
          <w:lang w:eastAsia="zh-CN"/>
        </w:rPr>
        <w:t>临平</w:t>
      </w:r>
      <w:r>
        <w:rPr>
          <w:rFonts w:hint="default" w:ascii="仿宋_GB2312" w:hAnsi="仿宋" w:eastAsia="仿宋_GB2312" w:cs="Times New Roman"/>
          <w:b w:val="0"/>
          <w:bCs w:val="0"/>
          <w:color w:val="auto"/>
          <w:sz w:val="24"/>
          <w:highlight w:val="none"/>
        </w:rPr>
        <w:t>分中心</w:t>
      </w:r>
      <w:r>
        <w:rPr>
          <w:rFonts w:hint="eastAsia" w:ascii="仿宋_GB2312" w:hAnsi="仿宋" w:eastAsia="仿宋_GB2312"/>
          <w:b w:val="0"/>
          <w:color w:val="auto"/>
          <w:kern w:val="2"/>
          <w:sz w:val="24"/>
          <w:highlight w:val="none"/>
          <w:lang w:val="en-US" w:eastAsia="zh-CN"/>
        </w:rPr>
        <w:t>1</w:t>
      </w:r>
      <w:r>
        <w:rPr>
          <w:rFonts w:hint="default" w:ascii="仿宋_GB2312" w:hAnsi="仿宋" w:eastAsia="仿宋_GB2312" w:cs="Times New Roman"/>
          <w:b w:val="0"/>
          <w:color w:val="auto"/>
          <w:sz w:val="24"/>
          <w:highlight w:val="none"/>
        </w:rPr>
        <w:t>号开标室</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hint="eastAsia" w:ascii="宋体" w:hAnsi="宋体" w:cs="宋体"/>
          <w:b/>
          <w:bCs/>
          <w:color w:val="000000"/>
          <w:sz w:val="28"/>
          <w:highlight w:val="none"/>
        </w:rPr>
      </w:pPr>
      <w:r>
        <w:rPr>
          <w:rFonts w:hint="eastAsia" w:ascii="仿宋_GB2312" w:hAnsi="仿宋" w:eastAsia="仿宋_GB2312"/>
          <w:b/>
          <w:sz w:val="24"/>
          <w:lang w:val="en-US" w:eastAsia="zh-CN"/>
        </w:rPr>
        <w:t xml:space="preserve">    注：</w:t>
      </w:r>
      <w:r>
        <w:rPr>
          <w:rFonts w:hint="default" w:ascii="仿宋_GB2312" w:hAnsi="仿宋" w:eastAsia="仿宋_GB2312" w:cs="Times New Roman"/>
          <w:b w:val="0"/>
          <w:bCs w:val="0"/>
          <w:color w:val="auto"/>
          <w:sz w:val="24"/>
          <w:highlight w:val="none"/>
        </w:rPr>
        <w:t>杭州市公共资源交易中心</w:t>
      </w:r>
      <w:r>
        <w:rPr>
          <w:rFonts w:hint="default" w:ascii="仿宋_GB2312" w:hAnsi="仿宋" w:eastAsia="仿宋_GB2312" w:cs="Times New Roman"/>
          <w:b w:val="0"/>
          <w:bCs w:val="0"/>
          <w:color w:val="auto"/>
          <w:sz w:val="24"/>
          <w:highlight w:val="none"/>
          <w:lang w:eastAsia="zh-CN"/>
        </w:rPr>
        <w:t>临平</w:t>
      </w:r>
      <w:r>
        <w:rPr>
          <w:rFonts w:hint="default" w:ascii="仿宋_GB2312" w:hAnsi="仿宋" w:eastAsia="仿宋_GB2312" w:cs="Times New Roman"/>
          <w:b w:val="0"/>
          <w:bCs w:val="0"/>
          <w:color w:val="auto"/>
          <w:sz w:val="24"/>
          <w:highlight w:val="none"/>
        </w:rPr>
        <w:t>分中心</w:t>
      </w:r>
      <w:r>
        <w:rPr>
          <w:rFonts w:hint="default" w:ascii="仿宋_GB2312" w:hAnsi="仿宋" w:eastAsia="仿宋_GB2312" w:cs="Times New Roman"/>
          <w:b w:val="0"/>
          <w:bCs w:val="0"/>
          <w:color w:val="auto"/>
          <w:sz w:val="24"/>
          <w:highlight w:val="none"/>
          <w:lang w:eastAsia="zh-CN"/>
        </w:rPr>
        <w:t>（</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default" w:ascii="仿宋_GB2312" w:hAnsi="仿宋" w:eastAsia="仿宋_GB2312" w:cs="Times New Roman"/>
          <w:color w:val="auto"/>
          <w:sz w:val="24"/>
          <w:highlight w:val="none"/>
          <w:lang w:val="en-US" w:eastAsia="zh-CN"/>
        </w:rPr>
        <w:t>南苑街道</w:t>
      </w:r>
      <w:r>
        <w:rPr>
          <w:rFonts w:hint="default" w:ascii="仿宋_GB2312" w:hAnsi="仿宋" w:eastAsia="仿宋_GB2312" w:cs="Times New Roman"/>
          <w:color w:val="auto"/>
          <w:sz w:val="24"/>
          <w:highlight w:val="none"/>
        </w:rPr>
        <w:t>南大街265号市民之家三楼</w:t>
      </w:r>
      <w:r>
        <w:rPr>
          <w:rFonts w:hint="default" w:ascii="仿宋_GB2312" w:hAnsi="仿宋" w:eastAsia="仿宋_GB2312" w:cs="Times New Roman"/>
          <w:b w:val="0"/>
          <w:bCs w:val="0"/>
          <w:color w:val="auto"/>
          <w:sz w:val="24"/>
          <w:highlight w:val="none"/>
          <w:lang w:eastAsia="zh-CN"/>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pStyle w:val="4"/>
        <w:tabs>
          <w:tab w:val="left" w:pos="0"/>
          <w:tab w:val="clear" w:pos="432"/>
        </w:tabs>
        <w:ind w:left="12" w:leftChars="0" w:hanging="12" w:firstLineChars="0"/>
        <w:rPr>
          <w:rFonts w:ascii="仿宋" w:hAnsi="仿宋" w:eastAsia="仿宋" w:cs="仿宋_GB2312"/>
          <w:sz w:val="24"/>
        </w:rPr>
      </w:pPr>
      <w:r>
        <w:rPr>
          <w:rFonts w:hint="eastAsia"/>
          <w:sz w:val="24"/>
          <w:lang w:val="en-US" w:eastAsia="zh-CN"/>
        </w:rPr>
        <w:t xml:space="preserve">    </w:t>
      </w: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w:t>
      </w:r>
      <w:r>
        <w:rPr>
          <w:rFonts w:ascii="仿宋_GB2312" w:hAnsi="仿宋" w:eastAsia="仿宋_GB2312" w:cs="仿宋_GB2312"/>
          <w:sz w:val="24"/>
          <w:highlight w:val="none"/>
        </w:rPr>
        <w:t>还可以在投标截止时间前直接提交备份投标文件1份</w:t>
      </w:r>
      <w:r>
        <w:rPr>
          <w:rFonts w:hint="eastAsia" w:cs="仿宋_GB2312"/>
          <w:sz w:val="24"/>
          <w:highlight w:val="none"/>
          <w:lang w:val="en-US" w:eastAsia="zh-CN"/>
        </w:rPr>
        <w:t>至</w:t>
      </w:r>
      <w:r>
        <w:rPr>
          <w:rFonts w:hint="eastAsia" w:ascii="仿宋_GB2312" w:hAnsi="仿宋" w:eastAsia="仿宋_GB2312" w:cs="仿宋_GB2312"/>
          <w:sz w:val="24"/>
          <w:szCs w:val="24"/>
          <w:lang w:val="en-US" w:eastAsia="zh-CN"/>
        </w:rPr>
        <w:t>至杭州市公共资源交易中心临平分中心</w:t>
      </w:r>
      <w:r>
        <w:rPr>
          <w:rFonts w:ascii="仿宋_GB2312" w:hAnsi="仿宋" w:eastAsia="仿宋_GB2312" w:cs="仿宋_GB2312"/>
          <w:sz w:val="24"/>
          <w:highlight w:val="none"/>
        </w:rPr>
        <w:t>。备份投标文件的制作、存储、密封详见招标文件第二部分第15点—“备份投标文件”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杭州市临平区教育综合服务中心</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val="en-US" w:eastAsia="zh-CN"/>
        </w:rPr>
        <w:t>杭州市临平区世纪大道928号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胡老师</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86229103</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龚老师</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88667061</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color w:val="000000"/>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color w:val="000000"/>
          <w:sz w:val="24"/>
        </w:rPr>
        <w:t>杭州市公共资源交易中心临平分中心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olor w:val="000000"/>
          <w:sz w:val="24"/>
        </w:rPr>
        <w:t>临平南大街265号</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沈女士</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89360806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张女士</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rPr>
        <w:t>86164927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color w:val="000000"/>
          <w:sz w:val="24"/>
        </w:rPr>
      </w:pPr>
      <w:r>
        <w:rPr>
          <w:rFonts w:ascii="仿宋_GB2312" w:hAnsi="仿宋" w:eastAsia="仿宋_GB2312"/>
          <w:sz w:val="24"/>
        </w:rPr>
        <w:t xml:space="preserve">    </w:t>
      </w:r>
      <w:r>
        <w:rPr>
          <w:rFonts w:ascii="仿宋_GB2312" w:hAnsi="仿宋" w:eastAsia="仿宋_GB2312"/>
          <w:color w:val="000000"/>
          <w:sz w:val="24"/>
        </w:rPr>
        <w:t>名    称：</w:t>
      </w:r>
      <w:r>
        <w:rPr>
          <w:rFonts w:hint="eastAsia" w:ascii="仿宋_GB2312" w:hAnsi="仿宋" w:eastAsia="仿宋_GB2312"/>
          <w:color w:val="000000"/>
          <w:sz w:val="24"/>
        </w:rPr>
        <w:t>杭州市临平区财政局</w:t>
      </w:r>
    </w:p>
    <w:p>
      <w:pPr>
        <w:spacing w:line="360" w:lineRule="auto"/>
        <w:rPr>
          <w:rFonts w:ascii="仿宋_GB2312" w:hAnsi="仿宋" w:eastAsia="仿宋_GB2312"/>
          <w:color w:val="000000"/>
          <w:sz w:val="24"/>
        </w:rPr>
      </w:pPr>
      <w:r>
        <w:rPr>
          <w:rFonts w:ascii="仿宋_GB2312" w:hAnsi="仿宋" w:eastAsia="仿宋_GB2312"/>
          <w:color w:val="000000"/>
          <w:sz w:val="24"/>
        </w:rPr>
        <w:t xml:space="preserve">    地    址：</w:t>
      </w:r>
      <w:r>
        <w:rPr>
          <w:rFonts w:hint="eastAsia" w:ascii="仿宋_GB2312" w:hAnsi="仿宋" w:eastAsia="仿宋_GB2312"/>
          <w:color w:val="000000"/>
          <w:sz w:val="24"/>
        </w:rPr>
        <w:t>杭州市临平区东湖街道东湖中路236号</w:t>
      </w:r>
    </w:p>
    <w:p>
      <w:pPr>
        <w:spacing w:line="360" w:lineRule="auto"/>
        <w:rPr>
          <w:rFonts w:ascii="仿宋_GB2312" w:hAnsi="仿宋" w:eastAsia="仿宋_GB2312"/>
          <w:color w:val="000000"/>
          <w:sz w:val="24"/>
        </w:rPr>
      </w:pPr>
      <w:r>
        <w:rPr>
          <w:rFonts w:ascii="仿宋_GB2312" w:hAnsi="仿宋" w:eastAsia="仿宋_GB2312"/>
          <w:color w:val="000000"/>
          <w:sz w:val="24"/>
        </w:rPr>
        <w:t xml:space="preserve">    联系人 ：</w:t>
      </w:r>
      <w:r>
        <w:rPr>
          <w:rFonts w:hint="eastAsia" w:ascii="仿宋_GB2312" w:hAnsi="仿宋" w:eastAsia="仿宋_GB2312"/>
          <w:color w:val="000000"/>
          <w:sz w:val="24"/>
        </w:rPr>
        <w:t>俞征</w:t>
      </w:r>
    </w:p>
    <w:p>
      <w:pPr>
        <w:spacing w:line="360" w:lineRule="auto"/>
        <w:ind w:firstLine="480" w:firstLineChars="200"/>
        <w:rPr>
          <w:rFonts w:ascii="仿宋_GB2312" w:hAnsi="仿宋" w:eastAsia="仿宋_GB2312"/>
          <w:sz w:val="24"/>
        </w:rPr>
      </w:pPr>
      <w:r>
        <w:rPr>
          <w:rFonts w:ascii="仿宋_GB2312" w:hAnsi="仿宋" w:eastAsia="仿宋_GB2312"/>
          <w:color w:val="000000"/>
          <w:sz w:val="24"/>
        </w:rPr>
        <w:t>监督投诉电话：0571-89185312</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9"/>
      <w:r>
        <w:rPr>
          <w:rFonts w:ascii="仿宋" w:hAnsi="仿宋" w:eastAsia="仿宋" w:cs="仿宋_GB2312"/>
          <w:b/>
          <w:sz w:val="36"/>
          <w:szCs w:val="20"/>
        </w:rPr>
        <w:t xml:space="preserve"> 投标人须知</w:t>
      </w:r>
      <w:bookmarkEnd w:id="10"/>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color w:val="auto"/>
                <w:kern w:val="0"/>
                <w:sz w:val="24"/>
              </w:rPr>
              <w:sym w:font="Wingdings" w:char="00FE"/>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olor w:val="auto"/>
                <w:sz w:val="24"/>
                <w:highlight w:val="none"/>
                <w:u w:val="single"/>
                <w:lang w:eastAsia="zh-CN"/>
              </w:rPr>
              <w:t>货物运输</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00A8"/>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b/>
                <w:sz w:val="24"/>
                <w:szCs w:val="20"/>
              </w:rPr>
            </w:pPr>
            <w:r>
              <w:rPr>
                <w:rFonts w:hint="eastAsia" w:ascii="MS Gothic" w:hAnsi="MS Gothic" w:eastAsia="MS Gothic"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不要求提供。</w:t>
            </w: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b/>
                <w:kern w:val="0"/>
                <w:sz w:val="24"/>
                <w:szCs w:val="20"/>
                <w:lang w:val="zh-CN"/>
              </w:rPr>
            </w:pPr>
            <w:r>
              <w:rPr>
                <w:rFonts w:hint="eastAsia" w:ascii="MS Gothic" w:hAnsi="MS Gothic" w:eastAsia="MS Gothic"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r>
              <w:rPr>
                <w:rFonts w:hint="eastAsia" w:ascii="MS Gothic" w:hAnsi="MS Gothic" w:eastAsia="仿宋_GB2312" w:cs="Arial"/>
                <w:kern w:val="0"/>
                <w:sz w:val="24"/>
                <w:szCs w:val="20"/>
              </w:rPr>
              <w:t>☐</w:t>
            </w:r>
            <w:r>
              <w:rPr>
                <w:rFonts w:hint="eastAsia" w:ascii="仿宋_GB2312" w:hAnsi="仿宋" w:eastAsia="仿宋_GB2312" w:cs="Times New Roman"/>
                <w:kern w:val="0"/>
                <w:sz w:val="24"/>
                <w:szCs w:val="20"/>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p>
            <w:pPr>
              <w:spacing w:before="0" w:beforeAutospacing="0" w:after="0" w:afterAutospacing="0" w:line="360" w:lineRule="auto"/>
              <w:ind w:left="0" w:right="0"/>
              <w:rPr>
                <w:rFonts w:hint="eastAsia"/>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货物类，单一产品或</w:t>
            </w:r>
            <w:r>
              <w:rPr>
                <w:rFonts w:hint="eastAsia" w:ascii="仿宋_GB2312" w:hAnsi="仿宋" w:eastAsia="仿宋_GB2312" w:cs="Times New Roman"/>
                <w:kern w:val="0"/>
                <w:sz w:val="24"/>
                <w:szCs w:val="20"/>
              </w:rPr>
              <w:t>核心产品为：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u w:val="single"/>
                <w:lang w:val="en-US" w:eastAsia="zh-CN"/>
              </w:rPr>
              <w:t>学生电脑</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仿宋_GB2312" w:cs="Arial"/>
                <w:kern w:val="0"/>
                <w:sz w:val="24"/>
                <w:szCs w:val="20"/>
              </w:rPr>
              <w:t>☐</w:t>
            </w:r>
            <w:r>
              <w:rPr>
                <w:rFonts w:hint="eastAsia" w:ascii="仿宋_GB2312" w:hAnsi="仿宋" w:eastAsia="仿宋_GB2312" w:cs="Arial"/>
                <w:kern w:val="0"/>
                <w:sz w:val="24"/>
                <w:szCs w:val="20"/>
              </w:rPr>
              <w:t>B</w:t>
            </w:r>
            <w:r>
              <w:rPr>
                <w:rFonts w:hint="eastAsia" w:ascii="仿宋_GB2312" w:hAnsi="仿宋" w:eastAsia="仿宋_GB2312" w:cs="Times New Roman"/>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r>
              <w:rPr>
                <w:rFonts w:hint="eastAsia" w:ascii="仿宋_GB2312" w:hAnsi="仿宋" w:eastAsia="仿宋_GB2312" w:cs="仿宋_GB2312"/>
                <w:sz w:val="24"/>
                <w:szCs w:val="20"/>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color w:val="auto"/>
                <w:kern w:val="0"/>
                <w:sz w:val="24"/>
                <w:highlight w:val="none"/>
                <w:lang w:val="en-US" w:eastAsia="zh-CN"/>
              </w:rPr>
            </w:pPr>
            <w:r>
              <w:rPr>
                <w:rFonts w:hint="eastAsia" w:ascii="仿宋_GB2312" w:hAnsi="仿宋" w:eastAsia="仿宋_GB2312" w:cs="Arial"/>
                <w:kern w:val="0"/>
                <w:sz w:val="24"/>
                <w:szCs w:val="20"/>
                <w:highlight w:val="none"/>
                <w:lang w:val="en-US" w:eastAsia="zh-CN"/>
              </w:rPr>
              <w:t xml:space="preserve">    </w:t>
            </w:r>
            <w:r>
              <w:rPr>
                <w:rFonts w:hint="eastAsia" w:ascii="仿宋" w:hAnsi="仿宋" w:eastAsia="仿宋" w:cs="仿宋"/>
                <w:color w:val="auto"/>
                <w:kern w:val="0"/>
                <w:sz w:val="24"/>
                <w:highlight w:val="none"/>
                <w:lang w:val="en-US" w:eastAsia="zh-CN"/>
              </w:rPr>
              <w:t xml:space="preserve">1、根据《财政部 发展改革委 生态环境部 </w:t>
            </w:r>
            <w:r>
              <w:rPr>
                <w:rFonts w:hint="eastAsia" w:ascii="仿宋" w:hAnsi="仿宋" w:eastAsia="仿宋" w:cs="仿宋"/>
                <w:color w:val="auto"/>
                <w:kern w:val="0"/>
                <w:sz w:val="24"/>
                <w:highlight w:val="none"/>
                <w:lang w:val="en-US" w:eastAsia="zh-CN"/>
              </w:rPr>
              <w:fldChar w:fldCharType="begin"/>
            </w:r>
            <w:r>
              <w:rPr>
                <w:rFonts w:hint="eastAsia" w:ascii="仿宋" w:hAnsi="仿宋" w:eastAsia="仿宋" w:cs="仿宋"/>
                <w:color w:val="auto"/>
                <w:kern w:val="0"/>
                <w:sz w:val="24"/>
                <w:highlight w:val="none"/>
                <w:lang w:val="en-US" w:eastAsia="zh-CN"/>
              </w:rPr>
              <w:instrText xml:space="preserve"> HYPERLINK "http://www.tanjiaoyi.com/tanshichang/" \t "http://www.tanjiaoyi.com/_blank" </w:instrText>
            </w:r>
            <w:r>
              <w:rPr>
                <w:rFonts w:hint="eastAsia" w:ascii="仿宋" w:hAnsi="仿宋" w:eastAsia="仿宋" w:cs="仿宋"/>
                <w:color w:val="auto"/>
                <w:kern w:val="0"/>
                <w:sz w:val="24"/>
                <w:highlight w:val="none"/>
                <w:lang w:val="en-US" w:eastAsia="zh-CN"/>
              </w:rPr>
              <w:fldChar w:fldCharType="separate"/>
            </w:r>
            <w:r>
              <w:rPr>
                <w:rFonts w:hint="eastAsia" w:ascii="仿宋" w:hAnsi="仿宋" w:eastAsia="仿宋" w:cs="仿宋"/>
                <w:color w:val="auto"/>
                <w:kern w:val="0"/>
                <w:sz w:val="24"/>
                <w:highlight w:val="none"/>
                <w:lang w:val="en-US" w:eastAsia="zh-CN"/>
              </w:rPr>
              <w:t>市场</w:t>
            </w:r>
            <w:r>
              <w:rPr>
                <w:rFonts w:hint="eastAsia" w:ascii="仿宋" w:hAnsi="仿宋" w:eastAsia="仿宋" w:cs="仿宋"/>
                <w:color w:val="auto"/>
                <w:kern w:val="0"/>
                <w:sz w:val="24"/>
                <w:highlight w:val="none"/>
                <w:lang w:val="en-US" w:eastAsia="zh-CN"/>
              </w:rPr>
              <w:fldChar w:fldCharType="end"/>
            </w:r>
            <w:r>
              <w:rPr>
                <w:rFonts w:hint="eastAsia" w:ascii="仿宋" w:hAnsi="仿宋" w:eastAsia="仿宋" w:cs="仿宋"/>
                <w:color w:val="auto"/>
                <w:kern w:val="0"/>
                <w:sz w:val="24"/>
                <w:highlight w:val="none"/>
                <w:lang w:val="en-US" w:eastAsia="zh-CN"/>
              </w:rPr>
              <w:t>监管总局关于调整优化</w:t>
            </w:r>
            <w:r>
              <w:rPr>
                <w:rFonts w:hint="eastAsia" w:ascii="仿宋" w:hAnsi="仿宋" w:eastAsia="仿宋" w:cs="仿宋"/>
                <w:color w:val="auto"/>
                <w:kern w:val="0"/>
                <w:sz w:val="24"/>
                <w:highlight w:val="none"/>
                <w:lang w:val="en-US" w:eastAsia="zh-CN"/>
              </w:rPr>
              <w:fldChar w:fldCharType="begin"/>
            </w:r>
            <w:r>
              <w:rPr>
                <w:rFonts w:hint="eastAsia" w:ascii="仿宋" w:hAnsi="仿宋" w:eastAsia="仿宋" w:cs="仿宋"/>
                <w:color w:val="auto"/>
                <w:kern w:val="0"/>
                <w:sz w:val="24"/>
                <w:highlight w:val="none"/>
                <w:lang w:val="en-US" w:eastAsia="zh-CN"/>
              </w:rPr>
              <w:instrText xml:space="preserve"> HYPERLINK "http://www.tanjiaoyi.com/jienengjianpai/" \t "http://www.tanjiaoyi.com/_blank" </w:instrText>
            </w:r>
            <w:r>
              <w:rPr>
                <w:rFonts w:hint="eastAsia" w:ascii="仿宋" w:hAnsi="仿宋" w:eastAsia="仿宋" w:cs="仿宋"/>
                <w:color w:val="auto"/>
                <w:kern w:val="0"/>
                <w:sz w:val="24"/>
                <w:highlight w:val="none"/>
                <w:lang w:val="en-US" w:eastAsia="zh-CN"/>
              </w:rPr>
              <w:fldChar w:fldCharType="separate"/>
            </w:r>
            <w:r>
              <w:rPr>
                <w:rFonts w:hint="eastAsia" w:ascii="仿宋" w:hAnsi="仿宋" w:eastAsia="仿宋" w:cs="仿宋"/>
                <w:color w:val="auto"/>
                <w:kern w:val="0"/>
                <w:sz w:val="24"/>
                <w:highlight w:val="none"/>
                <w:lang w:val="en-US" w:eastAsia="zh-CN"/>
              </w:rPr>
              <w:t>节能</w:t>
            </w:r>
            <w:r>
              <w:rPr>
                <w:rFonts w:hint="eastAsia" w:ascii="仿宋" w:hAnsi="仿宋" w:eastAsia="仿宋" w:cs="仿宋"/>
                <w:color w:val="auto"/>
                <w:kern w:val="0"/>
                <w:sz w:val="24"/>
                <w:highlight w:val="none"/>
                <w:lang w:val="en-US" w:eastAsia="zh-CN"/>
              </w:rPr>
              <w:fldChar w:fldCharType="end"/>
            </w:r>
            <w:r>
              <w:rPr>
                <w:rFonts w:hint="eastAsia" w:ascii="仿宋" w:hAnsi="仿宋" w:eastAsia="仿宋" w:cs="仿宋"/>
                <w:color w:val="auto"/>
                <w:kern w:val="0"/>
                <w:sz w:val="24"/>
                <w:highlight w:val="none"/>
                <w:lang w:val="en-US" w:eastAsia="zh-CN"/>
              </w:rPr>
              <w:t>产品、环境标志产品政府采购执行机制的通知》（财库〔2019〕9号）文件要求，本项目如必须采购品目清单中的政府强制采购的产品，投标人所投的相应产品须为属于品目清单范围内、处于有效期内的产品。</w:t>
            </w:r>
          </w:p>
          <w:p>
            <w:pPr>
              <w:snapToGrid w:val="0"/>
              <w:spacing w:before="0" w:beforeAutospacing="0" w:after="0" w:afterAutospacing="0" w:line="360" w:lineRule="auto"/>
              <w:ind w:left="0" w:right="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2、</w:t>
            </w:r>
            <w:r>
              <w:rPr>
                <w:rFonts w:hint="eastAsia" w:ascii="仿宋" w:hAnsi="仿宋" w:eastAsia="仿宋" w:cs="仿宋"/>
                <w:color w:val="auto"/>
                <w:kern w:val="0"/>
                <w:sz w:val="24"/>
                <w:highlight w:val="none"/>
              </w:rPr>
              <w:t>本次采购</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lang w:val="en-US" w:eastAsia="zh-CN"/>
              </w:rPr>
              <w:t>学生电脑、职高专业电脑</w:t>
            </w:r>
            <w:r>
              <w:rPr>
                <w:rFonts w:hint="eastAsia" w:ascii="仿宋" w:hAnsi="仿宋" w:eastAsia="仿宋" w:cs="仿宋"/>
                <w:color w:val="auto"/>
                <w:kern w:val="0"/>
                <w:sz w:val="24"/>
                <w:highlight w:val="none"/>
              </w:rPr>
              <w:t>为政府强制采购产品</w:t>
            </w:r>
            <w:r>
              <w:rPr>
                <w:rFonts w:hint="eastAsia" w:ascii="仿宋" w:hAnsi="仿宋" w:eastAsia="仿宋" w:cs="仿宋"/>
                <w:color w:val="auto"/>
                <w:kern w:val="0"/>
                <w:sz w:val="24"/>
                <w:highlight w:val="none"/>
                <w:lang w:val="en-US" w:eastAsia="zh-CN"/>
              </w:rPr>
              <w:t>。</w:t>
            </w:r>
          </w:p>
          <w:p>
            <w:pPr>
              <w:snapToGrid w:val="0"/>
              <w:spacing w:before="0" w:beforeAutospacing="0" w:after="0" w:afterAutospacing="0" w:line="360" w:lineRule="auto"/>
              <w:ind w:left="0" w:right="0" w:firstLine="480" w:firstLineChars="20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3、</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r>
              <w:rPr>
                <w:rFonts w:hint="eastAsia" w:ascii="仿宋_GB2312" w:hAnsi="仿宋" w:eastAsia="仿宋_GB2312" w:cs="仿宋_GB2312"/>
                <w:sz w:val="24"/>
                <w:szCs w:val="20"/>
              </w:rPr>
              <w:t>1</w:t>
            </w:r>
            <w:r>
              <w:rPr>
                <w:rFonts w:hint="eastAsia" w:ascii="仿宋_GB2312" w:hAnsi="仿宋" w:eastAsia="仿宋_GB2312" w:cs="仿宋_GB2312"/>
                <w:sz w:val="24"/>
                <w:szCs w:val="20"/>
                <w:lang w:val="en-US" w:eastAsia="zh-CN"/>
              </w:rPr>
              <w:t>0</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r>
              <w:rPr>
                <w:rFonts w:hint="eastAsia" w:ascii="仿宋_GB2312" w:hAnsi="仿宋" w:eastAsia="仿宋_GB2312" w:cs="仿宋_GB2312"/>
                <w:sz w:val="24"/>
                <w:szCs w:val="20"/>
              </w:rPr>
              <w:t>1</w:t>
            </w:r>
            <w:r>
              <w:rPr>
                <w:rFonts w:hint="eastAsia" w:ascii="仿宋_GB2312" w:hAnsi="仿宋" w:eastAsia="仿宋_GB2312" w:cs="仿宋_GB2312"/>
                <w:sz w:val="24"/>
                <w:szCs w:val="20"/>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before="0" w:beforeAutospacing="0" w:after="0" w:afterAutospacing="0" w:line="360" w:lineRule="auto"/>
              <w:ind w:left="0" w:right="0"/>
              <w:rPr>
                <w:rFonts w:hint="eastAsia" w:ascii="仿宋_GB2312" w:hAnsi="仿宋" w:eastAsia="仿宋_GB2312" w:cs="仿宋_GB2312"/>
                <w:sz w:val="24"/>
                <w:szCs w:val="24"/>
                <w:highlight w:val="none"/>
              </w:rPr>
            </w:pPr>
            <w:r>
              <w:rPr>
                <w:rFonts w:hint="eastAsia" w:ascii="仿宋_GB2312" w:hAnsi="仿宋" w:eastAsia="仿宋_GB2312" w:cs="Times New Roman"/>
                <w:kern w:val="28"/>
                <w:sz w:val="24"/>
                <w:szCs w:val="24"/>
                <w:highlight w:val="none"/>
              </w:rPr>
              <w:t>备份投标文件送达地点：</w:t>
            </w:r>
            <w:r>
              <w:rPr>
                <w:rFonts w:hint="default" w:ascii="仿宋_GB2312" w:hAnsi="仿宋" w:eastAsia="仿宋_GB2312" w:cs="Times New Roman"/>
                <w:b w:val="0"/>
                <w:bCs w:val="0"/>
                <w:color w:val="auto"/>
                <w:sz w:val="24"/>
                <w:szCs w:val="20"/>
                <w:highlight w:val="none"/>
              </w:rPr>
              <w:t>杭州市公共资源交易中心</w:t>
            </w:r>
            <w:r>
              <w:rPr>
                <w:rFonts w:hint="default" w:ascii="仿宋_GB2312" w:hAnsi="仿宋" w:eastAsia="仿宋_GB2312" w:cs="Times New Roman"/>
                <w:b w:val="0"/>
                <w:bCs w:val="0"/>
                <w:color w:val="auto"/>
                <w:sz w:val="24"/>
                <w:szCs w:val="20"/>
                <w:highlight w:val="none"/>
                <w:lang w:eastAsia="zh-CN"/>
              </w:rPr>
              <w:t>临平</w:t>
            </w:r>
            <w:r>
              <w:rPr>
                <w:rFonts w:hint="default" w:ascii="仿宋_GB2312" w:hAnsi="仿宋" w:eastAsia="仿宋_GB2312" w:cs="Times New Roman"/>
                <w:b w:val="0"/>
                <w:bCs w:val="0"/>
                <w:color w:val="auto"/>
                <w:sz w:val="24"/>
                <w:szCs w:val="20"/>
                <w:highlight w:val="none"/>
              </w:rPr>
              <w:t>分中心</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1</w:t>
            </w:r>
            <w:bookmarkStart w:id="411" w:name="_GoBack"/>
            <w:bookmarkEnd w:id="411"/>
            <w:r>
              <w:rPr>
                <w:rFonts w:hint="default" w:ascii="仿宋_GB2312" w:hAnsi="仿宋" w:eastAsia="仿宋_GB2312" w:cs="Times New Roman"/>
                <w:b w:val="0"/>
                <w:color w:val="auto"/>
                <w:sz w:val="24"/>
                <w:szCs w:val="20"/>
                <w:highlight w:val="none"/>
              </w:rPr>
              <w:t>号开标室</w:t>
            </w:r>
            <w:r>
              <w:rPr>
                <w:rFonts w:hint="eastAsia" w:ascii="仿宋_GB2312" w:hAnsi="仿宋" w:eastAsia="仿宋_GB2312" w:cs="仿宋_GB2312"/>
                <w:sz w:val="24"/>
                <w:szCs w:val="24"/>
                <w:highlight w:val="none"/>
              </w:rPr>
              <w:t>。</w:t>
            </w:r>
          </w:p>
          <w:p>
            <w:pPr>
              <w:pStyle w:val="32"/>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仿宋_GB2312"/>
                <w:b/>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5、以介质存储的数据电文形式的备份投标文件，未采用DVD光盘形式提供的。</w:t>
            </w:r>
          </w:p>
          <w:p>
            <w:pPr>
              <w:pStyle w:val="32"/>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r>
              <w:rPr>
                <w:rFonts w:hint="eastAsia" w:ascii="仿宋_GB2312" w:hAnsi="仿宋" w:eastAsia="仿宋_GB2312" w:cs="仿宋_GB2312"/>
                <w:sz w:val="24"/>
                <w:szCs w:val="20"/>
              </w:rPr>
              <w:t>1</w:t>
            </w:r>
            <w:r>
              <w:rPr>
                <w:rFonts w:hint="eastAsia" w:ascii="仿宋_GB2312" w:hAnsi="仿宋" w:eastAsia="仿宋_GB2312" w:cs="仿宋_GB2312"/>
                <w:sz w:val="24"/>
                <w:szCs w:val="20"/>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无</w:t>
            </w:r>
            <w:r>
              <w:rPr>
                <w:rFonts w:hint="eastAsia" w:ascii="仿宋_GB2312" w:hAnsi="仿宋" w:eastAsia="仿宋_GB2312" w:cs="宋体"/>
                <w:b/>
                <w:kern w:val="0"/>
                <w:sz w:val="24"/>
                <w:szCs w:val="20"/>
              </w:rPr>
              <w:t>。</w:t>
            </w:r>
          </w:p>
        </w:tc>
      </w:tr>
    </w:tbl>
    <w:p>
      <w:pPr>
        <w:snapToGrid w:val="0"/>
        <w:spacing w:line="360" w:lineRule="auto"/>
        <w:jc w:val="center"/>
        <w:rPr>
          <w:rFonts w:ascii="仿宋" w:hAnsi="仿宋" w:eastAsia="仿宋" w:cs="仿宋_GB2312"/>
          <w:b/>
          <w:sz w:val="32"/>
          <w:szCs w:val="20"/>
        </w:rPr>
      </w:pPr>
    </w:p>
    <w:bookmarkEnd w:id="11"/>
    <w:p>
      <w:pPr>
        <w:adjustRightInd/>
        <w:spacing w:line="360" w:lineRule="auto"/>
        <w:ind w:firstLine="3845" w:firstLineChars="1197"/>
        <w:outlineLvl w:val="0"/>
        <w:rPr>
          <w:rFonts w:hint="eastAsia" w:ascii="仿宋_GB2312" w:hAnsi="仿宋" w:eastAsia="仿宋_GB2312" w:cs="仿宋_GB2312"/>
          <w:b/>
          <w:sz w:val="32"/>
          <w:szCs w:val="20"/>
        </w:rPr>
      </w:pPr>
      <w:bookmarkStart w:id="12" w:name="_Toc164416483"/>
      <w:bookmarkStart w:id="13" w:name="第三部分"/>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2"/>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p>
    <w:p>
      <w:pPr>
        <w:snapToGrid w:val="0"/>
        <w:spacing w:line="360" w:lineRule="auto"/>
        <w:ind w:firstLine="960" w:firstLineChars="400"/>
        <w:rPr>
          <w:rFonts w:hint="default"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default" w:ascii="仿宋_GB2312" w:hAnsi="仿宋" w:eastAsia="仿宋_GB2312" w:cs="仿宋_GB2312"/>
          <w:sz w:val="24"/>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lang w:val="en-US" w:eastAsia="zh-CN"/>
        </w:rPr>
        <w:t xml:space="preserve">       </w:t>
      </w:r>
      <w:r>
        <w:rPr>
          <w:rFonts w:hint="default" w:ascii="仿宋_GB2312" w:hAnsi="仿宋" w:eastAsia="仿宋_GB2312" w:cs="仿宋_GB2312"/>
          <w:sz w:val="24"/>
          <w:lang w:val="zh-CN" w:eastAsia="zh-CN"/>
        </w:rPr>
        <w:t xml:space="preserve"> 11.2.</w:t>
      </w:r>
      <w:r>
        <w:rPr>
          <w:rFonts w:hint="eastAsia" w:ascii="仿宋_GB2312" w:hAnsi="仿宋" w:eastAsia="仿宋_GB2312" w:cs="仿宋_GB2312"/>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lang w:eastAsia="zh-CN"/>
        </w:rPr>
        <w:t>；</w:t>
      </w:r>
    </w:p>
    <w:p>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11.3.3</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default" w:ascii="仿宋_GB2312" w:hAnsi="仿宋" w:eastAsia="仿宋_GB2312" w:cs="仿宋_GB2312"/>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至杭州市公共资源交易中心临平分中心</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lang w:val="en-US" w:eastAsia="zh-CN"/>
        </w:rPr>
        <w:t>2.5</w:t>
      </w:r>
      <w:r>
        <w:rPr>
          <w:rFonts w:hint="eastAsia" w:ascii="仿宋_GB2312" w:hAnsi="仿宋" w:eastAsia="仿宋_GB2312" w:cs="仿宋_GB2312"/>
          <w:sz w:val="24"/>
          <w:szCs w:val="20"/>
        </w:rPr>
        <w:t>%。</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_GB2312" w:hAnsi="仿宋" w:eastAsia="仿宋_GB2312" w:cs="Helvetica"/>
          <w:kern w:val="0"/>
          <w:sz w:val="24"/>
        </w:rPr>
      </w:pPr>
      <w:bookmarkStart w:id="15" w:name="_Hlt74707468"/>
      <w:bookmarkEnd w:id="15"/>
      <w:bookmarkStart w:id="16" w:name="_Hlt68072990"/>
      <w:bookmarkEnd w:id="16"/>
      <w:bookmarkStart w:id="17" w:name="_Hlt68057669"/>
      <w:bookmarkEnd w:id="17"/>
      <w:bookmarkStart w:id="18" w:name="_Hlt74729768"/>
      <w:bookmarkEnd w:id="18"/>
      <w:bookmarkStart w:id="19" w:name="_Hlt68403820"/>
      <w:bookmarkEnd w:id="19"/>
      <w:bookmarkStart w:id="20" w:name="_Hlt75236290"/>
      <w:bookmarkEnd w:id="20"/>
      <w:bookmarkStart w:id="21" w:name="_Hlt74714665"/>
      <w:bookmarkEnd w:id="21"/>
      <w:bookmarkStart w:id="22" w:name="_Hlt68072998"/>
      <w:bookmarkEnd w:id="22"/>
      <w:bookmarkStart w:id="23" w:name="_Hlt68073093"/>
      <w:bookmarkEnd w:id="23"/>
      <w:bookmarkStart w:id="24" w:name="_Hlt74730295"/>
      <w:bookmarkEnd w:id="24"/>
      <w:bookmarkStart w:id="25" w:name="_Hlt75236101"/>
      <w:bookmarkEnd w:id="25"/>
      <w:bookmarkStart w:id="26" w:name="_Hlt75236011"/>
      <w:bookmarkEnd w:id="26"/>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4"/>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4"/>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仿宋" w:hAnsi="仿宋" w:eastAsia="仿宋" w:cs="仿宋_GB2312"/>
          <w:b/>
          <w:sz w:val="36"/>
          <w:szCs w:val="36"/>
        </w:rPr>
      </w:pPr>
      <w:bookmarkStart w:id="27"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一、项目概述：</w:t>
      </w:r>
    </w:p>
    <w:p>
      <w:pPr>
        <w:adjustRightInd w:val="0"/>
        <w:snapToGrid w:val="0"/>
        <w:spacing w:line="400" w:lineRule="atLeast"/>
        <w:ind w:firstLine="354" w:firstLineChars="147"/>
        <w:rPr>
          <w:rFonts w:hint="eastAsia" w:ascii="仿宋" w:hAnsi="仿宋" w:eastAsia="仿宋" w:cs="仿宋"/>
          <w:bCs/>
          <w:color w:val="000000"/>
          <w:sz w:val="24"/>
          <w:szCs w:val="24"/>
        </w:rPr>
      </w:pPr>
      <w:r>
        <w:rPr>
          <w:rFonts w:hint="eastAsia" w:ascii="宋体" w:hAnsi="宋体" w:eastAsia="宋体" w:cs="宋体"/>
          <w:b/>
          <w:bCs/>
          <w:color w:val="auto"/>
          <w:sz w:val="24"/>
          <w:szCs w:val="24"/>
          <w:highlight w:val="none"/>
          <w:lang w:val="en-US" w:eastAsia="zh-CN"/>
        </w:rPr>
        <w:t xml:space="preserve"> </w:t>
      </w:r>
      <w:r>
        <w:rPr>
          <w:rFonts w:hint="eastAsia" w:ascii="仿宋" w:hAnsi="仿宋" w:eastAsia="仿宋" w:cs="仿宋"/>
          <w:bCs/>
          <w:color w:val="000000"/>
          <w:sz w:val="24"/>
          <w:szCs w:val="24"/>
        </w:rPr>
        <w:t>本项目为“交钥匙”项目，采购内容包括采购清单中货物供货、安装调试、货物验收、培训、质保期内的售后服务等。投标报价包括设备费、安装调试费、售后服务费、培训费、有关部门的验收费、政策性文件规定及合同包含的所有风险、责任等各项全部费用。</w:t>
      </w:r>
    </w:p>
    <w:p>
      <w:pPr>
        <w:numPr>
          <w:ilvl w:val="0"/>
          <w:numId w:val="0"/>
        </w:numPr>
        <w:adjustRightInd w:val="0"/>
        <w:snapToGrid w:val="0"/>
        <w:spacing w:line="400" w:lineRule="atLeast"/>
        <w:ind w:firstLine="241" w:firstLineChars="100"/>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二、</w:t>
      </w:r>
      <w:r>
        <w:rPr>
          <w:rFonts w:hint="eastAsia" w:ascii="宋体" w:hAnsi="宋体" w:eastAsia="宋体" w:cs="宋体"/>
          <w:b/>
          <w:bCs/>
          <w:color w:val="000000"/>
          <w:sz w:val="24"/>
          <w:szCs w:val="24"/>
        </w:rPr>
        <w:t>采购清单：</w:t>
      </w:r>
    </w:p>
    <w:p>
      <w:pPr>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本项目预算价为942.4万元，</w:t>
      </w:r>
      <w:r>
        <w:rPr>
          <w:rFonts w:hint="eastAsia" w:ascii="仿宋" w:hAnsi="仿宋" w:eastAsia="仿宋" w:cs="仿宋"/>
          <w:b/>
          <w:color w:val="000000"/>
          <w:sz w:val="24"/>
          <w:szCs w:val="24"/>
          <w:highlight w:val="none"/>
          <w:lang w:eastAsia="zh-CN"/>
        </w:rPr>
        <w:t>采购</w:t>
      </w:r>
      <w:r>
        <w:rPr>
          <w:rFonts w:hint="eastAsia" w:ascii="仿宋" w:hAnsi="仿宋" w:eastAsia="仿宋" w:cs="仿宋"/>
          <w:b/>
          <w:bCs/>
          <w:color w:val="000000"/>
          <w:sz w:val="24"/>
          <w:szCs w:val="24"/>
          <w:highlight w:val="none"/>
          <w:lang w:val="en-US" w:eastAsia="zh-CN"/>
        </w:rPr>
        <w:t>内容为</w:t>
      </w:r>
      <w:r>
        <w:rPr>
          <w:rFonts w:hint="eastAsia" w:ascii="仿宋" w:hAnsi="仿宋" w:eastAsia="仿宋" w:cs="仿宋"/>
          <w:b/>
          <w:color w:val="000000"/>
          <w:sz w:val="24"/>
          <w:szCs w:val="24"/>
          <w:highlight w:val="none"/>
          <w:lang w:val="en-US" w:eastAsia="zh-CN"/>
        </w:rPr>
        <w:t>学生电脑1552台，职高专业电脑138台，机房布线35套</w:t>
      </w: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具体清单如下：</w:t>
      </w:r>
    </w:p>
    <w:tbl>
      <w:tblPr>
        <w:tblStyle w:val="62"/>
        <w:tblW w:w="8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4741"/>
        <w:gridCol w:w="1719"/>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学校名称</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（与公章一致）</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集采类型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杭州市临平区实验小学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杭州市临平区实验小学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杭州市临平区星桥第一小学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杭州市临平区星桥第一小学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杭州市临平区临平第二小学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杭州市临平区临平第二小学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杭州市临平区临平第五小学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杭州市临平区临平第五小学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杭州市临平区文正小学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杭州市临平区文正小学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w:t>
            </w:r>
          </w:p>
        </w:tc>
        <w:tc>
          <w:tcPr>
            <w:tcW w:w="4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杭州市临平区临平第三小学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4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杭州市临平区临平第三小学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13</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杭州市临平区临平第三中学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杭州市临平区临平第三中学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杭州市临平区临平第一中学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16</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杭州市临平区临平第一中学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杭州市临平区吴昌硕实验学校</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18</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杭州市临平区吴昌硕实验学校</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杭州市余杭高级中学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杭州市余杭高级中学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21</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Style w:val="880"/>
                <w:rFonts w:hint="eastAsia" w:ascii="仿宋" w:hAnsi="仿宋" w:eastAsia="仿宋" w:cs="仿宋"/>
                <w:b w:val="0"/>
                <w:bCs w:val="0"/>
                <w:sz w:val="24"/>
                <w:szCs w:val="24"/>
                <w:lang w:val="en-US" w:eastAsia="zh-CN" w:bidi="ar"/>
              </w:rPr>
              <w:t>杭州市余杭第二高级中学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22</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Style w:val="880"/>
                <w:rFonts w:hint="eastAsia" w:ascii="仿宋" w:hAnsi="仿宋" w:eastAsia="仿宋" w:cs="仿宋"/>
                <w:b w:val="0"/>
                <w:bCs w:val="0"/>
                <w:sz w:val="24"/>
                <w:szCs w:val="24"/>
                <w:lang w:val="en-US" w:eastAsia="zh-CN" w:bidi="ar"/>
              </w:rPr>
              <w:t>杭州市余杭第二高级中学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23</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杭州市塘栖中学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24</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杭州市塘栖中学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25</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杭州市临平职业高级中学（临平技工学校）</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职高专业电脑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26</w:t>
            </w:r>
          </w:p>
        </w:tc>
        <w:tc>
          <w:tcPr>
            <w:tcW w:w="4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杭州市临平职业高级中学（临平技工学校）</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27</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临平区社区学院</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职高专业电脑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28</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临平区社区学院</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29</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杭州市乔司职业高级中学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职高专业电脑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30</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杭州市乔司职业高级中学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31</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杭州市临平区运河中学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32</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杭州市临平区运河中学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33</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杭州市临平区天长世纪小学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34</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杭州市临平区天长世纪小学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35</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杭州市临平区塘栖超山小学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36</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杭州市临平区塘栖超山小学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37</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杭州市余杭第二高级中学(沾桥中学)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38</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杭州市余杭第二高级中学(沾桥中学)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39</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杭州市临平区育才实验小学（城西一中）</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40</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杭州市临平区育才实验小学（城西一中）</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41</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杭州市临平区临平第三小学（新洲路小学）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学生电脑</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42</w:t>
            </w:r>
          </w:p>
        </w:tc>
        <w:tc>
          <w:tcPr>
            <w:tcW w:w="47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杭州市临平区临平第三小学（新洲路小学）</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机房布线</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r>
    </w:tbl>
    <w:p>
      <w:pPr>
        <w:adjustRightInd w:val="0"/>
        <w:snapToGrid w:val="0"/>
        <w:spacing w:line="400" w:lineRule="atLeast"/>
        <w:rPr>
          <w:rFonts w:hint="eastAsia" w:ascii="仿宋" w:hAnsi="仿宋" w:eastAsia="仿宋" w:cs="仿宋"/>
          <w:b/>
          <w:bCs/>
          <w:color w:val="000000"/>
          <w:sz w:val="24"/>
          <w:szCs w:val="24"/>
        </w:rPr>
      </w:pPr>
    </w:p>
    <w:p>
      <w:pPr>
        <w:adjustRightInd w:val="0"/>
        <w:snapToGrid w:val="0"/>
        <w:spacing w:line="360" w:lineRule="auto"/>
        <w:ind w:firstLine="241" w:firstLineChars="1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三、技术参数等要求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1.学生</w:t>
      </w:r>
      <w:r>
        <w:rPr>
          <w:rFonts w:hint="eastAsia" w:ascii="仿宋" w:hAnsi="仿宋" w:eastAsia="仿宋" w:cs="仿宋"/>
          <w:b/>
          <w:bCs/>
          <w:color w:val="000000"/>
          <w:sz w:val="24"/>
          <w:szCs w:val="24"/>
        </w:rPr>
        <w:t>电脑</w:t>
      </w:r>
      <w:r>
        <w:rPr>
          <w:rFonts w:hint="eastAsia" w:ascii="仿宋" w:hAnsi="仿宋" w:eastAsia="仿宋" w:cs="仿宋"/>
          <w:b/>
          <w:color w:val="000000"/>
          <w:kern w:val="0"/>
          <w:sz w:val="24"/>
          <w:szCs w:val="24"/>
        </w:rPr>
        <w:t>配置标准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color w:val="000000"/>
          <w:kern w:val="0"/>
          <w:sz w:val="24"/>
          <w:szCs w:val="24"/>
        </w:rPr>
      </w:pPr>
      <w:r>
        <w:rPr>
          <w:rFonts w:hint="eastAsia" w:ascii="宋体" w:hAnsi="宋体" w:cs="宋体"/>
          <w:color w:val="auto"/>
          <w:sz w:val="24"/>
          <w:szCs w:val="24"/>
          <w:highlight w:val="none"/>
          <w:lang w:eastAsia="zh-CN"/>
        </w:rPr>
        <w:t>◆</w:t>
      </w:r>
      <w:r>
        <w:rPr>
          <w:rFonts w:hint="eastAsia" w:ascii="仿宋" w:hAnsi="仿宋" w:eastAsia="仿宋" w:cs="仿宋"/>
          <w:b/>
          <w:color w:val="000000"/>
          <w:kern w:val="0"/>
          <w:sz w:val="24"/>
          <w:szCs w:val="24"/>
        </w:rPr>
        <w:t>结构：一体机电脑，底座可拆卸</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bCs/>
          <w:color w:val="000000"/>
          <w:kern w:val="0"/>
          <w:sz w:val="24"/>
          <w:szCs w:val="24"/>
        </w:rPr>
      </w:pPr>
      <w:r>
        <w:rPr>
          <w:rFonts w:hint="eastAsia" w:ascii="宋体" w:hAnsi="宋体" w:cs="宋体"/>
          <w:color w:val="auto"/>
          <w:sz w:val="24"/>
          <w:szCs w:val="24"/>
          <w:highlight w:val="none"/>
          <w:lang w:eastAsia="zh-CN"/>
        </w:rPr>
        <w:t>◆</w:t>
      </w:r>
      <w:r>
        <w:rPr>
          <w:rFonts w:hint="eastAsia" w:ascii="仿宋" w:hAnsi="仿宋" w:eastAsia="仿宋" w:cs="仿宋"/>
          <w:b/>
          <w:bCs/>
          <w:color w:val="000000"/>
          <w:kern w:val="0"/>
          <w:sz w:val="24"/>
          <w:szCs w:val="24"/>
        </w:rPr>
        <w:t>CPU:</w:t>
      </w:r>
      <w:r>
        <w:rPr>
          <w:rFonts w:hint="eastAsia" w:ascii="仿宋" w:hAnsi="仿宋" w:eastAsia="仿宋" w:cs="仿宋"/>
          <w:b/>
          <w:bCs/>
          <w:kern w:val="0"/>
          <w:sz w:val="24"/>
          <w:szCs w:val="24"/>
        </w:rPr>
        <w:t>Intel Core i5十代同级别或以上配置</w:t>
      </w:r>
      <w:r>
        <w:rPr>
          <w:rFonts w:hint="eastAsia" w:ascii="仿宋" w:hAnsi="仿宋" w:eastAsia="仿宋" w:cs="仿宋"/>
          <w:b/>
          <w:bCs/>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主板:须有2个及以上内存插槽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Cs/>
          <w:color w:val="000000"/>
          <w:kern w:val="0"/>
          <w:sz w:val="24"/>
          <w:szCs w:val="24"/>
        </w:rPr>
      </w:pPr>
      <w:r>
        <w:rPr>
          <w:rFonts w:hint="eastAsia" w:ascii="宋体" w:hAnsi="宋体" w:cs="宋体"/>
          <w:color w:val="auto"/>
          <w:sz w:val="24"/>
          <w:szCs w:val="24"/>
          <w:highlight w:val="none"/>
          <w:lang w:eastAsia="zh-CN"/>
        </w:rPr>
        <w:t>◆</w:t>
      </w:r>
      <w:r>
        <w:rPr>
          <w:rFonts w:hint="eastAsia" w:ascii="仿宋" w:hAnsi="仿宋" w:eastAsia="仿宋" w:cs="仿宋"/>
          <w:bCs/>
          <w:color w:val="000000"/>
          <w:kern w:val="0"/>
          <w:sz w:val="24"/>
          <w:szCs w:val="24"/>
        </w:rPr>
        <w:t>内存:</w:t>
      </w:r>
      <w:r>
        <w:rPr>
          <w:rFonts w:hint="eastAsia" w:ascii="仿宋" w:hAnsi="仿宋" w:eastAsia="仿宋" w:cs="仿宋"/>
          <w:bCs/>
          <w:kern w:val="0"/>
          <w:sz w:val="24"/>
          <w:szCs w:val="24"/>
        </w:rPr>
        <w:t>8G</w:t>
      </w:r>
      <w:r>
        <w:rPr>
          <w:rFonts w:hint="eastAsia" w:ascii="仿宋" w:hAnsi="仿宋" w:eastAsia="仿宋" w:cs="仿宋"/>
          <w:bCs/>
          <w:kern w:val="0"/>
          <w:sz w:val="24"/>
          <w:szCs w:val="24"/>
          <w:lang w:val="en-US" w:eastAsia="zh-CN"/>
        </w:rPr>
        <w:t xml:space="preserve">  DDR4  2666MHz</w:t>
      </w:r>
      <w:r>
        <w:rPr>
          <w:rFonts w:hint="eastAsia" w:ascii="仿宋" w:hAnsi="仿宋" w:eastAsia="仿宋" w:cs="仿宋"/>
          <w:bCs/>
          <w:kern w:val="0"/>
          <w:sz w:val="24"/>
          <w:szCs w:val="24"/>
        </w:rPr>
        <w:t>（含）以上</w:t>
      </w:r>
      <w:r>
        <w:rPr>
          <w:rFonts w:hint="eastAsia" w:ascii="仿宋" w:hAnsi="仿宋" w:eastAsia="仿宋" w:cs="仿宋"/>
          <w:bCs/>
          <w:color w:val="000000"/>
          <w:kern w:val="0"/>
          <w:sz w:val="24"/>
          <w:szCs w:val="24"/>
        </w:rPr>
        <w:tab/>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硬盘:</w:t>
      </w:r>
      <w:r>
        <w:rPr>
          <w:rFonts w:hint="eastAsia" w:ascii="仿宋" w:hAnsi="仿宋" w:eastAsia="仿宋" w:cs="仿宋"/>
          <w:color w:val="000000"/>
          <w:kern w:val="0"/>
          <w:sz w:val="24"/>
          <w:szCs w:val="24"/>
          <w:lang w:val="en-US" w:eastAsia="zh-CN"/>
        </w:rPr>
        <w:t>512</w:t>
      </w:r>
      <w:r>
        <w:rPr>
          <w:rFonts w:hint="eastAsia" w:ascii="仿宋" w:hAnsi="仿宋" w:eastAsia="仿宋" w:cs="仿宋"/>
          <w:color w:val="000000"/>
          <w:kern w:val="0"/>
          <w:sz w:val="24"/>
          <w:szCs w:val="24"/>
        </w:rPr>
        <w:t>G固态硬盘M.2NVMe</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显示器: ≥21寸宽屏液晶显示器，分辨率1920×1080（含）以上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显卡:集成显卡</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声卡:集成声卡</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网卡:集成千兆网卡</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键盘：USB防水键盘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鼠标：USB光电鼠标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耳麦：</w:t>
      </w:r>
      <w:r>
        <w:rPr>
          <w:rFonts w:hint="eastAsia" w:ascii="仿宋" w:hAnsi="仿宋" w:eastAsia="仿宋" w:cs="仿宋"/>
          <w:color w:val="000000"/>
          <w:kern w:val="0"/>
          <w:sz w:val="24"/>
          <w:szCs w:val="24"/>
          <w:lang w:val="en-US" w:eastAsia="zh-CN"/>
        </w:rPr>
        <w:t>USB</w:t>
      </w:r>
      <w:r>
        <w:rPr>
          <w:rFonts w:hint="eastAsia" w:ascii="仿宋" w:hAnsi="仿宋" w:eastAsia="仿宋" w:cs="仿宋"/>
          <w:color w:val="000000"/>
          <w:kern w:val="0"/>
          <w:sz w:val="24"/>
          <w:szCs w:val="24"/>
        </w:rPr>
        <w:t>标配耳麦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操作系统： Windows 10中文版 64位</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其他：硬盘还原、网络同传功能</w:t>
      </w:r>
    </w:p>
    <w:p>
      <w:pPr>
        <w:pStyle w:val="24"/>
        <w:ind w:left="0" w:leftChars="0" w:firstLine="0" w:firstLineChars="0"/>
        <w:rPr>
          <w:rFonts w:hint="eastAsia" w:ascii="仿宋" w:hAnsi="仿宋" w:eastAsia="仿宋" w:cs="仿宋"/>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2.职高计算机专业电脑配置标准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color w:val="000000"/>
          <w:kern w:val="0"/>
          <w:sz w:val="24"/>
          <w:szCs w:val="24"/>
        </w:rPr>
      </w:pPr>
      <w:r>
        <w:rPr>
          <w:rFonts w:hint="eastAsia" w:ascii="宋体" w:hAnsi="宋体" w:cs="宋体"/>
          <w:color w:val="auto"/>
          <w:sz w:val="24"/>
          <w:szCs w:val="24"/>
          <w:highlight w:val="none"/>
          <w:lang w:eastAsia="zh-CN"/>
        </w:rPr>
        <w:t>◆</w:t>
      </w:r>
      <w:r>
        <w:rPr>
          <w:rFonts w:hint="eastAsia" w:ascii="仿宋" w:hAnsi="仿宋" w:eastAsia="仿宋" w:cs="仿宋"/>
          <w:b/>
          <w:color w:val="000000"/>
          <w:kern w:val="0"/>
          <w:sz w:val="24"/>
          <w:szCs w:val="24"/>
        </w:rPr>
        <w:t>结构：一体机电脑，底座可拆卸</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bCs/>
          <w:color w:val="000000"/>
          <w:kern w:val="0"/>
          <w:sz w:val="24"/>
          <w:szCs w:val="24"/>
        </w:rPr>
      </w:pPr>
      <w:r>
        <w:rPr>
          <w:rFonts w:hint="eastAsia" w:ascii="宋体" w:hAnsi="宋体" w:cs="宋体"/>
          <w:color w:val="auto"/>
          <w:sz w:val="24"/>
          <w:szCs w:val="24"/>
          <w:highlight w:val="none"/>
          <w:lang w:eastAsia="zh-CN"/>
        </w:rPr>
        <w:t>◆</w:t>
      </w:r>
      <w:r>
        <w:rPr>
          <w:rFonts w:hint="eastAsia" w:ascii="仿宋" w:hAnsi="仿宋" w:eastAsia="仿宋" w:cs="仿宋"/>
          <w:b/>
          <w:bCs/>
          <w:color w:val="000000"/>
          <w:kern w:val="0"/>
          <w:sz w:val="24"/>
          <w:szCs w:val="24"/>
        </w:rPr>
        <w:t>CPU:</w:t>
      </w:r>
      <w:r>
        <w:rPr>
          <w:rFonts w:hint="eastAsia" w:ascii="仿宋" w:hAnsi="仿宋" w:eastAsia="仿宋" w:cs="仿宋"/>
          <w:b/>
          <w:bCs/>
          <w:kern w:val="0"/>
          <w:sz w:val="24"/>
          <w:szCs w:val="24"/>
        </w:rPr>
        <w:t>Intel Core i5 十代同级别或以上配置</w:t>
      </w:r>
      <w:r>
        <w:rPr>
          <w:rFonts w:hint="eastAsia" w:ascii="仿宋" w:hAnsi="仿宋" w:eastAsia="仿宋" w:cs="仿宋"/>
          <w:b/>
          <w:bCs/>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主板:须有2个及以上内存插槽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Cs/>
          <w:color w:val="000000"/>
          <w:kern w:val="0"/>
          <w:sz w:val="24"/>
          <w:szCs w:val="24"/>
        </w:rPr>
      </w:pPr>
      <w:r>
        <w:rPr>
          <w:rFonts w:hint="eastAsia" w:ascii="宋体" w:hAnsi="宋体" w:cs="宋体"/>
          <w:color w:val="auto"/>
          <w:sz w:val="24"/>
          <w:szCs w:val="24"/>
          <w:highlight w:val="none"/>
          <w:lang w:eastAsia="zh-CN"/>
        </w:rPr>
        <w:t>◆</w:t>
      </w:r>
      <w:r>
        <w:rPr>
          <w:rFonts w:hint="eastAsia" w:ascii="仿宋" w:hAnsi="仿宋" w:eastAsia="仿宋" w:cs="仿宋"/>
          <w:bCs/>
          <w:color w:val="000000"/>
          <w:kern w:val="0"/>
          <w:sz w:val="24"/>
          <w:szCs w:val="24"/>
        </w:rPr>
        <w:t xml:space="preserve">内存: </w:t>
      </w:r>
      <w:r>
        <w:rPr>
          <w:rFonts w:hint="eastAsia" w:ascii="仿宋" w:hAnsi="仿宋" w:eastAsia="仿宋" w:cs="仿宋"/>
          <w:bCs/>
          <w:kern w:val="0"/>
          <w:sz w:val="24"/>
          <w:szCs w:val="24"/>
        </w:rPr>
        <w:t>8G</w:t>
      </w:r>
      <w:r>
        <w:rPr>
          <w:rFonts w:hint="eastAsia" w:ascii="仿宋" w:hAnsi="仿宋" w:eastAsia="仿宋" w:cs="仿宋"/>
          <w:bCs/>
          <w:kern w:val="0"/>
          <w:sz w:val="24"/>
          <w:szCs w:val="24"/>
          <w:lang w:val="en-US" w:eastAsia="zh-CN"/>
        </w:rPr>
        <w:t xml:space="preserve">  DDR4  2666MHz</w:t>
      </w:r>
      <w:r>
        <w:rPr>
          <w:rFonts w:hint="eastAsia" w:ascii="仿宋" w:hAnsi="仿宋" w:eastAsia="仿宋" w:cs="仿宋"/>
          <w:bCs/>
          <w:kern w:val="0"/>
          <w:sz w:val="24"/>
          <w:szCs w:val="24"/>
        </w:rPr>
        <w:t>（含）以上</w:t>
      </w:r>
      <w:r>
        <w:rPr>
          <w:rFonts w:hint="eastAsia" w:ascii="仿宋" w:hAnsi="仿宋" w:eastAsia="仿宋" w:cs="仿宋"/>
          <w:bCs/>
          <w:color w:val="000000"/>
          <w:kern w:val="0"/>
          <w:sz w:val="24"/>
          <w:szCs w:val="24"/>
        </w:rPr>
        <w:tab/>
      </w:r>
      <w:r>
        <w:rPr>
          <w:rFonts w:hint="eastAsia" w:ascii="仿宋" w:hAnsi="仿宋" w:eastAsia="仿宋" w:cs="仿宋"/>
          <w:bCs/>
          <w:color w:val="000000"/>
          <w:kern w:val="0"/>
          <w:sz w:val="24"/>
          <w:szCs w:val="24"/>
        </w:rPr>
        <w:tab/>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硬盘:</w:t>
      </w:r>
      <w:r>
        <w:rPr>
          <w:rFonts w:hint="eastAsia" w:ascii="仿宋" w:hAnsi="仿宋" w:eastAsia="仿宋" w:cs="仿宋"/>
          <w:color w:val="000000"/>
          <w:sz w:val="24"/>
          <w:szCs w:val="24"/>
        </w:rPr>
        <w:t xml:space="preserve"> </w:t>
      </w:r>
      <w:r>
        <w:rPr>
          <w:rFonts w:hint="eastAsia" w:ascii="仿宋" w:hAnsi="仿宋" w:eastAsia="仿宋" w:cs="仿宋"/>
          <w:bCs/>
          <w:color w:val="000000"/>
          <w:kern w:val="0"/>
          <w:sz w:val="24"/>
          <w:szCs w:val="24"/>
        </w:rPr>
        <w:t>512G固态硬盘M.2NVMe</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显示器: ≥21寸宽屏液晶显示器，分辨率1920×1080（含）以上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显卡：≥2G独立显卡</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声卡:集成声卡</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网卡:集成千兆网卡</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键盘：USB防水键盘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鼠标：USB光电鼠标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耳麦：</w:t>
      </w:r>
      <w:r>
        <w:rPr>
          <w:rFonts w:hint="eastAsia" w:ascii="仿宋" w:hAnsi="仿宋" w:eastAsia="仿宋" w:cs="仿宋"/>
          <w:color w:val="000000"/>
          <w:kern w:val="0"/>
          <w:sz w:val="24"/>
          <w:szCs w:val="24"/>
          <w:lang w:val="en-US" w:eastAsia="zh-CN"/>
        </w:rPr>
        <w:t>USB</w:t>
      </w:r>
      <w:r>
        <w:rPr>
          <w:rFonts w:hint="eastAsia" w:ascii="仿宋" w:hAnsi="仿宋" w:eastAsia="仿宋" w:cs="仿宋"/>
          <w:color w:val="000000"/>
          <w:kern w:val="0"/>
          <w:sz w:val="24"/>
          <w:szCs w:val="24"/>
        </w:rPr>
        <w:t>标配耳麦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操作系统： Windows 10中文版 64位</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其他：硬盘还原、网络同传功能</w:t>
      </w:r>
    </w:p>
    <w:p>
      <w:pPr>
        <w:pStyle w:val="2"/>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adjustRightInd w:val="0"/>
        <w:snapToGrid w:val="0"/>
        <w:spacing w:line="360" w:lineRule="auto"/>
        <w:ind w:firstLine="482" w:firstLineChars="200"/>
        <w:rPr>
          <w:rFonts w:hint="eastAsia" w:ascii="宋体" w:hAnsi="宋体" w:cs="宋体"/>
          <w:b/>
          <w:color w:val="000000"/>
          <w:kern w:val="0"/>
          <w:sz w:val="24"/>
        </w:rPr>
      </w:pPr>
      <w:r>
        <w:rPr>
          <w:rFonts w:hint="eastAsia" w:ascii="宋体" w:hAnsi="宋体" w:cs="宋体"/>
          <w:b/>
          <w:color w:val="000000"/>
          <w:kern w:val="0"/>
          <w:sz w:val="24"/>
        </w:rPr>
        <w:t>3</w:t>
      </w:r>
      <w:r>
        <w:rPr>
          <w:rFonts w:hint="eastAsia" w:ascii="仿宋" w:hAnsi="仿宋" w:eastAsia="仿宋" w:cs="仿宋"/>
          <w:b/>
          <w:color w:val="000000"/>
          <w:kern w:val="0"/>
          <w:sz w:val="24"/>
        </w:rPr>
        <w:t>.机房布线配置标准</w:t>
      </w:r>
    </w:p>
    <w:p>
      <w:pPr>
        <w:adjustRightInd w:val="0"/>
        <w:snapToGrid w:val="0"/>
        <w:spacing w:line="360" w:lineRule="auto"/>
        <w:ind w:firstLine="482" w:firstLineChars="200"/>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单套学生机房布线分项（按56台规模设计）</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80"/>
        <w:gridCol w:w="4396"/>
        <w:gridCol w:w="719"/>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品名</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配置/型号、规格</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22U机柜</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19英寸标准机柜，优质冷轧钢板，其厚度大于1.2mm，机柜含专用电源分配插座（PDU）。</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1台</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24口二层交换机</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支持 100/1000Mbit/s自适应传输速率。</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3台</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六类网线</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Cat6 非屏蔽双绞线，导体规格：23AWG（导体直径≥0.57mm）,305M/箱，带十字骨架。</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4箱</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机房布线及附件</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六类RJ45头、PVC线槽、电源插座（86明盒）、电源线、空气开关（含总开关1个、机柜1路、学生台式机4路，含漏电保护器）</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1批</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全钢防静电地板</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（600×600×35）mm,表面粘贴高耐磨防火高压层（HPL）或PVC板，内腔填充标准纯水泥。</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100平方米</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投标时报价以每个教室100平方米计算，安装付费时以实际面积计算。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学生电脑桌</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尺寸：1300mm（长）×600mm(宽)×720mm(高)</w:t>
            </w:r>
          </w:p>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板厚：25mm；板材：Ｅ0级多层板面贴防火板（供应商提供蓝色、灰色、木纹色三种色卡，由学校确认），鸭嘴型一次成型,前鸭后圆；封边：四周用优质PVC同色封边。要求将学生电脑底座嵌入在桌子内。</w:t>
            </w:r>
          </w:p>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桌架：支撑架采用20mm×40mm×1.2mm方管，立柱采用20mm×40mm×1.2mm面包管2根，中间焊接1.0mm的折边钢板，落地脚采用30mm×60mm×1.2mm椭圆管，配可调节脚套，背板采用1.0mm的冲孔折边钢板。</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28张</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投标时报价以每个教室28张计算，付费时以实际数量计算。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4" w:hRule="atLeast"/>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教师电脑桌</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尺寸：1800mm（长）×700mm(宽)×800mm(高)</w:t>
            </w:r>
          </w:p>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外观：与学生电脑桌款式一致</w:t>
            </w:r>
          </w:p>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板厚：25mm；板材：Ｅ0级多层板面贴防火板（供应商提供蓝色、灰色、木纹色三种色卡，由学校确认），鸭嘴型一次成型,前鸭后圆；封边：四周用优质PVC同色封边。要求将教师电脑底座嵌入在桌子内。</w:t>
            </w:r>
          </w:p>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桌架：支撑架采用20mm×40mm×1.2mm方管，立柱采用20mm×40mm×1.2mm面包管2根，中间焊接1.0mm的折边钢板，落地脚采用30mm×60mm×1.2mm椭圆管，配可调节脚套，背板采用1.0mm的冲孔折边钢板。</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1张</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学生电脑凳</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单人方凳：凳子面板尺寸: 340mm ×240mm×（小学370 mm、中学430mm），凳架采用直径4cm的圆管作为立管, 横档采用25cm×2.5 cm×2.5cm和15cm×2.5cm×2.5cm优质方钢管, 圆管和方管壁厚为0.8mm , 凳架表面静电喷涂, 凳面材质采用多层木板, 厚度为1.7cm , 凳子脚底配固定防滑脚垫。</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56张</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投标时报价以每个教室56张计算，付费时以实际数量计算。</w:t>
            </w:r>
          </w:p>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15"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380"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电脑教室教学控制软件</w:t>
            </w:r>
          </w:p>
        </w:tc>
        <w:tc>
          <w:tcPr>
            <w:tcW w:w="4396" w:type="dxa"/>
            <w:noWrap w:val="0"/>
            <w:vAlign w:val="center"/>
          </w:tcPr>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包含所有电脑的安装。</w:t>
            </w:r>
          </w:p>
          <w:p>
            <w:pPr>
              <w:autoSpaceDE w:val="0"/>
              <w:autoSpaceDN w:val="0"/>
              <w:adjustRightInd w:val="0"/>
              <w:snapToGrid w:val="0"/>
              <w:spacing w:before="0" w:beforeAutospacing="0" w:after="0" w:afterAutospacing="0" w:line="36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需满足的功能：屏幕教学演示、屏幕监视、遥控辅导、黑屏肃静、屏幕录制、屏幕回放、支持常见的音视频媒体格式的网络播放、在线考试、试卷管理和共享、网上语音广播、两人对讲和多方讨论、联机讨论、同步文件传输、提交作业、远程命令、电子教鞭、电子黑板与白板、电子抢答、电子点名、网上消息、电子举手、获取远端信息、学生上线情况即时监测、锁定学生机房电脑的键盘和鼠标、上网限制、断线保护、远程开关机和重启。兼容Windows XP、Windows 7、Windows 10等操作系统，支持32位和64位系统。要求提供软件安装包及原厂正版证明材料</w:t>
            </w:r>
          </w:p>
        </w:tc>
        <w:tc>
          <w:tcPr>
            <w:tcW w:w="719"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一套</w:t>
            </w:r>
          </w:p>
        </w:tc>
        <w:tc>
          <w:tcPr>
            <w:tcW w:w="1646" w:type="dxa"/>
            <w:noWrap w:val="0"/>
            <w:vAlign w:val="center"/>
          </w:tcPr>
          <w:p>
            <w:pPr>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color w:val="000000"/>
                <w:sz w:val="24"/>
                <w:szCs w:val="24"/>
              </w:rPr>
            </w:pPr>
          </w:p>
        </w:tc>
      </w:tr>
    </w:tbl>
    <w:p>
      <w:pPr>
        <w:adjustRightInd w:val="0"/>
        <w:snapToGrid w:val="0"/>
        <w:spacing w:line="400" w:lineRule="atLeast"/>
        <w:rPr>
          <w:rFonts w:hint="eastAsia" w:ascii="宋体" w:hAnsi="宋体" w:eastAsia="宋体" w:cs="宋体"/>
          <w:b/>
          <w:bCs/>
          <w:color w:val="000000"/>
          <w:sz w:val="24"/>
          <w:szCs w:val="24"/>
          <w:lang w:eastAsia="zh-CN"/>
        </w:rPr>
      </w:pPr>
    </w:p>
    <w:p>
      <w:pPr>
        <w:adjustRightInd w:val="0"/>
        <w:snapToGrid w:val="0"/>
        <w:spacing w:line="400" w:lineRule="atLeas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、供货要求：</w:t>
      </w:r>
    </w:p>
    <w:p>
      <w:pPr>
        <w:keepNext w:val="0"/>
        <w:keepLines w:val="0"/>
        <w:pageBreakBefore w:val="0"/>
        <w:widowControl w:val="0"/>
        <w:tabs>
          <w:tab w:val="left" w:pos="3780"/>
        </w:tabs>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签订合同后，供应商按照其与采购人的事先约定将所供货物免费上门送货至采购人指定地点后拆箱，负责安装调试，正常运行后交用户单位验收。</w:t>
      </w:r>
      <w:r>
        <w:rPr>
          <w:rFonts w:hint="eastAsia" w:ascii="仿宋" w:hAnsi="仿宋" w:eastAsia="仿宋" w:cs="仿宋"/>
          <w:b/>
          <w:color w:val="000000"/>
          <w:sz w:val="24"/>
          <w:szCs w:val="24"/>
          <w:highlight w:val="none"/>
        </w:rPr>
        <w:t>投标人在投标文件中需明确供货明细方案。</w:t>
      </w:r>
    </w:p>
    <w:p>
      <w:pPr>
        <w:keepNext w:val="0"/>
        <w:keepLines w:val="0"/>
        <w:pageBreakBefore w:val="0"/>
        <w:widowControl w:val="0"/>
        <w:tabs>
          <w:tab w:val="left" w:pos="3780"/>
        </w:tabs>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中标单位所供的货物是</w:t>
      </w:r>
      <w:r>
        <w:rPr>
          <w:rFonts w:hint="eastAsia" w:ascii="仿宋" w:hAnsi="仿宋" w:eastAsia="仿宋" w:cs="仿宋"/>
          <w:b/>
          <w:bCs/>
          <w:color w:val="000000"/>
          <w:sz w:val="24"/>
          <w:szCs w:val="24"/>
          <w:highlight w:val="none"/>
        </w:rPr>
        <w:t>202</w:t>
      </w: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年1月1日以后生产的</w:t>
      </w:r>
      <w:r>
        <w:rPr>
          <w:rFonts w:hint="eastAsia" w:ascii="仿宋" w:hAnsi="仿宋" w:eastAsia="仿宋" w:cs="仿宋"/>
          <w:color w:val="000000"/>
          <w:sz w:val="24"/>
          <w:szCs w:val="24"/>
          <w:highlight w:val="none"/>
        </w:rPr>
        <w:t>，符合</w:t>
      </w:r>
      <w:r>
        <w:rPr>
          <w:rFonts w:hint="eastAsia" w:ascii="仿宋" w:hAnsi="仿宋" w:eastAsia="仿宋" w:cs="仿宋"/>
          <w:b/>
          <w:color w:val="000000"/>
          <w:sz w:val="24"/>
          <w:szCs w:val="24"/>
          <w:highlight w:val="none"/>
        </w:rPr>
        <w:t>国家标准</w:t>
      </w:r>
      <w:r>
        <w:rPr>
          <w:rFonts w:hint="eastAsia" w:ascii="仿宋" w:hAnsi="仿宋" w:eastAsia="仿宋" w:cs="仿宋"/>
          <w:color w:val="000000"/>
          <w:sz w:val="24"/>
          <w:szCs w:val="24"/>
          <w:highlight w:val="none"/>
        </w:rPr>
        <w:t>的合格产品。设备安装调试完毕后，在其功能范围内保障用户的系统安全、稳定运行。</w:t>
      </w:r>
    </w:p>
    <w:p>
      <w:pPr>
        <w:keepNext w:val="0"/>
        <w:keepLines w:val="0"/>
        <w:pageBreakBefore w:val="0"/>
        <w:widowControl w:val="0"/>
        <w:tabs>
          <w:tab w:val="left" w:pos="3780"/>
        </w:tabs>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投标人所提供的货物必须是符合需求的合法产品，且符合质量检测标准，杜绝三无、假冒和走私产品。投标人使用材料必须具有质量保证书，或符合规定做的试验资料报告。严禁使用质量不合格或不符合设计要求的材料，否则</w:t>
      </w:r>
      <w:r>
        <w:rPr>
          <w:rFonts w:hint="eastAsia" w:ascii="仿宋" w:hAnsi="仿宋" w:eastAsia="仿宋" w:cs="仿宋"/>
          <w:color w:val="000000"/>
          <w:sz w:val="24"/>
          <w:szCs w:val="24"/>
          <w:highlight w:val="none"/>
          <w:lang w:eastAsia="zh-CN"/>
        </w:rPr>
        <w:t>供应商及</w:t>
      </w:r>
      <w:r>
        <w:rPr>
          <w:rFonts w:hint="eastAsia" w:ascii="仿宋" w:hAnsi="仿宋" w:eastAsia="仿宋" w:cs="仿宋"/>
          <w:color w:val="000000"/>
          <w:sz w:val="24"/>
          <w:szCs w:val="24"/>
          <w:highlight w:val="none"/>
        </w:rPr>
        <w:t>厂家必须承担由此产生的一切责任。</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4.设备在安装时不得损坏墙体、门窗等，如有损坏要予以赔偿。所有设备安装确保牢固安全。</w:t>
      </w:r>
    </w:p>
    <w:p>
      <w:pPr>
        <w:adjustRightInd w:val="0"/>
        <w:snapToGrid w:val="0"/>
        <w:spacing w:line="400" w:lineRule="atLeast"/>
        <w:rPr>
          <w:rFonts w:hint="eastAsia" w:ascii="仿宋" w:hAnsi="仿宋" w:eastAsia="仿宋" w:cs="仿宋"/>
          <w:b/>
          <w:bCs/>
          <w:color w:val="000000"/>
          <w:sz w:val="24"/>
          <w:szCs w:val="24"/>
        </w:rPr>
      </w:pPr>
      <w:r>
        <w:rPr>
          <w:rFonts w:hint="eastAsia" w:ascii="宋体" w:hAnsi="宋体" w:eastAsia="宋体" w:cs="宋体"/>
          <w:b/>
          <w:bCs/>
          <w:color w:val="000000"/>
          <w:sz w:val="24"/>
          <w:szCs w:val="24"/>
          <w:lang w:eastAsia="zh-CN"/>
        </w:rPr>
        <w:t>五</w:t>
      </w:r>
      <w:r>
        <w:rPr>
          <w:rFonts w:hint="eastAsia" w:ascii="宋体" w:hAnsi="宋体" w:eastAsia="宋体" w:cs="宋体"/>
          <w:b/>
          <w:bCs/>
          <w:color w:val="000000"/>
          <w:sz w:val="24"/>
          <w:szCs w:val="24"/>
        </w:rPr>
        <w:t>、售后服务要求：</w:t>
      </w:r>
    </w:p>
    <w:p>
      <w:pPr>
        <w:keepNext w:val="0"/>
        <w:keepLines w:val="0"/>
        <w:pageBreakBefore w:val="0"/>
        <w:widowControl w:val="0"/>
        <w:tabs>
          <w:tab w:val="left" w:pos="3780"/>
        </w:tabs>
        <w:kinsoku/>
        <w:wordWrap/>
        <w:overflowPunct/>
        <w:topLinePunct w:val="0"/>
        <w:autoSpaceDE/>
        <w:autoSpaceDN/>
        <w:bidi w:val="0"/>
        <w:spacing w:line="360" w:lineRule="auto"/>
        <w:ind w:firstLine="482" w:firstLineChars="200"/>
        <w:textAlignment w:val="auto"/>
        <w:rPr>
          <w:rFonts w:hint="eastAsia" w:ascii="仿宋" w:hAnsi="仿宋" w:eastAsia="仿宋" w:cs="仿宋"/>
          <w:color w:val="000000"/>
          <w:sz w:val="24"/>
          <w:szCs w:val="24"/>
          <w:highlight w:val="none"/>
        </w:rPr>
      </w:pPr>
      <w:r>
        <w:rPr>
          <w:rFonts w:hint="eastAsia" w:ascii="宋体" w:hAnsi="宋体" w:eastAsia="宋体" w:cs="宋体"/>
          <w:b/>
          <w:color w:val="auto"/>
          <w:kern w:val="0"/>
          <w:sz w:val="24"/>
          <w:szCs w:val="24"/>
          <w:highlight w:val="none"/>
        </w:rPr>
        <w:t>▲</w:t>
      </w:r>
      <w:r>
        <w:rPr>
          <w:rFonts w:hint="eastAsia" w:ascii="仿宋" w:hAnsi="仿宋" w:eastAsia="仿宋" w:cs="仿宋"/>
          <w:b/>
          <w:color w:val="000000"/>
          <w:sz w:val="24"/>
          <w:szCs w:val="24"/>
          <w:highlight w:val="none"/>
        </w:rPr>
        <w:t>1</w:t>
      </w:r>
      <w:r>
        <w:rPr>
          <w:rFonts w:hint="eastAsia" w:ascii="仿宋" w:hAnsi="仿宋" w:eastAsia="仿宋" w:cs="仿宋"/>
          <w:b/>
          <w:color w:val="000000"/>
          <w:sz w:val="24"/>
          <w:szCs w:val="24"/>
          <w:highlight w:val="none"/>
          <w:lang w:val="en-US" w:eastAsia="zh-CN"/>
        </w:rPr>
        <w:t>.</w:t>
      </w:r>
      <w:r>
        <w:rPr>
          <w:rFonts w:hint="eastAsia" w:ascii="仿宋" w:hAnsi="仿宋" w:eastAsia="仿宋" w:cs="仿宋"/>
          <w:b/>
          <w:color w:val="000000"/>
          <w:sz w:val="24"/>
          <w:szCs w:val="24"/>
          <w:highlight w:val="none"/>
        </w:rPr>
        <w:t>从验收合格之日起，本项目设备质保期为原厂</w:t>
      </w:r>
      <w:r>
        <w:rPr>
          <w:rFonts w:hint="eastAsia" w:ascii="仿宋" w:hAnsi="仿宋" w:eastAsia="仿宋" w:cs="仿宋"/>
          <w:b/>
          <w:color w:val="000000"/>
          <w:sz w:val="24"/>
          <w:szCs w:val="24"/>
          <w:highlight w:val="none"/>
          <w:lang w:eastAsia="zh-CN"/>
        </w:rPr>
        <w:t>5</w:t>
      </w:r>
      <w:r>
        <w:rPr>
          <w:rFonts w:hint="eastAsia" w:ascii="仿宋" w:hAnsi="仿宋" w:eastAsia="仿宋" w:cs="仿宋"/>
          <w:b/>
          <w:color w:val="000000"/>
          <w:sz w:val="24"/>
          <w:szCs w:val="24"/>
          <w:highlight w:val="none"/>
        </w:rPr>
        <w:t>年，并提供不少于6年7×24小时的电话技术支持和5×12小时的免费上门现场技术服务。</w:t>
      </w:r>
      <w:r>
        <w:rPr>
          <w:rFonts w:hint="eastAsia" w:ascii="仿宋" w:hAnsi="仿宋" w:eastAsia="仿宋" w:cs="仿宋"/>
          <w:color w:val="000000"/>
          <w:sz w:val="24"/>
          <w:szCs w:val="24"/>
          <w:highlight w:val="none"/>
        </w:rPr>
        <w:t>在使用的所有时间范围内，提供多种方式的技术支持。提供免费上门维护、升级服务，在接到电话后1小时内响应，2小时以内到现场处理，3小时内解决问题，现场不能修复的，必须采取无偿提供备品、备件或备机等补救措施，以保证使用方的正常工作，中标单位有其</w:t>
      </w:r>
      <w:r>
        <w:rPr>
          <w:rFonts w:hint="eastAsia" w:ascii="仿宋" w:hAnsi="仿宋" w:eastAsia="仿宋" w:cs="仿宋"/>
          <w:color w:val="000000"/>
          <w:sz w:val="24"/>
          <w:szCs w:val="24"/>
          <w:highlight w:val="none"/>
          <w:lang w:eastAsia="zh-CN"/>
        </w:rPr>
        <w:t>他</w:t>
      </w:r>
      <w:r>
        <w:rPr>
          <w:rFonts w:hint="eastAsia" w:ascii="仿宋" w:hAnsi="仿宋" w:eastAsia="仿宋" w:cs="仿宋"/>
          <w:color w:val="000000"/>
          <w:sz w:val="24"/>
          <w:szCs w:val="24"/>
          <w:highlight w:val="none"/>
        </w:rPr>
        <w:t>服务承诺的，一并履行。</w:t>
      </w:r>
    </w:p>
    <w:p>
      <w:pPr>
        <w:keepNext w:val="0"/>
        <w:keepLines w:val="0"/>
        <w:pageBreakBefore w:val="0"/>
        <w:widowControl w:val="0"/>
        <w:tabs>
          <w:tab w:val="left" w:pos="3780"/>
        </w:tabs>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质保期内的维修费用（包括配件）全部由中标单位负责，质保修期后的维修酌情以成本价收费。</w:t>
      </w:r>
    </w:p>
    <w:p>
      <w:pPr>
        <w:keepNext w:val="0"/>
        <w:keepLines w:val="0"/>
        <w:pageBreakBefore w:val="0"/>
        <w:widowControl w:val="0"/>
        <w:tabs>
          <w:tab w:val="left" w:pos="3780"/>
        </w:tabs>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在保修期内供应商必须不得以任何理由影响用户的正常使用。供应商必须对所供产品实行终身维修。</w:t>
      </w:r>
      <w:r>
        <w:rPr>
          <w:rFonts w:hint="eastAsia" w:ascii="仿宋" w:hAnsi="仿宋" w:eastAsia="仿宋" w:cs="仿宋"/>
          <w:b/>
          <w:bCs/>
          <w:color w:val="000000"/>
          <w:sz w:val="24"/>
          <w:szCs w:val="24"/>
          <w:highlight w:val="none"/>
          <w:lang w:eastAsia="zh-CN"/>
        </w:rPr>
        <w:t>中标后合同签订前提供设备原厂质保承诺书。</w:t>
      </w:r>
    </w:p>
    <w:p>
      <w:pPr>
        <w:keepNext w:val="0"/>
        <w:keepLines w:val="0"/>
        <w:pageBreakBefore w:val="0"/>
        <w:widowControl w:val="0"/>
        <w:tabs>
          <w:tab w:val="left" w:pos="3780"/>
        </w:tabs>
        <w:kinsoku/>
        <w:wordWrap/>
        <w:overflowPunct/>
        <w:topLinePunct w:val="0"/>
        <w:autoSpaceDE/>
        <w:autoSpaceDN/>
        <w:bidi w:val="0"/>
        <w:spacing w:line="360" w:lineRule="auto"/>
        <w:textAlignment w:val="auto"/>
        <w:rPr>
          <w:rFonts w:hint="eastAsia" w:ascii="仿宋" w:hAnsi="仿宋" w:eastAsia="仿宋" w:cs="仿宋"/>
          <w:b/>
          <w:bCs/>
          <w:color w:val="000000"/>
          <w:sz w:val="24"/>
          <w:szCs w:val="24"/>
        </w:rPr>
      </w:pPr>
      <w:r>
        <w:rPr>
          <w:rFonts w:hint="eastAsia" w:ascii="宋体" w:hAnsi="宋体" w:eastAsia="宋体" w:cs="宋体"/>
          <w:b/>
          <w:bCs/>
          <w:color w:val="000000"/>
          <w:sz w:val="24"/>
          <w:szCs w:val="24"/>
        </w:rPr>
        <w:t>六、工期要求：</w:t>
      </w:r>
      <w:r>
        <w:rPr>
          <w:rFonts w:hint="eastAsia" w:ascii="仿宋" w:hAnsi="仿宋" w:eastAsia="仿宋" w:cs="仿宋"/>
          <w:b/>
          <w:color w:val="000000"/>
          <w:sz w:val="24"/>
          <w:szCs w:val="24"/>
          <w:highlight w:val="none"/>
        </w:rPr>
        <w:t>原则上202</w:t>
      </w:r>
      <w:r>
        <w:rPr>
          <w:rFonts w:hint="eastAsia" w:ascii="仿宋" w:hAnsi="仿宋" w:eastAsia="仿宋" w:cs="仿宋"/>
          <w:b/>
          <w:color w:val="000000"/>
          <w:sz w:val="24"/>
          <w:szCs w:val="24"/>
          <w:highlight w:val="none"/>
          <w:lang w:val="en-US" w:eastAsia="zh-CN"/>
        </w:rPr>
        <w:t>2</w:t>
      </w:r>
      <w:r>
        <w:rPr>
          <w:rFonts w:hint="eastAsia" w:ascii="仿宋" w:hAnsi="仿宋" w:eastAsia="仿宋" w:cs="仿宋"/>
          <w:b/>
          <w:color w:val="000000"/>
          <w:sz w:val="24"/>
          <w:szCs w:val="24"/>
          <w:highlight w:val="none"/>
        </w:rPr>
        <w:t>年</w:t>
      </w:r>
      <w:r>
        <w:rPr>
          <w:rFonts w:hint="eastAsia" w:ascii="仿宋" w:hAnsi="仿宋" w:eastAsia="仿宋" w:cs="仿宋"/>
          <w:b/>
          <w:color w:val="000000"/>
          <w:sz w:val="24"/>
          <w:szCs w:val="24"/>
          <w:highlight w:val="none"/>
          <w:lang w:val="en-US" w:eastAsia="zh-CN"/>
        </w:rPr>
        <w:t>7</w:t>
      </w:r>
      <w:r>
        <w:rPr>
          <w:rFonts w:hint="eastAsia" w:ascii="仿宋" w:hAnsi="仿宋" w:eastAsia="仿宋" w:cs="仿宋"/>
          <w:b/>
          <w:color w:val="000000"/>
          <w:sz w:val="24"/>
          <w:szCs w:val="24"/>
          <w:highlight w:val="none"/>
        </w:rPr>
        <w:t>月3</w:t>
      </w:r>
      <w:r>
        <w:rPr>
          <w:rFonts w:hint="eastAsia" w:ascii="仿宋" w:hAnsi="仿宋" w:eastAsia="仿宋" w:cs="仿宋"/>
          <w:b/>
          <w:color w:val="000000"/>
          <w:sz w:val="24"/>
          <w:szCs w:val="24"/>
          <w:highlight w:val="none"/>
          <w:lang w:val="en-US" w:eastAsia="zh-CN"/>
        </w:rPr>
        <w:t>1</w:t>
      </w:r>
      <w:r>
        <w:rPr>
          <w:rFonts w:hint="eastAsia" w:ascii="仿宋" w:hAnsi="仿宋" w:eastAsia="仿宋" w:cs="仿宋"/>
          <w:b/>
          <w:color w:val="000000"/>
          <w:sz w:val="24"/>
          <w:szCs w:val="24"/>
          <w:highlight w:val="none"/>
        </w:rPr>
        <w:t>日前完成供货、安装调试及学校初步验收。具体安装时间可与学校协商，但不得影响学校正常教学使用。</w:t>
      </w:r>
    </w:p>
    <w:p>
      <w:pPr>
        <w:adjustRightInd w:val="0"/>
        <w:snapToGrid w:val="0"/>
        <w:spacing w:line="400" w:lineRule="atLeast"/>
        <w:rPr>
          <w:rFonts w:hint="eastAsia" w:ascii="仿宋" w:hAnsi="仿宋" w:eastAsia="仿宋" w:cs="仿宋"/>
          <w:b/>
          <w:bCs/>
          <w:color w:val="000000"/>
          <w:sz w:val="24"/>
          <w:szCs w:val="24"/>
        </w:rPr>
      </w:pPr>
      <w:r>
        <w:rPr>
          <w:rFonts w:hint="eastAsia" w:ascii="宋体" w:hAnsi="宋体" w:eastAsia="宋体" w:cs="宋体"/>
          <w:b/>
          <w:bCs/>
          <w:color w:val="000000"/>
          <w:sz w:val="24"/>
          <w:szCs w:val="24"/>
        </w:rPr>
        <w:t>七、履约保证金：</w:t>
      </w:r>
    </w:p>
    <w:p>
      <w:pPr>
        <w:adjustRightInd w:val="0"/>
        <w:snapToGrid w:val="0"/>
        <w:spacing w:line="400" w:lineRule="atLeas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合同生效后7个工作日内供应商向采购单位交纳合同金额的</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5%的履约保证金。履约保证金</w:t>
      </w:r>
      <w:r>
        <w:rPr>
          <w:rFonts w:hint="eastAsia" w:ascii="仿宋" w:hAnsi="仿宋" w:eastAsia="仿宋" w:cs="仿宋"/>
          <w:bCs/>
          <w:color w:val="000000"/>
          <w:sz w:val="24"/>
          <w:szCs w:val="24"/>
          <w:lang w:eastAsia="zh-CN"/>
        </w:rPr>
        <w:t>可以以保函形式提交。</w:t>
      </w:r>
    </w:p>
    <w:p>
      <w:pPr>
        <w:adjustRightInd w:val="0"/>
        <w:snapToGrid w:val="0"/>
        <w:spacing w:line="400" w:lineRule="atLeas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八、货款支付：</w:t>
      </w:r>
    </w:p>
    <w:p>
      <w:pPr>
        <w:adjustRightInd w:val="0"/>
        <w:snapToGrid w:val="0"/>
        <w:spacing w:line="400" w:lineRule="atLeast"/>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合同签订生效以及具备实施条件后</w:t>
      </w:r>
      <w:r>
        <w:rPr>
          <w:rFonts w:hint="eastAsia" w:ascii="仿宋" w:hAnsi="仿宋" w:eastAsia="仿宋" w:cs="仿宋"/>
          <w:b w:val="0"/>
          <w:bCs w:val="0"/>
          <w:color w:val="000000"/>
          <w:sz w:val="24"/>
          <w:szCs w:val="24"/>
          <w:lang w:val="en-US" w:eastAsia="zh-CN"/>
        </w:rPr>
        <w:t>7个工作日内</w:t>
      </w:r>
      <w:r>
        <w:rPr>
          <w:rFonts w:hint="eastAsia" w:ascii="仿宋" w:hAnsi="仿宋" w:eastAsia="仿宋" w:cs="仿宋"/>
          <w:b w:val="0"/>
          <w:bCs w:val="0"/>
          <w:color w:val="000000"/>
          <w:sz w:val="24"/>
          <w:szCs w:val="24"/>
        </w:rPr>
        <w:t>，采购单位向中标单位支付合同金额</w:t>
      </w:r>
      <w:r>
        <w:rPr>
          <w:rFonts w:hint="eastAsia" w:ascii="仿宋" w:hAnsi="仿宋" w:eastAsia="仿宋" w:cs="仿宋"/>
          <w:b w:val="0"/>
          <w:bCs w:val="0"/>
          <w:color w:val="000000"/>
          <w:sz w:val="24"/>
          <w:szCs w:val="24"/>
          <w:lang w:val="en-US" w:eastAsia="zh-CN"/>
        </w:rPr>
        <w:t>40</w:t>
      </w:r>
      <w:r>
        <w:rPr>
          <w:rFonts w:hint="eastAsia" w:ascii="仿宋" w:hAnsi="仿宋" w:eastAsia="仿宋" w:cs="仿宋"/>
          <w:b w:val="0"/>
          <w:bCs w:val="0"/>
          <w:color w:val="000000"/>
          <w:sz w:val="24"/>
          <w:szCs w:val="24"/>
        </w:rPr>
        <w:t>％的预付款；完成供货后，采购单位支付货款至合同金额的70%；项目整体验收合格后，采购单位支付至合同金额的100%。</w:t>
      </w:r>
    </w:p>
    <w:p>
      <w:pPr>
        <w:adjustRightInd w:val="0"/>
        <w:snapToGrid w:val="0"/>
        <w:spacing w:line="400" w:lineRule="atLeast"/>
        <w:rPr>
          <w:rFonts w:hint="eastAsia" w:ascii="宋体" w:hAnsi="宋体" w:eastAsia="宋体" w:cs="宋体"/>
          <w:b/>
          <w:bCs/>
          <w:color w:val="000000"/>
          <w:sz w:val="24"/>
          <w:szCs w:val="24"/>
        </w:rPr>
      </w:pPr>
      <w:r>
        <w:rPr>
          <w:rFonts w:hint="eastAsia" w:ascii="宋体" w:hAnsi="宋体" w:eastAsia="宋体" w:cs="宋体"/>
          <w:b/>
          <w:color w:val="auto"/>
          <w:kern w:val="0"/>
          <w:sz w:val="24"/>
          <w:szCs w:val="24"/>
          <w:highlight w:val="none"/>
        </w:rPr>
        <w:t>▲</w:t>
      </w:r>
      <w:r>
        <w:rPr>
          <w:rFonts w:hint="eastAsia" w:ascii="宋体" w:hAnsi="宋体" w:eastAsia="宋体" w:cs="宋体"/>
          <w:b/>
          <w:bCs/>
          <w:color w:val="000000"/>
          <w:sz w:val="24"/>
          <w:szCs w:val="24"/>
        </w:rPr>
        <w:t>九、采购人认为必须说明的其他内容：</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产品必须是为当前市场主流通用机型、标准配置（即投标产品的配置、服务与投标产品生产制造商对外公众网站上公布的配置一致，不得另行制作网页），不得以任何名义的“专用机型”、“特配机型”参加投标，投标产品型号应与市场正常销售保持一致。</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2、随机安装的软件产品是针对采购单位注册的原厂产品包或原厂家提供许可证协议的正版软件。</w:t>
      </w:r>
    </w:p>
    <w:p>
      <w:pPr>
        <w:pageBreakBefore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投标产品必须为中华人民共和国境内（不含港澳台地区）合法生产、销售的，并且经国家“3C”认证，符合国家技术规范和质量标准的合格产品。投标人必须保证所有投标参数真实可信，满足采购单位的使用需求，质量可靠、使用安全，并具有可靠的售后服务体系，同时承担以非法产品或虚假参数投标所带来的一切法律风险。</w:t>
      </w:r>
    </w:p>
    <w:p>
      <w:pPr>
        <w:pageBreakBefore w:val="0"/>
        <w:kinsoku/>
        <w:wordWrap/>
        <w:overflowPunct/>
        <w:topLinePunct w:val="0"/>
        <w:autoSpaceDE/>
        <w:autoSpaceDN/>
        <w:bidi w:val="0"/>
        <w:spacing w:line="400" w:lineRule="exact"/>
        <w:ind w:firstLine="181" w:firstLineChars="50"/>
        <w:textAlignment w:val="auto"/>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2095"/>
      <w:bookmarkEnd w:id="28"/>
      <w:bookmarkStart w:id="29" w:name="_Toc184314432"/>
      <w:bookmarkEnd w:id="29"/>
      <w:bookmarkStart w:id="30" w:name="_Toc184312100"/>
      <w:bookmarkEnd w:id="30"/>
      <w:bookmarkStart w:id="31" w:name="_Toc184314475"/>
      <w:bookmarkEnd w:id="31"/>
      <w:bookmarkStart w:id="32" w:name="_Toc184310282"/>
      <w:bookmarkEnd w:id="32"/>
      <w:bookmarkStart w:id="33" w:name="_Toc184312083"/>
      <w:bookmarkEnd w:id="33"/>
      <w:bookmarkStart w:id="34" w:name="_Toc184312106"/>
      <w:bookmarkEnd w:id="34"/>
      <w:bookmarkStart w:id="35" w:name="_Toc184312103"/>
      <w:bookmarkEnd w:id="35"/>
      <w:bookmarkStart w:id="36" w:name="_Toc184314446"/>
      <w:bookmarkEnd w:id="36"/>
      <w:bookmarkStart w:id="37" w:name="_Toc184310315"/>
      <w:bookmarkEnd w:id="37"/>
      <w:bookmarkStart w:id="38" w:name="_Toc184314443"/>
      <w:bookmarkEnd w:id="38"/>
      <w:bookmarkStart w:id="39" w:name="_Toc184310301"/>
      <w:bookmarkEnd w:id="39"/>
      <w:bookmarkStart w:id="40" w:name="_Toc184312098"/>
      <w:bookmarkEnd w:id="40"/>
      <w:bookmarkStart w:id="41" w:name="_Toc184310341"/>
      <w:bookmarkEnd w:id="41"/>
      <w:bookmarkStart w:id="42" w:name="_Toc184313254"/>
      <w:bookmarkEnd w:id="42"/>
      <w:bookmarkStart w:id="43" w:name="_Toc184312088"/>
      <w:bookmarkEnd w:id="43"/>
      <w:bookmarkStart w:id="44" w:name="_Toc184313273"/>
      <w:bookmarkEnd w:id="44"/>
      <w:bookmarkStart w:id="45" w:name="_Toc184314426"/>
      <w:bookmarkEnd w:id="45"/>
      <w:bookmarkStart w:id="46" w:name="_Toc184308058"/>
      <w:bookmarkEnd w:id="46"/>
      <w:bookmarkStart w:id="47" w:name="_Toc184314438"/>
      <w:bookmarkEnd w:id="47"/>
      <w:bookmarkStart w:id="48" w:name="_Toc184310292"/>
      <w:bookmarkEnd w:id="48"/>
      <w:bookmarkStart w:id="49" w:name="_Toc184310322"/>
      <w:bookmarkEnd w:id="49"/>
      <w:bookmarkStart w:id="50" w:name="_Toc184308101"/>
      <w:bookmarkEnd w:id="50"/>
      <w:bookmarkStart w:id="51" w:name="_Toc184314431"/>
      <w:bookmarkEnd w:id="51"/>
      <w:bookmarkStart w:id="52" w:name="_Toc184312087"/>
      <w:bookmarkEnd w:id="52"/>
      <w:bookmarkStart w:id="53" w:name="_Toc184312068"/>
      <w:bookmarkEnd w:id="53"/>
      <w:bookmarkStart w:id="54" w:name="_Toc184312070"/>
      <w:bookmarkEnd w:id="54"/>
      <w:bookmarkStart w:id="55" w:name="_Toc184310298"/>
      <w:bookmarkEnd w:id="55"/>
      <w:bookmarkStart w:id="56" w:name="_Toc184308055"/>
      <w:bookmarkEnd w:id="56"/>
      <w:bookmarkStart w:id="57" w:name="_Toc184312115"/>
      <w:bookmarkEnd w:id="57"/>
      <w:bookmarkStart w:id="58" w:name="_Toc184310281"/>
      <w:bookmarkEnd w:id="58"/>
      <w:bookmarkStart w:id="59" w:name="_Toc184308067"/>
      <w:bookmarkEnd w:id="59"/>
      <w:bookmarkStart w:id="60" w:name="_Toc184314454"/>
      <w:bookmarkEnd w:id="60"/>
      <w:bookmarkStart w:id="61" w:name="_Toc184312117"/>
      <w:bookmarkEnd w:id="61"/>
      <w:bookmarkStart w:id="62" w:name="_Toc184314434"/>
      <w:bookmarkEnd w:id="62"/>
      <w:bookmarkStart w:id="63" w:name="_Toc184313251"/>
      <w:bookmarkEnd w:id="63"/>
      <w:bookmarkStart w:id="64" w:name="_Toc184308066"/>
      <w:bookmarkEnd w:id="64"/>
      <w:bookmarkStart w:id="65" w:name="_Toc184314430"/>
      <w:bookmarkEnd w:id="65"/>
      <w:bookmarkStart w:id="66" w:name="_Toc184310314"/>
      <w:bookmarkEnd w:id="66"/>
      <w:bookmarkStart w:id="67" w:name="_Toc184310273"/>
      <w:bookmarkEnd w:id="67"/>
      <w:bookmarkStart w:id="68" w:name="_Toc184313256"/>
      <w:bookmarkEnd w:id="68"/>
      <w:bookmarkStart w:id="69" w:name="_Toc184308064"/>
      <w:bookmarkEnd w:id="69"/>
      <w:bookmarkStart w:id="70" w:name="_Toc184308061"/>
      <w:bookmarkEnd w:id="70"/>
      <w:bookmarkStart w:id="71" w:name="_Toc184313266"/>
      <w:bookmarkEnd w:id="71"/>
      <w:bookmarkStart w:id="72" w:name="_Toc184313307"/>
      <w:bookmarkEnd w:id="72"/>
      <w:bookmarkStart w:id="73" w:name="_Toc184312135"/>
      <w:bookmarkEnd w:id="73"/>
      <w:bookmarkStart w:id="74" w:name="_Toc184308053"/>
      <w:bookmarkEnd w:id="74"/>
      <w:bookmarkStart w:id="75" w:name="_Toc184312097"/>
      <w:bookmarkEnd w:id="75"/>
      <w:bookmarkStart w:id="76" w:name="_Toc184314455"/>
      <w:bookmarkEnd w:id="76"/>
      <w:bookmarkStart w:id="77" w:name="_Toc184313303"/>
      <w:bookmarkEnd w:id="77"/>
      <w:bookmarkStart w:id="78" w:name="_Toc184312094"/>
      <w:bookmarkEnd w:id="78"/>
      <w:bookmarkStart w:id="79" w:name="_Toc184312086"/>
      <w:bookmarkEnd w:id="79"/>
      <w:bookmarkStart w:id="80" w:name="_Toc184312067"/>
      <w:bookmarkEnd w:id="80"/>
      <w:bookmarkStart w:id="81" w:name="_Toc184310275"/>
      <w:bookmarkEnd w:id="81"/>
      <w:bookmarkStart w:id="82" w:name="_Toc184313280"/>
      <w:bookmarkEnd w:id="82"/>
      <w:bookmarkStart w:id="83" w:name="_Toc184313306"/>
      <w:bookmarkEnd w:id="83"/>
      <w:bookmarkStart w:id="84" w:name="_Toc184314459"/>
      <w:bookmarkEnd w:id="84"/>
      <w:bookmarkStart w:id="85" w:name="_Toc184310288"/>
      <w:bookmarkEnd w:id="85"/>
      <w:bookmarkStart w:id="86" w:name="_Toc184308049"/>
      <w:bookmarkEnd w:id="86"/>
      <w:bookmarkStart w:id="87" w:name="_Toc184313263"/>
      <w:bookmarkEnd w:id="87"/>
      <w:bookmarkStart w:id="88" w:name="_Toc184308056"/>
      <w:bookmarkEnd w:id="88"/>
      <w:bookmarkStart w:id="89" w:name="_Toc184312112"/>
      <w:bookmarkEnd w:id="89"/>
      <w:bookmarkStart w:id="90" w:name="_Toc184310296"/>
      <w:bookmarkEnd w:id="90"/>
      <w:bookmarkStart w:id="91" w:name="_Toc184314428"/>
      <w:bookmarkEnd w:id="91"/>
      <w:bookmarkStart w:id="92" w:name="_Toc184314429"/>
      <w:bookmarkEnd w:id="92"/>
      <w:bookmarkStart w:id="93" w:name="_Toc184313253"/>
      <w:bookmarkEnd w:id="93"/>
      <w:bookmarkStart w:id="94" w:name="_Toc184308081"/>
      <w:bookmarkEnd w:id="94"/>
      <w:bookmarkStart w:id="95" w:name="_Toc184312069"/>
      <w:bookmarkEnd w:id="95"/>
      <w:bookmarkStart w:id="96" w:name="_Toc184310299"/>
      <w:bookmarkEnd w:id="96"/>
      <w:bookmarkStart w:id="97" w:name="_Toc184314458"/>
      <w:bookmarkEnd w:id="97"/>
      <w:bookmarkStart w:id="98" w:name="_Toc184314449"/>
      <w:bookmarkEnd w:id="98"/>
      <w:bookmarkStart w:id="99" w:name="_Toc184308054"/>
      <w:bookmarkEnd w:id="99"/>
      <w:bookmarkStart w:id="100" w:name="_Toc184313287"/>
      <w:bookmarkEnd w:id="100"/>
      <w:bookmarkStart w:id="101" w:name="_Toc184312085"/>
      <w:bookmarkEnd w:id="101"/>
      <w:bookmarkStart w:id="102" w:name="_Toc184313292"/>
      <w:bookmarkEnd w:id="102"/>
      <w:bookmarkStart w:id="103" w:name="_Toc184314413"/>
      <w:bookmarkEnd w:id="103"/>
      <w:bookmarkStart w:id="104" w:name="_Toc184308040"/>
      <w:bookmarkEnd w:id="104"/>
      <w:bookmarkStart w:id="105" w:name="_Toc184312116"/>
      <w:bookmarkEnd w:id="105"/>
      <w:bookmarkStart w:id="106" w:name="_Toc184308039"/>
      <w:bookmarkEnd w:id="106"/>
      <w:bookmarkStart w:id="107" w:name="_Toc184310317"/>
      <w:bookmarkEnd w:id="107"/>
      <w:bookmarkStart w:id="108" w:name="_Toc184313275"/>
      <w:bookmarkEnd w:id="108"/>
      <w:bookmarkStart w:id="109" w:name="_Toc184310336"/>
      <w:bookmarkEnd w:id="109"/>
      <w:bookmarkStart w:id="110" w:name="_Toc184314450"/>
      <w:bookmarkEnd w:id="110"/>
      <w:bookmarkStart w:id="111" w:name="_Toc184310289"/>
      <w:bookmarkEnd w:id="111"/>
      <w:bookmarkStart w:id="112" w:name="_Toc184313277"/>
      <w:bookmarkEnd w:id="112"/>
      <w:bookmarkStart w:id="113" w:name="_Toc184310297"/>
      <w:bookmarkEnd w:id="113"/>
      <w:bookmarkStart w:id="114" w:name="_Toc184313262"/>
      <w:bookmarkEnd w:id="114"/>
      <w:bookmarkStart w:id="115" w:name="_Toc184314478"/>
      <w:bookmarkEnd w:id="115"/>
      <w:bookmarkStart w:id="116" w:name="_Toc184314469"/>
      <w:bookmarkEnd w:id="116"/>
      <w:bookmarkStart w:id="117" w:name="_Toc184312129"/>
      <w:bookmarkEnd w:id="117"/>
      <w:bookmarkStart w:id="118" w:name="_Toc184312091"/>
      <w:bookmarkEnd w:id="118"/>
      <w:bookmarkStart w:id="119" w:name="_Toc184313300"/>
      <w:bookmarkEnd w:id="119"/>
      <w:bookmarkStart w:id="120" w:name="_Toc184313299"/>
      <w:bookmarkEnd w:id="120"/>
      <w:bookmarkStart w:id="121" w:name="_Toc184310321"/>
      <w:bookmarkEnd w:id="121"/>
      <w:bookmarkStart w:id="122" w:name="_Toc184308103"/>
      <w:bookmarkEnd w:id="122"/>
      <w:bookmarkStart w:id="123" w:name="_Toc184314437"/>
      <w:bookmarkEnd w:id="123"/>
      <w:bookmarkStart w:id="124" w:name="_Toc184312134"/>
      <w:bookmarkEnd w:id="124"/>
      <w:bookmarkStart w:id="125" w:name="_Toc184308098"/>
      <w:bookmarkEnd w:id="125"/>
      <w:bookmarkStart w:id="126" w:name="_Toc184314427"/>
      <w:bookmarkEnd w:id="126"/>
      <w:bookmarkStart w:id="127" w:name="_Toc184314412"/>
      <w:bookmarkEnd w:id="127"/>
      <w:bookmarkStart w:id="128" w:name="_Toc184310340"/>
      <w:bookmarkEnd w:id="128"/>
      <w:bookmarkStart w:id="129" w:name="_Toc184308046"/>
      <w:bookmarkEnd w:id="129"/>
      <w:bookmarkStart w:id="130" w:name="_Toc184308097"/>
      <w:bookmarkEnd w:id="130"/>
      <w:bookmarkStart w:id="131" w:name="_Toc184314435"/>
      <w:bookmarkEnd w:id="131"/>
      <w:bookmarkStart w:id="132" w:name="_Toc184312130"/>
      <w:bookmarkEnd w:id="132"/>
      <w:bookmarkStart w:id="133" w:name="_Toc184314468"/>
      <w:bookmarkEnd w:id="133"/>
      <w:bookmarkStart w:id="134" w:name="_Toc184312132"/>
      <w:bookmarkEnd w:id="134"/>
      <w:bookmarkStart w:id="135" w:name="_Toc184313285"/>
      <w:bookmarkEnd w:id="135"/>
      <w:bookmarkStart w:id="136" w:name="_Toc184312090"/>
      <w:bookmarkEnd w:id="136"/>
      <w:bookmarkStart w:id="137" w:name="_Toc184313304"/>
      <w:bookmarkEnd w:id="137"/>
      <w:bookmarkStart w:id="138" w:name="_Toc184314470"/>
      <w:bookmarkEnd w:id="138"/>
      <w:bookmarkStart w:id="139" w:name="_Toc184308036"/>
      <w:bookmarkEnd w:id="139"/>
      <w:bookmarkStart w:id="140" w:name="_Toc184308073"/>
      <w:bookmarkEnd w:id="140"/>
      <w:bookmarkStart w:id="141" w:name="_Toc184313305"/>
      <w:bookmarkEnd w:id="141"/>
      <w:bookmarkStart w:id="142" w:name="_Toc184308059"/>
      <w:bookmarkEnd w:id="142"/>
      <w:bookmarkStart w:id="143" w:name="_Toc184308050"/>
      <w:bookmarkEnd w:id="143"/>
      <w:bookmarkStart w:id="144" w:name="_Toc184312110"/>
      <w:bookmarkEnd w:id="144"/>
      <w:bookmarkStart w:id="145" w:name="_Toc184313265"/>
      <w:bookmarkEnd w:id="145"/>
      <w:bookmarkStart w:id="146" w:name="_Toc184313309"/>
      <w:bookmarkEnd w:id="146"/>
      <w:bookmarkStart w:id="147" w:name="_Toc184308080"/>
      <w:bookmarkEnd w:id="147"/>
      <w:bookmarkStart w:id="148" w:name="_Toc184310295"/>
      <w:bookmarkEnd w:id="148"/>
      <w:bookmarkStart w:id="149" w:name="_Toc184313261"/>
      <w:bookmarkEnd w:id="149"/>
      <w:bookmarkStart w:id="150" w:name="_Toc184313278"/>
      <w:bookmarkEnd w:id="150"/>
      <w:bookmarkStart w:id="151" w:name="_Toc184308062"/>
      <w:bookmarkEnd w:id="151"/>
      <w:bookmarkStart w:id="152" w:name="_Toc184308045"/>
      <w:bookmarkEnd w:id="152"/>
      <w:bookmarkStart w:id="153" w:name="_Toc184312089"/>
      <w:bookmarkEnd w:id="153"/>
      <w:bookmarkStart w:id="154" w:name="_Toc184310332"/>
      <w:bookmarkEnd w:id="154"/>
      <w:bookmarkStart w:id="155" w:name="_Toc184310344"/>
      <w:bookmarkEnd w:id="155"/>
      <w:bookmarkStart w:id="156" w:name="_Toc184313276"/>
      <w:bookmarkEnd w:id="156"/>
      <w:bookmarkStart w:id="157" w:name="_Toc184314425"/>
      <w:bookmarkEnd w:id="157"/>
      <w:bookmarkStart w:id="158" w:name="_Toc184308096"/>
      <w:bookmarkEnd w:id="158"/>
      <w:bookmarkStart w:id="159" w:name="_Toc184308060"/>
      <w:bookmarkEnd w:id="159"/>
      <w:bookmarkStart w:id="160" w:name="_Toc184312125"/>
      <w:bookmarkEnd w:id="160"/>
      <w:bookmarkStart w:id="161" w:name="_Toc184313284"/>
      <w:bookmarkEnd w:id="161"/>
      <w:bookmarkStart w:id="162" w:name="_Toc184308106"/>
      <w:bookmarkEnd w:id="162"/>
      <w:bookmarkStart w:id="163" w:name="_Toc184312082"/>
      <w:bookmarkEnd w:id="163"/>
      <w:bookmarkStart w:id="164" w:name="_Toc184314471"/>
      <w:bookmarkEnd w:id="164"/>
      <w:bookmarkStart w:id="165" w:name="_Toc184312092"/>
      <w:bookmarkEnd w:id="165"/>
      <w:bookmarkStart w:id="166" w:name="_Toc184313243"/>
      <w:bookmarkEnd w:id="166"/>
      <w:bookmarkStart w:id="167" w:name="_Toc184314433"/>
      <w:bookmarkEnd w:id="167"/>
      <w:bookmarkStart w:id="168" w:name="_Toc184310277"/>
      <w:bookmarkEnd w:id="168"/>
      <w:bookmarkStart w:id="169" w:name="_Toc184314477"/>
      <w:bookmarkEnd w:id="169"/>
      <w:bookmarkStart w:id="170" w:name="_Toc184308075"/>
      <w:bookmarkEnd w:id="170"/>
      <w:bookmarkStart w:id="171" w:name="_Toc184310278"/>
      <w:bookmarkEnd w:id="171"/>
      <w:bookmarkStart w:id="172" w:name="_Toc184310320"/>
      <w:bookmarkEnd w:id="172"/>
      <w:bookmarkStart w:id="173" w:name="_Toc184310287"/>
      <w:bookmarkEnd w:id="173"/>
      <w:bookmarkStart w:id="174" w:name="_Toc184310312"/>
      <w:bookmarkEnd w:id="174"/>
      <w:bookmarkStart w:id="175" w:name="_Toc184308043"/>
      <w:bookmarkEnd w:id="175"/>
      <w:bookmarkStart w:id="176" w:name="_Toc184314472"/>
      <w:bookmarkEnd w:id="176"/>
      <w:bookmarkStart w:id="177" w:name="_Toc184312075"/>
      <w:bookmarkEnd w:id="177"/>
      <w:bookmarkStart w:id="178" w:name="_Toc184310342"/>
      <w:bookmarkEnd w:id="178"/>
      <w:bookmarkStart w:id="179" w:name="_Toc184310280"/>
      <w:bookmarkEnd w:id="179"/>
      <w:bookmarkStart w:id="180" w:name="_Toc184308104"/>
      <w:bookmarkEnd w:id="180"/>
      <w:bookmarkStart w:id="181" w:name="_Toc184314448"/>
      <w:bookmarkEnd w:id="181"/>
      <w:bookmarkStart w:id="182" w:name="_Toc184314414"/>
      <w:bookmarkEnd w:id="182"/>
      <w:bookmarkStart w:id="183" w:name="_Toc184313260"/>
      <w:bookmarkEnd w:id="183"/>
      <w:bookmarkStart w:id="184" w:name="_Toc184308105"/>
      <w:bookmarkEnd w:id="184"/>
      <w:bookmarkStart w:id="185" w:name="_Toc184312111"/>
      <w:bookmarkEnd w:id="185"/>
      <w:bookmarkStart w:id="186" w:name="_Toc184314417"/>
      <w:bookmarkEnd w:id="186"/>
      <w:bookmarkStart w:id="187" w:name="_Toc184308044"/>
      <w:bookmarkEnd w:id="187"/>
      <w:bookmarkStart w:id="188" w:name="_Toc184310316"/>
      <w:bookmarkEnd w:id="188"/>
      <w:bookmarkStart w:id="189" w:name="_Toc184310276"/>
      <w:bookmarkEnd w:id="189"/>
      <w:bookmarkStart w:id="190" w:name="_Toc184308038"/>
      <w:bookmarkEnd w:id="190"/>
      <w:bookmarkStart w:id="191" w:name="_Toc184310318"/>
      <w:bookmarkEnd w:id="191"/>
      <w:bookmarkStart w:id="192" w:name="_Toc184310274"/>
      <w:bookmarkEnd w:id="192"/>
      <w:bookmarkStart w:id="193" w:name="_Toc184312074"/>
      <w:bookmarkEnd w:id="193"/>
      <w:bookmarkStart w:id="194" w:name="_Toc184310279"/>
      <w:bookmarkEnd w:id="194"/>
      <w:bookmarkStart w:id="195" w:name="_Toc184310272"/>
      <w:bookmarkEnd w:id="195"/>
      <w:bookmarkStart w:id="196" w:name="_Toc184312076"/>
      <w:bookmarkEnd w:id="196"/>
      <w:bookmarkStart w:id="197" w:name="_Toc184310335"/>
      <w:bookmarkEnd w:id="197"/>
      <w:bookmarkStart w:id="198" w:name="_Toc184313244"/>
      <w:bookmarkEnd w:id="198"/>
      <w:bookmarkStart w:id="199" w:name="_Toc184313245"/>
      <w:bookmarkEnd w:id="199"/>
      <w:bookmarkStart w:id="200" w:name="_Toc184312077"/>
      <w:bookmarkEnd w:id="200"/>
      <w:bookmarkStart w:id="201" w:name="_Toc184314416"/>
      <w:bookmarkEnd w:id="201"/>
      <w:bookmarkStart w:id="202" w:name="_Toc184308041"/>
      <w:bookmarkEnd w:id="202"/>
      <w:bookmarkStart w:id="203" w:name="_Toc184313282"/>
      <w:bookmarkEnd w:id="203"/>
      <w:bookmarkStart w:id="204" w:name="_Toc184314415"/>
      <w:bookmarkEnd w:id="204"/>
      <w:bookmarkStart w:id="205" w:name="_Toc184308042"/>
      <w:bookmarkEnd w:id="205"/>
      <w:bookmarkStart w:id="206" w:name="_Toc184312072"/>
      <w:bookmarkEnd w:id="206"/>
      <w:bookmarkStart w:id="207" w:name="_Toc184310290"/>
      <w:bookmarkEnd w:id="207"/>
      <w:bookmarkStart w:id="208" w:name="_Toc184314474"/>
      <w:bookmarkEnd w:id="208"/>
      <w:bookmarkStart w:id="209" w:name="_Toc184313246"/>
      <w:bookmarkEnd w:id="209"/>
      <w:bookmarkStart w:id="210" w:name="_Toc184312073"/>
      <w:bookmarkEnd w:id="210"/>
      <w:bookmarkStart w:id="211" w:name="_Toc184314411"/>
      <w:bookmarkEnd w:id="211"/>
      <w:bookmarkStart w:id="212" w:name="_Toc184314418"/>
      <w:bookmarkEnd w:id="212"/>
      <w:bookmarkStart w:id="213" w:name="_Toc184310339"/>
      <w:bookmarkEnd w:id="213"/>
      <w:bookmarkStart w:id="214" w:name="_Toc184310294"/>
      <w:bookmarkEnd w:id="214"/>
      <w:bookmarkStart w:id="215" w:name="_Toc184310304"/>
      <w:bookmarkEnd w:id="215"/>
      <w:bookmarkStart w:id="216" w:name="_Toc184314424"/>
      <w:bookmarkEnd w:id="216"/>
      <w:bookmarkStart w:id="217" w:name="_Toc184313290"/>
      <w:bookmarkEnd w:id="217"/>
      <w:bookmarkStart w:id="218" w:name="_Toc184308068"/>
      <w:bookmarkEnd w:id="218"/>
      <w:bookmarkStart w:id="219" w:name="_Toc184313296"/>
      <w:bookmarkEnd w:id="219"/>
      <w:bookmarkStart w:id="220" w:name="_Toc184314481"/>
      <w:bookmarkEnd w:id="220"/>
      <w:bookmarkStart w:id="221" w:name="_Toc184308092"/>
      <w:bookmarkEnd w:id="221"/>
      <w:bookmarkStart w:id="222" w:name="_Toc184313288"/>
      <w:bookmarkEnd w:id="222"/>
      <w:bookmarkStart w:id="223" w:name="_Toc184308095"/>
      <w:bookmarkEnd w:id="223"/>
      <w:bookmarkStart w:id="224" w:name="_Toc184314457"/>
      <w:bookmarkEnd w:id="224"/>
      <w:bookmarkStart w:id="225" w:name="_Toc184308090"/>
      <w:bookmarkEnd w:id="225"/>
      <w:bookmarkStart w:id="226" w:name="_Toc184308076"/>
      <w:bookmarkEnd w:id="226"/>
      <w:bookmarkStart w:id="227" w:name="_Toc184312120"/>
      <w:bookmarkEnd w:id="227"/>
      <w:bookmarkStart w:id="228" w:name="_Toc184313294"/>
      <w:bookmarkEnd w:id="228"/>
      <w:bookmarkStart w:id="229" w:name="_Toc184314467"/>
      <w:bookmarkEnd w:id="229"/>
      <w:bookmarkStart w:id="230" w:name="_Toc184310331"/>
      <w:bookmarkEnd w:id="230"/>
      <w:bookmarkStart w:id="231" w:name="_Toc184308099"/>
      <w:bookmarkEnd w:id="231"/>
      <w:bookmarkStart w:id="232" w:name="_Toc184310338"/>
      <w:bookmarkEnd w:id="232"/>
      <w:bookmarkStart w:id="233" w:name="_Toc184310326"/>
      <w:bookmarkEnd w:id="233"/>
      <w:bookmarkStart w:id="234" w:name="_Toc184314452"/>
      <w:bookmarkEnd w:id="234"/>
      <w:bookmarkStart w:id="235" w:name="_Toc184308091"/>
      <w:bookmarkEnd w:id="235"/>
      <w:bookmarkStart w:id="236" w:name="_Toc184313286"/>
      <w:bookmarkEnd w:id="236"/>
      <w:bookmarkStart w:id="237" w:name="_Toc184310334"/>
      <w:bookmarkEnd w:id="237"/>
      <w:bookmarkStart w:id="238" w:name="_Toc184313297"/>
      <w:bookmarkEnd w:id="238"/>
      <w:bookmarkStart w:id="239" w:name="_Toc184310330"/>
      <w:bookmarkEnd w:id="239"/>
      <w:bookmarkStart w:id="240" w:name="_Toc184308094"/>
      <w:bookmarkEnd w:id="240"/>
      <w:bookmarkStart w:id="241" w:name="_Toc184308037"/>
      <w:bookmarkEnd w:id="241"/>
      <w:bookmarkStart w:id="242" w:name="_Toc184310329"/>
      <w:bookmarkEnd w:id="242"/>
      <w:bookmarkStart w:id="243" w:name="_Toc184312127"/>
      <w:bookmarkEnd w:id="243"/>
      <w:bookmarkStart w:id="244" w:name="_Toc184312133"/>
      <w:bookmarkEnd w:id="244"/>
      <w:bookmarkStart w:id="245" w:name="_Toc184310333"/>
      <w:bookmarkEnd w:id="245"/>
      <w:bookmarkStart w:id="246" w:name="_Toc184312121"/>
      <w:bookmarkEnd w:id="246"/>
      <w:bookmarkStart w:id="247" w:name="_Toc184312122"/>
      <w:bookmarkEnd w:id="247"/>
      <w:bookmarkStart w:id="248" w:name="_Toc184312128"/>
      <w:bookmarkEnd w:id="248"/>
      <w:bookmarkStart w:id="249" w:name="_Toc184308089"/>
      <w:bookmarkEnd w:id="249"/>
      <w:bookmarkStart w:id="250" w:name="_Toc184312109"/>
      <w:bookmarkEnd w:id="250"/>
      <w:bookmarkStart w:id="251" w:name="_Toc184314463"/>
      <w:bookmarkEnd w:id="251"/>
      <w:bookmarkStart w:id="252" w:name="_Toc184312114"/>
      <w:bookmarkEnd w:id="252"/>
      <w:bookmarkStart w:id="253" w:name="_Toc184312123"/>
      <w:bookmarkEnd w:id="253"/>
      <w:bookmarkStart w:id="254" w:name="_Toc184314461"/>
      <w:bookmarkEnd w:id="254"/>
      <w:bookmarkStart w:id="255" w:name="_Toc184313250"/>
      <w:bookmarkEnd w:id="255"/>
      <w:bookmarkStart w:id="256" w:name="_Toc184312071"/>
      <w:bookmarkEnd w:id="256"/>
      <w:bookmarkStart w:id="257" w:name="_Toc184308085"/>
      <w:bookmarkEnd w:id="257"/>
      <w:bookmarkStart w:id="258" w:name="_Toc184310313"/>
      <w:bookmarkEnd w:id="258"/>
      <w:bookmarkStart w:id="259" w:name="_Toc184310327"/>
      <w:bookmarkEnd w:id="259"/>
      <w:bookmarkStart w:id="260" w:name="_Toc184308087"/>
      <w:bookmarkEnd w:id="260"/>
      <w:bookmarkStart w:id="261" w:name="_Toc184314479"/>
      <w:bookmarkEnd w:id="261"/>
      <w:bookmarkStart w:id="262" w:name="_Toc184308063"/>
      <w:bookmarkEnd w:id="262"/>
      <w:bookmarkStart w:id="263" w:name="_Toc184313241"/>
      <w:bookmarkEnd w:id="263"/>
      <w:bookmarkStart w:id="264" w:name="_Toc184314423"/>
      <w:bookmarkEnd w:id="264"/>
      <w:bookmarkStart w:id="265" w:name="_Toc184314462"/>
      <w:bookmarkEnd w:id="265"/>
      <w:bookmarkStart w:id="266" w:name="_Toc184313298"/>
      <w:bookmarkEnd w:id="266"/>
      <w:bookmarkStart w:id="267" w:name="_Toc184310325"/>
      <w:bookmarkEnd w:id="267"/>
      <w:bookmarkStart w:id="268" w:name="_Toc184314422"/>
      <w:bookmarkEnd w:id="268"/>
      <w:bookmarkStart w:id="269" w:name="_Toc184313248"/>
      <w:bookmarkEnd w:id="269"/>
      <w:bookmarkStart w:id="270" w:name="_Toc184310286"/>
      <w:bookmarkEnd w:id="270"/>
      <w:bookmarkStart w:id="271" w:name="_Toc184314464"/>
      <w:bookmarkEnd w:id="271"/>
      <w:bookmarkStart w:id="272" w:name="_Toc184312137"/>
      <w:bookmarkEnd w:id="272"/>
      <w:bookmarkStart w:id="273" w:name="_Toc184314466"/>
      <w:bookmarkEnd w:id="273"/>
      <w:bookmarkStart w:id="274" w:name="_Toc184312105"/>
      <w:bookmarkEnd w:id="274"/>
      <w:bookmarkStart w:id="275" w:name="_Toc184314476"/>
      <w:bookmarkEnd w:id="275"/>
      <w:bookmarkStart w:id="276" w:name="_Toc184313301"/>
      <w:bookmarkEnd w:id="276"/>
      <w:bookmarkStart w:id="277" w:name="_Toc184308093"/>
      <w:bookmarkEnd w:id="277"/>
      <w:bookmarkStart w:id="278" w:name="_Toc184308077"/>
      <w:bookmarkEnd w:id="278"/>
      <w:bookmarkStart w:id="279" w:name="_Toc184314451"/>
      <w:bookmarkEnd w:id="279"/>
      <w:bookmarkStart w:id="280" w:name="_Toc184312107"/>
      <w:bookmarkEnd w:id="280"/>
      <w:bookmarkStart w:id="281" w:name="_Toc184312093"/>
      <w:bookmarkEnd w:id="281"/>
      <w:bookmarkStart w:id="282" w:name="_Toc184308088"/>
      <w:bookmarkEnd w:id="282"/>
      <w:bookmarkStart w:id="283" w:name="_Toc184314480"/>
      <w:bookmarkEnd w:id="283"/>
      <w:bookmarkStart w:id="284" w:name="_Toc184310309"/>
      <w:bookmarkEnd w:id="284"/>
      <w:bookmarkStart w:id="285" w:name="_Toc184312080"/>
      <w:bookmarkEnd w:id="285"/>
      <w:bookmarkStart w:id="286" w:name="_Toc184313242"/>
      <w:bookmarkEnd w:id="286"/>
      <w:bookmarkStart w:id="287" w:name="_Toc184313302"/>
      <w:bookmarkEnd w:id="287"/>
      <w:bookmarkStart w:id="288" w:name="_Toc184313274"/>
      <w:bookmarkEnd w:id="288"/>
      <w:bookmarkStart w:id="289" w:name="_Toc184314456"/>
      <w:bookmarkEnd w:id="289"/>
      <w:bookmarkStart w:id="290" w:name="_Toc184312126"/>
      <w:bookmarkEnd w:id="290"/>
      <w:bookmarkStart w:id="291" w:name="_Toc184312136"/>
      <w:bookmarkEnd w:id="291"/>
      <w:bookmarkStart w:id="292" w:name="_Toc184310324"/>
      <w:bookmarkEnd w:id="292"/>
      <w:bookmarkStart w:id="293" w:name="_Toc184313289"/>
      <w:bookmarkEnd w:id="293"/>
      <w:bookmarkStart w:id="294" w:name="_Toc184310319"/>
      <w:bookmarkEnd w:id="294"/>
      <w:bookmarkStart w:id="295" w:name="_Toc184310323"/>
      <w:bookmarkEnd w:id="295"/>
      <w:bookmarkStart w:id="296" w:name="_Toc184310328"/>
      <w:bookmarkEnd w:id="296"/>
      <w:bookmarkStart w:id="297" w:name="_Toc184314419"/>
      <w:bookmarkEnd w:id="297"/>
      <w:bookmarkStart w:id="298" w:name="_Toc184314465"/>
      <w:bookmarkEnd w:id="298"/>
      <w:bookmarkStart w:id="299" w:name="_Toc184312119"/>
      <w:bookmarkEnd w:id="299"/>
      <w:bookmarkStart w:id="300" w:name="_Toc184310307"/>
      <w:bookmarkEnd w:id="300"/>
      <w:bookmarkStart w:id="301" w:name="_Toc184313310"/>
      <w:bookmarkEnd w:id="301"/>
      <w:bookmarkStart w:id="302" w:name="_Toc184314436"/>
      <w:bookmarkEnd w:id="302"/>
      <w:bookmarkStart w:id="303" w:name="_Toc184312118"/>
      <w:bookmarkEnd w:id="303"/>
      <w:bookmarkStart w:id="304" w:name="_Toc184312108"/>
      <w:bookmarkEnd w:id="304"/>
      <w:bookmarkStart w:id="305" w:name="_Toc184308107"/>
      <w:bookmarkEnd w:id="305"/>
      <w:bookmarkStart w:id="306" w:name="_Toc184308102"/>
      <w:bookmarkEnd w:id="306"/>
      <w:bookmarkStart w:id="307" w:name="_Toc184308072"/>
      <w:bookmarkEnd w:id="307"/>
      <w:bookmarkStart w:id="308" w:name="_Toc184308051"/>
      <w:bookmarkEnd w:id="308"/>
      <w:bookmarkStart w:id="309" w:name="_Toc184312124"/>
      <w:bookmarkEnd w:id="309"/>
      <w:bookmarkStart w:id="310" w:name="_Toc184312113"/>
      <w:bookmarkEnd w:id="310"/>
      <w:bookmarkStart w:id="311" w:name="_Toc184314421"/>
      <w:bookmarkEnd w:id="311"/>
      <w:bookmarkStart w:id="312" w:name="_Toc184312138"/>
      <w:bookmarkEnd w:id="312"/>
      <w:bookmarkStart w:id="313" w:name="_Toc184313293"/>
      <w:bookmarkEnd w:id="313"/>
      <w:bookmarkStart w:id="314" w:name="_Toc184314460"/>
      <w:bookmarkEnd w:id="314"/>
      <w:bookmarkStart w:id="315" w:name="_Toc184313252"/>
      <w:bookmarkEnd w:id="315"/>
      <w:bookmarkStart w:id="316" w:name="_Toc184314482"/>
      <w:bookmarkEnd w:id="316"/>
      <w:bookmarkStart w:id="317" w:name="_Toc184314420"/>
      <w:bookmarkEnd w:id="317"/>
      <w:bookmarkStart w:id="318" w:name="_Toc184308084"/>
      <w:bookmarkEnd w:id="318"/>
      <w:bookmarkStart w:id="319" w:name="_Toc184314453"/>
      <w:bookmarkEnd w:id="319"/>
      <w:bookmarkStart w:id="320" w:name="_Toc184310285"/>
      <w:bookmarkEnd w:id="320"/>
      <w:bookmarkStart w:id="321" w:name="_Toc184314444"/>
      <w:bookmarkEnd w:id="321"/>
      <w:bookmarkStart w:id="322" w:name="_Toc184313238"/>
      <w:bookmarkEnd w:id="322"/>
      <w:bookmarkStart w:id="323" w:name="_Toc184312096"/>
      <w:bookmarkEnd w:id="323"/>
      <w:bookmarkStart w:id="324" w:name="_Toc184313247"/>
      <w:bookmarkEnd w:id="324"/>
      <w:bookmarkStart w:id="325" w:name="_Toc184310283"/>
      <w:bookmarkEnd w:id="325"/>
      <w:bookmarkStart w:id="326" w:name="_Toc184314445"/>
      <w:bookmarkEnd w:id="326"/>
      <w:bookmarkStart w:id="327" w:name="_Toc184312079"/>
      <w:bookmarkEnd w:id="327"/>
      <w:bookmarkStart w:id="328" w:name="_Toc184313308"/>
      <w:bookmarkEnd w:id="328"/>
      <w:bookmarkStart w:id="329" w:name="_Toc184310306"/>
      <w:bookmarkEnd w:id="329"/>
      <w:bookmarkStart w:id="330" w:name="_Toc184314441"/>
      <w:bookmarkEnd w:id="330"/>
      <w:bookmarkStart w:id="331" w:name="_Toc184313249"/>
      <w:bookmarkEnd w:id="331"/>
      <w:bookmarkStart w:id="332" w:name="_Toc184313279"/>
      <w:bookmarkEnd w:id="332"/>
      <w:bookmarkStart w:id="333" w:name="_Toc184310337"/>
      <w:bookmarkEnd w:id="333"/>
      <w:bookmarkStart w:id="334" w:name="_Toc184314410"/>
      <w:bookmarkEnd w:id="334"/>
      <w:bookmarkStart w:id="335" w:name="_Toc184310284"/>
      <w:bookmarkEnd w:id="335"/>
      <w:bookmarkStart w:id="336" w:name="_Toc184312131"/>
      <w:bookmarkEnd w:id="336"/>
      <w:bookmarkStart w:id="337" w:name="_Toc184308100"/>
      <w:bookmarkEnd w:id="337"/>
      <w:bookmarkStart w:id="338" w:name="_Toc184308108"/>
      <w:bookmarkEnd w:id="338"/>
      <w:bookmarkStart w:id="339" w:name="_Toc184314442"/>
      <w:bookmarkEnd w:id="339"/>
      <w:bookmarkStart w:id="340" w:name="_Toc184312104"/>
      <w:bookmarkEnd w:id="340"/>
      <w:bookmarkStart w:id="341" w:name="_Toc184312102"/>
      <w:bookmarkEnd w:id="341"/>
      <w:bookmarkStart w:id="342" w:name="_Toc184312099"/>
      <w:bookmarkEnd w:id="342"/>
      <w:bookmarkStart w:id="343" w:name="_Toc184308079"/>
      <w:bookmarkEnd w:id="343"/>
      <w:bookmarkStart w:id="344" w:name="_Toc184308086"/>
      <w:bookmarkEnd w:id="344"/>
      <w:bookmarkStart w:id="345" w:name="_Toc184312139"/>
      <w:bookmarkEnd w:id="345"/>
      <w:bookmarkStart w:id="346" w:name="_Toc184313295"/>
      <w:bookmarkEnd w:id="346"/>
      <w:bookmarkStart w:id="347" w:name="_Toc184313239"/>
      <w:bookmarkEnd w:id="347"/>
      <w:bookmarkStart w:id="348" w:name="_Toc184313255"/>
      <w:bookmarkEnd w:id="348"/>
      <w:bookmarkStart w:id="349" w:name="_Toc184313270"/>
      <w:bookmarkEnd w:id="349"/>
      <w:bookmarkStart w:id="350" w:name="_Toc184310293"/>
      <w:bookmarkEnd w:id="350"/>
      <w:bookmarkStart w:id="351" w:name="_Toc184310303"/>
      <w:bookmarkEnd w:id="351"/>
      <w:bookmarkStart w:id="352" w:name="_Toc184313283"/>
      <w:bookmarkEnd w:id="352"/>
      <w:bookmarkStart w:id="353" w:name="_Toc184314440"/>
      <w:bookmarkEnd w:id="353"/>
      <w:bookmarkStart w:id="354" w:name="_Toc184310311"/>
      <w:bookmarkEnd w:id="354"/>
      <w:bookmarkStart w:id="355" w:name="_Toc184312101"/>
      <w:bookmarkEnd w:id="355"/>
      <w:bookmarkStart w:id="356" w:name="_Toc184310305"/>
      <w:bookmarkEnd w:id="356"/>
      <w:bookmarkStart w:id="357" w:name="_Toc184310300"/>
      <w:bookmarkEnd w:id="357"/>
      <w:bookmarkStart w:id="358" w:name="_Toc184308069"/>
      <w:bookmarkEnd w:id="358"/>
      <w:bookmarkStart w:id="359" w:name="_Toc184310308"/>
      <w:bookmarkEnd w:id="359"/>
      <w:bookmarkStart w:id="360" w:name="_Toc184308070"/>
      <w:bookmarkEnd w:id="360"/>
      <w:bookmarkStart w:id="361" w:name="_Toc184310343"/>
      <w:bookmarkEnd w:id="361"/>
      <w:bookmarkStart w:id="362" w:name="_Toc184313240"/>
      <w:bookmarkEnd w:id="362"/>
      <w:bookmarkStart w:id="363" w:name="_Toc184313268"/>
      <w:bookmarkEnd w:id="363"/>
      <w:bookmarkStart w:id="364" w:name="_Toc184313264"/>
      <w:bookmarkEnd w:id="364"/>
      <w:bookmarkStart w:id="365" w:name="_Toc184312078"/>
      <w:bookmarkEnd w:id="365"/>
      <w:bookmarkStart w:id="366" w:name="_Toc184313281"/>
      <w:bookmarkEnd w:id="366"/>
      <w:bookmarkStart w:id="367" w:name="_Toc184308082"/>
      <w:bookmarkEnd w:id="367"/>
      <w:bookmarkStart w:id="368" w:name="_Toc184313272"/>
      <w:bookmarkEnd w:id="368"/>
      <w:bookmarkStart w:id="369" w:name="_Toc184308071"/>
      <w:bookmarkEnd w:id="369"/>
      <w:bookmarkStart w:id="370" w:name="_Toc184310310"/>
      <w:bookmarkEnd w:id="370"/>
      <w:bookmarkStart w:id="371" w:name="_Toc184308083"/>
      <w:bookmarkEnd w:id="371"/>
      <w:bookmarkStart w:id="372" w:name="_Toc184313258"/>
      <w:bookmarkEnd w:id="372"/>
      <w:bookmarkStart w:id="373" w:name="_Toc184314439"/>
      <w:bookmarkEnd w:id="373"/>
      <w:bookmarkStart w:id="374" w:name="_Toc184313291"/>
      <w:bookmarkEnd w:id="374"/>
      <w:bookmarkStart w:id="375" w:name="_Toc184308078"/>
      <w:bookmarkEnd w:id="375"/>
      <w:bookmarkStart w:id="376" w:name="_Toc184313269"/>
      <w:bookmarkEnd w:id="376"/>
      <w:bookmarkStart w:id="377" w:name="_Toc184308048"/>
      <w:bookmarkEnd w:id="377"/>
      <w:bookmarkStart w:id="378" w:name="_Toc184313271"/>
      <w:bookmarkEnd w:id="378"/>
      <w:bookmarkStart w:id="379" w:name="_Toc184312081"/>
      <w:bookmarkEnd w:id="379"/>
      <w:bookmarkStart w:id="380" w:name="_Toc184313259"/>
      <w:bookmarkEnd w:id="380"/>
      <w:bookmarkStart w:id="381" w:name="_Toc184313257"/>
      <w:bookmarkEnd w:id="381"/>
      <w:bookmarkStart w:id="382" w:name="_Toc184313267"/>
      <w:bookmarkEnd w:id="382"/>
      <w:bookmarkStart w:id="383" w:name="_Toc184310291"/>
      <w:bookmarkEnd w:id="383"/>
      <w:bookmarkStart w:id="384" w:name="_Toc184308047"/>
      <w:bookmarkEnd w:id="384"/>
      <w:bookmarkStart w:id="385" w:name="_Toc184308065"/>
      <w:bookmarkEnd w:id="385"/>
      <w:bookmarkStart w:id="386" w:name="_Toc184312084"/>
      <w:bookmarkEnd w:id="386"/>
      <w:bookmarkStart w:id="387" w:name="_Toc184310302"/>
      <w:bookmarkEnd w:id="387"/>
      <w:bookmarkStart w:id="388" w:name="_Toc184308057"/>
      <w:bookmarkEnd w:id="388"/>
      <w:bookmarkStart w:id="389" w:name="_Toc184314473"/>
      <w:bookmarkEnd w:id="389"/>
      <w:bookmarkStart w:id="390" w:name="_Toc184314447"/>
      <w:bookmarkEnd w:id="390"/>
      <w:bookmarkStart w:id="391" w:name="_Toc184308074"/>
      <w:bookmarkEnd w:id="391"/>
      <w:bookmarkStart w:id="392" w:name="_Toc184308052"/>
      <w:bookmarkEnd w:id="392"/>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ind w:firstLine="241" w:firstLineChars="100"/>
        <w:rPr>
          <w:rFonts w:hint="eastAsia"/>
        </w:rPr>
      </w:pPr>
      <w:r>
        <w:rPr>
          <w:rFonts w:hint="eastAsia" w:ascii="仿宋" w:hAnsi="仿宋" w:eastAsia="仿宋" w:cs="仿宋"/>
          <w:b/>
          <w:bCs/>
          <w:sz w:val="24"/>
          <w:szCs w:val="24"/>
          <w:lang w:eastAsia="zh-CN"/>
        </w:rPr>
        <w:t>价格分（共</w:t>
      </w:r>
      <w:r>
        <w:rPr>
          <w:rFonts w:hint="eastAsia" w:ascii="仿宋" w:hAnsi="仿宋" w:eastAsia="仿宋" w:cs="仿宋"/>
          <w:b/>
          <w:bCs/>
          <w:sz w:val="24"/>
          <w:szCs w:val="24"/>
          <w:lang w:val="en-US" w:eastAsia="zh-CN"/>
        </w:rPr>
        <w:t>40分</w:t>
      </w:r>
      <w:r>
        <w:rPr>
          <w:rFonts w:hint="eastAsia" w:ascii="仿宋" w:hAnsi="仿宋" w:eastAsia="仿宋" w:cs="仿宋"/>
          <w:b/>
          <w:bCs/>
          <w:sz w:val="24"/>
          <w:szCs w:val="24"/>
          <w:lang w:eastAsia="zh-CN"/>
        </w:rPr>
        <w:t>）</w:t>
      </w:r>
    </w:p>
    <w:tbl>
      <w:tblPr>
        <w:tblStyle w:val="62"/>
        <w:tblW w:w="7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5"/>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7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line="240" w:lineRule="auto"/>
              <w:ind w:left="0" w:right="0"/>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有效投标报价的最低价作为评标基准价，其最低报价为满分；按［投标报价得分=（评标基准价/投标报价）*</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0］的计算公式计算。</w:t>
            </w:r>
          </w:p>
          <w:p>
            <w:pPr>
              <w:spacing w:before="0" w:beforeAutospacing="0" w:after="0" w:afterAutospacing="0" w:line="240" w:lineRule="auto"/>
              <w:ind w:left="0" w:right="0"/>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评标过程中，不得去掉报价中的最高报价和最低报价。</w:t>
            </w:r>
          </w:p>
          <w:p>
            <w:pPr>
              <w:widowControl/>
              <w:shd w:val="clear" w:color="auto" w:fill="FFFFFF"/>
              <w:adjustRightInd/>
              <w:spacing w:before="0" w:beforeAutospacing="0" w:after="225" w:afterAutospacing="0" w:line="240" w:lineRule="auto"/>
              <w:ind w:left="0" w:right="0" w:firstLine="420" w:firstLineChars="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因落实政府采购政策需要进行价格调整的，以调整后的价格计算评标基准价和投标报价。</w:t>
            </w:r>
          </w:p>
        </w:tc>
        <w:tc>
          <w:tcPr>
            <w:tcW w:w="113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240" w:lineRule="auto"/>
              <w:ind w:left="0" w:right="0" w:firstLine="120" w:firstLineChars="50"/>
              <w:outlineLvl w:val="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eastAsia="zh-CN"/>
              </w:rPr>
              <w:t>分</w:t>
            </w:r>
          </w:p>
        </w:tc>
      </w:tr>
    </w:tbl>
    <w:p>
      <w:pPr>
        <w:pStyle w:val="2"/>
        <w:ind w:left="0" w:leftChars="0"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技术、商务分（共</w:t>
      </w:r>
      <w:r>
        <w:rPr>
          <w:rFonts w:hint="eastAsia" w:ascii="仿宋" w:hAnsi="仿宋" w:eastAsia="仿宋" w:cs="仿宋"/>
          <w:b/>
          <w:color w:val="auto"/>
          <w:sz w:val="24"/>
          <w:highlight w:val="none"/>
          <w:lang w:val="en-US" w:eastAsia="zh-CN"/>
        </w:rPr>
        <w:t>6</w:t>
      </w: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分）</w:t>
      </w:r>
    </w:p>
    <w:p>
      <w:pPr>
        <w:adjustRightInd w:val="0"/>
        <w:snapToGrid w:val="0"/>
        <w:spacing w:line="400" w:lineRule="atLeast"/>
        <w:ind w:firstLine="482" w:firstLineChars="200"/>
        <w:rPr>
          <w:rFonts w:hint="eastAsia" w:ascii="仿宋" w:hAnsi="仿宋" w:eastAsia="仿宋" w:cs="仿宋"/>
          <w:b/>
          <w:sz w:val="24"/>
          <w:szCs w:val="24"/>
        </w:rPr>
      </w:pPr>
      <w:r>
        <w:rPr>
          <w:rFonts w:hint="eastAsia" w:ascii="仿宋" w:hAnsi="仿宋" w:eastAsia="仿宋" w:cs="仿宋"/>
          <w:b/>
          <w:sz w:val="24"/>
          <w:szCs w:val="24"/>
        </w:rPr>
        <w:t>技术分（5</w:t>
      </w:r>
      <w:r>
        <w:rPr>
          <w:rFonts w:hint="eastAsia" w:ascii="仿宋" w:hAnsi="仿宋" w:eastAsia="仿宋" w:cs="仿宋"/>
          <w:b/>
          <w:sz w:val="24"/>
          <w:szCs w:val="24"/>
          <w:lang w:val="en-US" w:eastAsia="zh-CN"/>
        </w:rPr>
        <w:t>4</w:t>
      </w:r>
      <w:r>
        <w:rPr>
          <w:rFonts w:hint="eastAsia" w:ascii="仿宋" w:hAnsi="仿宋" w:eastAsia="仿宋" w:cs="仿宋"/>
          <w:b/>
          <w:sz w:val="24"/>
          <w:szCs w:val="24"/>
        </w:rPr>
        <w:t>分）：</w:t>
      </w:r>
    </w:p>
    <w:tbl>
      <w:tblPr>
        <w:tblStyle w:val="62"/>
        <w:tblW w:w="8915" w:type="dxa"/>
        <w:tblInd w:w="-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0"/>
        <w:gridCol w:w="6420"/>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400" w:lineRule="atLeast"/>
              <w:ind w:left="0" w:right="0" w:firstLine="0" w:firstLineChars="0"/>
              <w:rPr>
                <w:rFonts w:hint="eastAsia" w:ascii="仿宋" w:hAnsi="仿宋" w:eastAsia="仿宋" w:cs="仿宋"/>
                <w:b/>
                <w:sz w:val="24"/>
                <w:szCs w:val="24"/>
              </w:rPr>
            </w:pPr>
            <w:bookmarkStart w:id="393" w:name="scoringRules2_1" w:colFirst="0" w:colLast="2"/>
            <w:r>
              <w:rPr>
                <w:rFonts w:hint="eastAsia" w:ascii="仿宋" w:hAnsi="仿宋" w:eastAsia="仿宋" w:cs="仿宋"/>
                <w:b/>
                <w:sz w:val="24"/>
                <w:szCs w:val="24"/>
              </w:rPr>
              <w:t>评分细则</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400" w:lineRule="atLeast"/>
              <w:ind w:left="0" w:right="0" w:firstLine="0" w:firstLineChars="0"/>
              <w:rPr>
                <w:rFonts w:hint="eastAsia" w:ascii="仿宋" w:hAnsi="仿宋" w:eastAsia="仿宋" w:cs="仿宋"/>
                <w:b/>
                <w:sz w:val="24"/>
                <w:szCs w:val="24"/>
              </w:rPr>
            </w:pPr>
            <w:r>
              <w:rPr>
                <w:rFonts w:hint="eastAsia" w:ascii="仿宋" w:hAnsi="仿宋" w:eastAsia="仿宋" w:cs="仿宋"/>
                <w:b/>
                <w:sz w:val="24"/>
                <w:szCs w:val="24"/>
              </w:rPr>
              <w:t>评分标准</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400" w:lineRule="atLeast"/>
              <w:ind w:left="0" w:right="0" w:firstLine="0" w:firstLineChars="0"/>
              <w:rPr>
                <w:rFonts w:hint="eastAsia" w:ascii="仿宋" w:hAnsi="仿宋" w:eastAsia="仿宋" w:cs="仿宋"/>
                <w:b/>
                <w:sz w:val="24"/>
                <w:szCs w:val="24"/>
              </w:rPr>
            </w:pPr>
            <w:r>
              <w:rPr>
                <w:rFonts w:hint="eastAsia" w:ascii="仿宋" w:hAnsi="仿宋" w:eastAsia="仿宋" w:cs="仿宋"/>
                <w:b/>
                <w:sz w:val="24"/>
                <w:szCs w:val="24"/>
                <w:lang w:eastAsia="zh-CN"/>
              </w:rPr>
              <w:t>分</w:t>
            </w:r>
            <w:r>
              <w:rPr>
                <w:rFonts w:hint="eastAsia" w:ascii="仿宋" w:hAnsi="仿宋" w:eastAsia="仿宋" w:cs="仿宋"/>
                <w:b/>
                <w:sz w:val="24"/>
                <w:szCs w:val="24"/>
              </w:rPr>
              <w:t>值(分)</w:t>
            </w:r>
          </w:p>
        </w:tc>
      </w:tr>
      <w:bookmarkEnd w:id="39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1、所投产品具体配置、技术参数及偏离情况</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所有指标均满足采购文件技术参数等要求的，得基本分</w:t>
            </w:r>
            <w:r>
              <w:rPr>
                <w:rFonts w:hint="eastAsia" w:ascii="仿宋" w:hAnsi="仿宋" w:eastAsia="仿宋" w:cs="仿宋"/>
                <w:sz w:val="24"/>
                <w:szCs w:val="24"/>
                <w:lang w:val="en-US" w:eastAsia="zh-CN"/>
              </w:rPr>
              <w:t>34</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带“</w:t>
            </w:r>
            <w:r>
              <w:rPr>
                <w:rFonts w:hint="eastAsia" w:ascii="宋体" w:hAnsi="宋体" w:cs="宋体"/>
                <w:color w:val="auto"/>
                <w:sz w:val="24"/>
                <w:szCs w:val="24"/>
                <w:highlight w:val="none"/>
                <w:lang w:eastAsia="zh-CN"/>
              </w:rPr>
              <w:t>◆</w:t>
            </w:r>
            <w:r>
              <w:rPr>
                <w:rFonts w:hint="eastAsia" w:ascii="仿宋" w:hAnsi="仿宋" w:eastAsia="仿宋" w:cs="仿宋"/>
                <w:sz w:val="24"/>
                <w:szCs w:val="24"/>
              </w:rPr>
              <w:t>”号指标如有一项及以上不满足的，本项不得分；其它指标负偏离或未响应的，每项扣5分，扣完为止。</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4</w:t>
            </w:r>
            <w:r>
              <w:rPr>
                <w:rFonts w:hint="eastAsia" w:ascii="仿宋" w:hAnsi="仿宋" w:eastAsia="仿宋" w:cs="仿宋"/>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2、外观设计及材质比较</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投标人所投产品外观设计、外部接口布置、材质。提供所投产品实物图片或者设计图片复印件（标明材质）。外观设计美观，外部接口布置合理、材质厚实得3分；外观设计欠佳，外部接口布置不合理、材质轻薄的每项扣1分，扣完该项得分为止。</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3、实施计划方案（一）</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总体施工部署合理可行性;工期供货措施;施工时间进度表;运输计划的安排；现场安装管理计划的合理性、全面性、可执行性；试运行方案合理可行性。满足一项得0.5分，最高得3分。</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4、实施计划方案（二）</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保证项目实施的技术力量和人力资源。提供项目实施阶段项目组主要成员的履历、证书复印件及社保缴纳证明复印件。</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5、实施计划方案（三）</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产品安装标准的方案；验收标准、验收方案；交货验收时所配文件的详细清单等方案。满足一项得1分，最高得3分。</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6、售后服务方案（一）</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在满足招标文件要求的基础上，技术支持、售后服务响应时间；出现质量问题的处理，日常检测及保养，故障处理效率，应急维修承诺等的具体方案；培训方案科学可行性。满足一项得1分，最高得3分。</w:t>
            </w:r>
          </w:p>
          <w:p>
            <w:pPr>
              <w:pStyle w:val="85"/>
              <w:spacing w:before="0" w:beforeAutospacing="0" w:after="0" w:afterAutospacing="0" w:line="276" w:lineRule="auto"/>
              <w:ind w:left="0" w:right="0" w:firstLine="0" w:firstLineChars="0"/>
              <w:rPr>
                <w:rFonts w:hint="eastAsia" w:ascii="仿宋" w:hAnsi="仿宋" w:eastAsia="仿宋" w:cs="仿宋"/>
                <w:sz w:val="24"/>
                <w:szCs w:val="24"/>
              </w:rPr>
            </w:pP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7、售后服务方案（二）</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服务能力及其组织情况：投标人日常维护力量设置情况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r>
              <w:rPr>
                <w:rFonts w:hint="eastAsia" w:ascii="仿宋" w:hAnsi="仿宋" w:eastAsia="仿宋" w:cs="仿宋"/>
                <w:sz w:val="24"/>
                <w:szCs w:val="24"/>
              </w:rPr>
              <w:t>，投标人和主要设备厂商维护能力等情况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r>
              <w:rPr>
                <w:rFonts w:hint="eastAsia" w:ascii="仿宋" w:hAnsi="仿宋" w:eastAsia="仿宋" w:cs="仿宋"/>
                <w:sz w:val="24"/>
                <w:szCs w:val="24"/>
              </w:rPr>
              <w:t>。</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8、售后服务方案（三）</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0" w:beforeAutospacing="0" w:after="0" w:afterAutospacing="0" w:line="276" w:lineRule="auto"/>
              <w:ind w:left="0" w:right="0"/>
              <w:jc w:val="left"/>
              <w:rPr>
                <w:rFonts w:hint="eastAsia" w:ascii="仿宋" w:hAnsi="仿宋" w:eastAsia="仿宋" w:cs="仿宋"/>
                <w:sz w:val="24"/>
                <w:szCs w:val="24"/>
              </w:rPr>
            </w:pPr>
            <w:r>
              <w:rPr>
                <w:rFonts w:hint="eastAsia" w:ascii="仿宋" w:hAnsi="仿宋" w:eastAsia="仿宋" w:cs="仿宋"/>
                <w:sz w:val="24"/>
                <w:szCs w:val="24"/>
              </w:rPr>
              <w:t>（1）备品备件：根据投标单位提供的备品备件（写明存放地点、数量、单位，不允许出现报价，否则视为投标无效）清单评分。（1分）</w:t>
            </w:r>
          </w:p>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在满足招标文件的要求下，每延长1年质保期，加1分，最多加2分。（2分）</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3.0</w:t>
            </w:r>
          </w:p>
        </w:tc>
      </w:tr>
    </w:tbl>
    <w:p>
      <w:pPr>
        <w:pStyle w:val="85"/>
        <w:spacing w:before="0" w:line="276" w:lineRule="auto"/>
        <w:ind w:firstLine="420" w:firstLineChars="0"/>
        <w:rPr>
          <w:rFonts w:hint="eastAsia" w:ascii="仿宋" w:hAnsi="仿宋" w:eastAsia="仿宋" w:cs="仿宋"/>
          <w:b/>
          <w:sz w:val="24"/>
          <w:szCs w:val="24"/>
        </w:rPr>
      </w:pPr>
      <w:r>
        <w:rPr>
          <w:rFonts w:hint="eastAsia" w:ascii="仿宋" w:hAnsi="仿宋" w:eastAsia="仿宋" w:cs="仿宋"/>
          <w:b/>
          <w:sz w:val="24"/>
          <w:szCs w:val="24"/>
        </w:rPr>
        <w:t>商务分（</w:t>
      </w:r>
      <w:r>
        <w:rPr>
          <w:rFonts w:hint="eastAsia" w:ascii="仿宋" w:hAnsi="仿宋" w:eastAsia="仿宋" w:cs="仿宋"/>
          <w:b/>
          <w:sz w:val="24"/>
          <w:szCs w:val="24"/>
          <w:lang w:val="en-US" w:eastAsia="zh-CN"/>
        </w:rPr>
        <w:t>6</w:t>
      </w:r>
      <w:r>
        <w:rPr>
          <w:rFonts w:hint="eastAsia" w:ascii="仿宋" w:hAnsi="仿宋" w:eastAsia="仿宋" w:cs="仿宋"/>
          <w:b/>
          <w:sz w:val="24"/>
          <w:szCs w:val="24"/>
        </w:rPr>
        <w:t>分）：</w:t>
      </w:r>
    </w:p>
    <w:tbl>
      <w:tblPr>
        <w:tblStyle w:val="62"/>
        <w:tblW w:w="8900" w:type="dxa"/>
        <w:tblInd w:w="-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6390"/>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b/>
                <w:sz w:val="24"/>
                <w:szCs w:val="24"/>
              </w:rPr>
            </w:pPr>
            <w:bookmarkStart w:id="394" w:name="scoringRules1_1" w:colFirst="0" w:colLast="2"/>
            <w:r>
              <w:rPr>
                <w:rFonts w:hint="eastAsia" w:ascii="仿宋" w:hAnsi="仿宋" w:eastAsia="仿宋" w:cs="仿宋"/>
                <w:b/>
                <w:sz w:val="24"/>
                <w:szCs w:val="24"/>
              </w:rPr>
              <w:t>评分细则</w:t>
            </w:r>
          </w:p>
        </w:tc>
        <w:tc>
          <w:tcPr>
            <w:tcW w:w="639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b/>
                <w:sz w:val="24"/>
                <w:szCs w:val="24"/>
              </w:rPr>
            </w:pPr>
            <w:r>
              <w:rPr>
                <w:rFonts w:hint="eastAsia" w:ascii="仿宋" w:hAnsi="仿宋" w:eastAsia="仿宋" w:cs="仿宋"/>
                <w:b/>
                <w:sz w:val="24"/>
                <w:szCs w:val="24"/>
              </w:rPr>
              <w:t>评分细则内容</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b/>
                <w:sz w:val="24"/>
                <w:szCs w:val="24"/>
              </w:rPr>
            </w:pPr>
            <w:r>
              <w:rPr>
                <w:rFonts w:hint="eastAsia" w:ascii="仿宋" w:hAnsi="仿宋" w:eastAsia="仿宋" w:cs="仿宋"/>
                <w:b/>
                <w:sz w:val="24"/>
                <w:szCs w:val="24"/>
              </w:rPr>
              <w:t>分值(分)</w:t>
            </w:r>
          </w:p>
        </w:tc>
      </w:tr>
      <w:bookmarkEnd w:id="39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1、投标人拥有证书</w:t>
            </w:r>
          </w:p>
        </w:tc>
        <w:tc>
          <w:tcPr>
            <w:tcW w:w="6390" w:type="dxa"/>
            <w:tcBorders>
              <w:top w:val="single" w:color="000000" w:sz="4" w:space="0"/>
              <w:left w:val="single" w:color="000000" w:sz="4" w:space="0"/>
              <w:bottom w:val="single" w:color="000000" w:sz="4" w:space="0"/>
              <w:right w:val="single" w:color="000000" w:sz="4" w:space="0"/>
            </w:tcBorders>
            <w:noWrap w:val="0"/>
            <w:vAlign w:val="top"/>
          </w:tcPr>
          <w:p>
            <w:pPr>
              <w:spacing w:before="0" w:beforeAutospacing="0" w:after="0" w:afterAutospacing="0" w:line="276" w:lineRule="auto"/>
              <w:ind w:left="0" w:right="0"/>
              <w:rPr>
                <w:rFonts w:hint="eastAsia" w:ascii="仿宋" w:hAnsi="仿宋" w:eastAsia="仿宋" w:cs="仿宋"/>
                <w:sz w:val="24"/>
                <w:szCs w:val="24"/>
              </w:rPr>
            </w:pPr>
            <w:r>
              <w:rPr>
                <w:rFonts w:hint="eastAsia" w:ascii="仿宋" w:hAnsi="仿宋" w:eastAsia="仿宋" w:cs="仿宋"/>
                <w:bCs/>
                <w:sz w:val="24"/>
                <w:szCs w:val="24"/>
              </w:rPr>
              <w:t>投标人具有ISO9001质量管理体系认证证书、ISO14001环境管理体系认证证书，在有效期内的每提供1个得1分。须提供证书复印件。</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bCs/>
                <w:sz w:val="24"/>
                <w:szCs w:val="24"/>
              </w:rPr>
            </w:pPr>
            <w:r>
              <w:rPr>
                <w:rFonts w:hint="eastAsia" w:ascii="仿宋" w:hAnsi="仿宋" w:eastAsia="仿宋" w:cs="仿宋"/>
                <w:bCs/>
                <w:sz w:val="24"/>
                <w:szCs w:val="24"/>
              </w:rPr>
              <w:t>2、类似项目业绩</w:t>
            </w:r>
          </w:p>
        </w:tc>
        <w:tc>
          <w:tcPr>
            <w:tcW w:w="6390"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bCs/>
                <w:sz w:val="24"/>
                <w:szCs w:val="24"/>
              </w:rPr>
            </w:pPr>
            <w:r>
              <w:rPr>
                <w:rFonts w:hint="eastAsia" w:ascii="仿宋" w:hAnsi="仿宋" w:eastAsia="仿宋" w:cs="仿宋"/>
                <w:bCs/>
                <w:sz w:val="24"/>
                <w:szCs w:val="24"/>
              </w:rPr>
              <w:t>201</w:t>
            </w:r>
            <w:r>
              <w:rPr>
                <w:rFonts w:hint="eastAsia" w:ascii="仿宋" w:hAnsi="仿宋" w:eastAsia="仿宋" w:cs="仿宋"/>
                <w:bCs/>
                <w:sz w:val="24"/>
                <w:szCs w:val="24"/>
                <w:lang w:val="en-US" w:eastAsia="zh-CN"/>
              </w:rPr>
              <w:t>9</w:t>
            </w:r>
            <w:r>
              <w:rPr>
                <w:rFonts w:hint="eastAsia" w:ascii="仿宋" w:hAnsi="仿宋" w:eastAsia="仿宋" w:cs="仿宋"/>
                <w:bCs/>
                <w:sz w:val="24"/>
                <w:szCs w:val="24"/>
              </w:rPr>
              <w:t>年1月1日以来（以合同签订时间为准），投标人承担的类似项目业绩（合同内容须包含计算机，且占合同总金额50%以上），须提供合同复印件、合格验收报告复印件。投标文件中提供复印件，每提供1个得1分，最高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tc>
        <w:tc>
          <w:tcPr>
            <w:tcW w:w="815" w:type="dxa"/>
            <w:tcBorders>
              <w:top w:val="single" w:color="000000" w:sz="4" w:space="0"/>
              <w:left w:val="single" w:color="000000" w:sz="4" w:space="0"/>
              <w:bottom w:val="single" w:color="000000" w:sz="4" w:space="0"/>
              <w:right w:val="single" w:color="000000" w:sz="4" w:space="0"/>
            </w:tcBorders>
            <w:noWrap w:val="0"/>
            <w:vAlign w:val="top"/>
          </w:tcPr>
          <w:p>
            <w:pPr>
              <w:pStyle w:val="85"/>
              <w:spacing w:before="0" w:beforeAutospacing="0" w:after="0" w:afterAutospacing="0" w:line="276" w:lineRule="auto"/>
              <w:ind w:left="0" w:right="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.0</w:t>
            </w:r>
          </w:p>
        </w:tc>
      </w:tr>
    </w:tbl>
    <w:p>
      <w:pPr>
        <w:pStyle w:val="85"/>
        <w:spacing w:before="0" w:line="440" w:lineRule="exact"/>
        <w:ind w:firstLine="0" w:firstLineChars="0"/>
        <w:rPr>
          <w:rFonts w:hint="eastAsia" w:ascii="仿宋" w:hAnsi="仿宋" w:eastAsia="仿宋" w:cs="仿宋"/>
          <w:b/>
          <w:kern w:val="0"/>
          <w:sz w:val="24"/>
          <w:szCs w:val="24"/>
        </w:rPr>
      </w:pPr>
      <w:r>
        <w:rPr>
          <w:rFonts w:hint="eastAsia" w:ascii="仿宋" w:hAnsi="仿宋" w:eastAsia="仿宋" w:cs="仿宋"/>
          <w:b/>
          <w:bCs/>
          <w:sz w:val="24"/>
          <w:szCs w:val="24"/>
        </w:rPr>
        <w:t xml:space="preserve">  以上方案、证书、荣誉、业绩等资料须按要求在投标文件中提供证明内容。</w:t>
      </w:r>
    </w:p>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7"/>
    <w:p>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rFonts w:hint="eastAsia"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仿宋" w:hAnsi="仿宋" w:eastAsia="仿宋"/>
          <w:b/>
          <w:sz w:val="24"/>
        </w:rPr>
      </w:pPr>
      <w:r>
        <w:rPr>
          <w:rFonts w:hint="eastAsia" w:ascii="楷体" w:hAnsi="楷体" w:eastAsia="楷体"/>
          <w:sz w:val="24"/>
        </w:rPr>
        <w:t>合同编号：</w:t>
      </w:r>
      <w:r>
        <w:rPr>
          <w:rFonts w:ascii="楷体" w:hAnsi="楷体" w:eastAsia="楷体"/>
          <w:sz w:val="24"/>
          <w:u w:val="single"/>
        </w:rPr>
        <w:t xml:space="preserve">           </w:t>
      </w:r>
    </w:p>
    <w:p>
      <w:pPr>
        <w:pStyle w:val="32"/>
        <w:snapToGrid w:val="0"/>
        <w:spacing w:line="400" w:lineRule="atLeast"/>
        <w:jc w:val="righ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甲方：（买方）</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乙方：（卖方）</w:t>
      </w:r>
    </w:p>
    <w:p>
      <w:pPr>
        <w:keepNext w:val="0"/>
        <w:keepLines w:val="0"/>
        <w:widowControl w:val="0"/>
        <w:numPr>
          <w:ilvl w:val="0"/>
          <w:numId w:val="1"/>
        </w:numPr>
        <w:suppressLineNumbers w:val="0"/>
        <w:adjustRightInd w:val="0"/>
        <w:spacing w:before="0" w:beforeAutospacing="0" w:after="0" w:afterAutospacing="0" w:line="560" w:lineRule="exact"/>
        <w:ind w:left="841" w:leftChars="0" w:right="0" w:firstLine="0" w:firstLineChars="0"/>
        <w:jc w:val="both"/>
        <w:outlineLvl w:val="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乙双方根据</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项目（项目编号：HZ</w:t>
      </w:r>
      <w:r>
        <w:rPr>
          <w:rFonts w:hint="eastAsia" w:ascii="仿宋" w:hAnsi="仿宋" w:eastAsia="仿宋" w:cs="仿宋"/>
          <w:color w:val="000000"/>
          <w:sz w:val="24"/>
          <w:szCs w:val="24"/>
          <w:highlight w:val="none"/>
          <w:lang w:val="en-US" w:eastAsia="zh-CN"/>
        </w:rPr>
        <w:t>LP</w:t>
      </w:r>
      <w:r>
        <w:rPr>
          <w:rFonts w:hint="eastAsia" w:ascii="仿宋" w:hAnsi="仿宋" w:eastAsia="仿宋" w:cs="仿宋"/>
          <w:color w:val="000000"/>
          <w:sz w:val="24"/>
          <w:szCs w:val="24"/>
          <w:highlight w:val="none"/>
        </w:rPr>
        <w:t>ZFCG-20</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）公开招标的结果，签署</w:t>
      </w:r>
      <w:r>
        <w:rPr>
          <w:rFonts w:hint="eastAsia" w:ascii="仿宋" w:hAnsi="仿宋" w:eastAsia="仿宋" w:cs="仿宋"/>
          <w:color w:val="000000"/>
          <w:sz w:val="24"/>
          <w:szCs w:val="24"/>
          <w:highlight w:val="none"/>
          <w:lang w:val="en-US" w:eastAsia="zh-CN"/>
        </w:rPr>
        <w:t>本合同。</w:t>
      </w:r>
    </w:p>
    <w:p>
      <w:pPr>
        <w:keepNext w:val="0"/>
        <w:keepLines w:val="0"/>
        <w:widowControl w:val="0"/>
        <w:numPr>
          <w:ilvl w:val="0"/>
          <w:numId w:val="0"/>
        </w:numPr>
        <w:suppressLineNumbers w:val="0"/>
        <w:adjustRightInd w:val="0"/>
        <w:spacing w:before="0" w:beforeAutospacing="0" w:after="0" w:afterAutospacing="0" w:line="560" w:lineRule="exact"/>
        <w:ind w:right="0" w:rightChars="0" w:firstLine="482" w:firstLineChars="200"/>
        <w:jc w:val="both"/>
        <w:outlineLvl w:val="0"/>
        <w:rPr>
          <w:rFonts w:hint="eastAsia" w:ascii="仿宋" w:hAnsi="仿宋" w:eastAsia="仿宋" w:cs="仿宋"/>
          <w:b/>
          <w:bCs w:val="0"/>
          <w:sz w:val="24"/>
          <w:szCs w:val="24"/>
          <w:highlight w:val="none"/>
          <w:lang w:val="en-US"/>
        </w:rPr>
      </w:pPr>
      <w:r>
        <w:rPr>
          <w:rFonts w:hint="eastAsia" w:ascii="仿宋" w:hAnsi="仿宋" w:eastAsia="仿宋" w:cs="仿宋"/>
          <w:b/>
          <w:bCs w:val="0"/>
          <w:kern w:val="2"/>
          <w:sz w:val="24"/>
          <w:szCs w:val="24"/>
          <w:highlight w:val="none"/>
          <w:lang w:val="en-US" w:eastAsia="zh-CN" w:bidi="ar-SA"/>
        </w:rPr>
        <w:t>1、货物</w:t>
      </w:r>
    </w:p>
    <w:p>
      <w:pPr>
        <w:keepNext w:val="0"/>
        <w:keepLines w:val="0"/>
        <w:widowControl w:val="0"/>
        <w:suppressLineNumbers w:val="0"/>
        <w:adjustRightInd w:val="0"/>
        <w:spacing w:before="0" w:beforeAutospacing="0" w:after="0" w:afterAutospacing="0" w:line="560" w:lineRule="exact"/>
        <w:ind w:left="0" w:right="0" w:firstLine="480" w:firstLineChars="200"/>
        <w:jc w:val="both"/>
        <w:rPr>
          <w:rFonts w:hint="eastAsia" w:ascii="仿宋" w:hAnsi="仿宋" w:eastAsia="仿宋" w:cs="仿宋"/>
          <w:sz w:val="24"/>
          <w:szCs w:val="24"/>
          <w:highlight w:val="none"/>
          <w:u w:val="single"/>
          <w:lang w:val="en-US"/>
        </w:rPr>
      </w:pPr>
      <w:r>
        <w:rPr>
          <w:rFonts w:hint="eastAsia" w:ascii="仿宋" w:hAnsi="仿宋" w:eastAsia="仿宋" w:cs="仿宋"/>
          <w:kern w:val="2"/>
          <w:sz w:val="24"/>
          <w:szCs w:val="24"/>
          <w:highlight w:val="none"/>
          <w:lang w:val="en-US" w:eastAsia="zh-CN" w:bidi="ar-SA"/>
        </w:rPr>
        <w:t>1.1 货物名称：；</w:t>
      </w:r>
    </w:p>
    <w:p>
      <w:pPr>
        <w:keepNext w:val="0"/>
        <w:keepLines w:val="0"/>
        <w:widowControl w:val="0"/>
        <w:suppressLineNumbers w:val="0"/>
        <w:adjustRightInd w:val="0"/>
        <w:spacing w:before="0" w:beforeAutospacing="0" w:after="0" w:afterAutospacing="0" w:line="560" w:lineRule="exact"/>
        <w:ind w:left="0" w:right="0" w:firstLine="480" w:firstLineChars="200"/>
        <w:jc w:val="both"/>
        <w:rPr>
          <w:rFonts w:hint="eastAsia" w:ascii="仿宋" w:hAnsi="仿宋" w:eastAsia="仿宋" w:cs="仿宋"/>
          <w:sz w:val="24"/>
          <w:szCs w:val="24"/>
          <w:highlight w:val="none"/>
          <w:u w:val="single"/>
          <w:lang w:val="en-US"/>
        </w:rPr>
      </w:pPr>
      <w:r>
        <w:rPr>
          <w:rFonts w:hint="eastAsia" w:ascii="仿宋" w:hAnsi="仿宋" w:eastAsia="仿宋" w:cs="仿宋"/>
          <w:kern w:val="2"/>
          <w:sz w:val="24"/>
          <w:szCs w:val="24"/>
          <w:highlight w:val="none"/>
          <w:lang w:val="en-US" w:eastAsia="zh-CN" w:bidi="ar-SA"/>
        </w:rPr>
        <w:t>1.2 货物数量：；</w:t>
      </w:r>
    </w:p>
    <w:p>
      <w:pPr>
        <w:keepNext w:val="0"/>
        <w:keepLines w:val="0"/>
        <w:widowControl w:val="0"/>
        <w:suppressLineNumbers w:val="0"/>
        <w:adjustRightInd w:val="0"/>
        <w:spacing w:before="0" w:beforeAutospacing="0" w:after="0" w:afterAutospacing="0" w:line="560" w:lineRule="exact"/>
        <w:ind w:left="0" w:right="0" w:firstLine="480" w:firstLineChars="200"/>
        <w:jc w:val="both"/>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SA"/>
        </w:rPr>
        <w:t>1.3 货物质量：</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w:t>
      </w:r>
    </w:p>
    <w:p>
      <w:pPr>
        <w:pStyle w:val="57"/>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Ansi="宋体" w:cs="宋体"/>
          <w:b/>
          <w:sz w:val="24"/>
          <w:szCs w:val="24"/>
          <w:highlight w:val="none"/>
          <w:lang w:val="en-US"/>
        </w:rPr>
      </w:pPr>
    </w:p>
    <w:p>
      <w:pPr>
        <w:pStyle w:val="57"/>
        <w:keepNext w:val="0"/>
        <w:keepLines w:val="0"/>
        <w:widowControl w:val="0"/>
        <w:suppressLineNumbers w:val="0"/>
        <w:adjustRightInd w:val="0"/>
        <w:snapToGrid w:val="0"/>
        <w:spacing w:before="0" w:beforeAutospacing="0" w:after="0" w:afterAutospacing="0" w:line="360" w:lineRule="auto"/>
        <w:ind w:right="0" w:firstLine="482" w:firstLineChars="200"/>
        <w:jc w:val="both"/>
        <w:rPr>
          <w:rFonts w:hAnsi="宋体" w:cs="宋体"/>
          <w:b/>
          <w:sz w:val="24"/>
          <w:szCs w:val="24"/>
          <w:highlight w:val="none"/>
          <w:lang w:val="en-US"/>
        </w:rPr>
      </w:pPr>
      <w:r>
        <w:rPr>
          <w:rFonts w:hint="eastAsia" w:ascii="仿宋" w:hAnsi="仿宋" w:eastAsia="仿宋" w:cs="仿宋"/>
          <w:b/>
          <w:bCs w:val="0"/>
          <w:kern w:val="2"/>
          <w:sz w:val="24"/>
          <w:szCs w:val="21"/>
          <w:highlight w:val="none"/>
          <w:lang w:val="en-US" w:eastAsia="zh-CN" w:bidi="ar-SA"/>
        </w:rPr>
        <w:t>2、价款</w:t>
      </w:r>
    </w:p>
    <w:p>
      <w:pPr>
        <w:keepNext w:val="0"/>
        <w:keepLines w:val="0"/>
        <w:widowControl w:val="0"/>
        <w:suppressLineNumbers w:val="0"/>
        <w:adjustRightInd w:val="0"/>
        <w:spacing w:before="0" w:beforeAutospacing="0" w:after="0" w:afterAutospacing="0" w:line="560" w:lineRule="exact"/>
        <w:ind w:left="0" w:right="0" w:firstLine="480" w:firstLineChars="200"/>
        <w:jc w:val="both"/>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SA"/>
        </w:rPr>
        <w:t>本合同总价为：￥元（大写：元人民币）。</w:t>
      </w:r>
    </w:p>
    <w:p>
      <w:pPr>
        <w:keepNext w:val="0"/>
        <w:keepLines w:val="0"/>
        <w:widowControl w:val="0"/>
        <w:suppressLineNumbers w:val="0"/>
        <w:adjustRightInd w:val="0"/>
        <w:spacing w:before="0" w:beforeAutospacing="0" w:after="0" w:afterAutospacing="0" w:line="560" w:lineRule="exact"/>
        <w:ind w:left="0" w:right="0" w:firstLine="480" w:firstLineChars="200"/>
        <w:jc w:val="both"/>
        <w:rPr>
          <w:rFonts w:hint="eastAsia" w:ascii="仿宋" w:hAnsi="仿宋" w:eastAsia="仿宋" w:cs="仿宋"/>
          <w:sz w:val="24"/>
          <w:szCs w:val="24"/>
          <w:highlight w:val="none"/>
          <w:u w:val="single"/>
          <w:lang w:val="en-US"/>
        </w:rPr>
      </w:pPr>
      <w:r>
        <w:rPr>
          <w:rFonts w:hint="eastAsia" w:ascii="仿宋" w:hAnsi="仿宋" w:eastAsia="仿宋" w:cs="仿宋"/>
          <w:kern w:val="2"/>
          <w:sz w:val="24"/>
          <w:szCs w:val="24"/>
          <w:highlight w:val="none"/>
          <w:lang w:val="en-US" w:eastAsia="zh-CN" w:bidi="ar-SA"/>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40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jc w:val="center"/>
              <w:rPr>
                <w:rFonts w:hint="eastAsia" w:ascii="仿宋" w:hAnsi="仿宋" w:eastAsia="仿宋" w:cs="仿宋"/>
                <w:kern w:val="2"/>
                <w:sz w:val="24"/>
                <w:szCs w:val="24"/>
                <w:highlight w:val="none"/>
                <w:lang w:val="en-US"/>
              </w:rPr>
            </w:pPr>
            <w:r>
              <w:rPr>
                <w:rFonts w:hint="eastAsia" w:ascii="仿宋" w:hAnsi="仿宋" w:eastAsia="仿宋" w:cs="仿宋"/>
                <w:kern w:val="2"/>
                <w:sz w:val="24"/>
                <w:szCs w:val="24"/>
                <w:highlight w:val="none"/>
              </w:rPr>
              <w:t>序号</w:t>
            </w:r>
          </w:p>
        </w:tc>
        <w:tc>
          <w:tcPr>
            <w:tcW w:w="3403"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r>
              <w:rPr>
                <w:rFonts w:hint="eastAsia" w:ascii="仿宋" w:hAnsi="仿宋" w:eastAsia="仿宋" w:cs="仿宋"/>
                <w:kern w:val="2"/>
                <w:sz w:val="24"/>
                <w:szCs w:val="24"/>
                <w:highlight w:val="none"/>
              </w:rPr>
              <w:t>分项名称</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jc w:val="center"/>
              <w:rPr>
                <w:rFonts w:hint="eastAsia" w:ascii="仿宋" w:hAnsi="仿宋" w:eastAsia="仿宋" w:cs="仿宋"/>
                <w:kern w:val="2"/>
                <w:sz w:val="24"/>
                <w:szCs w:val="24"/>
                <w:highlight w:val="none"/>
                <w:lang w:val="en-US"/>
              </w:rPr>
            </w:pPr>
            <w:r>
              <w:rPr>
                <w:rFonts w:hint="eastAsia" w:ascii="仿宋" w:hAnsi="仿宋" w:eastAsia="仿宋" w:cs="仿宋"/>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c>
          <w:tcPr>
            <w:tcW w:w="3403"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c>
          <w:tcPr>
            <w:tcW w:w="3403"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c>
          <w:tcPr>
            <w:tcW w:w="3403"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c>
          <w:tcPr>
            <w:tcW w:w="3403"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r>
              <w:rPr>
                <w:rFonts w:hint="eastAsia" w:ascii="仿宋" w:hAnsi="仿宋" w:eastAsia="仿宋" w:cs="仿宋"/>
                <w:kern w:val="2"/>
                <w:sz w:val="24"/>
                <w:szCs w:val="24"/>
                <w:highlight w:val="none"/>
              </w:rPr>
              <w:t>总价</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pStyle w:val="105"/>
              <w:widowControl/>
              <w:spacing w:before="0" w:beforeAutospacing="0" w:after="0" w:afterAutospacing="0" w:line="560" w:lineRule="exact"/>
              <w:ind w:left="0" w:right="0" w:firstLine="200"/>
              <w:jc w:val="center"/>
              <w:rPr>
                <w:rFonts w:hint="eastAsia" w:ascii="仿宋" w:hAnsi="仿宋" w:eastAsia="仿宋" w:cs="仿宋"/>
                <w:kern w:val="2"/>
                <w:sz w:val="24"/>
                <w:szCs w:val="24"/>
                <w:highlight w:val="none"/>
                <w:lang w:val="en-US"/>
              </w:rPr>
            </w:pPr>
          </w:p>
        </w:tc>
      </w:tr>
    </w:tbl>
    <w:p>
      <w:pPr>
        <w:pStyle w:val="32"/>
        <w:snapToGrid w:val="0"/>
        <w:spacing w:line="400" w:lineRule="atLeast"/>
        <w:rPr>
          <w:rFonts w:hint="eastAsia" w:ascii="仿宋" w:hAnsi="仿宋" w:eastAsia="仿宋" w:cs="仿宋"/>
          <w:color w:val="000000"/>
          <w:sz w:val="24"/>
          <w:szCs w:val="24"/>
          <w:highlight w:val="none"/>
        </w:rPr>
      </w:pP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kern w:val="0"/>
          <w:sz w:val="24"/>
          <w:szCs w:val="20"/>
          <w:lang w:val="en-US"/>
        </w:rPr>
      </w:pPr>
    </w:p>
    <w:p>
      <w:pPr>
        <w:pStyle w:val="57"/>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SA"/>
        </w:rPr>
        <w:t>3.技术资料</w:t>
      </w:r>
    </w:p>
    <w:p>
      <w:pPr>
        <w:pStyle w:val="57"/>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Times New Roman"/>
          <w:kern w:val="0"/>
          <w:sz w:val="24"/>
          <w:szCs w:val="20"/>
          <w:lang w:val="en-US"/>
        </w:rPr>
      </w:pPr>
      <w:r>
        <w:rPr>
          <w:rFonts w:hint="eastAsia" w:ascii="仿宋" w:hAnsi="仿宋" w:eastAsia="仿宋" w:cs="Times New Roman"/>
          <w:kern w:val="0"/>
          <w:sz w:val="24"/>
          <w:szCs w:val="20"/>
          <w:lang w:val="en-US" w:eastAsia="zh-CN" w:bidi="ar-SA"/>
        </w:rPr>
        <w:t xml:space="preserve">    3.1乙方应按招标文件规定的时间向甲方提供使用货物的有关技术资料。</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0"/>
          <w:lang w:val="en-US"/>
        </w:rPr>
      </w:pPr>
      <w:r>
        <w:rPr>
          <w:rFonts w:hint="eastAsia" w:ascii="仿宋" w:hAnsi="仿宋" w:eastAsia="仿宋" w:cs="仿宋"/>
          <w:kern w:val="0"/>
          <w:sz w:val="24"/>
          <w:szCs w:val="20"/>
          <w:lang w:val="en-US" w:eastAsia="zh-CN" w:bidi="ar-SA"/>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kern w:val="2"/>
          <w:sz w:val="24"/>
          <w:szCs w:val="20"/>
          <w:lang w:val="en-US" w:eastAsia="zh-CN" w:bidi="ar-SA"/>
        </w:rPr>
        <w:t>。</w:t>
      </w:r>
    </w:p>
    <w:p>
      <w:pPr>
        <w:keepNext w:val="0"/>
        <w:keepLines w:val="0"/>
        <w:widowControl w:val="0"/>
        <w:suppressLineNumbers w:val="0"/>
        <w:adjustRightInd w:val="0"/>
        <w:snapToGrid w:val="0"/>
        <w:spacing w:before="0" w:beforeAutospacing="0" w:after="0" w:afterAutospacing="0" w:line="360" w:lineRule="auto"/>
        <w:ind w:left="0" w:right="0" w:firstLine="354" w:firstLineChars="147"/>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SA"/>
        </w:rPr>
        <w:t xml:space="preserve"> 4.权利担保</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0"/>
          <w:lang w:val="en-US"/>
        </w:rPr>
      </w:pPr>
      <w:r>
        <w:rPr>
          <w:rFonts w:hint="eastAsia" w:ascii="仿宋" w:hAnsi="仿宋" w:eastAsia="仿宋" w:cs="仿宋"/>
          <w:kern w:val="2"/>
          <w:sz w:val="24"/>
          <w:szCs w:val="20"/>
          <w:lang w:val="en-US" w:eastAsia="zh-CN" w:bidi="ar-SA"/>
        </w:rPr>
        <w:t>4.1乙方应保证所提供的货物或其任何一部分均不会侵犯任何第三方的知识产权。</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0"/>
          <w:lang w:val="en-US"/>
        </w:rPr>
      </w:pPr>
      <w:r>
        <w:rPr>
          <w:rFonts w:hint="eastAsia" w:ascii="仿宋" w:hAnsi="仿宋" w:eastAsia="仿宋" w:cs="仿宋"/>
          <w:kern w:val="2"/>
          <w:sz w:val="24"/>
          <w:szCs w:val="20"/>
          <w:lang w:val="en-US" w:eastAsia="zh-CN" w:bidi="ar-SA"/>
        </w:rPr>
        <w:t>4.2乙方保证所交付的货物的所有权完全属于乙方且无任何抵押、查封等产权瑕疵。</w:t>
      </w:r>
    </w:p>
    <w:p>
      <w:pPr>
        <w:keepNext w:val="0"/>
        <w:keepLines w:val="0"/>
        <w:widowControl w:val="0"/>
        <w:suppressLineNumbers w:val="0"/>
        <w:adjustRightInd w:val="0"/>
        <w:snapToGrid w:val="0"/>
        <w:spacing w:before="0" w:beforeAutospacing="0" w:after="0" w:afterAutospacing="0" w:line="360" w:lineRule="auto"/>
        <w:ind w:left="0" w:right="0" w:firstLine="354" w:firstLineChars="147"/>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SA"/>
        </w:rPr>
        <w:t xml:space="preserve"> 5.履约保证金</w:t>
      </w:r>
    </w:p>
    <w:p>
      <w:pPr>
        <w:pStyle w:val="617"/>
        <w:widowControl/>
        <w:spacing w:before="0" w:beforeAutospacing="0" w:after="0" w:afterAutospacing="0" w:line="360" w:lineRule="auto"/>
        <w:ind w:left="0" w:right="0" w:firstLine="420"/>
        <w:rPr>
          <w:rFonts w:hint="eastAsia" w:ascii="仿宋" w:hAnsi="仿宋" w:eastAsia="仿宋" w:cs="仿宋"/>
          <w:lang w:val="en-US"/>
        </w:rPr>
      </w:pPr>
      <w:r>
        <w:rPr>
          <w:rFonts w:hint="eastAsia" w:ascii="仿宋" w:hAnsi="仿宋" w:eastAsia="仿宋" w:cs="仿宋"/>
          <w:lang w:val="en-US"/>
        </w:rPr>
        <w:t xml:space="preserve"> 5.1 </w:t>
      </w:r>
      <w:r>
        <w:rPr>
          <w:rFonts w:hint="eastAsia" w:ascii="仿宋" w:hAnsi="仿宋" w:eastAsia="仿宋" w:cs="仿宋"/>
          <w:lang w:eastAsia="zh-CN"/>
        </w:rPr>
        <w:t>采购文件要求乙方提交履约保证金的，乙方应按的方式，以支票、汇票、本票或者金融机构、担保机构出具的保函等非现金形式，提交不超过合同金额</w:t>
      </w:r>
      <w:r>
        <w:rPr>
          <w:rFonts w:hint="eastAsia" w:ascii="仿宋" w:hAnsi="仿宋" w:eastAsia="仿宋" w:cs="仿宋"/>
          <w:lang w:val="en-US"/>
        </w:rPr>
        <w:t>2.5%</w:t>
      </w:r>
      <w:r>
        <w:rPr>
          <w:rFonts w:hint="eastAsia" w:ascii="仿宋" w:hAnsi="仿宋" w:eastAsia="仿宋" w:cs="仿宋"/>
          <w:lang w:eastAsia="zh-CN"/>
        </w:rPr>
        <w:t>的履约保证金；鼓励和支持乙方以银行、保险公司出具的保函形式提供履约保证。</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5.2  履约保证金在期间内不予退还。乙方在前述约定期间届满前能履行完合同约定义务事项的，甲方在前述约定期间届满之日起</w:t>
      </w:r>
      <w:r>
        <w:rPr>
          <w:rFonts w:hint="eastAsia" w:ascii="仿宋" w:hAnsi="仿宋" w:eastAsia="仿宋" w:cs="仿宋"/>
          <w:kern w:val="2"/>
          <w:sz w:val="24"/>
          <w:szCs w:val="24"/>
          <w:u w:val="single"/>
          <w:lang w:val="en-US" w:eastAsia="zh-CN" w:bidi="ar-SA"/>
        </w:rPr>
        <w:t>5</w:t>
      </w:r>
      <w:r>
        <w:rPr>
          <w:rFonts w:hint="eastAsia" w:ascii="仿宋" w:hAnsi="仿宋" w:eastAsia="仿宋" w:cs="仿宋"/>
          <w:kern w:val="2"/>
          <w:sz w:val="24"/>
          <w:szCs w:val="24"/>
          <w:lang w:val="en-US" w:eastAsia="zh-CN" w:bidi="ar-SA"/>
        </w:rPr>
        <w:t>个工作日内，以方式将履约保证金退还乙方，逾期退还的，乙方可要求甲方支付违约金，违约金按每迟延退还一日的应退还而未退还金额的</w:t>
      </w:r>
      <w:r>
        <w:rPr>
          <w:rFonts w:hint="eastAsia" w:ascii="仿宋" w:hAnsi="仿宋" w:eastAsia="仿宋" w:cs="仿宋"/>
          <w:kern w:val="2"/>
          <w:sz w:val="24"/>
          <w:szCs w:val="24"/>
          <w:u w:val="single"/>
          <w:lang w:val="en-US" w:eastAsia="zh-CN" w:bidi="ar-SA"/>
        </w:rPr>
        <w:t>0.05</w:t>
      </w:r>
      <w:r>
        <w:rPr>
          <w:rFonts w:hint="eastAsia" w:ascii="仿宋" w:hAnsi="仿宋" w:eastAsia="仿宋" w:cs="仿宋"/>
          <w:kern w:val="2"/>
          <w:sz w:val="24"/>
          <w:szCs w:val="24"/>
          <w:lang w:val="en-US" w:eastAsia="zh-CN" w:bidi="ar-SA"/>
        </w:rPr>
        <w:t>%计算，最高限额为本合同履约保证金的</w:t>
      </w:r>
      <w:r>
        <w:rPr>
          <w:rFonts w:hint="eastAsia" w:ascii="仿宋" w:hAnsi="仿宋" w:eastAsia="仿宋" w:cs="仿宋"/>
          <w:kern w:val="2"/>
          <w:sz w:val="24"/>
          <w:szCs w:val="24"/>
          <w:u w:val="single"/>
          <w:lang w:val="en-US" w:eastAsia="zh-CN" w:bidi="ar-SA"/>
        </w:rPr>
        <w:t>20</w:t>
      </w:r>
      <w:r>
        <w:rPr>
          <w:rFonts w:hint="eastAsia" w:ascii="仿宋" w:hAnsi="仿宋" w:eastAsia="仿宋" w:cs="仿宋"/>
          <w:kern w:val="2"/>
          <w:sz w:val="24"/>
          <w:szCs w:val="24"/>
          <w:lang w:val="en-US" w:eastAsia="zh-CN" w:bidi="ar-SA"/>
        </w:rPr>
        <w:t xml:space="preserve">%； </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keepNext w:val="0"/>
        <w:keepLines w:val="0"/>
        <w:widowControl w:val="0"/>
        <w:suppressLineNumbers w:val="0"/>
        <w:adjustRightInd w:val="0"/>
        <w:spacing w:before="0" w:beforeAutospacing="0" w:after="0" w:afterAutospacing="0" w:line="360" w:lineRule="auto"/>
        <w:ind w:left="0" w:right="0" w:firstLine="480" w:firstLineChars="200"/>
        <w:jc w:val="both"/>
      </w:pPr>
      <w:r>
        <w:rPr>
          <w:rFonts w:hint="eastAsia" w:ascii="仿宋" w:hAnsi="仿宋" w:eastAsia="仿宋" w:cs="仿宋"/>
          <w:kern w:val="2"/>
          <w:sz w:val="24"/>
          <w:szCs w:val="24"/>
          <w:lang w:val="en-US" w:eastAsia="zh-CN" w:bidi="ar-SA"/>
        </w:rPr>
        <w:t>5.5甲方在乙方履行完合同约定义务事项后及时退还，延迟退还的，应当按照合同约定和法律规定承担相应的赔偿责任。</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5.6对于因甲方原因导致变更、中止或者终止政府采购合同的，甲方应当依照合同约定对供应商受到的损失予以赔偿或者补偿。</w:t>
      </w:r>
    </w:p>
    <w:p>
      <w:pPr>
        <w:keepNext w:val="0"/>
        <w:keepLines w:val="0"/>
        <w:widowControl w:val="0"/>
        <w:suppressLineNumbers w:val="0"/>
        <w:adjustRightInd w:val="0"/>
        <w:snapToGrid w:val="0"/>
        <w:spacing w:before="0" w:beforeAutospacing="0" w:after="0" w:afterAutospacing="0" w:line="360" w:lineRule="auto"/>
        <w:ind w:left="0" w:right="0" w:firstLine="354" w:firstLineChars="147"/>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SA"/>
        </w:rPr>
        <w:t>6.转包或分包</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6.1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6.2乙方采取分包方式履行合同的，甲方可直接向分包供应商支付款项。</w:t>
      </w:r>
    </w:p>
    <w:p>
      <w:pPr>
        <w:keepNext w:val="0"/>
        <w:keepLines w:val="0"/>
        <w:widowControl w:val="0"/>
        <w:suppressLineNumbers w:val="0"/>
        <w:adjustRightInd w:val="0"/>
        <w:snapToGrid w:val="0"/>
        <w:spacing w:before="0" w:beforeAutospacing="0" w:after="0" w:afterAutospacing="0" w:line="360" w:lineRule="auto"/>
        <w:ind w:left="0" w:right="0" w:firstLine="354" w:firstLineChars="147"/>
        <w:jc w:val="both"/>
        <w:rPr>
          <w:rFonts w:hint="eastAsia" w:ascii="仿宋" w:hAnsi="仿宋" w:eastAsia="仿宋" w:cs="仿宋"/>
          <w:bCs/>
          <w:sz w:val="24"/>
          <w:szCs w:val="24"/>
          <w:lang w:val="en-US"/>
        </w:rPr>
      </w:pPr>
      <w:r>
        <w:rPr>
          <w:rFonts w:hint="eastAsia" w:ascii="仿宋" w:hAnsi="仿宋" w:eastAsia="仿宋" w:cs="仿宋"/>
          <w:b/>
          <w:bCs w:val="0"/>
          <w:kern w:val="2"/>
          <w:sz w:val="24"/>
          <w:szCs w:val="24"/>
          <w:lang w:val="en-US" w:eastAsia="zh-CN" w:bidi="ar-SA"/>
        </w:rPr>
        <w:t>7.质保期</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质保期：产品验收合格使用之日起，质保期5年（具体再参照乙方按投标文件承诺确定），质保期内的维修费用（包括材料）全部由乙方负责。超过质保期的，维修时只收部件成本费。</w:t>
      </w:r>
    </w:p>
    <w:p>
      <w:pPr>
        <w:keepNext w:val="0"/>
        <w:keepLines w:val="0"/>
        <w:widowControl w:val="0"/>
        <w:suppressLineNumbers w:val="0"/>
        <w:adjustRightInd w:val="0"/>
        <w:snapToGrid w:val="0"/>
        <w:spacing w:before="0" w:beforeAutospacing="0" w:after="0" w:afterAutospacing="0" w:line="360" w:lineRule="auto"/>
        <w:ind w:left="0" w:right="0" w:firstLine="354" w:firstLineChars="147"/>
        <w:jc w:val="both"/>
        <w:rPr>
          <w:rFonts w:hint="eastAsia" w:ascii="仿宋" w:hAnsi="仿宋" w:eastAsia="仿宋" w:cs="仿宋"/>
          <w:b/>
          <w:bCs w:val="0"/>
          <w:sz w:val="24"/>
          <w:szCs w:val="24"/>
          <w:lang w:val="en-US"/>
        </w:rPr>
      </w:pPr>
      <w:r>
        <w:rPr>
          <w:rFonts w:hint="eastAsia" w:ascii="仿宋" w:hAnsi="仿宋" w:eastAsia="仿宋" w:cs="仿宋"/>
          <w:b/>
          <w:bCs w:val="0"/>
          <w:sz w:val="24"/>
          <w:szCs w:val="24"/>
          <w:lang w:val="en-US"/>
        </w:rPr>
        <w:t>8.</w:t>
      </w:r>
      <w:r>
        <w:rPr>
          <w:rFonts w:hint="eastAsia" w:ascii="仿宋" w:hAnsi="仿宋" w:eastAsia="仿宋" w:cs="仿宋"/>
          <w:b/>
          <w:bCs w:val="0"/>
          <w:sz w:val="24"/>
          <w:szCs w:val="24"/>
          <w:lang w:eastAsia="zh-CN"/>
        </w:rPr>
        <w:t>交货期、交货方式、交货地点及供货要求</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8.1交货期：</w:t>
      </w:r>
      <w:r>
        <w:rPr>
          <w:rFonts w:hint="eastAsia" w:ascii="仿宋" w:hAnsi="仿宋" w:eastAsia="仿宋" w:cs="仿宋"/>
          <w:kern w:val="2"/>
          <w:sz w:val="24"/>
          <w:szCs w:val="24"/>
          <w:lang w:val="en-US" w:eastAsia="zh-CN" w:bidi="ar-SA"/>
        </w:rPr>
        <w:t>签订合同后，供应商须于2022年7月31日前完成供货、安装</w:t>
      </w:r>
      <w:r>
        <w:rPr>
          <w:rFonts w:hint="eastAsia" w:ascii="仿宋" w:hAnsi="仿宋" w:eastAsia="仿宋" w:cs="仿宋"/>
          <w:kern w:val="0"/>
          <w:sz w:val="24"/>
          <w:szCs w:val="24"/>
          <w:lang w:val="en-US" w:eastAsia="zh-CN" w:bidi="ar-SA"/>
        </w:rPr>
        <w:t>调试</w:t>
      </w:r>
      <w:r>
        <w:rPr>
          <w:rFonts w:hint="eastAsia" w:ascii="仿宋" w:hAnsi="仿宋" w:eastAsia="仿宋" w:cs="仿宋"/>
          <w:kern w:val="2"/>
          <w:sz w:val="24"/>
          <w:szCs w:val="24"/>
          <w:lang w:val="en-US" w:eastAsia="zh-CN" w:bidi="ar-SA"/>
        </w:rPr>
        <w:t>及使用方初步验收。</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8.2交货方式：由乙方负责运输至指定地点现场交货，并安装调试完毕。安装调试完毕交付甲方前发生的风险均由乙方负责。</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8.3 交货地点：甲方指定地点。</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kern w:val="0"/>
          <w:sz w:val="24"/>
          <w:szCs w:val="24"/>
          <w:lang w:val="en-US" w:eastAsia="zh-CN" w:bidi="ar-SA"/>
        </w:rPr>
        <w:t>8.4供货要求：乙方所供的货物必须为全新的，符合国家标准的合格产品。凡需国家强制保证或认可的产品、需提供相应的</w:t>
      </w:r>
      <w:r>
        <w:rPr>
          <w:rFonts w:hint="eastAsia" w:ascii="仿宋" w:hAnsi="仿宋" w:eastAsia="仿宋" w:cs="仿宋"/>
          <w:kern w:val="2"/>
          <w:sz w:val="24"/>
          <w:szCs w:val="24"/>
          <w:lang w:val="en-US" w:eastAsia="zh-CN" w:bidi="ar-SA"/>
        </w:rPr>
        <w:t>证书和认可的标志。</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8.5乙方应先派有经验的技术人员对安装现场进行实地勘察，对各种设备采购、制造、运输（到现场安装）、安装、工期、安全、文明施工进行总承包，一切费用均由乙方负责。</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8.6乙方在设备在安装、调试时不得损坏墙体、门窗等，如有损坏要予以赔偿。</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   8.7培训要求：安装调试后，供应商须向使用方人员做好所供产品日常保养、使用、管理的现场实地培训，直至会熟练使用。</w:t>
      </w:r>
    </w:p>
    <w:p>
      <w:pPr>
        <w:keepNext w:val="0"/>
        <w:keepLines w:val="0"/>
        <w:widowControl w:val="0"/>
        <w:suppressLineNumbers w:val="0"/>
        <w:adjustRightInd w:val="0"/>
        <w:spacing w:before="0" w:beforeAutospacing="0" w:after="0" w:afterAutospacing="0" w:line="360" w:lineRule="auto"/>
        <w:ind w:left="0" w:right="0" w:firstLine="482" w:firstLineChars="200"/>
        <w:jc w:val="both"/>
        <w:outlineLvl w:val="0"/>
        <w:rPr>
          <w:rFonts w:hint="eastAsia" w:ascii="仿宋" w:hAnsi="仿宋" w:eastAsia="仿宋" w:cs="仿宋"/>
          <w:b/>
          <w:bCs w:val="0"/>
          <w:sz w:val="24"/>
          <w:szCs w:val="24"/>
          <w:lang w:val="en-US"/>
        </w:rPr>
      </w:pPr>
      <w:r>
        <w:rPr>
          <w:rFonts w:hint="eastAsia" w:ascii="宋体" w:hAnsi="宋体" w:eastAsia="宋体" w:cs="宋体"/>
          <w:b/>
          <w:bCs w:val="0"/>
          <w:kern w:val="2"/>
          <w:sz w:val="24"/>
          <w:szCs w:val="24"/>
          <w:lang w:val="en-US" w:eastAsia="zh-CN" w:bidi="ar-SA"/>
        </w:rPr>
        <w:t>9.付款方式、时间和条件</w:t>
      </w:r>
    </w:p>
    <w:p>
      <w:pPr>
        <w:pStyle w:val="617"/>
        <w:widowControl/>
        <w:spacing w:before="0" w:beforeAutospacing="0" w:after="0" w:afterAutospacing="0" w:line="360" w:lineRule="auto"/>
        <w:ind w:left="0" w:right="0" w:firstLine="480"/>
        <w:rPr>
          <w:rFonts w:hint="eastAsia" w:ascii="仿宋" w:hAnsi="仿宋" w:eastAsia="仿宋" w:cs="Times New Roman"/>
          <w:lang w:val="en-US"/>
        </w:rPr>
      </w:pPr>
      <w:r>
        <w:rPr>
          <w:rFonts w:hint="eastAsia" w:ascii="仿宋" w:hAnsi="仿宋" w:eastAsia="仿宋" w:cs="Times New Roman"/>
          <w:lang w:val="en-US"/>
        </w:rPr>
        <w:t>9.1</w:t>
      </w:r>
      <w:r>
        <w:rPr>
          <w:rFonts w:hint="eastAsia" w:ascii="仿宋" w:hAnsi="仿宋" w:eastAsia="仿宋" w:cs="Times New Roman"/>
          <w:lang w:eastAsia="zh-CN"/>
        </w:rPr>
        <w:t>甲方应严格履行合同，及时组织验收，验收合格后及时将合同款支付完毕。对于满足合同约定支付条件的，甲方自收到发票后</w:t>
      </w:r>
      <w:r>
        <w:rPr>
          <w:rFonts w:hint="eastAsia" w:ascii="仿宋" w:hAnsi="仿宋" w:eastAsia="仿宋" w:cs="Times New Roman"/>
          <w:lang w:val="en-US"/>
        </w:rPr>
        <w:t>7</w:t>
      </w:r>
      <w:r>
        <w:rPr>
          <w:rFonts w:hint="eastAsia" w:ascii="仿宋" w:hAnsi="仿宋" w:eastAsia="仿宋" w:cs="Times New Roman"/>
          <w:lang w:eastAsia="zh-CN"/>
        </w:rPr>
        <w:t>个工作日内将资金支付到合同约定的乙方账户，有条件的甲方可以即时支付。甲方不得以机构变动、人员更替、政策调整、单位放假等为由延迟付款。</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9.2甲方迟延支付乙方款项的，向乙方支付逾期利息。双方可以在合同专用条款中约定逾期利率，约定利率不得低于合同订立时1年期贷款市场报价利率；未作约定的，按照每日利率万分之五支付逾期利息。</w:t>
      </w:r>
    </w:p>
    <w:p>
      <w:pPr>
        <w:keepNext w:val="0"/>
        <w:keepLines w:val="0"/>
        <w:widowControl w:val="0"/>
        <w:suppressLineNumbers w:val="0"/>
        <w:adjustRightInd w:val="0"/>
        <w:spacing w:before="0" w:beforeAutospacing="0" w:after="0" w:afterAutospacing="0" w:line="360" w:lineRule="auto"/>
        <w:ind w:left="0" w:right="0" w:firstLine="480" w:firstLineChars="20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9.3资金支付的方式、时间和条件：合同签订生效以及具备实施条件后7个工作日内，采购单位向中标单位支付合同金额40％的预付款；完成供货后，采购单位支付货款至合同金额的70%；项目整体验收合格后，采购单位支付至合同金额的100%。</w:t>
      </w:r>
    </w:p>
    <w:p>
      <w:pPr>
        <w:keepNext w:val="0"/>
        <w:keepLines w:val="0"/>
        <w:widowControl w:val="0"/>
        <w:suppressLineNumbers w:val="0"/>
        <w:adjustRightInd w:val="0"/>
        <w:spacing w:before="0" w:beforeAutospacing="0" w:after="0" w:afterAutospacing="0" w:line="360" w:lineRule="auto"/>
        <w:ind w:left="0" w:right="0" w:firstLine="480" w:firstLineChars="20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9.4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
          <w:bCs w:val="0"/>
          <w:sz w:val="24"/>
          <w:szCs w:val="24"/>
          <w:lang w:val="en-US"/>
        </w:rPr>
      </w:pPr>
      <w:r>
        <w:rPr>
          <w:rFonts w:hint="eastAsia" w:ascii="宋体" w:hAnsi="宋体" w:eastAsia="宋体" w:cs="宋体"/>
          <w:bCs/>
          <w:kern w:val="2"/>
          <w:sz w:val="24"/>
          <w:szCs w:val="24"/>
          <w:lang w:val="en-US" w:eastAsia="zh-CN" w:bidi="ar-SA"/>
        </w:rPr>
        <w:t xml:space="preserve"> 10</w:t>
      </w:r>
      <w:r>
        <w:rPr>
          <w:rFonts w:hint="eastAsia" w:ascii="仿宋" w:hAnsi="仿宋" w:eastAsia="仿宋" w:cs="仿宋"/>
          <w:b/>
          <w:bCs w:val="0"/>
          <w:kern w:val="2"/>
          <w:sz w:val="24"/>
          <w:szCs w:val="24"/>
          <w:lang w:val="en-US" w:eastAsia="zh-CN" w:bidi="ar-SA"/>
        </w:rPr>
        <w:t>.税费</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bCs/>
          <w:sz w:val="24"/>
          <w:szCs w:val="24"/>
          <w:lang w:val="en-US"/>
        </w:rPr>
      </w:pPr>
      <w:r>
        <w:rPr>
          <w:rFonts w:hint="eastAsia" w:ascii="仿宋" w:hAnsi="仿宋" w:eastAsia="仿宋" w:cs="仿宋"/>
          <w:kern w:val="2"/>
          <w:sz w:val="24"/>
          <w:szCs w:val="24"/>
          <w:lang w:val="en-US" w:eastAsia="zh-CN" w:bidi="ar-SA"/>
        </w:rPr>
        <w:t>与合同有关的一切税费，均按照中华人民共和国法律的相关规定缴纳。</w:t>
      </w:r>
    </w:p>
    <w:p>
      <w:pPr>
        <w:keepNext w:val="0"/>
        <w:keepLines w:val="0"/>
        <w:widowControl w:val="0"/>
        <w:suppressLineNumbers w:val="0"/>
        <w:adjustRightInd w:val="0"/>
        <w:snapToGrid w:val="0"/>
        <w:spacing w:before="0" w:beforeAutospacing="0" w:after="0" w:afterAutospacing="0" w:line="360" w:lineRule="auto"/>
        <w:ind w:left="0" w:right="0" w:firstLine="354" w:firstLineChars="147"/>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SA"/>
        </w:rPr>
        <w:t>11.质量保证及售后服务</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11.2乙方提供的货物在质保期内因货物本身的质量问题发生故障，乙方应负责免费更换。对达不到技术要求者，根据实际情况，经双方协商，可按以下办法处理：</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更换：由乙方承担所发生的全部费用。</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贬值处理：由甲乙双方合议定价。</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退货处理：乙方应退还甲方支付的合同款，同时应承担该货物的直接费用（运输、保险、检验、货款利息及银行手续费等）。</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highlight w:val="none"/>
          <w:lang w:val="en-US"/>
        </w:rPr>
      </w:pPr>
      <w:r>
        <w:rPr>
          <w:rFonts w:hint="eastAsia" w:ascii="仿宋" w:hAnsi="仿宋" w:eastAsia="仿宋" w:cs="仿宋"/>
          <w:bCs/>
          <w:kern w:val="2"/>
          <w:sz w:val="24"/>
          <w:szCs w:val="24"/>
          <w:lang w:val="en-US" w:eastAsia="zh-CN" w:bidi="ar-SA"/>
        </w:rPr>
        <w:t>11.3在质保期内，乙方应对货物出现的质量及安全问题负责处理解决并承担一切费用。</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highlight w:val="none"/>
          <w:lang w:val="en-US"/>
        </w:rPr>
      </w:pPr>
      <w:r>
        <w:rPr>
          <w:rFonts w:hint="eastAsia" w:ascii="仿宋" w:hAnsi="仿宋" w:eastAsia="仿宋" w:cs="仿宋"/>
          <w:bCs/>
          <w:kern w:val="2"/>
          <w:sz w:val="24"/>
          <w:szCs w:val="24"/>
          <w:highlight w:val="none"/>
          <w:lang w:val="en-US" w:eastAsia="zh-CN" w:bidi="ar-SA"/>
        </w:rPr>
        <w:t>11.4乙方必须对所供产品实行终身维修，乙方在接到电话后1小时内响应，3小时内到达现场解决问题，最迟在2个工作日内修复，如不能修复应采取补救措施，以保证使用方的正常工作，乙方有其它服务承诺的，一并履行。</w:t>
      </w:r>
    </w:p>
    <w:p>
      <w:pPr>
        <w:keepNext w:val="0"/>
        <w:keepLines w:val="0"/>
        <w:widowControl w:val="0"/>
        <w:suppressLineNumbers w:val="0"/>
        <w:adjustRightInd w:val="0"/>
        <w:snapToGrid w:val="0"/>
        <w:spacing w:before="0" w:beforeAutospacing="0" w:after="0" w:afterAutospacing="0" w:line="360" w:lineRule="auto"/>
        <w:ind w:right="0" w:firstLine="420" w:firstLineChars="0"/>
        <w:jc w:val="both"/>
        <w:rPr>
          <w:rFonts w:hint="eastAsia" w:ascii="仿宋" w:hAnsi="仿宋" w:eastAsia="仿宋" w:cs="仿宋"/>
          <w:kern w:val="0"/>
          <w:sz w:val="24"/>
          <w:szCs w:val="24"/>
          <w:highlight w:val="none"/>
          <w:lang w:val="en-US"/>
        </w:rPr>
      </w:pPr>
      <w:r>
        <w:rPr>
          <w:rFonts w:hint="eastAsia" w:ascii="仿宋" w:hAnsi="仿宋" w:eastAsia="仿宋" w:cs="仿宋"/>
          <w:bCs/>
          <w:kern w:val="2"/>
          <w:sz w:val="24"/>
          <w:szCs w:val="24"/>
          <w:highlight w:val="none"/>
          <w:lang w:val="en-US" w:eastAsia="zh-CN" w:bidi="ar-SA"/>
        </w:rPr>
        <w:t>11.5乙方在质保期内每年应（不少于一次）到使用方进行设备保养、检修。</w:t>
      </w:r>
    </w:p>
    <w:p>
      <w:pPr>
        <w:keepNext w:val="0"/>
        <w:keepLines w:val="0"/>
        <w:widowControl w:val="0"/>
        <w:suppressLineNumbers w:val="0"/>
        <w:adjustRightInd w:val="0"/>
        <w:snapToGrid w:val="0"/>
        <w:spacing w:before="0" w:beforeAutospacing="0" w:after="0" w:afterAutospacing="0" w:line="360" w:lineRule="auto"/>
        <w:ind w:right="0" w:firstLine="420" w:firstLineChars="0"/>
        <w:jc w:val="both"/>
        <w:rPr>
          <w:rFonts w:hint="eastAsia"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eastAsia="zh-CN" w:bidi="ar-SA"/>
        </w:rPr>
        <w:t>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keepNext w:val="0"/>
        <w:keepLines w:val="0"/>
        <w:widowControl w:val="0"/>
        <w:suppressLineNumbers w:val="0"/>
        <w:adjustRightInd w:val="0"/>
        <w:snapToGrid w:val="0"/>
        <w:spacing w:before="0" w:beforeAutospacing="0" w:after="0" w:afterAutospacing="0" w:line="360" w:lineRule="auto"/>
        <w:ind w:left="0" w:right="0" w:firstLine="354" w:firstLineChars="147"/>
        <w:jc w:val="both"/>
        <w:rPr>
          <w:rFonts w:hint="eastAsia" w:ascii="仿宋" w:hAnsi="仿宋" w:eastAsia="仿宋" w:cs="仿宋"/>
          <w:b/>
          <w:bCs w:val="0"/>
          <w:sz w:val="24"/>
          <w:szCs w:val="24"/>
          <w:highlight w:val="none"/>
          <w:lang w:val="en-US"/>
        </w:rPr>
      </w:pPr>
      <w:r>
        <w:rPr>
          <w:rFonts w:hint="eastAsia" w:ascii="仿宋" w:hAnsi="仿宋" w:eastAsia="仿宋" w:cs="仿宋"/>
          <w:b/>
          <w:bCs w:val="0"/>
          <w:kern w:val="2"/>
          <w:sz w:val="24"/>
          <w:szCs w:val="24"/>
          <w:highlight w:val="none"/>
          <w:lang w:val="en-US" w:eastAsia="zh-CN" w:bidi="ar-SA"/>
        </w:rPr>
        <w:t>12.货物包装、发运及运输</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highlight w:val="none"/>
          <w:lang w:val="en-US"/>
        </w:rPr>
      </w:pPr>
      <w:r>
        <w:rPr>
          <w:rFonts w:hint="eastAsia" w:ascii="仿宋" w:hAnsi="仿宋" w:eastAsia="仿宋" w:cs="仿宋"/>
          <w:bCs/>
          <w:kern w:val="2"/>
          <w:sz w:val="24"/>
          <w:szCs w:val="24"/>
          <w:highlight w:val="none"/>
          <w:lang w:val="en-US" w:eastAsia="zh-CN" w:bidi="ar-SA"/>
        </w:rPr>
        <w:t>12.1乙方应在货物发运前对其进行满足运输距离、防潮、防震、防锈和防破损装卸等要求包装，以保证货物安全运达甲方指定地点。</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highlight w:val="none"/>
          <w:lang w:val="en-US"/>
        </w:rPr>
      </w:pPr>
      <w:r>
        <w:rPr>
          <w:rFonts w:hint="eastAsia" w:ascii="仿宋" w:hAnsi="仿宋" w:eastAsia="仿宋" w:cs="仿宋"/>
          <w:bCs/>
          <w:kern w:val="2"/>
          <w:sz w:val="24"/>
          <w:szCs w:val="24"/>
          <w:highlight w:val="none"/>
          <w:lang w:val="en-US" w:eastAsia="zh-CN" w:bidi="ar-SA"/>
        </w:rPr>
        <w:t>12.2使用说明书、质量检验证明书、随配附件和工具以及清单一并附于货物内。</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highlight w:val="none"/>
          <w:lang w:val="en-US"/>
        </w:rPr>
      </w:pPr>
      <w:r>
        <w:rPr>
          <w:rFonts w:hint="eastAsia" w:ascii="仿宋" w:hAnsi="仿宋" w:eastAsia="仿宋" w:cs="仿宋"/>
          <w:bCs/>
          <w:kern w:val="2"/>
          <w:sz w:val="24"/>
          <w:szCs w:val="24"/>
          <w:highlight w:val="none"/>
          <w:lang w:val="en-US" w:eastAsia="zh-CN" w:bidi="ar-SA"/>
        </w:rPr>
        <w:t>12.3乙方在货物发运手续办理完毕后24小时内或货到甲方48小时前通知甲方，以准备接货。</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12.4货物在交付甲方前发生的风险均由乙方负责。</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12.5货物在规定的交付期限内由乙方送达甲方指定的地点，及时通知甲方货物已送达并安装调试完毕视为交付。</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SA"/>
        </w:rPr>
        <w:t>13.调试和验收</w:t>
      </w:r>
    </w:p>
    <w:p>
      <w:pPr>
        <w:keepNext w:val="0"/>
        <w:keepLines w:val="0"/>
        <w:widowControl w:val="0"/>
        <w:suppressLineNumbers w:val="0"/>
        <w:adjustRightInd w:val="0"/>
        <w:spacing w:before="0" w:beforeAutospacing="0" w:after="0" w:afterAutospacing="0" w:line="360" w:lineRule="auto"/>
        <w:ind w:left="0" w:right="0" w:firstLine="480" w:firstLineChars="200"/>
        <w:jc w:val="both"/>
        <w:outlineLvl w:val="0"/>
        <w:rPr>
          <w:rFonts w:hint="eastAsia" w:ascii="仿宋" w:hAnsi="仿宋" w:eastAsia="仿宋" w:cs="仿宋"/>
          <w:bCs/>
          <w:sz w:val="24"/>
          <w:szCs w:val="24"/>
          <w:lang w:val="en-US"/>
        </w:rPr>
      </w:pPr>
      <w:r>
        <w:rPr>
          <w:rFonts w:hint="eastAsia" w:ascii="仿宋" w:hAnsi="仿宋" w:eastAsia="仿宋" w:cs="仿宋"/>
          <w:kern w:val="2"/>
          <w:sz w:val="24"/>
          <w:szCs w:val="24"/>
          <w:lang w:val="en-US" w:eastAsia="zh-CN" w:bidi="ar-SA"/>
        </w:rPr>
        <w:t>13.1根据《杭州市政府采购履约验收暂行办法》精神，组织验收。采购人是履约验收工作的责任主体，应当切实做好履约验收工作。</w:t>
      </w:r>
    </w:p>
    <w:p>
      <w:pPr>
        <w:keepNext w:val="0"/>
        <w:keepLines w:val="0"/>
        <w:widowControl w:val="0"/>
        <w:suppressLineNumbers w:val="0"/>
        <w:adjustRightInd w:val="0"/>
        <w:snapToGrid w:val="0"/>
        <w:spacing w:before="0" w:beforeAutospacing="0" w:after="0" w:afterAutospacing="0" w:line="360" w:lineRule="auto"/>
        <w:ind w:left="0" w:right="0" w:firstLine="352" w:firstLineChars="147"/>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SA"/>
        </w:rPr>
        <w:t xml:space="preserve"> 13.2经验收不合格且无法整改的，不付款不退货，所产生的所有损失由乙方承担。</w:t>
      </w:r>
    </w:p>
    <w:p>
      <w:pPr>
        <w:keepNext w:val="0"/>
        <w:keepLines w:val="0"/>
        <w:widowControl w:val="0"/>
        <w:suppressLineNumbers w:val="0"/>
        <w:adjustRightInd w:val="0"/>
        <w:snapToGrid w:val="0"/>
        <w:spacing w:before="0" w:beforeAutospacing="0" w:after="0" w:afterAutospacing="0" w:line="360" w:lineRule="auto"/>
        <w:ind w:left="0" w:right="0" w:firstLine="354" w:firstLineChars="147"/>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SA"/>
        </w:rPr>
        <w:t xml:space="preserve"> 14.违约责任</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14.1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kern w:val="2"/>
          <w:sz w:val="24"/>
          <w:szCs w:val="24"/>
          <w:u w:val="single"/>
          <w:lang w:val="en-US" w:eastAsia="zh-CN" w:bidi="ar-SA"/>
        </w:rPr>
        <w:t>0.05</w:t>
      </w:r>
      <w:r>
        <w:rPr>
          <w:rFonts w:hint="eastAsia" w:ascii="仿宋" w:hAnsi="仿宋" w:eastAsia="仿宋" w:cs="仿宋"/>
          <w:kern w:val="2"/>
          <w:sz w:val="24"/>
          <w:szCs w:val="24"/>
          <w:lang w:val="en-US" w:eastAsia="zh-CN" w:bidi="ar-SA"/>
        </w:rPr>
        <w:t>%计算，最高限额为本合同总价的</w:t>
      </w:r>
      <w:r>
        <w:rPr>
          <w:rFonts w:hint="eastAsia" w:ascii="仿宋" w:hAnsi="仿宋" w:eastAsia="仿宋" w:cs="仿宋"/>
          <w:kern w:val="2"/>
          <w:sz w:val="24"/>
          <w:szCs w:val="24"/>
          <w:u w:val="single"/>
          <w:lang w:val="en-US" w:eastAsia="zh-CN" w:bidi="ar-SA"/>
        </w:rPr>
        <w:t>20</w:t>
      </w:r>
      <w:r>
        <w:rPr>
          <w:rFonts w:hint="eastAsia" w:ascii="仿宋" w:hAnsi="仿宋" w:eastAsia="仿宋" w:cs="仿宋"/>
          <w:kern w:val="2"/>
          <w:sz w:val="24"/>
          <w:szCs w:val="24"/>
          <w:lang w:val="en-US" w:eastAsia="zh-CN" w:bidi="ar-SA"/>
        </w:rPr>
        <w:t>%；迟延交付货物的违约金计算数额达到前述最高限额之日起，甲方有权在要求乙方支付违约金的同时，书面通知乙方解除本合同；</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14.2 除不可抗力外，如果甲方没有按照本合同约定的付款方式付款，那么乙方可要求甲方支付违约金，违约金按每迟延付款一日的应付而未付款的</w:t>
      </w:r>
      <w:r>
        <w:rPr>
          <w:rFonts w:hint="eastAsia" w:ascii="仿宋" w:hAnsi="仿宋" w:eastAsia="仿宋" w:cs="仿宋"/>
          <w:kern w:val="2"/>
          <w:sz w:val="24"/>
          <w:szCs w:val="24"/>
          <w:u w:val="single"/>
          <w:lang w:val="en-US" w:eastAsia="zh-CN" w:bidi="ar-SA"/>
        </w:rPr>
        <w:t>0.05</w:t>
      </w:r>
      <w:r>
        <w:rPr>
          <w:rFonts w:hint="eastAsia" w:ascii="仿宋" w:hAnsi="仿宋" w:eastAsia="仿宋" w:cs="仿宋"/>
          <w:kern w:val="2"/>
          <w:sz w:val="24"/>
          <w:szCs w:val="24"/>
          <w:lang w:val="en-US" w:eastAsia="zh-CN" w:bidi="ar-SA"/>
        </w:rPr>
        <w:t>%计算，最高限额为本合同总价的</w:t>
      </w:r>
      <w:r>
        <w:rPr>
          <w:rFonts w:hint="eastAsia" w:ascii="仿宋" w:hAnsi="仿宋" w:eastAsia="仿宋" w:cs="仿宋"/>
          <w:kern w:val="2"/>
          <w:sz w:val="24"/>
          <w:szCs w:val="24"/>
          <w:u w:val="single"/>
          <w:lang w:val="en-US" w:eastAsia="zh-CN" w:bidi="ar-SA"/>
        </w:rPr>
        <w:t>20</w:t>
      </w:r>
      <w:r>
        <w:rPr>
          <w:rFonts w:hint="eastAsia" w:ascii="仿宋" w:hAnsi="仿宋" w:eastAsia="仿宋" w:cs="仿宋"/>
          <w:kern w:val="2"/>
          <w:sz w:val="24"/>
          <w:szCs w:val="24"/>
          <w:lang w:val="en-US" w:eastAsia="zh-CN" w:bidi="ar-SA"/>
        </w:rPr>
        <w:t>%；迟延付款的违约金计算数额达到前述最高限额之日起，乙方有权在要求甲方支付违约金的同时，书面通知甲方解除本合同；</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14.3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14.4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14.5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14.6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widowControl w:val="0"/>
        <w:suppressLineNumbers w:val="0"/>
        <w:adjustRightInd w:val="0"/>
        <w:spacing w:before="0" w:beforeAutospacing="0" w:after="0" w:afterAutospacing="0" w:line="360" w:lineRule="auto"/>
        <w:ind w:left="-420" w:leftChars="-200" w:right="-420" w:rightChars="-200" w:firstLine="960" w:firstLineChars="400"/>
        <w:jc w:val="both"/>
      </w:pPr>
      <w:r>
        <w:rPr>
          <w:rFonts w:hint="eastAsia" w:ascii="仿宋" w:hAnsi="仿宋" w:eastAsia="仿宋" w:cs="仿宋"/>
          <w:kern w:val="2"/>
          <w:sz w:val="24"/>
          <w:szCs w:val="24"/>
          <w:lang w:val="en-US" w:eastAsia="zh-CN" w:bidi="ar-SA"/>
        </w:rPr>
        <w:t>14.7违约责任采购人另有约定的：从其约定。</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SA"/>
        </w:rPr>
        <w:t xml:space="preserve">    15.不可抗力事件处理</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    15.1在合同有效期内，任何一方因不可抗力事件导致不能履行合同，则合同履行期可延长，其延长期与不可抗力影响期相同。</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    15.2不可抗力事件发生后，应立即通知对方，并寄送有关权威机构出具的证明。</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    15.3不可抗力事件延续120天以上，双方应通过友好协商，确定是否继续履行合同。</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SA"/>
        </w:rPr>
        <w:t xml:space="preserve">    16.诉讼</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双方在执行合同中所发生的一切争议，应通过协商解决。如协商不成，可向甲方所在地法院起诉。</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SA"/>
        </w:rPr>
        <w:t xml:space="preserve">    17.合同生效及其它</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    17.1招标文件、投标文件、更正公告、中标通知书、承诺函等均作为本合同组成部分，具有同等效力。</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    17.2合同经双方法定代表人或其授权代表签字并加盖单位公章后方可生效。</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    17.3合同执行中涉及采购资金和采购内容修改或补充的，须经财政部门审批，并签书面补充协议报政府采购监督管理部门备案，作为主合同不可分割的一部分。</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SA"/>
        </w:rPr>
        <w:t>17.4</w:t>
      </w:r>
      <w:r>
        <w:rPr>
          <w:rFonts w:hint="eastAsia" w:ascii="仿宋" w:hAnsi="仿宋" w:eastAsia="仿宋" w:cs="仿宋"/>
          <w:b/>
          <w:kern w:val="2"/>
          <w:sz w:val="24"/>
          <w:szCs w:val="24"/>
          <w:lang w:val="zh-CN" w:eastAsia="zh-CN" w:bidi="ar-SA"/>
        </w:rPr>
        <w:t>本合同</w:t>
      </w:r>
      <w:r>
        <w:rPr>
          <w:rFonts w:hint="eastAsia" w:ascii="仿宋" w:hAnsi="仿宋" w:eastAsia="仿宋" w:cs="仿宋"/>
          <w:b/>
          <w:kern w:val="2"/>
          <w:sz w:val="24"/>
          <w:szCs w:val="24"/>
          <w:lang w:val="en-US" w:eastAsia="zh-CN" w:bidi="ar-SA"/>
        </w:rPr>
        <w:t>（□是  □</w:t>
      </w:r>
      <w:r>
        <w:rPr>
          <w:rFonts w:hint="eastAsia" w:ascii="仿宋" w:hAnsi="仿宋" w:eastAsia="仿宋" w:cs="仿宋"/>
          <w:b/>
          <w:kern w:val="2"/>
          <w:sz w:val="24"/>
          <w:szCs w:val="24"/>
          <w:lang w:val="zh-CN" w:eastAsia="zh-CN" w:bidi="ar-SA"/>
        </w:rPr>
        <w:t>否</w:t>
      </w:r>
      <w:r>
        <w:rPr>
          <w:rFonts w:hint="eastAsia" w:ascii="仿宋" w:hAnsi="仿宋" w:eastAsia="仿宋" w:cs="仿宋"/>
          <w:b/>
          <w:kern w:val="2"/>
          <w:sz w:val="24"/>
          <w:szCs w:val="24"/>
          <w:lang w:val="en-US" w:eastAsia="zh-CN" w:bidi="ar-SA"/>
        </w:rPr>
        <w:t>）</w:t>
      </w:r>
      <w:r>
        <w:rPr>
          <w:rFonts w:hint="eastAsia" w:ascii="仿宋" w:hAnsi="仿宋" w:eastAsia="仿宋" w:cs="仿宋"/>
          <w:b/>
          <w:kern w:val="2"/>
          <w:sz w:val="24"/>
          <w:szCs w:val="24"/>
          <w:lang w:val="zh-CN" w:eastAsia="zh-CN" w:bidi="ar-SA"/>
        </w:rPr>
        <w:t>为可融资合同</w:t>
      </w:r>
      <w:r>
        <w:rPr>
          <w:rFonts w:hint="eastAsia" w:ascii="仿宋" w:hAnsi="仿宋" w:eastAsia="仿宋" w:cs="仿宋"/>
          <w:b/>
          <w:kern w:val="2"/>
          <w:sz w:val="24"/>
          <w:szCs w:val="24"/>
          <w:lang w:val="en-US" w:eastAsia="zh-CN" w:bidi="ar-SA"/>
        </w:rPr>
        <w:t>，</w:t>
      </w:r>
      <w:r>
        <w:rPr>
          <w:rFonts w:hint="eastAsia" w:ascii="仿宋" w:hAnsi="仿宋" w:eastAsia="仿宋" w:cs="仿宋"/>
          <w:b/>
          <w:kern w:val="2"/>
          <w:sz w:val="24"/>
          <w:szCs w:val="24"/>
          <w:lang w:val="zh-CN" w:eastAsia="zh-CN" w:bidi="ar-SA"/>
        </w:rPr>
        <w:t>关于中小企业信用融资事项</w:t>
      </w:r>
      <w:r>
        <w:rPr>
          <w:rFonts w:hint="eastAsia" w:ascii="仿宋" w:hAnsi="仿宋" w:eastAsia="仿宋" w:cs="仿宋"/>
          <w:b/>
          <w:kern w:val="2"/>
          <w:sz w:val="24"/>
          <w:szCs w:val="24"/>
          <w:lang w:val="en-US" w:eastAsia="zh-CN" w:bidi="ar-SA"/>
        </w:rPr>
        <w:t>详见《政府采购支持中小企业信用融资相关事项通知》，或登录杭州市政府采购网“中小企业信用融资”模块，查看信用融资政策文件及各相关银行服务方案。</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    17.5本合同未尽事宜，遵照《合同法》有关条文执行。</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    17.6本合同一式多份，具有同等法律效力，甲乙双方、区财政局采购监管科、验收单位，各执一份。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甲方（盖章）：                         乙方（盖章）：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法定代表人：                          法定代表人：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或授权代表（签字）：                   或授权代表（签字）：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地址：                                地址：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邮编：                                邮编：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电话：                                电话：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传真：                                传真：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开户银行：                            开户银行：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帐号：                                帐号：     </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签约时间：      年    月   日</w:t>
      </w:r>
    </w:p>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7" w:name="_Toc339872468"/>
      <w:bookmarkStart w:id="398" w:name="_Toc326765771"/>
      <w:bookmarkStart w:id="399" w:name="_Toc868"/>
      <w:bookmarkStart w:id="400" w:name="_Toc328381300"/>
      <w:bookmarkStart w:id="401" w:name="_Toc349721554"/>
      <w:bookmarkStart w:id="402" w:name="_Toc350327365"/>
      <w:r>
        <w:rPr>
          <w:rFonts w:hint="eastAsia" w:ascii="仿宋" w:hAnsi="仿宋" w:eastAsia="仿宋" w:cs="仿宋"/>
          <w:b/>
          <w:bCs/>
          <w:sz w:val="24"/>
        </w:rPr>
        <w:t xml:space="preserve"> 此仅为合同书样本，中标单位需根据实际情况和采购人签订相应的合同！</w:t>
      </w:r>
      <w:bookmarkEnd w:id="397"/>
      <w:bookmarkEnd w:id="398"/>
      <w:bookmarkEnd w:id="399"/>
      <w:bookmarkEnd w:id="400"/>
      <w:bookmarkEnd w:id="401"/>
      <w:bookmarkEnd w:id="402"/>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3" w:name="_Toc194217895"/>
    </w:p>
    <w:bookmarkEnd w:id="403"/>
    <w:p>
      <w:pPr>
        <w:pStyle w:val="4"/>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r>
        <w:rPr>
          <w:rFonts w:ascii="仿宋" w:hAnsi="仿宋" w:eastAsia="仿宋" w:cs="仿宋_GB2312"/>
          <w:b/>
          <w:sz w:val="36"/>
          <w:szCs w:val="20"/>
        </w:rPr>
        <w:t xml:space="preserve"> </w:t>
      </w:r>
      <w:bookmarkEnd w:id="396"/>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 xml:space="preserve">ZFCG-20  -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4"/>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4"/>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4"/>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4"/>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pStyle w:val="4"/>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pStyle w:val="4"/>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序号</w:t>
            </w:r>
          </w:p>
        </w:tc>
        <w:tc>
          <w:tcPr>
            <w:tcW w:w="1417" w:type="dxa"/>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名称</w:t>
            </w:r>
          </w:p>
        </w:tc>
        <w:tc>
          <w:tcPr>
            <w:tcW w:w="1843" w:type="dxa"/>
            <w:vAlign w:val="top"/>
          </w:tcPr>
          <w:p>
            <w:pPr>
              <w:spacing w:before="0" w:beforeAutospacing="0" w:after="0" w:afterAutospacing="0" w:line="360" w:lineRule="auto"/>
              <w:ind w:left="0" w:right="0"/>
              <w:jc w:val="center"/>
              <w:rPr>
                <w:rFonts w:hint="eastAsia" w:ascii="仿宋_GB2312" w:hAnsi="仿宋" w:eastAsia="仿宋_GB2312" w:cs="Times New Roman"/>
                <w:b/>
                <w:sz w:val="24"/>
                <w:szCs w:val="20"/>
              </w:rPr>
            </w:pPr>
          </w:p>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品牌（如果有）</w:t>
            </w:r>
          </w:p>
        </w:tc>
        <w:tc>
          <w:tcPr>
            <w:tcW w:w="3118" w:type="dxa"/>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规格型号（或具体服务）</w:t>
            </w:r>
          </w:p>
        </w:tc>
        <w:tc>
          <w:tcPr>
            <w:tcW w:w="993" w:type="dxa"/>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数量</w:t>
            </w:r>
          </w:p>
        </w:tc>
        <w:tc>
          <w:tcPr>
            <w:tcW w:w="1559" w:type="dxa"/>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单价</w:t>
            </w:r>
          </w:p>
        </w:tc>
        <w:tc>
          <w:tcPr>
            <w:tcW w:w="1984" w:type="dxa"/>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总价</w:t>
            </w:r>
          </w:p>
        </w:tc>
        <w:tc>
          <w:tcPr>
            <w:tcW w:w="3119" w:type="dxa"/>
            <w:vAlign w:val="center"/>
          </w:tcPr>
          <w:p>
            <w:pPr>
              <w:spacing w:before="0" w:beforeAutospacing="0" w:after="0" w:afterAutospacing="0" w:line="360" w:lineRule="auto"/>
              <w:ind w:left="0" w:right="0"/>
              <w:jc w:val="center"/>
              <w:rPr>
                <w:rFonts w:hint="eastAsia" w:ascii="仿宋_GB2312" w:hAnsi="仿宋" w:eastAsia="仿宋_GB2312" w:cs="Times New Roman"/>
                <w:b/>
                <w:sz w:val="24"/>
                <w:szCs w:val="20"/>
              </w:rPr>
            </w:pPr>
          </w:p>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服务要求（年限）</w:t>
            </w:r>
          </w:p>
          <w:p>
            <w:pPr>
              <w:spacing w:before="0" w:beforeAutospacing="0" w:after="0" w:afterAutospacing="0" w:line="360" w:lineRule="auto"/>
              <w:ind w:left="0" w:right="0"/>
              <w:jc w:val="center"/>
              <w:rPr>
                <w:rFonts w:hint="eastAsia" w:ascii="仿宋_GB2312" w:hAnsi="仿宋"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417"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417"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w:t>
            </w:r>
          </w:p>
        </w:tc>
        <w:tc>
          <w:tcPr>
            <w:tcW w:w="1417"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417"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417"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投标报价（小写）</w:t>
            </w:r>
          </w:p>
        </w:tc>
        <w:tc>
          <w:tcPr>
            <w:tcW w:w="7655" w:type="dxa"/>
            <w:gridSpan w:val="4"/>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投标报价（大写）</w:t>
            </w:r>
          </w:p>
        </w:tc>
        <w:tc>
          <w:tcPr>
            <w:tcW w:w="7655" w:type="dxa"/>
            <w:gridSpan w:val="4"/>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ind w:firstLine="480" w:firstLineChars="200"/>
        <w:jc w:val="left"/>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4" w:name="_Toc465665161"/>
      <w:r>
        <w:rPr>
          <w:rFonts w:hint="eastAsia" w:ascii="仿宋_GB2312" w:hAnsi="仿宋" w:eastAsia="仿宋_GB2312"/>
        </w:rPr>
        <w:t>附件</w:t>
      </w:r>
      <w:bookmarkEnd w:id="40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5" w:name="OLE_LINK14"/>
      <w:bookmarkStart w:id="406" w:name="OLE_LINK13"/>
      <w:r>
        <w:rPr>
          <w:rFonts w:hint="eastAsia" w:ascii="仿宋_GB2312" w:hAnsi="仿宋" w:eastAsia="仿宋_GB2312"/>
          <w:b/>
          <w:spacing w:val="6"/>
          <w:sz w:val="32"/>
          <w:szCs w:val="32"/>
        </w:rPr>
        <w:t>残疾人福利性单位声明函</w:t>
      </w:r>
    </w:p>
    <w:bookmarkEnd w:id="405"/>
    <w:bookmarkEnd w:id="40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4"/>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7" w:name="_Toc131845147"/>
    <w:bookmarkStart w:id="408" w:name="_Toc36110187"/>
    <w:bookmarkStart w:id="409" w:name="_Toc91899912"/>
    <w:bookmarkStart w:id="410" w:name="_Toc164085800"/>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C6FB74"/>
    <w:multiLevelType w:val="singleLevel"/>
    <w:tmpl w:val="78C6FB74"/>
    <w:lvl w:ilvl="0" w:tentative="0">
      <w:start w:val="1"/>
      <w:numFmt w:val="ideographTraditional"/>
      <w:suff w:val="nothing"/>
      <w:lvlText w:val="%1、"/>
      <w:lvlJc w:val="left"/>
      <w:pPr>
        <w:ind w:left="84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DNhNzQwYzcxYmM0NTkxNjE3N2Y5ZDBiMGU2ND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493CA7"/>
    <w:rsid w:val="065A6178"/>
    <w:rsid w:val="065C7159"/>
    <w:rsid w:val="06667154"/>
    <w:rsid w:val="066F1CF3"/>
    <w:rsid w:val="06930BB8"/>
    <w:rsid w:val="07245D42"/>
    <w:rsid w:val="07264C62"/>
    <w:rsid w:val="0779354C"/>
    <w:rsid w:val="07C231CA"/>
    <w:rsid w:val="08061376"/>
    <w:rsid w:val="08452D77"/>
    <w:rsid w:val="086401F8"/>
    <w:rsid w:val="08751CAA"/>
    <w:rsid w:val="087E4C40"/>
    <w:rsid w:val="08D66AD6"/>
    <w:rsid w:val="08DA33A3"/>
    <w:rsid w:val="08E80F13"/>
    <w:rsid w:val="09335624"/>
    <w:rsid w:val="0944690F"/>
    <w:rsid w:val="094B106E"/>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B30404E"/>
    <w:rsid w:val="0B4C6C14"/>
    <w:rsid w:val="0B631A88"/>
    <w:rsid w:val="0B653205"/>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8D1501"/>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A4BC0"/>
    <w:rsid w:val="139B1A0A"/>
    <w:rsid w:val="139D25C7"/>
    <w:rsid w:val="13BF3CE4"/>
    <w:rsid w:val="141008D8"/>
    <w:rsid w:val="14125FE6"/>
    <w:rsid w:val="146D271E"/>
    <w:rsid w:val="14982588"/>
    <w:rsid w:val="149A5AD9"/>
    <w:rsid w:val="14A7619D"/>
    <w:rsid w:val="150536C3"/>
    <w:rsid w:val="150914DA"/>
    <w:rsid w:val="150C1963"/>
    <w:rsid w:val="151447A0"/>
    <w:rsid w:val="154A6454"/>
    <w:rsid w:val="15762120"/>
    <w:rsid w:val="16A8729C"/>
    <w:rsid w:val="16B33777"/>
    <w:rsid w:val="16BC70A7"/>
    <w:rsid w:val="16C6339E"/>
    <w:rsid w:val="172F2D79"/>
    <w:rsid w:val="17557BEF"/>
    <w:rsid w:val="175F3F5B"/>
    <w:rsid w:val="17D349C1"/>
    <w:rsid w:val="180C5936"/>
    <w:rsid w:val="1830729E"/>
    <w:rsid w:val="1870062C"/>
    <w:rsid w:val="18817102"/>
    <w:rsid w:val="18830A15"/>
    <w:rsid w:val="18852B28"/>
    <w:rsid w:val="188B5321"/>
    <w:rsid w:val="196453DF"/>
    <w:rsid w:val="19932372"/>
    <w:rsid w:val="19A20DD5"/>
    <w:rsid w:val="19AE03F1"/>
    <w:rsid w:val="1A071A03"/>
    <w:rsid w:val="1A1F16AE"/>
    <w:rsid w:val="1A3B5C77"/>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BEA476B"/>
    <w:rsid w:val="1BF827A3"/>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33151A"/>
    <w:rsid w:val="216133FC"/>
    <w:rsid w:val="21D56769"/>
    <w:rsid w:val="21E52EF3"/>
    <w:rsid w:val="21FB5D7B"/>
    <w:rsid w:val="220B1C3D"/>
    <w:rsid w:val="221D1D20"/>
    <w:rsid w:val="22334A87"/>
    <w:rsid w:val="22681CF7"/>
    <w:rsid w:val="22A759B7"/>
    <w:rsid w:val="22BE6801"/>
    <w:rsid w:val="233500BF"/>
    <w:rsid w:val="23377FF7"/>
    <w:rsid w:val="236B425F"/>
    <w:rsid w:val="23836192"/>
    <w:rsid w:val="23901F29"/>
    <w:rsid w:val="23931AA2"/>
    <w:rsid w:val="239C0061"/>
    <w:rsid w:val="23B908A4"/>
    <w:rsid w:val="23D46191"/>
    <w:rsid w:val="23E95BEF"/>
    <w:rsid w:val="23F23D7D"/>
    <w:rsid w:val="23FD0064"/>
    <w:rsid w:val="245375B0"/>
    <w:rsid w:val="24642C0A"/>
    <w:rsid w:val="24B22173"/>
    <w:rsid w:val="24B95AD9"/>
    <w:rsid w:val="24BE24DA"/>
    <w:rsid w:val="24CF5825"/>
    <w:rsid w:val="24D663E6"/>
    <w:rsid w:val="24D77F2B"/>
    <w:rsid w:val="24E13FC4"/>
    <w:rsid w:val="253E1FB4"/>
    <w:rsid w:val="2571592A"/>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520A46"/>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82D6F"/>
    <w:rsid w:val="2CF24727"/>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7240F"/>
    <w:rsid w:val="34AF62C9"/>
    <w:rsid w:val="34CB4388"/>
    <w:rsid w:val="34FA6E12"/>
    <w:rsid w:val="358D5588"/>
    <w:rsid w:val="362523CD"/>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441E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8A3A6E"/>
    <w:rsid w:val="58917D2F"/>
    <w:rsid w:val="5894085C"/>
    <w:rsid w:val="58AE4F0C"/>
    <w:rsid w:val="58B85899"/>
    <w:rsid w:val="58E363A9"/>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92B1F"/>
    <w:rsid w:val="5A8406B8"/>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D057F"/>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644D30"/>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D6596C"/>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B00BC1"/>
    <w:rsid w:val="6BE96690"/>
    <w:rsid w:val="6C196F71"/>
    <w:rsid w:val="6C226FCB"/>
    <w:rsid w:val="6C31226F"/>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2"/>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2"/>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basedOn w:val="69"/>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34587</Words>
  <Characters>36753</Characters>
  <Lines>287</Lines>
  <Paragraphs>81</Paragraphs>
  <TotalTime>32</TotalTime>
  <ScaleCrop>false</ScaleCrop>
  <LinksUpToDate>false</LinksUpToDate>
  <CharactersWithSpaces>42293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2022-02-24T05:45:00Z</cp:lastPrinted>
  <dcterms:modified xsi:type="dcterms:W3CDTF">2022-05-10T05:53:18Z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739F257A67F544AEABB18CF5B5C2B13A</vt:lpwstr>
  </property>
</Properties>
</file>