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rPr>
          <w:rFonts w:ascii="仿宋_GB2312" w:hAnsi="仿宋" w:eastAsia="仿宋_GB2312" w:cs="仿宋_GB2312"/>
          <w:b/>
          <w:sz w:val="48"/>
          <w:szCs w:val="48"/>
        </w:rPr>
      </w:pPr>
    </w:p>
    <w:p>
      <w:pPr>
        <w:pStyle w:val="24"/>
      </w:pPr>
    </w:p>
    <w:p>
      <w:pPr>
        <w:shd w:val="clear" w:color="auto" w:fill="FFFFFF"/>
        <w:tabs>
          <w:tab w:val="left" w:pos="4500"/>
        </w:tabs>
        <w:snapToGrid w:val="0"/>
        <w:spacing w:line="360" w:lineRule="auto"/>
        <w:jc w:val="center"/>
        <w:textAlignment w:val="bottom"/>
        <w:rPr>
          <w:rFonts w:ascii="宋体" w:hAnsi="宋体" w:cs="宋体"/>
          <w:b/>
          <w:bCs/>
          <w:spacing w:val="6"/>
          <w:sz w:val="48"/>
          <w:szCs w:val="48"/>
        </w:rPr>
      </w:pPr>
      <w:r>
        <w:rPr>
          <w:rFonts w:hint="eastAsia" w:ascii="宋体" w:hAnsi="宋体" w:cs="宋体"/>
          <w:b/>
          <w:bCs/>
          <w:spacing w:val="6"/>
          <w:sz w:val="48"/>
          <w:szCs w:val="48"/>
        </w:rPr>
        <w:t>杭州市余杭第一中学实验室三期设备采购项目招标文件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ascii="宋体" w:hAnsi="宋体" w:cs="宋体"/>
          <w:b/>
          <w:sz w:val="36"/>
          <w:szCs w:val="36"/>
        </w:rPr>
      </w:pPr>
      <w:r>
        <w:rPr>
          <w:rFonts w:hint="eastAsia" w:ascii="宋体" w:hAnsi="宋体" w:cs="宋体"/>
          <w:b/>
          <w:sz w:val="36"/>
          <w:szCs w:val="36"/>
        </w:rPr>
        <w:t>（项目编号：HZSYCG2023-040）</w:t>
      </w:r>
    </w:p>
    <w:p>
      <w:pPr>
        <w:snapToGrid w:val="0"/>
        <w:spacing w:line="360" w:lineRule="auto"/>
        <w:jc w:val="center"/>
        <w:rPr>
          <w:rFonts w:ascii="仿宋" w:hAnsi="仿宋" w:eastAsia="仿宋" w:cs="仿宋_GB2312"/>
          <w:sz w:val="30"/>
          <w:szCs w:val="30"/>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p>
    <w:p>
      <w:pPr>
        <w:pStyle w:val="24"/>
      </w:pPr>
    </w:p>
    <w:p>
      <w:pPr>
        <w:spacing w:line="360" w:lineRule="auto"/>
        <w:jc w:val="center"/>
        <w:rPr>
          <w:rFonts w:ascii="仿宋" w:hAnsi="仿宋" w:eastAsia="仿宋" w:cs="仿宋_GB2312"/>
          <w:sz w:val="24"/>
        </w:rPr>
      </w:pPr>
      <w:r>
        <w:rPr>
          <w:rFonts w:hint="eastAsia" w:ascii="仿宋" w:hAnsi="仿宋" w:eastAsia="仿宋" w:cs="仿宋_GB2312"/>
          <w:sz w:val="24"/>
        </w:rPr>
        <w:t xml:space="preserve"> </w:t>
      </w:r>
    </w:p>
    <w:p>
      <w:pPr>
        <w:pStyle w:val="2"/>
        <w:rPr>
          <w:rFonts w:ascii="仿宋" w:hAnsi="仿宋" w:eastAsia="仿宋" w:cs="仿宋_GB2312"/>
          <w:lang w:val="en-US"/>
        </w:rPr>
      </w:pPr>
    </w:p>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jc w:val="center"/>
        <w:rPr>
          <w:rFonts w:ascii="宋体" w:hAnsi="宋体" w:cs="宋体"/>
          <w:b/>
          <w:color w:val="000000"/>
          <w:sz w:val="36"/>
          <w:szCs w:val="36"/>
        </w:rPr>
      </w:pPr>
      <w:r>
        <w:rPr>
          <w:rFonts w:hint="eastAsia" w:ascii="宋体" w:hAnsi="宋体" w:cs="宋体"/>
          <w:b/>
          <w:color w:val="000000"/>
          <w:sz w:val="36"/>
          <w:szCs w:val="36"/>
        </w:rPr>
        <w:t>采购人：杭州市余杭第一中学</w:t>
      </w:r>
    </w:p>
    <w:p>
      <w:pPr>
        <w:snapToGrid w:val="0"/>
        <w:spacing w:line="360" w:lineRule="auto"/>
        <w:jc w:val="center"/>
        <w:rPr>
          <w:rFonts w:ascii="宋体" w:hAnsi="宋体" w:cs="宋体"/>
          <w:bCs/>
          <w:color w:val="000000"/>
          <w:sz w:val="28"/>
          <w:szCs w:val="28"/>
        </w:rPr>
      </w:pPr>
      <w:r>
        <w:rPr>
          <w:rFonts w:hint="eastAsia" w:ascii="宋体" w:hAnsi="宋体" w:cs="宋体"/>
          <w:b/>
          <w:color w:val="000000"/>
          <w:sz w:val="36"/>
          <w:szCs w:val="36"/>
        </w:rPr>
        <w:t>采购代理机构：杭州尚远招标代理有限公司</w:t>
      </w:r>
    </w:p>
    <w:p>
      <w:pPr>
        <w:spacing w:line="360" w:lineRule="auto"/>
        <w:jc w:val="center"/>
        <w:rPr>
          <w:rFonts w:ascii="仿宋" w:hAnsi="仿宋" w:eastAsia="仿宋" w:cs="仿宋_GB2312"/>
          <w:sz w:val="24"/>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二三年七月</w:t>
      </w: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649545"/>
      <w:bookmarkEnd w:id="4"/>
      <w:bookmarkStart w:id="5" w:name="_Hlt74707423"/>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Style w:val="80"/>
          <w:rFonts w:hint="eastAsia" w:ascii="仿宋_GB2312" w:hAnsi="仿宋" w:eastAsia="仿宋_GB2312" w:cs="Times New Roman"/>
          <w:color w:val="auto"/>
          <w:kern w:val="2"/>
          <w:sz w:val="24"/>
          <w:szCs w:val="24"/>
          <w:u w:val="single"/>
        </w:rPr>
        <w:t>杭州市余杭第一中学实验室三期设备采购项目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80"/>
          <w:rFonts w:ascii="仿宋_GB2312" w:hAnsi="仿宋" w:eastAsia="仿宋_GB2312" w:cs="Times New Roman"/>
          <w:color w:val="auto"/>
          <w:kern w:val="2"/>
          <w:sz w:val="24"/>
          <w:szCs w:val="24"/>
        </w:rPr>
        <w:t>https://www.zcygov.cn/）获取（下载）招标文件，并于</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7月 28日14点00分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b/>
          <w:sz w:val="24"/>
        </w:rPr>
        <w:t>项目编号：</w:t>
      </w:r>
      <w:r>
        <w:rPr>
          <w:rFonts w:hint="eastAsia" w:ascii="仿宋_GB2312" w:hAnsi="仿宋" w:eastAsia="仿宋_GB2312"/>
          <w:sz w:val="24"/>
        </w:rPr>
        <w:t>（HZSYCG2023-040）</w:t>
      </w:r>
    </w:p>
    <w:p>
      <w:pPr>
        <w:spacing w:line="360" w:lineRule="auto"/>
        <w:ind w:firstLine="480"/>
        <w:rPr>
          <w:rFonts w:ascii="仿宋_GB2312" w:hAnsi="仿宋" w:eastAsia="仿宋_GB2312"/>
          <w:b/>
          <w:sz w:val="24"/>
        </w:rPr>
      </w:pPr>
      <w:r>
        <w:rPr>
          <w:rFonts w:ascii="仿宋_GB2312" w:hAnsi="仿宋" w:eastAsia="仿宋_GB2312"/>
          <w:b/>
          <w:sz w:val="24"/>
        </w:rPr>
        <w:t>项目名称：</w:t>
      </w:r>
      <w:r>
        <w:rPr>
          <w:rStyle w:val="80"/>
          <w:rFonts w:hint="eastAsia" w:ascii="仿宋_GB2312" w:hAnsi="仿宋" w:eastAsia="仿宋_GB2312" w:cs="Times New Roman"/>
          <w:color w:val="auto"/>
          <w:kern w:val="2"/>
          <w:sz w:val="24"/>
          <w:szCs w:val="24"/>
          <w:u w:val="single"/>
        </w:rPr>
        <w:t>杭州市余杭第一中学实验室三期设备采购项目</w:t>
      </w:r>
      <w:r>
        <w:rPr>
          <w:rFonts w:ascii="仿宋_GB2312" w:hAnsi="仿宋" w:eastAsia="仿宋_GB2312"/>
          <w:sz w:val="24"/>
        </w:rPr>
        <w:t xml:space="preserve">  </w:t>
      </w:r>
      <w:r>
        <w:rPr>
          <w:rFonts w:ascii="仿宋_GB2312" w:hAnsi="仿宋" w:eastAsia="仿宋_GB2312"/>
          <w:b/>
          <w:sz w:val="24"/>
        </w:rPr>
        <w:t xml:space="preserve"> </w:t>
      </w:r>
    </w:p>
    <w:p>
      <w:pPr>
        <w:spacing w:line="360" w:lineRule="auto"/>
        <w:ind w:firstLine="480"/>
        <w:rPr>
          <w:rFonts w:ascii="仿宋_GB2312" w:hAnsi="仿宋" w:eastAsia="仿宋_GB2312"/>
          <w:b/>
          <w:sz w:val="24"/>
        </w:rPr>
      </w:pPr>
      <w:r>
        <w:rPr>
          <w:rFonts w:ascii="仿宋_GB2312" w:hAnsi="仿宋" w:eastAsia="仿宋_GB2312"/>
          <w:b/>
          <w:sz w:val="24"/>
        </w:rPr>
        <w:t>预算金额（元）：</w:t>
      </w:r>
      <w:r>
        <w:rPr>
          <w:rFonts w:hint="eastAsia" w:ascii="仿宋_GB2312" w:hAnsi="仿宋" w:eastAsia="仿宋_GB2312"/>
          <w:b/>
          <w:sz w:val="24"/>
        </w:rPr>
        <w:t>7800000</w:t>
      </w:r>
    </w:p>
    <w:p>
      <w:pPr>
        <w:spacing w:line="360" w:lineRule="auto"/>
        <w:ind w:firstLine="480"/>
        <w:rPr>
          <w:rFonts w:ascii="仿宋_GB2312" w:hAnsi="仿宋" w:eastAsia="仿宋_GB2312"/>
          <w:color w:val="FF0000"/>
          <w:sz w:val="24"/>
        </w:rPr>
      </w:pPr>
      <w:r>
        <w:rPr>
          <w:rFonts w:hint="eastAsia" w:ascii="仿宋_GB2312" w:hAnsi="仿宋" w:eastAsia="仿宋_GB2312"/>
          <w:b/>
          <w:sz w:val="24"/>
        </w:rPr>
        <w:t>最高限价（元）：7800000</w:t>
      </w:r>
    </w:p>
    <w:p>
      <w:pPr>
        <w:pStyle w:val="16"/>
        <w:spacing w:line="360" w:lineRule="auto"/>
        <w:ind w:firstLine="480"/>
        <w:rPr>
          <w:rFonts w:ascii="仿宋_GB2312" w:hAnsi="仿宋" w:eastAsia="仿宋_GB2312"/>
          <w:bCs/>
          <w:color w:val="auto"/>
          <w:kern w:val="2"/>
          <w:sz w:val="24"/>
          <w:szCs w:val="24"/>
        </w:rPr>
      </w:pPr>
      <w:r>
        <w:rPr>
          <w:rFonts w:hint="eastAsia" w:ascii="仿宋_GB2312" w:hAnsi="仿宋" w:eastAsia="仿宋_GB2312"/>
          <w:b/>
          <w:color w:val="auto"/>
          <w:sz w:val="24"/>
        </w:rPr>
        <w:t>采购需求：</w:t>
      </w:r>
      <w:r>
        <w:rPr>
          <w:rStyle w:val="80"/>
          <w:rFonts w:hint="eastAsia" w:ascii="仿宋_GB2312" w:hAnsi="仿宋" w:eastAsia="仿宋_GB2312" w:cs="Times New Roman"/>
          <w:color w:val="auto"/>
          <w:kern w:val="2"/>
          <w:sz w:val="24"/>
          <w:szCs w:val="24"/>
          <w:u w:val="single"/>
        </w:rPr>
        <w:t>杭州市余杭第一中学实验室三期设备采购项目</w:t>
      </w:r>
      <w:r>
        <w:rPr>
          <w:rFonts w:ascii="仿宋_GB2312" w:hAnsi="仿宋" w:eastAsia="仿宋_GB2312"/>
          <w:sz w:val="24"/>
          <w:u w:val="single"/>
        </w:rPr>
        <w:t xml:space="preserve"> </w:t>
      </w:r>
      <w:r>
        <w:rPr>
          <w:rStyle w:val="80"/>
          <w:rFonts w:hint="eastAsia" w:ascii="仿宋_GB2312" w:hAnsi="仿宋" w:eastAsia="仿宋_GB2312" w:cs="Times New Roman"/>
          <w:color w:val="auto"/>
          <w:kern w:val="2"/>
          <w:sz w:val="24"/>
          <w:szCs w:val="24"/>
          <w:u w:val="single"/>
        </w:rPr>
        <w:t>，</w:t>
      </w:r>
      <w:r>
        <w:rPr>
          <w:rFonts w:hint="eastAsia" w:ascii="仿宋_GB2312" w:hAnsi="仿宋" w:eastAsia="仿宋_GB2312"/>
          <w:bCs/>
          <w:snapToGrid/>
          <w:color w:val="auto"/>
          <w:kern w:val="2"/>
          <w:sz w:val="24"/>
          <w:szCs w:val="24"/>
        </w:rPr>
        <w:t>主要内容：</w:t>
      </w:r>
      <w:r>
        <w:rPr>
          <w:rStyle w:val="80"/>
          <w:rFonts w:hint="eastAsia" w:ascii="仿宋_GB2312" w:hAnsi="仿宋" w:eastAsia="仿宋_GB2312" w:cs="Times New Roman"/>
          <w:color w:val="auto"/>
          <w:kern w:val="2"/>
          <w:sz w:val="24"/>
          <w:szCs w:val="24"/>
          <w:u w:val="single"/>
        </w:rPr>
        <w:t>杭州市余杭第一中学实验室三期设备采购项目</w:t>
      </w:r>
      <w:r>
        <w:rPr>
          <w:rFonts w:hint="eastAsia" w:ascii="仿宋_GB2312" w:hAnsi="仿宋" w:eastAsia="仿宋_GB2312"/>
          <w:bCs/>
          <w:snapToGrid/>
          <w:color w:val="auto"/>
          <w:kern w:val="2"/>
          <w:sz w:val="24"/>
          <w:szCs w:val="24"/>
        </w:rPr>
        <w:t>的采购、运输、安装、调试、培训和相关维护等</w:t>
      </w:r>
      <w:r>
        <w:rPr>
          <w:rFonts w:ascii="仿宋_GB2312" w:hAnsi="仿宋" w:eastAsia="仿宋_GB2312"/>
          <w:bCs/>
          <w:snapToGrid/>
          <w:color w:val="auto"/>
          <w:kern w:val="2"/>
          <w:sz w:val="24"/>
          <w:szCs w:val="24"/>
        </w:rPr>
        <w:t>。</w:t>
      </w:r>
      <w:r>
        <w:rPr>
          <w:rFonts w:hint="eastAsia" w:ascii="仿宋_GB2312" w:hAnsi="仿宋" w:eastAsia="仿宋_GB2312"/>
          <w:bCs/>
          <w:snapToGrid/>
          <w:color w:val="auto"/>
          <w:kern w:val="2"/>
          <w:sz w:val="24"/>
          <w:szCs w:val="24"/>
        </w:rPr>
        <w:t>详见招标文件第三部分采购需求。</w:t>
      </w:r>
    </w:p>
    <w:p>
      <w:pPr>
        <w:spacing w:line="560" w:lineRule="exact"/>
        <w:ind w:firstLine="482" w:firstLineChars="200"/>
        <w:outlineLvl w:val="0"/>
        <w:rPr>
          <w:rFonts w:ascii="仿宋" w:hAnsi="仿宋" w:eastAsia="仿宋"/>
          <w:color w:val="FF0000"/>
          <w:sz w:val="24"/>
        </w:rPr>
      </w:pPr>
      <w:r>
        <w:rPr>
          <w:rFonts w:hint="eastAsia" w:ascii="仿宋_GB2312" w:hAnsi="仿宋" w:eastAsia="仿宋_GB2312"/>
          <w:b/>
          <w:snapToGrid w:val="0"/>
          <w:kern w:val="28"/>
          <w:sz w:val="24"/>
          <w:szCs w:val="20"/>
        </w:rPr>
        <w:t>合同履约期限：</w:t>
      </w:r>
      <w:r>
        <w:rPr>
          <w:rFonts w:hint="eastAsia" w:ascii="仿宋_GB2312" w:hAnsi="仿宋" w:eastAsia="仿宋_GB2312"/>
          <w:bCs/>
          <w:sz w:val="24"/>
        </w:rPr>
        <w:t>签订合同后，30日内完成供货安装，并调试完成。</w:t>
      </w:r>
    </w:p>
    <w:p>
      <w:pPr>
        <w:snapToGrid w:val="0"/>
        <w:spacing w:line="360" w:lineRule="auto"/>
        <w:ind w:firstLine="420" w:firstLineChars="200"/>
        <w:rPr>
          <w:rFonts w:ascii="仿宋_GB2312" w:hAnsi="仿宋" w:eastAsia="仿宋_GB2312"/>
        </w:rPr>
      </w:pPr>
    </w:p>
    <w:p>
      <w:pPr>
        <w:pStyle w:val="16"/>
        <w:spacing w:line="360" w:lineRule="auto"/>
        <w:ind w:firstLine="480"/>
        <w:rPr>
          <w:rFonts w:hAnsi="宋体" w:cs="Arial"/>
          <w:color w:val="auto"/>
          <w:kern w:val="0"/>
          <w:sz w:val="24"/>
        </w:rPr>
      </w:pPr>
      <w:r>
        <w:rPr>
          <w:rFonts w:hint="eastAsia" w:ascii="仿宋_GB2312" w:hAnsi="仿宋" w:eastAsia="仿宋_GB2312"/>
          <w:b/>
          <w:color w:val="auto"/>
          <w:sz w:val="24"/>
        </w:rPr>
        <w:t>本项目接受联合体投标：</w:t>
      </w:r>
      <w:r>
        <w:rPr>
          <w:rFonts w:ascii="MS Gothic" w:hAnsi="MS Gothic" w:eastAsia="MS Gothic" w:cs="Arial"/>
          <w:color w:val="auto"/>
          <w:kern w:val="0"/>
          <w:sz w:val="24"/>
        </w:rPr>
        <w:sym w:font="Wingdings" w:char="F0FE"/>
      </w:r>
      <w:r>
        <w:rPr>
          <w:rFonts w:hint="eastAsia" w:ascii="仿宋_GB2312" w:hAnsi="仿宋" w:eastAsia="仿宋_GB2312"/>
          <w:b/>
          <w:color w:val="auto"/>
          <w:sz w:val="24"/>
        </w:rPr>
        <w:t>是，</w:t>
      </w:r>
      <w:r>
        <w:rPr>
          <w:rFonts w:ascii="MS Gothic" w:hAnsi="MS Gothic" w:eastAsia="MS Gothic" w:cs="Arial"/>
          <w:color w:val="auto"/>
          <w:kern w:val="0"/>
          <w:sz w:val="24"/>
        </w:rPr>
        <w:t>☐</w:t>
      </w:r>
      <w:r>
        <w:rPr>
          <w:rFonts w:hint="eastAsia" w:ascii="仿宋_GB2312" w:hAnsi="仿宋" w:eastAsia="仿宋_GB2312"/>
          <w:b/>
          <w:color w:val="auto"/>
          <w:sz w:val="24"/>
        </w:rPr>
        <w:t>否</w:t>
      </w:r>
      <w:r>
        <w:rPr>
          <w:rFonts w:hint="eastAsia" w:hAnsi="宋体" w:cs="Arial"/>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_GB2312"/>
          <w:snapToGrid w:val="0"/>
          <w:kern w:val="28"/>
          <w:sz w:val="24"/>
          <w:szCs w:val="20"/>
        </w:rPr>
      </w:pPr>
      <w:r>
        <w:rPr>
          <w:rFonts w:ascii="仿宋" w:hAnsi="仿宋" w:eastAsia="仿宋" w:cs="仿宋_GB2312"/>
          <w:snapToGrid w:val="0"/>
          <w:kern w:val="28"/>
          <w:sz w:val="24"/>
          <w:szCs w:val="20"/>
        </w:rPr>
        <w:t xml:space="preserve">    2.</w:t>
      </w:r>
      <w:r>
        <w:rPr>
          <w:rFonts w:hint="eastAsia" w:ascii="仿宋" w:hAnsi="仿宋" w:eastAsia="仿宋" w:cs="仿宋_GB2312"/>
          <w:snapToGrid w:val="0"/>
          <w:kern w:val="28"/>
          <w:sz w:val="24"/>
          <w:szCs w:val="20"/>
        </w:rPr>
        <w:t>落实政府采购政策需满足的资格要求：</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无；</w:t>
      </w:r>
    </w:p>
    <w:p>
      <w:pPr>
        <w:spacing w:line="360" w:lineRule="auto"/>
        <w:ind w:firstLine="480" w:firstLineChars="200"/>
        <w:rPr>
          <w:rFonts w:ascii="仿宋_GB2312" w:hAnsi="仿宋" w:eastAsia="仿宋_GB2312"/>
          <w:sz w:val="24"/>
        </w:rPr>
      </w:pPr>
      <w:r>
        <w:rPr>
          <w:rFonts w:ascii="MS Gothic" w:hAnsi="MS Gothic" w:eastAsia="MS Gothic" w:cs="Arial"/>
          <w:kern w:val="0"/>
          <w:sz w:val="24"/>
        </w:rPr>
        <w:sym w:font="Wingdings" w:char="00FE"/>
      </w:r>
      <w:r>
        <w:rPr>
          <w:rFonts w:hint="eastAsia" w:ascii="仿宋_GB2312" w:hAnsi="仿宋" w:eastAsia="仿宋_GB2312" w:cs="Arial"/>
          <w:kern w:val="0"/>
          <w:sz w:val="24"/>
        </w:rPr>
        <w:t>专</w:t>
      </w:r>
      <w:r>
        <w:rPr>
          <w:rFonts w:hint="eastAsia" w:ascii="仿宋_GB2312" w:hAnsi="仿宋" w:eastAsia="仿宋_GB2312"/>
          <w:sz w:val="24"/>
        </w:rPr>
        <w:t>门面向中小企业</w:t>
      </w:r>
    </w:p>
    <w:p>
      <w:pPr>
        <w:spacing w:line="360" w:lineRule="auto"/>
        <w:ind w:firstLine="897" w:firstLineChars="374"/>
        <w:rPr>
          <w:rFonts w:ascii="仿宋_GB2312" w:hAnsi="仿宋" w:eastAsia="仿宋_GB2312"/>
          <w:sz w:val="24"/>
          <w:u w:val="single"/>
        </w:rPr>
      </w:pPr>
      <w:r>
        <w:rPr>
          <w:rFonts w:ascii="MS Gothic" w:hAnsi="MS Gothic" w:eastAsia="MS Gothic" w:cs="Arial"/>
          <w:kern w:val="0"/>
          <w:sz w:val="24"/>
        </w:rPr>
        <w:sym w:font="Wingdings" w:char="00FE"/>
      </w:r>
      <w:r>
        <w:rPr>
          <w:rFonts w:hint="eastAsia" w:ascii="仿宋_GB2312" w:hAnsi="仿宋" w:eastAsia="仿宋_GB2312"/>
          <w:sz w:val="24"/>
        </w:rPr>
        <w:t>货物全部由符合政策要求的中小企业制造，提供中小企业声明函；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货物全部由符合政策要求的小微企业制造，提供中小企业声明函；</w:t>
      </w:r>
    </w:p>
    <w:p>
      <w:pPr>
        <w:spacing w:line="360" w:lineRule="auto"/>
        <w:ind w:firstLine="897" w:firstLineChars="374"/>
        <w:rPr>
          <w:rFonts w:ascii="仿宋_GB2312" w:hAnsi="仿宋" w:eastAsia="仿宋_GB2312"/>
          <w:sz w:val="24"/>
        </w:rPr>
      </w:pPr>
      <w:r>
        <w:rPr>
          <w:rFonts w:ascii="MS Gothic" w:hAnsi="MS Gothic" w:eastAsia="MS Gothic" w:cs="Arial"/>
          <w:kern w:val="0"/>
          <w:sz w:val="24"/>
        </w:rPr>
        <w:sym w:font="Wingdings" w:char="00A8"/>
      </w:r>
      <w:r>
        <w:rPr>
          <w:rFonts w:hint="eastAsia" w:ascii="仿宋_GB2312" w:hAnsi="仿宋" w:eastAsia="仿宋_GB2312"/>
          <w:sz w:val="24"/>
        </w:rPr>
        <w:t>服务全部由符合政策要求的中小企业承接，提供中小企业声明函；</w:t>
      </w:r>
    </w:p>
    <w:p>
      <w:pPr>
        <w:spacing w:line="360" w:lineRule="auto"/>
        <w:ind w:firstLine="897" w:firstLineChars="374"/>
        <w:rPr>
          <w:rFonts w:ascii="仿宋_GB2312" w:hAnsi="仿宋" w:eastAsia="仿宋_GB2312"/>
          <w:sz w:val="24"/>
        </w:rPr>
      </w:pPr>
      <w:r>
        <w:rPr>
          <w:rFonts w:ascii="MS Gothic" w:hAnsi="MS Gothic" w:eastAsia="仿宋_GB2312" w:cs="Arial"/>
          <w:kern w:val="0"/>
          <w:sz w:val="24"/>
        </w:rPr>
        <w:t>☐</w:t>
      </w:r>
      <w:r>
        <w:rPr>
          <w:rFonts w:hint="eastAsia" w:ascii="仿宋_GB2312" w:hAnsi="仿宋" w:eastAsia="仿宋_GB2312"/>
          <w:sz w:val="24"/>
        </w:rPr>
        <w:t>服务全部由符合政策要求的小微企业承接，提供中小企业声明函；</w:t>
      </w:r>
    </w:p>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_GB2312" w:hAnsi="仿宋" w:eastAsia="仿宋_GB2312"/>
          <w:sz w:val="24"/>
        </w:rPr>
        <w:t>要求以联合体形式参加，提供联合协议和中小企业声明函，联合协议中中小企业合同金额应当达到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微企业合同金额应当达到</w:t>
      </w:r>
      <w:r>
        <w:rPr>
          <w:rFonts w:ascii="仿宋_GB2312" w:hAnsi="仿宋" w:eastAsia="仿宋_GB2312"/>
          <w:sz w:val="24"/>
          <w:u w:val="single"/>
        </w:rPr>
        <w:t xml:space="preserve"> </w:t>
      </w:r>
      <w:r>
        <w:rPr>
          <w:rFonts w:ascii="仿宋_GB2312" w:hAnsi="仿宋" w:eastAsia="仿宋_GB2312"/>
          <w:sz w:val="24"/>
        </w:rPr>
        <w:t>%;</w:t>
      </w:r>
      <w:r>
        <w:rPr>
          <w:rFonts w:hint="eastAsia" w:ascii="仿宋" w:hAnsi="仿宋" w:eastAsia="仿宋" w:cs="宋体"/>
          <w:spacing w:val="8"/>
          <w:kern w:val="0"/>
          <w:sz w:val="24"/>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MS Gothic" w:hAnsi="MS Gothic" w:eastAsia="仿宋_GB2312" w:cs="Arial"/>
          <w:kern w:val="0"/>
          <w:sz w:val="24"/>
        </w:rPr>
        <w:t>☐</w:t>
      </w:r>
      <w:r>
        <w:rPr>
          <w:rFonts w:hint="eastAsia" w:ascii="仿宋" w:hAnsi="仿宋" w:eastAsia="仿宋"/>
          <w:sz w:val="24"/>
        </w:rPr>
        <w:t>要求合同分包，提供分包意向协议和中小企业声明函，分包意向协议中中小企业合同金额应当达到</w:t>
      </w:r>
      <w:r>
        <w:rPr>
          <w:rFonts w:hint="eastAsia" w:ascii="仿宋_GB2312" w:hAnsi="仿宋" w:eastAsia="仿宋_GB2312"/>
          <w:sz w:val="24"/>
        </w:rPr>
        <w:t>达到</w:t>
      </w:r>
      <w:r>
        <w:rPr>
          <w:rFonts w:ascii="仿宋_GB2312" w:hAnsi="仿宋" w:eastAsia="仿宋_GB2312"/>
          <w:sz w:val="24"/>
          <w:u w:val="single"/>
        </w:rPr>
        <w:t xml:space="preserve">  </w:t>
      </w:r>
      <w:r>
        <w:rPr>
          <w:rFonts w:ascii="仿宋_GB2312" w:hAnsi="仿宋" w:eastAsia="仿宋_GB2312"/>
          <w:sz w:val="24"/>
        </w:rPr>
        <w:t xml:space="preserve">% </w:t>
      </w:r>
      <w:r>
        <w:rPr>
          <w:rFonts w:hint="eastAsia" w:ascii="仿宋_GB2312" w:hAnsi="仿宋" w:eastAsia="仿宋_GB2312"/>
          <w:sz w:val="24"/>
        </w:rPr>
        <w:t>，小微企业合同金额应当达到</w:t>
      </w:r>
      <w:r>
        <w:rPr>
          <w:rFonts w:ascii="仿宋_GB2312" w:hAnsi="仿宋" w:eastAsia="仿宋_GB2312"/>
          <w:sz w:val="24"/>
          <w:u w:val="single"/>
        </w:rPr>
        <w:t xml:space="preserve"> </w:t>
      </w:r>
      <w:r>
        <w:rPr>
          <w:rFonts w:ascii="仿宋_GB2312" w:hAnsi="仿宋" w:eastAsia="仿宋_GB2312"/>
          <w:sz w:val="24"/>
        </w:rPr>
        <w:t>% ;</w:t>
      </w:r>
      <w:r>
        <w:rPr>
          <w:rFonts w:hint="eastAsia" w:ascii="仿宋" w:hAnsi="仿宋" w:eastAsia="仿宋" w:cs="宋体"/>
          <w:spacing w:val="8"/>
          <w:kern w:val="0"/>
          <w:sz w:val="24"/>
        </w:rPr>
        <w:t>如果供应商本身提供所有标的均由中小企业制造、承建或承接，视同符合了资格条件，无需再向中小企业分包，无需提供分包意向协议</w:t>
      </w:r>
      <w:r>
        <w:rPr>
          <w:rFonts w:hint="eastAsia" w:ascii="仿宋" w:hAnsi="仿宋" w:eastAsia="仿宋"/>
          <w:sz w:val="24"/>
        </w:rPr>
        <w:t>；</w:t>
      </w:r>
    </w:p>
    <w:p>
      <w:pPr>
        <w:numPr>
          <w:ilvl w:val="0"/>
          <w:numId w:val="1"/>
        </w:numPr>
        <w:snapToGrid w:val="0"/>
        <w:spacing w:line="360" w:lineRule="auto"/>
        <w:ind w:firstLine="480" w:firstLineChars="200"/>
        <w:rPr>
          <w:rFonts w:ascii="仿宋_GB2312" w:hAnsi="仿宋" w:eastAsia="仿宋_GB2312"/>
          <w:b/>
          <w:bCs/>
          <w:sz w:val="24"/>
        </w:rPr>
      </w:pPr>
      <w:r>
        <w:rPr>
          <w:rFonts w:ascii="仿宋_GB2312" w:hAnsi="仿宋" w:eastAsia="仿宋_GB2312"/>
          <w:sz w:val="24"/>
        </w:rPr>
        <w:t>本项目的特定资格要求：</w:t>
      </w:r>
      <w:r>
        <w:rPr>
          <w:rFonts w:hint="eastAsia" w:ascii="仿宋_GB2312" w:hAnsi="仿宋" w:eastAsia="仿宋_GB2312"/>
          <w:b/>
          <w:bCs/>
          <w:color w:val="FF0000"/>
          <w:sz w:val="24"/>
        </w:rPr>
        <w:t>资格文件需中小企业申明函，不提供将被视为无效；</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2023</w:t>
      </w:r>
      <w:r>
        <w:rPr>
          <w:rFonts w:ascii="仿宋_GB2312" w:hAnsi="仿宋" w:eastAsia="仿宋_GB2312"/>
          <w:sz w:val="24"/>
          <w:u w:val="single"/>
        </w:rPr>
        <w:t>年</w:t>
      </w:r>
      <w:r>
        <w:rPr>
          <w:rFonts w:hint="eastAsia" w:ascii="仿宋_GB2312" w:hAnsi="仿宋" w:eastAsia="仿宋_GB2312"/>
          <w:sz w:val="24"/>
          <w:u w:val="single"/>
        </w:rPr>
        <w:t>7</w:t>
      </w:r>
      <w:r>
        <w:rPr>
          <w:rFonts w:ascii="仿宋_GB2312" w:hAnsi="仿宋" w:eastAsia="仿宋_GB2312"/>
          <w:sz w:val="24"/>
          <w:u w:val="single"/>
        </w:rPr>
        <w:t>月</w:t>
      </w:r>
      <w:r>
        <w:rPr>
          <w:rFonts w:hint="eastAsia" w:ascii="仿宋_GB2312" w:hAnsi="仿宋" w:eastAsia="仿宋_GB2312"/>
          <w:sz w:val="24"/>
          <w:u w:val="single"/>
        </w:rPr>
        <w:t>28</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获取网址：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 xml:space="preserve">2023 </w:t>
      </w:r>
      <w:r>
        <w:rPr>
          <w:rFonts w:ascii="仿宋_GB2312" w:hAnsi="仿宋" w:eastAsia="仿宋_GB2312"/>
          <w:sz w:val="24"/>
          <w:u w:val="single"/>
        </w:rPr>
        <w:t>年</w:t>
      </w:r>
      <w:r>
        <w:rPr>
          <w:rFonts w:hint="eastAsia" w:ascii="仿宋_GB2312" w:hAnsi="仿宋" w:eastAsia="仿宋_GB2312"/>
          <w:sz w:val="24"/>
          <w:u w:val="single"/>
        </w:rPr>
        <w:t>7月28日14点00分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投标地点：</w:t>
      </w:r>
      <w:r>
        <w:rPr>
          <w:rFonts w:ascii="仿宋_GB2312" w:hAnsi="仿宋" w:eastAsia="仿宋_GB2312"/>
          <w:sz w:val="24"/>
        </w:rPr>
        <w:t>杭州</w:t>
      </w:r>
      <w:r>
        <w:rPr>
          <w:rFonts w:hint="eastAsia" w:ascii="仿宋_GB2312" w:hAnsi="仿宋" w:eastAsia="仿宋_GB2312"/>
          <w:sz w:val="24"/>
        </w:rPr>
        <w:t>尚远招标代理有限公司（临平区星桥街道星星路7号1幢3楼306开标室）</w:t>
      </w:r>
    </w:p>
    <w:p>
      <w:pPr>
        <w:spacing w:line="360" w:lineRule="auto"/>
        <w:ind w:firstLine="480" w:firstLineChars="200"/>
        <w:rPr>
          <w:rFonts w:ascii="仿宋_GB2312" w:hAnsi="仿宋" w:eastAsia="仿宋_GB2312"/>
          <w:b/>
          <w:sz w:val="24"/>
        </w:rPr>
      </w:pPr>
      <w:r>
        <w:rPr>
          <w:rFonts w:hint="eastAsia" w:ascii="仿宋_GB2312" w:hAnsi="仿宋" w:eastAsia="仿宋_GB2312"/>
          <w:sz w:val="24"/>
        </w:rPr>
        <w:t>投标网址：政采云平台（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ascii="仿宋_GB2312" w:hAnsi="仿宋" w:eastAsia="仿宋_GB2312"/>
          <w:sz w:val="24"/>
          <w:u w:val="single"/>
        </w:rPr>
        <w:t xml:space="preserve"> </w:t>
      </w:r>
      <w:r>
        <w:rPr>
          <w:rFonts w:hint="eastAsia" w:ascii="仿宋_GB2312" w:hAnsi="仿宋" w:eastAsia="仿宋_GB2312"/>
          <w:sz w:val="24"/>
          <w:u w:val="single"/>
        </w:rPr>
        <w:t xml:space="preserve">2023 </w:t>
      </w:r>
      <w:r>
        <w:rPr>
          <w:rFonts w:ascii="仿宋_GB2312" w:hAnsi="仿宋" w:eastAsia="仿宋_GB2312"/>
          <w:sz w:val="24"/>
          <w:u w:val="single"/>
        </w:rPr>
        <w:t>年</w:t>
      </w:r>
      <w:r>
        <w:rPr>
          <w:rFonts w:hint="eastAsia" w:ascii="仿宋_GB2312" w:hAnsi="仿宋" w:eastAsia="仿宋_GB2312"/>
          <w:sz w:val="24"/>
          <w:u w:val="single"/>
        </w:rPr>
        <w:t>7月28日14点00分</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开标地点：</w:t>
      </w:r>
      <w:r>
        <w:rPr>
          <w:rFonts w:ascii="仿宋_GB2312" w:hAnsi="仿宋" w:eastAsia="仿宋_GB2312"/>
          <w:sz w:val="24"/>
        </w:rPr>
        <w:t>杭州</w:t>
      </w:r>
      <w:r>
        <w:rPr>
          <w:rFonts w:hint="eastAsia" w:ascii="仿宋_GB2312" w:hAnsi="仿宋" w:eastAsia="仿宋_GB2312"/>
          <w:sz w:val="24"/>
        </w:rPr>
        <w:t>尚远招标代理有限公司（临平区星桥街道星星路7号1幢3楼314评</w:t>
      </w:r>
      <w:r>
        <w:rPr>
          <w:rFonts w:ascii="仿宋_GB2312" w:hAnsi="仿宋" w:eastAsia="仿宋_GB2312"/>
          <w:sz w:val="24"/>
        </w:rPr>
        <w:t>标室</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开标网址：</w:t>
      </w:r>
      <w:r>
        <w:rPr>
          <w:rFonts w:ascii="仿宋_GB2312" w:hAnsi="仿宋" w:eastAsia="仿宋_GB2312"/>
          <w:sz w:val="24"/>
        </w:rPr>
        <w:t>政</w:t>
      </w:r>
      <w:r>
        <w:rPr>
          <w:rFonts w:hint="eastAsia" w:ascii="仿宋_GB2312" w:hAnsi="仿宋" w:eastAsia="仿宋_GB2312"/>
          <w:sz w:val="24"/>
        </w:rPr>
        <w:t>采云平台（</w:t>
      </w:r>
      <w:r>
        <w:rPr>
          <w:rFonts w:ascii="仿宋_GB2312" w:hAnsi="仿宋" w:eastAsia="仿宋_GB2312"/>
          <w:sz w:val="24"/>
        </w:rPr>
        <w:t>https://www.zcygov.cn/）</w:t>
      </w:r>
    </w:p>
    <w:p>
      <w:pPr>
        <w:spacing w:line="360" w:lineRule="auto"/>
        <w:rPr>
          <w:rFonts w:ascii="仿宋_GB2312" w:hAnsi="仿宋" w:eastAsia="仿宋_GB2312"/>
          <w:sz w:val="24"/>
        </w:rPr>
      </w:pPr>
      <w:r>
        <w:rPr>
          <w:rFonts w:hint="eastAsia" w:ascii="仿宋_GB2312" w:hAnsi="仿宋" w:eastAsia="仿宋_GB2312"/>
          <w:b/>
          <w:sz w:val="24"/>
        </w:rPr>
        <w:t xml:space="preserve">    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numPr>
          <w:ilvl w:val="0"/>
          <w:numId w:val="2"/>
        </w:numPr>
        <w:spacing w:line="360" w:lineRule="auto"/>
        <w:rPr>
          <w:rFonts w:ascii="仿宋_GB2312" w:hAnsi="仿宋" w:eastAsia="仿宋_GB2312"/>
          <w:b/>
          <w:sz w:val="24"/>
        </w:rPr>
      </w:pPr>
      <w:r>
        <w:rPr>
          <w:rFonts w:hint="eastAsia" w:ascii="仿宋_GB2312" w:hAnsi="仿宋" w:eastAsia="仿宋_GB2312"/>
          <w:b/>
          <w:sz w:val="24"/>
        </w:rPr>
        <w:t>其他补充事宜</w:t>
      </w:r>
    </w:p>
    <w:p>
      <w:pPr>
        <w:spacing w:line="360" w:lineRule="auto"/>
        <w:rPr>
          <w:rFonts w:ascii="仿宋_GB2312" w:hAnsi="仿宋" w:eastAsia="仿宋_GB2312"/>
          <w:sz w:val="24"/>
        </w:rPr>
      </w:pPr>
      <w:r>
        <w:rPr>
          <w:rFonts w:hint="eastAsia" w:ascii="仿宋_GB2312" w:hAnsi="仿宋" w:eastAsia="仿宋_GB2312"/>
          <w:sz w:val="24"/>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rPr>
          <w:rFonts w:ascii="仿宋_GB2312" w:hAnsi="仿宋" w:eastAsia="仿宋_GB2312"/>
          <w:sz w:val="24"/>
        </w:rPr>
      </w:pPr>
      <w:r>
        <w:rPr>
          <w:rFonts w:hint="eastAsia" w:ascii="仿宋_GB2312" w:hAnsi="仿宋" w:eastAsia="仿宋_GB2312"/>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仿宋_GB2312" w:hAnsi="仿宋" w:eastAsia="仿宋_GB2312"/>
          <w:sz w:val="24"/>
        </w:rPr>
      </w:pPr>
      <w:r>
        <w:rPr>
          <w:rFonts w:hint="eastAsia" w:ascii="仿宋_GB2312" w:hAnsi="仿宋" w:eastAsia="仿宋_GB2312"/>
          <w:sz w:val="24"/>
        </w:rPr>
        <w:t xml:space="preserve">    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rPr>
          <w:rFonts w:ascii="仿宋_GB2312" w:hAnsi="仿宋" w:eastAsia="仿宋_GB2312"/>
          <w:sz w:val="24"/>
        </w:rPr>
      </w:pPr>
      <w:r>
        <w:rPr>
          <w:rFonts w:hint="eastAsia" w:ascii="仿宋_GB2312" w:hAnsi="仿宋" w:eastAsia="仿宋_GB2312"/>
          <w:sz w:val="24"/>
        </w:rPr>
        <w:t xml:space="preserve">    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 w:hAnsi="仿宋" w:eastAsia="仿宋" w:cs="仿宋"/>
          <w:sz w:val="24"/>
        </w:rPr>
      </w:pPr>
      <w:r>
        <w:rPr>
          <w:rFonts w:ascii="仿宋_GB2312" w:hAnsi="仿宋" w:eastAsia="仿宋_GB2312"/>
          <w:sz w:val="24"/>
        </w:rPr>
        <w:t xml:space="preserve">    1.</w:t>
      </w:r>
      <w:r>
        <w:rPr>
          <w:rFonts w:hint="eastAsia" w:ascii="仿宋" w:hAnsi="仿宋" w:eastAsia="仿宋" w:cs="仿宋"/>
          <w:sz w:val="24"/>
        </w:rPr>
        <w:t xml:space="preserve">  1.采购人信息</w:t>
      </w:r>
    </w:p>
    <w:p>
      <w:pPr>
        <w:spacing w:line="360" w:lineRule="auto"/>
        <w:ind w:firstLine="480"/>
        <w:rPr>
          <w:rFonts w:ascii="仿宋" w:hAnsi="仿宋" w:eastAsia="仿宋" w:cs="仿宋"/>
          <w:sz w:val="24"/>
        </w:rPr>
      </w:pPr>
      <w:r>
        <w:rPr>
          <w:rFonts w:hint="eastAsia" w:ascii="仿宋" w:hAnsi="仿宋" w:eastAsia="仿宋" w:cs="仿宋"/>
          <w:sz w:val="24"/>
        </w:rPr>
        <w:t>名    称：杭州市余杭第一中学</w:t>
      </w:r>
    </w:p>
    <w:p>
      <w:pPr>
        <w:spacing w:line="360" w:lineRule="auto"/>
        <w:ind w:firstLine="480"/>
        <w:rPr>
          <w:rFonts w:ascii="仿宋" w:hAnsi="仿宋" w:eastAsia="仿宋" w:cs="仿宋"/>
          <w:sz w:val="24"/>
        </w:rPr>
      </w:pPr>
      <w:r>
        <w:rPr>
          <w:rFonts w:hint="eastAsia" w:ascii="仿宋" w:hAnsi="仿宋" w:eastAsia="仿宋" w:cs="仿宋"/>
          <w:sz w:val="24"/>
        </w:rPr>
        <w:t>地    址：杭州市余杭区良渚街道庄墩路818号</w:t>
      </w:r>
    </w:p>
    <w:p>
      <w:pPr>
        <w:spacing w:line="360" w:lineRule="auto"/>
        <w:ind w:firstLine="480"/>
        <w:rPr>
          <w:rFonts w:ascii="仿宋" w:hAnsi="仿宋" w:eastAsia="仿宋" w:cs="仿宋"/>
          <w:sz w:val="24"/>
        </w:rPr>
      </w:pPr>
      <w:r>
        <w:rPr>
          <w:rFonts w:hint="eastAsia" w:ascii="仿宋" w:hAnsi="仿宋" w:eastAsia="仿宋" w:cs="仿宋"/>
          <w:sz w:val="24"/>
        </w:rPr>
        <w:t>传    真： /</w:t>
      </w:r>
    </w:p>
    <w:p>
      <w:pPr>
        <w:spacing w:line="360" w:lineRule="auto"/>
        <w:ind w:firstLine="480"/>
        <w:rPr>
          <w:rFonts w:ascii="仿宋" w:hAnsi="仿宋" w:eastAsia="仿宋" w:cs="仿宋"/>
          <w:sz w:val="24"/>
        </w:rPr>
      </w:pPr>
      <w:r>
        <w:rPr>
          <w:rFonts w:hint="eastAsia" w:ascii="仿宋" w:hAnsi="仿宋" w:eastAsia="仿宋" w:cs="仿宋"/>
          <w:sz w:val="24"/>
        </w:rPr>
        <w:t>项目联系人（询问）：王道磊  </w:t>
      </w:r>
    </w:p>
    <w:p>
      <w:pPr>
        <w:spacing w:line="360" w:lineRule="auto"/>
        <w:ind w:firstLine="480"/>
        <w:rPr>
          <w:rFonts w:ascii="仿宋" w:hAnsi="仿宋" w:eastAsia="仿宋" w:cs="仿宋"/>
          <w:sz w:val="24"/>
        </w:rPr>
      </w:pPr>
      <w:r>
        <w:rPr>
          <w:rFonts w:hint="eastAsia" w:ascii="仿宋" w:hAnsi="仿宋" w:eastAsia="仿宋" w:cs="仿宋"/>
          <w:sz w:val="24"/>
        </w:rPr>
        <w:t>项目联系方式（询问）：0571-88751927 </w:t>
      </w:r>
    </w:p>
    <w:p>
      <w:pPr>
        <w:spacing w:line="360" w:lineRule="auto"/>
        <w:ind w:firstLine="480"/>
        <w:rPr>
          <w:rFonts w:ascii="仿宋" w:hAnsi="仿宋" w:eastAsia="仿宋" w:cs="仿宋"/>
          <w:sz w:val="24"/>
        </w:rPr>
      </w:pPr>
      <w:r>
        <w:rPr>
          <w:rFonts w:hint="eastAsia" w:ascii="仿宋" w:hAnsi="仿宋" w:eastAsia="仿宋" w:cs="仿宋"/>
          <w:sz w:val="24"/>
        </w:rPr>
        <w:t>质疑联系人：边洪强 </w:t>
      </w:r>
    </w:p>
    <w:p>
      <w:pPr>
        <w:spacing w:line="360" w:lineRule="auto"/>
        <w:ind w:firstLine="480"/>
        <w:rPr>
          <w:rFonts w:ascii="仿宋" w:hAnsi="仿宋" w:eastAsia="仿宋" w:cs="仿宋"/>
          <w:sz w:val="24"/>
        </w:rPr>
      </w:pPr>
      <w:r>
        <w:rPr>
          <w:rFonts w:hint="eastAsia" w:ascii="仿宋" w:hAnsi="仿宋" w:eastAsia="仿宋" w:cs="仿宋"/>
          <w:sz w:val="24"/>
        </w:rPr>
        <w:t>质疑联系方式：13868080828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firstLineChars="200"/>
        <w:rPr>
          <w:rFonts w:ascii="仿宋" w:hAnsi="仿宋" w:eastAsia="仿宋" w:cs="仿宋"/>
          <w:sz w:val="24"/>
        </w:rPr>
      </w:pPr>
      <w:r>
        <w:rPr>
          <w:rFonts w:hint="eastAsia" w:ascii="仿宋" w:hAnsi="仿宋" w:eastAsia="仿宋" w:cs="仿宋"/>
          <w:sz w:val="24"/>
        </w:rPr>
        <w:t>名    称：杭州尚远招标代理有限公司</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地    址：杭州市临平区星桥街道星星路7号1幢3楼306室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 w:hAnsi="仿宋" w:eastAsia="仿宋"/>
          <w:sz w:val="24"/>
        </w:rPr>
        <w:t xml:space="preserve"> </w:t>
      </w:r>
      <w:r>
        <w:rPr>
          <w:rFonts w:hint="eastAsia" w:ascii="仿宋" w:hAnsi="仿宋" w:eastAsia="仿宋" w:cs="仿宋"/>
          <w:sz w:val="24"/>
        </w:rPr>
        <w:t xml:space="preserve">沈晓娟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 w:hAnsi="仿宋" w:eastAsia="仿宋" w:cs="仿宋"/>
          <w:sz w:val="24"/>
        </w:rPr>
        <w:t>13857135893</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 w:hAnsi="仿宋" w:eastAsia="仿宋" w:cs="仿宋"/>
          <w:sz w:val="24"/>
        </w:rPr>
        <w:t>李竹军</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 w:hAnsi="仿宋" w:eastAsia="仿宋"/>
          <w:sz w:val="24"/>
        </w:rPr>
        <w:t xml:space="preserve"> </w:t>
      </w:r>
      <w:r>
        <w:rPr>
          <w:rFonts w:hint="eastAsia" w:ascii="仿宋" w:hAnsi="仿宋" w:eastAsia="仿宋" w:cs="仿宋"/>
          <w:sz w:val="24"/>
        </w:rPr>
        <w:t>18357015059</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 w:hAnsi="仿宋" w:eastAsia="仿宋" w:cs="仿宋"/>
          <w:sz w:val="24"/>
        </w:rPr>
        <w:t>余杭区财政局采购监管科</w:t>
      </w:r>
      <w:r>
        <w:rPr>
          <w:rFonts w:hint="eastAsia" w:ascii="仿宋_GB2312" w:hAnsi="仿宋" w:eastAsia="仿宋_GB2312"/>
          <w:sz w:val="24"/>
        </w:rPr>
        <w:t xml:space="preserve"> </w:t>
      </w:r>
    </w:p>
    <w:p>
      <w:pPr>
        <w:spacing w:line="360" w:lineRule="auto"/>
        <w:rPr>
          <w:rFonts w:ascii="仿宋_GB2312" w:hAnsi="仿宋" w:eastAsia="仿宋"/>
          <w:sz w:val="24"/>
        </w:rPr>
      </w:pPr>
      <w:r>
        <w:rPr>
          <w:rFonts w:ascii="仿宋_GB2312" w:hAnsi="仿宋" w:eastAsia="仿宋_GB2312"/>
          <w:sz w:val="24"/>
        </w:rPr>
        <w:t xml:space="preserve">    地    址：</w:t>
      </w:r>
      <w:r>
        <w:rPr>
          <w:rFonts w:hint="eastAsia" w:ascii="仿宋" w:hAnsi="仿宋" w:eastAsia="仿宋" w:cs="仿宋"/>
          <w:sz w:val="24"/>
        </w:rPr>
        <w:t>杭州市余杭区文一西路1500号9号楼1201室 。</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杜国强</w:t>
      </w:r>
      <w:r>
        <w:rPr>
          <w:rFonts w:hint="eastAsia" w:ascii="仿宋" w:hAnsi="仿宋" w:eastAsia="仿宋" w:cs="仿宋"/>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 w:hAnsi="仿宋" w:eastAsia="仿宋" w:cs="仿宋"/>
          <w:sz w:val="24"/>
        </w:rPr>
        <w:t xml:space="preserve"> 0571-88728858 </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6"/>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ind w:firstLine="2891" w:firstLineChars="800"/>
        <w:outlineLvl w:val="0"/>
        <w:rPr>
          <w:rFonts w:ascii="仿宋" w:hAnsi="仿宋" w:eastAsia="仿宋" w:cs="仿宋_GB2312"/>
          <w:b/>
          <w:sz w:val="36"/>
          <w:szCs w:val="20"/>
        </w:rPr>
      </w:pP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6"/>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szCs w:val="20"/>
                <w:lang w:val="zh-CN"/>
              </w:rPr>
            </w:pPr>
            <w:r>
              <w:rPr>
                <w:rFonts w:hint="eastAsia" w:ascii="仿宋_GB2312" w:hAnsi="仿宋" w:eastAsia="仿宋_GB2312"/>
                <w:kern w:val="0"/>
                <w:sz w:val="24"/>
                <w:szCs w:val="20"/>
                <w:lang w:val="zh-CN"/>
              </w:rPr>
              <w:t>有关本项目实施所需的所有费用（含税费）均计入报价。</w:t>
            </w:r>
            <w:r>
              <w:rPr>
                <w:rFonts w:hint="eastAsia" w:ascii="仿宋_GB2312" w:hAnsi="仿宋" w:eastAsia="仿宋_GB2312" w:cs="仿宋_GB2312"/>
                <w:sz w:val="24"/>
                <w:szCs w:val="20"/>
              </w:rPr>
              <w:t>开标一览表（报价表）</w:t>
            </w:r>
            <w:r>
              <w:rPr>
                <w:rFonts w:hint="eastAsia" w:ascii="仿宋_GB2312" w:hAnsi="仿宋" w:eastAsia="仿宋_GB2312"/>
                <w:sz w:val="24"/>
                <w:szCs w:val="20"/>
              </w:rPr>
              <w:t>是报价的唯一载体</w:t>
            </w:r>
            <w:r>
              <w:rPr>
                <w:rFonts w:hint="eastAsia" w:ascii="仿宋_GB2312" w:hAnsi="仿宋" w:eastAsia="仿宋_GB2312" w:cs="仿宋_GB2312"/>
                <w:kern w:val="0"/>
                <w:sz w:val="24"/>
                <w:szCs w:val="20"/>
                <w:lang w:val="zh-CN"/>
              </w:rPr>
              <w:t>。投标文件中价格全部采用人民币报价。招标文件未列明，而投标人认为必需的费用也需列入报价。</w:t>
            </w:r>
            <w:r>
              <w:rPr>
                <w:rFonts w:hint="eastAsia" w:ascii="仿宋_GB2312" w:hAnsi="仿宋" w:eastAsia="仿宋_GB2312" w:cs="仿宋_GB2312"/>
                <w:b/>
                <w:kern w:val="0"/>
                <w:sz w:val="24"/>
                <w:szCs w:val="20"/>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szCs w:val="20"/>
                <w:lang w:val="zh-CN"/>
              </w:rPr>
            </w:pPr>
            <w:r>
              <w:rPr>
                <w:rFonts w:hint="eastAsia" w:ascii="仿宋_GB2312" w:hAnsi="仿宋" w:eastAsia="仿宋_GB2312" w:cs="仿宋_GB2312"/>
                <w:b/>
                <w:kern w:val="0"/>
                <w:sz w:val="24"/>
                <w:szCs w:val="20"/>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szCs w:val="20"/>
                <w:lang w:val="zh-CN"/>
              </w:rPr>
            </w:pPr>
            <w:r>
              <w:rPr>
                <w:rFonts w:hint="eastAsia" w:ascii="仿宋_GB2312" w:hAnsi="仿宋" w:eastAsia="仿宋_GB2312" w:cs="仿宋_GB2312"/>
                <w:b/>
                <w:kern w:val="0"/>
                <w:sz w:val="24"/>
                <w:szCs w:val="20"/>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szCs w:val="20"/>
                <w:lang w:val="zh-CN"/>
              </w:rPr>
            </w:pPr>
            <w:r>
              <w:rPr>
                <w:rFonts w:hint="eastAsia" w:ascii="仿宋_GB2312" w:hAnsi="仿宋" w:eastAsia="仿宋_GB2312" w:cs="仿宋_GB2312"/>
                <w:b/>
                <w:kern w:val="0"/>
                <w:sz w:val="24"/>
                <w:szCs w:val="20"/>
                <w:lang w:val="zh-CN"/>
              </w:rPr>
              <w:t>投标报价超过招标文件中规定的预算金额或者最高限价的</w:t>
            </w:r>
            <w:r>
              <w:rPr>
                <w:rFonts w:hint="eastAsia" w:ascii="仿宋_GB2312" w:hAnsi="仿宋" w:eastAsia="仿宋_GB2312"/>
                <w:b/>
                <w:kern w:val="0"/>
                <w:sz w:val="24"/>
                <w:szCs w:val="20"/>
                <w:lang w:val="zh-CN"/>
              </w:rPr>
              <w:t>;</w:t>
            </w:r>
          </w:p>
          <w:p>
            <w:pPr>
              <w:spacing w:line="360" w:lineRule="auto"/>
              <w:ind w:firstLine="241" w:firstLineChars="100"/>
              <w:rPr>
                <w:rFonts w:ascii="仿宋_GB2312" w:hAnsi="仿宋" w:eastAsia="仿宋_GB2312" w:cs="仿宋_GB2312"/>
                <w:b/>
                <w:sz w:val="24"/>
                <w:szCs w:val="20"/>
              </w:rPr>
            </w:pPr>
            <w:r>
              <w:rPr>
                <w:rFonts w:hint="eastAsia" w:ascii="仿宋_GB2312" w:hAnsi="仿宋" w:eastAsia="仿宋_GB2312" w:cs="Arial"/>
                <w:b/>
                <w:kern w:val="0"/>
                <w:sz w:val="24"/>
                <w:szCs w:val="20"/>
              </w:rPr>
              <w:t>报价明显低于其他通过符合性审查投标人的报价，有可能影响产品质量或者不能诚信履约的，未能按要求提供书面说明或者提交相关证明材料证明其报价合理性的</w:t>
            </w:r>
            <w:r>
              <w:rPr>
                <w:rFonts w:hint="eastAsia" w:ascii="仿宋_GB2312" w:hAnsi="仿宋" w:eastAsia="仿宋_GB2312" w:cs="仿宋_GB2312"/>
                <w:b/>
                <w:sz w:val="24"/>
                <w:szCs w:val="21"/>
              </w:rPr>
              <w:t>;</w:t>
            </w:r>
          </w:p>
          <w:p>
            <w:pPr>
              <w:spacing w:line="360" w:lineRule="auto"/>
              <w:ind w:firstLine="241" w:firstLineChars="100"/>
              <w:rPr>
                <w:rFonts w:ascii="仿宋_GB2312" w:hAnsi="仿宋" w:eastAsia="仿宋_GB2312"/>
                <w:sz w:val="24"/>
                <w:szCs w:val="20"/>
              </w:rPr>
            </w:pPr>
            <w:r>
              <w:rPr>
                <w:rFonts w:hint="eastAsia" w:ascii="仿宋_GB2312" w:hAnsi="仿宋" w:eastAsia="仿宋_GB2312" w:cs="Arial"/>
                <w:b/>
                <w:kern w:val="0"/>
                <w:sz w:val="24"/>
                <w:szCs w:val="20"/>
              </w:rPr>
              <w:t>投标人对根据修正原则修正后的报价不确认的</w:t>
            </w:r>
            <w:r>
              <w:rPr>
                <w:rFonts w:hint="eastAsia" w:ascii="仿宋_GB2312" w:hAnsi="仿宋" w:eastAsia="仿宋_GB2312"/>
                <w:b/>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szCs w:val="20"/>
              </w:rPr>
            </w:pPr>
            <w:r>
              <w:rPr>
                <w:rFonts w:hint="eastAsia" w:ascii="仿宋_GB2312" w:hAnsi="仿宋" w:eastAsia="仿宋_GB2312" w:cs="仿宋_GB2312"/>
                <w:b/>
                <w:sz w:val="24"/>
                <w:szCs w:val="20"/>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szCs w:val="20"/>
              </w:rPr>
            </w:pPr>
            <w:r>
              <w:rPr>
                <w:rFonts w:hint="eastAsia" w:ascii="MS Gothic" w:hAnsi="MS Gothic" w:eastAsia="MS Gothic" w:cs="Arial"/>
                <w:kern w:val="0"/>
                <w:sz w:val="24"/>
                <w:szCs w:val="20"/>
              </w:rPr>
              <w:t>☐</w:t>
            </w:r>
            <w:r>
              <w:rPr>
                <w:rFonts w:hint="eastAsia" w:ascii="仿宋_GB2312" w:hAnsi="仿宋" w:eastAsia="仿宋_GB2312" w:cs="Arial"/>
                <w:kern w:val="0"/>
                <w:sz w:val="24"/>
                <w:szCs w:val="20"/>
              </w:rPr>
              <w:t xml:space="preserve"> A</w:t>
            </w:r>
            <w:r>
              <w:rPr>
                <w:rFonts w:hint="eastAsia" w:ascii="仿宋_GB2312" w:hAnsi="仿宋" w:eastAsia="仿宋_GB2312"/>
                <w:sz w:val="24"/>
                <w:szCs w:val="20"/>
              </w:rPr>
              <w:t>同意将非主体、非关键性的</w:t>
            </w:r>
            <w:r>
              <w:rPr>
                <w:rFonts w:hint="eastAsia" w:ascii="仿宋_GB2312" w:hAnsi="仿宋" w:eastAsia="仿宋_GB2312"/>
                <w:sz w:val="24"/>
                <w:szCs w:val="20"/>
                <w:u w:val="single"/>
              </w:rPr>
              <w:t xml:space="preserve">             </w:t>
            </w:r>
            <w:r>
              <w:rPr>
                <w:rFonts w:hint="eastAsia" w:ascii="仿宋_GB2312" w:hAnsi="仿宋" w:eastAsia="仿宋_GB2312"/>
                <w:sz w:val="24"/>
                <w:szCs w:val="20"/>
              </w:rPr>
              <w:t>工作分包。</w:t>
            </w:r>
            <w:r>
              <w:rPr>
                <w:rFonts w:hint="eastAsia" w:ascii="仿宋_GB2312" w:hAnsi="仿宋" w:eastAsia="仿宋_GB2312" w:cs="Arial"/>
                <w:kern w:val="0"/>
                <w:sz w:val="24"/>
                <w:szCs w:val="20"/>
              </w:rPr>
              <w:sym w:font="Wingdings" w:char="F0FE"/>
            </w:r>
            <w:r>
              <w:rPr>
                <w:rFonts w:hint="eastAsia" w:ascii="仿宋_GB2312" w:hAnsi="仿宋" w:eastAsia="仿宋_GB2312" w:cs="Arial"/>
                <w:kern w:val="0"/>
                <w:sz w:val="24"/>
                <w:szCs w:val="20"/>
              </w:rPr>
              <w:t xml:space="preserve"> B</w:t>
            </w:r>
            <w:r>
              <w:rPr>
                <w:rFonts w:hint="eastAsia" w:ascii="仿宋_GB2312" w:hAnsi="仿宋" w:eastAsia="仿宋_GB2312"/>
                <w:sz w:val="24"/>
                <w:szCs w:val="20"/>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szCs w:val="20"/>
              </w:rPr>
            </w:pPr>
            <w:r>
              <w:rPr>
                <w:rFonts w:hint="eastAsia" w:ascii="仿宋_GB2312" w:hAnsi="仿宋" w:eastAsia="仿宋_GB2312"/>
                <w:sz w:val="24"/>
                <w:szCs w:val="20"/>
              </w:rPr>
              <w:t>（1）资格证明文件：见招标文件第二部分11.1。</w:t>
            </w:r>
          </w:p>
          <w:p>
            <w:pPr>
              <w:spacing w:line="360" w:lineRule="auto"/>
              <w:rPr>
                <w:rFonts w:ascii="Arial" w:hAnsi="Arial" w:eastAsia="黑体" w:cs="Arial"/>
                <w:snapToGrid w:val="0"/>
                <w:kern w:val="0"/>
                <w:sz w:val="20"/>
                <w:szCs w:val="21"/>
              </w:rPr>
            </w:pPr>
            <w:r>
              <w:rPr>
                <w:rFonts w:hint="eastAsia" w:ascii="仿宋_GB2312" w:hAnsi="仿宋" w:eastAsia="仿宋_GB2312"/>
                <w:kern w:val="0"/>
                <w:sz w:val="24"/>
                <w:szCs w:val="2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szCs w:val="20"/>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r>
              <w:rPr>
                <w:rFonts w:hint="eastAsia" w:ascii="仿宋_GB2312" w:hAnsi="仿宋" w:eastAsia="仿宋_GB2312"/>
                <w:sz w:val="24"/>
                <w:szCs w:val="20"/>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r>
              <w:rPr>
                <w:rFonts w:hint="eastAsia" w:ascii="仿宋_GB2312" w:hAnsi="仿宋" w:eastAsia="仿宋_GB2312" w:cs="Arial"/>
                <w:kern w:val="0"/>
                <w:sz w:val="24"/>
                <w:szCs w:val="20"/>
              </w:rPr>
              <w:sym w:font="Wingdings" w:char="F0FE"/>
            </w:r>
            <w:r>
              <w:rPr>
                <w:rFonts w:hint="eastAsia" w:ascii="仿宋_GB2312" w:hAnsi="仿宋" w:eastAsia="仿宋_GB2312" w:cs="Arial"/>
                <w:kern w:val="0"/>
                <w:sz w:val="24"/>
                <w:szCs w:val="20"/>
              </w:rPr>
              <w:t>A</w:t>
            </w:r>
            <w:r>
              <w:rPr>
                <w:rFonts w:hint="eastAsia" w:ascii="仿宋_GB2312" w:hAnsi="仿宋" w:eastAsia="仿宋_GB2312"/>
                <w:sz w:val="24"/>
                <w:szCs w:val="20"/>
              </w:rPr>
              <w:t>不组织。</w:t>
            </w:r>
          </w:p>
          <w:p>
            <w:pPr>
              <w:spacing w:line="360" w:lineRule="auto"/>
              <w:rPr>
                <w:rFonts w:ascii="仿宋_GB2312" w:hAnsi="仿宋" w:eastAsia="仿宋_GB2312"/>
                <w:sz w:val="24"/>
                <w:szCs w:val="20"/>
              </w:rPr>
            </w:pPr>
            <w:r>
              <w:rPr>
                <w:rFonts w:hint="eastAsia" w:ascii="MS Gothic" w:hAnsi="MS Gothic" w:eastAsia="MS Gothic" w:cs="Arial"/>
                <w:kern w:val="0"/>
                <w:sz w:val="24"/>
                <w:szCs w:val="20"/>
              </w:rPr>
              <w:t>☐</w:t>
            </w:r>
            <w:r>
              <w:rPr>
                <w:rFonts w:hint="eastAsia" w:ascii="仿宋_GB2312" w:hAnsi="仿宋" w:eastAsia="仿宋_GB2312"/>
                <w:kern w:val="0"/>
                <w:sz w:val="24"/>
                <w:szCs w:val="20"/>
              </w:rPr>
              <w:t>B组织，</w:t>
            </w:r>
            <w:r>
              <w:rPr>
                <w:rFonts w:hint="eastAsia" w:ascii="仿宋_GB2312" w:hAnsi="仿宋" w:eastAsia="仿宋_GB2312"/>
                <w:sz w:val="24"/>
                <w:szCs w:val="20"/>
              </w:rPr>
              <w:t>时间：</w:t>
            </w:r>
            <w:r>
              <w:rPr>
                <w:rFonts w:hint="eastAsia" w:ascii="仿宋_GB2312" w:hAnsi="仿宋" w:eastAsia="仿宋_GB2312"/>
                <w:sz w:val="24"/>
                <w:szCs w:val="20"/>
                <w:u w:val="single"/>
              </w:rPr>
              <w:t xml:space="preserve">      </w:t>
            </w:r>
            <w:r>
              <w:rPr>
                <w:rFonts w:hint="eastAsia" w:ascii="仿宋_GB2312" w:hAnsi="仿宋" w:eastAsia="仿宋_GB2312"/>
                <w:sz w:val="24"/>
                <w:szCs w:val="20"/>
              </w:rPr>
              <w:t>,地点：</w:t>
            </w:r>
            <w:r>
              <w:rPr>
                <w:rFonts w:hint="eastAsia" w:ascii="仿宋_GB2312" w:hAnsi="仿宋" w:eastAsia="仿宋_GB2312"/>
                <w:sz w:val="24"/>
                <w:szCs w:val="20"/>
                <w:u w:val="single"/>
              </w:rPr>
              <w:t xml:space="preserve">      </w:t>
            </w:r>
            <w:r>
              <w:rPr>
                <w:rFonts w:hint="eastAsia" w:ascii="仿宋_GB2312" w:hAnsi="仿宋" w:eastAsia="仿宋_GB2312"/>
                <w:sz w:val="24"/>
                <w:szCs w:val="20"/>
              </w:rPr>
              <w:t>，联系人：</w:t>
            </w:r>
            <w:r>
              <w:rPr>
                <w:rFonts w:hint="eastAsia" w:ascii="仿宋_GB2312" w:hAnsi="仿宋" w:eastAsia="仿宋_GB2312"/>
                <w:sz w:val="24"/>
                <w:szCs w:val="20"/>
                <w:u w:val="single"/>
              </w:rPr>
              <w:t xml:space="preserve">      </w:t>
            </w:r>
            <w:r>
              <w:rPr>
                <w:rFonts w:hint="eastAsia" w:ascii="仿宋_GB2312" w:hAnsi="仿宋" w:eastAsia="仿宋_GB2312"/>
                <w:sz w:val="24"/>
                <w:szCs w:val="20"/>
              </w:rPr>
              <w:t>，联系方式：</w:t>
            </w:r>
            <w:r>
              <w:rPr>
                <w:rFonts w:hint="eastAsia" w:ascii="仿宋_GB2312" w:hAnsi="仿宋" w:eastAsia="仿宋_GB2312"/>
                <w:sz w:val="24"/>
                <w:szCs w:val="20"/>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olor w:val="FF0000"/>
                <w:sz w:val="24"/>
                <w:szCs w:val="20"/>
              </w:rPr>
            </w:pPr>
            <w:r>
              <w:rPr>
                <w:rFonts w:hint="eastAsia" w:ascii="仿宋_GB2312" w:hAnsi="仿宋" w:eastAsia="仿宋_GB2312" w:cs="Arial"/>
                <w:kern w:val="0"/>
                <w:sz w:val="24"/>
                <w:szCs w:val="20"/>
              </w:rPr>
              <w:sym w:font="Wingdings" w:char="00A8"/>
            </w:r>
            <w:r>
              <w:rPr>
                <w:rFonts w:hint="eastAsia" w:ascii="仿宋_GB2312" w:hAnsi="仿宋" w:eastAsia="仿宋_GB2312" w:cs="Arial"/>
                <w:kern w:val="0"/>
                <w:sz w:val="24"/>
                <w:szCs w:val="20"/>
              </w:rPr>
              <w:t>A</w:t>
            </w:r>
            <w:r>
              <w:rPr>
                <w:rFonts w:hint="eastAsia" w:ascii="仿宋_GB2312" w:hAnsi="仿宋" w:eastAsia="仿宋_GB2312"/>
                <w:sz w:val="24"/>
                <w:szCs w:val="20"/>
              </w:rPr>
              <w:t>不要求提供。</w:t>
            </w:r>
          </w:p>
          <w:p>
            <w:pPr>
              <w:pStyle w:val="64"/>
              <w:ind w:firstLine="0"/>
              <w:jc w:val="left"/>
              <w:rPr>
                <w:rFonts w:ascii="仿宋_GB2312" w:hAnsi="仿宋" w:eastAsia="仿宋_GB2312"/>
                <w:kern w:val="0"/>
                <w:lang w:val="en-US"/>
              </w:rPr>
            </w:pPr>
            <w:r>
              <w:rPr>
                <w:rFonts w:hint="eastAsia" w:ascii="仿宋_GB2312" w:hAnsi="仿宋" w:eastAsia="仿宋_GB2312" w:cs="Arial"/>
                <w:kern w:val="0"/>
              </w:rPr>
              <w:sym w:font="Wingdings" w:char="00FE"/>
            </w:r>
            <w:r>
              <w:rPr>
                <w:rFonts w:hint="eastAsia" w:ascii="仿宋_GB2312" w:hAnsi="仿宋" w:eastAsia="仿宋_GB2312"/>
                <w:kern w:val="0"/>
                <w:lang w:val="en-US"/>
              </w:rPr>
              <w:t>B</w:t>
            </w:r>
            <w:r>
              <w:rPr>
                <w:rFonts w:hint="eastAsia" w:ascii="仿宋_GB2312" w:hAnsi="仿宋" w:eastAsia="仿宋_GB2312"/>
                <w:kern w:val="0"/>
              </w:rPr>
              <w:t>要求提供</w:t>
            </w:r>
            <w:r>
              <w:rPr>
                <w:rFonts w:hint="eastAsia" w:ascii="仿宋_GB2312" w:hAnsi="仿宋" w:eastAsia="仿宋_GB2312"/>
                <w:kern w:val="0"/>
                <w:lang w:val="en-US"/>
              </w:rPr>
              <w:t>，</w:t>
            </w:r>
          </w:p>
          <w:p>
            <w:pPr>
              <w:pStyle w:val="64"/>
              <w:ind w:firstLine="0"/>
              <w:jc w:val="left"/>
              <w:rPr>
                <w:rFonts w:ascii="仿宋" w:hAnsi="仿宋" w:eastAsia="仿宋"/>
                <w:b/>
                <w:bCs/>
                <w:kern w:val="28"/>
              </w:rPr>
            </w:pPr>
            <w:r>
              <w:rPr>
                <w:rFonts w:hint="eastAsia" w:ascii="仿宋" w:hAnsi="仿宋" w:eastAsia="仿宋"/>
                <w:b/>
                <w:bCs/>
                <w:kern w:val="28"/>
              </w:rPr>
              <w:t>样品：</w:t>
            </w:r>
          </w:p>
          <w:p>
            <w:pPr>
              <w:pStyle w:val="64"/>
              <w:ind w:firstLine="0"/>
              <w:jc w:val="left"/>
              <w:rPr>
                <w:rFonts w:ascii="仿宋" w:hAnsi="仿宋" w:eastAsia="仿宋"/>
                <w:b/>
                <w:bCs/>
                <w:kern w:val="28"/>
                <w:lang w:val="en-US"/>
              </w:rPr>
            </w:pPr>
            <w:r>
              <w:rPr>
                <w:rFonts w:hint="eastAsia" w:ascii="仿宋" w:hAnsi="仿宋" w:eastAsia="仿宋"/>
                <w:b/>
                <w:bCs/>
                <w:kern w:val="28"/>
                <w:u w:val="none"/>
                <w:lang w:val="en-US"/>
              </w:rPr>
              <w:t>①</w:t>
            </w:r>
            <w:r>
              <w:rPr>
                <w:rFonts w:hint="eastAsia" w:ascii="仿宋" w:hAnsi="仿宋" w:eastAsia="仿宋"/>
                <w:b/>
                <w:bCs/>
                <w:kern w:val="28"/>
                <w:u w:val="none"/>
                <w:lang w:val="en-US" w:eastAsia="zh-CN"/>
              </w:rPr>
              <w:t xml:space="preserve"> </w:t>
            </w:r>
            <w:r>
              <w:rPr>
                <w:rFonts w:hint="eastAsia" w:ascii="仿宋" w:hAnsi="仿宋" w:eastAsia="仿宋"/>
                <w:b/>
                <w:bCs/>
                <w:kern w:val="28"/>
                <w:u w:val="single"/>
                <w:lang w:val="en-US"/>
              </w:rPr>
              <w:t>203生物竞赛教室水浴锅一个；</w:t>
            </w:r>
          </w:p>
          <w:p>
            <w:pPr>
              <w:pStyle w:val="64"/>
              <w:ind w:firstLine="0"/>
              <w:jc w:val="left"/>
            </w:pPr>
            <w:r>
              <w:rPr>
                <w:rFonts w:hint="eastAsia" w:ascii="仿宋" w:hAnsi="仿宋" w:eastAsia="仿宋"/>
                <w:b/>
                <w:bCs/>
                <w:kern w:val="28"/>
                <w:lang w:val="en-US"/>
              </w:rPr>
              <w:t xml:space="preserve">② </w:t>
            </w:r>
            <w:r>
              <w:rPr>
                <w:rFonts w:hint="eastAsia" w:ascii="仿宋" w:hAnsi="仿宋" w:eastAsia="仿宋"/>
                <w:b/>
                <w:bCs/>
                <w:kern w:val="28"/>
                <w:u w:val="single"/>
                <w:lang w:val="en-US"/>
              </w:rPr>
              <w:t>203生物竞赛教室凝胶成像仪一台</w:t>
            </w:r>
            <w:r>
              <w:rPr>
                <w:rFonts w:hint="eastAsia" w:hAnsi="宋体" w:cs="宋体"/>
                <w:b/>
                <w:bCs/>
                <w:szCs w:val="24"/>
                <w:u w:val="single"/>
                <w:lang w:val="en-US"/>
              </w:rPr>
              <w:t>。</w:t>
            </w:r>
          </w:p>
          <w:p>
            <w:pPr>
              <w:spacing w:line="360" w:lineRule="auto"/>
              <w:rPr>
                <w:rFonts w:ascii="仿宋_GB2312" w:hAnsi="仿宋" w:eastAsia="仿宋_GB2312"/>
                <w:kern w:val="0"/>
                <w:sz w:val="24"/>
                <w:szCs w:val="20"/>
              </w:rPr>
            </w:pPr>
            <w:r>
              <w:rPr>
                <w:rFonts w:hint="eastAsia" w:ascii="仿宋_GB2312" w:hAnsi="仿宋" w:eastAsia="仿宋_GB2312"/>
                <w:kern w:val="0"/>
                <w:sz w:val="24"/>
                <w:szCs w:val="20"/>
              </w:rPr>
              <w:t>（2）</w:t>
            </w:r>
            <w:r>
              <w:rPr>
                <w:rFonts w:hint="eastAsia" w:ascii="仿宋" w:hAnsi="仿宋" w:eastAsia="仿宋"/>
                <w:snapToGrid w:val="0"/>
                <w:kern w:val="28"/>
                <w:sz w:val="24"/>
                <w:szCs w:val="20"/>
              </w:rPr>
              <w:t>样品制作的标准和要求：</w:t>
            </w:r>
            <w:r>
              <w:rPr>
                <w:rFonts w:hint="eastAsia" w:ascii="仿宋_GB2312" w:hAnsi="仿宋" w:eastAsia="仿宋_GB2312"/>
                <w:sz w:val="24"/>
                <w:szCs w:val="20"/>
                <w:u w:val="single"/>
              </w:rPr>
              <w:t xml:space="preserve"> 详见采购需求   </w:t>
            </w:r>
            <w:r>
              <w:rPr>
                <w:rFonts w:hint="eastAsia" w:ascii="仿宋_GB2312" w:hAnsi="仿宋" w:eastAsia="仿宋_GB2312"/>
                <w:kern w:val="0"/>
                <w:sz w:val="24"/>
                <w:szCs w:val="20"/>
              </w:rPr>
              <w:t>；</w:t>
            </w:r>
          </w:p>
          <w:p>
            <w:pPr>
              <w:spacing w:line="360" w:lineRule="auto"/>
              <w:rPr>
                <w:rFonts w:ascii="仿宋_GB2312" w:hAnsi="仿宋" w:eastAsia="仿宋_GB2312"/>
                <w:kern w:val="0"/>
                <w:sz w:val="24"/>
                <w:szCs w:val="20"/>
              </w:rPr>
            </w:pPr>
            <w:r>
              <w:rPr>
                <w:rFonts w:hint="eastAsia" w:ascii="仿宋_GB2312" w:hAnsi="仿宋" w:eastAsia="仿宋_GB2312"/>
                <w:kern w:val="0"/>
                <w:sz w:val="24"/>
                <w:szCs w:val="20"/>
              </w:rPr>
              <w:t>（3）样品的评审方法以及评审标准</w:t>
            </w:r>
            <w:r>
              <w:rPr>
                <w:rFonts w:hint="eastAsia" w:ascii="仿宋" w:hAnsi="仿宋" w:eastAsia="仿宋"/>
                <w:snapToGrid w:val="0"/>
                <w:kern w:val="28"/>
                <w:sz w:val="24"/>
                <w:szCs w:val="20"/>
              </w:rPr>
              <w:t>：详见</w:t>
            </w:r>
            <w:r>
              <w:rPr>
                <w:rFonts w:hint="eastAsia" w:ascii="仿宋_GB2312" w:hAnsi="仿宋" w:eastAsia="仿宋_GB2312"/>
                <w:sz w:val="24"/>
                <w:szCs w:val="20"/>
                <w:u w:val="single"/>
              </w:rPr>
              <w:t>评标办法</w:t>
            </w:r>
            <w:r>
              <w:rPr>
                <w:rFonts w:hint="eastAsia" w:ascii="仿宋_GB2312" w:hAnsi="仿宋" w:eastAsia="仿宋_GB2312"/>
                <w:kern w:val="0"/>
                <w:sz w:val="24"/>
                <w:szCs w:val="20"/>
              </w:rPr>
              <w:t>；</w:t>
            </w:r>
          </w:p>
          <w:p>
            <w:pPr>
              <w:spacing w:line="360" w:lineRule="auto"/>
              <w:rPr>
                <w:rFonts w:ascii="仿宋_GB2312" w:hAnsi="仿宋" w:eastAsia="仿宋_GB2312"/>
                <w:kern w:val="0"/>
                <w:sz w:val="24"/>
                <w:szCs w:val="20"/>
              </w:rPr>
            </w:pPr>
            <w:r>
              <w:rPr>
                <w:rFonts w:hint="eastAsia" w:ascii="仿宋_GB2312" w:hAnsi="仿宋" w:eastAsia="仿宋_GB2312"/>
                <w:kern w:val="0"/>
                <w:sz w:val="24"/>
                <w:szCs w:val="20"/>
              </w:rPr>
              <w:t>（4）是否需要随样品提交检测报告：</w:t>
            </w:r>
            <w:r>
              <w:rPr>
                <w:rFonts w:hint="eastAsia" w:ascii="MS Gothic" w:hAnsi="MS Gothic" w:eastAsia="仿宋_GB2312" w:cs="Arial"/>
                <w:kern w:val="0"/>
                <w:sz w:val="24"/>
                <w:szCs w:val="20"/>
              </w:rPr>
              <w:sym w:font="Wingdings" w:char="F0FE"/>
            </w:r>
            <w:r>
              <w:rPr>
                <w:rFonts w:hint="eastAsia" w:ascii="仿宋_GB2312" w:hAnsi="仿宋" w:eastAsia="仿宋_GB2312"/>
                <w:kern w:val="0"/>
                <w:sz w:val="24"/>
                <w:szCs w:val="20"/>
              </w:rPr>
              <w:t>否；</w:t>
            </w:r>
            <w:r>
              <w:rPr>
                <w:rFonts w:hint="eastAsia" w:ascii="MS Gothic" w:hAnsi="MS Gothic" w:eastAsia="仿宋_GB2312" w:cs="Arial"/>
                <w:kern w:val="0"/>
                <w:sz w:val="24"/>
                <w:szCs w:val="20"/>
              </w:rPr>
              <w:t>☐</w:t>
            </w:r>
            <w:r>
              <w:rPr>
                <w:rFonts w:hint="eastAsia" w:ascii="仿宋_GB2312" w:hAnsi="仿宋" w:eastAsia="仿宋_GB2312"/>
                <w:kern w:val="0"/>
                <w:sz w:val="24"/>
                <w:szCs w:val="20"/>
              </w:rPr>
              <w:t>是，检测机构的要求</w:t>
            </w:r>
            <w:r>
              <w:rPr>
                <w:rFonts w:hint="eastAsia" w:ascii="仿宋_GB2312" w:hAnsi="仿宋" w:eastAsia="仿宋_GB2312"/>
                <w:sz w:val="24"/>
                <w:szCs w:val="20"/>
              </w:rPr>
              <w:t>：</w:t>
            </w:r>
            <w:r>
              <w:rPr>
                <w:rFonts w:hint="eastAsia" w:ascii="仿宋_GB2312" w:hAnsi="仿宋" w:eastAsia="仿宋_GB2312"/>
                <w:sz w:val="24"/>
                <w:szCs w:val="20"/>
                <w:u w:val="single"/>
              </w:rPr>
              <w:t xml:space="preserve">    </w:t>
            </w:r>
            <w:r>
              <w:rPr>
                <w:rFonts w:hint="eastAsia" w:ascii="仿宋_GB2312" w:hAnsi="仿宋" w:eastAsia="仿宋_GB2312"/>
                <w:kern w:val="0"/>
                <w:sz w:val="24"/>
                <w:szCs w:val="20"/>
              </w:rPr>
              <w:t>；检测内容</w:t>
            </w:r>
            <w:r>
              <w:rPr>
                <w:rFonts w:hint="eastAsia" w:ascii="仿宋_GB2312" w:hAnsi="仿宋" w:eastAsia="仿宋_GB2312"/>
                <w:sz w:val="24"/>
                <w:szCs w:val="20"/>
              </w:rPr>
              <w:t>：</w:t>
            </w:r>
            <w:r>
              <w:rPr>
                <w:rFonts w:hint="eastAsia" w:ascii="仿宋_GB2312" w:hAnsi="仿宋" w:eastAsia="仿宋_GB2312"/>
                <w:sz w:val="24"/>
                <w:szCs w:val="20"/>
                <w:u w:val="single"/>
              </w:rPr>
              <w:t xml:space="preserve">    </w:t>
            </w:r>
            <w:r>
              <w:rPr>
                <w:rFonts w:hint="eastAsia" w:ascii="仿宋_GB2312" w:hAnsi="仿宋" w:eastAsia="仿宋_GB2312"/>
                <w:kern w:val="0"/>
                <w:sz w:val="24"/>
                <w:szCs w:val="20"/>
              </w:rPr>
              <w:t>。</w:t>
            </w:r>
          </w:p>
          <w:p>
            <w:pPr>
              <w:spacing w:line="360" w:lineRule="auto"/>
              <w:rPr>
                <w:rFonts w:ascii="仿宋_GB2312" w:hAnsi="仿宋" w:eastAsia="仿宋_GB2312"/>
                <w:sz w:val="24"/>
                <w:szCs w:val="20"/>
              </w:rPr>
            </w:pPr>
            <w:r>
              <w:rPr>
                <w:rFonts w:hint="eastAsia" w:ascii="仿宋_GB2312" w:hAnsi="仿宋" w:eastAsia="仿宋_GB2312"/>
                <w:sz w:val="24"/>
                <w:szCs w:val="20"/>
              </w:rPr>
              <w:t>（5）提供样品的时间：</w:t>
            </w:r>
            <w:r>
              <w:rPr>
                <w:rFonts w:hint="eastAsia" w:ascii="仿宋_GB2312" w:hAnsi="仿宋" w:eastAsia="仿宋_GB2312"/>
                <w:sz w:val="24"/>
                <w:szCs w:val="20"/>
                <w:u w:val="single"/>
              </w:rPr>
              <w:t xml:space="preserve"> 2023年7月27日 9：00-- 11:00 </w:t>
            </w:r>
            <w:r>
              <w:rPr>
                <w:rFonts w:hint="eastAsia" w:ascii="仿宋_GB2312" w:hAnsi="仿宋" w:eastAsia="仿宋_GB2312"/>
                <w:kern w:val="0"/>
                <w:sz w:val="24"/>
                <w:szCs w:val="20"/>
              </w:rPr>
              <w:t>；地点：</w:t>
            </w:r>
            <w:r>
              <w:rPr>
                <w:rFonts w:hint="eastAsia" w:ascii="仿宋_GB2312" w:hAnsi="仿宋" w:eastAsia="仿宋_GB2312"/>
                <w:sz w:val="24"/>
                <w:szCs w:val="20"/>
                <w:u w:val="single"/>
              </w:rPr>
              <w:t xml:space="preserve"> 杭州市临平区星桥街道星星路7号1幢3楼303开标室 </w:t>
            </w:r>
            <w:r>
              <w:rPr>
                <w:rFonts w:hint="eastAsia" w:ascii="仿宋_GB2312" w:hAnsi="仿宋" w:eastAsia="仿宋_GB2312"/>
                <w:kern w:val="0"/>
                <w:sz w:val="24"/>
                <w:szCs w:val="20"/>
              </w:rPr>
              <w:t>；联系人</w:t>
            </w:r>
            <w:r>
              <w:rPr>
                <w:rFonts w:hint="eastAsia" w:ascii="仿宋_GB2312" w:hAnsi="仿宋" w:eastAsia="仿宋_GB2312"/>
                <w:sz w:val="24"/>
                <w:szCs w:val="20"/>
              </w:rPr>
              <w:t>：</w:t>
            </w:r>
            <w:r>
              <w:rPr>
                <w:rFonts w:hint="eastAsia" w:ascii="仿宋_GB2312" w:hAnsi="仿宋" w:eastAsia="仿宋_GB2312"/>
                <w:sz w:val="24"/>
                <w:szCs w:val="20"/>
                <w:u w:val="single"/>
              </w:rPr>
              <w:t xml:space="preserve"> 沈晓娟  </w:t>
            </w:r>
            <w:r>
              <w:rPr>
                <w:rFonts w:hint="eastAsia" w:ascii="仿宋_GB2312" w:hAnsi="仿宋" w:eastAsia="仿宋_GB2312"/>
                <w:sz w:val="24"/>
                <w:szCs w:val="20"/>
              </w:rPr>
              <w:t>，</w:t>
            </w:r>
            <w:r>
              <w:rPr>
                <w:rFonts w:hint="eastAsia" w:ascii="仿宋_GB2312" w:hAnsi="仿宋" w:eastAsia="仿宋_GB2312"/>
                <w:kern w:val="28"/>
                <w:sz w:val="24"/>
                <w:szCs w:val="20"/>
              </w:rPr>
              <w:t>联系电话：</w:t>
            </w:r>
            <w:r>
              <w:rPr>
                <w:rFonts w:hint="eastAsia" w:ascii="仿宋_GB2312" w:hAnsi="仿宋" w:eastAsia="仿宋_GB2312"/>
                <w:sz w:val="24"/>
                <w:szCs w:val="20"/>
                <w:u w:val="single"/>
              </w:rPr>
              <w:t xml:space="preserve"> 13857135893 </w:t>
            </w:r>
            <w:r>
              <w:rPr>
                <w:rFonts w:hint="eastAsia" w:ascii="仿宋_GB2312" w:hAnsi="仿宋" w:eastAsia="仿宋_GB2312"/>
                <w:sz w:val="24"/>
                <w:szCs w:val="20"/>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sz w:val="24"/>
                <w:szCs w:val="20"/>
              </w:rPr>
            </w:pPr>
            <w:r>
              <w:rPr>
                <w:rFonts w:hint="eastAsia" w:ascii="仿宋_GB2312" w:hAnsi="仿宋" w:eastAsia="仿宋_GB2312"/>
                <w:sz w:val="24"/>
                <w:szCs w:val="20"/>
              </w:rPr>
              <w:t>（6）采购活动结束后，</w:t>
            </w:r>
            <w:r>
              <w:rPr>
                <w:rFonts w:hint="eastAsia" w:ascii="仿宋" w:hAnsi="仿宋" w:eastAsia="仿宋" w:cs="仿宋"/>
                <w:sz w:val="24"/>
                <w:szCs w:val="20"/>
              </w:rPr>
              <w:t>未中标投标人的“样品”由投标人在中标公告结束后</w:t>
            </w:r>
            <w:r>
              <w:rPr>
                <w:rFonts w:hint="eastAsia" w:ascii="仿宋" w:hAnsi="仿宋" w:eastAsia="仿宋" w:cs="仿宋"/>
                <w:b/>
                <w:sz w:val="24"/>
                <w:szCs w:val="20"/>
              </w:rPr>
              <w:t>三个工作日</w:t>
            </w:r>
            <w:r>
              <w:rPr>
                <w:rFonts w:hint="eastAsia" w:ascii="仿宋" w:hAnsi="仿宋" w:eastAsia="仿宋" w:cs="仿宋"/>
                <w:sz w:val="24"/>
                <w:szCs w:val="20"/>
              </w:rPr>
              <w:t>内从采购人处自行领回，逾期采购人将不予保管；</w:t>
            </w:r>
            <w:r>
              <w:rPr>
                <w:rFonts w:hint="eastAsia" w:ascii="仿宋_GB2312" w:hAnsi="仿宋" w:eastAsia="仿宋_GB2312"/>
                <w:sz w:val="24"/>
                <w:szCs w:val="20"/>
              </w:rPr>
              <w:t>对于中标人提供的样品，采购人将进行保管、封存，并作为履约验收的参考。</w:t>
            </w:r>
          </w:p>
          <w:p>
            <w:pPr>
              <w:spacing w:line="360" w:lineRule="auto"/>
              <w:rPr>
                <w:rFonts w:ascii="仿宋_GB2312" w:hAnsi="仿宋" w:eastAsia="仿宋_GB2312"/>
                <w:b/>
                <w:sz w:val="24"/>
                <w:szCs w:val="20"/>
              </w:rPr>
            </w:pPr>
            <w:r>
              <w:rPr>
                <w:rFonts w:hint="eastAsia" w:ascii="仿宋_GB2312" w:hAnsi="仿宋" w:eastAsia="仿宋_GB2312"/>
                <w:sz w:val="24"/>
                <w:szCs w:val="20"/>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szCs w:val="20"/>
              </w:rPr>
            </w:pPr>
            <w:r>
              <w:rPr>
                <w:rFonts w:hint="eastAsia" w:ascii="仿宋_GB2312" w:hAnsi="仿宋" w:eastAsia="仿宋_GB2312" w:cs="仿宋_GB2312"/>
                <w:b/>
                <w:sz w:val="24"/>
                <w:szCs w:val="20"/>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r>
              <w:rPr>
                <w:rFonts w:hint="eastAsia" w:ascii="MS Gothic" w:hAnsi="MS Gothic" w:eastAsia="MS Gothic" w:cs="Arial"/>
                <w:kern w:val="0"/>
                <w:sz w:val="24"/>
                <w:szCs w:val="20"/>
              </w:rPr>
              <w:sym w:font="Wingdings" w:char="00A8"/>
            </w:r>
            <w:r>
              <w:rPr>
                <w:rFonts w:hint="eastAsia" w:ascii="仿宋_GB2312" w:hAnsi="仿宋" w:eastAsia="仿宋_GB2312" w:cs="Arial"/>
                <w:kern w:val="0"/>
                <w:sz w:val="24"/>
                <w:szCs w:val="20"/>
              </w:rPr>
              <w:t>A</w:t>
            </w:r>
            <w:r>
              <w:rPr>
                <w:rFonts w:hint="eastAsia" w:ascii="仿宋_GB2312" w:hAnsi="仿宋" w:eastAsia="仿宋_GB2312"/>
                <w:sz w:val="24"/>
                <w:szCs w:val="20"/>
              </w:rPr>
              <w:t>不组织。</w:t>
            </w:r>
          </w:p>
          <w:p>
            <w:pPr>
              <w:spacing w:line="360" w:lineRule="auto"/>
              <w:rPr>
                <w:rFonts w:ascii="仿宋_GB2312" w:hAnsi="仿宋" w:eastAsia="仿宋_GB2312"/>
                <w:kern w:val="0"/>
                <w:sz w:val="24"/>
                <w:szCs w:val="20"/>
              </w:rPr>
            </w:pPr>
            <w:r>
              <w:rPr>
                <w:rFonts w:hint="eastAsia" w:ascii="MS Gothic" w:hAnsi="MS Gothic" w:eastAsia="MS Gothic" w:cs="Arial"/>
                <w:kern w:val="0"/>
                <w:sz w:val="24"/>
                <w:szCs w:val="20"/>
              </w:rPr>
              <w:sym w:font="Wingdings" w:char="00FE"/>
            </w:r>
            <w:r>
              <w:rPr>
                <w:rFonts w:hint="eastAsia" w:ascii="仿宋_GB2312" w:hAnsi="仿宋" w:eastAsia="仿宋_GB2312"/>
                <w:kern w:val="0"/>
                <w:sz w:val="24"/>
                <w:szCs w:val="20"/>
              </w:rPr>
              <w:t>B组织。</w:t>
            </w:r>
          </w:p>
          <w:p>
            <w:pPr>
              <w:snapToGrid w:val="0"/>
              <w:spacing w:line="360" w:lineRule="auto"/>
              <w:rPr>
                <w:rFonts w:ascii="仿宋_GB2312" w:hAnsi="仿宋" w:eastAsia="仿宋_GB2312"/>
                <w:kern w:val="0"/>
                <w:sz w:val="24"/>
                <w:szCs w:val="20"/>
              </w:rPr>
            </w:pPr>
            <w:r>
              <w:rPr>
                <w:rFonts w:hint="eastAsia" w:ascii="仿宋_GB2312" w:hAnsi="仿宋" w:eastAsia="仿宋_GB2312"/>
                <w:kern w:val="0"/>
                <w:sz w:val="24"/>
                <w:szCs w:val="20"/>
              </w:rPr>
              <w:t>（1）在评标时安排每个投标人进行方案讲解演示。每个投标人时间不超过20分钟，超过时间部分演示不计入评分，讲解次序以投标人上传投标文件先后秩序为准，讲解演示人员</w:t>
            </w:r>
            <w:r>
              <w:rPr>
                <w:rFonts w:hint="eastAsia" w:ascii="仿宋_GB2312" w:hAnsi="仿宋" w:eastAsia="仿宋_GB2312"/>
                <w:kern w:val="0"/>
                <w:sz w:val="24"/>
                <w:szCs w:val="20"/>
                <w:lang w:val="en-US" w:eastAsia="zh-CN"/>
              </w:rPr>
              <w:t>不超过3</w:t>
            </w:r>
            <w:r>
              <w:rPr>
                <w:rFonts w:hint="eastAsia" w:ascii="仿宋_GB2312" w:hAnsi="仿宋" w:eastAsia="仿宋_GB2312"/>
                <w:kern w:val="0"/>
                <w:sz w:val="24"/>
                <w:szCs w:val="20"/>
              </w:rPr>
              <w:t>人。讲解演示结束后按要求解答评标委员会提问。</w:t>
            </w:r>
          </w:p>
          <w:p>
            <w:pPr>
              <w:snapToGrid w:val="0"/>
              <w:spacing w:line="360" w:lineRule="auto"/>
              <w:rPr>
                <w:rFonts w:ascii="仿宋_GB2312" w:hAnsi="仿宋" w:eastAsia="仿宋_GB2312"/>
                <w:kern w:val="0"/>
                <w:sz w:val="24"/>
                <w:szCs w:val="20"/>
              </w:rPr>
            </w:pPr>
            <w:r>
              <w:rPr>
                <w:rFonts w:hint="eastAsia" w:ascii="仿宋_GB2312" w:hAnsi="仿宋" w:eastAsia="仿宋_GB2312"/>
                <w:kern w:val="0"/>
                <w:sz w:val="24"/>
                <w:szCs w:val="20"/>
              </w:rPr>
              <w:t>（2）方案讲解演示方式：</w:t>
            </w:r>
          </w:p>
          <w:p>
            <w:pPr>
              <w:snapToGrid w:val="0"/>
              <w:spacing w:line="360" w:lineRule="auto"/>
              <w:rPr>
                <w:rFonts w:ascii="仿宋_GB2312" w:hAnsi="仿宋" w:eastAsia="仿宋_GB2312"/>
                <w:kern w:val="0"/>
                <w:sz w:val="24"/>
                <w:szCs w:val="20"/>
              </w:rPr>
            </w:pPr>
            <w:r>
              <w:rPr>
                <w:rFonts w:hint="eastAsia" w:ascii="仿宋_GB2312" w:hAnsi="仿宋" w:eastAsia="仿宋_GB2312"/>
                <w:kern w:val="0"/>
                <w:sz w:val="24"/>
                <w:szCs w:val="20"/>
              </w:rPr>
              <w:t xml:space="preserve">    交易中心现场讲解演示。现场讲解地点为 </w:t>
            </w:r>
            <w:r>
              <w:rPr>
                <w:rFonts w:hint="eastAsia" w:ascii="仿宋_GB2312" w:hAnsi="仿宋" w:eastAsia="仿宋_GB2312"/>
                <w:sz w:val="24"/>
                <w:szCs w:val="20"/>
                <w:u w:val="single"/>
              </w:rPr>
              <w:t xml:space="preserve"> 杭州尚远招标代理公司（杭州市临平区星桥街道星星路7号1幢3楼302开标室） </w:t>
            </w:r>
            <w:r>
              <w:rPr>
                <w:rFonts w:hint="eastAsia" w:ascii="仿宋_GB2312" w:hAnsi="仿宋" w:eastAsia="仿宋_GB2312"/>
                <w:kern w:val="0"/>
                <w:sz w:val="24"/>
                <w:szCs w:val="20"/>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szCs w:val="20"/>
                <w:lang w:val="zh-CN"/>
              </w:rPr>
            </w:pPr>
            <w:r>
              <w:rPr>
                <w:rFonts w:hint="eastAsia" w:ascii="仿宋_GB2312" w:hAnsi="仿宋" w:eastAsia="仿宋_GB2312"/>
                <w:kern w:val="0"/>
                <w:sz w:val="24"/>
                <w:szCs w:val="20"/>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szCs w:val="20"/>
              </w:rPr>
            </w:pPr>
            <w:r>
              <w:rPr>
                <w:rFonts w:hint="eastAsia" w:ascii="仿宋_GB2312" w:hAnsi="仿宋" w:eastAsia="仿宋_GB2312" w:cs="Arial"/>
                <w:kern w:val="0"/>
                <w:sz w:val="24"/>
                <w:szCs w:val="20"/>
              </w:rPr>
              <w:sym w:font="Wingdings" w:char="00FE"/>
            </w:r>
            <w:r>
              <w:rPr>
                <w:rFonts w:hint="eastAsia" w:ascii="仿宋_GB2312" w:hAnsi="仿宋" w:eastAsia="仿宋_GB2312" w:cs="Arial"/>
                <w:kern w:val="0"/>
                <w:sz w:val="24"/>
                <w:szCs w:val="20"/>
              </w:rPr>
              <w:t>本项目不允许采购进口产品。</w:t>
            </w:r>
          </w:p>
          <w:p>
            <w:pPr>
              <w:spacing w:line="360" w:lineRule="auto"/>
              <w:rPr>
                <w:sz w:val="20"/>
                <w:szCs w:val="20"/>
              </w:rPr>
            </w:pPr>
            <w:r>
              <w:rPr>
                <w:rFonts w:hint="eastAsia" w:ascii="宋体" w:hAnsi="宋体" w:cs="宋体"/>
                <w:kern w:val="0"/>
                <w:sz w:val="24"/>
                <w:szCs w:val="20"/>
              </w:rPr>
              <w:t>☐</w:t>
            </w:r>
            <w:r>
              <w:rPr>
                <w:rFonts w:hint="eastAsia" w:ascii="仿宋" w:hAnsi="仿宋" w:eastAsia="仿宋" w:cs="仿宋"/>
                <w:kern w:val="0"/>
                <w:sz w:val="24"/>
                <w:szCs w:val="20"/>
              </w:rPr>
              <w:t>可以就</w:t>
            </w:r>
            <w:r>
              <w:rPr>
                <w:rFonts w:hint="eastAsia" w:ascii="仿宋" w:hAnsi="仿宋" w:eastAsia="仿宋" w:cs="仿宋"/>
                <w:sz w:val="24"/>
                <w:szCs w:val="20"/>
                <w:u w:val="single"/>
              </w:rPr>
              <w:t xml:space="preserve">    </w:t>
            </w:r>
            <w:r>
              <w:rPr>
                <w:rFonts w:hint="eastAsia" w:ascii="仿宋" w:hAnsi="仿宋" w:eastAsia="仿宋" w:cs="仿宋"/>
                <w:kern w:val="0"/>
                <w:sz w:val="24"/>
                <w:szCs w:val="20"/>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 xml:space="preserve"> 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szCs w:val="20"/>
              </w:rPr>
            </w:pPr>
            <w:r>
              <w:rPr>
                <w:rFonts w:hint="eastAsia" w:ascii="MS Gothic" w:hAnsi="MS Gothic" w:eastAsia="MS Gothic" w:cs="Arial"/>
                <w:kern w:val="0"/>
                <w:sz w:val="24"/>
                <w:szCs w:val="20"/>
              </w:rPr>
              <w:sym w:font="Wingdings" w:char="00FE"/>
            </w:r>
            <w:r>
              <w:rPr>
                <w:rFonts w:hint="eastAsia" w:ascii="仿宋_GB2312" w:hAnsi="仿宋" w:eastAsia="仿宋_GB2312" w:cs="Arial"/>
                <w:kern w:val="0"/>
                <w:sz w:val="24"/>
                <w:szCs w:val="20"/>
              </w:rPr>
              <w:t>A</w:t>
            </w:r>
            <w:r>
              <w:rPr>
                <w:rFonts w:hint="eastAsia" w:ascii="仿宋_GB2312" w:hAnsi="仿宋" w:eastAsia="仿宋_GB2312"/>
                <w:sz w:val="24"/>
                <w:szCs w:val="20"/>
              </w:rPr>
              <w:t>货物类，单一产品或</w:t>
            </w:r>
            <w:r>
              <w:rPr>
                <w:rFonts w:hint="eastAsia" w:ascii="仿宋_GB2312" w:hAnsi="仿宋" w:eastAsia="仿宋_GB2312"/>
                <w:kern w:val="0"/>
                <w:sz w:val="24"/>
                <w:szCs w:val="20"/>
              </w:rPr>
              <w:t>核心产品为：</w:t>
            </w:r>
            <w:r>
              <w:rPr>
                <w:rFonts w:hint="eastAsia" w:ascii="仿宋_GB2312" w:hAnsi="仿宋" w:eastAsia="仿宋_GB2312"/>
                <w:sz w:val="24"/>
                <w:szCs w:val="20"/>
                <w:u w:val="single"/>
              </w:rPr>
              <w:t xml:space="preserve">    </w:t>
            </w:r>
            <w:r>
              <w:rPr>
                <w:rFonts w:hint="eastAsia" w:ascii="仿宋_GB2312" w:hAnsi="仿宋" w:eastAsia="仿宋_GB2312"/>
                <w:sz w:val="24"/>
                <w:szCs w:val="20"/>
              </w:rPr>
              <w:t>。</w:t>
            </w:r>
          </w:p>
          <w:p>
            <w:pPr>
              <w:spacing w:line="360" w:lineRule="auto"/>
              <w:rPr>
                <w:rFonts w:ascii="仿宋_GB2312" w:hAnsi="仿宋" w:eastAsia="仿宋_GB2312"/>
                <w:sz w:val="24"/>
                <w:szCs w:val="20"/>
              </w:rPr>
            </w:pPr>
            <w:r>
              <w:rPr>
                <w:rFonts w:hint="eastAsia" w:ascii="MS Gothic" w:hAnsi="MS Gothic" w:eastAsia="MS Gothic" w:cs="Arial"/>
                <w:kern w:val="0"/>
                <w:sz w:val="24"/>
                <w:szCs w:val="20"/>
              </w:rPr>
              <w:sym w:font="Wingdings" w:char="00A8"/>
            </w:r>
            <w:r>
              <w:rPr>
                <w:rFonts w:hint="eastAsia" w:ascii="仿宋_GB2312" w:hAnsi="仿宋" w:eastAsia="仿宋_GB2312" w:cs="Arial"/>
                <w:kern w:val="0"/>
                <w:sz w:val="24"/>
                <w:szCs w:val="20"/>
              </w:rPr>
              <w:t>B</w:t>
            </w:r>
            <w:r>
              <w:rPr>
                <w:rFonts w:hint="eastAsia" w:ascii="仿宋_GB2312" w:hAnsi="仿宋" w:eastAsia="仿宋_GB2312"/>
                <w:sz w:val="24"/>
                <w:szCs w:val="20"/>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ind w:firstLine="240" w:firstLineChars="100"/>
              <w:rPr>
                <w:rFonts w:ascii="仿宋_GB2312" w:hAnsi="仿宋" w:eastAsia="仿宋_GB2312" w:cs="仿宋_GB2312"/>
                <w:sz w:val="24"/>
                <w:szCs w:val="20"/>
              </w:rPr>
            </w:pPr>
            <w:r>
              <w:rPr>
                <w:rFonts w:hint="eastAsia" w:ascii="仿宋_GB2312" w:hAnsi="仿宋" w:eastAsia="仿宋_GB2312" w:cs="仿宋_GB2312"/>
                <w:sz w:val="24"/>
                <w:szCs w:val="20"/>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szCs w:val="20"/>
              </w:rPr>
            </w:pPr>
            <w:r>
              <w:rPr>
                <w:rFonts w:hint="eastAsia" w:ascii="仿宋" w:hAnsi="仿宋" w:eastAsia="仿宋" w:cs="仿宋"/>
                <w:sz w:val="24"/>
              </w:rPr>
              <w:t>（1）标的：</w:t>
            </w:r>
            <w:r>
              <w:rPr>
                <w:rStyle w:val="80"/>
                <w:rFonts w:hint="eastAsia" w:ascii="仿宋_GB2312" w:hAnsi="仿宋" w:eastAsia="仿宋_GB2312" w:cs="Times New Roman"/>
                <w:color w:val="auto"/>
                <w:kern w:val="2"/>
                <w:sz w:val="24"/>
                <w:szCs w:val="24"/>
                <w:u w:val="single"/>
              </w:rPr>
              <w:t>杭州市余杭第一中学实验室三期设备采购项目</w:t>
            </w:r>
            <w:r>
              <w:rPr>
                <w:rFonts w:hint="eastAsia" w:ascii="仿宋" w:hAnsi="仿宋" w:eastAsia="仿宋" w:cs="仿宋"/>
                <w:sz w:val="24"/>
              </w:rPr>
              <w:t xml:space="preserve"> ，属于</w:t>
            </w:r>
            <w:r>
              <w:rPr>
                <w:rFonts w:hint="eastAsia" w:ascii="仿宋" w:hAnsi="仿宋" w:eastAsia="仿宋" w:cs="仿宋"/>
                <w:sz w:val="24"/>
                <w:u w:val="single"/>
              </w:rPr>
              <w:t>工业</w:t>
            </w:r>
          </w:p>
          <w:p>
            <w:pPr>
              <w:pStyle w:val="4"/>
              <w:rPr>
                <w:rFonts w:ascii="Times New Roman" w:hAnsi="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ind w:firstLine="240" w:firstLineChars="100"/>
              <w:rPr>
                <w:rFonts w:ascii="仿宋_GB2312" w:hAnsi="仿宋" w:eastAsia="仿宋_GB2312" w:cs="仿宋_GB2312"/>
                <w:sz w:val="24"/>
                <w:szCs w:val="20"/>
              </w:rPr>
            </w:pPr>
            <w:r>
              <w:rPr>
                <w:rFonts w:hint="eastAsia" w:ascii="仿宋_GB2312" w:hAnsi="仿宋" w:eastAsia="仿宋_GB2312" w:cs="仿宋_GB2312"/>
                <w:sz w:val="24"/>
                <w:szCs w:val="20"/>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sz w:val="20"/>
                <w:szCs w:val="20"/>
              </w:rPr>
            </w:pPr>
            <w:r>
              <w:rPr>
                <w:rFonts w:hint="eastAsia" w:ascii="仿宋_GB2312" w:hAnsi="仿宋" w:eastAsia="仿宋_GB2312" w:cs="Arial"/>
                <w:kern w:val="0"/>
                <w:sz w:val="24"/>
                <w:szCs w:val="20"/>
              </w:rPr>
              <w:t xml:space="preserve">    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z w:val="24"/>
                <w:szCs w:val="20"/>
              </w:rPr>
            </w:pPr>
            <w:r>
              <w:rPr>
                <w:rFonts w:hint="eastAsia" w:ascii="仿宋_GB2312" w:hAnsi="仿宋" w:eastAsia="仿宋_GB2312"/>
                <w:snapToGrid w:val="0"/>
                <w:kern w:val="28"/>
                <w:sz w:val="24"/>
                <w:szCs w:val="20"/>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pPr>
          </w:p>
        </w:tc>
        <w:tc>
          <w:tcPr>
            <w:tcW w:w="1843" w:type="dxa"/>
            <w:vMerge w:val="continue"/>
            <w:tcBorders>
              <w:left w:val="single" w:color="000000" w:sz="2" w:space="0"/>
              <w:right w:val="single" w:color="000000" w:sz="8" w:space="0"/>
            </w:tcBorders>
            <w:vAlign w:val="center"/>
          </w:tcPr>
          <w:p>
            <w:pPr>
              <w:spacing w:line="360" w:lineRule="auto"/>
              <w:ind w:firstLine="420" w:firstLineChars="200"/>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仿宋_GB2312" w:hAnsi="仿宋" w:eastAsia="仿宋_GB2312"/>
                <w:snapToGrid w:val="0"/>
                <w:kern w:val="28"/>
                <w:sz w:val="24"/>
                <w:szCs w:val="20"/>
              </w:rPr>
            </w:pPr>
            <w:r>
              <w:rPr>
                <w:rFonts w:hint="eastAsia" w:ascii="仿宋_GB2312" w:hAnsi="仿宋" w:eastAsia="仿宋_GB2312"/>
                <w:snapToGrid w:val="0"/>
                <w:kern w:val="28"/>
                <w:sz w:val="24"/>
                <w:szCs w:val="20"/>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0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r>
              <w:rPr>
                <w:rFonts w:hint="eastAsia" w:ascii="仿宋_GB2312" w:hAnsi="仿宋" w:eastAsia="仿宋_GB2312" w:cs="仿宋_GB2312"/>
                <w:sz w:val="24"/>
                <w:szCs w:val="20"/>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备份投标文件送达</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ascii="仿宋_GB2312" w:hAnsi="仿宋" w:eastAsia="仿宋_GB2312" w:cs="仿宋_GB2312"/>
                <w:b/>
                <w:sz w:val="24"/>
                <w:szCs w:val="24"/>
              </w:rPr>
            </w:pPr>
            <w:r>
              <w:rPr>
                <w:rFonts w:hint="eastAsia" w:ascii="仿宋_GB2312" w:hAnsi="仿宋" w:eastAsia="仿宋_GB2312" w:cs="Times New Roman"/>
                <w:b/>
                <w:bCs/>
                <w:kern w:val="28"/>
                <w:sz w:val="24"/>
                <w:szCs w:val="24"/>
              </w:rPr>
              <w:t>备份投标文件送达地点：</w:t>
            </w:r>
            <w:r>
              <w:rPr>
                <w:rFonts w:ascii="仿宋_GB2312" w:hAnsi="仿宋" w:eastAsia="仿宋_GB2312" w:cs="Times New Roman"/>
                <w:b/>
                <w:bCs/>
                <w:sz w:val="24"/>
                <w:szCs w:val="20"/>
              </w:rPr>
              <w:t>杭州市</w:t>
            </w:r>
            <w:r>
              <w:rPr>
                <w:rFonts w:hint="eastAsia" w:ascii="仿宋_GB2312" w:hAnsi="仿宋" w:eastAsia="仿宋_GB2312" w:cs="Times New Roman"/>
                <w:b/>
                <w:bCs/>
                <w:sz w:val="24"/>
                <w:szCs w:val="20"/>
              </w:rPr>
              <w:t>星桥街道星星路7号1幢3楼306室，</w:t>
            </w:r>
            <w:r>
              <w:rPr>
                <w:rFonts w:hint="eastAsia" w:ascii="仿宋_GB2312" w:hAnsi="仿宋" w:eastAsia="仿宋_GB2312" w:cs="仿宋_GB2312"/>
                <w:b/>
                <w:bCs/>
                <w:sz w:val="24"/>
                <w:szCs w:val="24"/>
              </w:rPr>
              <w:t>采购人、采购机构不强制或变相强制投标人</w:t>
            </w:r>
            <w:r>
              <w:rPr>
                <w:rFonts w:hint="eastAsia" w:ascii="仿宋_GB2312" w:hAnsi="仿宋" w:eastAsia="仿宋_GB2312" w:cs="仿宋_GB2312"/>
                <w:b/>
                <w:sz w:val="24"/>
                <w:szCs w:val="24"/>
              </w:rPr>
              <w:t>提交备份投标文件。</w:t>
            </w:r>
          </w:p>
          <w:p>
            <w:pPr>
              <w:spacing w:line="360" w:lineRule="auto"/>
              <w:ind w:firstLine="482" w:firstLineChars="200"/>
              <w:rPr>
                <w:rFonts w:ascii="仿宋_GB2312" w:hAnsi="仿宋" w:eastAsia="仿宋_GB2312"/>
                <w:b/>
                <w:bCs/>
                <w:snapToGrid w:val="0"/>
                <w:sz w:val="24"/>
                <w:szCs w:val="20"/>
              </w:rPr>
            </w:pPr>
            <w:r>
              <w:rPr>
                <w:rFonts w:hint="eastAsia" w:ascii="仿宋_GB2312" w:hAnsi="仿宋" w:eastAsia="仿宋_GB2312"/>
                <w:b/>
                <w:bCs/>
                <w:snapToGrid w:val="0"/>
                <w:sz w:val="24"/>
                <w:szCs w:val="20"/>
              </w:rPr>
              <w:t>投标人递交备份投标文件出现下列情况之一的，将被拒收：</w:t>
            </w:r>
          </w:p>
          <w:p>
            <w:pPr>
              <w:spacing w:line="360" w:lineRule="auto"/>
              <w:rPr>
                <w:rFonts w:ascii="仿宋_GB2312" w:hAnsi="仿宋" w:eastAsia="仿宋_GB2312"/>
                <w:b/>
                <w:bCs/>
                <w:snapToGrid w:val="0"/>
                <w:sz w:val="24"/>
                <w:szCs w:val="20"/>
              </w:rPr>
            </w:pPr>
            <w:r>
              <w:rPr>
                <w:rFonts w:hint="eastAsia" w:ascii="仿宋_GB2312" w:hAnsi="仿宋" w:eastAsia="仿宋_GB2312"/>
                <w:b/>
                <w:bCs/>
                <w:snapToGrid w:val="0"/>
                <w:sz w:val="24"/>
                <w:szCs w:val="20"/>
              </w:rPr>
              <w:t>1、未按规定密封或标记的投标文件；</w:t>
            </w:r>
          </w:p>
          <w:p>
            <w:pPr>
              <w:spacing w:line="360" w:lineRule="auto"/>
              <w:rPr>
                <w:rFonts w:ascii="仿宋_GB2312" w:hAnsi="仿宋" w:eastAsia="仿宋_GB2312"/>
                <w:b/>
                <w:bCs/>
                <w:snapToGrid w:val="0"/>
                <w:sz w:val="24"/>
                <w:szCs w:val="20"/>
              </w:rPr>
            </w:pPr>
            <w:r>
              <w:rPr>
                <w:rFonts w:hint="eastAsia" w:ascii="仿宋_GB2312" w:hAnsi="仿宋" w:eastAsia="仿宋_GB2312"/>
                <w:b/>
                <w:bCs/>
                <w:snapToGrid w:val="0"/>
                <w:sz w:val="24"/>
                <w:szCs w:val="20"/>
              </w:rPr>
              <w:t>2、由于包装不妥，在送交途中严重破损或失散的；</w:t>
            </w:r>
          </w:p>
          <w:p>
            <w:pPr>
              <w:spacing w:line="360" w:lineRule="auto"/>
              <w:rPr>
                <w:rFonts w:ascii="仿宋_GB2312" w:hAnsi="仿宋" w:eastAsia="仿宋_GB2312"/>
                <w:b/>
                <w:bCs/>
                <w:snapToGrid w:val="0"/>
                <w:sz w:val="24"/>
                <w:szCs w:val="20"/>
              </w:rPr>
            </w:pPr>
            <w:r>
              <w:rPr>
                <w:rFonts w:hint="eastAsia" w:ascii="仿宋_GB2312" w:hAnsi="仿宋" w:eastAsia="仿宋_GB2312"/>
                <w:b/>
                <w:bCs/>
                <w:snapToGrid w:val="0"/>
                <w:sz w:val="24"/>
                <w:szCs w:val="20"/>
              </w:rPr>
              <w:t>3、未成功获取招标文件的；</w:t>
            </w:r>
          </w:p>
          <w:p>
            <w:pPr>
              <w:spacing w:line="360" w:lineRule="auto"/>
              <w:rPr>
                <w:rFonts w:ascii="仿宋_GB2312" w:hAnsi="仿宋" w:eastAsia="仿宋_GB2312"/>
                <w:b/>
                <w:bCs/>
                <w:snapToGrid w:val="0"/>
                <w:sz w:val="24"/>
                <w:szCs w:val="20"/>
              </w:rPr>
            </w:pPr>
            <w:r>
              <w:rPr>
                <w:rFonts w:hint="eastAsia" w:ascii="仿宋_GB2312" w:hAnsi="仿宋" w:eastAsia="仿宋_GB2312"/>
                <w:b/>
                <w:bCs/>
                <w:snapToGrid w:val="0"/>
                <w:sz w:val="24"/>
                <w:szCs w:val="20"/>
              </w:rPr>
              <w:t>4、超过投标截止时间送达的；</w:t>
            </w:r>
          </w:p>
          <w:p>
            <w:pPr>
              <w:pStyle w:val="36"/>
              <w:spacing w:line="360" w:lineRule="auto"/>
              <w:rPr>
                <w:rFonts w:ascii="仿宋_GB2312" w:hAnsi="仿宋" w:eastAsia="仿宋_GB2312" w:cs="仿宋_GB2312"/>
                <w:b/>
                <w:sz w:val="24"/>
                <w:szCs w:val="24"/>
              </w:rPr>
            </w:pPr>
            <w:r>
              <w:rPr>
                <w:rFonts w:hint="eastAsia" w:ascii="仿宋_GB2312" w:hAnsi="仿宋" w:eastAsia="仿宋_GB2312" w:cs="Times New Roman"/>
                <w:b/>
                <w:bCs/>
                <w:sz w:val="24"/>
                <w:szCs w:val="20"/>
              </w:rPr>
              <w:t>注：仅提供备份投标文件的，投标无效。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9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招标代理服务费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t>本次代理服务费由中标人支付，招标代理费为人民币</w:t>
            </w:r>
          </w:p>
          <w:p>
            <w:pPr>
              <w:spacing w:line="360" w:lineRule="auto"/>
              <w:jc w:val="left"/>
              <w:rPr>
                <w:rFonts w:ascii="仿宋_GB2312" w:hAnsi="仿宋" w:eastAsia="仿宋_GB2312"/>
                <w:snapToGrid w:val="0"/>
                <w:kern w:val="28"/>
                <w:sz w:val="24"/>
              </w:rPr>
            </w:pPr>
            <w:r>
              <w:rPr>
                <w:rFonts w:hint="eastAsia" w:ascii="仿宋_GB2312" w:hAnsi="仿宋" w:eastAsia="仿宋_GB2312"/>
                <w:snapToGrid w:val="0"/>
                <w:kern w:val="28"/>
                <w:sz w:val="24"/>
                <w:lang w:val="en-US" w:eastAsia="zh-CN"/>
              </w:rPr>
              <w:t>84000</w:t>
            </w:r>
            <w:r>
              <w:rPr>
                <w:rFonts w:hint="eastAsia" w:ascii="仿宋_GB2312" w:hAnsi="仿宋" w:eastAsia="仿宋_GB2312"/>
                <w:snapToGrid w:val="0"/>
                <w:kern w:val="28"/>
                <w:sz w:val="24"/>
              </w:rPr>
              <w:t>元整。各投标人应在投标报价中予以考虑。</w:t>
            </w:r>
          </w:p>
          <w:p>
            <w:pPr>
              <w:spacing w:line="360" w:lineRule="auto"/>
              <w:ind w:firstLine="480" w:firstLineChars="200"/>
              <w:rPr>
                <w:rFonts w:ascii="仿宋_GB2312" w:hAnsi="仿宋" w:eastAsia="仿宋_GB2312"/>
                <w:snapToGrid w:val="0"/>
                <w:kern w:val="28"/>
                <w:sz w:val="24"/>
              </w:rPr>
            </w:pPr>
            <w:r>
              <w:rPr>
                <w:rFonts w:hint="eastAsia" w:ascii="仿宋_GB2312" w:hAnsi="仿宋" w:eastAsia="仿宋_GB2312"/>
                <w:snapToGrid w:val="0"/>
                <w:kern w:val="28"/>
                <w:sz w:val="24"/>
              </w:rPr>
              <w:t>中标服务费的交纳方式：以转帐或支票的形式支</w:t>
            </w:r>
            <w:bookmarkStart w:id="408" w:name="_GoBack"/>
            <w:bookmarkEnd w:id="408"/>
            <w:r>
              <w:rPr>
                <w:rFonts w:hint="eastAsia" w:ascii="仿宋_GB2312" w:hAnsi="仿宋" w:eastAsia="仿宋_GB2312"/>
                <w:snapToGrid w:val="0"/>
                <w:kern w:val="28"/>
                <w:sz w:val="24"/>
              </w:rPr>
              <w:t>付；开户行名称：杭州余杭农村商业银行星桥支行；帐号：201000296228332；开户名：杭州尚远招标代理有限公司</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5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cs="仿宋_GB2312"/>
                <w:sz w:val="24"/>
              </w:rPr>
            </w:pPr>
            <w:r>
              <w:rPr>
                <w:rFonts w:hint="eastAsia"/>
                <w:sz w:val="24"/>
              </w:rPr>
              <w:t>14</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t>各中标单位在中标公示结束后再递交与电子加密投标文件内容一致的书面响应文件（正本一份，副本四份）。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jc w:val="center"/>
              <w:rPr>
                <w:rFonts w:ascii="仿宋_GB2312" w:hAnsi="仿宋" w:eastAsia="仿宋_GB2312" w:cs="仿宋_GB2312"/>
                <w:sz w:val="24"/>
              </w:rPr>
            </w:pPr>
            <w:r>
              <w:rPr>
                <w:rFonts w:hint="eastAsia" w:eastAsia="仿宋_GB2312"/>
                <w:sz w:val="24"/>
              </w:rPr>
              <w:t>15</w:t>
            </w:r>
          </w:p>
        </w:tc>
        <w:tc>
          <w:tcPr>
            <w:tcW w:w="7938" w:type="dxa"/>
            <w:gridSpan w:val="2"/>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t>采购文件中带“●”条款为招标文件要求的实质性内容，投标人须在投标文件中提供《符合性审查资料》（格式见第六部分  应提交的有关格式范例），如有任意一条未响应或不满足，将被视为无效。</w:t>
            </w:r>
          </w:p>
          <w:p>
            <w:pPr>
              <w:spacing w:line="360" w:lineRule="auto"/>
              <w:ind w:firstLine="480" w:firstLineChars="200"/>
              <w:jc w:val="left"/>
              <w:rPr>
                <w:rFonts w:ascii="仿宋_GB2312" w:hAnsi="仿宋" w:eastAsia="仿宋_GB2312"/>
                <w:snapToGrid w:val="0"/>
                <w:kern w:val="28"/>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jc w:val="center"/>
              <w:rPr>
                <w:rFonts w:ascii="仿宋_GB2312" w:hAnsi="仿宋" w:eastAsia="仿宋_GB2312" w:cs="仿宋_GB2312"/>
                <w:sz w:val="24"/>
                <w:szCs w:val="20"/>
              </w:rPr>
            </w:pPr>
          </w:p>
          <w:p>
            <w:pPr>
              <w:snapToGrid w:val="0"/>
              <w:spacing w:line="360" w:lineRule="auto"/>
              <w:ind w:firstLine="240" w:firstLineChars="100"/>
              <w:rPr>
                <w:rFonts w:ascii="仿宋_GB2312" w:hAnsi="仿宋" w:eastAsia="仿宋_GB2312" w:cs="仿宋_GB2312"/>
                <w:sz w:val="24"/>
                <w:szCs w:val="20"/>
              </w:rPr>
            </w:pPr>
            <w:r>
              <w:rPr>
                <w:rFonts w:hint="eastAsia" w:ascii="仿宋_GB2312" w:hAnsi="仿宋" w:eastAsia="仿宋_GB2312" w:cs="仿宋_GB2312"/>
                <w:sz w:val="24"/>
                <w:szCs w:val="20"/>
              </w:rPr>
              <w:t>16</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r>
              <w:rPr>
                <w:rFonts w:hint="eastAsia" w:ascii="仿宋_GB2312" w:hAnsi="仿宋" w:eastAsia="仿宋_GB2312" w:cs="仿宋_GB2312"/>
                <w:b/>
                <w:sz w:val="24"/>
                <w:szCs w:val="20"/>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t>联合体投标的或者以分包方式履行合同的，联合体各方（供应商与分包供应商）分别提供与联合体协议（分包意向协议）中规定的分工内容相应的业绩证明材料，业绩数量以提供材料较少的一方为准。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1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szCs w:val="20"/>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szCs w:val="20"/>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t>☐联合体投标的，联合体各方均需按招标文件第四部分评标标准要求提供资信证明文件，否则视为不符合要求。</w:t>
            </w:r>
          </w:p>
          <w:p>
            <w:pPr>
              <w:spacing w:line="360" w:lineRule="auto"/>
              <w:ind w:firstLine="480" w:firstLineChars="200"/>
              <w:jc w:val="left"/>
              <w:rPr>
                <w:rFonts w:ascii="仿宋_GB2312" w:hAnsi="仿宋" w:eastAsia="仿宋_GB2312"/>
                <w:snapToGrid w:val="0"/>
                <w:kern w:val="28"/>
                <w:sz w:val="24"/>
              </w:rPr>
            </w:pPr>
            <w:r>
              <w:rPr>
                <w:rFonts w:hint="eastAsia" w:ascii="仿宋_GB2312" w:hAnsi="仿宋" w:eastAsia="仿宋_GB2312"/>
                <w:snapToGrid w:val="0"/>
                <w:kern w:val="28"/>
                <w:sz w:val="24"/>
              </w:rPr>
              <w:sym w:font="Wingdings" w:char="F0FE"/>
            </w:r>
            <w:r>
              <w:rPr>
                <w:rFonts w:hint="eastAsia" w:ascii="仿宋_GB2312" w:hAnsi="仿宋" w:eastAsia="仿宋_GB2312"/>
                <w:snapToGrid w:val="0"/>
                <w:kern w:val="28"/>
                <w:sz w:val="24"/>
              </w:rPr>
              <w:t>联合体投标的，联合体中有一方或者联合体成员根据分工按招标文件第四部分评标标准要求提供资信证明文件的，视为符合要求。</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p>
    <w:p>
      <w:pPr>
        <w:adjustRightInd/>
        <w:spacing w:line="360" w:lineRule="auto"/>
        <w:ind w:firstLine="3845" w:firstLineChars="1197"/>
        <w:outlineLvl w:val="0"/>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r>
        <w:rPr>
          <w:rFonts w:ascii="Wingdings" w:hAnsi="Wingdings" w:eastAsia="仿宋_GB2312"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r>
        <w:rPr>
          <w:rFonts w:ascii="MS Gothic" w:hAnsi="MS Gothic" w:eastAsia="MS Gothic" w:cs="Arial"/>
          <w:kern w:val="0"/>
          <w:sz w:val="24"/>
        </w:rPr>
        <w:t>☐</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ascii="仿宋_GB2312" w:hAnsi="仿宋" w:eastAsia="仿宋_GB2312"/>
          <w:b/>
          <w:sz w:val="24"/>
        </w:rPr>
      </w:pPr>
      <w:r>
        <w:rPr>
          <w:rFonts w:hint="eastAsia" w:ascii="仿宋_GB2312" w:hAnsi="仿宋" w:eastAsia="仿宋_GB2312"/>
          <w:b/>
          <w:sz w:val="24"/>
        </w:rPr>
        <w:t xml:space="preserve">  </w:t>
      </w: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ascii="仿宋_GB2312" w:hAnsi="仿宋" w:eastAsia="仿宋_GB2312"/>
          <w:sz w:val="24"/>
        </w:rPr>
      </w:pPr>
      <w:r>
        <w:rPr>
          <w:rFonts w:hint="eastAsia" w:ascii="仿宋_GB2312" w:hAnsi="仿宋" w:eastAsia="仿宋_GB2312"/>
          <w:sz w:val="24"/>
        </w:rPr>
        <w:t xml:space="preserve">  </w:t>
      </w: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spacing w:line="360" w:lineRule="auto"/>
        <w:ind w:firstLine="240" w:firstLineChars="100"/>
        <w:rPr>
          <w:rFonts w:ascii="仿宋_GB2312" w:hAnsi="仿宋" w:eastAsia="仿宋_GB2312"/>
          <w:sz w:val="24"/>
        </w:rPr>
      </w:pPr>
      <w:r>
        <w:rPr>
          <w:rFonts w:hint="eastAsia" w:ascii="仿宋_GB2312" w:hAnsi="仿宋" w:eastAsia="仿宋_GB2312"/>
          <w:sz w:val="24"/>
        </w:rPr>
        <w:t xml:space="preserve"> </w:t>
      </w: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sz w:val="24"/>
        </w:rPr>
        <w:t>%的扣除，用扣除后的价格参与评审。接受大中型企业与小微企业组成联合体或者允许大中型企业向一家或者多家小微企业分包的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2" w:firstLineChars="200"/>
        <w:rPr>
          <w:rFonts w:ascii="仿宋_GB2312" w:hAnsi="仿宋" w:eastAsia="仿宋_GB2312"/>
          <w:b/>
          <w:bCs/>
          <w:sz w:val="24"/>
        </w:rPr>
      </w:pPr>
      <w:r>
        <w:rPr>
          <w:rFonts w:ascii="仿宋_GB2312" w:hAnsi="仿宋" w:eastAsia="仿宋_GB2312"/>
          <w:b/>
          <w:bCs/>
          <w:sz w:val="24"/>
        </w:rPr>
        <w:t>3.4.2首台套产品</w:t>
      </w:r>
      <w:r>
        <w:rPr>
          <w:rFonts w:hint="eastAsia" w:ascii="仿宋_GB2312" w:hAnsi="仿宋" w:eastAsia="仿宋_GB2312"/>
          <w:b/>
          <w:bCs/>
          <w:sz w:val="24"/>
        </w:rPr>
        <w:t>被纳入《首台套产品推广应用指导目录》之日起</w:t>
      </w:r>
      <w:r>
        <w:rPr>
          <w:rFonts w:ascii="仿宋_GB2312" w:hAnsi="仿宋" w:eastAsia="仿宋_GB2312"/>
          <w:b/>
          <w:bCs/>
          <w:sz w:val="24"/>
        </w:rPr>
        <w:t>2年内，以及产品核心技术高于国内领先水平，并具有明晰自主知识产权的“制造精品”产品，</w:t>
      </w:r>
      <w:r>
        <w:rPr>
          <w:rFonts w:hint="eastAsia" w:ascii="仿宋_GB2312" w:hAnsi="仿宋" w:eastAsia="仿宋_GB2312"/>
          <w:b/>
          <w:bCs/>
          <w:sz w:val="24"/>
        </w:rPr>
        <w:t>自认定之日起</w:t>
      </w:r>
      <w:r>
        <w:rPr>
          <w:rFonts w:ascii="仿宋_GB2312" w:hAnsi="仿宋" w:eastAsia="仿宋_GB2312"/>
          <w:b/>
          <w:bCs/>
          <w:sz w:val="24"/>
        </w:rPr>
        <w:t>2年内视同已具备相应销售业绩，参加政府采购活动</w:t>
      </w:r>
      <w:r>
        <w:rPr>
          <w:rFonts w:hint="eastAsia" w:ascii="仿宋_GB2312" w:hAnsi="仿宋" w:eastAsia="仿宋_GB2312"/>
          <w:b/>
          <w:bCs/>
          <w:sz w:val="24"/>
        </w:rPr>
        <w:t>时业绩分值为满分。</w:t>
      </w:r>
    </w:p>
    <w:p>
      <w:pPr>
        <w:spacing w:line="360" w:lineRule="auto"/>
        <w:rPr>
          <w:rFonts w:ascii="仿宋_GB2312" w:hAnsi="仿宋" w:eastAsia="仿宋_GB2312"/>
          <w:b/>
          <w:sz w:val="24"/>
        </w:rPr>
      </w:pPr>
      <w:r>
        <w:rPr>
          <w:rFonts w:ascii="仿宋_GB2312" w:hAnsi="仿宋" w:eastAsia="仿宋_GB2312"/>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hint="eastAsia" w:ascii="仿宋_GB2312" w:hAnsi="仿宋" w:eastAsia="仿宋_GB2312"/>
          <w:sz w:val="24"/>
        </w:rPr>
        <w:t>登录</w:t>
      </w:r>
      <w:r>
        <w:rPr>
          <w:rFonts w:ascii="仿宋_GB2312" w:hAnsi="仿宋" w:eastAsia="仿宋_GB2312"/>
          <w:sz w:val="24"/>
        </w:rPr>
        <w:t>杭州市政府采购网“中小企业信用融资”模块，查看信用融资政策文件及各相关银行服务方案。</w:t>
      </w: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6"/>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color w:val="auto"/>
          <w:kern w:val="2"/>
          <w:sz w:val="24"/>
        </w:rPr>
      </w:pPr>
      <w:r>
        <w:rPr>
          <w:rFonts w:ascii="仿宋_GB2312" w:hAnsi="仿宋" w:eastAsia="仿宋_GB2312"/>
          <w:color w:val="auto"/>
          <w:kern w:val="2"/>
          <w:sz w:val="24"/>
        </w:rPr>
        <w:t>4.2.2.1对招标文件提出质疑的，质疑期限为供应商获得招标文件之日或者招标文件公告期限届满之日起计算。</w:t>
      </w:r>
    </w:p>
    <w:p>
      <w:pPr>
        <w:pStyle w:val="36"/>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6"/>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6"/>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6"/>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6"/>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rPr>
        <w:t xml:space="preserve"> </w:t>
      </w: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_GB2312" w:hAnsi="仿宋" w:eastAsia="仿宋_GB2312"/>
        </w:rPr>
        <w:t>2021〕17号）,</w:t>
      </w:r>
      <w:r>
        <w:rPr>
          <w:rFonts w:hint="eastAsia" w:ascii="仿宋_GB2312" w:hAnsi="仿宋" w:eastAsia="仿宋_GB2312"/>
        </w:rPr>
        <w:t>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cs="微软雅黑"/>
        </w:rPr>
        <w:t xml:space="preserve"> </w:t>
      </w: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574"/>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 xml:space="preserve"> </w:t>
      </w: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 xml:space="preserve"> </w:t>
      </w: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 xml:space="preserve"> </w:t>
      </w:r>
      <w:r>
        <w:rPr>
          <w:rFonts w:ascii="仿宋_GB2312" w:hAnsi="仿宋" w:eastAsia="仿宋_GB2312"/>
        </w:rPr>
        <w:t>4.3.3供应</w:t>
      </w:r>
      <w:r>
        <w:rPr>
          <w:rFonts w:hint="eastAsia" w:ascii="仿宋_GB2312" w:hAnsi="仿宋" w:eastAsia="仿宋_GB2312"/>
        </w:rPr>
        <w:t>商投诉应当有明确的请求和必要的证明材料。</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 xml:space="preserve"> </w:t>
      </w:r>
      <w:r>
        <w:rPr>
          <w:rFonts w:ascii="仿宋_GB2312" w:hAnsi="仿宋" w:eastAsia="仿宋_GB2312"/>
        </w:rPr>
        <w:t>4.3.</w:t>
      </w:r>
      <w:r>
        <w:rPr>
          <w:rFonts w:hint="eastAsia" w:ascii="仿宋_GB2312" w:hAnsi="仿宋" w:eastAsia="仿宋_GB2312"/>
        </w:rPr>
        <w:t>4</w:t>
      </w:r>
      <w:r>
        <w:rPr>
          <w:rFonts w:ascii="仿宋_GB2312" w:hAnsi="仿宋" w:eastAsia="仿宋_GB2312"/>
        </w:rPr>
        <w:t xml:space="preserve"> </w:t>
      </w:r>
      <w:r>
        <w:rPr>
          <w:rFonts w:hint="eastAsia" w:ascii="仿宋_GB2312" w:hAnsi="仿宋" w:eastAsia="仿宋_GB2312"/>
        </w:rPr>
        <w:t>以联合体形式参加政府采购活动的，其投诉应当由组成联合体的所有供应商共同提出。</w:t>
      </w:r>
    </w:p>
    <w:p>
      <w:pPr>
        <w:pStyle w:val="574"/>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8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6"/>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6"/>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8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8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6"/>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11.2.3联合协议；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11.2.4分包意向协议；</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11.2.6评标标准相应的商务技术资料；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11.2.7投标标的清单；</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rPr>
        <w:t>8</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rPr>
        <w:t>9</w:t>
      </w:r>
      <w:r>
        <w:rPr>
          <w:rFonts w:ascii="仿宋_GB2312" w:hAnsi="仿宋" w:eastAsia="仿宋_GB2312" w:cs="仿宋_GB2312"/>
          <w:sz w:val="24"/>
          <w:lang w:val="zh-CN"/>
        </w:rPr>
        <w:t>政府采购供应商廉洁自律承诺书；</w:t>
      </w:r>
    </w:p>
    <w:p>
      <w:pPr>
        <w:snapToGrid w:val="0"/>
        <w:spacing w:line="360" w:lineRule="auto"/>
        <w:rPr>
          <w:rFonts w:ascii="仿宋_GB2312" w:hAnsi="仿宋" w:eastAsia="仿宋_GB2312" w:cs="仿宋_GB2312"/>
          <w:sz w:val="24"/>
          <w:szCs w:val="20"/>
        </w:rPr>
      </w:pPr>
      <w:r>
        <w:rPr>
          <w:rFonts w:hint="eastAsia" w:ascii="仿宋_GB2312" w:hAnsi="仿宋" w:eastAsia="仿宋_GB2312" w:cs="仿宋_GB2312"/>
          <w:sz w:val="24"/>
        </w:rPr>
        <w:t xml:space="preserve">       </w:t>
      </w:r>
      <w:r>
        <w:rPr>
          <w:rFonts w:ascii="仿宋_GB2312" w:hAnsi="仿宋" w:eastAsia="仿宋_GB2312" w:cs="仿宋_GB2312"/>
          <w:sz w:val="24"/>
          <w:lang w:val="zh-CN"/>
        </w:rPr>
        <w:t xml:space="preserve"> 11.2.</w:t>
      </w:r>
      <w:r>
        <w:rPr>
          <w:rFonts w:hint="eastAsia" w:ascii="仿宋_GB2312" w:hAnsi="仿宋" w:eastAsia="仿宋_GB2312" w:cs="仿宋_GB2312"/>
          <w:sz w:val="24"/>
        </w:rPr>
        <w:t>10</w:t>
      </w:r>
      <w:r>
        <w:rPr>
          <w:rFonts w:ascii="仿宋_GB2312" w:hAnsi="仿宋" w:eastAsia="仿宋_GB2312" w:cs="仿宋_GB2312"/>
          <w:sz w:val="24"/>
          <w:szCs w:val="20"/>
          <w:lang w:val="zh-CN"/>
        </w:rPr>
        <w:t>投标</w:t>
      </w:r>
      <w:r>
        <w:rPr>
          <w:rFonts w:ascii="仿宋_GB2312" w:hAnsi="仿宋" w:eastAsia="仿宋_GB2312" w:cs="仿宋_GB2312"/>
          <w:sz w:val="24"/>
          <w:szCs w:val="20"/>
        </w:rPr>
        <w:t>人</w:t>
      </w:r>
      <w:r>
        <w:rPr>
          <w:rFonts w:ascii="仿宋_GB2312" w:hAnsi="仿宋" w:eastAsia="仿宋_GB2312" w:cs="仿宋_GB2312"/>
          <w:sz w:val="24"/>
          <w:szCs w:val="20"/>
          <w:lang w:val="zh-CN"/>
        </w:rPr>
        <w:t>认为需要的其他文件资料</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w:t>
      </w:r>
    </w:p>
    <w:p>
      <w:pPr>
        <w:snapToGrid w:val="0"/>
        <w:ind w:firstLine="960" w:firstLineChars="400"/>
        <w:rPr>
          <w:rFonts w:ascii="仿宋_GB2312" w:hAnsi="仿宋" w:eastAsia="仿宋_GB2312" w:cs="仿宋_GB2312"/>
          <w:sz w:val="24"/>
        </w:rPr>
      </w:pPr>
      <w:r>
        <w:rPr>
          <w:rFonts w:hint="eastAsia" w:ascii="仿宋_GB2312" w:hAnsi="仿宋" w:eastAsia="仿宋_GB2312" w:cs="仿宋_GB2312"/>
          <w:sz w:val="24"/>
        </w:rPr>
        <w:t>11.3.3</w:t>
      </w:r>
      <w:r>
        <w:rPr>
          <w:rFonts w:ascii="仿宋_GB2312" w:hAnsi="仿宋" w:eastAsia="仿宋_GB2312" w:cs="仿宋_GB2312"/>
          <w:sz w:val="24"/>
        </w:rPr>
        <w:t>投标人针对报价需要说明的其他文件和说明。</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8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8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8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8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8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6"/>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w:t>
      </w:r>
      <w:r>
        <w:rPr>
          <w:rFonts w:hint="eastAsia" w:hAnsi="宋体"/>
          <w:b/>
          <w:color w:val="000000"/>
          <w:sz w:val="24"/>
          <w:szCs w:val="24"/>
        </w:rPr>
        <w:t>在投标截止时间前半小时内</w:t>
      </w:r>
      <w:r>
        <w:rPr>
          <w:rFonts w:ascii="仿宋_GB2312" w:hAnsi="仿宋" w:eastAsia="仿宋_GB2312" w:cs="仿宋_GB2312"/>
          <w:sz w:val="24"/>
          <w:szCs w:val="24"/>
        </w:rPr>
        <w:t>递交备份投标文件1份</w:t>
      </w:r>
      <w:r>
        <w:rPr>
          <w:rFonts w:hint="eastAsia" w:ascii="仿宋_GB2312" w:hAnsi="仿宋" w:eastAsia="仿宋_GB2312" w:cs="仿宋_GB2312"/>
          <w:sz w:val="24"/>
          <w:szCs w:val="24"/>
        </w:rPr>
        <w:t>至杭州尚远招标代理有限公司</w:t>
      </w:r>
      <w:r>
        <w:rPr>
          <w:rFonts w:ascii="仿宋_GB2312" w:hAnsi="仿宋" w:eastAsia="仿宋_GB2312" w:cs="仿宋_GB2312"/>
          <w:sz w:val="24"/>
          <w:szCs w:val="24"/>
        </w:rPr>
        <w:t>，</w:t>
      </w:r>
      <w:r>
        <w:rPr>
          <w:rFonts w:hint="eastAsia" w:ascii="仿宋_GB2312" w:hAnsi="仿宋" w:eastAsia="仿宋_GB2312" w:cs="仿宋_GB2312"/>
          <w:b/>
          <w:sz w:val="24"/>
          <w:szCs w:val="24"/>
        </w:rPr>
        <w:t>但采购人、采购机构不强制或变相强制投标人提交备份投标文件。</w:t>
      </w:r>
    </w:p>
    <w:p>
      <w:pPr>
        <w:pStyle w:val="36"/>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hint="eastAsia" w:ascii="仿宋_GB2312" w:hAnsi="仿宋" w:eastAsia="仿宋_GB2312"/>
          <w:sz w:val="24"/>
        </w:rPr>
        <w:t>U</w:t>
      </w:r>
      <w:r>
        <w:rPr>
          <w:rFonts w:ascii="仿宋_GB2312" w:hAnsi="仿宋" w:eastAsia="仿宋_GB2312"/>
          <w:sz w:val="24"/>
        </w:rPr>
        <w:t>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6"/>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4.2</w:t>
      </w:r>
      <w:r>
        <w:rPr>
          <w:rFonts w:ascii="仿宋_GB2312" w:hAnsi="仿宋" w:eastAsia="仿宋_GB2312"/>
        </w:rPr>
        <w:t>规定</w:t>
      </w:r>
      <w:r>
        <w:rPr>
          <w:rFonts w:hint="eastAsia" w:ascii="仿宋_GB2312" w:hAnsi="仿宋" w:eastAsia="仿宋_GB2312" w:cs="仿宋_GB2312"/>
          <w:szCs w:val="21"/>
        </w:rPr>
        <w:t>的情形之一的，投标无效：</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8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89"/>
        <w:spacing w:before="0"/>
        <w:ind w:firstLine="643"/>
        <w:rPr>
          <w:rFonts w:ascii="仿宋_GB2312" w:hAnsi="仿宋" w:eastAsia="仿宋_GB2312" w:cs="仿宋_GB2312"/>
          <w:b/>
          <w:sz w:val="32"/>
        </w:rPr>
      </w:pPr>
    </w:p>
    <w:p>
      <w:pPr>
        <w:pStyle w:val="8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244"/>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244"/>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244"/>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244"/>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8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8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8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8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8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89"/>
        <w:snapToGrid w:val="0"/>
        <w:spacing w:before="0"/>
        <w:ind w:firstLine="480"/>
        <w:rPr>
          <w:rFonts w:ascii="仿宋_GB2312" w:hAnsi="仿宋" w:eastAsia="仿宋_GB2312" w:cs="仿宋_GB2312"/>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8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w:t>
      </w:r>
      <w:r>
        <w:rPr>
          <w:rFonts w:hint="eastAsia" w:ascii="仿宋_GB2312" w:hAnsi="仿宋" w:eastAsia="仿宋_GB2312" w:cs="Arial"/>
          <w:kern w:val="0"/>
          <w:sz w:val="24"/>
        </w:rPr>
        <w:t>十个工作日</w:t>
      </w:r>
      <w:r>
        <w:rPr>
          <w:rFonts w:ascii="仿宋_GB2312" w:hAnsi="仿宋" w:eastAsia="仿宋_GB2312" w:cs="Arial"/>
          <w:kern w:val="0"/>
          <w:sz w:val="24"/>
        </w:rPr>
        <w:t>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8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8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。杭州市政府采购网公布的供应商履约评价为满分的供应商，采购单位应当免收履约保证金。确需收履约保证金的，履约保证金的数额不得超过政府采购合同金额的1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pStyle w:val="4"/>
        <w:ind w:left="0" w:firstLine="480" w:firstLineChars="200"/>
        <w:rPr>
          <w:lang w:val="en-US"/>
        </w:rPr>
      </w:pPr>
      <w:r>
        <w:rPr>
          <w:rFonts w:hint="eastAsia"/>
          <w:b w:val="0"/>
          <w:bCs w:val="0"/>
          <w:snapToGrid w:val="0"/>
          <w:kern w:val="28"/>
          <w:sz w:val="24"/>
        </w:rPr>
        <w:t>供应商</w:t>
      </w:r>
      <w:r>
        <w:rPr>
          <w:rFonts w:hint="eastAsia"/>
          <w:b w:val="0"/>
          <w:bCs w:val="0"/>
          <w:snapToGrid w:val="0"/>
          <w:kern w:val="28"/>
          <w:sz w:val="24"/>
          <w:lang w:val="en-US"/>
        </w:rPr>
        <w:t>可</w:t>
      </w:r>
      <w:r>
        <w:rPr>
          <w:rFonts w:hint="eastAsia"/>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8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8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8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pPr>
      <w:bookmarkStart w:id="14" w:name="_Hlt74714665"/>
      <w:bookmarkEnd w:id="14"/>
      <w:bookmarkStart w:id="15" w:name="_Hlt74729768"/>
      <w:bookmarkEnd w:id="15"/>
      <w:bookmarkStart w:id="16" w:name="_Hlt75236101"/>
      <w:bookmarkEnd w:id="16"/>
      <w:bookmarkStart w:id="17" w:name="_Hlt68057669"/>
      <w:bookmarkEnd w:id="17"/>
      <w:bookmarkStart w:id="18" w:name="_Hlt68072990"/>
      <w:bookmarkEnd w:id="18"/>
      <w:bookmarkStart w:id="19" w:name="_Hlt75236011"/>
      <w:bookmarkEnd w:id="19"/>
      <w:bookmarkStart w:id="20" w:name="_Hlt75236290"/>
      <w:bookmarkEnd w:id="20"/>
      <w:bookmarkStart w:id="21" w:name="_Hlt74730295"/>
      <w:bookmarkEnd w:id="21"/>
      <w:bookmarkStart w:id="22" w:name="_Hlt68073093"/>
      <w:bookmarkEnd w:id="22"/>
      <w:bookmarkStart w:id="23" w:name="_Hlt68072998"/>
      <w:bookmarkEnd w:id="23"/>
      <w:bookmarkStart w:id="24" w:name="_Hlt74707468"/>
      <w:bookmarkEnd w:id="24"/>
      <w:bookmarkStart w:id="25" w:name="_Hlt68403820"/>
      <w:bookmarkEnd w:id="25"/>
    </w:p>
    <w:p>
      <w:pPr>
        <w:snapToGrid w:val="0"/>
        <w:spacing w:line="360" w:lineRule="auto"/>
        <w:ind w:left="120" w:leftChars="57" w:firstLine="482" w:firstLineChars="150"/>
        <w:jc w:val="center"/>
        <w:rPr>
          <w:rFonts w:ascii="仿宋_GB2312" w:hAnsi="仿宋" w:eastAsia="仿宋_GB2312" w:cs="仿宋_GB2312"/>
          <w:b/>
          <w:sz w:val="32"/>
          <w:szCs w:val="20"/>
        </w:rPr>
      </w:pPr>
      <w:r>
        <w:rPr>
          <w:rFonts w:hint="eastAsia" w:ascii="仿宋_GB2312" w:hAnsi="仿宋" w:eastAsia="仿宋_GB2312" w:cs="仿宋_GB2312"/>
          <w:b/>
          <w:kern w:val="0"/>
          <w:sz w:val="32"/>
          <w:szCs w:val="20"/>
        </w:rPr>
        <w:t>十、货款支付</w:t>
      </w:r>
    </w:p>
    <w:p>
      <w:pPr>
        <w:pStyle w:val="4"/>
        <w:tabs>
          <w:tab w:val="left" w:pos="0"/>
          <w:tab w:val="clear" w:pos="432"/>
        </w:tabs>
        <w:ind w:left="12" w:hanging="12"/>
        <w:rPr>
          <w:rFonts w:ascii="仿宋" w:eastAsia="仿宋"/>
          <w:sz w:val="24"/>
        </w:rPr>
      </w:pPr>
      <w:r>
        <w:rPr>
          <w:rFonts w:hint="eastAsia" w:ascii="仿宋" w:eastAsia="仿宋"/>
          <w:sz w:val="24"/>
          <w:lang w:val="en-US"/>
        </w:rPr>
        <w:t xml:space="preserve">    30</w:t>
      </w:r>
      <w:r>
        <w:rPr>
          <w:rFonts w:ascii="仿宋" w:eastAsia="仿宋"/>
          <w:sz w:val="24"/>
        </w:rPr>
        <w:t>.</w:t>
      </w:r>
      <w:r>
        <w:rPr>
          <w:rFonts w:hint="eastAsia" w:ascii="仿宋" w:eastAsia="仿宋"/>
          <w:sz w:val="24"/>
          <w:lang w:val="en-US"/>
        </w:rPr>
        <w:t>1</w:t>
      </w:r>
      <w:r>
        <w:rPr>
          <w:rFonts w:hint="eastAsia" w:ascii="仿宋" w:eastAsia="仿宋"/>
          <w:sz w:val="24"/>
        </w:rPr>
        <w:t>应当</w:t>
      </w:r>
      <w:r>
        <w:rPr>
          <w:rFonts w:ascii="仿宋" w:eastAsia="仿宋"/>
          <w:sz w:val="24"/>
        </w:rPr>
        <w:t>在政府采购合同中约定预付款，预付款比例</w:t>
      </w:r>
      <w:r>
        <w:rPr>
          <w:rFonts w:hint="eastAsia" w:ascii="仿宋" w:eastAsia="仿宋"/>
          <w:sz w:val="24"/>
        </w:rPr>
        <w:t>为</w:t>
      </w:r>
      <w:r>
        <w:rPr>
          <w:rFonts w:ascii="仿宋" w:eastAsia="仿宋"/>
          <w:sz w:val="24"/>
        </w:rPr>
        <w:t>合同金额的</w:t>
      </w:r>
      <w:r>
        <w:rPr>
          <w:rFonts w:hint="eastAsia" w:ascii="仿宋" w:eastAsia="仿宋"/>
          <w:sz w:val="24"/>
          <w:lang w:val="en-US"/>
        </w:rPr>
        <w:t>40</w:t>
      </w:r>
      <w:r>
        <w:rPr>
          <w:rFonts w:ascii="仿宋" w:eastAsia="仿宋"/>
          <w:sz w:val="24"/>
        </w:rPr>
        <w:t>％；项目分年安排预算的，每年预付款比例</w:t>
      </w:r>
      <w:r>
        <w:rPr>
          <w:rFonts w:hint="eastAsia" w:ascii="仿宋" w:eastAsia="仿宋"/>
          <w:sz w:val="24"/>
        </w:rPr>
        <w:t>为</w:t>
      </w:r>
      <w:r>
        <w:rPr>
          <w:rFonts w:ascii="仿宋" w:eastAsia="仿宋"/>
          <w:sz w:val="24"/>
        </w:rPr>
        <w:t>项目年度计划支付资金额的</w:t>
      </w:r>
      <w:r>
        <w:rPr>
          <w:rFonts w:hint="eastAsia" w:ascii="仿宋" w:eastAsia="仿宋"/>
          <w:sz w:val="24"/>
          <w:lang w:val="en-US"/>
        </w:rPr>
        <w:t>40</w:t>
      </w:r>
      <w:r>
        <w:rPr>
          <w:rFonts w:ascii="仿宋" w:eastAsia="仿宋"/>
          <w:sz w:val="24"/>
        </w:rPr>
        <w:t>％。采购项目实施以人工投入为主的，可适当降低预付款比例，但不低于</w:t>
      </w:r>
      <w:r>
        <w:rPr>
          <w:rFonts w:hint="eastAsia" w:ascii="仿宋" w:eastAsia="仿宋"/>
          <w:sz w:val="24"/>
          <w:lang w:val="en-US"/>
        </w:rPr>
        <w:t>20</w:t>
      </w:r>
      <w:r>
        <w:rPr>
          <w:rFonts w:ascii="仿宋" w:eastAsia="仿宋"/>
          <w:sz w:val="24"/>
        </w:rPr>
        <w:t>%。可以根据项目特点、</w:t>
      </w:r>
      <w:r>
        <w:rPr>
          <w:rFonts w:hint="eastAsia" w:ascii="仿宋" w:eastAsia="仿宋"/>
          <w:sz w:val="24"/>
        </w:rPr>
        <w:t>供应商</w:t>
      </w:r>
      <w:r>
        <w:rPr>
          <w:rFonts w:ascii="仿宋" w:eastAsia="仿宋"/>
          <w:sz w:val="24"/>
        </w:rPr>
        <w:t>信用等实际情况提高预付款比例，最高预付比例可以达到</w:t>
      </w:r>
      <w:r>
        <w:rPr>
          <w:rFonts w:hint="eastAsia" w:ascii="仿宋" w:eastAsia="仿宋"/>
          <w:sz w:val="24"/>
          <w:lang w:val="en-US"/>
        </w:rPr>
        <w:t>70</w:t>
      </w:r>
      <w:r>
        <w:rPr>
          <w:rFonts w:ascii="仿宋" w:eastAsia="仿宋"/>
          <w:sz w:val="24"/>
        </w:rPr>
        <w:t>%。</w:t>
      </w:r>
    </w:p>
    <w:p>
      <w:pPr>
        <w:spacing w:line="560" w:lineRule="exact"/>
        <w:ind w:firstLine="480" w:firstLineChars="200"/>
        <w:rPr>
          <w:rFonts w:ascii="仿宋" w:hAnsi="仿宋" w:eastAsia="仿宋"/>
          <w:sz w:val="24"/>
        </w:rPr>
      </w:pPr>
      <w:r>
        <w:rPr>
          <w:rFonts w:hint="eastAsia" w:ascii="仿宋" w:hAnsi="仿宋" w:eastAsia="仿宋"/>
          <w:sz w:val="24"/>
        </w:rPr>
        <w:t>30.2供应商可登录政采云前台大厅选择金融服务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outlineLvl w:val="0"/>
        <w:rPr>
          <w:rFonts w:ascii="仿宋" w:hAnsi="仿宋" w:eastAsia="仿宋"/>
          <w:sz w:val="24"/>
        </w:rPr>
      </w:pPr>
      <w:r>
        <w:rPr>
          <w:rFonts w:hint="eastAsia" w:ascii="仿宋" w:hAnsi="仿宋" w:eastAsia="仿宋"/>
          <w:sz w:val="24"/>
        </w:rPr>
        <w:t>30.3供应商</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
      <w:pPr>
        <w:pStyle w:val="619"/>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rPr>
        <w:t>30.4采购人应严格履行合同，及时组织验收，验收合格后及时将合同款支付完毕。对于满足合同约定支付条件的，采购人自收到发票后7</w:t>
      </w:r>
      <w:r>
        <w:rPr>
          <w:rFonts w:ascii="仿宋" w:hAnsi="仿宋" w:eastAsia="仿宋" w:cs="Times New Roman"/>
        </w:rPr>
        <w:t>个工作日内将资金支付到合同约定的乙方账户。</w:t>
      </w:r>
    </w:p>
    <w:p>
      <w:pPr>
        <w:pStyle w:val="4"/>
        <w:rPr>
          <w:lang w:val="en-US"/>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docGrid w:linePitch="312" w:charSpace="0"/>
        </w:sectPr>
      </w:pPr>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rPr>
          <w:rFonts w:ascii="宋体" w:hAnsi="宋体" w:cs="宋体"/>
          <w:szCs w:val="21"/>
        </w:rPr>
      </w:pPr>
    </w:p>
    <w:p>
      <w:pPr>
        <w:spacing w:line="600" w:lineRule="exact"/>
        <w:rPr>
          <w:rFonts w:ascii="仿宋" w:hAnsi="仿宋" w:eastAsia="仿宋" w:cs="仿宋"/>
          <w:b/>
          <w:bCs/>
          <w:sz w:val="24"/>
        </w:rPr>
      </w:pPr>
      <w:r>
        <w:rPr>
          <w:rFonts w:hint="eastAsia" w:ascii="仿宋" w:hAnsi="仿宋" w:eastAsia="仿宋" w:cs="仿宋"/>
          <w:b/>
          <w:bCs/>
          <w:sz w:val="24"/>
        </w:rPr>
        <w:t>一、项目概述：</w:t>
      </w:r>
    </w:p>
    <w:p>
      <w:pPr>
        <w:pStyle w:val="5"/>
        <w:tabs>
          <w:tab w:val="left" w:pos="1260"/>
          <w:tab w:val="clear" w:pos="900"/>
        </w:tabs>
        <w:spacing w:before="0" w:after="0" w:line="600" w:lineRule="atLeast"/>
        <w:ind w:left="0" w:firstLine="480" w:firstLineChars="200"/>
        <w:jc w:val="left"/>
        <w:rPr>
          <w:rFonts w:ascii="仿宋" w:hAnsi="仿宋" w:eastAsia="仿宋" w:cs="仿宋"/>
          <w:kern w:val="0"/>
          <w:sz w:val="24"/>
          <w:szCs w:val="24"/>
        </w:rPr>
      </w:pPr>
      <w:r>
        <w:rPr>
          <w:rFonts w:hint="eastAsia" w:ascii="仿宋" w:hAnsi="仿宋" w:eastAsia="仿宋" w:cs="仿宋"/>
          <w:b w:val="0"/>
          <w:bCs w:val="0"/>
          <w:sz w:val="24"/>
          <w:szCs w:val="24"/>
        </w:rPr>
        <w:t>本项目为“交钥匙”项目，采购内容包括本项目的采购、运输、安装、调试、培训和相关维护等。投标报价包括设备费、样品费、材料费、保管费、安装调试费、培训、税收、售后服务、招标代理费、检测费、验收费、采购需求中未提到但在实际采购和安装过程中需要配置的各种设备、材料及其他费用等须由本项目中标人支付的所有费用。</w:t>
      </w:r>
    </w:p>
    <w:p>
      <w:pPr>
        <w:pStyle w:val="5"/>
        <w:numPr>
          <w:ilvl w:val="0"/>
          <w:numId w:val="3"/>
        </w:numPr>
        <w:tabs>
          <w:tab w:val="left" w:pos="1260"/>
          <w:tab w:val="clear" w:pos="900"/>
        </w:tabs>
        <w:spacing w:before="0" w:after="0" w:line="600" w:lineRule="atLeast"/>
        <w:ind w:left="0" w:firstLine="0"/>
        <w:jc w:val="left"/>
        <w:rPr>
          <w:rFonts w:ascii="仿宋" w:hAnsi="仿宋" w:eastAsia="仿宋" w:cs="仿宋"/>
          <w:kern w:val="0"/>
          <w:sz w:val="24"/>
          <w:szCs w:val="24"/>
        </w:rPr>
      </w:pPr>
      <w:r>
        <w:rPr>
          <w:rFonts w:hint="eastAsia" w:ascii="仿宋" w:hAnsi="仿宋" w:eastAsia="仿宋" w:cs="仿宋"/>
          <w:kern w:val="0"/>
          <w:sz w:val="24"/>
          <w:szCs w:val="24"/>
        </w:rPr>
        <w:t>采购清单及参数：</w:t>
      </w:r>
    </w:p>
    <w:tbl>
      <w:tblPr>
        <w:tblStyle w:val="66"/>
        <w:tblW w:w="10395" w:type="dxa"/>
        <w:tblInd w:w="-884" w:type="dxa"/>
        <w:tblLayout w:type="fixed"/>
        <w:tblCellMar>
          <w:top w:w="0" w:type="dxa"/>
          <w:left w:w="108" w:type="dxa"/>
          <w:bottom w:w="0" w:type="dxa"/>
          <w:right w:w="108" w:type="dxa"/>
        </w:tblCellMar>
      </w:tblPr>
      <w:tblGrid>
        <w:gridCol w:w="780"/>
        <w:gridCol w:w="1194"/>
        <w:gridCol w:w="6921"/>
        <w:gridCol w:w="690"/>
        <w:gridCol w:w="810"/>
      </w:tblGrid>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104化学竞赛教室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铝合金万向罩</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1.关节：高密度PP材质表面磨砂，优化了视觉美感和手握触感可360°旋转调节方向。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2.关节密封圈：不易老化之高密度橡胶。在关节之间随着旋钮压力加大而产生阻尼效果。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3.关节连接杆：304不锈钢双头锁杆。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4.关节盖：高密度PP材质表面磨砂，一面嵌入铜质滚花螺母，四周采用自锁式倒扣拆装方便。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5.关节松紧选钮：高密度PP材质，内置微形平面推力不锈钢轴承，与关节连接杆锁合。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6.铝合金万向罩口：直径253mm，高密度铝合金制成。防止做实验时着火出现危险，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7.伸缩导管：4节直径60mm的6系专业抗氧化抗腐蚀的镁硅铝合金，表面做特氟龙表面处理，耐酸、耐碱、耐划痕。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8.旋转关节：6系专业抗氧化抗腐蚀的镁硅铝合金，在下部设计增加旋转功能，内部设计PVC离合结构。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9.扭簧：使用90度的4mm专用弹簧钢抗氧化处理，防止吸风罩整体滑下。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10.安装后可根据使用需要达到三维360度任意转停，集气罩吸气角度360度任意转停。整体美观大方，吻合高水准专业实验室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万向吸风罩底座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固定底座：6系专业抗氧化抗腐蚀的镁硅铝合金，根据不同的组合方式可选择丝口和挂口结构，拆装方便。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实验室专用水槽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采用实验室专用高密度PP一体化成型水槽，易清洁，耐腐蚀，且利于台面残水自然回流，美观实用；具耐酸碱、耐有机溶剂、耐紫外线等特点。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三联高低位龙头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规格采用≥3000*700*900mm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整体结构设计合理，预留电脑主机、键盘托、实物展台、教师电源位置；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3.拉手：采用C型不锈钢拉手，造型独特美观；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4.采用ABS专用连接组装件；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5.防腐三节静音导轨：三节重型滚珠滑轨，承重性强，滑动性能良好，无噪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8.洗眼喷头：采用不助燃PC材质模铸一体成形制作，具有过滤泡棉及防尘功能，上面防尘盖平常可防尘，使用时可随时被水冲开，并降低突然打开时短暂的高水压，避免冲伤眼睛。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9.教师演示台配备总漏电保护和分组保护，可分组控制学生电源，确保学生实验安全方便；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2.220V交流输出为带安全门的新国标插座，带有电源指示。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化学竞赛操作面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规格采用≥3000*1500*780mm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操作面力学性能满足：水平静载荷试验：技术要求：力600N，10次；垂直静载荷试验：主桌面：力2000N，10次；持续垂直静载荷：载荷1.25kg/dm²，24h；独立操作面水平冲击稳定性：质量50kg，跌落高度40mm；独立操作面垂直加载稳定性：750N；活动操作台跌落：跌落高度：150mm，10次；垂直冲击试验：跌落高度：300mm，10次。</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4.包含操作位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三联高低位龙头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pp杯槽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采用实验室专用高密度PP一体化成型水槽，易清洁，具耐酸碱、耐有机溶剂、耐紫外线等特点。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7字龙头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实验室专用优质化验水嘴：要求防酸碱、防锈、防虹吸、防阻塞，表面环氧树脂喷涂。出水嘴为铜质瓷芯，出水嘴可拆卸，内有成型螺纹。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实验室专用试剂平台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1.铝合金结构，表面喷涂高温固化匀乳白环氧树脂喷涂理处理，具有较强的耐蚀性能，上下带塑胶模具堵头；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2.试剂架立柱截面尺寸：42mm*82mm,型材壁厚1.2mm；试剂架立柱双面升降槽，侧面双面镶嵌另色色条；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3.试剂架托架1.0mm高强度镀锌钢板，一次性冲压成型；试剂架护栏：护栏壁厚1.2mm，单面镶嵌另色色条。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4.立杆牢固固定于C型钢架底端，层板采用8mm厚的玻璃，安装后用户可根据试剂大小上下高低无级调节。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规格采用≥4000*600*800mm；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操作台面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含座人空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三联高低位龙头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规格采用≥9000*600*800mm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操作台面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含座人空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岛式插座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1、钢制线盒，主框架采用裸板实际厚度大于1.0mm厚优质钢材产一级高强度镀锌钢板经CNC机压成形、焊接制作，表面经磷化处理、环氧树脂静电粉末涂装处理。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2.220V交流输出为新国标五孔插座，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操作台面力学性能满足：水平静载荷试验：技术要求：力600N，10次；垂直静载荷试验：主桌面：力2000N，10次；持续垂直静载荷：载荷1.25kg/dm²，24h；独立操作台水平冲击稳定性：质量50kg，跌落高度40mm；独立操作台垂直加载稳定性：750N；活动操作台跌落：跌落高度：150mm，10次；垂直冲击试验：跌落高度：300mm，10次。含座人空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消防沙箱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技术特点：1、采用静电喷漆，光滑整洁，防潮。2、底部加固处理，增加强度，与地面有间隙，不易生锈。3、采用优质加厚钢铁加工，高硬度耐用。4、优质五金铰，链箱盖，无卡阻现象。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结合效果图定制文化窗帘（内容以化学知识为主）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美式高效排风柜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规格：1200mm*850mm*2350mm1、排风柜面风速分布均匀，操作口面风速调节范围：0.3-0.6m/s；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2、调节门开度500mm：面风速0.3m/s时，泄漏浓度需＜0.01pp，风阻需小于30Pa，空气交换效率需大于80％（需具有符合CMA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3、调节门开度500mm：面风速0.5m/s时，泄漏浓度需＜0.01pp，风阻需小于70Pa，空气交换效率需大于90％（需具有符合CMA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4、排风量：以1800排风柜为例，在0.3m/s面风速时，排风量平均值需大于700cfm（1200m³/h），在0.5m/s面风速时，排风量平均值需大于1000cfm（1700m³/h）（需具有符合CMA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浓度测试（内测法）：示踪气体流量为2.0L/min，测量并记录示踪气体（SF6）浓度360秒，计算平均示踪气体（SF6）作为测试时间段的体积浓度，从60秒到360秒，结果四舍五入到小数点后第二位。计算因子Cfi＞683，保护因子PFi＞2.0×106，测试结果SF6泄漏浓度需＜0.01ppm（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5、浓度测试（外测法）：排风柜拉门设置在500mm开口高度，布置 9 点引射器及采样探头，引射器距拉门平面 200 mm的平面上。位置由三条水平线和三条等间距垂直线的交叉形成的网格，采样探头位于外部测量平面上的线交叉形成的网格点处。网格点由一系列水平线和一系列等间距垂直线组成，示踪气体流量为 4.5 L/min，测量并记录示踪气体（SF6）浓度 660s。开始 360s 后，将拉门（1±0.2）s 内关闭至最小开度。再经过 240s 后，在（1±0.2）s 内将拉门打开至测试拉门开口高度。再过 60s 后，停止释放示踪气体。计算平均示踪气体（SF6）浓度φi作为测试时间段的体积浓度，并将结果四舍五入到小数点后第二位。计算因子 CFi（CFi=q/(Q×φR)）。计算保护因子 PFi（PFi=q/(Qs×φR)，Qs=10 L/min），测试结果SF6泄漏浓度需＜0.01ppm（需具有符合CMA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6、扰流测试：排风柜开口设置在工作操作高度，引射器及采样探头布置参考浓度测试(外侧法)。示踪气体流量为 4.5 L/min，测量并记录示踪气体（SF6）浓度 270 秒。开始60 秒后，平板小车距离地面 200 mm,在排风柜拉门面前方 400 mm 处开始以 1 m/s的速度来回移动 6 次，移动距离排风柜两侧至少 600 mm 以上。每次来回间隔时间为（30±2）s。继续释放示踪气体 60 秒并记录泄漏浓度值。采集并计算平均示踪气体（SF6）浓度φi作为测试时间段的体积浓度，并将结果四舍五入到CFi=q/(Q×φR)）。计算保护因子 PFi（PFi=q/(Qs×φR),Qs=10小数点后第二位。计算因子 CFi（L/min）。测试结果需符合EN 17175标准（需具有符合CMA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7、气流可视化测试：小烟雾试验使用四氯化钛试剂（TiCl4）、大烟雾试验使用烟雾发生器，在排风柜相应位置释放烟雾。排风柜评级需符合EN 17175标准（需具有符合CMA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8、横向气流最大平均值（M/S）：垂直≤0.01，水平≤0.01（需具有符合CMA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9、防坠落功能：调节门设计有防坠落功能装置，即同步带突然断裂，调节门也会停留在最初位置附近，不大于25mm。有效防止调节门坠落发生意外（需具有符合CMA 、CNAS、ILAC-MARS认可的第三方检测机构出具的检测报告）。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托盘天平</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小型台钻</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打孔器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电动离心机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方座支架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J1102型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万能夹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三脚架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漏斗架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搅拌磁子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循环水泵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SHZ-D循环水式真空泵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玻璃仪器气流烘干器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学生电源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16伏/2A，稳压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4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铁架台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20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39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升降台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20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20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胶棒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磁力加热搅拌器250ml</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DHT型搅拌调温电热套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烘干箱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1.适用于工矿企业、医药卫生、科研单位作干燥、烘焙、熔蜡、灭菌、固化使用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2.外壳采用静电喷涂工艺，漆膜牢固美观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3.箱门设有观察窗，可随时观察工作室内物品的加热情况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4.可选用多种控温仪表，控温精度高，稳定性能好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5.工作电压(V)：220V/50Hz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6.控温范围(℃)：RT+10～250℃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7.温度波动(℃)：±1.0℃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8.工作室尺寸(mm)：550x550x450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9.分辨率：0.1℃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10.数字显示，不锈钢内胆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电加热器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密封式</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酒精喷灯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坐式</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电子分析天平</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1.内置ARM32位微处理芯片，运行速度快、测量准确度高；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2.采用数字滤波和先进的数据处理技术，智能改善仪器响应速度和测量数据准确度。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3.采用先进的电磁传感器技术，传感器配件使用高精度数控加工中心加工，保证了传感器的精度及稳定性；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4.仪器采用密封式防风罩，外形美观，使用方便；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5.仪器含有计数、检重、密度、动物称量等多种模式称量，满足不同客户的需求，操作简单，准确度高等优点；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6.仪器电路板采用SMT贴片工艺，提高了产品的可靠性；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7.带白色背光的BTN 黑膜LCD液晶屏，显示清晰；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8.可读性：0.001g；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9.称量范围：300g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集热式搅拌器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1.容量：5000ML；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2.功能：加热/磁力搅拌；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3.加热功率800W；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4.控温方式：数显控温；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5.加热温度：室温-300°C。</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49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保温漏斗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塑料水槽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J2617型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蒸馏水器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塑料多用滴管井穴板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防护面罩</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符合防护标准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橡胶手套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符合防护标准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付</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防毒口罩</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符合防护标准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简易急救箱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符合防护标准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实验防护屏</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符合防护标准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四种类型π键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原子轨道杂化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sp</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sp2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sp3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dsp2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64</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dsp3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sp3dx2-y2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d2sp3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sp3d2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甲烷分子轨道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δ型离域分子轨道（6件）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δ键在d轨道与p轨道最大重叠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π键在d轨道与p轨道最大重叠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丙烯分子中超共轭效应</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氯乙烯分子的P、π共轭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甲苯分子的超共轭效应</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氯苯分子的P、π共轭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甘油醛对映异构及投影式</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乳酸对映异构及投影式</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丙二烯的对映异构体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环已烷船式和椅式</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瓦尔登转化模型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阻转异构现象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酒石酸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(左消旋、右消旋、内消旋)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体心立方滑移面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面心立方滑移面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密排六方滑移面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七晶系的多面体形状（7件）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七晶系十四空间点阵（14件）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证明四方晶系无面心点阵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二氧化碳晶体结构模型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二氧化硅晶体结构模型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氯化铯晶体结构模型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油浴锅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1.电源电压：AC220V   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2.输入功率：1000W；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3.控制范围：RT+20~200℃；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4.温度波动度：±0.5℃；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5.跟踪报警：±2℃；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6.容积：12L；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7.内胆尺寸（mm）：W*D*H250×250×200；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8.定时范围：0~9999min。</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气体摩尔体积模型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简单立方及其晶胞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面心立方及其晶胞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体心立方及其晶胞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六角密积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氯化钠晶体结构模型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立方金刚石晶体晶胞模型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六方金刚石晶体晶胞模型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石墨晶体结构模型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石墨晶体结构模型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石墨晶体晶胞模型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C60</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闪锌矿晶体结构模型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纤锌矿晶胞模型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冰晶胞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109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S8分子模型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方解石晶胞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氯化钙晶胞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冰晶石晶胞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白硅石晶胞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钛酸钡晶胞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五水合硫酸铜晶胞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雄黄晶胞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尖晶石晶胞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反尖晶石晶胞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胆红素结构模型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环丙烷碳键原子轨道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尼龙-6</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乙酸（双分子缔合）模型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孪晶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支链淀粉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石英晶胞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六亚甲基四胺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RNA多核苷酸链的基本结构模型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黄铜矿晶胞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六方氮化硼晶胞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立方ZnS模型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氟化钙模型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NiAs模型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金红石模型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碘化隔模型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钙钛矿模型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三氧化铼模型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体心立方中的四面体空隙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139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体心立方中的八面体空隙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面心立方中的四面体孔隙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鼓风干燥箱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热恒温鼓风干燥箱是利用数显仪表与温度传感器的连接控制工作室温度，采用热风循环送风来干燥物料的仪器设备。广泛用于干燥、烘烤及预热各种材料或试片，内箱机构采用热风循环方式，温度分布均匀。实验样本、食品、化学物质的热变性、热硬性、热软化、水分排除，生物工程中器皿、器具的干热杀菌，电子元器件的干燥、老化。适用于生物实验用品在恒温环境条件下做干燥和适应性实验。适用于工矿业企业实验室、医疗卫生、科研单位作干燥、烘焙、熔蜡、灭菌、固化使用；不适用于挥发性物品、易燃物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1.恒温方式鼓风强行对流传递</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2.性能：使用温度范围50~300℃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3.显示分辨率0.1℃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4.温控精度±0.1℃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5.温度波动度±1℃(100℃)结构内胆抗腐蚀304不锈钢材料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6.外壳优质钢板材料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7.可视窗双层钢化玻璃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8.控制器温度控制方式PID控制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9.温度设定方式按键设定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10.温度显示方式双排数码管四位显示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11.加热方式o型干烧加热管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12.附加功能偏差修正、菜单按键锁定、停电补偿、停电记忆、PID可调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13.传感器PT100铂电阻</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14.安全装置超温报警、短路保护、过热保护、声光报警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15.规格内尺寸（mm）450*550*550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16.外尺寸（mm）720*780*750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17.包装尺寸（mm）810*880*860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18.内容积136L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19.净重/毛重65kg/83kg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20.额定功率1500W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21.电源电压220V、50HZ</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一、仪器功能：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1.指针式显示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2.具有手动、自动滴定功能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3.具有极化电压选择、终点设定选择、检测灵敏度选择功能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4.电流测量分10-9A、10-8A、10-7A、10-6A四档，以适应不同的化学分析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二、技术指标：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1.滴定范围：(0～10)mL，(0～25)mL；极化电压：30、50、100mV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2.基本误差：滴定终点控制灵敏度：±5%FS；极化电流检测误差：±2.5%FS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容量分析重复性误差：0.2%读数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3.极化电流检测灵敏度：2.0×10-9、2.0×10-8、2.0×10-7、2.0×10-6A /格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4.终点设定分档：10、20、30、40、50、60、70、80、90、100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5.电源：AC（220±22）V，（50±1）Hz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6.外形尺寸(mm)：280×210×120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7.仪器重量：5 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面心立方中的八面体孔隙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密排六方中的八面体空隙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密排六方中的四面体孔隙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马氏体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奥氏体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渗碳体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149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食盐八晶胞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氯化铯八晶胞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金红石八晶胞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萤石矿八晶胞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闪锌矿八晶胞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纤维锌矿八晶胞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H2O2构型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δ—π配键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正十二面体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菱形十二面体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三角形十二面体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双冠八面体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八冠八面体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正二十面体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电子云模型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乙烯分子中的σ键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乙烯分子中的π键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乙烯分子中的电子云</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乙炔分子中的σ键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乙炔分子中的π键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乙炔分子中的电子云</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苯分子中的共轭π键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苯分子中的π电子云离域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苯分子中的杂化形状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符合高中化学标准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一孔球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红色、氢原子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一孔球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绿色、氯原子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四孔碳球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黑色、正四面体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五孔球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三角双锥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六孔球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正八面体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七孔球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五角双锥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模型球连接棒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铁质，与模型球连接牢固，4种不同长度，各100根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量筒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量筒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量筒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量筒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容量瓶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容量瓶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容量瓶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容量瓶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容量瓶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碘量瓶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称量瓶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高型，ø25mm*40mm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酸式，25ml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酸式，50ml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碱式，25ml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滴定管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碱式，50ml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刻度吸管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199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刻度吸管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红液，100℃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水银，150℃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水银，250℃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温度计套管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密度计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密度计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ø12mm*120mm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ø15mm*150mm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ø15mm*150mm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209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ø20mm*200mm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ø32mm*200mm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具支试管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ø20mm*200mm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燃烧管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ø25mm*300mm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硬质玻璃管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ø15mm*150mm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硬质玻璃管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ø20mm*250mm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圆，短，厚150ml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圆，短，厚250ml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圆，长，250ml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圆，长，500ml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平，长，250ml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锥形瓶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锥形瓶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蒸馏烧瓶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三口烧瓶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100ml19#单口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100ml19#三口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250ml19#单口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250ml19#三口</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平底烧瓶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平底烧瓶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酒精灯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干燥塔</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抽滤瓶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238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抽滤瓶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239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抽气管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ø160mm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气体发生器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冷凝器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19#直形，300mm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冷凝器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19#球形，300mm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牛角管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19#弯形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90mm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安全漏斗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直形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安全漏斗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双球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249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梨形，250ml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梨形，100ml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梨形，50ml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球形，50ml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球形，250ml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滴液漏斗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球形，100ml，19#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结晶皿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80mm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表面皿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玻璃，60mm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研钵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瓷，90mm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坩埚</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瓷，30ml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坩埚</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铁，30ml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反应板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白，6穴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T形管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Y形管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离心管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尖底,10ml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19#单球</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U型，ø15mm*150mm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U型，ø20mm*200mm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干燥管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U型，具支，ø15mm*15mm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活塞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直形</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圆水槽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ø200mm*100mm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圆水槽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ø270mm*140mm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0.5-10μL，2-20μL，10-100μL，20-200μL，100-1000μL，500-5000μL，连续可调，整支高温消毒。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集气瓶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集气瓶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集气瓶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茶,60ml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茶,125ml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广口瓶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茶,250ml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125ml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细口瓶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3000ml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茶,30ml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茶,60ml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比色管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具塞,50ml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毛细管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米</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b形管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坩埚夹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烧杯夹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镊子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水止皮管夹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螺旋皮管夹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石棉网</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塑料洗瓶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泥三角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燃烧匙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药匙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阿贝折射仪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1.采用目视瞄准，光学度盘读数，温度数显，简单可靠。基座采用不锈钢材质，棱镜采用硬质玻璃，不易磨损。内置流通池可配置专用的恒温水浴槽，满足在恒定温度下的测量。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2.测量范围(nD)：1.3000~1.7000、(Brix)0-95%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3.准确度(nD)：±0.0002(估计读数)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4.平均色散示值：±0.0005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5.温度显示：数字温度计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6.观察方式：单目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7.仪器尺寸：200mm×100mm×240mm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8.仪器净重：2.6kg</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旋光仪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1.测量模式：旋光度、比旋度、浓度、糖度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2.仪器光源：钠光灯＋滤色片，波长589nm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3.测量范围：±45°（旋光度）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4.最小读数：0.001°(旋光度)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5.准确度：±(0.01＋测量值×0.05%)°(旋光度)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6.重复性(标准偏差δ)：≤0.003°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7.显示方式：彩色液晶触摸屏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8.标配试管：100mm/200mm普通型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9.样品透过率：10%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10.通信接口：RS232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11.电源：220V±22V,50Hz±1Hz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12.仪器尺寸：600mm×320mm×220mm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13.仪器净重：28kg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14.仪器级别：0.05级</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ø5mm—6mm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kg</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ø7mm—8mm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kg</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弯玻璃导管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＜90°＝90°＞90°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ø3mm—4mm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kg</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ø5mm—6mm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kg</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软胶塞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1-10号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公斤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空心塞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空心塞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乳胶管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试管刷</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试管刷</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烧瓶刷</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胶帽</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洗耳球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米</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布氏漏斗及配套橡胶塞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脱脂棉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包</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标签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本</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防护眼镜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十字头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实验服</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棉质白色实验服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熔点仪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1.测定物质的熔点。主要用于药物、化工、纺织、燃料、香料等晶体有机化合物之测定。仪器采用显微镜观察方法，既可用毛细管法测定，又可用载玻片-盖玻片法（热台法）测定。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2.测量范围:室温~320℃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3.测量方法:目视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4.测量模式：毛细管法、热台法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5.最小示值：1℃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6.重复性：≤200℃±1℃，＞200±2℃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7.观察方式：单目显微镜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8.放大镜倍数：40×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9.电源：220V±22V,50Hz±1Hz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10.仪器尺寸：30mm×22mm×44mm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11.仪器净重：4.5kg</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球形冷凝管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直形冷凝管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空气冷凝管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19#</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培养皿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小刀</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剪刀</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胶头滴管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高中化学用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无水乙醇</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乙酸酐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乙酸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氧化铜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硫酸铵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氨水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299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草酸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氯化镁</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氯化钡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碳酸钠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碳酸钾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草酸铵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镁试剂</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酒石酸氢钠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309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酒石酸氢钾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石蕊</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指示剂，25克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线性支架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马弗炉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马弗炉又称实验室电炉，箱式电阻炉或茂福炉。与相应的热点偶和温度控制台配套用，能在额定温度范围内自动测温控温。适用于大专校、科研及环保单位的实验室，做分析、测定、金相研究，或工矿企业作高温燃烧及金属工件在空气中进行正火、退火、淬火之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采用国内先进技术，炉壳用优质钢板经折边焊拉制成，控制箱跟炉体为一体结构。外形美观，避免了客户安装的繁琐。内炉衬为高铝，碳化硅耐火材料制成的矩形整体炉衬。由铁镍铬铝合金丝绕制成螺旋状的加热元件穿于内炉衬上、下、左、右的丝槽中。上下左右加热。炉内为密封式结构，内炉与炉壳之间用耐火纤维硅酸铝棉、硅藻土制品砌筑为保温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2.电源电压：AC220V50HZ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3.使用温度：RT+50-1100℃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4.最高温度：1200℃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5.输入功率：2.5KW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6.工作室尺寸：120*200*80mm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酚酞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指示剂，25克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百里酚酞</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甲基橙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指示剂，25克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甲基红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指示剂，25克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铬黑T</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钙指示剂</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二甲酚橙指示剂</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分析用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PH广范试纸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1-14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本</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蓝石蕊试纸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本</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红石蕊试纸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本</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淀粉碘化钾试纸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本</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定性滤纸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ø9cm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定性滤纸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ø15cm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定量滤纸</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盒</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木饰面展示墙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九厘板E0封后背板打底（含油漆）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成品木饰面装饰及安装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106化学学科教室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铝合金万向罩</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1.关节：高密度PP材质表面磨砂，优化了视觉美感和手握触感可360°旋转调节方向。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2.关节密封圈：不易老化之高密度橡胶。在关节之间随着旋钮压力加大而产生阻尼效果。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3.关节连接杆：304不锈钢双头锁杆。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4.关节盖：高密度PP材质表面磨砂，一面嵌入铜质滚花螺母，四周采用自锁式倒扣拆装方便。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5.关节松紧选钮：高密度PP材质，内置微形平面推力不锈钢轴承，与关节连接杆锁合。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6.铝合金万向罩口：直径253mm，高密度铝合金制成。防止做实验时着火出现危险，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7.伸缩导管：4节直径60mm的6系专业抗氧化抗腐蚀的镁硅铝合金，表面做特氟龙表面处理，耐酸、耐碱、耐划痕。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8.旋转关节：6系专业抗氧化抗腐蚀的镁硅铝合金，在下部设计增加旋转功能，内部设计PVC离合结构。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9.扭簧：使用90度的4mm专用弹簧钢抗氧化处理，防止吸风罩整体滑下。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10.安装后可根据使用需要达到三维360度任意转停，集气罩吸气角度360度任意转停。整体美观大方，吻合高水准专业实验室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万向吸风罩底座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固定底座：6系专业抗氧化抗腐蚀的镁硅铝合金，根据不同的组合方式可选择丝口和挂口结构，拆装方便。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化学学生实验操作面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规格采用≥3205*1200*780mm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1.新型塑铝结构。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2.采用四角倒R15圆角。台面后方卡入学生桌铝型槽内，前方用预埋件与桌体固定。耐酸、耐碱、耐高温，坚固耐用，防潮、无细孔、不膨胀、不龟裂、不变形、不导电、便于维护及具有良好的承重性能。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3.整体采用实验室专用PP材质，四脚圆弧处理，地脚线缩进30mm，前后二块拼接而成，可拆装，内部隐藏实验线管及通风管道，方便检修。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采用实验室专用一次成型的绿色环保材质，背板和侧板采用1.0MM厚高强度镀锌钢板后两侧圆弧角设计，前面门板两侧圆弧形设计，底座为专用一次成型绿色环保材质。内部钢框支撑，要求无毒无味，防水防潮，不生锈，承重力强，可重复拆卸拼装，专用连接件拼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6.水槽为整体模具一体成型，尺寸450*600*250，并设有溢水口，底部带S弯防臭设计，与地面下水管密封连接；水柜内前方设置检修门，整体可拆卸背板，便于维修。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7.包含学生安全电源。</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8.包含学生操作位。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多功能柱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整体采用实验室专用PP材质，四脚圆弧处理，地脚线缩进30mm，前后二块拼接而成，可拆装，内部隐藏实验线管及通风管道，方便检修。</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实验室专用试剂平台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1.全钢，表面喷涂高温固化匀乳白环氧树脂喷涂理处理，具有较强的耐蚀性能，上下带塑胶模具堵头；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2.试剂架立柱截面尺寸：42mm*82mm,型材壁厚1.2mm；试剂架立柱双面升降槽，侧面双面镶嵌另色色条；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3.试剂架托架1.0mm镀锌钢板，一次性冲压成型；试剂架护栏：护栏壁厚1.2mm，单面镶嵌另色色条。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4.立杆牢固固定于C型钢架底端，层板采用8mm厚的玻璃，安装后用户可根据试剂大小上下高低无级调节。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落地式紧急冲淋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不锈钢材质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1、紧急冲淋洗眼装置的关节采用插拔式的连接方式，既缩短整个产品的安装工时，又能彻底解决管件连接处的漏水问题，轻松满足360度任意定位安装的人性化需要，外观整洁大方，检修及部件更换更加便捷。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2、主体、底座、冲淋阀、洗眼阀、冲淋头、洗眼盆、拉手、推手和脚踏等部件均采用卫生级304不锈钢无缝钢管，镍含量超过8%，耐腐蚀性能出众。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3、采用冷轧工艺生产，不易变形，同时管壁光滑无油脂，经久耐用。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4、洗眼喷头内置减压装置，防止对眼睛二次伤害；配置水压调节系统来适应不同场所的水压。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5、冲淋球阀和洗眼球阀均采用双片式阀门结构，密封性和抗压性能更好，使用寿命更长。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6、阀门管道采用由任（即活接头）的管道连接设计，使维修保养费用极低，避免了由于阀门或部件损坏后无法更换而导致整个洗眼器报废的情况。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339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电气布线（地面以上部分）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DN25阻燃线管；4、2.5平方国标线材，符合国家标准。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给、排水系统（地面以上部分）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给水：采用PPR复合管敷设。排水：使用国标优质UPVC专用排水管。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消防沙箱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技术特点：1、采用静电喷漆，光滑整洁，防潮。2、底部加固处理，增加强度，与地面有间隙，不易生锈。3、采用优质加厚钢铁加工，高硬度耐用。4、优质五金铰，链箱盖，无卡阻现象。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教室实验操作体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规格采用≥2400*700*900mm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整体结构设计合理，预留电脑主机、键盘托、实物展台、教师电源位置；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3.拉手：采用C型不锈钢拉手，造型独特美观；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4：采用ABS专用连接组装件；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5.防腐三节静音导轨：三节重型滚珠滑轨，承重性强，滑动性能良好，无噪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整体采用三段式结构，前部凸起，采用实验室专用一次成型的绿色环保材质，背板和侧板采用1.0MM厚高强度镀锌钢板后两侧圆弧角设计，前面门板两侧圆弧形设计，底座为专用一次成型绿色环保材质。内部钢框支撑，要求无毒无味，防水防潮，不生锈，承重力强，可重复拆卸拼装，专用连接件拼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8.水槽为整体模具一体成型，尺寸450*600*250，并设有溢水口，底部带S弯防臭设计，与地面下水管密封连接；水柜内前方设置检修门，整体可拆卸背板，便于维修。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洗眼喷头：采用不助燃PC材质模铸一体成形制作，具有过滤泡棉及防尘功能，上面防尘盖平常可防尘，使用时可随时被水冲开，并降低突然打开时短暂的高水压，避免冲伤眼睛。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9.包含教师演示电源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污水过滤装置展示墙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定制污水过滤装置展示墙</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城市污染展示墙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定制城市污染展示墙</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sz w:val="24"/>
              </w:rPr>
              <w:t>★</w:t>
            </w:r>
            <w:r>
              <w:rPr>
                <w:rFonts w:hint="eastAsia" w:ascii="仿宋" w:hAnsi="仿宋" w:eastAsia="仿宋" w:cs="仿宋"/>
                <w:color w:val="000000"/>
                <w:kern w:val="0"/>
                <w:sz w:val="24"/>
                <w:lang w:bidi="ar"/>
              </w:rPr>
              <w:t>多参数水质分析仪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采用7寸TFT大屏彩色液晶显示配备直观的菜单导航系统，运用人性化的操作界面指引设计，欧姆龙轻触按键，使用手感更舒适，可持续使用上千万次，超大屏幕显示直接呈现样品浓度、吸光度、波长、曲线、图谱、时间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2.支持U盘存储，数据的打开和编辑不需要任何专业辅助软件支持，可支持excel、txt格式、图片格式，可输出*.csv、*.qua、*.tet、*.bmp。</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3.数据输出：搭配RS-232C串口（打印）、USBdrive（联机）、USBHOST（接U盘），标配16GB存储器。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4.业内首家使用先进的ARM11处理器，可存储500万条测试数据或500条工作曲线。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5.悬架式光学系统设计，加强加厚铝底板设计，消除震动或变形对光学系统的影响；双层设计，将光路各电路部分完全分开，提高了仪器的分辨率与稳定性。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6.仪器采用获得国家专利光电信号检测装置，使仪器信噪比更低，仪器性能更稳定。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7.可选配内置全自动进样流路系统，方便了客户使用极大的方便了客户使用。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8.*可选配具有旋转式使用专利设计得8联自动比色皿架，保证光通过比色皿时，完全居中，提高了仪器性能。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9.配置高精度预制液体试剂，测量更加安全、简单、准确、快速！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10.第十代四参数水质测定仪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11.显示器7英寸1024×600彩色液晶屏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12.光学系统双光束比例检测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13.检测项目COD氨氮总磷总氮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14.检测范围0-10mg/L(高锰酸盐法)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10-100mg/L（低浓度）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100－10000mg/L（高浓度）0.01-100mg/L0.002-15mg/L0.01-80mg/L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15.*抗氯干扰[Cl-]﹤1000mg/L无影响[Cl-]﹤8000mg/L(可选)///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16.检测精度≤±5%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17.重复性≤±2%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18.测定时间10分钟-20分钟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19.参数切换方式自动切换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20.比色方式比色皿、比色管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21.工作曲线可储存500条工作曲线，支持分段曲线，单点曲线，客户自建曲线三种模式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22.稳定性±0.001A/10min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23.数据储存可储存500万组检测数据，并能自由调用查看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24.数据传输RS-232C串口（打印）、USBdrive（联机）、USBHOST（接U盘）、蓝牙（选配）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25.打印方式（选配）热敏打印机、针式打印机（不脱色、永久保存数据）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26.光源进口氘灯、钨灯，光源寿命更持久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27.比色池标配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28.外形尺寸：600*430*240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349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结合效果图定制文化窗帘（内容以化学知识为主）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教师端传感器和配套实验器材</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数据采集器</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2、与计算机USB接口通讯，无须外接电源；全数字通道，每个数据通道最大采样速率可达20KHz，带有静电防护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3、连接插口采用BT接口，具有方向性和自锁功能，可以防止传感器脱落保证数据传输稳定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4、可根据实验教学需要，选择接插有线接口或无线接收实现与传感器通讯；支持有线/无线状态下的四通道并行采集，支持热插拔连接。</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5、可在Windows全系统、安卓系统上使用。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无线接口</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模块化结构，采用无线方式接入四种相同或不同的传感器并支持四通道并行采集，全数字通道，与数据采集器接插使用。在此种工作状态下，传感器应转化为与采集器的无线通信状态。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传感器无线发射模块-电脑版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965"/>
                <w:rFonts w:hint="eastAsia" w:ascii="仿宋" w:hAnsi="仿宋" w:eastAsia="仿宋" w:cs="仿宋"/>
                <w:sz w:val="24"/>
                <w:szCs w:val="24"/>
                <w:lang w:bidi="ar"/>
              </w:rPr>
              <w:t>1</w:t>
            </w:r>
            <w:r>
              <w:rPr>
                <w:rStyle w:val="829"/>
                <w:rFonts w:ascii="仿宋" w:hAnsi="仿宋" w:eastAsia="仿宋" w:cs="仿宋"/>
                <w:sz w:val="24"/>
                <w:szCs w:val="24"/>
                <w:lang w:bidi="ar"/>
              </w:rPr>
              <w:t>、模块化结构</w:t>
            </w:r>
            <w:r>
              <w:rPr>
                <w:rStyle w:val="965"/>
                <w:rFonts w:hint="eastAsia" w:ascii="仿宋" w:hAnsi="仿宋" w:eastAsia="仿宋" w:cs="仿宋"/>
                <w:sz w:val="24"/>
                <w:szCs w:val="24"/>
                <w:lang w:bidi="ar"/>
              </w:rPr>
              <w:br w:type="textWrapping"/>
            </w:r>
            <w:r>
              <w:rPr>
                <w:rStyle w:val="965"/>
                <w:rFonts w:hint="eastAsia" w:ascii="仿宋" w:hAnsi="仿宋" w:eastAsia="仿宋" w:cs="仿宋"/>
                <w:sz w:val="24"/>
                <w:szCs w:val="24"/>
                <w:lang w:bidi="ar"/>
              </w:rPr>
              <w:t>2</w:t>
            </w:r>
            <w:r>
              <w:rPr>
                <w:rStyle w:val="829"/>
                <w:rFonts w:ascii="仿宋" w:hAnsi="仿宋" w:eastAsia="仿宋" w:cs="仿宋"/>
                <w:sz w:val="24"/>
                <w:szCs w:val="24"/>
                <w:lang w:bidi="ar"/>
              </w:rPr>
              <w:t>、通过与各种传感器组合使之具备与采集器及安卓、</w:t>
            </w:r>
            <w:r>
              <w:rPr>
                <w:rStyle w:val="965"/>
                <w:rFonts w:hint="eastAsia" w:ascii="仿宋" w:hAnsi="仿宋" w:eastAsia="仿宋" w:cs="仿宋"/>
                <w:sz w:val="24"/>
                <w:szCs w:val="24"/>
                <w:lang w:bidi="ar"/>
              </w:rPr>
              <w:t>iO</w:t>
            </w:r>
            <w:r>
              <w:rPr>
                <w:rStyle w:val="829"/>
                <w:rFonts w:ascii="仿宋" w:hAnsi="仿宋" w:eastAsia="仿宋" w:cs="仿宋"/>
                <w:sz w:val="24"/>
                <w:szCs w:val="24"/>
                <w:lang w:bidi="ar"/>
              </w:rPr>
              <w:t>终端的无线通讯功能。</w:t>
            </w:r>
            <w:r>
              <w:rPr>
                <w:rStyle w:val="965"/>
                <w:rFonts w:hint="eastAsia" w:ascii="仿宋" w:hAnsi="仿宋" w:eastAsia="仿宋" w:cs="仿宋"/>
                <w:sz w:val="24"/>
                <w:szCs w:val="24"/>
                <w:lang w:bidi="ar"/>
              </w:rPr>
              <w:br w:type="textWrapping"/>
            </w:r>
            <w:r>
              <w:rPr>
                <w:rStyle w:val="965"/>
                <w:rFonts w:hint="eastAsia" w:ascii="仿宋" w:hAnsi="仿宋" w:eastAsia="仿宋" w:cs="仿宋"/>
                <w:sz w:val="24"/>
                <w:szCs w:val="24"/>
                <w:lang w:bidi="ar"/>
              </w:rPr>
              <w:t>3</w:t>
            </w:r>
            <w:r>
              <w:rPr>
                <w:rStyle w:val="829"/>
                <w:rFonts w:ascii="仿宋" w:hAnsi="仿宋" w:eastAsia="仿宋" w:cs="仿宋"/>
                <w:sz w:val="24"/>
                <w:szCs w:val="24"/>
                <w:lang w:bidi="ar"/>
              </w:rPr>
              <w:t>、连接接口具有防止传感器脱落，保证数据传输稳定的连接设计</w:t>
            </w:r>
            <w:r>
              <w:rPr>
                <w:rStyle w:val="965"/>
                <w:rFonts w:hint="eastAsia" w:ascii="仿宋" w:hAnsi="仿宋" w:eastAsia="仿宋" w:cs="仿宋"/>
                <w:sz w:val="24"/>
                <w:szCs w:val="24"/>
                <w:lang w:bidi="ar"/>
              </w:rPr>
              <w:br w:type="textWrapping"/>
            </w:r>
            <w:r>
              <w:rPr>
                <w:rStyle w:val="965"/>
                <w:rFonts w:hint="eastAsia" w:ascii="仿宋" w:hAnsi="仿宋" w:eastAsia="仿宋" w:cs="仿宋"/>
                <w:sz w:val="24"/>
                <w:szCs w:val="24"/>
                <w:lang w:bidi="ar"/>
              </w:rPr>
              <w:t>4</w:t>
            </w:r>
            <w:r>
              <w:rPr>
                <w:rStyle w:val="829"/>
                <w:rFonts w:ascii="仿宋" w:hAnsi="仿宋" w:eastAsia="仿宋" w:cs="仿宋"/>
                <w:sz w:val="24"/>
                <w:szCs w:val="24"/>
                <w:lang w:bidi="ar"/>
              </w:rPr>
              <w:t>、支持热插拔连接，可充电锂电池供电。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传感器无线发射模块-移动版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965"/>
                <w:rFonts w:hint="eastAsia" w:ascii="仿宋" w:hAnsi="仿宋" w:eastAsia="仿宋" w:cs="仿宋"/>
                <w:sz w:val="24"/>
                <w:szCs w:val="24"/>
                <w:lang w:bidi="ar"/>
              </w:rPr>
              <w:t>1</w:t>
            </w:r>
            <w:r>
              <w:rPr>
                <w:rStyle w:val="829"/>
                <w:rFonts w:ascii="仿宋" w:hAnsi="仿宋" w:eastAsia="仿宋" w:cs="仿宋"/>
                <w:sz w:val="24"/>
                <w:szCs w:val="24"/>
                <w:lang w:bidi="ar"/>
              </w:rPr>
              <w:t>、模块化结构</w:t>
            </w:r>
            <w:r>
              <w:rPr>
                <w:rStyle w:val="965"/>
                <w:rFonts w:hint="eastAsia" w:ascii="仿宋" w:hAnsi="仿宋" w:eastAsia="仿宋" w:cs="仿宋"/>
                <w:sz w:val="24"/>
                <w:szCs w:val="24"/>
                <w:lang w:bidi="ar"/>
              </w:rPr>
              <w:br w:type="textWrapping"/>
            </w:r>
            <w:r>
              <w:rPr>
                <w:rStyle w:val="965"/>
                <w:rFonts w:hint="eastAsia" w:ascii="仿宋" w:hAnsi="仿宋" w:eastAsia="仿宋" w:cs="仿宋"/>
                <w:sz w:val="24"/>
                <w:szCs w:val="24"/>
                <w:lang w:bidi="ar"/>
              </w:rPr>
              <w:t>2</w:t>
            </w:r>
            <w:r>
              <w:rPr>
                <w:rStyle w:val="829"/>
                <w:rFonts w:ascii="仿宋" w:hAnsi="仿宋" w:eastAsia="仿宋" w:cs="仿宋"/>
                <w:sz w:val="24"/>
                <w:szCs w:val="24"/>
                <w:lang w:bidi="ar"/>
              </w:rPr>
              <w:t>、通过与各种传感器组合使之具备与安卓、</w:t>
            </w:r>
            <w:r>
              <w:rPr>
                <w:rStyle w:val="965"/>
                <w:rFonts w:hint="eastAsia" w:ascii="仿宋" w:hAnsi="仿宋" w:eastAsia="仿宋" w:cs="仿宋"/>
                <w:sz w:val="24"/>
                <w:szCs w:val="24"/>
                <w:lang w:bidi="ar"/>
              </w:rPr>
              <w:t>iOS</w:t>
            </w:r>
            <w:r>
              <w:rPr>
                <w:rStyle w:val="829"/>
                <w:rFonts w:ascii="仿宋" w:hAnsi="仿宋" w:eastAsia="仿宋" w:cs="仿宋"/>
                <w:sz w:val="24"/>
                <w:szCs w:val="24"/>
                <w:lang w:bidi="ar"/>
              </w:rPr>
              <w:t>终端的无线通讯功能。</w:t>
            </w:r>
            <w:r>
              <w:rPr>
                <w:rStyle w:val="965"/>
                <w:rFonts w:hint="eastAsia" w:ascii="仿宋" w:hAnsi="仿宋" w:eastAsia="仿宋" w:cs="仿宋"/>
                <w:sz w:val="24"/>
                <w:szCs w:val="24"/>
                <w:lang w:bidi="ar"/>
              </w:rPr>
              <w:br w:type="textWrapping"/>
            </w:r>
            <w:r>
              <w:rPr>
                <w:rStyle w:val="965"/>
                <w:rFonts w:hint="eastAsia" w:ascii="仿宋" w:hAnsi="仿宋" w:eastAsia="仿宋" w:cs="仿宋"/>
                <w:sz w:val="24"/>
                <w:szCs w:val="24"/>
                <w:lang w:bidi="ar"/>
              </w:rPr>
              <w:t>3</w:t>
            </w:r>
            <w:r>
              <w:rPr>
                <w:rStyle w:val="829"/>
                <w:rFonts w:ascii="仿宋" w:hAnsi="仿宋" w:eastAsia="仿宋" w:cs="仿宋"/>
                <w:sz w:val="24"/>
                <w:szCs w:val="24"/>
                <w:lang w:bidi="ar"/>
              </w:rPr>
              <w:t>、通过背部二维码可快速与移动终端建立通讯连接。BT自锁接头，支持热插拔连接，可充电电池供电。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传感器数据显示模块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通过与各种传感器组合使用，具备独立数据显示功能。1.77吋彩屏，带BT自锁接头，支持热插拔连接，接入后自动识别传感器。该模块具备自动保存实验数据，并且可与计算机有线连接（兼充电）或通过手持设备(平板、手机等)扫描二维码进行无线连接，导出实验数据的功能。可充锂电池供电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传感器转接模块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两端分别是BT接头与BT接口转换器，用于特种传感器与无线发射模块或数据显示模块的转接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专用充电器及备件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输入AC 110~240V/50~60Hz；输出5.0V/500mA。直接连接传感器无线发射模块或显示模块进行充电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pH传感器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测量范围：</w:t>
            </w:r>
            <w:r>
              <w:rPr>
                <w:rStyle w:val="968"/>
                <w:rFonts w:ascii="仿宋" w:hAnsi="仿宋" w:eastAsia="仿宋" w:cs="仿宋"/>
                <w:sz w:val="24"/>
                <w:szCs w:val="24"/>
                <w:lang w:bidi="ar"/>
              </w:rPr>
              <w:t>0-14；分度：0.01，具有快速响应的特点，测量数据能在5秒内达到真实值的90%， 10秒内稳定。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电导率传感器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 mS/cm ~20mS/cm；分度：0.001 mS/cm，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968"/>
                <w:rFonts w:ascii="仿宋" w:hAnsi="仿宋" w:eastAsia="仿宋" w:cs="仿宋"/>
                <w:sz w:val="24"/>
                <w:szCs w:val="24"/>
                <w:lang w:bidi="ar"/>
              </w:rPr>
              <w:t>测量范围：-50℃~+200℃；分度：0.1℃；不锈钢探针，可测各种物体或溶液的温度，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高温传感器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1200℃；分度：1℃；不锈钢探针，可测高温物体或火焰的温度，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压强传感器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 kPa ~700 kPa；分度：0.1 kPa；可用于直接测量气体的绝对压强；连接插口采用BT接口，具有方向性和自锁功能，可以防止传感器脱落保证数据传输稳定，支持热插拔，支持与采集器的有线通讯、无线通讯和彩屏独立数据显示三种工作方式，可在windows系统、安卓和iOS系统下分别进行实验演示，配件：20ml注射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相对压强传感器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测量范围：-20kPa~+20kPa；分度：0.01 kPa；可用于测量气体的相对压强，连接插口采用BT接口，具有方向性和自锁功能，可以防止传感器脱落保证数据传输稳定，支持与采集器的有线通讯、无线通讯和彩屏独立数据显示三种工作方式，支持热插拔，具有硬件清零功能。该产品需满足以下教学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（1）连接接口具有自锁功能，可以防止传感器脱落保证数据传输稳定，具有硬件清零功能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（2）在实验过程中所测数据以数字、图线与数据表格的方式显示并记录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（3）实验操作过程和步骤（2）实验数据同时在软件界面上显示，且可以.avi等常见格式存储。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（4）在安卓和iOS平台上以无线方式演示多通道实验数据采集及图像绘制。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多量程电压传感器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测量范围：-20V~+20V；分度：0.01V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测量范围：-2V~+2V；分度：0.001V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测量范围：-0.2V~+0.2V；分度：0.1mV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按钮切换量程。连接插口采用BT接口，具有方向性和自锁功能，可以防止传感器脱落保证数据传输稳定，支持与采集器的有线通讯、无线通讯和彩屏独立数据显示三种工作方式，支持热插拔，自带硬件按钮，单击切换量程，长按清零，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多量程电流传感器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测量范围：-2A~+2A；分度：0.01A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测量范围：-200mA~+200mA；分度：1mA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测量范围：-20mA ~+20mA；分度：0.1 mA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按钮切换量程。连接插口采用BT接口，具有方向性和自锁功能，可以防止传感器脱落保证数据传输稳定，支持与采集器的有线通讯、无线通讯和彩屏独立数据显示三种工作方式，支持热插拔，自带硬件按钮，单击切换量程，长按清零，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氧气传感器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测量范围：0～100％，分度：0.1％，连接插口采用BT接口，具有方向性和自锁功能，可以防止传感器脱落保证数据传输稳定，支持与采集器的有线通讯、无线通讯和彩屏独立数据显示三种工作方式，支持热插拔。该产品需满足以下要求：</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（1）自带硬件校准按钮，通过硬件校准到理论值</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（2）在实验过程中所测数据以数字、图线与数据表格的方式显示并记录</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（3）实验操作过程和步骤（2）实验数据同时在软件界面上显示，且可以.avi等常见格式存储。</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（4）在安卓和iOS平台上以无线方式演示多通道实验数据采集及图像绘制。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色度传感器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透光率0～100％，分度：0.1％，三波长光源（R、G、B）测量，连接插口采用BT接口，具有方向性和自锁功能，可以防止传感器脱落保证数据传输稳定，与无线传输模块自由组合，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浊度传感器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 NTU ~400NTU；分度：0.1 NTU，连接插口采用BT接口，具有方向性和自锁功能，可以防止传感器脱落保证数据传输稳定，与无线传输模块自由组合，支持热插拔，可在windows系统、安卓和iOS系统下进行实验演示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氧化还原传感器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-500mV~+1200mV，分度：1mV，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中和滴定实验装置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由滴定计数器（光电门传感器+定位装置）、支架、转接器和螺栓组成，用于测量液滴体积，可固定于铁架台上，计数器可与滴定管、针筒等配套使用。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磁力搅拌器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电源：AC220V±10%；搅拌转速：100～1500r/min；最大搅拌容量：1000ml；加热功率：200W；</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铁架台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标准铁架台，铁杆直径不小于1cm，杆长50cm，带试管夹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多向转接头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零件，双向交叉，孔内径适应于标准铁架台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磁力固定座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三角型底座配三个强力磁铁，铝合金支柱，适用于固定较大型实验器材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375</w:t>
            </w:r>
          </w:p>
        </w:tc>
        <w:tc>
          <w:tcPr>
            <w:tcW w:w="119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生活污水处理中水回用实验装置</w:t>
            </w:r>
          </w:p>
        </w:tc>
        <w:tc>
          <w:tcPr>
            <w:tcW w:w="6921"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1、处理水量：30~50L/h；</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2、溶气压力0.2~0.5Mpa；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3、工作电源220V，安全保护：具有接地保护、漏电保护、过流保护，功率950W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4、电气线路安装要求：布置线槽，电源线、控制线等线材规范整理，具有绝缘、防弧等特点；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5、装置外形尺寸：2000mm×500mm×1500mm。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6、工作电源：AC220V±10%、50Hz，单相三线制，功率1100W，安全保护：具有接地保护、漏电保护、过流保护、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二、主要参数及配置：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1、原水箱1只：白色PP板材质、厚度10mm，400×350×500mm、底板上安装有放空阀，方便将水排净；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2、清水箱1只：白色PP板材质、厚度10mm，300×350×500mm，底板上安装有放空阀，方便将水排净；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3、配原水箱搅拌电机1台、304不锈钢搅拌桨1套；（功率15W、转速120rpm）、（含调速器1只）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4、混凝加药箱1套、（含附件搅拌电机、调速器、加药流量计、加药泵、加药箱）、透明有机玻璃材质、壁厚度8mm、Ø300mm×400mm、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5、竖流式气浮池：含附件铜制溶气释放器1套、透明有机玻璃材质、壁厚度8mm、Ø400mm×650mm。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6、电机刮渣系统装置1套（功率25W、转速150rpm）、304不锈钢搅拌桨1套。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7、高压水泵1台、（额定流量0.1m3/h，扬程15m, 功率900W）</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376</w:t>
            </w:r>
          </w:p>
        </w:tc>
        <w:tc>
          <w:tcPr>
            <w:tcW w:w="1194" w:type="dxa"/>
            <w:tcBorders>
              <w:top w:val="single" w:color="000000" w:sz="4" w:space="0"/>
              <w:left w:val="nil"/>
              <w:bottom w:val="single" w:color="000000" w:sz="4" w:space="0"/>
              <w:right w:val="nil"/>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污水处理模拟实验装置</w:t>
            </w:r>
          </w:p>
        </w:tc>
        <w:tc>
          <w:tcPr>
            <w:tcW w:w="6921" w:type="dxa"/>
            <w:tcBorders>
              <w:top w:val="single" w:color="000000" w:sz="4" w:space="0"/>
              <w:left w:val="nil"/>
              <w:bottom w:val="single" w:color="000000" w:sz="4" w:space="0"/>
              <w:right w:val="nil"/>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1、环境温度：5℃～40℃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2、处理水量：8～16L/h</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3、设计进、出水水质：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进水BOD5  150～300mg/L       出水15～30 mg/L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进水COD   300～600mg/L       出水30～60 mg/L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进水SS     80～160mg/L        出水8～16 mg/L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进水pH     6～9               出水6～9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4、装置外形尺寸：2300 mm×400 mm×1500mm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5、工作电源：AC220V±10%、50Hz，单相三线制，功率500W，安全保护：具有接地保护、漏电保护、过流保护、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三、主要配置：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1、原水箱1只：白色PP板材质、厚度8mm，500×400×500mm、底板上安装有放空阀，方便将水排净；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2、清水箱1只：白色PP板材质、厚度8mm，350×400×450mm，底板上安装有放空阀，方便将水排净；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3、配原水箱搅拌电机1台、304不锈钢搅拌桨1套；（功率15W、转速120rpm）、（含调速器1只）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4、防腐蚀提升磁力水泵1台、流量：27～32（L/min)、扬程：3.1～4.3（m）功率20W；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4、防腐蚀提升磁力水泵1台、流量：16～19（L/min)、扬程：2.7～3.4（m）功率20W；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5、厌氧池：透明有机玻璃材质、壁厚8mm，Ø 300×480mm；带搅拌装置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6、缺氧池：透明有机玻璃材质、壁厚10mm，280×280×500mm、带搅拌装置；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7、好氧池：透明有机玻璃材质、厚度10mm，500×300×500mm；带混合液回流泵；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8、二沉池：透明有机玻璃材质、壁厚5mm，Ø 250×380mm；带污泥回流泵；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9、气泵1台、功率：40 W、最大气量：16L/min，带微孔曝气管1套、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10、加药计量蠕动泵1台、流量范围：0.008-460mL/min、配有机玻璃加药箱1只、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11、污泥回流蠕动泵1台、流量范围：0.008-460mL/min、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12、防腐蚀混合液回流泵1台、流量：16～19（L/min)、扬程：2.7～3.4（m）功率20W；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13、电机搅拌2台、304不锈钢搅拌桨2套；（功率6W、转速120rpm）、配调速器2只、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14、流量测量与调节：进水液体流量计1个：量程2-20L/H，气体流量计1个：量程250~2500L/h；</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15、可编程自动控制器1套、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16、实验台面（白色10mm厚PP板）、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17、电源控制系统：双面亚光密纹喷塑电控箱1只、漏电保护器(德力西品牌）、电压表、带锁按钮开关、线管等组成，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18、配套UPVC连接管道和阀门。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19、不锈钢框架实验台（30mm×30mm不锈钢方管、配脚轮为万向轮带禁锢脚）等组成。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四、软件组成：提供与本装置的实物配套使用3D交互式动态仿真软件1套。⑴、3D软件界面有工具栏项目内容：⑵、3D仿真演示软件与设备使用内容完全一致；⑶、3D仿真软件屏幕大小尺寸可以编程；⑷、整套软件与设备实验过程流程动画；⑸、带视频讲解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学生端传感器和配套实验器材</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数据采集器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2、与计算机USB接口通讯，无须外接电源；全数字通道，每个数据通道最大采样速率可达20KHz，带有静电防护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3、连接插口采用BT接口，具有方向性和自锁功能，可以防止传感器脱落保证数据传输稳定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4、可根据实验教学需要，选择接插有线接口或无线接收实现与传感器通讯；支持有线/无线状态下的四通道并行采集，支持热插拔连接。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968"/>
                <w:rFonts w:ascii="仿宋" w:hAnsi="仿宋" w:eastAsia="仿宋" w:cs="仿宋"/>
                <w:sz w:val="24"/>
                <w:szCs w:val="24"/>
                <w:lang w:bidi="ar"/>
              </w:rPr>
              <w:t>测量范围：-50℃~+200℃；分度：0.1℃；不锈钢探针，可测各种物体或溶液的温度，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高温传感器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1200℃；分度：1℃；不锈钢探针，可测高温物体或火焰的温度，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pH传感器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测量范围：</w:t>
            </w:r>
            <w:r>
              <w:rPr>
                <w:rStyle w:val="968"/>
                <w:rFonts w:ascii="仿宋" w:hAnsi="仿宋" w:eastAsia="仿宋" w:cs="仿宋"/>
                <w:sz w:val="24"/>
                <w:szCs w:val="24"/>
                <w:lang w:bidi="ar"/>
              </w:rPr>
              <w:t>0-14；分度：0.01，具有快速响应的特点，测量数据能在5秒内达到真实值的90%， 10秒内稳定。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电导率传感器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 mS/cm ~20mS/cm；分度：0.001 mS/cm，连接插口采用BT接口，具有方向性和自锁功能，可以防止传感器脱落保证数据传输稳定，支持与采集器的有线通讯、无线通讯和彩屏独立数据显示三种工作方式，支持热插拔，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氧气传感器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100％，分度：0.1％，连接插口采用BT接口，具有方向性和自锁功能，可以防止传感器脱落保证数据传输稳定，支持与采集器的有线通讯、无线通讯和彩屏独立数据显示三种工作方式，支持热插拔，自带校准按钮，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相对压强传感器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测量范围：-20kPa~+20kPa；分度：0.01 kPa；可用于测量气体的相对压强，连接插口采用BT接口，具有方向性和自锁功能，可以防止传感器脱落保证数据传输稳定，支持与采集器的有线通讯、无线通讯和彩屏独立数据显示三种工作方式，支持热插拔，具有硬件清零功能，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色度传感器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透光率0～100％，分度：0.1％，三波长光源（R、G、B）测量，连接插口采用BT接口，具有方向性和自锁功能，可以防止传感器脱落保证数据传输稳定，与无线传输模块自由组合，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多向转接头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零件，双向交叉，孔内径适应于标准铁架台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生化密封实验器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与生物化学传感器密闭连接，可完成陆水生植物光合作用、种子萌发、呼吸作用、酶的特性等实验</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多用途生化传感器支架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由机械臂、传感器电极夹及固定夹组成，机械臂固定在实验台边，能在三维空间内灵活移动并准确定位，稳定性好；电极夹口径适合常用生化传感器的电极，方便生化实验操作，具有保护传感器不受损坏、提高空间利用率和实验效率功能。机械臂长度：600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中和滴定实验装置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由滴定计数器（光电门传感器+定位装置）、支架、转接器和螺栓组成，用于测量液滴体积，可固定于铁架台上，计数器可与滴定管、针筒等配套使用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磁力搅拌器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电源：AC220V±10%；搅拌转速：100～1500r/min；最大搅拌容量：1000ml；加热功率：200W；</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铁架台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标准铁架台，铁杆直径不小于1cm，杆长50cm，带试管夹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附件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含USB通讯线1条、转接器4只、技术资料等；传感器线4条；两端为BT插头。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传感器铝合金实验箱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前墙造型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前墙竹木纤维板造型定制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后墙造型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后墙竹木纤维板造型定制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108化学无机教室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399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万向吸风罩</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1.关节：高密度PP材质表面磨砂，优化了视觉美感和手握触感可360°旋转调节方向。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2.关节密封圈：不易老化之高密度橡胶。在关节之间随着旋钮压力加大而产生阻尼效果。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3.关节连接杆：304不锈钢双头锁杆。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4.关节盖：高密度PP材质表面磨砂，一面嵌入铜质滚花螺母，四周采用自锁式倒扣拆装方便。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5.关节松紧选钮：高密度PP材质，内置微形平面推力不锈钢轴承，与关节连接杆锁合。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6.拱形集气罩：直径253mm，高密度铝合金制成。防止做实验时着火出现危险，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7.伸缩导管：4节直径60mm的6系专业抗氧化抗腐蚀的镁硅铝合金，表面做特氟龙表面处理，耐酸、耐碱、耐划痕。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8.旋转关节：6系专业抗氧化抗腐蚀的镁硅铝合金，在下部设计增加旋转功能，内部设计PVC离合结构。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9.扭簧：使用90度的4mm专用弹簧钢抗氧化处理，防止吸风罩整体滑下。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10.安装后可根据使用需要达到三维360度任意转停，集气罩吸气角度360度任意转停。整体美观大方，吻合高水准专业实验室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万向吸风罩底座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固定底座：6系专业抗氧化抗腐蚀的镁硅铝合金，根据不同的组合方式可选择丝口和挂口结构，拆装方便。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落地式紧急冲淋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不锈钢材质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1、紧急冲淋洗眼装置的关节采用插拔式的连接方式，既缩短整个产品的安装工时，又能彻底解决管件连接处的漏水问题，轻松满足360度任意定位安装的人性化需要，外观整洁大方，检修及部件更换更加便捷。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2、主体、底座、冲淋阀、洗眼阀、冲淋头、洗眼盆、拉手、推手和脚踏等部件均采用卫生级304不锈钢无缝钢管，镍含量超过8%，耐腐蚀性能出众。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3、采用冷轧工艺生产，不易变形，同时管壁光滑无油脂，经久耐用。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4、洗眼喷头内置减压装置，防止对眼睛二次伤害；配置水压调节系统来适应不同场所的水压。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5、冲淋球阀和洗眼球阀均采用双片式阀门结构，密封性和抗压性能更好，使用寿命更长。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6、阀门管道采用由任（即活接头）的管道连接设计，使维修保养费用极低，避免了由于阀门或部件损坏后无法更换而导致整个洗眼器报废的情况。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规格采用≥2850*700*900mm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1.新型塑钢结构。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2.实验室龙头采用壁式安装，壁厚大于2.5mm，固定底座直径55mm，底座锁母与台面中间添加齿形止退垫，使连接后不易松动稳定性强，与台面安装牢固。双联龙头可以分开折叠90度收纳，保证实验室的整洁美观。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3.采用1.0mm优质镀锌钢板制作，经切割、圆角折弯、焊接、打磨平整，表面经环氧树脂喷涂处理；柜体上部为储物抽屉，导轨采用托底重型三节阻尼导轨，下柜为内凹式门轴式铰链单开门储物柜，柜门圆弧设计。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4.水槽采用PP材质，内径尺寸为350*360，深度满足240mm，水槽抽拉式设计，采用托底重型三节阻尼导轨，使用时拉出，保证桌面空间充分利用。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包含教室电源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智能控制平台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1.电源控制系统：可分组控制学生的高低压电源，确保学生实验安全方便；带电源锁定功能，教师锁定后学生不能调节，可避免学生的误操作，可以单独进行控制，进行单选、全选、反选，分组进行控制；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给排水控制系统：给水系统：每个学生设有给水控制阀门，可以对给水进行控制，可以单独进行控制，进行单选、全选、反选，分组进行控制，教师可以方便对全室供水系统进行控制，学生功能板处设置给水接口，接口与学生水槽柜采用优质硅胶软管连接，接口均采用自动锁紧插拔式连接方式，用时接上，不用时可收起。自动排水系统：所有排水由智能化控制系统集中控制，学生功能板处设置排水接口，接口与学生水槽柜采用优质硅胶软管（具有防酸、防碱、耐腐蚀功能）连接，接口均采用自动锁紧插拔式连接方式（拔掉时没有污水流出），用时接上，不用时可收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3.智能摇臂控制系统：可以对摇臂进行控制，可以单独进行控制，进行单选、全选、反选，分组进行控制。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壁式洗眼器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1.水流开关按压后自动锁定，持续出水，一步到位，绝无因开关失灵而无法关闭水流的困扰，使用方便快捷，环保卫生；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2.采用限流型止逆阀门，防止管道里可能存在的污水回流到洗眼器管件里，对眼睛造成污水污染眼睛的二次伤害；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3.洗眼喷头为优质铜材外覆环氧树脂涂层，外加软性橡胶，出水经缓压处理呈泡沫状水柱，防止因水压过大二次伤害眼睛；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4.进水管采用软性PVC管外覆不锈钢编织网，外层包裹PE管，耐强腐蚀，有效防止生锈、渗漏，避免造成身体伤害或水管爆裂。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付</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学生实验操作面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规格采用≥2850*600*780mm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1.新型塑钢结构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2.采用实验室专业耐腐蚀、耐刻刮、耐污染釉面。采用一体实芯黑色坯体，台面釉面为亚马逊蓝色，釉面和胚体经高温一体烧结而成，釉面与胚体结合后不脱落。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3.水槽采用PP材质，内径尺寸为350*360，深度满足240mm，水槽抽拉式设计，采用托底重型三节阻尼导轨，使用时拉出，保证桌面空间充分利用。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4.包含学生电源。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5.包含48个学生操作位。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废水提升系统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1.内置式扬程水泵，新型环保增压，不生锈，无铅无重金属，无毒无味；电压，24V，功率，60W，流量，12L/min，高效节能，安装体积小；具有防水，防漏电，防腐蚀，防空转，自带止回阀功能；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2.内置式过滤系统，过滤等级40目，有效过滤实验残渣防止废水系统堵塞。</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升降通风装置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1.装置盖板，采用ABS一次注塑成型，安装于通风装置上方；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2.通风装置采用电动升降式，采用24V直流电机驱动，双侧导轨定位，保证升降平稳自如；教师统一主控，可以一键升降；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3.通风面板采用铝板冲孔，面板通风孔采用大小孔设计，保证通风的均匀性。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顶部装置主体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采用标准模块化组成，1600*500*195mm为一组；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1.主框架：采用舱体式设计，内部骨架采用1.0mm钢板折弯成型，舱体下部采用镀锌钢板配色成型，左右装饰条采用实验室专用铝合金模具型材。所有金属表面经环氧树脂粉末喷涂高温固化处理。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2.端头装饰板：采用ABS工程塑料一次注塑成型，安装于主框架两侧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3.顶部装置主体整体外观、涂层、切边口、焊接性能。</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409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摇臂机构</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动力：直流24V减速低压电机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连接杆：DN110*1.8mm专用铝合金模具一体成型，表面特氟龙处理，内部预留风管通道、上下水通道、控制线缆通道、供电线缆通道。</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端头保护罩：ABS工程塑料一次注塑成型，两片对合式保护罩设计，带自复位和锁止功能，自动检测保护罩锁止功能，未锁止摇臂不能升降。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升降束管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安装于摇臂机构连接杆内部，线束包含上水软管、下水软管、供电线路、控制线路，整体包裹一起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手动升降风管系统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通风管束：采用DN76mmPVC材质波纹软管，手动升降，带阻尼机构，上下升降自如，端口带防腐塑料材质快接口，方便于排风终端快速对接。</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学生端给排水接口</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PVC材质，给排水接头采用具有耐酸碱，拔插轻松，不生锈；即插即用，带自动锁紧插功能，即使在供水排水工作时，随时拔掉接口不会有任何滴漏现象。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自动管理排水系统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采用自主研发，当给水开关打开时，排水自动启动，水槽水低位时，排水自动关闭，设定时间内自动检测排水管水位，当排水管有水时，排水自动抽完，如果排水管未检测到水，水泵自动关闭。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主架舱体防尘检修板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采用1.0mm优质镀锌钢板，采用那个CO2保护焊焊接，打磨处理，表面经耐酸碱EPOXY粉末烤漆处理（烤漆膜厚度平均值≥70μm）；造型独特美观，检修方便。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电源供应线路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模块化设计，每组模块间采用活接式连接，方便安装、检修。采用2.5mm²电线进行系统布线。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智能控制系统线路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模块化设计，每组模块间采用活接式连接，方便安装、检修。采用1.mm²屏蔽电线进行系统布线（国标免检产品）。</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给水管路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给水主管选用φ20-32mmPP-R给水管，模块化设计，每组模块间采用活接式连接，方便安装、检修。</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排水管路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排水管选用加厚φ50-75mmPVC-U国标管（具有防酸、防碱、耐腐蚀功能），模块化设计，每组模块间采用活接式连接，方便安装、检修。</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支架功能封板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能隐藏水电通风管道及电线，采用铝合金材质，方便检修。</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安装支架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采用碳钢丝杠及专业连接件、铝合金挂钩、微调丝杆等。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式</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系统调试</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系统调试：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1.吊顶式系统采用模块化结构设计，采用吊装安装方式；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2.系统结构调试；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3.系统控制调试；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4.通风系统调试；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5.给排水调试；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6.供电系统调试；</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式</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顶装安装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1、标准化安装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2、此费用仅含顶装安装；不含家具安装，不含搬运、运输及差旅费</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式</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消防沙箱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技术特点：1、采用静电喷漆，光滑整洁，防潮。2、底部加固处理，增加强度，与地面有间隙，不易生锈。3、采用优质加厚钢铁加工，高硬度耐用。4、优质五金铰，链箱盖，无卡阻现象。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侧墙定制造型展示墙</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428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结合效果图定制文化窗帘（内容以化学知识为主）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429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203生物竞赛教室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准备室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实验室专用试剂平台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1.铝合金结构，表面喷涂高温固化匀乳白环氧树脂喷涂理处理，具有较强的耐蚀性能，上下带塑胶模具堵头；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2.试剂架立柱截面尺寸：42mm*82mm,型材壁厚1.2mm；试剂架立柱双面升降槽，侧面双面镶嵌另色色条；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3.试剂架托架1.0mm高强度镀锌钢板，一次性冲压成型；试剂架护栏：护栏壁厚1.2mm，单面镶嵌另色色条。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4.立杆牢固固定于C型钢架底端，层板采用8mm厚的玻璃，安装后用户可根据试剂大小上下高低无级调节。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规格采用≥3200*600*800mm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规格采用≥3600*1500*800mm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5.包含学生操作位。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消防沙箱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技术特点：1、采用静电喷漆，光滑整洁，防潮。2、底部加固处理，增加强度，与地面有间隙，不易生锈。3、采用优质加厚钢铁加工，高硬度耐用。4、优质五金铰，链箱盖，无卡阻现象。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439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插座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公牛插座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结合效果图定制文化窗帘（内容以生物知识为主）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有机玻璃字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玻璃隔断装饰防反光字贴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分子生化室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规格采用≥3500*600*800mm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细胞遗传室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规格采用≥2900*600*800mm1.全钢结构：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449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w:t>
            </w:r>
            <w:r>
              <w:rPr>
                <w:rFonts w:hint="eastAsia" w:ascii="仿宋" w:hAnsi="仿宋" w:eastAsia="仿宋" w:cs="仿宋"/>
                <w:color w:val="000000"/>
                <w:kern w:val="0"/>
                <w:sz w:val="24"/>
                <w:lang w:bidi="ar"/>
              </w:rPr>
              <w:t>集成安装（含超净系统）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设备集成管道安装、调试等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1.采用任意定位移门系统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2.外壳采用彩钢板一体成型，工作台面为SUS201拉丝不锈钢，耐腐蚀、易清洗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3.照明和杀菌系统安全互锁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4.数显式液晶控制界面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5.垂直准闭合式台面，可有效防止外部气体投入和操作区洁净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6.配置HEPA高效空气过滤器，设有初效过滤器进行初步过滤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7.洁净等级 100级@≥0.5μM（美联邦209E）</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8.菌落数 ≤0.5个/皿·时（Φ90mm培养平皿）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9.平均风速 0.25～0.45m/s（快慢双速）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10.噪音 ≤62dB（A）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11.振动半峰值 ≤0.5μM（x、y、z方向）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12.照度 ≥300Lx</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13.电源 AC单相220V/50Hz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14.最大功率 130W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15.适用人数 单人/单面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16.高效过滤器规格及数量 695×460×38×①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17.荧光灯/紫外灯规格及数量 15W×①/15W×①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超净台内部顶端嵌入式安装360℃旋转的高清摄像头，支持远程查看和语音对话功能，方便教师进行操作指导。超净台内侧挡板上固定有不小于10寸的触摸显示屏，供教师下发实验步骤与操作注意事项。超净台的内置显示屏受教师端软件统一控制，方便教师进行文件下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19.软件参数：（1）全无线系统架构：整个系统采用全无线架构，简洁、高速、稳定； 学生显示端通过无线传输方式与教师端进行信息交互。系统可实现图像、实验、实验报告等多维信息的互动。（2）跨平台解决方案：同时支持Android、Windows等操作系统，通过手机、平板电脑等智能终端即可实现实验教学。（3）教师端实现对超净工作台中操作环境的的监控，教师端可将PPT课件或者文档下发到每一个学生的显示屏上；实时观测每个学生的上课状态及效果。（4）具备宏观实验记录功能：拍照记录实验过程，供后期实验教学取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sz w:val="24"/>
              </w:rPr>
              <w:t>★</w:t>
            </w:r>
            <w:r>
              <w:rPr>
                <w:rFonts w:hint="eastAsia" w:ascii="仿宋" w:hAnsi="仿宋" w:eastAsia="仿宋" w:cs="仿宋"/>
                <w:color w:val="000000"/>
                <w:kern w:val="0"/>
                <w:sz w:val="24"/>
                <w:lang w:bidi="ar"/>
              </w:rPr>
              <w:t>水浴锅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1.外观独特新颖，体积小巧，功能强大。所有与水接触表面均采用不锈钢材料和PC材料，耐腐蚀性强。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2.采用一次冲压成型的不锈钢锅内胆，配合独特密封结构，杜绝漏水；水槽分别后置独立排水阀，可轻松清洗内胆后排尽污水。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3.采用微电脑程序PID自动控温，控温均匀、精度高。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4.内置水位传感器，防止干烧带来的隐患，安全可靠。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5.双数码管数字全息显示温度和定时时间，参数显示准确直观，具有蜂鸣报警提示功能。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6.控温范围室温+5℃~100℃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7.温度精度0.5℃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8.温度均匀度@37℃0.5℃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9.孔数2个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10.容积2L×2孔</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11.工作空间140×126×95mm×2孔</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12.输入电源AC 220V  50/60Hz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13.功率600W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14.外形尺寸W.363×D.290×H.240mm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15.净重5.1kgs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451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磁力搅拌器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1.可对50ml-20L标准或非标准反应瓶进行搅拌;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2.硅胶垫工作盘面，外壳采用金属外壳，高强度，耐高温，防腐蚀;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3.直流无刷电机，性能稳定，噪音小，寿命长，无火花产生；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4.整机设计精致小巧，30°斜面操控面板适合坐位和站位视角;</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5.高磁通量设计，搅拌能力强，采用无马达驱动方式，噪音小。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6.工作盘尺寸（mm）Φ137mm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7.盘面材料硅胶垫</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8.转速范围200-1600rpm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9.定时范围0~99h59min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10.搅拌点位数量1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11.单个最大搅拌量20L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12.搅拌子最长尺寸80mm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13.输入电源AC220V50/60Hz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14.功率20W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15.熔断器250V,1A,Ф5x20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16.外形尺寸W.160×D.270×H.70mm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17.净重1.88kgs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1.自重轻，操作轻便省力，手柄挂钩设计</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2.数字视窗，所设置量程一目了然</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3.采用陶瓷活塞，耐腐蚀效果好</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4.采用免维护密封环，使用更便捷</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5.采用新型材料，可整支121℃高温高压消毒，通过CE标准</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6.精确的分液，量程分别为： 0.5-10μL，10-100μL，20-200μL，100-1000μL，1000-5000μL，（一套）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Z型，5支位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超纯水仪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1.以城市自来水为水源，可同时生产DI高纯水，UP超纯水，水质量满足ASTM D1193-06、GB/T 11446.1-2013、GB/T33087-2016、GB/T6682-2008、CP、EP、USP、JP、CAP、CLSI等规定的水质标准要求。</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2.产水量：20升/小时</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3.出水口（正面）：2个：DI去离子水、UP超纯水</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4.出水水质参数：</w:t>
            </w:r>
            <w:r>
              <w:rPr>
                <w:rStyle w:val="829"/>
                <w:rFonts w:ascii="仿宋" w:hAnsi="仿宋" w:eastAsia="仿宋" w:cs="仿宋"/>
                <w:sz w:val="24"/>
                <w:szCs w:val="24"/>
                <w:lang w:bidi="ar"/>
              </w:rPr>
              <w:br w:type="textWrapping"/>
            </w:r>
            <w:r>
              <w:rPr>
                <w:rStyle w:val="656"/>
                <w:rFonts w:hint="eastAsia" w:ascii="仿宋" w:hAnsi="仿宋" w:eastAsia="仿宋" w:cs="仿宋"/>
                <w:sz w:val="24"/>
                <w:szCs w:val="24"/>
                <w:lang w:bidi="ar"/>
              </w:rPr>
              <w:t></w:t>
            </w:r>
            <w:r>
              <w:rPr>
                <w:rStyle w:val="829"/>
                <w:rFonts w:ascii="仿宋" w:hAnsi="仿宋" w:eastAsia="仿宋" w:cs="仿宋"/>
                <w:sz w:val="24"/>
                <w:szCs w:val="24"/>
                <w:lang w:bidi="ar"/>
              </w:rPr>
              <w:t>去离子水水质：</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4.1电阻率(25℃)：16MΩ.cm</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4.2微粒&lt;1 /ml (&gt;0.2μm)</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4.3细菌&lt;0.01 CFU/ml</w:t>
            </w:r>
            <w:r>
              <w:rPr>
                <w:rStyle w:val="829"/>
                <w:rFonts w:ascii="仿宋" w:hAnsi="仿宋" w:eastAsia="仿宋" w:cs="仿宋"/>
                <w:sz w:val="24"/>
                <w:szCs w:val="24"/>
                <w:lang w:bidi="ar"/>
              </w:rPr>
              <w:br w:type="textWrapping"/>
            </w:r>
            <w:r>
              <w:rPr>
                <w:rStyle w:val="656"/>
                <w:rFonts w:hint="eastAsia" w:ascii="仿宋" w:hAnsi="仿宋" w:eastAsia="仿宋" w:cs="仿宋"/>
                <w:sz w:val="24"/>
                <w:szCs w:val="24"/>
                <w:lang w:bidi="ar"/>
              </w:rPr>
              <w:t></w:t>
            </w:r>
            <w:r>
              <w:rPr>
                <w:rStyle w:val="829"/>
                <w:rFonts w:ascii="仿宋" w:hAnsi="仿宋" w:eastAsia="仿宋" w:cs="仿宋"/>
                <w:sz w:val="24"/>
                <w:szCs w:val="24"/>
                <w:lang w:bidi="ar"/>
              </w:rPr>
              <w:t>超纯水水质：</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4.4电阻率(25℃)：18.2 MΩ.cm</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4.5TOC：5ppb</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4.6微粒&lt;1 /ml (&gt;0.2μm)</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4.7细菌&lt;0.01 CFU/ml</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5.操作系统：</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5.1智能化人机交互操作系统，5寸LCD彩色触摸电阻屏，分辨率:480×272，可全面了解滤芯，存储，水质状态、运行状态等信息。</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5.2可追溯的全面数据管理，存储3年的取水、报警和耗材更换记录等运行数据，通过云平台可实现产品生命周期的数据存储，无纸化数据管理，可通过USB或云平台导出下载数据，符合监管法规要求。</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5.3耗材管理，以结合水质、时间及处理量对耗材寿命进行管理，耗材具有原装序列号验证识别功能，防止耗材更错误。</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5.4超纯水循环与消毒功能：超纯水循环可设置间隔运行的时间，加药消毒可手动执行“循环消毒”、“取水口消毒”、“水箱补水”、“手动排污”、“停止消毒”。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Style w:val="731"/>
                <w:sz w:val="24"/>
                <w:szCs w:val="24"/>
                <w:lang w:bidi="ar"/>
              </w:rPr>
              <w:t>梯度</w:t>
            </w:r>
            <w:r>
              <w:rPr>
                <w:rStyle w:val="968"/>
                <w:rFonts w:ascii="仿宋" w:hAnsi="仿宋" w:eastAsia="仿宋" w:cs="仿宋"/>
                <w:sz w:val="24"/>
                <w:szCs w:val="24"/>
                <w:lang w:bidi="ar"/>
              </w:rPr>
              <w:t>PCR仪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1.外观精美，加工精致，巧妙的散热设计。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2.8英寸高清晰TFT彩显和电阻触摸，友好的人机交互界面，操作简单。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3.采用最新一代进口半导体技术，出色的扩增性能，有效消除模块热传导的边缘效应问题，模块温度均一性极佳。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4.高效的热模块：精工制造表面阳极氧化技术处理的高品质铝模块，既保留快速导热性能，又具有足够的耐腐蚀性。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5.热盖设计：有效的将热量控制在热盖内，防蒸发效果极佳；无级可调式热盖，能适应市面大部分试管。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6.程序采用文件夹管理，可自建目录。用户登录，权限管理，密码保护功能，超大数据存储量，存储文件大于100个。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7.内置独立的快速恒温孵育功能，满足变性、酶切/酶连、ELISA等实验需要。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8.GLP实验报告功能，记录程序每一步的运行信息，为实验结果分析提供准确的数据支持。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9.内置报警功能，程序运行完成和机器故障均有报警提示。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10.可使用USB鼠标控制仪器，支持U盘更新升级软件。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二、技术参数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1.温度范围4～99.9℃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2.样本容量96孔x0.2ml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3.最大升温速率5℃/s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4.最大降温速率5℃/s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5.温度均匀性±0.25℃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6.温度准确性±0.20℃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7.温度显示分辨率0.1℃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8.温度控制方式Block\Tube</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9.变温速率可调0.1～5.0℃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10.梯度温度均匀性±0.3℃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11.梯度温度准确性±0.3℃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12.梯度温度范围30～99.9℃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13.梯度温差范围0.1～30℃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14.热盖温度范围30～105℃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15.单步时间范围1-59m59s0为无限长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16.热盖高度调节无级可调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17.程序最大步骤30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18.程序最大循环数99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19.时间递减/递增-599～599s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20.温度递减/递增-9.9～9.9℃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21.程序暂停功能有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22.16℃保温无限长Forever</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23.液晶显示屏LCD8英寸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24.程序存储数量＞100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25.通讯接口USB2.0,LAN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26.功率：500W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27.输入电源AC220V,50Hz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28.熔断器250V,8AФ5x20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29.外形尺寸W.390xD.270xH.255mm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30.净重8.5kgs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电泳仪</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泳是一种带电分子在电场中向着电性相反的电极移动的现象。利用电泳现象进行物质分离的技术，称电泳技术。电泳仪是实现电泳分析，对不同物质进行定性或定量分析，或将一定混合物进行组分分析或单个组分提取制备的专业仪器设备。一般由电源、电泳槽、检测单元等组成。为分离、鉴定、纯化核酸或蛋白质提供稳定的电流。用于各种水平、小型垂直、洗脱回收等电泳。应用于临床医学的实验室检验或科研实验研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一、技术规格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1.输出类型：恒压、恒流、恒功率输出（连续可调）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2.输出范围：3～300V、1～400mA、1～120W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3.分辨率：电压（1V）、电流（1mA）、功率（1W）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4.定时范围：1分钟～99小时59分钟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5.显示：带背光的LCD液晶屏（128×64像素）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6.输出插孔：4（组）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7.外形尺寸（L×W×H）：280×237×118（mm）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8.净重：3.1（kg）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二、性能特点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1.一次成型机壳，触摸按键，微处理器智能控制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2.可同时显示预设值和实际输出值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3.可存储10个常用电泳方法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4.具有自动记忆、自动关断功能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5.具有标准、定时运行功能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6.具有恒压、恒流、恒功率等智能提示功能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7.具有过载、空载、漏电等多项保护功能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8.选配功能（断电恢复、防扩散电场功能）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水平电泳槽</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在水平方向放置的凝胶平板中进行电泳实验，使用琼脂糖凝胶作支持物的电泳设备。可用于鉴定、分离、制备DNA以及测定其分子量。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一、技术规格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1.凝胶面积（W×L）：48×75（mm）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2.样品通量：（1.0mm厚）3、5、9齿；（1.5mm厚）3、5、9齿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缓冲液容积：～150（ml）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3.外形尺寸（L×W×H）：250×95×50（mm）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净重：0.4（kg）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二、性能特点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1.采用进口高透明度PC材料，一次注塑成型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2.双色上盖可供选择，开盖时自动切断电泳电场，确保操作安全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3.托盘具有把手设计，保证操作过程的安全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4.安全开盖按钮设计，方便上盖的开启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5.托盘具有加样背景色设计，方便加样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6.配备专用制胶盒</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7.可拆卸电极架，使电极的维修及更换更加方便、快捷、安全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垂直电泳槽</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泳槽是凝胶电泳系统的核心部分，以缓冲液和凝胶为介质实现电泳的仪器设备。垂直电泳槽是在垂直方向放置的凝胶平板中进行的电泳，使用聚丙烯酰胺凝胶作支持物。适用于生物学研究中，对核酸、蛋白样品的分离、纯化、制备等，分析型蛋白电泳满足纯度鉴定、复杂蛋白样品的分析，同时也适用于核酸电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1.凝胶板面积（W×L）：100×100（mm）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2.凝胶面积（W×L）：82×88（mm）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3.凝胶厚度：0.75、1.0、1.5（mm）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4.凝胶数量：1～2（块）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5.样品通量：（0.75mm厚）11、15齿；（1.0mm厚）11、15齿；（1.5mm厚）11、15齿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6.缓冲液容积：～750（ml）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7.外形尺寸（L×W×H）：150×120×115（mm）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8.净重：1.5（kg）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二、性能特点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1.无需旋钮，安装玻璃板最短只需15秒钟，快捷方便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2.配原位制胶器，省去使用密封条的繁琐操作，免除电泳玻板从“制胶”到“电泳”的二次移动，便于从玻璃两侧全面观察凝胶配制是否正常，大大简化了实验过程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3.高透明聚碳酸酯材料注塑一次成型，耐冲击、耐高温、耐腐蚀；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4.安全开盖按钮设计，方便上盖的开启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5.玻璃边条经特殊处理，确保制胶不渗漏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6.提供背景颜色，易于在加样以及电泳过程中的观察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7.充足的缓冲液空间，提供可靠的散热保障及稳定的pH值；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8.开盖时自动切断电泳电场，确保操作安全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DNA电泳图谱观察仪</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图谱观察仪是核酸凝胶电泳结果观测的专用仪器设备。目前较为常用的DNA电泳结果观察方法，是通过溴化乙锭（Ethidium bromide , EB）染色，在紫外线激发下，发出荧光橙红色信号。但此种方法中的紫外线和EB都会对人体产生危害，本产品采用可见光源，用安全、环保的荧光物质代替EB做染料，通过观察窗口的黄色透明玻璃滤掉蓝色背景光，即可观察电泳后分离的DNA条带。操作简便、安全，更适合中学实验教学使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一、技术规格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1.光源：LED4×11个发光灯管，其发光光谱的波峰为468nm±3nm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2.观察窗：黄色透明玻璃，在波长为542nm±3nm处可滤掉50%光线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3.观察面积：120×120（mm）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4.电源：220V±10%50Hz±2%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5.输出电压：5V2A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6.保险管：5A（Φ5×20）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7.外形尺寸（L×W×H）：300×200×120（mm）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8.净重：2.0（kg）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二、性能特点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目前较为常用的DNA电泳结果观察方法，是通过溴化乙锭（Ethidiumbromide,EB）染色，在紫外线激发下，发出荧光橙红色信号。但此种方法中的紫外线和EB都会对人体产生危害，故本产品采用可见光源，用安全、环保的荧光物质代替EB做染料，通过观察窗口的黄色透明玻璃滤掉蓝色背景光，即可观察电泳后分离的DNA条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b/>
                <w:bCs/>
                <w:sz w:val="24"/>
              </w:rPr>
              <w:t>★</w:t>
            </w:r>
            <w:r>
              <w:rPr>
                <w:rFonts w:hint="eastAsia" w:ascii="仿宋" w:hAnsi="仿宋" w:eastAsia="仿宋" w:cs="仿宋"/>
                <w:color w:val="000000"/>
                <w:kern w:val="0"/>
                <w:sz w:val="24"/>
                <w:lang w:bidi="ar"/>
              </w:rPr>
              <w:t>凝胶成像仪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1.外观设计精美，操作方便人性化，ABS塑料机壳，重量轻，体积小。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2.抽屉式操作台，左右两侧开门设计和隐藏式观察窗，便于对凝胶进行取放、观察、切胶。内置凝胶放置中心指示灯，方便凝胶定位放置在中心位置。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3.所有开窗开门具有重叠错位密封的结构设计，增强暗室的UV传输效果和空间密闭效果，最大限度的避免紫外线对人体的伤害。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4.双强度透射紫外波长：302nm，反射波长：254、365nm。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5.配备进口低照度高分辨率数字CCD，便于捕捉微弱谱带、实时浏览显示、操作方便。六倍光学手动或自动变焦镜头，便于凝胶的缩放观察。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6.采用多层镀膜滤光镜组，有效滤除背景干扰噪声；可通过电脑实现对变焦、聚焦、光圈、紫外灯及白光灯的控制功能；也可通过面板实现对变焦、聚焦、光圈、紫外灯及白光灯的控制功能。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7.具有开门自动断紫外线、延时断电、漏电保护等功能，最大限度保障使用者不受伤害。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8.配超薄白光板，采用的是国际领先的磷屏紫外白光转换技术。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配置专用凝胶成像分析软件；具有先进的泳道自动识别功能、帮助对泳道和条带的识别、移动、调整和编号。将各种实验报表导出到文本或Excel格式文件。对核酸、蛋白质分子量、光密度、迁移率以及PH值和百分比含量等计算和比较。并具有1D和2D分析、DotBlot图像处理分析；菌落及克隆计数图像分析功能。用于对DNA、RNA、蛋白等各种电泳凝胶图像的采集、观察、分析和保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10.摄像头采用SonyExmorCMOS相机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11.变焦镜头F=1:1.2，2/3英寸进口6倍变焦镜头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12.有效像素5440×3648</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13.像素密度12bit</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14.像素尺寸2.4×2.4μm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15.分辨率2000万像素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16.灵敏度可检测出低于20pgEB染色的双链DNA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17.信噪比≥56db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18.滤光片590nm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19.紫外光透射面积168×210mm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20.可见光透射面积200×250mm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21.磷屏白光板透射面积210×260mm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22.透射紫外光源波长302nm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23.反射紫外光源波长254、365nm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24.透射紫外灯管功率302nm（8W）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25.反射紫外灯管功率254nm（11W）、365nm（11W）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26.输入电源AC220V,50Hz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27.熔断器250V3Aφ5×20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28.外形尺寸W.450×D.440×H.770mm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29.净重21.5kgs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w:t>
            </w:r>
            <w:r>
              <w:rPr>
                <w:rFonts w:hint="eastAsia" w:ascii="仿宋" w:hAnsi="仿宋" w:eastAsia="仿宋" w:cs="仿宋"/>
                <w:color w:val="000000"/>
                <w:kern w:val="0"/>
                <w:sz w:val="24"/>
                <w:lang w:bidi="ar"/>
              </w:rPr>
              <w:t>冷冻离心机</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1.外壳采用冷轧钢板制造，表面静电喷塑，内胆镜面不锈钢；清洁耐用。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2.具有定时及定速和停机报警等功能；10档位升降速；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3.合理风道设计，使工作室内温度均匀度变化小；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4.微机控制，触摸面板，液晶显示；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5.变频电机，免维护，无污染；电机采用进口轴承，降低噪音延长仪器使用寿命；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6.独特的三点柔性双层二级支撑减震，降低振动及噪音；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7.具有因停电，死机状态造成数据丢失而保护的参数记忆，来电恢复功能。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8.具有电子门锁及机械门锁双重保护，即使停电开门自如。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8.不平衡等保护功能；开门自动停机，操作安全放心；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9.欧洲进口压缩机组，环保型制冷剂134a；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10.超速、超温多种保护功能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11.最高转速16000rpm;最大离心力21532×g；噪音：≤60dB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12.转速精度±20；定时范围0+99h59min59s；温度范围-20--+40℃；温控精度±1℃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13.电源AC 220V 50Hz 18A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14.配备角转子：24×1.5/2.0ml；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15.采用无氟压缩机组，可实现-20°C～40°C之间的温度控制，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16.转子采用航空铝合金材料，可高温高压灭菌；最快升降速度科实现15秒。</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17.打破传统螺纹安装转子盖；卡扣式打开转子盖；具备快速打开转子盖功能一秒即可；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18.体积小重量轻；有效节约实验室空间；338×465×330mm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19.可自由编程操作、瞬时离心；可以适配多种转子，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20.角转子：12×1.5ml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21.外形尺寸：400*350*340mm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超声波清洗器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1.内胆材料：SUS304不锈钢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2.内胆尺寸：300*240*150MM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3.震头：4个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4.容量：10L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5.超声波总功率：240W可调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6.加热功率:500W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7.温度可调：常温-60度可调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8.频率：40Khz</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UPS稳压电源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UPS额定负载容量：801-1600WUPS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内置电池容量：9AH/12V以上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类别：在线式UPSUPS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稳压功能，全自动稳压功能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w:t>
            </w:r>
            <w:r>
              <w:rPr>
                <w:rFonts w:hint="eastAsia" w:ascii="仿宋" w:hAnsi="仿宋" w:eastAsia="仿宋" w:cs="仿宋"/>
                <w:color w:val="000000"/>
                <w:kern w:val="0"/>
                <w:sz w:val="24"/>
                <w:lang w:bidi="ar"/>
              </w:rPr>
              <w:t>生态环境分析系统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1.检测对象：不少于5品类，种类不少于50个，准确率＞90%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2.触摸式彩色屏，绿、黄、红三种颜色，提供对应的正常、注意、危险三种提示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3.支持中英文、阿拉伯语等多国语言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4.符合CE、CQC质量认证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5.自动校正、内置指标检测样品种类不低于50种，选择种类后可直接检测显示结果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6.有毒害物质测量范围：0-9990mg/kg；环境测试系统：（mR/hr）,累计剂量值实现范围mSv:999.99;水中溶解颗粒的百分比含量范围：5-499PPM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7.实验室环境底标快速检测，响应速度小于5S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8.使用时间＞6小时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9.可设置自动关机，无操作规定时间内即自动关机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玻璃隔断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定制钢化玻璃隔断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安装玻璃门及配套门锁安装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color w:val="000000"/>
                <w:sz w:val="24"/>
                <w:lang w:val="en-US"/>
              </w:rPr>
            </w:pPr>
            <w:r>
              <w:rPr>
                <w:rFonts w:hint="eastAsia" w:ascii="宋体" w:hAnsi="宋体" w:eastAsia="宋体" w:cs="宋体"/>
                <w:i w:val="0"/>
                <w:iCs w:val="0"/>
                <w:color w:val="000000"/>
                <w:kern w:val="0"/>
                <w:sz w:val="22"/>
                <w:szCs w:val="22"/>
                <w:u w:val="none"/>
                <w:lang w:val="en-US" w:eastAsia="zh-CN" w:bidi="ar"/>
              </w:rPr>
              <w:t>46</w:t>
            </w:r>
            <w:r>
              <w:rPr>
                <w:rFonts w:hint="eastAsia" w:ascii="宋体" w:hAnsi="宋体" w:cs="宋体"/>
                <w:i w:val="0"/>
                <w:iCs w:val="0"/>
                <w:color w:val="000000"/>
                <w:kern w:val="0"/>
                <w:sz w:val="22"/>
                <w:szCs w:val="22"/>
                <w:u w:val="none"/>
                <w:lang w:val="en-US" w:eastAsia="zh-CN" w:bidi="ar"/>
              </w:rPr>
              <w:t>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实验室给排水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地面给排水，采用UPVC50排污管、PPR25给水管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仿宋" w:hAnsi="仿宋" w:eastAsia="仿宋" w:cs="仿宋"/>
                <w:color w:val="000000"/>
                <w:sz w:val="24"/>
                <w:lang w:val="en-US"/>
              </w:rPr>
            </w:pPr>
            <w:r>
              <w:rPr>
                <w:rFonts w:hint="eastAsia" w:ascii="宋体" w:hAnsi="宋体" w:eastAsia="宋体" w:cs="宋体"/>
                <w:i w:val="0"/>
                <w:iCs w:val="0"/>
                <w:color w:val="000000"/>
                <w:kern w:val="0"/>
                <w:sz w:val="22"/>
                <w:szCs w:val="22"/>
                <w:u w:val="none"/>
                <w:lang w:val="en-US" w:eastAsia="zh-CN" w:bidi="ar"/>
              </w:rPr>
              <w:t>4</w:t>
            </w:r>
            <w:r>
              <w:rPr>
                <w:rFonts w:hint="eastAsia" w:ascii="宋体" w:hAnsi="宋体" w:cs="宋体"/>
                <w:i w:val="0"/>
                <w:iCs w:val="0"/>
                <w:color w:val="000000"/>
                <w:kern w:val="0"/>
                <w:sz w:val="22"/>
                <w:szCs w:val="22"/>
                <w:u w:val="none"/>
                <w:lang w:val="en-US" w:eastAsia="zh-CN" w:bidi="ar"/>
              </w:rPr>
              <w:t>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205生物竞赛教室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471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规格采用≥3000*700*900mm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4.包含教师演示电源。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规格采用≥1200*600*780mm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1.新型塑铝结构。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2.采用四角倒R15圆角。台面后方卡入学生桌铝型槽内，前方用预埋件与桌体固定。耐酸、耐碱、耐高温，坚固耐用，防潮、无细孔、不膨胀、不龟裂、不变形、不导电、便于维护及具有良好的承重性能。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3.整体采用实验室专用PP材质，四脚圆弧处理，地脚线缩进30mm，前后二块拼接而成，可拆装，内部隐藏实验线管及通风管道，方便检修。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4.包含学生电源。</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5.包含生物竞赛学生操作位。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规格采用≥3600*1500*800mm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2.采用四角倒R15圆角。台面后方卡入学生桌铝型槽内，前方用预埋件与桌体固定。耐酸、耐碱、耐高温，坚固耐用，防潮、无细孔、不膨胀、不龟裂、不变形、不导电、便于维护及具有良好的承重性能。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实验室专用试剂平台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1.铝合金结构，表面喷涂高温固化匀乳白环氧树脂喷涂理处理，具有较强的耐蚀性能，上下带塑胶模具堵头；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2.试剂架立柱截面尺寸：42mm*82mm,型材壁厚1.2mm；试剂架立柱双面升降槽，侧面双面镶嵌另色色条；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3.试剂架托架1.0mm高强度镀锌钢板，一次性冲压成型；试剂架护栏：护栏壁厚1.2mm，单面镶嵌另色色条。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4.立杆牢固固定于C型钢架底端，层板采用8mm厚的玻璃，安装后用户可根据试剂大小上下高低无级调节。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规格采用≥6000*600*800mm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3.采用实验室专用高密度PP一体化成型水槽，易清洁，耐腐蚀，且利于台面残水自然回流，美观实用；具耐酸碱、耐有机溶剂、耐紫外线等特点。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鹅颈式实验室专用优质化验水嘴：要求防酸碱、防锈、防虹吸、防阻塞，表面环氧树脂喷涂。出水嘴为铜质瓷芯，高头，便于多用途使用，可拆卸清洗阻塞。出水嘴可拆卸，内有成型螺纹，可方便连接循环等特殊用水水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生物竞赛辅助操作面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2.采用四角倒R15圆角。台面后方卡入学生桌铝型槽内，前方用预埋件与桌体固定。耐酸、耐碱、耐高温，坚固耐用，防潮、无细孔、不膨胀、不龟裂、不变形、不导电、便于维护及具有良好的承重性能。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电气布线（地面以上部分）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DN25阻燃线管；4、2.5平方国标线材，符合国家标准。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结合效果图定制文化窗帘（内容以生物知识为主）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小计</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恒温金属浴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1.LED显示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2.仪器升温速度快、加热均匀、控温准确、稳定性高，低能耗无噪音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2.内置温度偏差校准功能，自动故障检测及蜂鸣器报警功能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4.内置超温保护装置，使用更安全可靠，延长机器使用寿命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5.产品设计紧凑而严密,占用的空间范围小，带来更多的自由和方便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6.多种模块选择，更换，便于清洁与消毒适用各种试管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7.到达设定温度开始时间倒计时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8.控温范围：室温+5℃ ~ 150℃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9.温度设定范围：5℃ ~ 150℃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10.定时范围：1mm~99h59min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11.温度稳定性@40~100℃: ≤±0.5℃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12.温度稳定性@100~150℃: ≤±1℃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13.模块温度均匀性@40: ≤ 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14.模块温度均匀性: ≤ 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15.温度显示精度：0.1度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16.升温速度：≤30min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17.样品处理量：2个标准模块（独立控温）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18.输入电源：AC220V/AC110V,50/60HZ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19.功率：400W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20.熔断器：250V，3A/6A, Φ5*20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21.48孔，配可插1.5ml 离心管的模块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涡旋振荡器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1.控制方式：旋钮调速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2.功率：12W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3.震幅：4.5MM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4.最大样品处理量：50ML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5.转速范围：0-3000RPM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酶标仪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即酶联免疫检测仪是酶联免疫吸附试验的专用仪器又称微孔板检测器。可简单地分为半自动和全自动2大类，但其工作原理基本上都是一致的，其核心都是一个比色计,即用比色法来进行分析。 测定一般要求测试液的最终体积在250μL以下，用一般光电比色计无法完成测试，因此对酶标仪中的光电比色计有特殊要求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酶标仪实际上就是一台变相光电比色计或分光光度计，其基本工作原理与主要结构和光电比色计基本相同. 图示是一种单通道自动进样的酶标仪工作原理图.光源灯发出的光波经过滤光片或单色器变成一束单色光，进入塑料微孔极中的待测标本.该单色光一部分被标本吸收，另一部分则透过标本照射到光电检测器上，光电检测器将这一待测标本不同而强弱不同的光信号转换成相应的电信号.电信号经前置放大，对数放大，模数转换等信号处理后送入微处理器进行数据处理和计算，最后由显示器和打印机显示结果. 微处理机还通过控制电路控制机械驱动机构X方向和Y方向的运动来移动微孔板，从而实现自动进样检测过程.而另一些酶标仪则是采用手工移动微孔板进行检测，因此省去了X,Y方向的机械驱动机构和控制电路，从而使仪器更小巧，结构也更简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随着检测方式的发展，拥有多种检测模式的单体台式酶标仪叫做多功能酶标仪，可检测吸光度(Abs)、荧光强度(FI)、时间分辨荧光(TRF)、荧光偏振(FP)、和化学发光(Lum)。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1.波长范围（nm）：400-800；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2.光源灯：12V/20W石英卤钨灯（寿命≥3000h），且有休眠功能；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3.检测范围（A）：0.000～4.000；检测光道：8通道；</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4.滤光片配置（nm）：标准配置4片：405、450、492、630，在400-800范围内最多可选配10个滤光片；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5.读板速度：5秒/96孔（单波长）；10秒/96孔（双波长）；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6.波长特性：分析仪配置的滤光片中心波长准确度应不超过±2nm；波长半宽度（nm）：7±2；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7.吸光度准确度（A）：±0.005（当吸光度范围在0.000~≤0.500之间）；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8.线性误差：线性相关系数（r）≥0.995（在吸光度值为0～3.000范围内）；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9.仪器的吸光度重复性：CV≤0.5%；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10.仪器的吸光度的稳定性（A）：≤±0.005；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11.吸光度的分辨率（A）：0.001；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12.通道间差异：≤0.02（以空气为参比，测量仪器通道间吸光度差异）；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13.显示屏：240*128高亮液显示屏；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14.操作界面：具有开机自检功能；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15.操作方式：仪器采用薄膜键盘操作方式，同时可输入英文字母及数字；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16.振板功能：仪器具有振板功能；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17.检测方式：仪器具有单波长和双波长、单孔和双孔两种检测方式可供选择；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18.检测功能：具有吸光度检测、定性检测和定量检测功能；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19.检测输出：定性：样本吸光度、S/CO值、临界值及阴阳性判定结果；定量：样本吸光度、样本浓度值、正常参考值及检测判定结果；输出为96孔整板检验结果；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20.计算方式：直线法、点对点法、线性回归、半对数回归、全对数回归、比值半对数回归法、比值回归及指数回归法；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21.质控功能：具有质控功能，可输出质控数据和L-J质控图；</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22.存储功能：程序存储：126个项目程序及定标参数；检验结果存储：可存储105板检测结果；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23.通讯功能：仪器具有RS-232通讯接口；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24.光源信号监测功能：可即时监测8通道光源信号；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25.外形尺寸：420*350*181（mm）；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26.仪器质量：9kg。</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微波炉</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20升，大平板底盘、智能菜单、知名品牌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冰箱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1、除霜模式：智能除霜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2、操控方式：电脑式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3、总容积：258升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4、耗电量(KWh/24h)：0.56</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5、制冷剂：R600a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6、冷冻能力(kg/24h)：4.5kg/12h</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7、制冷方式：风冷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8、能效等级：一级能效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9、冷冻室(升)：91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10、冷藏室(升)：127</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11、制冷类型：压缩机制冷</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电磁炉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1、操控方式：触控式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2、外形外观：方形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3、适用锅具：磁炉专用锅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4、火力档位：8档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5、类型：电磁炉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6、温控方式：接触式精准控温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7、功能：过热保护，恒温匀火</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8、额定功率：2200W</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显微镜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1．放大倍数：7X-45X连续变倍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2．物镜：变倍范围0.7X-4.5X</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3．工作距离：物方有效距离100mm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4．目镜：高眼点大视野广角目镜WF10X/20mm，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5．观察头：三目观察筒，45度倾斜，可360度旋转，瞳距调节范围54mm-76mm，两目镜筒均可调节，视度调节±5屈光度；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6．底座组: 立柱式透射底座；调焦托架齿轮齿条升降，调焦行程50mm，松紧可调；透射光源，采用上下高亮度LED光源，亮度可调，照明方向可任意调节。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 通过ISO9001、ISO13485、ISO14001体系认证。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探究实验包</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直尖剪刀10把；枪型不锈钢镊子10把；金属接种棒1盒；接种丝镍铬丝2包；玻璃三角瓶24个；试管20包；牛皮纸10张；不锈钢防爆酒精灯12个；四种规格吸头：吸头5000uL-1包，吸头1000uL-1包，吸头200uL-1包，吸头10uL-1包；四种规格吸头盒各15个；两面板12个；0.5mL离心管1包；1.5mL离心管1包；封口膜1包；酒精棉球2包，手套200付，一次性培养皿2箱、透析袋2包、染色体模型组件2件、酸式滴定管5个、研钵5个、秒表2个、载玻片5盒、盖玻片5盒、血球计数板20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分子试剂盒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琼脂糖凝胶电泳试剂盒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sz w:val="24"/>
              </w:rPr>
              <w:t>▲</w:t>
            </w:r>
            <w:r>
              <w:rPr>
                <w:rFonts w:hint="eastAsia" w:ascii="仿宋" w:hAnsi="仿宋" w:eastAsia="仿宋" w:cs="仿宋"/>
                <w:color w:val="000000"/>
                <w:kern w:val="0"/>
                <w:sz w:val="24"/>
                <w:lang w:bidi="ar"/>
              </w:rPr>
              <w:t>分子试剂盒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PCR试剂盒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分子试剂盒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DNA的粗提取与鉴定试剂盒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分子试剂盒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质粒DNA提取试剂盒</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分子试剂盒</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SDS-聚丙烯酰胺凝胶电泳分离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课程培训与服务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1.提供高中生物新课程实验培训一次、协助学校开展生物相关课题开设、课程开发以及中小学素拓课程手册20本；</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2.提供《中小学素拓课程手册》精美胶装本，提供样品一本，课程不少于以下五方面内容：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2.1校园“微”世界：酸奶的制作、泡菜的制作、果酒的制作、腐乳的制作、寻找微生物-检测不同环境中的细菌和真菌、微生物的培养-酵母菌、发光细菌、食用菌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2.2“香”约校园：植物芳香油的提取、精油小挂饰的制作、精油手工皂的制作、精油润唇膏的制作、精油护手霜的制作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小小生态圈构建：夏天水果上的小飞虫-果蝇养殖、闪电镰刀手传奇-螳螂养殖、破茧成蝶-蝴蝶的养殖、励志哥成长记-蜗牛的养殖、虫生如戏，全靠演技-昆虫拟态、捕猎者-华西雨蛙的养殖、地下迷宫-蚁族的世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2.4细胞揭秘：观察草履虫对外界刺激的反应、制作切片并寻找动植物细胞、观察人的口腔上皮细胞、观察绿叶细胞中的叶绿体</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小小生态园：“鱼”水“生”菜、幻彩水晶花瓶的制作、生命的力量-小小种子的萌发、无土栽培技术-水培、雾培、基质培、“离”不开、“酸”不住-各项参数测定、花儿为什么这样红-植物色素的提取与测定、探究光周期与光谱变化对植物生长的影响、水质的简易测定和不同水质对水生小动物的影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3.每个课程至少包含：课程简介、教学材料及用具、实验步骤、课时安排、实验思考、课程成果欣赏等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4.高清图片形式的本节课程成果展示，课程手册必须为胶装的手册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1、实验课程培训与服务厂家提供20个自2019年来承接过高中类学校生物学科选修一实验专业培训的证明文件，培训文件中需体现实验内容、学校名称、学校公章、联系人、联系方式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2、实验课程培训与服务厂家提供2个自2019年来教育部门出具的高中生物学科国家级赛事仪器设备及现场技术支持证明文件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499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木饰面展示墙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九厘板E0封后背板打底（含油漆）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成品木饰面装饰及安装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306物理探究教室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电气布线（地面以上部分）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DN25阻燃线管；4、2.5平方国标线材，符合国家标准。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规格采用≥2400*700*900mm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3.包含教室演示电源。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学生物理实验操作面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规格采用≥2400*1200*780mm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3.包含学生安全电源。</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4.包含学生操作位。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509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结合效果图定制文化窗帘（内容以物理知识为主）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1、教师端传感器和配套实验器材</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数据采集器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2、与计算机USB接口通讯，无须外接电源；全数字通道，每个数据通道最大采样速率可达20KHz，带有静电防护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3、连接插口采用BT接口，具有方向性和自锁功能，可以防止传感器脱落保证数据传输稳定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4、可根据实验教学需要，选择接插有线接口或无线接收实现与传感器通讯；支持有线/无线状态下的四通道并行采集，支持热插拔连接。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无线接口</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模块化结构，采用无线方式接入四种相同或不同的传感器并支持四通道并行采集，全数字通道，与数据采集器接插使用。在此种工作状态下，传感器应转化为与采集器的无线通信状态。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传感器无线发射模块-电脑版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2、通过与各种传感器组合使之具备与采集器及安卓、iO终端的无线通讯功能。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3、连接接口具有防止传感器脱落，保证数据传输稳定的连接设计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4、支持热插拔连接，可充电锂电池供电。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传感器无线发射模块-移动版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2、通过与各种传感器组合使之具备与安卓、iOS终端的无线通讯功能。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3、通过背部二维码可快速与移动终端建立通讯连接。BT自锁接头，支持热插拔连接，可充电电池供电。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传感器数据显示模块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通过与各种传感器组合使用，具备独立数据显示功能。1.77吋彩屏，带BT自锁接头，支持热插拔连接，接入后自动识别传感器。该模块具备自动保存实验数据，并且可与计算机有线连接（兼充电）或通过手持设备(平板、手机等)扫描二维码进行无线连接，导出实验数据的功能。可充锂电池供电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传感器转接模块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两端分别是BT接头与BT接口转换器，用于特种传感器与无线发射模块或数据显示模块的转接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专用充电器及备件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充电器Ⅰ规格：输入AC 220V/50~60Hz；输出2×3.6V/250mA。配备用可充电锂电池2节，规格7#、3.6V/600 mAh，用于给分体式位移传感器供电电源充电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充电器Ⅱ规格：输入AC 110~240V/50~60Hz；输出5.0V/500mA。直接连接传感器无线发射模块或显示模块进行充电</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力传感器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-20N~+20N；分度：0.01N；可用于测拉力（显示正值）和压力（显示负值），手柄式结构，连接插口采用BT接口，具有方向性和自锁功能，可以防止传感器脱落保证数据传输稳定，支持与采集器的有线通讯、无线通讯和彩屏独立数据显示三种工作方式，支持热插拔，自带硬件调零按钮，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加速度传感器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-50m/s2~+50m/s2，测量X、Y、Z三个正交方向的加速度值，连接插口采用BT接口，具有方向性和自锁功能，可以防止传感器脱落保证数据传输稳定，可与无线传输模块自由组合，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520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微力传感器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N~+2N；分度：0.001N；可用于测拉力（显示正值）和压力（显示负值），手柄式结构，连接插口采用BT接口，具有方向性和自锁功能，可以防止传感器脱落保证数据传输稳定，支持与采集器的有线通讯、无线通讯和彩屏独立数据显示三种工作方式，支持热插拔，自带硬件调零按钮，可在windows系统、安卓和iOS系统下进行实验演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提供省部级产品质量检测中心出具的检测报告</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多量程电流传感器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测量范围：-2A~+2A；分度：0.01；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测量范围：-200mA~+200mA；分度：1mA；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测量范围：-20mA ~+20mA；分度：0.1 mA；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按钮切换量程。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多量程电压传感器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测量范围：-20V~+20V；分度：0.01V；</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测量范围：-2V~+2V；分度：0.001V；</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测量范围：-0.2V~+0.2V；分度：0.1mV；</w:t>
            </w:r>
            <w:r>
              <w:rPr>
                <w:rStyle w:val="829"/>
                <w:rFonts w:ascii="仿宋" w:hAnsi="仿宋" w:eastAsia="仿宋" w:cs="仿宋"/>
                <w:sz w:val="24"/>
                <w:szCs w:val="24"/>
                <w:lang w:bidi="ar"/>
              </w:rPr>
              <w:br w:type="textWrapping"/>
            </w:r>
            <w:r>
              <w:rPr>
                <w:rStyle w:val="829"/>
                <w:rFonts w:ascii="仿宋" w:hAnsi="仿宋" w:eastAsia="仿宋" w:cs="仿宋"/>
                <w:sz w:val="24"/>
                <w:szCs w:val="24"/>
                <w:lang w:bidi="ar"/>
              </w:rPr>
              <w:t>通过按钮切换量程。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微电流传感器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-1μA~+1μA；分度：0.01μA，连接插口采用BT接口，具有方向性和自锁功能，可以防止传感器脱落保证数据传输稳定，支持与采集器的有线通讯、无线通讯和彩屏独立数据显示三种工作方式，支持热插拔，自带硬件调零按钮，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交流电压传感器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lang w:bidi="ar"/>
              </w:rPr>
              <w:t>量程：0～36V；分度：0.1V。用于测量交流电压的有效值，支持与采集器的有线通讯、无线通讯和独立数据显示三种工作方式。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注意：本传感器所测电压需在安全电压（36V）范围内，严禁测量220V交流电压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交流电流传感器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lang w:bidi="ar"/>
              </w:rPr>
              <w:t>量程：0～2A；分度：0.01A。用于测量交流电流的有效值，支持与采集器的有线通讯、无线通讯和独立数据显示三种工作方式。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注意：本传感器所测电压需在安全电压（36V）范围内，严禁测量220V交流电流</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2、学生端传感器和配套实验器材</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数据采集器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仿宋" w:hAnsi="仿宋" w:eastAsia="仿宋" w:cs="仿宋"/>
                <w:color w:val="000000"/>
                <w:sz w:val="24"/>
              </w:rPr>
            </w:pPr>
            <w:r>
              <w:rPr>
                <w:rFonts w:hint="eastAsia" w:ascii="仿宋" w:hAnsi="仿宋" w:eastAsia="仿宋" w:cs="仿宋"/>
                <w:color w:val="000000"/>
                <w:kern w:val="0"/>
                <w:sz w:val="24"/>
                <w:lang w:bidi="ar"/>
              </w:rPr>
              <w:t>1、模块化结构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2、与计算机USB接口通讯，无须外接电源；全数字通道，每个数据通道最大采样速率可达20KHz，带有静电防护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3、连接插口采用BT接口，具有方向性和自锁功能，可以防止传感器脱落保证数据传输稳定</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4、可根据实验教学需要，选择接插有线接口或无线接收实现与传感器通讯；支持有线/无线状态下的四通道并行采集，支持热插拔连接。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力传感器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-20N~+20N；分度：0.01N；可用于测拉力（显示正值）和压力（显示负值），手柄式结构，连接插口采用BT接口，具有方向性和自锁功能，可以防止传感器脱落保证数据传输稳定，支持与采集器的有线通讯、无线通讯和彩屏独立数据显示三种工作方式，支持热插拔，自带硬件调零按钮，可在windows系统、安卓和iOS系统下分别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旋转运动传感器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转/秒，分度0.2°，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温度传感器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-50℃~+200℃；分度：0.1℃；不锈钢探针，可测各种物体或溶液的温度，连接插口采用BT接口，具有方向性和自锁功能，可以防止传感器脱落保证数据传输稳定，支持与采集器的有线通讯、无线通讯和彩屏独立数据显示三种工作方式，支持热插拔，可在windows系统、安卓和iOS系统下进行实验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压强传感器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测量范围：0 kPa ~700 kPa；分度：0.1 kPa；可用于直接测量气体的绝对压强；连接插口采用BT接口，具有方向性和自锁功能，可以防止传感器脱落保证数据传输稳定，支持热插拔，支持与采集器的有线通讯、无线通讯和彩屏独立数据显示三种工作方式，可在windows系统、安卓和iOS系统下分别进行实验演示，配件：20ml注射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声波/声级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能测量声音的波形，研究声音的频率、周期、振幅等特征；频率测量范围：20Hz~20kHz，声级测量范围：20 dB ~120dB，分度：0.1dB支持与采集器的有线通讯、无线通讯工作方式；传感器采用BT插口，具有方向性和自锁功能，可以防止传感器脱落保证数据传输稳定，支持热插拔。声波传感器需满足以下要求：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（1）同时无线接入4只声波传感器，可观察到4路声音波形，同步采集无延迟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（2）测量并区分不同音色、频率、响度的波形，能够对声波进行频谱分析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（3）能在Windows平台和安卓/iOS手机上分别进行声波采集演示</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多用力学轨道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含1.2m黑色强化铝合金轨道1条、轨道小车2辆、弹簧2条、固定柱2只、50克配重片4片、5克配重块4只、沙桶1只、挡光片五片（20×2、40、60、80）、摩擦块1块、磁碰片2片、弹性碰圈2只、滑轮1套、磁碰座架1套、小车收纳器1套、轨道倾角调节器1套、T型支撑架1只、L型挂架2只、铝合金I型支架4只、塑料I型支架2只、策动源1套、紧固件一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电学实验板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可完成三十多个电学实验包含半波整流与滤波，全波整流与滤波，复杂电路分析， RC、RL 移相，伏安法测电池的电动势和内阻，补偿法测量电池电动势，分压与限流电路，伏安法测电阻、测电阻丝电阻率，二极管特性曲线，三极管特性曲线，三极管放大电路，恒压源、恒流源、双稳态电路、多谐振荡、电容充放电及串并联、振荡电路、自感现象、描绘小灯泡的伏安特性曲线、与门电路、或门电路、非门电路、电感等实验板，可完成几十例中学电学实验</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铁架台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标准铁架台，铁杆直径不小于1cm，杆长50cm，带试管夹</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多向转接头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双向交叉，孔内径适应于标准铁架台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附件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有线模式配套：含USB通讯线1条、传感器线4条、转接器4只、技术资料等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铝合金箱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传感器铝合金实验箱</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539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铲除涂料面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墙面铺贴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墙面瓷砖铺贴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墙面木纹防火版饰 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m2</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408电控教室一</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电气布线（地面以上部分）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DN25阻燃线管；4、2.5平方国标线材，符合国家标准。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教师实验操作体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规格采用≥2400*700*900mm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3.包含教室演示电源。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学生实验操作面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规格采用≥1200*600*780mm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1.新型塑铝结构。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2.采用四角倒R15圆角。台面后方卡入学生桌铝型槽内，前方用预埋件与桌体固定。耐酸、耐碱、耐高温，坚固耐用，防潮、无细孔、不膨胀、不龟裂、不变形、不导电、便于维护及具有良好的承重性能。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3.整体采用实验室专用PP材质，四脚圆弧处理，地脚线缩进30mm，前后二块拼接而成，可拆装，内部隐藏实验线管及通风管道，方便检修。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4.包含学生安全电源。</w:t>
            </w:r>
            <w:r>
              <w:rPr>
                <w:rFonts w:hint="eastAsia" w:ascii="仿宋" w:hAnsi="仿宋" w:eastAsia="仿宋" w:cs="仿宋"/>
                <w:color w:val="000000"/>
                <w:kern w:val="0"/>
                <w:sz w:val="24"/>
                <w:lang w:bidi="ar"/>
              </w:rPr>
              <w:br w:type="textWrapping"/>
            </w:r>
            <w:r>
              <w:rPr>
                <w:rFonts w:hint="eastAsia" w:ascii="仿宋" w:hAnsi="仿宋" w:eastAsia="仿宋" w:cs="仿宋"/>
                <w:color w:val="FF0000"/>
                <w:kern w:val="0"/>
                <w:sz w:val="24"/>
                <w:lang w:bidi="ar"/>
              </w:rPr>
              <w:t>5.包含学生操作位。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学生电控辅助操作面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规格采用≥2800*600*800mm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1.全钢结构：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2.采用倒圆角处理,防强酸强碱，耐磨耐高温；不含任何有毒物质，无辐射，受热不产生有毒气体和物质。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549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紧急药箱</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内含药品：碘伏，一次性口罩，酒精药棉，医用酒精，医用棉签，医用棉球，无菌纱布，胶布，创可贴，烫伤药膏；均为保质期内。</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结合效果图定制文化窗帘（内容以通用技术知识为主）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低操作台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 台面厚：50mm，基材：基材采用E0级实木多层板，甲醛释放量小于甲醛释放量≤9mg/100g，表面“夏特”纸贴面。具有耐高温、耐高压、硬度高，耐磨、耐热性等性高性能，表面平滑光洁，容易维护清洗。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2、封边：台面四边采用加厚PVC封边条，豪迈激光封机；封边、修边、倒圆、跟踪、抛光一次成型。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3、优质五金，铰链：符合QB/T 2189-2013《家具五金 杯状暗铰链》标准；其中垂直静载荷要求合格；水平静载荷要求合格；耐久性符合要求；下沉量符合要求；耐腐蚀符合要求；连接件：符合GB/T 28203-2011《家具用连接件技术要求及实验方法》标准；其中物理性能金属镀层抗盐雾18h，1.5mm以下锈点≤20点/dm²，其中直径≥1.0mm锈点不超过5点（距离边缘棱角1.5mm以内的不计）合格；力学性能L型连接件抗弯强度应≥350MP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作品展示墙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 台面厚：50mm，基材：基材采用E0级实木多层板，甲醛释放量小于甲醛释放量≤9mg/100g，表面“夏特”纸贴面。具有耐高温、耐高压、硬度高，耐磨、耐热性等性高性能，表面平滑光洁，容易维护清洗。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2、封边：台面四边采用加厚PVC封边条，豪迈激光封机；封边、修边、倒圆、跟踪、抛光一次成型。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3、优质五金，铰链：符合QB/T 2189-2013《家具五金 杯状暗铰链》标准；其中垂直静载荷要求合格；水平静载荷要求合格；耐久性符合要求；下沉量符合要求；耐腐蚀符合要求；连接件：符合GB/T 28203-2011《家具用连接件技术要求及实验方法》标准；其中物理性能金属镀层抗盐雾18h，1.5mm以下锈点≤20点/dm²，其中直径≥1.0mm锈点不超过5点（距离边缘棱角1.5mm以内的不计）合格；力学性能L型连接件抗弯强度应≥350MPa；</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教学数字示波器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UNI－T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直流稳压电源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UNI－T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焊接工具套装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产品材质：塑料硅胶不锈钢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额定功率：60W</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29</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电烙铁</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电烙铁套装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吸尘器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1.吸尘器类型：手持式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2.功率：250W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3.续航时间：30MIN</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小推车</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双层单扶手</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铁架台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标准铁架台 杆高50厘米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焊锡丝</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环保无铅焊锡丝</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高温海绵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优质耐高温海绵电烙铁头清洁海绵垫加厚</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木饰面展示墙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九厘板E0封后背板打底（含油漆）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成品木饰面装饰及安装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天棚抹灰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吊顶天棚</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玻璃隔断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定制钢化玻璃隔断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侧墙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侧墙定制墙纸铺贴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立面块料拆除</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铲除涂料面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隔断隔墙拆除</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隔断墙拆除清运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102木工教室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智能安全台锯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标配安全智能刹车装置，信号接收后快速反应刹车在3-5毫秒（两百分之一秒）内停止锯片，防止手指切伤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外观尺寸：主机尺寸：1117mm（长）×755mm（宽）× 863mm（高）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整机尺寸：2165mm（长）× 838mm（宽） ×863mm（高）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电机功率：3 hp,单相, 220 V, 13 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铸铁工作台尺寸：508mm（长）× 685mm（宽）, 1117mm（长）× 685mm（宽）(含一对副台板）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铸铁副台板尺寸：304mm（长）×685mm（宽）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延伸台板：1019mm（长） ×685mm(宽）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净重：204Kg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锯片：原装镀钛合金锯片40齿或原装镀钛合金锯片80齿、中心孔直径15.875mm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锯片直径：254mm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锯片倾斜方向：左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锯缝宽度：3mm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锯片厚度：2mm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90度最大切深：79mm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45度最大切深：57mm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锯片右侧最大纵切宽度：1320mm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锯片左侧最大纵切宽度：304mm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吸尘口直径：100mm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劈刀板/分料器厚度：2mm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保护板：零间隙保护板、不锈钢主材、ABS表面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手轮：177.8mm直径，铸铁镀铬处理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标准锯片刹车装置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在千分之一秒内停止正在旋转的锯片，从而防止操作者受到严重的伤害在使用过程中可以简单的安装和更换。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当安全系统刹车生效后，必须更换刹车组件。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悬臂式集尘装置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可以在SawStop全系列台锯上配合锯片集尘护罩使用。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可以使用Y型双集尘口组件，配合台锯下方集尘口同步集尘。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适合SawStop不同导轨和台面长度从而达到最大利用率。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可以与多种工业级集尘单元配套使用。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请注意出尘口，锯片集尘护罩和零间隙保护板的合理放置。</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582</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 豪华带锯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喉深368mm和切高355mm，提供更大锯切空间；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锯条张紧电子锁可以阻止未启动未张紧的锯条；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优化设计的高级锯卡，免工具调节，提供稳定的高精度的锯切；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四方位锯条护照提供更安全的保护；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标准配置：靠山、开片滚轴、基座、推把预设角度，45°, 90°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电机：2.2 kw /220V/50Hz/单相/TEFC全封闭电机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转速：1440rpm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最大切高：355mm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喉深：368mm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最小锯条宽度：3.2mm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最大锯条宽度：25.4mm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锯条长度：3886mm +/- 12.7mm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预装锯条：勾型齿锯条，3/8”x0.065”x6TPI</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靠山 (长 x 高)：502 x 165mm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开片滚轴 (直径x 高)：50.8 x 165mm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台面尺寸(长 x 宽 x 厚)：546 x 406 x 50.8mm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台面倾角(°)：右倾 45° ，左倾10°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台面高度（90°）：1016mm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推把预设角度(°)：45°，90°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飞轮直径：381mm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电机传动方式：V型皮带驱动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集尘口直径：100mm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最小静压力需求：600 CFM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净重：179Kg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总尺寸 (长 x 宽 x 高)：768 x 873 x 2038mm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8寸平刨（螺旋刀）</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54颗刀头的螺旋刨刀相比普通平刀提供更光滑更安静和更细致的刨削表面；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靠山使用手轮精确调节角度+/-45度区间；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可快速调节的3.175mm最大刨削深度；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无划痕靠山设计可以避免与台面摩擦造成划痕，保护台面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刨刀尺寸（长x宽x厚）：15x15x2.54mm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刀头直径：78mm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刨刀转速：7000转每分钟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刨削容积：203x12.7mm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台面尺寸（长x宽）：2082x203mm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台面高度：800mm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喂料台面长度：1118mm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出料台面长度：965.2mm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靠山尺寸（长x高）：1137x970mm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靠山倾角：45度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靠山快速调节：-45，45，90度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集尘最小CFM需求：450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集尘口直径：101.6mm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电机功率：1.5Kw/单相/220v/50Hz</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584</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15“压刨（螺旋刀）</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安装有74颗四面刀头的螺旋刨刀提供更光滑、更安静、更细致的刨削；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锯齿形的进料压料滚轴和光滑的出料压料滚轴可以允许最大3.14mm刨削深度和粗糙表面的刨削；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两速变速箱装备自动链条张紧机构；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刨刀转速：4500RPM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刨刀直径：2-7/8英寸73mm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刀头数量：74颗，每颗四面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最大刨削深度：1/4英寸 6.35mm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最大宽度下的最大刨削深度：1/8英寸3.12mm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最大刨削宽度：14-7/8英寸 378mm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最大刨削厚度：6英寸 152.4mm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最小刨削长度：8英寸 203.2mm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喂料滚轴直径：2.07英寸52.6mm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分段喂料滚轴直径：2.07英寸 52.6mm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出料滚轴直径：2.07英寸 52.6mm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安装延伸台板的台面尺寸（长x宽）：15x48英寸 381x1219mm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支柱直径：2-3/16英寸 55.6mm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集尘最低CFM要求：800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集尘口直径：4英寸 101.6mm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电机功率：2.2kw/单相/230V/50Hz</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Alpha系列木工铣床</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重载主轴驱动系统，2.2KW强劲TEFC全封闭电机、高强度精密燕尾升降机构、优质铸铁磨削台面、重型可调靠山和全套刀具防护系统，经过严格的欧洲和北美安全认证，确保整机可靠、精密、安全和极高的使用舒适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电机：2.2KW/230V/50Hz/1PH/13A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台板尺寸：780mmx725mm（含副台板）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工作台高度：860mm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导杆尺寸：35mm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主轴转速：1400/3000/7000/9000RPM（50Hz）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刀具最大夹持高度：140mm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导杆行程：100mm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除尘口直径：100mm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T型槽尺寸：19.05x9.525mm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夹头尺寸：1/2"&amp;1/4"</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铣刀套装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台钻</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电机：DVR高扭矩电机，电子变速，1.75HP直接驱动，单相电源输入，110-120V, 15A, 1.75HP;220-240V, 10-15A, 2HP（需要转换插座），F级绝缘结构，工业规范，长效寿命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没有皮带与皮带轮，从而没有皮带损耗更换皮带等带来的烦恼并具有超级静音效果。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LCD显示屏图像菜单选项，可以选择相应的钻头种类、尺寸及操作的材料，从而由内置计算机芯片自动调节台钻的转速。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机身摆径：18"</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主轴行程：6"</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主轴转速的数量：可变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转速范围：默认值50~3000rpm（选项设置可增加至5500r）</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主轴锥度：MT-2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主轴到台板的距离：(最大) 23 1/2” (724mm)(最小) 6 1/8” (155mm)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台板尺寸：419mm x 419mm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台面倾斜角度：-45°~+45°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台面旋转角度：360°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夹头尺寸：5/8” (3-16mm)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台柱直径：3.62” (92mm)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机座尺寸：565mm x 445mm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整机高度：1794 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标准配件：-DVR电机&amp;控制器 -台钻卡说明书&amp;紧固件 -台板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重　量 306lbs/136kgs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集尘器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供电： 220V/单相/50Hz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电机式样：全封闭感应电机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电机：2.2kW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变频器：Siemens V20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产品外形尺寸：1585x855x1002mm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产品包装尺寸：1800x1000x1200mm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净重/毛重：275/310 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进尘口口径：150mm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最大流量：2200m3/h</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最大静压力：5200Pa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名义流量下的静压力（进风口风速 22m/s）：2500Pa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（进风口径125mm）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风机转速：2400-4500rpm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风机叶轮直径：320mm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过滤等级：H13(HEPA)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过滤效率：99.97% @ 0.3μm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粉尘排放浓度：0.05mg/m³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过滤网面积：8m2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噪音 ：61-72dBA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集尘箱最大容积：100L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滤网清理：脉冲清理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智能尘满监测：是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智能堵塞监测：是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延时停机：是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流量巡航：是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无线遥控：是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智能联动：选配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582</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联动集尘管道系统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包含风阀，电磁阀、风门、弯头，靴状三通，变径，不锈钢卡箍，金属网格桥架线槽 ，吸尘管及主网支网硬管道等配件。（包含人员现场施工安装）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技术要求：可遥控集尘器的启动关闭，可联动控制电磁阀风门开闭。</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紧凑型车间用吸尘器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1.吸尘器类型：手持式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2.功率：250W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3.续航时间：30MIN</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中央岛台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定制中央岛台材质：实木多层板</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张</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木工长刨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木工台钻</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电钻类型: 台钻电压: 220V调速: 定挡变速夹头类型: 通用夹头最大夹持能力: 13mm，操作方式: 台式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单刃刀锯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通用单刃刀锯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木工锉刀</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平头扁锉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钢丝锯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通用型拉丝锯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锯条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配套拉丝锯条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手摇钻</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1/4英寸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麻花钻</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配套个型号麻花钻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fldChar w:fldCharType="begin"/>
            </w:r>
            <w:r>
              <w:instrText xml:space="preserve"> HYPERLINK "http://www.psdk-tech.com/index.php?m=home&amp;c=View&amp;a=index&amp;aid=130" </w:instrText>
            </w:r>
            <w:r>
              <w:fldChar w:fldCharType="separate"/>
            </w:r>
            <w:r>
              <w:rPr>
                <w:rStyle w:val="80"/>
                <w:rFonts w:hint="eastAsia" w:ascii="仿宋" w:hAnsi="仿宋" w:eastAsia="仿宋" w:cs="仿宋"/>
                <w:color w:val="000000" w:themeColor="text1"/>
                <w:sz w:val="24"/>
                <w14:textFill>
                  <w14:solidFill>
                    <w14:schemeClr w14:val="tx1"/>
                  </w14:solidFill>
                </w14:textFill>
              </w:rPr>
              <w:t>台式钻床 TBH</w:t>
            </w:r>
            <w:r>
              <w:rPr>
                <w:rStyle w:val="80"/>
                <w:rFonts w:hint="eastAsia" w:ascii="仿宋" w:hAnsi="仿宋" w:eastAsia="仿宋" w:cs="仿宋"/>
                <w:color w:val="000000" w:themeColor="text1"/>
                <w:sz w:val="24"/>
                <w14:textFill>
                  <w14:solidFill>
                    <w14:schemeClr w14:val="tx1"/>
                  </w14:solidFill>
                </w14:textFill>
              </w:rPr>
              <w:fldChar w:fldCharType="end"/>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1.额定电压：230V；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2.额定功率：300W；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3.主轴转速：三段变速：1080/2400/4500rpm；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4.进给行程：63mm；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5.喉深：140mm；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6.台面尺寸：200x200mm；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7.可调节钻孔深度：70mm；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8.钻铁深度：10mm；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9立柱尺寸：直径45x500mm；最大柄径：10mm；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10.重量：约10kg；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11.体积：约240*200*500mm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12.*提供中文说明书并盖所属单位的公章；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13.*投标时需提供符合GB/T 17421.1-1998机床检验通则第一部分：在无负荷或精加工条件下机床的几何精度的市级及以上权威机构出具的《检测报告》，并盖报告所属单位的公章。</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护目镜</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聚碳酸酯镜片</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平口钳</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钢段6寸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手钳</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美式木工F夹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规格：18寸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1.自锁卡扣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2.尾部防脱凸点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3.加厚加深 双面卡尺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4.加粗丝杆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平切锯1150整锯</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结合效果图定制文化窗帘（内容以通用技术知识为主）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589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天棚抹灰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吊顶天棚</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立面块料拆除</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铲除涂料面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隔断隔墙拆除</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隔断墙拆除清运</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砌块墙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599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玻璃隔断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定制钢化玻璃隔断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安装玻璃门及配套门锁安装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地理教室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地形地貌展示组</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定制，按地形地貌模型定制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试验箱放置组</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定制，按试验箱定制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定制地貌台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定制，按余杭、良渚地貌沙盘定制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结合效果图定制文化窗帘（内容以地理知识为主）</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墙面名师名画、名人名言、墙面制度表等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移动屏风</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定制移动屏风</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609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八大行星展示装置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八大行星展示系统、立体语音地图墙面处理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AR地理沙盘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功能描述：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AR地理沙盘教学互动演示系统是采用即时地形捕捉系统、影像识别、深度检测等交互技术，结合增强现实、人工智能等新兴技术，在投影沙盘内进行高保真图像数据的优化降噪处理，实时提供高质量的三维数据，再通过GPU运算处理程序，对操作对象的不同顶点进行实时渲染，并在不同的深度图层中进行渐变过渡。可以实现投影的成像随着沙堆高度的增加而逐渐呈现大陆架、海岸、陆地、湖泊、河流、山丘、雪山等地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教学互动演示系统和相关科学知识点教学内容完全切合，学生在快乐有趣的互动体验中，不但学习等高线、分水岭、集水区等知识点内容，而且在互动过程中也学习到我们赖以生存的地球结构形态与外部山川河流分布及生态环境变化等地球科学知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该版本配备全新一代的触控屏模式，内置模块化系统，将地理学科深度剖析，将知识点模块化分离呈现。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火箭模型</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活动星空盘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炫漾 旋转星图 星座图星空图星盘天文星空观测活动星图盘精印版加大加厚zf</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显微镜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当当狸智能显微镜专业版学生实验科研水产养殖细胞医学观测高清高倍光学生物显微镜电子 显微镜（专业版）</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岩石标本</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符合高中标本要求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矿物标本</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符合高中标本要求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土壤实物标本</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符合高中标本要求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地球仪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22cm*25cm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天球仪</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透明  32cm*45cm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619</w:t>
            </w:r>
          </w:p>
        </w:tc>
        <w:tc>
          <w:tcPr>
            <w:tcW w:w="11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野外实习工具</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风速仪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希玛风速风温测量仪AS816F</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620</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土壤酸碱仪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希玛土壤酸碱度测试仪家用园艺花卉果园种植土壤检测仪PH328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621</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钢卷尺10mx25mm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622</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地质锤平嘴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623</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地质罗盘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雷佰 多功能地质罗盘M2 黑色</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624</w:t>
            </w:r>
          </w:p>
        </w:tc>
        <w:tc>
          <w:tcPr>
            <w:tcW w:w="11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rPr>
            </w:pP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地质包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教学智能安全音响</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 xml:space="preserve">扬声器指向性：360度等声压均匀全指向覆盖；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2.室内声场不均匀度：室内各学生座位测量点的稳态声压级最大值与最小值差值范围为4dB之内；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3.扩声系统语言传输指数STIPA：调制传递函数MTF测量值为0.6-0.7；                                   </w:t>
            </w:r>
          </w:p>
          <w:p>
            <w:pPr>
              <w:widowControl/>
              <w:numPr>
                <w:ilvl w:val="0"/>
                <w:numId w:val="5"/>
              </w:numPr>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 xml:space="preserve">相邻教室声波干涉：相邻教室在1m等高线以上的空间，其NR≤50dB；                          </w:t>
            </w:r>
          </w:p>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5.支持5.0无线蓝牙输入，电脑 手机等设备的音源均可接入。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6.支持微信小程序调节设备总音量，调节每个喇叭单元音量，调节话筒音量，切换音源输入。</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7.支持外部有线音频接入，台式电脑、教学一体机的音频均可接入。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626</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流水地貌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包括：上游的“V”形谷地及树枝状水系，出山口的冲积扇，中游的泛滥平原、牛轭湖、三角洲。</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黄土地貌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包括：冲沟、河谷、黄土梁、黄土塬人工改造的梯地（在茆上有同心园梯地）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冰川地貌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包括：U形谷、冰碛、冰碛湖、冰斗、角峰、刃脊。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规格：60*39.5cm，采用高分子材料精制而成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海岸侵蚀地貌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包括：海蚀崖、海蚀洞、海蚀柱、海蚀拱、海蚀平台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丹霞地貌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包括：红色的几乎呈水平状的砂砾岩层、垂直节理发育形成巨大陡崖、巷谷。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规格：60*39.5cm，采用高分子材料精制而成。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612</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重力地貌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包括：滑坡、崩塌、泥石流及它们对地表建筑物的破坏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规格：60*39.5cm，采用高分子材料精制而成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喀斯特地貌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包括：石林、落水洞、峰林、地面河、地下河、溶洞、石钟乳、石笋。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规格：60*40cm，采用高分子材料精制而成。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614</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科罗拉多大峡谷模型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表现：在水平地层上，在剖面图上绘制元古宙到新生代完整的地质年代。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火山熔岩地貌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包括：典型火山的剖面（火山口、火山通道、岩浆）的两大熔岩流，熔岩丘、堰寒湖</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616</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断层褶皱地貌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包括：断层带陡崖、地垒、地堑、背斜山、向斜谷逆向地貌的向斜成山，背斜成谷。断块山、单斜山</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风成地貌</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包括：风蚀：风蚀城堡，风蚀蘑菇，风蚀洞穴，风蚀洼地，风蚀桂,风积：新月形沙丘，戈壁。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地下水模型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包括：承压水层、潜水层、自流井、潜水井、承压水井。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规格：58*38cm，采用高分子材料精制而成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619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五种地形模型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表现：按合理的水平、垂直比例尺反映高原、山地、平原、丘陵和盆地。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地震模型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表现：震源、震中、震源深度、震中距不同对地表建筑物的破坏程度不同，遭破坏的房屋等。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煤矿、油田</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表现：煤矿地质构造、煤层分布、坑道、露田煤矿作业；石油矿的含油层、天然气层分布、地面输煤线、储油罐、煤矿堆场等。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622</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地上河模型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反映：郑州以东，荷泽以西段，黄河地上河最主要的特征。平原及地上河、开封铁塔、船只、荷泽附近的南水北调穿黄河工程。</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规格：60*40cm，采用高分子材料精制而成。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等高线模型</w:t>
            </w:r>
          </w:p>
        </w:tc>
        <w:tc>
          <w:tcPr>
            <w:tcW w:w="6921" w:type="dxa"/>
            <w:tcBorders>
              <w:top w:val="single" w:color="000000" w:sz="4" w:space="0"/>
              <w:left w:val="single" w:color="000000" w:sz="4" w:space="0"/>
              <w:bottom w:val="single" w:color="000000" w:sz="4" w:space="0"/>
              <w:right w:val="single" w:color="000000" w:sz="4" w:space="0"/>
            </w:tcBorders>
            <w:shd w:val="clear" w:color="000000"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包括：山峰、鞍部、陡坡、缓坡、峡谷、陡崖。</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规格：59.5*39.5cm，采用高分子材料精制而成。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仿真微缩内容完整充实、紧扣教材</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624</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模拟季风成因、演示大气热力环流─气态法实验箱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 教学功能：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模拟季风成因实验：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通过模拟季风的实验，学生可以了解季风的形成原因是由海洋和大陆的比热不同引起。夏季风是从南方海洋吹向大陆，我国多为偏南风，冬季风是从大陆吹向海洋，我国多为偏北风。</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演示大气热力环流-气态法实验：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大气热力环流实验，可以了解到同一地平面的冷热不均而引起大气环流；在受热地区，空气膨胀上升，近地面空气密度减小，形成低气压；上层空气积聚，密度增大,形成高气压；在寒冷地区，空气收缩下沉，在近地面形成高气压，上空形成低气压；水平方向，空气从气压高的地方流向气压低的地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二、硬件组成：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酒精灯加热装置：1套（酒精灯，三脚架，石棉网各1个），2、拼接式长方体容器：1个，3、火柴：1盒，4、平盘：1个，5、沉香：若干，6、LED灯条：1个，7、燃香盘：1个，8、冰格模具：1个，9、软布：1块，10、实验说明书（模拟季风成因）：5份，11、实验说明书（演示大气热力环流）：5份，12、绿色帆布包装箱 1个，规格尺寸：≥80*50*28cm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三、附加要求：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学校需要有冰箱来自制冰块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模拟气旋、探究锋面实验箱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82"/>
                <w:sz w:val="24"/>
                <w:szCs w:val="24"/>
                <w:lang w:bidi="ar"/>
              </w:rPr>
              <w:t>模拟气旋实验：</w:t>
            </w:r>
            <w:r>
              <w:rPr>
                <w:rStyle w:val="882"/>
                <w:sz w:val="24"/>
                <w:szCs w:val="24"/>
                <w:lang w:bidi="ar"/>
              </w:rPr>
              <w:br w:type="textWrapping"/>
            </w:r>
            <w:r>
              <w:rPr>
                <w:rStyle w:val="882"/>
                <w:sz w:val="24"/>
                <w:szCs w:val="24"/>
                <w:lang w:bidi="ar"/>
              </w:rPr>
              <w:t>一、</w:t>
            </w:r>
            <w:r>
              <w:rPr>
                <w:rFonts w:hint="eastAsia" w:ascii="仿宋" w:hAnsi="仿宋" w:eastAsia="仿宋" w:cs="仿宋"/>
                <w:color w:val="000000"/>
                <w:kern w:val="0"/>
                <w:sz w:val="24"/>
                <w:lang w:bidi="ar"/>
              </w:rPr>
              <w:t xml:space="preserve"> </w:t>
            </w:r>
            <w:r>
              <w:rPr>
                <w:rStyle w:val="882"/>
                <w:sz w:val="24"/>
                <w:szCs w:val="24"/>
                <w:lang w:bidi="ar"/>
              </w:rPr>
              <w:t>教学功能：</w:t>
            </w:r>
            <w:r>
              <w:rPr>
                <w:rStyle w:val="882"/>
                <w:sz w:val="24"/>
                <w:szCs w:val="24"/>
                <w:lang w:bidi="ar"/>
              </w:rPr>
              <w:br w:type="textWrapping"/>
            </w:r>
            <w:r>
              <w:rPr>
                <w:rStyle w:val="882"/>
                <w:sz w:val="24"/>
                <w:szCs w:val="24"/>
                <w:lang w:bidi="ar"/>
              </w:rPr>
              <w:t>通过模拟气旋实验，可以了解到气旋是指北（南）半球，大气中水平气流呈逆（顺）时针旋转的大型涡旋。在同高度上，中心气压最低，逐渐向外递增，空气不断流入中心，形成上升气流。</w:t>
            </w:r>
            <w:r>
              <w:rPr>
                <w:rStyle w:val="882"/>
                <w:sz w:val="24"/>
                <w:szCs w:val="24"/>
                <w:lang w:bidi="ar"/>
              </w:rPr>
              <w:br w:type="textWrapping"/>
            </w:r>
            <w:r>
              <w:rPr>
                <w:rStyle w:val="882"/>
                <w:sz w:val="24"/>
                <w:szCs w:val="24"/>
                <w:lang w:bidi="ar"/>
              </w:rPr>
              <w:t>二、硬件组成：</w:t>
            </w:r>
            <w:r>
              <w:rPr>
                <w:rStyle w:val="882"/>
                <w:sz w:val="24"/>
                <w:szCs w:val="24"/>
                <w:lang w:bidi="ar"/>
              </w:rPr>
              <w:br w:type="textWrapping"/>
            </w:r>
            <w:r>
              <w:rPr>
                <w:rStyle w:val="882"/>
                <w:sz w:val="24"/>
                <w:szCs w:val="24"/>
                <w:lang w:bidi="ar"/>
              </w:rPr>
              <w:t>1、圆柱体容器:1个，2、沉香：若干，3、燃香盘：1个，4、电子点火枪：1个，5、金属燃料盒：1个，6、固体酒精燃料：15g，7、软布：1块，8、实验说明书：5份</w:t>
            </w:r>
            <w:r>
              <w:rPr>
                <w:rStyle w:val="882"/>
                <w:sz w:val="24"/>
                <w:szCs w:val="24"/>
                <w:lang w:bidi="ar"/>
              </w:rPr>
              <w:br w:type="textWrapping"/>
            </w:r>
            <w:r>
              <w:rPr>
                <w:rStyle w:val="882"/>
                <w:sz w:val="24"/>
                <w:szCs w:val="24"/>
                <w:lang w:bidi="ar"/>
              </w:rPr>
              <w:t>探究锋面实验：</w:t>
            </w:r>
            <w:r>
              <w:rPr>
                <w:rStyle w:val="882"/>
                <w:sz w:val="24"/>
                <w:szCs w:val="24"/>
                <w:lang w:bidi="ar"/>
              </w:rPr>
              <w:br w:type="textWrapping"/>
            </w:r>
            <w:r>
              <w:rPr>
                <w:rStyle w:val="882"/>
                <w:sz w:val="24"/>
                <w:szCs w:val="24"/>
                <w:lang w:bidi="ar"/>
              </w:rPr>
              <w:t>一、 教学功能：</w:t>
            </w:r>
            <w:r>
              <w:rPr>
                <w:rStyle w:val="882"/>
                <w:sz w:val="24"/>
                <w:szCs w:val="24"/>
                <w:lang w:bidi="ar"/>
              </w:rPr>
              <w:br w:type="textWrapping"/>
            </w:r>
            <w:r>
              <w:rPr>
                <w:rStyle w:val="882"/>
                <w:sz w:val="24"/>
                <w:szCs w:val="24"/>
                <w:lang w:bidi="ar"/>
              </w:rPr>
              <w:t>实验可同时应用于气候专题、水文专题学习内容：通过操作学具了解不同密度流体如何相互渗透，探究冷暖气团运动性质；学习密度流的成因，理解洋流运动成因、分布规律等地理知识。</w:t>
            </w:r>
            <w:r>
              <w:rPr>
                <w:rStyle w:val="882"/>
                <w:sz w:val="24"/>
                <w:szCs w:val="24"/>
                <w:lang w:bidi="ar"/>
              </w:rPr>
              <w:br w:type="textWrapping"/>
            </w:r>
            <w:r>
              <w:rPr>
                <w:rStyle w:val="882"/>
                <w:sz w:val="24"/>
                <w:szCs w:val="24"/>
                <w:lang w:bidi="ar"/>
              </w:rPr>
              <w:t>二、硬件组成：</w:t>
            </w:r>
            <w:r>
              <w:rPr>
                <w:rStyle w:val="882"/>
                <w:sz w:val="24"/>
                <w:szCs w:val="24"/>
                <w:lang w:bidi="ar"/>
              </w:rPr>
              <w:br w:type="textWrapping"/>
            </w:r>
            <w:r>
              <w:rPr>
                <w:rStyle w:val="882"/>
                <w:sz w:val="24"/>
                <w:szCs w:val="24"/>
                <w:lang w:bidi="ar"/>
              </w:rPr>
              <w:t>1、长方形容器：1个，2、食用色素（蓝色）：1瓶，3、食用色素（红色）：1瓶，4、手持量杯：2个，5、搅拌棒：1个，6、食用盐：1瓶，7、软布：1块，8、实验说明书：5份，9、绿色帆布包装箱 1个，规格尺寸：≥50*40*28cm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验证二氧化碳是温室气体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82"/>
                <w:sz w:val="24"/>
                <w:szCs w:val="24"/>
                <w:lang w:bidi="ar"/>
              </w:rPr>
              <w:t>验证二氧化碳是温室气体：</w:t>
            </w:r>
            <w:r>
              <w:rPr>
                <w:rStyle w:val="882"/>
                <w:sz w:val="24"/>
                <w:szCs w:val="24"/>
                <w:lang w:bidi="ar"/>
              </w:rPr>
              <w:br w:type="textWrapping"/>
            </w:r>
            <w:r>
              <w:rPr>
                <w:rStyle w:val="882"/>
                <w:sz w:val="24"/>
                <w:szCs w:val="24"/>
                <w:lang w:bidi="ar"/>
              </w:rPr>
              <w:t>一、</w:t>
            </w:r>
            <w:r>
              <w:rPr>
                <w:rFonts w:hint="eastAsia" w:ascii="仿宋" w:hAnsi="仿宋" w:eastAsia="仿宋" w:cs="仿宋"/>
                <w:color w:val="000000"/>
                <w:kern w:val="0"/>
                <w:sz w:val="24"/>
                <w:lang w:bidi="ar"/>
              </w:rPr>
              <w:t xml:space="preserve"> </w:t>
            </w:r>
            <w:r>
              <w:rPr>
                <w:rStyle w:val="882"/>
                <w:sz w:val="24"/>
                <w:szCs w:val="24"/>
                <w:lang w:bidi="ar"/>
              </w:rPr>
              <w:t>教学功能：</w:t>
            </w:r>
            <w:r>
              <w:rPr>
                <w:rStyle w:val="882"/>
                <w:sz w:val="24"/>
                <w:szCs w:val="24"/>
                <w:lang w:bidi="ar"/>
              </w:rPr>
              <w:br w:type="textWrapping"/>
            </w:r>
            <w:r>
              <w:rPr>
                <w:rStyle w:val="882"/>
                <w:sz w:val="24"/>
                <w:szCs w:val="24"/>
                <w:lang w:bidi="ar"/>
              </w:rPr>
              <w:t>通过操作学具验证CO2是温室气体，学习温室效应的原理，解释全球变暖现象。举例说出温室效应的利与弊。</w:t>
            </w:r>
            <w:r>
              <w:rPr>
                <w:rStyle w:val="882"/>
                <w:sz w:val="24"/>
                <w:szCs w:val="24"/>
                <w:lang w:bidi="ar"/>
              </w:rPr>
              <w:br w:type="textWrapping"/>
            </w:r>
            <w:r>
              <w:rPr>
                <w:rStyle w:val="882"/>
                <w:sz w:val="24"/>
                <w:szCs w:val="24"/>
                <w:lang w:bidi="ar"/>
              </w:rPr>
              <w:t>二、硬件组成：</w:t>
            </w:r>
            <w:r>
              <w:rPr>
                <w:rStyle w:val="882"/>
                <w:sz w:val="24"/>
                <w:szCs w:val="24"/>
                <w:lang w:bidi="ar"/>
              </w:rPr>
              <w:br w:type="textWrapping"/>
            </w:r>
            <w:r>
              <w:rPr>
                <w:rStyle w:val="882"/>
                <w:sz w:val="24"/>
                <w:szCs w:val="24"/>
                <w:lang w:bidi="ar"/>
              </w:rPr>
              <w:t>1、锥形烧瓶：2个，2、柠檬酸：1瓶，3、小苏打：1瓶，4、药勺：1个，5、数显温度探头：2个，6、活芯瓶塞：2个，7、POVI金属小台灯：1个，8、浴霸照明灯泡：1个，9、软布：1块，10、实验说明书：5份</w:t>
            </w:r>
            <w:r>
              <w:rPr>
                <w:rStyle w:val="882"/>
                <w:sz w:val="24"/>
                <w:szCs w:val="24"/>
                <w:lang w:bidi="ar"/>
              </w:rPr>
              <w:br w:type="textWrapping"/>
            </w:r>
            <w:r>
              <w:rPr>
                <w:rStyle w:val="882"/>
                <w:sz w:val="24"/>
                <w:szCs w:val="24"/>
                <w:lang w:bidi="ar"/>
              </w:rPr>
              <w:t>水淹法绘制等高线：</w:t>
            </w:r>
            <w:r>
              <w:rPr>
                <w:rStyle w:val="882"/>
                <w:sz w:val="24"/>
                <w:szCs w:val="24"/>
                <w:lang w:bidi="ar"/>
              </w:rPr>
              <w:br w:type="textWrapping"/>
            </w:r>
            <w:r>
              <w:rPr>
                <w:rStyle w:val="882"/>
                <w:sz w:val="24"/>
                <w:szCs w:val="24"/>
                <w:lang w:bidi="ar"/>
              </w:rPr>
              <w:t>一、 教学功能：</w:t>
            </w:r>
            <w:r>
              <w:rPr>
                <w:rStyle w:val="882"/>
                <w:sz w:val="24"/>
                <w:szCs w:val="24"/>
                <w:lang w:bidi="ar"/>
              </w:rPr>
              <w:br w:type="textWrapping"/>
            </w:r>
            <w:r>
              <w:rPr>
                <w:rStyle w:val="882"/>
                <w:sz w:val="24"/>
                <w:szCs w:val="24"/>
                <w:lang w:bidi="ar"/>
              </w:rPr>
              <w:t>通过操作学具参与等高线的绘制过程，学习等高线地形图知识，能够在等高线地形图上判读地形的不同部位，能够在等高线地形图上读出海拔高度和计算相对高度。</w:t>
            </w:r>
            <w:r>
              <w:rPr>
                <w:rStyle w:val="882"/>
                <w:sz w:val="24"/>
                <w:szCs w:val="24"/>
                <w:lang w:bidi="ar"/>
              </w:rPr>
              <w:br w:type="textWrapping"/>
            </w:r>
            <w:r>
              <w:rPr>
                <w:rStyle w:val="882"/>
                <w:sz w:val="24"/>
                <w:szCs w:val="24"/>
                <w:lang w:bidi="ar"/>
              </w:rPr>
              <w:t>二、硬件组成：</w:t>
            </w:r>
            <w:r>
              <w:rPr>
                <w:rStyle w:val="882"/>
                <w:sz w:val="24"/>
                <w:szCs w:val="24"/>
                <w:lang w:bidi="ar"/>
              </w:rPr>
              <w:br w:type="textWrapping"/>
            </w:r>
            <w:r>
              <w:rPr>
                <w:rStyle w:val="882"/>
                <w:sz w:val="24"/>
                <w:szCs w:val="24"/>
                <w:lang w:bidi="ar"/>
              </w:rPr>
              <w:t>1、长方形容器：1个，2、黏土：1袋，3、激光笔：1个，4、水笔：1个，5、笔架：1个，6、手持量杯：1个，7、食用色素（蓝色）：1瓶，8、燕尾夹：2个，9、幻灯片：5张，10、软布：1块，11、实验说明书：5份，12、绿色帆布包装箱 1个，规格尺寸：≥50*40*28cm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演示大气热力环流-液态法实验箱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 教学功能：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通过探究热力环流实验，学习由于冷热不均而导致的流体空气水平运动的地理知识；通过模拟热力环流现象，培养观察、动手实践能力。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二、硬件组成：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环流探测装置：1个，2、数显温度探头：1个，3、食用色素（蓝色）：1瓶，4、食用色素（红色）：1瓶，5、烧杯：2个，6、手持量杯：1个，7、迷你电水杯：1个，8、软布：1块，9、实验说明书：5份，10、绿色帆布包装箱 1个，规格尺寸：≥50*40*28cm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模拟河流对凹岸的侵蚀的作用、演示水坝对河流的调节作用实验箱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82"/>
                <w:sz w:val="24"/>
                <w:szCs w:val="24"/>
                <w:lang w:bidi="ar"/>
              </w:rPr>
              <w:t>一、</w:t>
            </w:r>
            <w:r>
              <w:rPr>
                <w:rFonts w:hint="eastAsia" w:ascii="仿宋" w:hAnsi="仿宋" w:eastAsia="仿宋" w:cs="仿宋"/>
                <w:color w:val="000000"/>
                <w:kern w:val="0"/>
                <w:sz w:val="24"/>
                <w:lang w:bidi="ar"/>
              </w:rPr>
              <w:t xml:space="preserve"> </w:t>
            </w:r>
            <w:r>
              <w:rPr>
                <w:rStyle w:val="882"/>
                <w:sz w:val="24"/>
                <w:szCs w:val="24"/>
                <w:lang w:bidi="ar"/>
              </w:rPr>
              <w:t>教学功能：</w:t>
            </w:r>
            <w:r>
              <w:rPr>
                <w:rStyle w:val="882"/>
                <w:sz w:val="24"/>
                <w:szCs w:val="24"/>
                <w:lang w:bidi="ar"/>
              </w:rPr>
              <w:br w:type="textWrapping"/>
            </w:r>
            <w:r>
              <w:rPr>
                <w:rStyle w:val="882"/>
                <w:sz w:val="24"/>
                <w:szCs w:val="24"/>
                <w:lang w:bidi="ar"/>
              </w:rPr>
              <w:t>模拟河流对凹岸的侵蚀的作用：</w:t>
            </w:r>
            <w:r>
              <w:rPr>
                <w:rStyle w:val="882"/>
                <w:sz w:val="24"/>
                <w:szCs w:val="24"/>
                <w:lang w:bidi="ar"/>
              </w:rPr>
              <w:br w:type="textWrapping"/>
            </w:r>
            <w:r>
              <w:rPr>
                <w:rStyle w:val="882"/>
                <w:sz w:val="24"/>
                <w:szCs w:val="24"/>
                <w:lang w:bidi="ar"/>
              </w:rPr>
              <w:t>通过模拟河流对凹岸的侵蚀及水坝对河流的调节作用的实验，可以从中了解到如果原来河谷因最初地形起伏及走向的原因,已存在凹岸、凸岸的形态,那么不管该河位于哪个半球,河流都将因为保持惯性前行而冲刷凹岸,使河流弯曲度更大。从而得出弯曲河流的凹岸更容易受到流水的侵蚀和破坏的结论。</w:t>
            </w:r>
            <w:r>
              <w:rPr>
                <w:rStyle w:val="882"/>
                <w:sz w:val="24"/>
                <w:szCs w:val="24"/>
                <w:lang w:bidi="ar"/>
              </w:rPr>
              <w:br w:type="textWrapping"/>
            </w:r>
            <w:r>
              <w:rPr>
                <w:rStyle w:val="882"/>
                <w:sz w:val="24"/>
                <w:szCs w:val="24"/>
                <w:lang w:bidi="ar"/>
              </w:rPr>
              <w:t>演示水坝对河流的调节作用：</w:t>
            </w:r>
            <w:r>
              <w:rPr>
                <w:rStyle w:val="882"/>
                <w:sz w:val="24"/>
                <w:szCs w:val="24"/>
                <w:lang w:bidi="ar"/>
              </w:rPr>
              <w:br w:type="textWrapping"/>
            </w:r>
            <w:r>
              <w:rPr>
                <w:rStyle w:val="882"/>
                <w:sz w:val="24"/>
                <w:szCs w:val="24"/>
                <w:lang w:bidi="ar"/>
              </w:rPr>
              <w:t>通过水坝调节河流的实验，从中了解水坝能够调节河水流量的作用，在河流洪水期蓄水，一定程度上阻止了下游地区发洪水；在枯水期放水，补给河流下游地区的水资源。</w:t>
            </w:r>
            <w:r>
              <w:rPr>
                <w:rStyle w:val="882"/>
                <w:sz w:val="24"/>
                <w:szCs w:val="24"/>
                <w:lang w:bidi="ar"/>
              </w:rPr>
              <w:br w:type="textWrapping"/>
            </w:r>
            <w:r>
              <w:rPr>
                <w:rStyle w:val="882"/>
                <w:sz w:val="24"/>
                <w:szCs w:val="24"/>
                <w:lang w:bidi="ar"/>
              </w:rPr>
              <w:t>二、硬件组成：</w:t>
            </w:r>
            <w:r>
              <w:rPr>
                <w:rStyle w:val="882"/>
                <w:sz w:val="24"/>
                <w:szCs w:val="24"/>
                <w:lang w:bidi="ar"/>
              </w:rPr>
              <w:br w:type="textWrapping"/>
            </w:r>
            <w:r>
              <w:rPr>
                <w:rStyle w:val="882"/>
                <w:sz w:val="24"/>
                <w:szCs w:val="24"/>
                <w:lang w:bidi="ar"/>
              </w:rPr>
              <w:t>1、长方形容器：1个，2、水闸板：1个，3、堤坝河道模型：1个，4、硅胶水管：1根，5、潜水泵：1个，6、白沙：1袋，7、软布：1块，8、实验说明书（模拟河流对凹岸的侵蚀的作用）：5份，9、实验说明书（演示水坝对河流的调节作用）：5份，10、绿色帆布包装箱 1个，规格尺寸：≥80*50*28cm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629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模拟水循环实验箱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 教学功能：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过模拟水循环实验，可以了解水循环的概念、形成及原理，即水循环是指地球上不同地方的水，通过吸收太阳的能量，改变状态到地球上另外一个地方。例如：蒸发、降水、渗透、表面的流动和地底流动等，由一个地方移动到另一个地方。水由河川流动至海洋，海洋水蒸发，风将水蒸气带回陆地降水，实现了海陆间的水循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二、硬件组成：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1、水循环模型：1个，2、圆形冰格模具：1个，3、迷你电水杯：1个，4、食用色素（红色）：1瓶，5、注射器：1个，6、软布：1块，7、实验说明书：5份，8、绿色帆布包装箱 1个，规格尺寸：≥50*40*28cm</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防浪堤实验套装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一、教学功能：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沿海地区尤其是沿海公路，常受到海浪侵袭，海水漫过防护堤，侵蚀路面，造成经济损失。为提高海岸带的综合利用价值，探究阻止海浪侵袭，保护沿海路面的方法。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该实验简单模拟了不同防护工程对波浪侵蚀的削弱作用，可根据海岸带的综合效益，选择不同样式的海岸防护工程。培养对自然现象的观察及实践能力。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二、硬件组成：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1、带有波浪生成器的长方体亚克力箱：1个，尺寸规格：≥70*18*34cm，波浪生成器可通过旋钮调节力度和速度；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2、食用色素（蓝色）：5瓶，在实验过程中，加入少许蓝色色素，方便观察且增加视觉美观；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3、烧杯：2个，用以测量、对比不同堤坝类型防护效果，收集到的水（溢出）越少，说明该类型堤坝防护效果越好；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4、不同类型堤坝：6个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风海流与补偿流探究实验套装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风海流和补偿流是实现全球水热平衡的重要形式，不仅对海洋环境，也对陆地环境产生着巨大的影响。洋流的成因是中学地理教学的重点和难点内容。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本品为风海流和补偿流成因演示仪器，可直观演示风海流和补偿流两种最重要洋流的形成原理。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产品演示功能与配备要求：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1、能够进行全方位立体演示，同时演示4个立面的运动状态，能够在不更换任何配件的情况下重复演示。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2、能够进行无极调速。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3、产品采用直流12V电源供电。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4.产品外观整洁，除电源及调速按钮外无其他电器外露。</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设备规格尺寸：≥40*28*19cm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产品组件：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1、风海流和补偿流实验箱：1个；2、塑料棒：1个；3、水勺：1个；4、塑料量杯：1个；5、网兜捞：1个；6、漂浮物：1包。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土壤流失实验套装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产品外形尺寸：≥64*41*51cm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土壤流失演示模型能够完成5种模式（地表粗糙度两种不同模式、草地模式、植树疏密两种模式）的地表土壤通过不同降水量雨水时的流失实验，实验中可同时调节地形下沟谷的倾斜角度及沟谷的深度，通过不同的实验能够看到不同的实验效果，并能够对实验进行记录和总结，能够根据实验现象和实验结果分析各种原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实验目的：通过实验让学生了解地表流失的严重性及怎样克服和解决地表流失的问题。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配置要求：土壤流失演示模型实验箱1套（包括水泵1套）；各种实验材料若干；塑料量杯1个</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土壤探究实验箱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实验包含：土壤成份实验、土壤透水性实验、土壤保肥性实验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教学功能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土壤成份实验：通过土壤成份实验，学生可以了解到土壤成份主要包含空气、沙、黏土等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土壤透水性实验：通过透水性实验，学生可以了解到，砂土、黏土及壤土透水性的区别。</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土壤保肥性实验：通过保肥性实验，学生可以了解到，砂土、黏土及壤土保肥性的差异。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1、砂土颗粒较大，相互间排列疏松，加水后透气性透水性强，蓄水性弱。加水后双手搓不能成型，说明粘性差。用放大镜观察，沙土内几乎没有有机物。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2、黏土颗粒小，相互间排列紧密，透气性透水性差，蓄水性强。加水后双手搓能速度成型而不散，说明粘性强。用放大镜观察，黏土内没有明显有机物。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3、壤土所含砂粒、粉粒、黏粒比例适中，兼具沙土和黏土的优点；透气性透水性良好，蓄水性良好。加水后双手搓能成行，说明粘性适中。用放大镜观察，黏土内有明显腐殖质有机物。</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硬件主要组成：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1、烧杯 200毫升  1个，2、砂土 1瓶，3、黏土 1瓶，4、三脚架 1个，5、石棉网  1个，6、放大镜 1个，7、金属小台灯  1个，8、滴管套装  1套，9、玻璃温度计  3支，10、实验帆布箱 1个 规格尺寸：≥80*50*28cm </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余杭地貌沙盘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规格：长1米，展示余杭地区的地形地貌特征，及水文等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良渚地形地貌沙盘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规格：长1米，展示良渚地区的地形地貌特征，及水文等</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636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中国立体语音地图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 规格：立体模型水平比例尺为1：300万；尺寸：228cm*168cm；采用PVC材料用模具热压而成，符合环保要求；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政区图、地形图合二为一，达到地图出版精度，经由专业地图出版社出版；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 支持汉语、蒙语、藏语、维语及朝鲜语多种民族语言，产品型号：汉语版、蒙-汉版、藏-汉版、维-汉版、鲜-汉版。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 电子点读功能：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 提供无线点读教鞭，要求电子教鞭装有特殊摄像头，具有光学图像识别功能，可识别隐形底码；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配套音箱上的无线接收器收到无线教鞭发送来的码值信息后，根据程序预先设置好的码值与语音的对应关系，把相应的语音播放出来，对相应内容进行解说。语音内容存放在无线音箱的存储卡中。存储卡使用的是现在通用的SD存储卡，容量大，并可以随时更新语音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 地图内容：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 中国的国界线，省级行政区划的名称和界线，首都及各省级行政中心的名称和位置，国内部分城市的名称和位置。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中国的主要河流、湖泊、山脉、山峰、沙漠、盆地、高原、平原、丘陵、半岛、群岛、岛屿、海洋、海湾、海峡的名称及相关要素。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 中国周边国家及首都的名称及国界线。周边部分河流、湖泊、平原、丘陵、群岛、岛屿、海洋、海峡、海湾的名称及相关要素。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 突出表示三大阶梯、四大高原、四大盆地、三大平原自然地理形态，综合表达中国地形的起伏形态和地理特点。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 分类教学：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地图上可以按照初中版和高中版本教材资源进行分类教学。"""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世界立体语音地图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 规格：立体模型水平比例尺为1：1680万；尺寸：228cm*168cm；采用PVC材料用模具热压而成，符合环保要求；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要求达到地图出版精度，经由专门地图出版社出版；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 支持汉语、蒙语、藏语、维语及朝鲜语多种民族语言，产品型号：汉语版、蒙-汉版、藏-汉版、维-汉版、鲜-汉版。</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 电子点读功能：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 提供无线点读教鞭，电子教鞭装有特殊摄像头，具有光学图像识别功能，可识别隐形底码；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配套音箱上的无线接收器收到无线教鞭发送来的码值信息后，根据程序预先设置好的码值与语音的对应关系，把相应的语音播放出来，对相应内容进行解说。语音内容存放在无线音箱的存储卡中。存储卡使用的是现在通用的SD存储卡，容量大，并可以随时更新语音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 地图内容：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 世界各大洲的名称、范围、界线。中华人民共和国的名称、范围、界限。世界部分主要城市的名称、位置。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 世界主要海洋、河流、湖泊、山脉、山峰、火山、沙漠、盆地、高原、平原、半岛、群岛、岛屿、海峡、海湾、海岭、海丘、海沟、海盆等地理要素的名称及相关要素。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 世界各国的国旗和面积。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 突出显示七大洲、四大洋自然地理形态，综合表达世界地形的起伏形态和地理特点。</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 国际日期变更线、北极圈、南极圈、北回归线、南回归线的名称和位置。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 分类教学：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地图上可以按照初中版和高中版本教材资源进行分类教学。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638</w:t>
            </w:r>
          </w:p>
        </w:tc>
        <w:tc>
          <w:tcPr>
            <w:tcW w:w="1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639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640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强弱电布线工程部分；电路改造（强弱电综合布线）、开关面板及墙地面插座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危化品室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防盗窗</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不锈钢材质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防爆灯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定制防爆灯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双门双锁</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防盗门尺寸定制，双机械锁，双包套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推车</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双层单扶手</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消防沙箱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技术特点：1、采用静电喷漆，光滑整洁，防潮。2、底部加固处理，增加强度，与地面有间隙，不易生锈。3、采用优质加厚钢铁加工，高硬度耐用。4、优质五金铰，链箱盖，无卡阻现象。</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干粉灭火器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产品名称:手提式干粉灭火器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产品型号:灭火器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商品剂量:士0.05KG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喷射距离:≥3.5CM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灭火级别:1A/21B</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使用温度:-20°C~+50°C</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瓶身材质:钢材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干粉保质:5年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规格：标准模块化组成，1200*300mm为一组。</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649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墙面文化</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墙面制度表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650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rPr>
              <w:t>▲</w:t>
            </w:r>
            <w:r>
              <w:rPr>
                <w:rFonts w:hint="eastAsia" w:ascii="仿宋" w:hAnsi="仿宋" w:eastAsia="仿宋" w:cs="仿宋"/>
                <w:color w:val="000000"/>
                <w:kern w:val="0"/>
                <w:sz w:val="24"/>
                <w:lang w:bidi="ar"/>
              </w:rPr>
              <w:t>危化品室管理系统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1.硬件规格：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a）主机形态：系统主柜嵌入模式，更加便于人性化操作；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b）显示屏：配备 13.3 寸高清电容触摸屏；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c）网络：支持 4G 网络，有线、WIFI；</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d）监控：配备高清人脸识别摄像头；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e）声光设备：支持语音播报和异常情况声光预警；</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f）称重设备：配备的天平量程为 5kg，精度为 0.1g；</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g）生物认证设备：采用人脸识别认证方式，摄像头分辨率为 1920×1080 像素;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h）二维码阅读器：1280×800 CMOS；读码精度：4 mil；解码能力：适配 QR Code, Data Matrix 等主流二维码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i）ID/IC 卡阅读器：工作频段：125KHz/13.56MHz；通讯协议：支持 ISO14443 Type</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A/B 标准；读卡距离：0-30mm；存储容量： 1000 张用户卡。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j）RFID 标签:载波频率：860-960MHZ。抗干扰（液体、金属），耐磨损，耐腐蚀。</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工作模块：无源。芯片存储区：EPC 496Bit，用户区 128Bit。芯片使用寿命：写入≥</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 万次，数据保存≥10 年。</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k）信号控制要求：柜体射频信号设计了信号屏蔽和信号控制，防止柜体内信号错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误读取非本柜体内的钥匙；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2.嵌入式软件：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a）人员管理模块：管理员可添加、删除、修改用户人脸/IC 卡/工号/姓名等信息；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b）设备管理模块：钥匙储存区域名称设置，可对每个储存区域修改展示的名称;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c）电子称校准模块：系统可完成对电子称进行校准操作，无需外聘专人校准;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d）设备升级模块：可自动或手动更新系统固件;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e）出库模块：系统支持通过 RFID 感应钥匙存取操作，通过人脸识别或 IC 卡认证后</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打开对应的试剂柜子电控锁；系统支持单瓶或批量出库操作;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f）入库模块：系统支持通过 RFID 自动感应钥匙存取操作，具备人脸识别和 IC 卡认</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证功能，能自动读取药品重量和信息；系统支持单瓶或批量入库操作；钥匙放回柜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体内，自动感应检测存放的钥匙信息，有异常情况的如：未获取入库试剂重量、配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伍禁忌存放、钥匙未放回、钥匙错放等则进行声光预警，让用户进行干预;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g）废弃模块：支持柜内试剂（包括未用完试剂）回收处理操作，回收流程设计全面，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操作便捷；系统支持对标签进行补码打印标签操作;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h）数据统计模块：系统支持查看当前设备的库存统计及出入库记录列表；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i）语音提示：系统集成语音 AI 功能，全程出入库无需接触触摸屏;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j）身份识别：支持人脸识别、ID/IC 卡识别等识别方式；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k）异常预警：系统支持对异常情况现场声光预警和显示具体预警内容，便于用户调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整，包括未获取入库试剂重量、配伍禁忌存放、钥匙未放回、钥匙错放等;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l）运行环境：系统支持在无网络下进行脱机工作，保证存取可以正常进行；</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m）数据安全：控制系统发生故障，数据可恢复；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n）锁具反馈：具有锁状态反馈，有效识别和提醒门锁状态；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o）系统支持双路通讯机制，默认使用高速网络，当出现故障或网络延迟性高的情况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下自动切换备用网络;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p）SDS 查询模块：支持通过扫描瓶身二维码或输入试剂名称查询 SDS 信息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651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美式高效排风柜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规格：1200mm*850mm*2350mm1、排风柜面风速分布均匀，操作口面风速调节范围：0.3-0.6m/s；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2、调节门开度500mm：面风速0.3m/s时，泄漏浓度需＜0.01pp，风阻需小于30Pa，空气交换效率需大于80％（需具有符合CMA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3、调节门开度500mm：面风速0.5m/s时，泄漏浓度需＜0.01pp，风阻需小于70Pa，空气交换效率需大于90％（需具有符合CMA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4、排风量：以1800排风柜为例，在0.3m/s面风速时，排风量平均值需大于700cfm（1200m³/h），在0.5m/s面风速时，排风量平均值需大于1000cfm（1700m³/h）（需具有符合CMA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浓度测试（内测法）：示踪气体流量为2.0L/min，测量并记录示踪气体（SF6）浓度360秒，计算平均示踪气体（SF6）作为测试时间段的体积浓度，从60秒到360秒，结果四舍五入到小数点后第二位。计算因子Cfi＞683，保护因子PFi＞2.0×106，测试结果SF6泄漏浓度需＜0.01ppm（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5、浓度测试（外测法）：排风柜拉门设置在500mm开口高度，布置 9 点引射器及采样探头，引射器距拉门平面 200 mm的平面上。位置由三条水平线和三条等间距垂直线的交叉形成的网格，采样探头位于外部测量平面上的线交叉形成的网格点处。网格点由一系列水平线和一系列等间距垂直线组成，示踪气体流量为 4.5 L/min，测量并记录示踪气体（SF6）浓度 660s。开始 360s 后，将拉门（1±0.2）s 内关闭至最小开度。再经过 240s 后，在（1±0.2）s 内将拉门打开至测试拉门开口高度。再过 60s 后，停止释放示踪气体。计算平均示踪气体（SF6）浓度φi作为测试时间段的体积浓度，并将结果四舍五入到小数点后第二位。计算因子 CFi（CFi=q/(Q×φR)）。计算保护因子 PFi（PFi=q/(Qs×φR)，Qs=10 L/min），测试结果SF6泄漏浓度需＜0.01ppm（需具有符合CMA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6、扰流测试：排风柜开口设置在工作操作高度，引射器及采样探头布置参考浓度测试(外侧法)。示踪气体流量为 4.5 L/min，测量并记录示踪气体（SF6）浓度 270 秒。开始60 秒后，平板小车距离地面 200 mm,在排风柜拉门面前方 400 mm 处开始以 1 m/s的速度来回移动 6 次，移动距离排风柜两侧至少 600 mm 以上。每次来回间隔时间为（30±2）s。继续释放示踪气体 60 秒并记录泄漏浓度值。采集并计算平均示踪气体（SF6）浓度φi作为测试时间段的体积浓度，并将结果四舍五入到CFi=q/(Q×φR)）。计算保护因子 PFi（PFi=q/(Qs×φR),Qs=10小数点后第二位。计算因子 CFi（L/min）。测试结果需符合EN 17175标准（需具有符合CMA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7、气流可视化测试：小烟雾试验使用四氯化钛试剂（TiCl4）、大烟雾试验使用烟雾发生器，在排风柜相应位置释放烟雾。排风柜评级需符合EN 17175标准（需具有符合CMA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8、横向气流最大平均值（M/S）：垂直≤0.01，水平≤0.01（需具有符合CMA 、CNAS、ILAC-MARS认可的第三方检测机构出具的检测报告）。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9、防坠落功能：调节门设计有防坠落功能装置，即同步带突然断裂，调节门也会停留在最初位置附近，不大于25mm。有效防止调节门坠落发生意外（需具有符合CMA 、CNAS、ILAC-MARS认可的第三方检测机构出具的检测报告）。</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652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危化品柜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安全柜通过欧盟 CE 权威认证，达到 OS方形A 标准（美国职业安全健康管理局），符合 NFPA（美 国国家消防协会）第 30 条规定的要求用于规范存储易燃易 爆液体及危险化学品。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2、防火安全柜整体为双层 1.2MM 防火钢板构造， 两层钢板之间间隔 40mm，内填特种防火材料，防火性能更 为卓越。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3、采用优质冷轧钢板，增加强度，防火性能更好。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4、柜身底部 50mm 高的防漏液槽最大可能的防止化学液体 产品特性 的外溢。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5、独有的镀锌层板，防腐蚀，防液漏，最大可承托 400lbs 的钢制安全罐。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6、柜体内外都喷涂有持久的，无铅的环氧树脂漆，最大程度 的增加抗化学品的能力。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7、标有三种语言的高可见度标签，耐腐蚀。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8、两个可带有防火装置的通风口，分别位于柜身的两侧。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9、可调节垫片若干，确保柜体稳固。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10、欧盟 90 分钟耐火认证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11、规格：按浙江省标准定制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12、容积：45GAL/170L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13、门类型：双门/手动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14、可调层板：2 块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15、板材厚度：1.2MM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16、耐火等级：90 分钟</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危化品室墙体改造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危化品室墙体隔断，加粉刷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墙面基层处理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强弱电电路改造</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通风主管道、支管道均采用防腐蚀PP塑料板焊接而成，主管道：300*400mm矩型风道；通风支管道：φ110圆型风道，接口采用专用胶固定后专用焊条焊接连接。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通风系统</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104化学竞赛教室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PP离心风机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功率；7.5KW,电压：380V</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659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风帽</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PP材质，具有防雨功能，风阻小。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进风口软接头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软质PVC</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防火阀</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500*250H，不锈钢材质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室内行程通风管道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室内管道，采用防腐蚀PP材质，具有整体结构性能好、严密性高等优点大小管道组成，各支管风速小于8m/s</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室外行程通风管道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室外管道，采用防腐蚀PP材质，具有整体结构性能好、严密性高等优点大小管道组成，各主管风速小于12m/s</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风机电缆线+PVC线管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4㎡*3+2.5㎡*2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变频器控制电箱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电箱尺寸300*400*200mm，5.5KW，内含空气开关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耗材及附件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含风管安装及支架，安装螺杆，密封垫（不含桁架）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通风系统安装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标准化安装、现场安装机具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活性炭废气处理器，处理风量：12000m3/h，压力损失：≤600PA；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①、吸附单元在设备箱体内分层格栅式安装，要求能够非常方便的检修及更换。吸附单元选用硬PP板材制作。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②、检查门开启方便，密封严密。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③、进出气口是法兰式接口，可以连接风管。风管连接工艺采用法兰连接方式，法兰之间连接应有3㎜的橡胶垫皮，起到密封作用。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106化学学科教室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669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PP离心风机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功率；5.5KW,风量；7100-13500m³/h，压头；1210-756Pa,转速；1440转/分,电压：380V</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风帽</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6.5#，PP材质，具有防雨功能，风阻小。</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进风口软接头</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De650/500*250H，软质PVC</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防火阀</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500*250H，不锈钢材质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室内行程通风管道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室内管道，采用防腐蚀PP材质，具有整体结构性能好、严密性高等优点大小管道组成，各支管风速小于8m/s</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室外行程通风管道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室外管道，采用防腐蚀PP材质，具有整体结构性能好、严密性高等优点大小管道组成，各主管风速小于12m/s</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风机电缆线+PVC线管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4㎡*3+2.5㎡*2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变频器控制电箱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电箱尺寸300*400*200mm，5.5KW，内含空气开关</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耗材及附件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含风管安装及支架，安装螺杆，密封垫（不含桁架）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通风系统安装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标准化安装、现场安装机具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679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活性炭废气处理器，处理风量：12000m3/h，压力损失：≤600PA；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①、吸附单元在设备箱体内分层格栅式安装，要求能够非常方便的检修及更换。吸附单元选用硬PP板材制作。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②、检查门开启方便，密封严密。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③、进出气口是法兰式接口，可以连接风管。风管连接工艺采用法兰连接方式，法兰之间连接应有3㎜的橡胶垫皮，起到密封作用。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108化学无机教室</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吊装式通风管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规格：标准模块化组成，1200*300mm为一组。</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通风主管道、支管道均采用防腐蚀PP塑料板焊接而成，主管道：300*400mm矩型风道；通风支管道：φ110圆型风道，接口采用专用胶固定后专用焊条焊接连接。</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各分支管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采用防腐蚀PP材质，整体焊接成型，具有整体结构性能好、严密性高等优点。同时具有耐酸碱性能。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规格：多种类。管卡采用碳钢制作，表面经镀铬处理，具有耐腐蚀、防火、防潮等功能。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室外行程通风管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采用防腐蚀PP材质，整体焊接成型，具有整体结构性能好、严密性高等优点。同时具有耐酸碱性能。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规格：500*250。管卡采用碳钢制作，表面经镀铬处理，具有耐腐蚀、防火、防潮等功能。</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通风风机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结构：PP离心风机。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功率：5.5KW。风量：7100-13500m3/h。风压：926-735Pa。噪音：≤55dB(A)。室内换气次数：≥20次/h。终端流速：≥11.3米/秒整个通风系统均为中压系统（500Pa＜P≤1500Pa＝，低压系统（P≤500Pa），主管内风速约8-14米/秒（m/s），支管内风速约6-8米/秒（m/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（2）每台通风设备都可以独立操作，相互之间不受影响。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（3）气流组织合理，排气顺畅，无气味溢出、气体排放符合国家规定排放标准。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（4）通风系统主管内壁光滑，以降低噪声向室内传播，同时管井外壁应同室内装修保持一致，美观耐用</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风机控制线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2.5mm²*3+1.5mm²*2</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685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通风附件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包含防火阀、风机连接软管、风管安装支架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sz w:val="24"/>
              </w:rPr>
              <w:t>686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活性炭废气处理器，处理风量：12000m3/h，压力损失：≤600PA；</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①、吸附单元在设备箱体内分层格栅式安装，要求能够非常方便的检修及更换。吸附单元选用硬PP板材制作。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②、检查门开启方便，密封严密。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③、进出气口是法兰式接口，可以连接风管。风管连接工艺采用法兰连接方式，法兰之间连接应有3㎜的橡胶垫皮，起到密封作用。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废液处理</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687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实验室废水综合处理系统置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1.设备材质及外观：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①设备材质采用碳钢表面电泳喷塑处理，内层衬聚丙烯材质，防腐耐用；底板带2个固定万向轮和2个活动万向轮，可以移动和锁定，外观整洁美观。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②设备四周采用安全加强筋技术设计方案，确保抗压强度，制造商提供相关实验室设备的外观设计专利，以免后期外观侵权纠纷；制造商需要具备CE认证证书，并严格按照CE国际安全标准要求生产制造。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2.外形尺寸：1500*750*1400Hmm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3.处理后用途：废水经处理后排入市政污水管网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4.处理水量：  1（吨）（按每天工作8小时计）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5.规格型号: LWSYS-T02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处理后水质标准：项目规划情况及有关设计规范，实验室废水经处理后达到国家《污水综合排放标准》（GB8978-1996）Ⅲ级排放标准要求，必须满足排放标准，制造商具备类似项目证明文件及出水检测报告证明材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7.运行电压及功率：AC220V 5.5KW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8.控制模式：全自动控制，同时可手动操作</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废液暂存柜</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规格 cm（H*W*D）：165*109*46</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重量 KG：138</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容积：45GAL/170L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门类型：双门/手动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可调层板：2</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产品特性：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1.高性能的安全柜达到 OSHA 标准 (美国职业安全健康管理局)，符合 NFPA (美国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国家消防协会) 第 30 条规定的要求用于规范存储易燃易爆液体及危险化学品。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2.防火安全柜整体为双层防火钢板构造，两层钢板之间间隔 40mm，内填特种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防火材料，防火性能更为卓越。</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3.采用优质冷轧钢板，增加强度，防火性能更好。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4.柜身底部 50mm 高的防漏液槽有效的防止化学液体的外溢。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5.柜内的镀锌层板，防腐蚀，防液漏，可承托 400lbs 的钢制安全罐。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6.柜体内外都喷涂有持久的，无铅的环氧树脂漆，增加抗化学品的能力。</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废液桶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固废桶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120L</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废液池及废液室安装基础建设</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基础建设等设施设备安装维护</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一期、二期更新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观摩台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1.定制不少于30张观摩位</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2.观摩台阶定制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一、二期地胶采购</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一、产品概述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同质透心地板主要成分为聚氯乙烯材料（PVC），加入填料、增塑剂、稳定剂、着色剂等辅料，是从底背到面层的花纹材质上下一体的PVC地板。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二、产品规格</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产品为2.0mm厚度。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1116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一、二期文化窗帘</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定制文化窗帘</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一、二期辅料采购（五金配件）</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耗材：配套五金配件</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间</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一、二期辅料采购（桌角盖板）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耗材：配套桌角盖板</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一期、二期专用教室及准备室整改升级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专用教室及准备室整改升级</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间</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仪器设备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1.自重轻，操作轻便省力，手柄挂钩设计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2.数字视窗，所设置量程一目了然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3.采用陶瓷活塞，耐腐蚀效果好</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4.采用免维护密封环，使用更便捷</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5.采用新型材料，可整支121℃高温高压消毒，通过CE标准</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6.精确的分液，量程分别为： 0.5-10μL，10-100μL，20-200μL，100-1000μL，1000-5000μL，（一套）</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699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移液器架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Z型，5支位</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16</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PCR（含电泳系统）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1.外观精美，加工精致，巧妙的散热设计。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2.8英寸高清晰TFT彩显和电阻触摸，友好的人机交互界面，操作简单。</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3.采用最新一代进口半导体技术，出色的扩增性能，有效消除模块热传导的边缘效应问题，模块温度均一性极佳。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4.高效的热模块：精工制造表面阳极氧化技术处理的高品质铝模块，既保留快速导热性能，又具有足够的耐腐蚀性。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5.热盖设计：有效的将热量控制在热盖内，防蒸发效果极佳；无级可调式热盖，能适应市面大部分试管。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6.程序采用文件夹管理，可自建目录。用户登录，权限管理，密码保护功能，超大数据存储量，存储文件大于100个。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7.内置独立的快速恒温孵育功能，满足变性、酶切/酶连、ELISA等实验需要。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8.GLP实验报告功能，记录程序每一步的运行信息，为实验结果分析提供准确的数据支持。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9.内置报警功能，程序运行完成和机器故障均有报警提示。</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10.可使用USB鼠标控制仪器，支持U盘更新升级软件。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二、技术参数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1.温度范围4～99.9℃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2.样本容量96孔x0.2ml</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3.最大升温速率5℃/s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4.最大降温速率5℃/s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5.温度均匀性±0.25℃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6.温度准确性±0.20℃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7.温度显示分辨率0.1℃</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8.温度控制方式Block\Tube</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9.变温速率可调0.1～5.0℃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10.梯度温度均匀性±0.3℃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11.梯度温度准确性±0.3℃</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12.梯度温度范围30～99.9℃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13.梯度温差范围0.1～30℃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14.热盖温度范围30～105℃</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15.单步时间范围1-59m59s0为无限长</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16.热盖高度调节无级可调</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17.程序最大步骤30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18.程序最大循环数99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19.时间递减/递增-599～599s</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20.温度递减/递增-9.9～9.9℃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21.程序暂停功能有</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22.16℃保温无限长Forever</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23.液晶显示屏LCD8英寸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24.程序存储数量＞100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25.通讯接口USB2.0,LAN</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26.功率：500W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27.输入电源AC220V,50Hz</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28.熔断器250V,8AФ5x20</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29.外形尺寸W.390xD.270xH.255mm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30.净重8.5kgs</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50寸监视屏</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1、屏幕尺寸:50英寸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2、屏幕分辨率:高清（4k）</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3、屏幕比例:16:9</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4、扬声器数量:2个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5、端口参数:USB接口*2，HDMI2.0接口*1</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除尘系统</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包含风阀，电磁阀、风门、弯头，靴状三通，变径，不锈钢卡箍，金属网格桥架线槽 ，吸尘管及主网支网硬管道等配件。（包含人员现场施工安装）</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技术要求：可遥控集尘器的启动关闭，可联动控制电磁阀风门开闭。</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轨道小车</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车拖纸带打点式，打点有效距离不小于600mm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辆</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支杆定滑轮和桌边夹</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每套带支杆单滑轮、尼龙线、桌边夹各3件，小铁环1件，支杆高度可调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金属钩码</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50gx4, 200gx2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金属槽码</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Style w:val="829"/>
                <w:rFonts w:ascii="仿宋" w:hAnsi="仿宋" w:eastAsia="仿宋" w:cs="仿宋"/>
                <w:sz w:val="24"/>
                <w:szCs w:val="24"/>
                <w:lang w:bidi="ar"/>
              </w:rPr>
              <w:t>2gx3</w:t>
            </w:r>
            <w:r>
              <w:rPr>
                <w:rStyle w:val="969"/>
                <w:rFonts w:ascii="仿宋" w:hAnsi="仿宋" w:eastAsia="仿宋" w:cs="仿宋"/>
                <w:sz w:val="24"/>
                <w:szCs w:val="24"/>
                <w:lang w:bidi="ar"/>
              </w:rPr>
              <w:t>z</w:t>
            </w:r>
            <w:r>
              <w:rPr>
                <w:rStyle w:val="829"/>
                <w:rFonts w:ascii="仿宋" w:hAnsi="仿宋" w:eastAsia="仿宋" w:cs="仿宋"/>
                <w:sz w:val="24"/>
                <w:szCs w:val="24"/>
                <w:lang w:bidi="ar"/>
              </w:rPr>
              <w:t xml:space="preserve"> 5gx2, 10gx2, 20gx2, 50gx2, 100g x2, 200gx2, 5gx1金属槽码盘和10gx1金属槽</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电火花计时器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单频率：0.02s,火花距离不小于10mm,平均电流不大于0.5mA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平抛运动实验器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要符合JY0001 - 2003《教学仪器设备产品一般质量要求》和JY0002 - 2004《教学仪器设备产品般质量要求》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709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指针式多用电表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通断蜂鸣，支撑架一体</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可拆变压器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要符合JY0001 - 2003《教学仪器设备产品一般质量要求》和JY0002 - 2007《教学仪器设备产品一般质量要求》</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滑动变阻器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5Ω, 3A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滑动变阻器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20Ω, 2A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条形磁铁</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铝铁碳，180mm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灵敏电流计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±300µA</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电阻箱</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9999.99欧姆，零值电阻30±5mΩ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电阻定律实验器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不少于四根导线，长度、截面积、材料不同</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游标卡尺</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20分度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游标卡尺</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50分度</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25</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719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螺旋测微器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0mm~25mm, 0.01mm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长木尺</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100mm,双面</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双缝干涉实验器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带实验支架</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27</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玻璃砖</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单面磨砂，重量≤102g</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浅盘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方形玻璃平底</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滴管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直型ψ8mm*150mm,配乳胶头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玻璃板</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方形</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玻意耳定律实验器</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配套压力表及气阀，≤892g,带底座</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连接线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香蕉插头转鳄鱼夹线,红黑连体</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sz w:val="24"/>
              </w:rPr>
            </w:pPr>
            <w:r>
              <w:rPr>
                <w:rFonts w:hint="eastAsia" w:ascii="仿宋" w:hAnsi="仿宋" w:eastAsia="仿宋" w:cs="仿宋"/>
                <w:color w:val="000000"/>
                <w:kern w:val="0"/>
                <w:sz w:val="22"/>
                <w:szCs w:val="22"/>
                <w:lang w:bidi="ar"/>
              </w:rPr>
              <w:t>728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钢锯（活动钢锯架）</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8/10/12 可调</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729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刚锯条（细齿）</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12寸、24T、300mm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钢丝锯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可调 QHLH400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钢丝锯条</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0.9mm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400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金工锉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8寸中齿套装（平锉、圆锉、三角锉、方锉、半圆锉）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733</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划规</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734</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划针</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735</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钢直尺</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30cm 厚0.9mm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736</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划线平台</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300*300mm</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圆板牙、丝锥套装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20件套（公制套装）</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738</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样冲</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滚花柄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48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739</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毛刷</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2寸</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740</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钢丝刷</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6列1行，每孔14根丝，丝径0.35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741</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框锯</w:t>
            </w:r>
          </w:p>
        </w:tc>
        <w:tc>
          <w:tcPr>
            <w:tcW w:w="69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350mm小号</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24</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把</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val="en-US" w:eastAsia="zh-CN" w:bidi="ar"/>
              </w:rPr>
              <w:t>742</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激光切割机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1. 加工平台：900*600mm高精密丝杆电动升降平台，双平台配置，蜂巢板平台+铝刀条平台；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2. 对焦方式：支持红外式自动对焦及手动对焦双模式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3. 定位指示器：合束结构红光定位系统，让CO2光束和红光光束重叠，精准定位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 安全规格：符合美国FDA激光安全标准，符合欧盟CE激光安全标准；管理员模式；工作舱开盖保护功能；激光器开盖保护功能；强制水冷保护系统；温控自动报警系统；漏电断路保护系统；急停保护系统；封闭式光路系统；钢化玻璃观测窗口设计；工作状态指示灯；设备主体接口采用凹入防磕碰设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5. 激光操作软件：专为创客教育开发的专用软件具备强大的教学性：材料参数库；图库功能；一键轮廓抓取功能；图形焊接修剪功能；网格吸附功能；图形吸附对齐功能；支持CorelDraw、AutoCAD，Inkscape，Sketchup，Rhinoceros 等矢量绘图软件</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6. 文件支持格式：可直接打开SVG，DXF，PLT，AI等矢量格式，JPG，BMP等图片格式。</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7. 特殊功能：多种加工模式（标准雕刻、图片雕刻、浮雕雕刻、印章雕刻、深度雕刻、雕刻、标准切割、3D切割、“圆柱旋转、圆柱旋转切割：不包含需要另外购买”）、切缝补偿，智能路径优化、智能节能降噪控制卡、自动吹气调节、自动抽风机节能控制、工时估算、任意定位、以太网络数据传输；自动工时预估</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8.  配套课程资源：电子版教材（112课时）一套；纸质版教材（带ISBN号）一套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9. 培训服务：提供设备、软件、项目制作等相关线上培训</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101化学常规实验室一-地流平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101化学常规实验室一-踢脚线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102化学准备室-地流平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102化学准备室-踢脚线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103化学常规实验室二-地流平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103化学常规实验室二-踢脚线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749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104化学准备室二-地流平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104化学准备室二-踢脚线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105化学常规实验室三-地流平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105化学常规实验室三-踢脚线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202仪器室及准备室二-地流平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202仪器室及准备室二-踢脚线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206生物准备室三-地流平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206生物准备室三-踢脚线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207生物数码互动实验室-地流平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207生物数码互动实验室-踢脚线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759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208生物准备室四-地流平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208生物准备室四-踢脚线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209生物探究实验室-地流平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209生物探究实验室-踢脚线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301仪器室四-地流平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301仪器室四-踢脚线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302仪器室三-地流平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302仪器室三-踢脚线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303物理创新-地流平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303物理创新-踢脚线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769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305物理准备室三-地流平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305物理准备室三-踢脚线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307准备室-地流平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307准备室-踢脚线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23</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501历史学科教室-地流平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501历史学科教室-踢脚线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501书法教室-地流平</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地面处理：地面地流平整平</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108</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bidi="ar"/>
              </w:rPr>
              <w:t>7</w:t>
            </w:r>
            <w:r>
              <w:rPr>
                <w:rFonts w:hint="eastAsia" w:ascii="仿宋" w:hAnsi="仿宋" w:eastAsia="仿宋" w:cs="仿宋"/>
                <w:color w:val="000000"/>
                <w:kern w:val="0"/>
                <w:sz w:val="22"/>
                <w:szCs w:val="22"/>
                <w:lang w:val="en-US" w:eastAsia="zh-CN" w:bidi="ar"/>
              </w:rPr>
              <w:t>76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501书法教室踢脚线</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踢脚线安装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50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bidi="ar"/>
              </w:rPr>
              <w:t>7</w:t>
            </w:r>
            <w:r>
              <w:rPr>
                <w:rFonts w:hint="eastAsia" w:ascii="仿宋" w:hAnsi="仿宋" w:eastAsia="仿宋" w:cs="仿宋"/>
                <w:color w:val="000000"/>
                <w:kern w:val="0"/>
                <w:sz w:val="22"/>
                <w:szCs w:val="22"/>
                <w:lang w:val="en-US" w:eastAsia="zh-CN" w:bidi="ar"/>
              </w:rPr>
              <w:t>77</w:t>
            </w:r>
          </w:p>
        </w:tc>
        <w:tc>
          <w:tcPr>
            <w:tcW w:w="11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2号楼教室封窗</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教室窗户石膏板封窗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hint="default" w:ascii="仿宋" w:hAnsi="仿宋" w:eastAsia="仿宋" w:cs="仿宋"/>
                <w:color w:val="000000"/>
                <w:sz w:val="24"/>
                <w:lang w:val="en-US" w:eastAsia="zh-CN"/>
              </w:rPr>
            </w:pPr>
            <w:r>
              <w:rPr>
                <w:rFonts w:hint="eastAsia" w:ascii="仿宋" w:hAnsi="仿宋" w:eastAsia="仿宋" w:cs="仿宋"/>
                <w:color w:val="000000"/>
                <w:kern w:val="0"/>
                <w:sz w:val="22"/>
                <w:szCs w:val="22"/>
                <w:lang w:bidi="ar"/>
              </w:rPr>
              <w:t>7</w:t>
            </w:r>
            <w:r>
              <w:rPr>
                <w:rFonts w:hint="eastAsia" w:ascii="仿宋" w:hAnsi="仿宋" w:eastAsia="仿宋" w:cs="仿宋"/>
                <w:color w:val="000000"/>
                <w:kern w:val="0"/>
                <w:sz w:val="22"/>
                <w:szCs w:val="22"/>
                <w:lang w:val="en-US" w:eastAsia="zh-CN" w:bidi="ar"/>
              </w:rPr>
              <w:t>78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2号楼过道-墙面喷刷涂料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清理基层，刮腻子，第一遍用胶皮刮板横向刮满，接头不留槎，干燥后用砂纸打磨，将浮腻子及斑迹磨光，再将墙面清扫干净；第二遍方法同第一遍；第三遍用胶皮刮板找补腻子或用钢片刮板满刮腻子，将墙面刮平、刮光，打磨平整。</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92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文化走廊</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基础设备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779</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元素周期表展柜</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定制元素周期表柜体，整体尺寸约2000*2000*400mm，共118个元素内格，每个内格尺寸100*100*100mm，每个内格内接LED灯（气体元素内格不安装led灯），整体安装大尺寸钢化玻璃一块，铆钉固定钢化玻璃门。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780</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化学元素实物样品</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共提供81种元素的实物样品（不含放射性元素的实物样品），包括数百件标本，涵盖各种宝石（与对应元素相关）、矿物晶体、单质、化合物、工业应用品、生活应用品等，各种贵金属、稀有金属、稀土金属、稀有气体等全部齐全，种类十分丰富。如果对放射性元素样品有需求的话我公司也可以提供部分相关样品，但属于附加项，需另计费用。氦氖氩氪氙这五种气体元素每种都会装配一件特制的气体放电管，其他有实物样品的元素都有多件样品，包含实物样品的元素有：氢、氦、锂、铍、硼、碳、氮、氧、氟、氖、钠、镁、铝、硅、磷、硫、氯、氩、钾、钙、钪、钛、钒、铬、锰、铁、钴、镍、铜、锌、镓、锗、砷、硒、溴、氪、铷、锶、钇、锆、铌、钼、钌、铑、钯、银、镉、铟、锡、锑、碲、碘、氙、铯、钡、镧、铈、镨、钕、钐、铕、钆、铽、镝、钬、铒、铥、镱、镥、铪、钽、钨、铼、锇、铱、铂、金、汞、铊、铅、铋，种类至少310种（去掉代表性相对弱的标本，留下来的是代表性强价值也相对高一些的样品）。</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781</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亚克力样品盒</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共提供122件亚克力样品盒，带对应元素标识，尺寸97*97*97mm</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122</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件</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782</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元素样品底座及标签</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共提供数百件元素样品的亚克力底座及对应标签。放射性元素无实物样品，只摆放与元素对应的亚克力底座及标签。</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783</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气体元素高压电源一组</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共5件，用于输出高压电以激发气体元素样品发光，并配高压线若干。</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784</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高压电源控制器及编程</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用以控制高压电源，使气体元素样品按程序发光，延长寿命。</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组</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触控系统</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Ipad Pro,12.9英寸平板电脑，64G，WLAN版，用于配套元素软件的使用。</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786</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显示器</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不小于32寸液晶电视，用于元素配套软件的显示,，配套电源线、高清线等配件。具体型号尺寸按实际安装现场需求来确定采购。</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787</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元素软件</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软件名：神奇的化学元素，开发商Touch Press lnc，需在IOS系统内运行。用于配套展示各种化学元素的科学知识，包括图片、文字、3D图像、视频等，每一种元素都有相关文字介绍以及元素数据库资料，熔点、沸点、原子质量、原子序数、电子层结构、晶体结构、密度、原子半径、电负性、宇宙中含量、地壳中含量、光谱信息等信息全都包括。实验视频有几十个，一般为元素相关实验视频。每种元素都配有多种样品的高清图片以及文字解说，用以科普元素的来源、性质、用途等知识。绝大多数元素都配有一件样品的高清可旋转3D图像，展示效果十分形象真实。</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学生作品展示墙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定制学生作品展示墙</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789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数字地形体验区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定制数字地形体验区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电影原理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②图文版：灯片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①频闪灯:高亮LED</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窥视无穷</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②演示机构：亚克力+LED灯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①开关电源：明纬NES-35-12 输入AC220V,输出DC12V,功率35W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③LED灯：12V 高亮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莫尔条纹（手动）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声驻波</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④演示机构：亚克力+喇叭+彩色颗粒</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①开关电源：明纬NES-35-24 输入AC220V,输出DC24V,功率35W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③旋钮：1个</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④喇叭：蓝鲸中音喇叭</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电磁实验（磁棒过线圈）</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尖端放电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④尖端放电机构：304不锈钢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⑤防护罩：亚克力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②高压变压器：输入220V，输出30kV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200W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雅各布天梯</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④羊角电极：304不锈钢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⑤防护罩：亚克力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②高压变压器：输入220V，输出30kV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200W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静电乒乓</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②静电发生器：输入220V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100W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辉光盘</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④演示机构：辉光盘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②辉光盘：8寸，输入电压220V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799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人体导电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①开关电源：NES-35-12 输入AC220V,输出DC12V,功率35W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②灯泡：DC12V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勾股定理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滚出直线（手动）</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②演示机构：亚克力+不锈钢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穿墙而过</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④演示机构：亚克力+偏光膜</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太阳能发电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④演示机构：亚克力+射灯</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①射灯：220V  35W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③太阳能电池板：2V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手眼协调</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②演示机构：亚克力+不锈钢+尼龙</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①开关电源：明纬NES-35-24 输入AC220V,输出DC24V,功率35W</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②蜂鸣器</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805</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无源之水</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④演示机构：亚克力+水泵</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①无源之水演示模型：1套</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②按钮：AL6Y-A优质圆形开关 自锁带灯按钮 Φ16mm开孔 220V 24V 12V 6.3V</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①电源需求：AC220V  50W  标准三线插座</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手摇发电</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异形齿轮</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1、展品用材：</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①底座：ABS注塑</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②背板：抗倍特板，厚度≧5mm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③说明牌：亚克力UV喷绘</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④演示机构：亚克力+304不锈钢</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2、主要配置：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无</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3、布展需求：</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①电源需求：不需要</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②本展项需安装在展厅墙面上，墙面需能打膨胀螺丝（最好是砖混结构）</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化学元素金属字装饰（西侧）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250x270m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不锈钢拉丝字，折边厚度2-5cm不等，突出层次感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双面字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809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化学元素金属字装饰（东侧）</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250x270m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不锈钢拉丝字，折边厚度2-5cm不等，突出层次感</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双面字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物理学家简介，木工框裱画</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单幅画80x120 定制木头画框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生物学家简介，木工框裱画</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单幅画80x120 定制木头画框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化学家简介，木工框裱画</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单幅画80x120 定制木头画框</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副</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城市生活污染与化学旋转展示区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730x270 </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旋转部分520x270  10列旋转条</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镀锌板或木工板造型</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分子结构模型展示区</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木工板造型+展示格+油画布UV打印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815</w:t>
            </w: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显示器</w:t>
            </w:r>
          </w:p>
        </w:tc>
        <w:tc>
          <w:tcPr>
            <w:tcW w:w="69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不小于50寸液晶电视显示器，配套电源线、高清线等配件。具体型号尺寸按实际安装现场需求来确定采购。</w:t>
            </w:r>
          </w:p>
        </w:tc>
        <w:tc>
          <w:tcPr>
            <w:tcW w:w="6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台</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816</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实验室门牌</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实验室门牌设计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120</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个</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817</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导视柱</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实验楼导视柱设计</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1039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环境布展</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序号</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设备名称</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数量</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单位</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818</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隐形门安装</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定制实木多层板隐形门</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扇</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819</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墙面处理</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木工板打底，油漆涂料2遍</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60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m²</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820</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常规实验材料介绍</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730.5x270cm</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油画布打底+2公分PVC底板+立体边框+1公分亚克力雕刻字</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套</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821</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植物标本背景墙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定制背景墙</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822</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灯光</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含灯带，发光字安装</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823</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良渚造型墙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定制良渚造型墙</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r>
        <w:tblPrEx>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仿宋" w:hAnsi="仿宋" w:eastAsia="仿宋" w:cs="仿宋"/>
                <w:color w:val="000000"/>
                <w:sz w:val="24"/>
              </w:rPr>
            </w:pPr>
            <w:r>
              <w:rPr>
                <w:rFonts w:hint="eastAsia" w:ascii="宋体" w:hAnsi="宋体" w:eastAsia="宋体" w:cs="宋体"/>
                <w:i w:val="0"/>
                <w:iCs w:val="0"/>
                <w:color w:val="000000"/>
                <w:kern w:val="0"/>
                <w:sz w:val="22"/>
                <w:szCs w:val="22"/>
                <w:u w:val="none"/>
                <w:lang w:val="en-US" w:eastAsia="zh-CN" w:bidi="ar"/>
              </w:rPr>
              <w:t>824</w:t>
            </w: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物理展品墙</w:t>
            </w:r>
          </w:p>
        </w:tc>
        <w:tc>
          <w:tcPr>
            <w:tcW w:w="6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定制展品墙，木工板打底，作品展示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项</w:t>
            </w:r>
          </w:p>
        </w:tc>
      </w:tr>
    </w:tbl>
    <w:p>
      <w:pPr>
        <w:pStyle w:val="5"/>
        <w:tabs>
          <w:tab w:val="left" w:pos="1260"/>
          <w:tab w:val="clear" w:pos="900"/>
        </w:tabs>
        <w:spacing w:before="0" w:after="0" w:line="600" w:lineRule="atLeast"/>
        <w:ind w:left="0" w:firstLine="0"/>
        <w:jc w:val="left"/>
        <w:rPr>
          <w:rFonts w:ascii="仿宋" w:hAnsi="仿宋" w:eastAsia="仿宋" w:cs="仿宋"/>
          <w:kern w:val="0"/>
          <w:sz w:val="24"/>
          <w:szCs w:val="24"/>
        </w:rPr>
      </w:pPr>
    </w:p>
    <w:p>
      <w:pPr>
        <w:snapToGrid w:val="0"/>
        <w:spacing w:line="360" w:lineRule="auto"/>
        <w:ind w:firstLine="354" w:firstLineChars="147"/>
        <w:rPr>
          <w:rFonts w:ascii="仿宋" w:hAnsi="仿宋" w:eastAsia="仿宋" w:cs="仿宋"/>
          <w:bCs/>
          <w:sz w:val="24"/>
        </w:rPr>
      </w:pPr>
      <w:r>
        <w:rPr>
          <w:rFonts w:hint="eastAsia" w:ascii="仿宋" w:hAnsi="仿宋" w:eastAsia="仿宋" w:cs="仿宋"/>
          <w:b/>
          <w:sz w:val="24"/>
        </w:rPr>
        <w:t xml:space="preserve"> 三、供货要求：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1、投标人投标提供的设备必须是厂商原装的、全新的，配置与装箱单相符；数量、质量及性能不低于本标书中提出的要求；应准确无误地表明设备型号、规格、制造厂商；</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2、中标后30日内签订合同。</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3、所供货物不会侵犯任何第三方知识产权；</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4、送货地址：采购人指定地点。</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四、售后服务要求：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1、质保期要求：二年。</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2、技术支持要求：质保期内出现问题，2小时内响应，4小时内到位消障，7*24小时电话支持，若因特殊情况不能立即排除故障时，中标人应负责采取应急措施，采用备用设备等方式，确保买方基本使用不受影响。</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3、要求中标人提供易耗件的备件和日常保养维护的专用工具；中标人应于验收后向用户提供技术文档，并提供完整的软、硬件技术资料。</w:t>
      </w:r>
    </w:p>
    <w:p>
      <w:pPr>
        <w:snapToGrid w:val="0"/>
        <w:spacing w:line="360" w:lineRule="auto"/>
        <w:ind w:firstLine="354" w:firstLineChars="147"/>
        <w:rPr>
          <w:rFonts w:ascii="仿宋" w:hAnsi="仿宋" w:eastAsia="仿宋" w:cs="仿宋"/>
          <w:b/>
          <w:sz w:val="24"/>
        </w:rPr>
      </w:pPr>
      <w:r>
        <w:rPr>
          <w:rFonts w:hint="eastAsia" w:ascii="仿宋" w:hAnsi="仿宋" w:eastAsia="仿宋" w:cs="仿宋"/>
          <w:b/>
          <w:sz w:val="24"/>
        </w:rPr>
        <w:t>五、培训要求：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投标方对使用单位的人员进行使用、维护技能培训，培训内容包括掌握设备的基本结构、性能、主要部件的构造及原理，日常运行操作方法、保养与管理，常见故障的排除，紧急情况的处理等。确保用户能够对设备有足够的了解和熟悉，能够独立进行设备的日常运营、维护和管理。</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六、工期要求：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签订合同后 30 天内完成所有设备的供货、安装、调试等所有工作内容。</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七、验收要求：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根据余财采〔2020〕14号《关于转发&lt;杭州市政府采购履约验收暂行办法&gt;的通知》要求，采购合同签订并备案之后，采购人通过杭州市政府采购监管平台向采购代理机构发出验收启动通知，受委托的采购代理机构制定项目验收方案。验收方案应当包括项目基本情况、验收组织主体、验收小组组建方式、验收方法、验收流程、验收指标和标准等要素。受委托的采购代理机构应当按照采购文件确定的技术指标或者服务要求确定验收指标和标准</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八、付款方式：</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合同生效并具备实施条件后7个工作日内，采购人支付合同价的50%作为预付款；项目完工并通过验收合格后，支付合同价剩余的50%。</w:t>
      </w:r>
    </w:p>
    <w:p>
      <w:pPr>
        <w:snapToGrid w:val="0"/>
        <w:spacing w:line="360" w:lineRule="auto"/>
        <w:rPr>
          <w:rFonts w:ascii="仿宋" w:hAnsi="仿宋" w:eastAsia="仿宋" w:cs="仿宋"/>
          <w:b/>
          <w:sz w:val="24"/>
        </w:rPr>
      </w:pPr>
      <w:r>
        <w:rPr>
          <w:rFonts w:hint="eastAsia" w:ascii="仿宋" w:hAnsi="仿宋" w:eastAsia="仿宋" w:cs="仿宋"/>
          <w:b/>
          <w:sz w:val="24"/>
        </w:rPr>
        <w:t xml:space="preserve">   九、验收要求：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 xml:space="preserve">根据余财采〔2020〕14号《关于转发《杭州市政府采购履约验收暂行办法》的通知》精神，组织验收。   </w:t>
      </w:r>
    </w:p>
    <w:p>
      <w:pPr>
        <w:snapToGrid w:val="0"/>
        <w:spacing w:line="360" w:lineRule="auto"/>
        <w:rPr>
          <w:rFonts w:ascii="仿宋" w:hAnsi="仿宋" w:eastAsia="仿宋" w:cs="仿宋"/>
          <w:b/>
          <w:bCs/>
          <w:sz w:val="24"/>
        </w:rPr>
      </w:pPr>
      <w:r>
        <w:rPr>
          <w:rFonts w:hint="eastAsia" w:ascii="仿宋" w:hAnsi="仿宋" w:eastAsia="仿宋" w:cs="仿宋"/>
          <w:b/>
          <w:bCs/>
          <w:sz w:val="24"/>
        </w:rPr>
        <w:t xml:space="preserve">   十、采购人认为必须说明的其他内容：</w:t>
      </w:r>
    </w:p>
    <w:p>
      <w:pPr>
        <w:pStyle w:val="620"/>
        <w:ind w:firstLine="0" w:firstLineChars="0"/>
        <w:outlineLvl w:val="0"/>
        <w:rPr>
          <w:rFonts w:ascii="仿宋" w:hAnsi="仿宋" w:eastAsia="仿宋" w:cs="仿宋"/>
          <w:b/>
          <w:bCs/>
          <w:color w:val="auto"/>
          <w:szCs w:val="24"/>
        </w:rPr>
      </w:pPr>
      <w:r>
        <w:rPr>
          <w:rFonts w:hint="eastAsia" w:ascii="仿宋" w:hAnsi="仿宋" w:eastAsia="仿宋" w:cs="仿宋"/>
          <w:b/>
          <w:bCs/>
          <w:color w:val="auto"/>
          <w:szCs w:val="24"/>
        </w:rPr>
        <w:t>带“</w:t>
      </w:r>
      <w:r>
        <w:rPr>
          <w:rFonts w:hint="eastAsia" w:ascii="仿宋" w:hAnsi="仿宋" w:eastAsia="仿宋" w:cs="仿宋"/>
          <w:szCs w:val="20"/>
        </w:rPr>
        <w:t>▲</w:t>
      </w:r>
      <w:r>
        <w:rPr>
          <w:rFonts w:hint="eastAsia" w:ascii="仿宋" w:hAnsi="仿宋" w:eastAsia="仿宋" w:cs="仿宋"/>
          <w:b/>
          <w:bCs/>
          <w:color w:val="auto"/>
          <w:szCs w:val="24"/>
        </w:rPr>
        <w:t>”条款为实质性条款，投标人须将相应内容填写至《符合性审查资料》，如有任意一条未响应或不满足，将被视为投标无效。</w:t>
      </w:r>
    </w:p>
    <w:p>
      <w:pPr>
        <w:spacing w:line="560" w:lineRule="exact"/>
        <w:ind w:firstLine="480" w:firstLineChars="200"/>
        <w:outlineLvl w:val="0"/>
        <w:rPr>
          <w:rFonts w:ascii="仿宋" w:hAnsi="仿宋" w:eastAsia="仿宋"/>
          <w:sz w:val="24"/>
        </w:rPr>
      </w:pPr>
    </w:p>
    <w:p>
      <w:pPr>
        <w:spacing w:line="560" w:lineRule="exact"/>
        <w:ind w:firstLine="480" w:firstLineChars="200"/>
        <w:outlineLvl w:val="0"/>
        <w:rPr>
          <w:rFonts w:ascii="仿宋" w:hAnsi="仿宋" w:eastAsia="仿宋"/>
          <w:sz w:val="24"/>
        </w:rPr>
      </w:pPr>
    </w:p>
    <w:p>
      <w:pPr>
        <w:spacing w:line="560" w:lineRule="exact"/>
        <w:ind w:firstLine="480" w:firstLineChars="200"/>
        <w:outlineLvl w:val="0"/>
        <w:rPr>
          <w:rFonts w:ascii="仿宋" w:hAnsi="仿宋" w:eastAsia="仿宋"/>
          <w:sz w:val="24"/>
        </w:rPr>
      </w:pPr>
    </w:p>
    <w:p>
      <w:pPr>
        <w:snapToGrid w:val="0"/>
        <w:spacing w:line="360" w:lineRule="auto"/>
        <w:ind w:firstLine="2168" w:firstLineChars="900"/>
        <w:rPr>
          <w:rFonts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 xml:space="preserve">第四部分   </w:t>
      </w:r>
      <w:bookmarkStart w:id="27" w:name="_Toc184312069"/>
      <w:bookmarkEnd w:id="27"/>
      <w:bookmarkStart w:id="28" w:name="_Toc184308106"/>
      <w:bookmarkEnd w:id="28"/>
      <w:bookmarkStart w:id="29" w:name="_Toc184310338"/>
      <w:bookmarkEnd w:id="29"/>
      <w:bookmarkStart w:id="30" w:name="_Toc184313306"/>
      <w:bookmarkEnd w:id="30"/>
      <w:bookmarkStart w:id="31" w:name="_Toc184314477"/>
      <w:bookmarkEnd w:id="31"/>
      <w:bookmarkStart w:id="32" w:name="_Toc184308099"/>
      <w:bookmarkEnd w:id="32"/>
      <w:bookmarkStart w:id="33" w:name="_Toc184308107"/>
      <w:bookmarkEnd w:id="33"/>
      <w:bookmarkStart w:id="34" w:name="_Toc184313296"/>
      <w:bookmarkEnd w:id="34"/>
      <w:bookmarkStart w:id="35" w:name="_Toc184313264"/>
      <w:bookmarkEnd w:id="35"/>
      <w:bookmarkStart w:id="36" w:name="_Toc184312088"/>
      <w:bookmarkEnd w:id="36"/>
      <w:bookmarkStart w:id="37" w:name="_Toc184308062"/>
      <w:bookmarkEnd w:id="37"/>
      <w:bookmarkStart w:id="38" w:name="_Toc184312097"/>
      <w:bookmarkEnd w:id="38"/>
      <w:bookmarkStart w:id="39" w:name="_Toc184314443"/>
      <w:bookmarkEnd w:id="39"/>
      <w:bookmarkStart w:id="40" w:name="_Toc184314470"/>
      <w:bookmarkEnd w:id="40"/>
      <w:bookmarkStart w:id="41" w:name="_Toc184308070"/>
      <w:bookmarkEnd w:id="41"/>
      <w:bookmarkStart w:id="42" w:name="_Toc184314415"/>
      <w:bookmarkEnd w:id="42"/>
      <w:bookmarkStart w:id="43" w:name="_Toc184314466"/>
      <w:bookmarkEnd w:id="43"/>
      <w:bookmarkStart w:id="44" w:name="_Toc184310292"/>
      <w:bookmarkEnd w:id="44"/>
      <w:bookmarkStart w:id="45" w:name="_Toc184313287"/>
      <w:bookmarkEnd w:id="45"/>
      <w:bookmarkStart w:id="46" w:name="_Toc184312089"/>
      <w:bookmarkEnd w:id="46"/>
      <w:bookmarkStart w:id="47" w:name="_Toc184314482"/>
      <w:bookmarkEnd w:id="47"/>
      <w:bookmarkStart w:id="48" w:name="_Toc184313276"/>
      <w:bookmarkEnd w:id="48"/>
      <w:bookmarkStart w:id="49" w:name="_Toc184310325"/>
      <w:bookmarkEnd w:id="49"/>
      <w:bookmarkStart w:id="50" w:name="_Toc184314440"/>
      <w:bookmarkEnd w:id="50"/>
      <w:bookmarkStart w:id="51" w:name="_Toc184310278"/>
      <w:bookmarkEnd w:id="51"/>
      <w:bookmarkStart w:id="52" w:name="_Toc184313245"/>
      <w:bookmarkEnd w:id="52"/>
      <w:bookmarkStart w:id="53" w:name="_Toc184314463"/>
      <w:bookmarkEnd w:id="53"/>
      <w:bookmarkStart w:id="54" w:name="_Toc184312099"/>
      <w:bookmarkEnd w:id="54"/>
      <w:bookmarkStart w:id="55" w:name="_Toc184314457"/>
      <w:bookmarkEnd w:id="55"/>
      <w:bookmarkStart w:id="56" w:name="_Toc184308084"/>
      <w:bookmarkEnd w:id="56"/>
      <w:bookmarkStart w:id="57" w:name="_Toc184308068"/>
      <w:bookmarkEnd w:id="57"/>
      <w:bookmarkStart w:id="58" w:name="_Toc184310274"/>
      <w:bookmarkEnd w:id="58"/>
      <w:bookmarkStart w:id="59" w:name="_Toc184308048"/>
      <w:bookmarkEnd w:id="59"/>
      <w:bookmarkStart w:id="60" w:name="_Toc184310308"/>
      <w:bookmarkEnd w:id="60"/>
      <w:bookmarkStart w:id="61" w:name="_Toc184308054"/>
      <w:bookmarkEnd w:id="61"/>
      <w:bookmarkStart w:id="62" w:name="_Toc184312110"/>
      <w:bookmarkEnd w:id="62"/>
      <w:bookmarkStart w:id="63" w:name="_Toc184310298"/>
      <w:bookmarkEnd w:id="63"/>
      <w:bookmarkStart w:id="64" w:name="_Toc184312085"/>
      <w:bookmarkEnd w:id="64"/>
      <w:bookmarkStart w:id="65" w:name="_Toc184310307"/>
      <w:bookmarkEnd w:id="65"/>
      <w:bookmarkStart w:id="66" w:name="_Toc184313262"/>
      <w:bookmarkEnd w:id="66"/>
      <w:bookmarkStart w:id="67" w:name="_Toc184314435"/>
      <w:bookmarkEnd w:id="67"/>
      <w:bookmarkStart w:id="68" w:name="_Toc184310287"/>
      <w:bookmarkEnd w:id="68"/>
      <w:bookmarkStart w:id="69" w:name="_Toc184314451"/>
      <w:bookmarkEnd w:id="69"/>
      <w:bookmarkStart w:id="70" w:name="_Toc184312134"/>
      <w:bookmarkEnd w:id="70"/>
      <w:bookmarkStart w:id="71" w:name="_Toc184312129"/>
      <w:bookmarkEnd w:id="71"/>
      <w:bookmarkStart w:id="72" w:name="_Toc184312072"/>
      <w:bookmarkEnd w:id="72"/>
      <w:bookmarkStart w:id="73" w:name="_Toc184312131"/>
      <w:bookmarkEnd w:id="73"/>
      <w:bookmarkStart w:id="74" w:name="_Toc184312117"/>
      <w:bookmarkEnd w:id="74"/>
      <w:bookmarkStart w:id="75" w:name="_Toc184313249"/>
      <w:bookmarkEnd w:id="75"/>
      <w:bookmarkStart w:id="76" w:name="_Toc184312136"/>
      <w:bookmarkEnd w:id="76"/>
      <w:bookmarkStart w:id="77" w:name="_Toc184314467"/>
      <w:bookmarkEnd w:id="77"/>
      <w:bookmarkStart w:id="78" w:name="_Toc184314454"/>
      <w:bookmarkEnd w:id="78"/>
      <w:bookmarkStart w:id="79" w:name="_Toc184312115"/>
      <w:bookmarkEnd w:id="79"/>
      <w:bookmarkStart w:id="80" w:name="_Toc184313308"/>
      <w:bookmarkEnd w:id="80"/>
      <w:bookmarkStart w:id="81" w:name="_Toc184313283"/>
      <w:bookmarkEnd w:id="81"/>
      <w:bookmarkStart w:id="82" w:name="_Toc184312073"/>
      <w:bookmarkEnd w:id="82"/>
      <w:bookmarkStart w:id="83" w:name="_Toc184310320"/>
      <w:bookmarkEnd w:id="83"/>
      <w:bookmarkStart w:id="84" w:name="_Toc184314469"/>
      <w:bookmarkEnd w:id="84"/>
      <w:bookmarkStart w:id="85" w:name="_Toc184313239"/>
      <w:bookmarkEnd w:id="85"/>
      <w:bookmarkStart w:id="86" w:name="_Toc184308039"/>
      <w:bookmarkEnd w:id="86"/>
      <w:bookmarkStart w:id="87" w:name="_Toc184308088"/>
      <w:bookmarkEnd w:id="87"/>
      <w:bookmarkStart w:id="88" w:name="_Toc184313274"/>
      <w:bookmarkEnd w:id="88"/>
      <w:bookmarkStart w:id="89" w:name="_Toc184312103"/>
      <w:bookmarkEnd w:id="89"/>
      <w:bookmarkStart w:id="90" w:name="_Toc184314433"/>
      <w:bookmarkEnd w:id="90"/>
      <w:bookmarkStart w:id="91" w:name="_Toc184312096"/>
      <w:bookmarkEnd w:id="91"/>
      <w:bookmarkStart w:id="92" w:name="_Toc184314468"/>
      <w:bookmarkEnd w:id="92"/>
      <w:bookmarkStart w:id="93" w:name="_Toc184308104"/>
      <w:bookmarkEnd w:id="93"/>
      <w:bookmarkStart w:id="94" w:name="_Toc184313309"/>
      <w:bookmarkEnd w:id="94"/>
      <w:bookmarkStart w:id="95" w:name="_Toc184310344"/>
      <w:bookmarkEnd w:id="95"/>
      <w:bookmarkStart w:id="96" w:name="_Toc184308063"/>
      <w:bookmarkEnd w:id="96"/>
      <w:bookmarkStart w:id="97" w:name="_Toc184312121"/>
      <w:bookmarkEnd w:id="97"/>
      <w:bookmarkStart w:id="98" w:name="_Toc184310318"/>
      <w:bookmarkEnd w:id="98"/>
      <w:bookmarkStart w:id="99" w:name="_Toc184312084"/>
      <w:bookmarkEnd w:id="99"/>
      <w:bookmarkStart w:id="100" w:name="_Toc184312071"/>
      <w:bookmarkEnd w:id="100"/>
      <w:bookmarkStart w:id="101" w:name="_Toc184313285"/>
      <w:bookmarkEnd w:id="101"/>
      <w:bookmarkStart w:id="102" w:name="_Toc184308102"/>
      <w:bookmarkEnd w:id="102"/>
      <w:bookmarkStart w:id="103" w:name="_Toc184310305"/>
      <w:bookmarkEnd w:id="103"/>
      <w:bookmarkStart w:id="104" w:name="_Toc184308065"/>
      <w:bookmarkEnd w:id="104"/>
      <w:bookmarkStart w:id="105" w:name="_Toc184310340"/>
      <w:bookmarkEnd w:id="105"/>
      <w:bookmarkStart w:id="106" w:name="_Toc184308040"/>
      <w:bookmarkEnd w:id="106"/>
      <w:bookmarkStart w:id="107" w:name="_Toc184313288"/>
      <w:bookmarkEnd w:id="107"/>
      <w:bookmarkStart w:id="108" w:name="_Toc184313242"/>
      <w:bookmarkEnd w:id="108"/>
      <w:bookmarkStart w:id="109" w:name="_Toc184308043"/>
      <w:bookmarkEnd w:id="109"/>
      <w:bookmarkStart w:id="110" w:name="_Toc184310295"/>
      <w:bookmarkEnd w:id="110"/>
      <w:bookmarkStart w:id="111" w:name="_Toc184313299"/>
      <w:bookmarkEnd w:id="111"/>
      <w:bookmarkStart w:id="112" w:name="_Toc184313253"/>
      <w:bookmarkEnd w:id="112"/>
      <w:bookmarkStart w:id="113" w:name="_Toc184313240"/>
      <w:bookmarkEnd w:id="113"/>
      <w:bookmarkStart w:id="114" w:name="_Toc184314426"/>
      <w:bookmarkEnd w:id="114"/>
      <w:bookmarkStart w:id="115" w:name="_Toc184310273"/>
      <w:bookmarkEnd w:id="115"/>
      <w:bookmarkStart w:id="116" w:name="_Toc184313280"/>
      <w:bookmarkEnd w:id="116"/>
      <w:bookmarkStart w:id="117" w:name="_Toc184308046"/>
      <w:bookmarkEnd w:id="117"/>
      <w:bookmarkStart w:id="118" w:name="_Toc184308096"/>
      <w:bookmarkEnd w:id="118"/>
      <w:bookmarkStart w:id="119" w:name="_Toc184314434"/>
      <w:bookmarkEnd w:id="119"/>
      <w:bookmarkStart w:id="120" w:name="_Toc184312092"/>
      <w:bookmarkEnd w:id="120"/>
      <w:bookmarkStart w:id="121" w:name="_Toc184310302"/>
      <w:bookmarkEnd w:id="121"/>
      <w:bookmarkStart w:id="122" w:name="_Toc184312083"/>
      <w:bookmarkEnd w:id="122"/>
      <w:bookmarkStart w:id="123" w:name="_Toc184314436"/>
      <w:bookmarkEnd w:id="123"/>
      <w:bookmarkStart w:id="124" w:name="_Toc184314461"/>
      <w:bookmarkEnd w:id="124"/>
      <w:bookmarkStart w:id="125" w:name="_Toc184314411"/>
      <w:bookmarkEnd w:id="125"/>
      <w:bookmarkStart w:id="126" w:name="_Toc184313258"/>
      <w:bookmarkEnd w:id="126"/>
      <w:bookmarkStart w:id="127" w:name="_Toc184312108"/>
      <w:bookmarkEnd w:id="127"/>
      <w:bookmarkStart w:id="128" w:name="_Toc184314432"/>
      <w:bookmarkEnd w:id="128"/>
      <w:bookmarkStart w:id="129" w:name="_Toc184314428"/>
      <w:bookmarkEnd w:id="129"/>
      <w:bookmarkStart w:id="130" w:name="_Toc184310306"/>
      <w:bookmarkEnd w:id="130"/>
      <w:bookmarkStart w:id="131" w:name="_Toc184310328"/>
      <w:bookmarkEnd w:id="131"/>
      <w:bookmarkStart w:id="132" w:name="_Toc184314430"/>
      <w:bookmarkEnd w:id="132"/>
      <w:bookmarkStart w:id="133" w:name="_Toc184308064"/>
      <w:bookmarkEnd w:id="133"/>
      <w:bookmarkStart w:id="134" w:name="_Toc184310311"/>
      <w:bookmarkEnd w:id="134"/>
      <w:bookmarkStart w:id="135" w:name="_Toc184308055"/>
      <w:bookmarkEnd w:id="135"/>
      <w:bookmarkStart w:id="136" w:name="_Toc184308077"/>
      <w:bookmarkEnd w:id="136"/>
      <w:bookmarkStart w:id="137" w:name="_Toc184308071"/>
      <w:bookmarkEnd w:id="137"/>
      <w:bookmarkStart w:id="138" w:name="_Toc184310283"/>
      <w:bookmarkEnd w:id="138"/>
      <w:bookmarkStart w:id="139" w:name="_Toc184310296"/>
      <w:bookmarkEnd w:id="139"/>
      <w:bookmarkStart w:id="140" w:name="_Toc184314464"/>
      <w:bookmarkEnd w:id="140"/>
      <w:bookmarkStart w:id="141" w:name="_Toc184312100"/>
      <w:bookmarkEnd w:id="141"/>
      <w:bookmarkStart w:id="142" w:name="_Toc184310293"/>
      <w:bookmarkEnd w:id="142"/>
      <w:bookmarkStart w:id="143" w:name="_Toc184314452"/>
      <w:bookmarkEnd w:id="143"/>
      <w:bookmarkStart w:id="144" w:name="_Toc184308053"/>
      <w:bookmarkEnd w:id="144"/>
      <w:bookmarkStart w:id="145" w:name="_Toc184313289"/>
      <w:bookmarkEnd w:id="145"/>
      <w:bookmarkStart w:id="146" w:name="_Toc184314414"/>
      <w:bookmarkEnd w:id="146"/>
      <w:bookmarkStart w:id="147" w:name="_Toc184310290"/>
      <w:bookmarkEnd w:id="147"/>
      <w:bookmarkStart w:id="148" w:name="_Toc184314446"/>
      <w:bookmarkEnd w:id="148"/>
      <w:bookmarkStart w:id="149" w:name="_Toc184314458"/>
      <w:bookmarkEnd w:id="149"/>
      <w:bookmarkStart w:id="150" w:name="_Toc184312079"/>
      <w:bookmarkEnd w:id="150"/>
      <w:bookmarkStart w:id="151" w:name="_Toc184310330"/>
      <w:bookmarkEnd w:id="151"/>
      <w:bookmarkStart w:id="152" w:name="_Toc184312104"/>
      <w:bookmarkEnd w:id="152"/>
      <w:bookmarkStart w:id="153" w:name="_Toc184314475"/>
      <w:bookmarkEnd w:id="153"/>
      <w:bookmarkStart w:id="154" w:name="_Toc184310272"/>
      <w:bookmarkEnd w:id="154"/>
      <w:bookmarkStart w:id="155" w:name="_Toc184314425"/>
      <w:bookmarkEnd w:id="155"/>
      <w:bookmarkStart w:id="156" w:name="_Toc184314419"/>
      <w:bookmarkEnd w:id="156"/>
      <w:bookmarkStart w:id="157" w:name="_Toc184313267"/>
      <w:bookmarkEnd w:id="157"/>
      <w:bookmarkStart w:id="158" w:name="_Toc184310276"/>
      <w:bookmarkEnd w:id="158"/>
      <w:bookmarkStart w:id="159" w:name="_Toc184313271"/>
      <w:bookmarkEnd w:id="159"/>
      <w:bookmarkStart w:id="160" w:name="_Toc184314423"/>
      <w:bookmarkEnd w:id="160"/>
      <w:bookmarkStart w:id="161" w:name="_Toc184312090"/>
      <w:bookmarkEnd w:id="161"/>
      <w:bookmarkStart w:id="162" w:name="_Toc184308056"/>
      <w:bookmarkEnd w:id="162"/>
      <w:bookmarkStart w:id="163" w:name="_Toc184310315"/>
      <w:bookmarkEnd w:id="163"/>
      <w:bookmarkStart w:id="164" w:name="_Toc184314416"/>
      <w:bookmarkEnd w:id="164"/>
      <w:bookmarkStart w:id="165" w:name="_Toc184308042"/>
      <w:bookmarkEnd w:id="165"/>
      <w:bookmarkStart w:id="166" w:name="_Toc184313277"/>
      <w:bookmarkEnd w:id="166"/>
      <w:bookmarkStart w:id="167" w:name="_Toc184313244"/>
      <w:bookmarkEnd w:id="167"/>
      <w:bookmarkStart w:id="168" w:name="_Toc184313298"/>
      <w:bookmarkEnd w:id="168"/>
      <w:bookmarkStart w:id="169" w:name="_Toc184308072"/>
      <w:bookmarkEnd w:id="169"/>
      <w:bookmarkStart w:id="170" w:name="_Toc184310323"/>
      <w:bookmarkEnd w:id="170"/>
      <w:bookmarkStart w:id="171" w:name="_Toc184313305"/>
      <w:bookmarkEnd w:id="171"/>
      <w:bookmarkStart w:id="172" w:name="_Toc184308052"/>
      <w:bookmarkEnd w:id="172"/>
      <w:bookmarkStart w:id="173" w:name="_Toc184310281"/>
      <w:bookmarkEnd w:id="173"/>
      <w:bookmarkStart w:id="174" w:name="_Toc184308041"/>
      <w:bookmarkEnd w:id="174"/>
      <w:bookmarkStart w:id="175" w:name="_Toc184312135"/>
      <w:bookmarkEnd w:id="175"/>
      <w:bookmarkStart w:id="176" w:name="_Toc184312094"/>
      <w:bookmarkEnd w:id="176"/>
      <w:bookmarkStart w:id="177" w:name="_Toc184308038"/>
      <w:bookmarkEnd w:id="177"/>
      <w:bookmarkStart w:id="178" w:name="_Toc184313284"/>
      <w:bookmarkEnd w:id="178"/>
      <w:bookmarkStart w:id="179" w:name="_Toc184312091"/>
      <w:bookmarkEnd w:id="179"/>
      <w:bookmarkStart w:id="180" w:name="_Toc184308059"/>
      <w:bookmarkEnd w:id="180"/>
      <w:bookmarkStart w:id="181" w:name="_Toc184314473"/>
      <w:bookmarkEnd w:id="181"/>
      <w:bookmarkStart w:id="182" w:name="_Toc184312086"/>
      <w:bookmarkEnd w:id="182"/>
      <w:bookmarkStart w:id="183" w:name="_Toc184314424"/>
      <w:bookmarkEnd w:id="183"/>
      <w:bookmarkStart w:id="184" w:name="_Toc184314445"/>
      <w:bookmarkEnd w:id="184"/>
      <w:bookmarkStart w:id="185" w:name="_Toc184313286"/>
      <w:bookmarkEnd w:id="185"/>
      <w:bookmarkStart w:id="186" w:name="_Toc184312126"/>
      <w:bookmarkEnd w:id="186"/>
      <w:bookmarkStart w:id="187" w:name="_Toc184310339"/>
      <w:bookmarkEnd w:id="187"/>
      <w:bookmarkStart w:id="188" w:name="_Toc184310327"/>
      <w:bookmarkEnd w:id="188"/>
      <w:bookmarkStart w:id="189" w:name="_Toc184308044"/>
      <w:bookmarkEnd w:id="189"/>
      <w:bookmarkStart w:id="190" w:name="_Toc184313303"/>
      <w:bookmarkEnd w:id="190"/>
      <w:bookmarkStart w:id="191" w:name="_Toc184308081"/>
      <w:bookmarkEnd w:id="191"/>
      <w:bookmarkStart w:id="192" w:name="_Toc184310332"/>
      <w:bookmarkEnd w:id="192"/>
      <w:bookmarkStart w:id="193" w:name="_Toc184313272"/>
      <w:bookmarkEnd w:id="193"/>
      <w:bookmarkStart w:id="194" w:name="_Toc184310280"/>
      <w:bookmarkEnd w:id="194"/>
      <w:bookmarkStart w:id="195" w:name="_Toc184310331"/>
      <w:bookmarkEnd w:id="195"/>
      <w:bookmarkStart w:id="196" w:name="_Toc184310334"/>
      <w:bookmarkEnd w:id="196"/>
      <w:bookmarkStart w:id="197" w:name="_Toc184308083"/>
      <w:bookmarkEnd w:id="197"/>
      <w:bookmarkStart w:id="198" w:name="_Toc184312118"/>
      <w:bookmarkEnd w:id="198"/>
      <w:bookmarkStart w:id="199" w:name="_Toc184313268"/>
      <w:bookmarkEnd w:id="199"/>
      <w:bookmarkStart w:id="200" w:name="_Toc184308069"/>
      <w:bookmarkEnd w:id="200"/>
      <w:bookmarkStart w:id="201" w:name="_Toc184312107"/>
      <w:bookmarkEnd w:id="201"/>
      <w:bookmarkStart w:id="202" w:name="_Toc184312074"/>
      <w:bookmarkEnd w:id="202"/>
      <w:bookmarkStart w:id="203" w:name="_Toc184314472"/>
      <w:bookmarkEnd w:id="203"/>
      <w:bookmarkStart w:id="204" w:name="_Toc184314479"/>
      <w:bookmarkEnd w:id="204"/>
      <w:bookmarkStart w:id="205" w:name="_Toc184310316"/>
      <w:bookmarkEnd w:id="205"/>
      <w:bookmarkStart w:id="206" w:name="_Toc184312132"/>
      <w:bookmarkEnd w:id="206"/>
      <w:bookmarkStart w:id="207" w:name="_Toc184310335"/>
      <w:bookmarkEnd w:id="207"/>
      <w:bookmarkStart w:id="208" w:name="_Toc184314449"/>
      <w:bookmarkEnd w:id="208"/>
      <w:bookmarkStart w:id="209" w:name="_Toc184308082"/>
      <w:bookmarkEnd w:id="209"/>
      <w:bookmarkStart w:id="210" w:name="_Toc184312137"/>
      <w:bookmarkEnd w:id="210"/>
      <w:bookmarkStart w:id="211" w:name="_Toc184310324"/>
      <w:bookmarkEnd w:id="211"/>
      <w:bookmarkStart w:id="212" w:name="_Toc184314448"/>
      <w:bookmarkEnd w:id="212"/>
      <w:bookmarkStart w:id="213" w:name="_Toc184308037"/>
      <w:bookmarkEnd w:id="213"/>
      <w:bookmarkStart w:id="214" w:name="_Toc184312139"/>
      <w:bookmarkEnd w:id="214"/>
      <w:bookmarkStart w:id="215" w:name="_Toc184313241"/>
      <w:bookmarkEnd w:id="215"/>
      <w:bookmarkStart w:id="216" w:name="_Toc184313278"/>
      <w:bookmarkEnd w:id="216"/>
      <w:bookmarkStart w:id="217" w:name="_Toc184310337"/>
      <w:bookmarkEnd w:id="217"/>
      <w:bookmarkStart w:id="218" w:name="_Toc184313261"/>
      <w:bookmarkEnd w:id="218"/>
      <w:bookmarkStart w:id="219" w:name="_Toc184313251"/>
      <w:bookmarkEnd w:id="219"/>
      <w:bookmarkStart w:id="220" w:name="_Toc184313293"/>
      <w:bookmarkEnd w:id="220"/>
      <w:bookmarkStart w:id="221" w:name="_Toc184310282"/>
      <w:bookmarkEnd w:id="221"/>
      <w:bookmarkStart w:id="222" w:name="_Toc184308075"/>
      <w:bookmarkEnd w:id="222"/>
      <w:bookmarkStart w:id="223" w:name="_Toc184314480"/>
      <w:bookmarkEnd w:id="223"/>
      <w:bookmarkStart w:id="224" w:name="_Toc184314447"/>
      <w:bookmarkEnd w:id="224"/>
      <w:bookmarkStart w:id="225" w:name="_Toc184308090"/>
      <w:bookmarkEnd w:id="225"/>
      <w:bookmarkStart w:id="226" w:name="_Toc184308045"/>
      <w:bookmarkEnd w:id="226"/>
      <w:bookmarkStart w:id="227" w:name="_Toc184310313"/>
      <w:bookmarkEnd w:id="227"/>
      <w:bookmarkStart w:id="228" w:name="_Toc184310322"/>
      <w:bookmarkEnd w:id="228"/>
      <w:bookmarkStart w:id="229" w:name="_Toc184312101"/>
      <w:bookmarkEnd w:id="229"/>
      <w:bookmarkStart w:id="230" w:name="_Toc184313259"/>
      <w:bookmarkEnd w:id="230"/>
      <w:bookmarkStart w:id="231" w:name="_Toc184314474"/>
      <w:bookmarkEnd w:id="231"/>
      <w:bookmarkStart w:id="232" w:name="_Toc184313301"/>
      <w:bookmarkEnd w:id="232"/>
      <w:bookmarkStart w:id="233" w:name="_Toc184312128"/>
      <w:bookmarkEnd w:id="233"/>
      <w:bookmarkStart w:id="234" w:name="_Toc184308094"/>
      <w:bookmarkEnd w:id="234"/>
      <w:bookmarkStart w:id="235" w:name="_Toc184313297"/>
      <w:bookmarkEnd w:id="235"/>
      <w:bookmarkStart w:id="236" w:name="_Toc184313291"/>
      <w:bookmarkEnd w:id="236"/>
      <w:bookmarkStart w:id="237" w:name="_Toc184313252"/>
      <w:bookmarkEnd w:id="237"/>
      <w:bookmarkStart w:id="238" w:name="_Toc184313256"/>
      <w:bookmarkEnd w:id="238"/>
      <w:bookmarkStart w:id="239" w:name="_Toc184308080"/>
      <w:bookmarkEnd w:id="239"/>
      <w:bookmarkStart w:id="240" w:name="_Toc184310343"/>
      <w:bookmarkEnd w:id="240"/>
      <w:bookmarkStart w:id="241" w:name="_Toc184308108"/>
      <w:bookmarkEnd w:id="241"/>
      <w:bookmarkStart w:id="242" w:name="_Toc184312138"/>
      <w:bookmarkEnd w:id="242"/>
      <w:bookmarkStart w:id="243" w:name="_Toc184313260"/>
      <w:bookmarkEnd w:id="243"/>
      <w:bookmarkStart w:id="244" w:name="_Toc184314412"/>
      <w:bookmarkEnd w:id="244"/>
      <w:bookmarkStart w:id="245" w:name="_Toc184312098"/>
      <w:bookmarkEnd w:id="245"/>
      <w:bookmarkStart w:id="246" w:name="_Toc184314476"/>
      <w:bookmarkEnd w:id="246"/>
      <w:bookmarkStart w:id="247" w:name="_Toc184313279"/>
      <w:bookmarkEnd w:id="247"/>
      <w:bookmarkStart w:id="248" w:name="_Toc184312130"/>
      <w:bookmarkEnd w:id="248"/>
      <w:bookmarkStart w:id="249" w:name="_Toc184310304"/>
      <w:bookmarkEnd w:id="249"/>
      <w:bookmarkStart w:id="250" w:name="_Toc184312070"/>
      <w:bookmarkEnd w:id="250"/>
      <w:bookmarkStart w:id="251" w:name="_Toc184308091"/>
      <w:bookmarkEnd w:id="251"/>
      <w:bookmarkStart w:id="252" w:name="_Toc184310321"/>
      <w:bookmarkEnd w:id="252"/>
      <w:bookmarkStart w:id="253" w:name="_Toc184314444"/>
      <w:bookmarkEnd w:id="253"/>
      <w:bookmarkStart w:id="254" w:name="_Toc184314421"/>
      <w:bookmarkEnd w:id="254"/>
      <w:bookmarkStart w:id="255" w:name="_Toc184313243"/>
      <w:bookmarkEnd w:id="255"/>
      <w:bookmarkStart w:id="256" w:name="_Toc184308036"/>
      <w:bookmarkEnd w:id="256"/>
      <w:bookmarkStart w:id="257" w:name="_Toc184310326"/>
      <w:bookmarkEnd w:id="257"/>
      <w:bookmarkStart w:id="258" w:name="_Toc184308103"/>
      <w:bookmarkEnd w:id="258"/>
      <w:bookmarkStart w:id="259" w:name="_Toc184312133"/>
      <w:bookmarkEnd w:id="259"/>
      <w:bookmarkStart w:id="260" w:name="_Toc184310288"/>
      <w:bookmarkEnd w:id="260"/>
      <w:bookmarkStart w:id="261" w:name="_Toc184313310"/>
      <w:bookmarkEnd w:id="261"/>
      <w:bookmarkStart w:id="262" w:name="_Toc184308076"/>
      <w:bookmarkEnd w:id="262"/>
      <w:bookmarkStart w:id="263" w:name="_Toc184314427"/>
      <w:bookmarkEnd w:id="263"/>
      <w:bookmarkStart w:id="264" w:name="_Toc184313247"/>
      <w:bookmarkEnd w:id="264"/>
      <w:bookmarkStart w:id="265" w:name="_Toc184308105"/>
      <w:bookmarkEnd w:id="265"/>
      <w:bookmarkStart w:id="266" w:name="_Toc184313292"/>
      <w:bookmarkEnd w:id="266"/>
      <w:bookmarkStart w:id="267" w:name="_Toc184312113"/>
      <w:bookmarkEnd w:id="267"/>
      <w:bookmarkStart w:id="268" w:name="_Toc184314459"/>
      <w:bookmarkEnd w:id="268"/>
      <w:bookmarkStart w:id="269" w:name="_Toc184314422"/>
      <w:bookmarkEnd w:id="269"/>
      <w:bookmarkStart w:id="270" w:name="_Toc184312120"/>
      <w:bookmarkEnd w:id="270"/>
      <w:bookmarkStart w:id="271" w:name="_Toc184310286"/>
      <w:bookmarkEnd w:id="271"/>
      <w:bookmarkStart w:id="272" w:name="_Toc184308057"/>
      <w:bookmarkEnd w:id="272"/>
      <w:bookmarkStart w:id="273" w:name="_Toc184312075"/>
      <w:bookmarkEnd w:id="273"/>
      <w:bookmarkStart w:id="274" w:name="_Toc184314453"/>
      <w:bookmarkEnd w:id="274"/>
      <w:bookmarkStart w:id="275" w:name="_Toc184312112"/>
      <w:bookmarkEnd w:id="275"/>
      <w:bookmarkStart w:id="276" w:name="_Toc184314439"/>
      <w:bookmarkEnd w:id="276"/>
      <w:bookmarkStart w:id="277" w:name="_Toc184313250"/>
      <w:bookmarkEnd w:id="277"/>
      <w:bookmarkStart w:id="278" w:name="_Toc184312067"/>
      <w:bookmarkEnd w:id="278"/>
      <w:bookmarkStart w:id="279" w:name="_Toc184308093"/>
      <w:bookmarkEnd w:id="279"/>
      <w:bookmarkStart w:id="280" w:name="_Toc184308097"/>
      <w:bookmarkEnd w:id="280"/>
      <w:bookmarkStart w:id="281" w:name="_Toc184308101"/>
      <w:bookmarkEnd w:id="281"/>
      <w:bookmarkStart w:id="282" w:name="_Toc184308086"/>
      <w:bookmarkEnd w:id="282"/>
      <w:bookmarkStart w:id="283" w:name="_Toc184313302"/>
      <w:bookmarkEnd w:id="283"/>
      <w:bookmarkStart w:id="284" w:name="_Toc184314481"/>
      <w:bookmarkEnd w:id="284"/>
      <w:bookmarkStart w:id="285" w:name="_Toc184314456"/>
      <w:bookmarkEnd w:id="285"/>
      <w:bookmarkStart w:id="286" w:name="_Toc184312123"/>
      <w:bookmarkEnd w:id="286"/>
      <w:bookmarkStart w:id="287" w:name="_Toc184313270"/>
      <w:bookmarkEnd w:id="287"/>
      <w:bookmarkStart w:id="288" w:name="_Toc184312119"/>
      <w:bookmarkEnd w:id="288"/>
      <w:bookmarkStart w:id="289" w:name="_Toc184313300"/>
      <w:bookmarkEnd w:id="289"/>
      <w:bookmarkStart w:id="290" w:name="_Toc184312127"/>
      <w:bookmarkEnd w:id="290"/>
      <w:bookmarkStart w:id="291" w:name="_Toc184314450"/>
      <w:bookmarkEnd w:id="291"/>
      <w:bookmarkStart w:id="292" w:name="_Toc184310310"/>
      <w:bookmarkEnd w:id="292"/>
      <w:bookmarkStart w:id="293" w:name="_Toc184308049"/>
      <w:bookmarkEnd w:id="293"/>
      <w:bookmarkStart w:id="294" w:name="_Toc184313257"/>
      <w:bookmarkEnd w:id="294"/>
      <w:bookmarkStart w:id="295" w:name="_Toc184308100"/>
      <w:bookmarkEnd w:id="295"/>
      <w:bookmarkStart w:id="296" w:name="_Toc184310294"/>
      <w:bookmarkEnd w:id="296"/>
      <w:bookmarkStart w:id="297" w:name="_Toc184308078"/>
      <w:bookmarkEnd w:id="297"/>
      <w:bookmarkStart w:id="298" w:name="_Toc184310291"/>
      <w:bookmarkEnd w:id="298"/>
      <w:bookmarkStart w:id="299" w:name="_Toc184310309"/>
      <w:bookmarkEnd w:id="299"/>
      <w:bookmarkStart w:id="300" w:name="_Toc184313304"/>
      <w:bookmarkEnd w:id="300"/>
      <w:bookmarkStart w:id="301" w:name="_Toc184314462"/>
      <w:bookmarkEnd w:id="301"/>
      <w:bookmarkStart w:id="302" w:name="_Toc184312068"/>
      <w:bookmarkEnd w:id="302"/>
      <w:bookmarkStart w:id="303" w:name="_Toc184308060"/>
      <w:bookmarkEnd w:id="303"/>
      <w:bookmarkStart w:id="304" w:name="_Toc184308058"/>
      <w:bookmarkEnd w:id="304"/>
      <w:bookmarkStart w:id="305" w:name="_Toc184314410"/>
      <w:bookmarkEnd w:id="305"/>
      <w:bookmarkStart w:id="306" w:name="_Toc184314431"/>
      <w:bookmarkEnd w:id="306"/>
      <w:bookmarkStart w:id="307" w:name="_Toc184313294"/>
      <w:bookmarkEnd w:id="307"/>
      <w:bookmarkStart w:id="308" w:name="_Toc184312082"/>
      <w:bookmarkEnd w:id="308"/>
      <w:bookmarkStart w:id="309" w:name="_Toc184314417"/>
      <w:bookmarkEnd w:id="309"/>
      <w:bookmarkStart w:id="310" w:name="_Toc184310275"/>
      <w:bookmarkEnd w:id="310"/>
      <w:bookmarkStart w:id="311" w:name="_Toc184314442"/>
      <w:bookmarkEnd w:id="311"/>
      <w:bookmarkStart w:id="312" w:name="_Toc184314418"/>
      <w:bookmarkEnd w:id="312"/>
      <w:bookmarkStart w:id="313" w:name="_Toc184312124"/>
      <w:bookmarkEnd w:id="313"/>
      <w:bookmarkStart w:id="314" w:name="_Toc184312081"/>
      <w:bookmarkEnd w:id="314"/>
      <w:bookmarkStart w:id="315" w:name="_Toc184313290"/>
      <w:bookmarkEnd w:id="315"/>
      <w:bookmarkStart w:id="316" w:name="_Toc184314465"/>
      <w:bookmarkEnd w:id="316"/>
      <w:bookmarkStart w:id="317" w:name="_Toc184308095"/>
      <w:bookmarkEnd w:id="317"/>
      <w:bookmarkStart w:id="318" w:name="_Toc184313246"/>
      <w:bookmarkEnd w:id="318"/>
      <w:bookmarkStart w:id="319" w:name="_Toc184310300"/>
      <w:bookmarkEnd w:id="319"/>
      <w:bookmarkStart w:id="320" w:name="_Toc184312095"/>
      <w:bookmarkEnd w:id="320"/>
      <w:bookmarkStart w:id="321" w:name="_Toc184312077"/>
      <w:bookmarkEnd w:id="321"/>
      <w:bookmarkStart w:id="322" w:name="_Toc184310336"/>
      <w:bookmarkEnd w:id="322"/>
      <w:bookmarkStart w:id="323" w:name="_Toc184314413"/>
      <w:bookmarkEnd w:id="323"/>
      <w:bookmarkStart w:id="324" w:name="_Toc184312116"/>
      <w:bookmarkEnd w:id="324"/>
      <w:bookmarkStart w:id="325" w:name="_Toc184314455"/>
      <w:bookmarkEnd w:id="325"/>
      <w:bookmarkStart w:id="326" w:name="_Toc184313248"/>
      <w:bookmarkEnd w:id="326"/>
      <w:bookmarkStart w:id="327" w:name="_Toc184308087"/>
      <w:bookmarkEnd w:id="327"/>
      <w:bookmarkStart w:id="328" w:name="_Toc184314478"/>
      <w:bookmarkEnd w:id="328"/>
      <w:bookmarkStart w:id="329" w:name="_Toc184310314"/>
      <w:bookmarkEnd w:id="329"/>
      <w:bookmarkStart w:id="330" w:name="_Toc184313265"/>
      <w:bookmarkEnd w:id="330"/>
      <w:bookmarkStart w:id="331" w:name="_Toc184310342"/>
      <w:bookmarkEnd w:id="331"/>
      <w:bookmarkStart w:id="332" w:name="_Toc184312122"/>
      <w:bookmarkEnd w:id="332"/>
      <w:bookmarkStart w:id="333" w:name="_Toc184312106"/>
      <w:bookmarkEnd w:id="333"/>
      <w:bookmarkStart w:id="334" w:name="_Toc184312078"/>
      <w:bookmarkEnd w:id="334"/>
      <w:bookmarkStart w:id="335" w:name="_Toc184308085"/>
      <w:bookmarkEnd w:id="335"/>
      <w:bookmarkStart w:id="336" w:name="_Toc184313266"/>
      <w:bookmarkEnd w:id="336"/>
      <w:bookmarkStart w:id="337" w:name="_Toc184313282"/>
      <w:bookmarkEnd w:id="337"/>
      <w:bookmarkStart w:id="338" w:name="_Toc184310319"/>
      <w:bookmarkEnd w:id="338"/>
      <w:bookmarkStart w:id="339" w:name="_Toc184308074"/>
      <w:bookmarkEnd w:id="339"/>
      <w:bookmarkStart w:id="340" w:name="_Toc184308061"/>
      <w:bookmarkEnd w:id="340"/>
      <w:bookmarkStart w:id="341" w:name="_Toc184312076"/>
      <w:bookmarkEnd w:id="341"/>
      <w:bookmarkStart w:id="342" w:name="_Toc184314437"/>
      <w:bookmarkEnd w:id="342"/>
      <w:bookmarkStart w:id="343" w:name="_Toc184313238"/>
      <w:bookmarkEnd w:id="343"/>
      <w:bookmarkStart w:id="344" w:name="_Toc184308050"/>
      <w:bookmarkEnd w:id="344"/>
      <w:bookmarkStart w:id="345" w:name="_Toc184313254"/>
      <w:bookmarkEnd w:id="345"/>
      <w:bookmarkStart w:id="346" w:name="_Toc184310312"/>
      <w:bookmarkEnd w:id="346"/>
      <w:bookmarkStart w:id="347" w:name="_Toc184308098"/>
      <w:bookmarkEnd w:id="347"/>
      <w:bookmarkStart w:id="348" w:name="_Toc184310277"/>
      <w:bookmarkEnd w:id="348"/>
      <w:bookmarkStart w:id="349" w:name="_Toc184310333"/>
      <w:bookmarkEnd w:id="349"/>
      <w:bookmarkStart w:id="350" w:name="_Toc184310329"/>
      <w:bookmarkEnd w:id="350"/>
      <w:bookmarkStart w:id="351" w:name="_Toc184310303"/>
      <w:bookmarkEnd w:id="351"/>
      <w:bookmarkStart w:id="352" w:name="_Toc184308079"/>
      <w:bookmarkEnd w:id="352"/>
      <w:bookmarkStart w:id="353" w:name="_Toc184313281"/>
      <w:bookmarkEnd w:id="353"/>
      <w:bookmarkStart w:id="354" w:name="_Toc184312125"/>
      <w:bookmarkEnd w:id="354"/>
      <w:bookmarkStart w:id="355" w:name="_Toc184308067"/>
      <w:bookmarkEnd w:id="355"/>
      <w:bookmarkStart w:id="356" w:name="_Toc184313273"/>
      <w:bookmarkEnd w:id="356"/>
      <w:bookmarkStart w:id="357" w:name="_Toc184312109"/>
      <w:bookmarkEnd w:id="357"/>
      <w:bookmarkStart w:id="358" w:name="_Toc184312114"/>
      <w:bookmarkEnd w:id="358"/>
      <w:bookmarkStart w:id="359" w:name="_Toc184314438"/>
      <w:bookmarkEnd w:id="359"/>
      <w:bookmarkStart w:id="360" w:name="_Toc184310284"/>
      <w:bookmarkEnd w:id="360"/>
      <w:bookmarkStart w:id="361" w:name="_Toc184308073"/>
      <w:bookmarkEnd w:id="361"/>
      <w:bookmarkStart w:id="362" w:name="_Toc184308092"/>
      <w:bookmarkEnd w:id="362"/>
      <w:bookmarkStart w:id="363" w:name="_Toc184313307"/>
      <w:bookmarkEnd w:id="363"/>
      <w:bookmarkStart w:id="364" w:name="_Toc184310285"/>
      <w:bookmarkEnd w:id="364"/>
      <w:bookmarkStart w:id="365" w:name="_Toc184312087"/>
      <w:bookmarkEnd w:id="365"/>
      <w:bookmarkStart w:id="366" w:name="_Toc184312093"/>
      <w:bookmarkEnd w:id="366"/>
      <w:bookmarkStart w:id="367" w:name="_Toc184314471"/>
      <w:bookmarkEnd w:id="367"/>
      <w:bookmarkStart w:id="368" w:name="_Toc184308089"/>
      <w:bookmarkEnd w:id="368"/>
      <w:bookmarkStart w:id="369" w:name="_Toc184314441"/>
      <w:bookmarkEnd w:id="369"/>
      <w:bookmarkStart w:id="370" w:name="_Toc184308051"/>
      <w:bookmarkEnd w:id="370"/>
      <w:bookmarkStart w:id="371" w:name="_Toc184312111"/>
      <w:bookmarkEnd w:id="371"/>
      <w:bookmarkStart w:id="372" w:name="_Toc184313263"/>
      <w:bookmarkEnd w:id="372"/>
      <w:bookmarkStart w:id="373" w:name="_Toc184312105"/>
      <w:bookmarkEnd w:id="373"/>
      <w:bookmarkStart w:id="374" w:name="_Toc184313255"/>
      <w:bookmarkEnd w:id="374"/>
      <w:bookmarkStart w:id="375" w:name="_Toc184314460"/>
      <w:bookmarkEnd w:id="375"/>
      <w:bookmarkStart w:id="376" w:name="_Toc184312080"/>
      <w:bookmarkEnd w:id="376"/>
      <w:bookmarkStart w:id="377" w:name="_Toc184310289"/>
      <w:bookmarkEnd w:id="377"/>
      <w:bookmarkStart w:id="378" w:name="_Toc184310279"/>
      <w:bookmarkEnd w:id="378"/>
      <w:bookmarkStart w:id="379" w:name="_Toc184314420"/>
      <w:bookmarkEnd w:id="379"/>
      <w:bookmarkStart w:id="380" w:name="_Toc184314429"/>
      <w:bookmarkEnd w:id="380"/>
      <w:bookmarkStart w:id="381" w:name="_Toc184310299"/>
      <w:bookmarkEnd w:id="381"/>
      <w:bookmarkStart w:id="382" w:name="_Toc184310341"/>
      <w:bookmarkEnd w:id="382"/>
      <w:bookmarkStart w:id="383" w:name="_Toc184313275"/>
      <w:bookmarkEnd w:id="383"/>
      <w:bookmarkStart w:id="384" w:name="_Toc184308047"/>
      <w:bookmarkEnd w:id="384"/>
      <w:bookmarkStart w:id="385" w:name="_Toc184310317"/>
      <w:bookmarkEnd w:id="385"/>
      <w:bookmarkStart w:id="386" w:name="_Toc184310301"/>
      <w:bookmarkEnd w:id="386"/>
      <w:bookmarkStart w:id="387" w:name="_Toc184312102"/>
      <w:bookmarkEnd w:id="387"/>
      <w:bookmarkStart w:id="388" w:name="_Toc184313269"/>
      <w:bookmarkEnd w:id="388"/>
      <w:bookmarkStart w:id="389" w:name="_Toc184310297"/>
      <w:bookmarkEnd w:id="389"/>
      <w:bookmarkStart w:id="390" w:name="_Toc184313295"/>
      <w:bookmarkEnd w:id="390"/>
      <w:bookmarkStart w:id="391" w:name="_Toc184308066"/>
      <w:bookmarkEnd w:id="391"/>
      <w:r>
        <w:rPr>
          <w:rFonts w:hint="eastAsia" w:ascii="仿宋" w:hAnsi="仿宋" w:eastAsia="仿宋" w:cs="仿宋"/>
          <w:b/>
          <w:sz w:val="36"/>
          <w:szCs w:val="36"/>
        </w:rPr>
        <w:t>评标办法</w:t>
      </w:r>
    </w:p>
    <w:p>
      <w:pPr>
        <w:snapToGrid w:val="0"/>
        <w:spacing w:line="360" w:lineRule="auto"/>
        <w:jc w:val="center"/>
        <w:rPr>
          <w:rFonts w:ascii="仿宋" w:hAnsi="仿宋" w:eastAsia="仿宋" w:cs="仿宋"/>
          <w:b/>
          <w:color w:val="000000"/>
          <w:sz w:val="32"/>
          <w:szCs w:val="20"/>
        </w:rPr>
      </w:pPr>
      <w:r>
        <w:rPr>
          <w:rFonts w:hint="eastAsia" w:ascii="仿宋" w:hAnsi="仿宋" w:eastAsia="仿宋" w:cs="仿宋"/>
          <w:b/>
          <w:color w:val="000000"/>
          <w:sz w:val="32"/>
          <w:szCs w:val="20"/>
        </w:rPr>
        <w:t>评标办法前附表</w:t>
      </w:r>
    </w:p>
    <w:p>
      <w:pPr>
        <w:snapToGrid w:val="0"/>
        <w:spacing w:line="360" w:lineRule="auto"/>
        <w:jc w:val="center"/>
        <w:rPr>
          <w:rFonts w:ascii="仿宋" w:hAnsi="仿宋" w:eastAsia="仿宋" w:cs="仿宋"/>
          <w:b/>
          <w:sz w:val="32"/>
          <w:szCs w:val="20"/>
        </w:rPr>
      </w:pPr>
      <w:r>
        <w:rPr>
          <w:rFonts w:hint="eastAsia" w:ascii="仿宋" w:hAnsi="仿宋" w:eastAsia="仿宋" w:cs="仿宋"/>
          <w:sz w:val="24"/>
          <w:szCs w:val="20"/>
        </w:rPr>
        <w:t xml:space="preserve">    本次评标采用综合评分法，总分为100分。合格投标人的评标得分为各项目汇总得分，中标候选资格按评标得分由高到低顺序排列，得分相同的，按投标报价由低到高顺序排列；得分且投标报价相同的，按技术得分由高到低顺序</w:t>
      </w:r>
    </w:p>
    <w:p>
      <w:pPr>
        <w:snapToGrid w:val="0"/>
        <w:spacing w:line="360" w:lineRule="auto"/>
        <w:rPr>
          <w:rFonts w:ascii="仿宋" w:hAnsi="仿宋" w:eastAsia="仿宋" w:cs="仿宋"/>
          <w:sz w:val="24"/>
        </w:rPr>
      </w:pPr>
      <w:r>
        <w:rPr>
          <w:rFonts w:hint="eastAsia" w:ascii="仿宋" w:hAnsi="仿宋" w:eastAsia="仿宋" w:cs="仿宋"/>
          <w:sz w:val="24"/>
        </w:rPr>
        <w:t>价格分（30 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投标价格的合理性：分析投标价格是否合理，投标价格范围是否完整，有否重大错漏项。投标价格分计算方法：满足招标文件要求且投标价格最低的投标报价为评标基准价，其他投标人的价格分统一按照下列公式计算：投标报价得分=(评标基准价／投标报价)×价格权值×100（精确到小数点后二位）。</w:t>
      </w:r>
    </w:p>
    <w:p>
      <w:pPr>
        <w:snapToGrid w:val="0"/>
        <w:spacing w:line="360" w:lineRule="auto"/>
        <w:rPr>
          <w:rFonts w:ascii="仿宋" w:hAnsi="仿宋" w:eastAsia="仿宋" w:cs="仿宋"/>
          <w:sz w:val="24"/>
        </w:rPr>
      </w:pPr>
      <w:r>
        <w:rPr>
          <w:rFonts w:hint="eastAsia" w:ascii="仿宋" w:hAnsi="仿宋" w:eastAsia="仿宋" w:cs="仿宋"/>
          <w:sz w:val="24"/>
        </w:rPr>
        <w:t>技术、商务分（70分）</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技术、商务分的计算：</w:t>
      </w:r>
    </w:p>
    <w:p>
      <w:pPr>
        <w:snapToGrid w:val="0"/>
        <w:spacing w:line="360" w:lineRule="auto"/>
        <w:rPr>
          <w:rFonts w:ascii="仿宋" w:hAnsi="仿宋" w:eastAsia="仿宋" w:cs="仿宋"/>
          <w:sz w:val="24"/>
        </w:rPr>
      </w:pPr>
      <w:r>
        <w:rPr>
          <w:rFonts w:hint="eastAsia" w:ascii="仿宋" w:hAnsi="仿宋" w:eastAsia="仿宋" w:cs="仿宋"/>
          <w:sz w:val="24"/>
        </w:rPr>
        <w:t>技术、商务分按照评标委员会成员的独立评分结果汇总数的算术平均分计算，计算公式为：</w:t>
      </w:r>
    </w:p>
    <w:p>
      <w:pPr>
        <w:snapToGrid w:val="0"/>
        <w:spacing w:line="360" w:lineRule="auto"/>
        <w:rPr>
          <w:rFonts w:ascii="仿宋" w:hAnsi="仿宋" w:eastAsia="仿宋" w:cs="仿宋"/>
          <w:sz w:val="24"/>
        </w:rPr>
      </w:pPr>
      <w:r>
        <w:rPr>
          <w:rFonts w:hint="eastAsia" w:ascii="仿宋" w:hAnsi="仿宋" w:eastAsia="仿宋" w:cs="仿宋"/>
          <w:sz w:val="24"/>
        </w:rPr>
        <w:t>技术、商务分=评标委员会所有成员评分合计数/评标委员会组成人员数</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评分细则如下：</w:t>
      </w:r>
    </w:p>
    <w:p>
      <w:pPr>
        <w:adjustRightInd/>
        <w:spacing w:line="440" w:lineRule="exact"/>
        <w:ind w:firstLine="602" w:firstLineChars="250"/>
        <w:rPr>
          <w:rFonts w:ascii="仿宋" w:hAnsi="仿宋" w:eastAsia="仿宋" w:cs="仿宋"/>
          <w:b/>
          <w:bCs/>
          <w:color w:val="000000"/>
          <w:sz w:val="24"/>
        </w:rPr>
      </w:pPr>
      <w:r>
        <w:rPr>
          <w:rFonts w:hint="eastAsia" w:ascii="仿宋" w:hAnsi="仿宋" w:eastAsia="仿宋" w:cs="仿宋"/>
          <w:b/>
          <w:bCs/>
          <w:color w:val="000000"/>
          <w:sz w:val="24"/>
        </w:rPr>
        <w:t>1）、价格分（ 30分）：</w:t>
      </w:r>
    </w:p>
    <w:tbl>
      <w:tblPr>
        <w:tblStyle w:val="66"/>
        <w:tblpPr w:leftFromText="180" w:rightFromText="180" w:vertAnchor="text" w:horzAnchor="page" w:tblpX="1275" w:tblpY="247"/>
        <w:tblW w:w="9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356"/>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1384" w:type="dxa"/>
            <w:vAlign w:val="center"/>
          </w:tcPr>
          <w:p>
            <w:pPr>
              <w:spacing w:line="360" w:lineRule="auto"/>
              <w:outlineLvl w:val="0"/>
              <w:rPr>
                <w:rFonts w:ascii="仿宋" w:hAnsi="仿宋" w:eastAsia="仿宋" w:cs="仿宋"/>
                <w:color w:val="000000"/>
                <w:sz w:val="24"/>
                <w:szCs w:val="20"/>
              </w:rPr>
            </w:pPr>
            <w:r>
              <w:rPr>
                <w:rFonts w:hint="eastAsia" w:ascii="仿宋" w:hAnsi="仿宋" w:eastAsia="仿宋" w:cs="仿宋_GB2312"/>
                <w:sz w:val="24"/>
                <w:szCs w:val="20"/>
              </w:rPr>
              <w:t>价格分</w:t>
            </w:r>
          </w:p>
        </w:tc>
        <w:tc>
          <w:tcPr>
            <w:tcW w:w="7356" w:type="dxa"/>
          </w:tcPr>
          <w:p>
            <w:pPr>
              <w:spacing w:line="360" w:lineRule="auto"/>
              <w:ind w:firstLine="480" w:firstLineChars="200"/>
              <w:outlineLvl w:val="0"/>
              <w:rPr>
                <w:rFonts w:ascii="仿宋" w:hAnsi="仿宋" w:eastAsia="仿宋" w:cs="仿宋_GB2312"/>
                <w:sz w:val="24"/>
                <w:szCs w:val="20"/>
              </w:rPr>
            </w:pPr>
            <w:r>
              <w:rPr>
                <w:rFonts w:hint="eastAsia" w:ascii="仿宋" w:hAnsi="仿宋" w:eastAsia="仿宋" w:cs="仿宋_GB2312"/>
                <w:sz w:val="24"/>
                <w:szCs w:val="20"/>
              </w:rPr>
              <w:t>有效投标报价的最低价作为评标基准价，其最低报价为满分；按［投标报价得分=（评标基准价/投标报价）*30］的计算公式计算。</w:t>
            </w:r>
          </w:p>
          <w:p>
            <w:pPr>
              <w:widowControl/>
              <w:shd w:val="clear" w:color="auto" w:fill="FFFFFF"/>
              <w:adjustRightInd/>
              <w:spacing w:after="225" w:line="315" w:lineRule="atLeast"/>
              <w:ind w:firstLine="420"/>
              <w:jc w:val="left"/>
              <w:rPr>
                <w:rFonts w:ascii="仿宋" w:hAnsi="仿宋" w:eastAsia="仿宋" w:cs="仿宋_GB2312"/>
                <w:sz w:val="24"/>
                <w:szCs w:val="20"/>
              </w:rPr>
            </w:pPr>
            <w:r>
              <w:rPr>
                <w:rFonts w:hint="eastAsia" w:ascii="仿宋" w:hAnsi="仿宋" w:eastAsia="仿宋" w:cs="仿宋_GB2312"/>
                <w:sz w:val="24"/>
                <w:szCs w:val="20"/>
              </w:rPr>
              <w:t>评标过程中，不得去掉报价中的最高报价和最低报价。</w:t>
            </w:r>
          </w:p>
          <w:p>
            <w:pPr>
              <w:widowControl/>
              <w:shd w:val="clear" w:color="auto" w:fill="FFFFFF"/>
              <w:adjustRightInd/>
              <w:spacing w:after="225" w:line="315" w:lineRule="atLeast"/>
              <w:ind w:firstLine="420"/>
              <w:jc w:val="left"/>
              <w:rPr>
                <w:rFonts w:ascii="仿宋" w:hAnsi="仿宋" w:eastAsia="仿宋" w:cs="仿宋"/>
                <w:color w:val="000000"/>
                <w:sz w:val="24"/>
                <w:szCs w:val="20"/>
              </w:rPr>
            </w:pPr>
            <w:r>
              <w:rPr>
                <w:rFonts w:hint="eastAsia" w:ascii="仿宋" w:hAnsi="仿宋" w:eastAsia="仿宋" w:cs="仿宋_GB2312"/>
                <w:sz w:val="24"/>
                <w:szCs w:val="20"/>
              </w:rPr>
              <w:t>因落实政府采购政策需要进行价格调整的，以调整后的价格计算评标基准价和投标报价。</w:t>
            </w:r>
          </w:p>
        </w:tc>
        <w:tc>
          <w:tcPr>
            <w:tcW w:w="870" w:type="dxa"/>
            <w:vAlign w:val="center"/>
          </w:tcPr>
          <w:p>
            <w:pPr>
              <w:spacing w:line="360" w:lineRule="auto"/>
              <w:ind w:firstLine="120" w:firstLineChars="50"/>
              <w:outlineLvl w:val="0"/>
              <w:rPr>
                <w:rFonts w:ascii="仿宋" w:hAnsi="仿宋" w:eastAsia="仿宋" w:cs="仿宋"/>
                <w:color w:val="000000"/>
                <w:sz w:val="24"/>
                <w:szCs w:val="20"/>
              </w:rPr>
            </w:pPr>
            <w:r>
              <w:rPr>
                <w:rFonts w:hint="eastAsia" w:ascii="仿宋" w:hAnsi="仿宋" w:eastAsia="仿宋" w:cs="仿宋_GB2312"/>
                <w:sz w:val="24"/>
                <w:szCs w:val="20"/>
              </w:rPr>
              <w:t>30分</w:t>
            </w:r>
          </w:p>
        </w:tc>
      </w:tr>
    </w:tbl>
    <w:p>
      <w:pPr>
        <w:rPr>
          <w:rFonts w:ascii="仿宋" w:hAnsi="仿宋" w:eastAsia="仿宋" w:cs="仿宋"/>
        </w:rPr>
      </w:pPr>
    </w:p>
    <w:p>
      <w:pPr>
        <w:adjustRightInd/>
        <w:spacing w:line="440" w:lineRule="exact"/>
        <w:ind w:firstLine="602" w:firstLineChars="250"/>
        <w:rPr>
          <w:rFonts w:ascii="仿宋" w:hAnsi="仿宋" w:eastAsia="仿宋" w:cs="仿宋"/>
          <w:b/>
          <w:bCs/>
          <w:color w:val="000000"/>
          <w:sz w:val="24"/>
        </w:rPr>
      </w:pPr>
    </w:p>
    <w:p>
      <w:pPr>
        <w:numPr>
          <w:ilvl w:val="0"/>
          <w:numId w:val="6"/>
        </w:numPr>
        <w:adjustRightInd/>
        <w:spacing w:line="440" w:lineRule="exact"/>
        <w:ind w:firstLine="602" w:firstLineChars="250"/>
        <w:rPr>
          <w:rFonts w:ascii="仿宋" w:hAnsi="仿宋" w:eastAsia="仿宋" w:cs="仿宋"/>
          <w:b/>
          <w:bCs/>
          <w:color w:val="000000"/>
          <w:sz w:val="24"/>
        </w:rPr>
      </w:pPr>
      <w:r>
        <w:rPr>
          <w:rFonts w:hint="eastAsia" w:ascii="仿宋" w:hAnsi="仿宋" w:eastAsia="仿宋" w:cs="仿宋"/>
          <w:b/>
          <w:bCs/>
          <w:color w:val="000000"/>
          <w:sz w:val="24"/>
        </w:rPr>
        <w:t>、商务技术分（70 分）：</w:t>
      </w:r>
    </w:p>
    <w:p>
      <w:pPr>
        <w:pStyle w:val="2"/>
        <w:rPr>
          <w:b/>
          <w:bCs/>
          <w:lang w:val="en-US"/>
        </w:rPr>
      </w:pPr>
      <w:r>
        <w:rPr>
          <w:rFonts w:hint="eastAsia"/>
          <w:lang w:val="en-US"/>
        </w:rPr>
        <w:t xml:space="preserve">   </w:t>
      </w:r>
      <w:r>
        <w:rPr>
          <w:rFonts w:hint="eastAsia"/>
          <w:b/>
          <w:bCs/>
          <w:lang w:val="en-US"/>
        </w:rPr>
        <w:t xml:space="preserve">  </w:t>
      </w:r>
    </w:p>
    <w:p>
      <w:pPr>
        <w:pStyle w:val="2"/>
        <w:rPr>
          <w:rFonts w:hint="eastAsia" w:ascii="仿宋" w:hAnsi="仿宋" w:eastAsia="仿宋" w:cs="仿宋"/>
          <w:b/>
          <w:bCs/>
          <w:lang w:val="en-US"/>
        </w:rPr>
      </w:pPr>
      <w:r>
        <w:rPr>
          <w:rFonts w:hint="eastAsia" w:ascii="仿宋" w:hAnsi="仿宋" w:eastAsia="仿宋" w:cs="仿宋"/>
          <w:b/>
          <w:bCs/>
          <w:lang w:val="en-US"/>
        </w:rPr>
        <w:t>技术分（65分）</w:t>
      </w:r>
    </w:p>
    <w:tbl>
      <w:tblPr>
        <w:tblStyle w:val="66"/>
        <w:tblpPr w:leftFromText="180" w:rightFromText="180" w:vertAnchor="text" w:horzAnchor="page" w:tblpX="1268" w:tblpY="610"/>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5696"/>
        <w:gridCol w:w="112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spacing w:line="360" w:lineRule="auto"/>
              <w:jc w:val="left"/>
              <w:rPr>
                <w:rFonts w:ascii="仿宋" w:hAnsi="仿宋" w:eastAsia="仿宋" w:cs="仿宋"/>
                <w:sz w:val="24"/>
              </w:rPr>
            </w:pPr>
            <w:r>
              <w:rPr>
                <w:rFonts w:hint="eastAsia" w:ascii="仿宋" w:hAnsi="仿宋" w:eastAsia="仿宋" w:cs="仿宋"/>
                <w:sz w:val="24"/>
              </w:rPr>
              <w:t>1、投标样品</w:t>
            </w:r>
          </w:p>
        </w:tc>
        <w:tc>
          <w:tcPr>
            <w:tcW w:w="5696" w:type="dxa"/>
          </w:tcPr>
          <w:p>
            <w:pPr>
              <w:pStyle w:val="64"/>
              <w:ind w:firstLine="0"/>
              <w:jc w:val="left"/>
              <w:rPr>
                <w:rFonts w:ascii="仿宋" w:hAnsi="仿宋" w:eastAsia="仿宋" w:cs="仿宋"/>
                <w:szCs w:val="24"/>
                <w:lang w:val="en-US"/>
              </w:rPr>
            </w:pPr>
            <w:r>
              <w:rPr>
                <w:rFonts w:hint="eastAsia" w:ascii="仿宋" w:hAnsi="仿宋" w:eastAsia="仿宋" w:cs="仿宋"/>
                <w:szCs w:val="24"/>
                <w:lang w:val="en-US"/>
              </w:rPr>
              <w:t>①203生物竞赛教室水浴锅一个</w:t>
            </w:r>
          </w:p>
          <w:p>
            <w:pPr>
              <w:pStyle w:val="64"/>
              <w:ind w:firstLine="0"/>
              <w:jc w:val="left"/>
              <w:rPr>
                <w:rFonts w:ascii="仿宋" w:hAnsi="仿宋" w:eastAsia="仿宋" w:cs="仿宋"/>
                <w:szCs w:val="24"/>
                <w:lang w:val="en-US"/>
              </w:rPr>
            </w:pPr>
            <w:r>
              <w:rPr>
                <w:rFonts w:hint="eastAsia" w:ascii="仿宋" w:hAnsi="仿宋" w:eastAsia="仿宋" w:cs="仿宋"/>
                <w:szCs w:val="24"/>
                <w:lang w:val="en-US"/>
              </w:rPr>
              <w:t>②203生物竞赛教室凝胶成像仪一台</w:t>
            </w:r>
          </w:p>
          <w:p>
            <w:pPr>
              <w:pStyle w:val="64"/>
              <w:ind w:firstLine="0"/>
              <w:jc w:val="left"/>
              <w:rPr>
                <w:rFonts w:ascii="仿宋" w:hAnsi="仿宋" w:eastAsia="仿宋" w:cs="仿宋"/>
                <w:szCs w:val="24"/>
                <w:lang w:val="en-US"/>
              </w:rPr>
            </w:pPr>
            <w:r>
              <w:rPr>
                <w:rFonts w:hint="eastAsia" w:ascii="仿宋" w:hAnsi="仿宋" w:eastAsia="仿宋" w:cs="仿宋"/>
                <w:szCs w:val="24"/>
                <w:lang w:val="en-US"/>
              </w:rPr>
              <w:t>注：每个样品各2分，根据样品的工艺、材质、核心参数吻合度酌情打分，样品未提供、提供不全及参数严重不吻合的该项得0分。</w:t>
            </w:r>
          </w:p>
          <w:p>
            <w:pPr>
              <w:rPr>
                <w:rFonts w:ascii="仿宋" w:hAnsi="仿宋" w:eastAsia="仿宋" w:cs="仿宋"/>
                <w:sz w:val="24"/>
              </w:rPr>
            </w:pPr>
            <w:r>
              <w:rPr>
                <w:rFonts w:hint="eastAsia" w:ascii="仿宋" w:hAnsi="仿宋" w:eastAsia="仿宋" w:cs="仿宋"/>
                <w:b/>
                <w:bCs/>
                <w:sz w:val="24"/>
              </w:rPr>
              <w:t>采购清单中★标志内容</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4分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spacing w:line="360" w:lineRule="auto"/>
              <w:jc w:val="left"/>
              <w:rPr>
                <w:rFonts w:ascii="仿宋" w:hAnsi="仿宋" w:eastAsia="仿宋" w:cs="仿宋"/>
                <w:sz w:val="24"/>
              </w:rPr>
            </w:pPr>
            <w:r>
              <w:rPr>
                <w:rFonts w:hint="eastAsia" w:ascii="仿宋" w:hAnsi="仿宋" w:eastAsia="仿宋" w:cs="仿宋"/>
                <w:sz w:val="24"/>
              </w:rPr>
              <w:t>2、演示</w:t>
            </w:r>
          </w:p>
        </w:tc>
        <w:tc>
          <w:tcPr>
            <w:tcW w:w="5696" w:type="dxa"/>
            <w:vAlign w:val="center"/>
          </w:tcPr>
          <w:p>
            <w:pPr>
              <w:rPr>
                <w:rFonts w:ascii="仿宋" w:hAnsi="仿宋" w:eastAsia="仿宋" w:cs="仿宋"/>
                <w:sz w:val="24"/>
              </w:rPr>
            </w:pPr>
            <w:r>
              <w:rPr>
                <w:rFonts w:hint="eastAsia" w:ascii="仿宋" w:hAnsi="仿宋" w:eastAsia="仿宋" w:cs="仿宋"/>
                <w:sz w:val="24"/>
              </w:rPr>
              <w:t>一、超净系统(5分）</w:t>
            </w:r>
          </w:p>
          <w:p>
            <w:pPr>
              <w:snapToGrid w:val="0"/>
              <w:spacing w:line="360" w:lineRule="auto"/>
              <w:rPr>
                <w:rFonts w:ascii="仿宋" w:hAnsi="仿宋" w:eastAsia="仿宋" w:cs="仿宋"/>
                <w:sz w:val="24"/>
              </w:rPr>
            </w:pPr>
            <w:r>
              <w:rPr>
                <w:rFonts w:hint="eastAsia" w:ascii="仿宋" w:hAnsi="仿宋" w:eastAsia="仿宋" w:cs="仿宋"/>
                <w:sz w:val="24"/>
              </w:rPr>
              <w:t>1.超净系统内侧挡板上固定有不小于10寸的触摸显示屏，供教师下发实验步骤与操作注意事项；现场演示内容下发（演示成功得3分，不成功或未演示不得分）</w:t>
            </w:r>
          </w:p>
          <w:p>
            <w:pPr>
              <w:snapToGrid w:val="0"/>
              <w:spacing w:line="360" w:lineRule="auto"/>
              <w:rPr>
                <w:rFonts w:ascii="仿宋" w:hAnsi="仿宋" w:eastAsia="仿宋" w:cs="仿宋"/>
                <w:sz w:val="24"/>
              </w:rPr>
            </w:pPr>
            <w:r>
              <w:rPr>
                <w:rFonts w:hint="eastAsia" w:ascii="仿宋" w:hAnsi="仿宋" w:eastAsia="仿宋" w:cs="仿宋"/>
                <w:sz w:val="24"/>
              </w:rPr>
              <w:t>2.超净系统的内置显示屏受教师端软件统一控制,系统可实现图像、实验过程、实验报告等多维信息的互动（演示成功得2分，不成功或未演示不得分）</w:t>
            </w:r>
          </w:p>
          <w:p>
            <w:pPr>
              <w:rPr>
                <w:rFonts w:ascii="仿宋" w:hAnsi="仿宋" w:eastAsia="仿宋" w:cs="仿宋"/>
                <w:sz w:val="24"/>
              </w:rPr>
            </w:pPr>
            <w:r>
              <w:rPr>
                <w:rFonts w:hint="eastAsia" w:ascii="仿宋" w:hAnsi="仿宋" w:eastAsia="仿宋" w:cs="仿宋"/>
                <w:sz w:val="24"/>
              </w:rPr>
              <w:t>演示未提供、提供不全及参数严重不吻合的该项得0分。</w:t>
            </w:r>
          </w:p>
          <w:p>
            <w:pPr>
              <w:rPr>
                <w:rFonts w:ascii="仿宋" w:hAnsi="仿宋" w:eastAsia="仿宋" w:cs="仿宋"/>
                <w:b/>
                <w:bCs/>
                <w:sz w:val="24"/>
              </w:rPr>
            </w:pPr>
            <w:r>
              <w:rPr>
                <w:rFonts w:hint="eastAsia" w:ascii="仿宋" w:hAnsi="仿宋" w:eastAsia="仿宋" w:cs="仿宋"/>
                <w:b/>
                <w:bCs/>
                <w:sz w:val="24"/>
              </w:rPr>
              <w:t>采购清单中▲标志内容</w:t>
            </w:r>
          </w:p>
          <w:p>
            <w:pPr>
              <w:snapToGrid w:val="0"/>
              <w:spacing w:line="360" w:lineRule="auto"/>
              <w:rPr>
                <w:rFonts w:ascii="仿宋" w:hAnsi="仿宋" w:eastAsia="仿宋" w:cs="仿宋"/>
                <w:sz w:val="24"/>
              </w:rPr>
            </w:pPr>
            <w:r>
              <w:rPr>
                <w:rFonts w:hint="eastAsia" w:ascii="宋体" w:hAnsi="宋体" w:cs="宋体"/>
                <w:sz w:val="24"/>
              </w:rPr>
              <w:t>二</w:t>
            </w:r>
            <w:r>
              <w:rPr>
                <w:rFonts w:hint="eastAsia" w:ascii="仿宋" w:hAnsi="仿宋" w:eastAsia="仿宋" w:cs="仿宋"/>
                <w:sz w:val="24"/>
              </w:rPr>
              <w:t>、冷冻离心机演示以下内容：（6分）</w:t>
            </w:r>
          </w:p>
          <w:p>
            <w:pPr>
              <w:snapToGrid w:val="0"/>
              <w:spacing w:line="360" w:lineRule="auto"/>
              <w:rPr>
                <w:rFonts w:ascii="仿宋" w:hAnsi="仿宋" w:eastAsia="仿宋" w:cs="仿宋"/>
                <w:sz w:val="24"/>
              </w:rPr>
            </w:pPr>
            <w:r>
              <w:rPr>
                <w:rFonts w:hint="eastAsia" w:ascii="仿宋" w:hAnsi="仿宋" w:eastAsia="仿宋" w:cs="仿宋"/>
                <w:sz w:val="24"/>
              </w:rPr>
              <w:t>1、定时及定速和停机报警功能，演示成功的得2分，不成功或未演示的不得分；</w:t>
            </w:r>
          </w:p>
          <w:p>
            <w:pPr>
              <w:snapToGrid w:val="0"/>
              <w:spacing w:line="360" w:lineRule="auto"/>
              <w:rPr>
                <w:rFonts w:ascii="仿宋" w:hAnsi="仿宋" w:eastAsia="仿宋" w:cs="仿宋"/>
                <w:sz w:val="24"/>
              </w:rPr>
            </w:pPr>
            <w:r>
              <w:rPr>
                <w:rFonts w:hint="eastAsia" w:ascii="仿宋" w:hAnsi="仿宋" w:eastAsia="仿宋" w:cs="仿宋"/>
                <w:sz w:val="24"/>
              </w:rPr>
              <w:t>2、电子门锁及机械门锁双重保护，即使停电开门自如，演示成功的得2分，不成功或未演示的不得分；</w:t>
            </w:r>
          </w:p>
          <w:p>
            <w:pPr>
              <w:snapToGrid w:val="0"/>
              <w:spacing w:line="360" w:lineRule="auto"/>
              <w:rPr>
                <w:rFonts w:ascii="仿宋" w:hAnsi="仿宋" w:eastAsia="仿宋" w:cs="仿宋"/>
                <w:sz w:val="24"/>
              </w:rPr>
            </w:pPr>
            <w:r>
              <w:rPr>
                <w:rFonts w:hint="eastAsia" w:ascii="仿宋" w:hAnsi="仿宋" w:eastAsia="仿宋" w:cs="仿宋"/>
                <w:sz w:val="24"/>
              </w:rPr>
              <w:t>3、1.5mL转子12000rpm离心菌液1分钟，实现降温和沉降，底部可见明显沉淀，上清液呈澄清透明状，颠倒离心管2次不出现浑浊，沉淀牢固。演示成功的得2分，不成功或未演示的不得分。本项最高得6分。不成功或未演示的不得分。</w:t>
            </w:r>
          </w:p>
          <w:p>
            <w:pPr>
              <w:snapToGrid w:val="0"/>
              <w:spacing w:line="360" w:lineRule="auto"/>
              <w:rPr>
                <w:rFonts w:ascii="仿宋" w:hAnsi="仿宋" w:eastAsia="仿宋" w:cs="仿宋"/>
                <w:sz w:val="24"/>
              </w:rPr>
            </w:pPr>
            <w:r>
              <w:rPr>
                <w:rFonts w:hint="eastAsia" w:ascii="仿宋" w:hAnsi="仿宋" w:eastAsia="仿宋" w:cs="仿宋"/>
                <w:sz w:val="24"/>
              </w:rPr>
              <w:t>采购清单中▲标志内容</w:t>
            </w:r>
          </w:p>
          <w:p>
            <w:pPr>
              <w:snapToGrid w:val="0"/>
              <w:spacing w:line="360" w:lineRule="auto"/>
              <w:rPr>
                <w:rFonts w:ascii="仿宋" w:hAnsi="仿宋" w:eastAsia="仿宋" w:cs="仿宋"/>
                <w:sz w:val="24"/>
              </w:rPr>
            </w:pPr>
            <w:r>
              <w:rPr>
                <w:rFonts w:hint="eastAsia" w:ascii="仿宋" w:hAnsi="仿宋" w:eastAsia="仿宋" w:cs="仿宋"/>
                <w:sz w:val="24"/>
              </w:rPr>
              <w:t>三、生态环境分析系统（6分）</w:t>
            </w:r>
          </w:p>
          <w:p>
            <w:pPr>
              <w:snapToGrid w:val="0"/>
              <w:spacing w:line="360" w:lineRule="auto"/>
              <w:rPr>
                <w:rFonts w:ascii="仿宋" w:hAnsi="仿宋" w:eastAsia="仿宋" w:cs="仿宋"/>
                <w:sz w:val="24"/>
              </w:rPr>
            </w:pPr>
            <w:r>
              <w:rPr>
                <w:rFonts w:hint="eastAsia" w:ascii="仿宋" w:hAnsi="仿宋" w:eastAsia="仿宋" w:cs="仿宋"/>
                <w:sz w:val="24"/>
              </w:rPr>
              <w:t>1.触摸式彩色屏，绿、黄、红三种颜色，提供对应的正常、注意、危险三种提示（3分）</w:t>
            </w:r>
          </w:p>
          <w:p>
            <w:pPr>
              <w:rPr>
                <w:rFonts w:ascii="仿宋" w:hAnsi="仿宋" w:eastAsia="仿宋" w:cs="仿宋"/>
                <w:sz w:val="24"/>
              </w:rPr>
            </w:pPr>
            <w:r>
              <w:rPr>
                <w:rFonts w:hint="eastAsia" w:ascii="仿宋" w:hAnsi="仿宋" w:eastAsia="仿宋" w:cs="仿宋"/>
                <w:sz w:val="24"/>
              </w:rPr>
              <w:t xml:space="preserve">2.检测对象：不少于5品类，种类不少于50个（3分） </w:t>
            </w:r>
          </w:p>
          <w:p>
            <w:pPr>
              <w:rPr>
                <w:rFonts w:ascii="仿宋" w:hAnsi="仿宋" w:eastAsia="仿宋" w:cs="仿宋"/>
                <w:b/>
                <w:bCs/>
                <w:sz w:val="24"/>
              </w:rPr>
            </w:pPr>
            <w:r>
              <w:rPr>
                <w:rFonts w:hint="eastAsia" w:ascii="仿宋" w:hAnsi="仿宋" w:eastAsia="仿宋" w:cs="仿宋"/>
                <w:b/>
                <w:bCs/>
                <w:sz w:val="24"/>
              </w:rPr>
              <w:t>采购清单中▲标志内容</w:t>
            </w:r>
          </w:p>
          <w:p>
            <w:pPr>
              <w:numPr>
                <w:ilvl w:val="0"/>
                <w:numId w:val="7"/>
              </w:numPr>
              <w:rPr>
                <w:rFonts w:ascii="仿宋" w:hAnsi="仿宋" w:eastAsia="仿宋" w:cs="仿宋"/>
                <w:b/>
                <w:bCs/>
                <w:sz w:val="24"/>
              </w:rPr>
            </w:pPr>
            <w:r>
              <w:rPr>
                <w:rFonts w:hint="eastAsia" w:ascii="仿宋" w:hAnsi="仿宋" w:eastAsia="仿宋" w:cs="仿宋"/>
                <w:b/>
                <w:bCs/>
                <w:sz w:val="24"/>
              </w:rPr>
              <w:t>危化品室管理系统（5分）</w:t>
            </w:r>
          </w:p>
          <w:p>
            <w:pPr>
              <w:pStyle w:val="4"/>
              <w:ind w:left="0" w:firstLine="0"/>
              <w:rPr>
                <w:rFonts w:ascii="仿宋" w:eastAsia="仿宋" w:cs="仿宋"/>
                <w:b w:val="0"/>
                <w:color w:val="000000" w:themeColor="text1"/>
                <w:sz w:val="24"/>
                <w:szCs w:val="24"/>
                <w:lang w:val="en-US"/>
                <w14:textFill>
                  <w14:solidFill>
                    <w14:schemeClr w14:val="tx1"/>
                  </w14:solidFill>
                </w14:textFill>
              </w:rPr>
            </w:pPr>
            <w:r>
              <w:rPr>
                <w:rFonts w:hint="eastAsia" w:ascii="仿宋" w:eastAsia="仿宋" w:cs="仿宋"/>
                <w:b w:val="0"/>
                <w:color w:val="000000" w:themeColor="text1"/>
                <w:sz w:val="24"/>
                <w:szCs w:val="24"/>
                <w:lang w:val="en-US"/>
                <w14:textFill>
                  <w14:solidFill>
                    <w14:schemeClr w14:val="tx1"/>
                  </w14:solidFill>
                </w14:textFill>
              </w:rPr>
              <w:t>1.演示药品入库操作</w:t>
            </w:r>
          </w:p>
          <w:p>
            <w:pPr>
              <w:ind w:left="-19" w:leftChars="-9" w:firstLine="480" w:firstLineChars="200"/>
              <w:rPr>
                <w:rFonts w:ascii="仿宋" w:hAnsi="仿宋" w:eastAsia="仿宋" w:cs="仿宋"/>
                <w:bCs/>
                <w:sz w:val="24"/>
              </w:rPr>
            </w:pPr>
            <w:r>
              <w:rPr>
                <w:rFonts w:hint="eastAsia" w:ascii="仿宋" w:hAnsi="仿宋" w:eastAsia="仿宋" w:cs="仿宋"/>
                <w:bCs/>
                <w:sz w:val="24"/>
              </w:rPr>
              <w:t>入库人录入对应药品，药品字段包含：品名、CAS号、纯度、规格、品牌等信息，选择存储柜子，重量自动采集，一键生成唯一标签二维码，身份识别，存储柜子电控锁自动打开，完成药品入库操作；完成得1分。</w:t>
            </w:r>
          </w:p>
          <w:p>
            <w:pPr>
              <w:ind w:left="-19" w:leftChars="-9" w:firstLine="480" w:firstLineChars="200"/>
              <w:rPr>
                <w:rFonts w:ascii="仿宋" w:hAnsi="仿宋" w:eastAsia="仿宋" w:cs="仿宋"/>
                <w:bCs/>
                <w:color w:val="0000FF"/>
                <w:sz w:val="24"/>
              </w:rPr>
            </w:pPr>
            <w:r>
              <w:rPr>
                <w:rFonts w:hint="eastAsia" w:ascii="仿宋" w:hAnsi="仿宋" w:eastAsia="仿宋" w:cs="仿宋"/>
                <w:bCs/>
                <w:sz w:val="24"/>
              </w:rPr>
              <w:t>注：身份识别需同时包含人脸识别和IC卡识别；</w:t>
            </w:r>
          </w:p>
          <w:p>
            <w:pPr>
              <w:pStyle w:val="4"/>
              <w:ind w:left="0" w:firstLine="0"/>
              <w:rPr>
                <w:rFonts w:ascii="仿宋" w:eastAsia="仿宋" w:cs="仿宋"/>
                <w:b w:val="0"/>
                <w:color w:val="000000" w:themeColor="text1"/>
                <w:sz w:val="24"/>
                <w:szCs w:val="24"/>
                <w:lang w:val="en-US"/>
                <w14:textFill>
                  <w14:solidFill>
                    <w14:schemeClr w14:val="tx1"/>
                  </w14:solidFill>
                </w14:textFill>
              </w:rPr>
            </w:pPr>
            <w:r>
              <w:rPr>
                <w:rFonts w:hint="eastAsia" w:ascii="仿宋" w:eastAsia="仿宋" w:cs="仿宋"/>
                <w:b w:val="0"/>
                <w:color w:val="000000" w:themeColor="text1"/>
                <w:sz w:val="24"/>
                <w:szCs w:val="24"/>
                <w:lang w:val="en-US"/>
                <w14:textFill>
                  <w14:solidFill>
                    <w14:schemeClr w14:val="tx1"/>
                  </w14:solidFill>
                </w14:textFill>
              </w:rPr>
              <w:t>2.演示药品领用操作</w:t>
            </w:r>
          </w:p>
          <w:p>
            <w:pPr>
              <w:ind w:left="-19" w:leftChars="-9" w:firstLine="480" w:firstLineChars="200"/>
              <w:rPr>
                <w:rFonts w:ascii="仿宋" w:hAnsi="仿宋" w:eastAsia="仿宋" w:cs="仿宋"/>
                <w:bCs/>
                <w:sz w:val="24"/>
              </w:rPr>
            </w:pPr>
            <w:r>
              <w:rPr>
                <w:rFonts w:hint="eastAsia" w:ascii="仿宋" w:hAnsi="仿宋" w:eastAsia="仿宋" w:cs="仿宋"/>
                <w:bCs/>
                <w:sz w:val="24"/>
              </w:rPr>
              <w:t>领用人点选对应存储柜子，身份识别，存储柜子电控锁自动打开，扫描药品二维码，完成药品领用登记；完成得1分。</w:t>
            </w:r>
          </w:p>
          <w:p>
            <w:pPr>
              <w:ind w:left="-19" w:leftChars="-9" w:firstLine="480" w:firstLineChars="200"/>
              <w:rPr>
                <w:rFonts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注：身份识别需同时包含人脸识别和IC卡识别；</w:t>
            </w:r>
          </w:p>
          <w:p>
            <w:pPr>
              <w:pStyle w:val="4"/>
              <w:ind w:left="0" w:firstLine="0"/>
              <w:rPr>
                <w:rFonts w:ascii="仿宋" w:eastAsia="仿宋" w:cs="仿宋"/>
                <w:b w:val="0"/>
                <w:color w:val="000000" w:themeColor="text1"/>
                <w:sz w:val="24"/>
                <w:szCs w:val="24"/>
                <w:lang w:val="en-US"/>
                <w14:textFill>
                  <w14:solidFill>
                    <w14:schemeClr w14:val="tx1"/>
                  </w14:solidFill>
                </w14:textFill>
              </w:rPr>
            </w:pPr>
            <w:r>
              <w:rPr>
                <w:rFonts w:hint="eastAsia" w:ascii="仿宋" w:eastAsia="仿宋" w:cs="仿宋"/>
                <w:b w:val="0"/>
                <w:color w:val="000000" w:themeColor="text1"/>
                <w:sz w:val="24"/>
                <w:szCs w:val="24"/>
                <w:lang w:val="en-US"/>
                <w14:textFill>
                  <w14:solidFill>
                    <w14:schemeClr w14:val="tx1"/>
                  </w14:solidFill>
                </w14:textFill>
              </w:rPr>
              <w:t>3.演示药品归还操作</w:t>
            </w:r>
          </w:p>
          <w:p>
            <w:pPr>
              <w:ind w:left="-19" w:leftChars="-9" w:firstLine="480" w:firstLineChars="200"/>
              <w:rPr>
                <w:rFonts w:ascii="仿宋" w:hAnsi="仿宋" w:eastAsia="仿宋" w:cs="仿宋"/>
                <w:bCs/>
                <w:sz w:val="24"/>
              </w:rPr>
            </w:pPr>
            <w:r>
              <w:rPr>
                <w:rFonts w:hint="eastAsia" w:ascii="仿宋" w:hAnsi="仿宋" w:eastAsia="仿宋" w:cs="仿宋"/>
                <w:bCs/>
                <w:sz w:val="24"/>
              </w:rPr>
              <w:t>归还人扫描药品二维码，重量自动采集，身份识别，存储柜子电控锁自动打开，完成药品归还操作；完成得1分。</w:t>
            </w:r>
          </w:p>
          <w:p>
            <w:pPr>
              <w:ind w:left="-19" w:leftChars="-9" w:firstLine="480" w:firstLineChars="200"/>
              <w:rPr>
                <w:rFonts w:ascii="仿宋" w:hAnsi="仿宋" w:eastAsia="仿宋" w:cs="仿宋"/>
                <w:bCs/>
                <w:sz w:val="24"/>
              </w:rPr>
            </w:pPr>
            <w:r>
              <w:rPr>
                <w:rFonts w:hint="eastAsia" w:ascii="仿宋" w:hAnsi="仿宋" w:eastAsia="仿宋" w:cs="仿宋"/>
                <w:bCs/>
                <w:sz w:val="24"/>
              </w:rPr>
              <w:t>注：身份识别需同时包含人脸识别和IC卡识别；</w:t>
            </w:r>
          </w:p>
          <w:p>
            <w:pPr>
              <w:pStyle w:val="4"/>
              <w:ind w:left="0" w:firstLine="0"/>
              <w:rPr>
                <w:rFonts w:ascii="仿宋" w:eastAsia="仿宋" w:cs="仿宋"/>
                <w:b w:val="0"/>
                <w:color w:val="000000" w:themeColor="text1"/>
                <w:sz w:val="24"/>
                <w:szCs w:val="24"/>
                <w:lang w:val="en-US"/>
                <w14:textFill>
                  <w14:solidFill>
                    <w14:schemeClr w14:val="tx1"/>
                  </w14:solidFill>
                </w14:textFill>
              </w:rPr>
            </w:pPr>
            <w:r>
              <w:rPr>
                <w:rFonts w:hint="eastAsia" w:ascii="仿宋" w:eastAsia="仿宋" w:cs="仿宋"/>
                <w:b w:val="0"/>
                <w:color w:val="000000" w:themeColor="text1"/>
                <w:sz w:val="24"/>
                <w:szCs w:val="24"/>
                <w:lang w:val="en-US"/>
                <w14:textFill>
                  <w14:solidFill>
                    <w14:schemeClr w14:val="tx1"/>
                  </w14:solidFill>
                </w14:textFill>
              </w:rPr>
              <w:t>4.演示药品台账记录查询</w:t>
            </w:r>
          </w:p>
          <w:p>
            <w:pPr>
              <w:ind w:left="-19" w:leftChars="-9" w:firstLine="480" w:firstLineChars="200"/>
              <w:rPr>
                <w:rFonts w:ascii="仿宋" w:hAnsi="仿宋" w:eastAsia="仿宋" w:cs="仿宋"/>
                <w:bCs/>
                <w:sz w:val="24"/>
              </w:rPr>
            </w:pPr>
            <w:r>
              <w:rPr>
                <w:rFonts w:hint="eastAsia" w:ascii="仿宋" w:hAnsi="仿宋" w:eastAsia="仿宋" w:cs="仿宋"/>
                <w:bCs/>
                <w:sz w:val="24"/>
              </w:rPr>
              <w:t>台账记录需包含当前库存记录、入库记录、使用记录，所有记录均支持按关键词搜索，且可一键导出；完成得1分。</w:t>
            </w:r>
          </w:p>
          <w:p>
            <w:pPr>
              <w:pStyle w:val="4"/>
              <w:ind w:left="0" w:firstLine="0"/>
              <w:rPr>
                <w:rFonts w:ascii="仿宋" w:eastAsia="仿宋" w:cs="仿宋"/>
                <w:b w:val="0"/>
                <w:color w:val="000000" w:themeColor="text1"/>
                <w:sz w:val="24"/>
                <w:szCs w:val="24"/>
                <w:lang w:val="en-US"/>
                <w14:textFill>
                  <w14:solidFill>
                    <w14:schemeClr w14:val="tx1"/>
                  </w14:solidFill>
                </w14:textFill>
              </w:rPr>
            </w:pPr>
            <w:r>
              <w:rPr>
                <w:rFonts w:hint="eastAsia" w:ascii="仿宋" w:eastAsia="仿宋" w:cs="仿宋"/>
                <w:b w:val="0"/>
                <w:color w:val="000000" w:themeColor="text1"/>
                <w:sz w:val="24"/>
                <w:szCs w:val="24"/>
                <w:lang w:val="en-US"/>
                <w14:textFill>
                  <w14:solidFill>
                    <w14:schemeClr w14:val="tx1"/>
                  </w14:solidFill>
                </w14:textFill>
              </w:rPr>
              <w:t>5.演示SDS查询</w:t>
            </w:r>
          </w:p>
          <w:p>
            <w:pPr>
              <w:ind w:left="-19" w:leftChars="-9" w:firstLine="480" w:firstLineChars="200"/>
              <w:rPr>
                <w:rFonts w:ascii="仿宋" w:hAnsi="仿宋" w:eastAsia="仿宋" w:cs="仿宋"/>
                <w:bCs/>
                <w:sz w:val="24"/>
              </w:rPr>
            </w:pPr>
            <w:r>
              <w:rPr>
                <w:rFonts w:hint="eastAsia" w:ascii="仿宋" w:hAnsi="仿宋" w:eastAsia="仿宋" w:cs="仿宋"/>
                <w:bCs/>
                <w:sz w:val="24"/>
              </w:rPr>
              <w:t>操作人员可根据药品名称/CAS号查询对应SDS信息，SDS数量不小于3500条；完成得1分。</w:t>
            </w:r>
          </w:p>
          <w:p>
            <w:pPr>
              <w:rPr>
                <w:rFonts w:ascii="仿宋" w:hAnsi="仿宋" w:eastAsia="仿宋" w:cs="仿宋"/>
                <w:b/>
                <w:bCs/>
                <w:sz w:val="24"/>
              </w:rPr>
            </w:pPr>
            <w:r>
              <w:rPr>
                <w:rFonts w:hint="eastAsia" w:ascii="仿宋" w:hAnsi="仿宋" w:eastAsia="仿宋" w:cs="仿宋"/>
                <w:b/>
                <w:bCs/>
                <w:sz w:val="24"/>
              </w:rPr>
              <w:t>采购清单中▲标志内容</w:t>
            </w:r>
          </w:p>
          <w:p>
            <w:pPr>
              <w:pStyle w:val="2"/>
              <w:rPr>
                <w:rFonts w:ascii="仿宋" w:hAnsi="仿宋" w:eastAsia="仿宋" w:cs="仿宋"/>
                <w:szCs w:val="24"/>
                <w:lang w:val="en-US"/>
              </w:rPr>
            </w:pP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22分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left"/>
              <w:textAlignment w:val="center"/>
              <w:rPr>
                <w:rFonts w:ascii="仿宋" w:hAnsi="仿宋" w:eastAsia="仿宋" w:cs="仿宋"/>
                <w:kern w:val="0"/>
                <w:sz w:val="24"/>
                <w:lang w:bidi="ar"/>
              </w:rPr>
            </w:pPr>
            <w:r>
              <w:rPr>
                <w:rFonts w:hint="eastAsia" w:ascii="仿宋" w:hAnsi="仿宋" w:eastAsia="仿宋" w:cs="仿宋"/>
                <w:sz w:val="24"/>
              </w:rPr>
              <w:t>3、技术指标</w:t>
            </w:r>
          </w:p>
        </w:tc>
        <w:tc>
          <w:tcPr>
            <w:tcW w:w="5696" w:type="dxa"/>
            <w:vAlign w:val="center"/>
          </w:tcPr>
          <w:p>
            <w:pPr>
              <w:pStyle w:val="64"/>
              <w:ind w:firstLine="0"/>
              <w:rPr>
                <w:rFonts w:ascii="仿宋" w:hAnsi="仿宋" w:eastAsia="仿宋" w:cs="仿宋"/>
                <w:szCs w:val="24"/>
              </w:rPr>
            </w:pPr>
            <w:r>
              <w:rPr>
                <w:rFonts w:hint="eastAsia" w:ascii="仿宋" w:hAnsi="仿宋" w:eastAsia="仿宋" w:cs="仿宋"/>
                <w:szCs w:val="24"/>
              </w:rPr>
              <w:t>对招标文件实质性响应程度：技术规格参数完全满足招标文件要求的可得</w:t>
            </w:r>
            <w:r>
              <w:rPr>
                <w:rFonts w:hint="eastAsia" w:ascii="仿宋" w:hAnsi="仿宋" w:eastAsia="仿宋" w:cs="仿宋"/>
                <w:szCs w:val="24"/>
                <w:lang w:val="en-US"/>
              </w:rPr>
              <w:t>8</w:t>
            </w:r>
            <w:r>
              <w:rPr>
                <w:rFonts w:hint="eastAsia" w:ascii="仿宋" w:hAnsi="仿宋" w:eastAsia="仿宋" w:cs="仿宋"/>
                <w:szCs w:val="24"/>
              </w:rPr>
              <w:t>分。</w:t>
            </w:r>
          </w:p>
          <w:p>
            <w:pPr>
              <w:pStyle w:val="64"/>
              <w:ind w:firstLine="0"/>
              <w:rPr>
                <w:rFonts w:ascii="仿宋" w:hAnsi="仿宋" w:eastAsia="仿宋" w:cs="仿宋"/>
                <w:szCs w:val="24"/>
                <w:lang w:val="en-US"/>
              </w:rPr>
            </w:pPr>
            <w:r>
              <w:rPr>
                <w:rFonts w:hint="eastAsia" w:ascii="仿宋" w:hAnsi="仿宋" w:eastAsia="仿宋" w:cs="仿宋"/>
                <w:szCs w:val="24"/>
              </w:rPr>
              <w:t>技术参数中每负偏离一项扣</w:t>
            </w:r>
            <w:r>
              <w:rPr>
                <w:rFonts w:hint="eastAsia" w:ascii="仿宋" w:hAnsi="仿宋" w:eastAsia="仿宋" w:cs="仿宋"/>
                <w:szCs w:val="24"/>
                <w:lang w:val="en-US"/>
              </w:rPr>
              <w:t>1</w:t>
            </w:r>
            <w:r>
              <w:rPr>
                <w:rFonts w:hint="eastAsia" w:ascii="仿宋" w:hAnsi="仿宋" w:eastAsia="仿宋" w:cs="仿宋"/>
                <w:szCs w:val="24"/>
              </w:rPr>
              <w:t>分，扣完为止。</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8分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left"/>
              <w:textAlignment w:val="center"/>
              <w:rPr>
                <w:rFonts w:ascii="仿宋" w:hAnsi="仿宋" w:eastAsia="仿宋" w:cs="仿宋"/>
                <w:kern w:val="0"/>
                <w:sz w:val="24"/>
                <w:lang w:bidi="ar"/>
              </w:rPr>
            </w:pPr>
            <w:r>
              <w:rPr>
                <w:rFonts w:hint="eastAsia" w:ascii="仿宋" w:hAnsi="仿宋" w:eastAsia="仿宋" w:cs="仿宋"/>
                <w:kern w:val="0"/>
                <w:sz w:val="24"/>
                <w:lang w:bidi="ar"/>
              </w:rPr>
              <w:t>4、设计方案</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为保证布局和使用的合理性，投标人根据项目建设需要，对教室进行深化设计，体现出专业性，特色性提供完整的平面布置图和不同角度效果图（每个教室及过道走廊至少提供两张），根据设计方案完整性，实用性，合理性，安全性，美观性进行综合评分（0-14）。</w:t>
            </w:r>
          </w:p>
          <w:p>
            <w:pPr>
              <w:spacing w:line="360" w:lineRule="auto"/>
              <w:rPr>
                <w:rFonts w:ascii="仿宋" w:hAnsi="仿宋" w:eastAsia="仿宋" w:cs="仿宋"/>
                <w:sz w:val="24"/>
              </w:rPr>
            </w:pPr>
            <w:r>
              <w:rPr>
                <w:rFonts w:hint="eastAsia" w:ascii="仿宋" w:hAnsi="仿宋" w:eastAsia="仿宋" w:cs="仿宋"/>
                <w:b/>
                <w:bCs/>
                <w:sz w:val="24"/>
              </w:rPr>
              <w:t>未按照招标文件参数要求提供上述图纸或图纸不全的本项不得分。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14分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kern w:val="0"/>
                <w:sz w:val="24"/>
                <w:lang w:bidi="ar"/>
              </w:rPr>
              <w:t>5、项目实施方案</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投标人针对本项目提供项目实施方案要包含进度计划、各阶段保证措施、质量保证体系及控制措施。（0-2分）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2分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textAlignment w:val="center"/>
              <w:rPr>
                <w:rFonts w:ascii="仿宋" w:hAnsi="仿宋" w:eastAsia="仿宋" w:cs="仿宋"/>
                <w:kern w:val="0"/>
                <w:sz w:val="24"/>
                <w:lang w:bidi="ar"/>
              </w:rPr>
            </w:pPr>
            <w:r>
              <w:rPr>
                <w:rFonts w:hint="eastAsia" w:ascii="仿宋" w:hAnsi="仿宋" w:eastAsia="仿宋" w:cs="仿宋"/>
                <w:kern w:val="0"/>
                <w:sz w:val="24"/>
                <w:lang w:bidi="ar"/>
              </w:rPr>
              <w:t>6、质保期</w:t>
            </w:r>
          </w:p>
        </w:tc>
        <w:tc>
          <w:tcPr>
            <w:tcW w:w="5696" w:type="dxa"/>
            <w:vAlign w:val="center"/>
          </w:tcPr>
          <w:p>
            <w:pPr>
              <w:spacing w:line="360" w:lineRule="auto"/>
              <w:rPr>
                <w:rFonts w:ascii="仿宋" w:hAnsi="仿宋" w:eastAsia="仿宋" w:cs="仿宋"/>
                <w:sz w:val="24"/>
              </w:rPr>
            </w:pPr>
            <w:r>
              <w:rPr>
                <w:rFonts w:hint="eastAsia" w:ascii="仿宋" w:hAnsi="仿宋" w:eastAsia="仿宋" w:cs="仿宋"/>
                <w:color w:val="000000"/>
                <w:sz w:val="24"/>
              </w:rPr>
              <w:t>在满足招标文件质保期要求的得2分，每增加半年加0.5分，最多加1分，需提供质保期承诺函，承诺函格式自拟，无承诺不得分。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3分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kern w:val="0"/>
                <w:sz w:val="24"/>
                <w:lang w:bidi="ar"/>
              </w:rPr>
              <w:t>7、</w:t>
            </w:r>
            <w:r>
              <w:rPr>
                <w:rFonts w:hint="eastAsia" w:ascii="仿宋" w:hAnsi="仿宋" w:eastAsia="仿宋" w:cs="仿宋"/>
                <w:sz w:val="24"/>
                <w:lang w:val="zh-CN"/>
              </w:rPr>
              <w:t>售后服务方案</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1、投标人提供的售后维护机构和人员等情况，是否具有较强的售后服务能力以及较强的专业技术队伍（0-3分）。</w:t>
            </w:r>
          </w:p>
          <w:p>
            <w:pPr>
              <w:spacing w:line="360" w:lineRule="auto"/>
              <w:rPr>
                <w:rFonts w:ascii="仿宋" w:hAnsi="仿宋" w:eastAsia="仿宋" w:cs="仿宋"/>
                <w:sz w:val="24"/>
              </w:rPr>
            </w:pPr>
            <w:r>
              <w:rPr>
                <w:rFonts w:hint="eastAsia" w:ascii="仿宋" w:hAnsi="仿宋" w:eastAsia="仿宋" w:cs="仿宋"/>
                <w:sz w:val="24"/>
              </w:rPr>
              <w:t>2、投标人提供的售后服务方案中，是否具备基本的本地化服务，能否提供快速的售后服务响应；可实现对产品数据、现场施工、投诉建议和售后对应的精准化管理等方面必须具备可行性、完整性以及承诺落实的保障措施（0-3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6分</w:t>
            </w:r>
          </w:p>
        </w:tc>
        <w:tc>
          <w:tcPr>
            <w:tcW w:w="156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kern w:val="0"/>
                <w:sz w:val="24"/>
                <w:lang w:bidi="ar"/>
              </w:rPr>
              <w:t>8、项目培训方案及课程服务</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1、投标人针对本项目提供完整的培训计划、培训方案、培训资料和课程准备，培训方案完整详实，评委根据培训计划及方案进行综合比较；（0-4分）2、投标人提供相关课程服务自2019年来教育部门出具的国家级赛事仪器设备及现场技术支持证明文件复印件，一个得1分，最多得2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6分</w:t>
            </w:r>
          </w:p>
        </w:tc>
        <w:tc>
          <w:tcPr>
            <w:tcW w:w="1566" w:type="dxa"/>
            <w:vAlign w:val="center"/>
          </w:tcPr>
          <w:p>
            <w:pPr>
              <w:spacing w:line="360" w:lineRule="auto"/>
              <w:jc w:val="center"/>
              <w:rPr>
                <w:rFonts w:ascii="仿宋" w:hAnsi="仿宋" w:eastAsia="仿宋" w:cs="仿宋"/>
                <w:sz w:val="24"/>
              </w:rPr>
            </w:pPr>
          </w:p>
        </w:tc>
      </w:tr>
    </w:tbl>
    <w:p>
      <w:pPr>
        <w:pStyle w:val="89"/>
        <w:spacing w:before="0" w:line="440" w:lineRule="exact"/>
        <w:ind w:firstLine="0" w:firstLineChars="0"/>
        <w:rPr>
          <w:rFonts w:ascii="仿宋" w:hAnsi="仿宋" w:eastAsia="仿宋" w:cs="仿宋"/>
          <w:b/>
          <w:bCs/>
          <w:szCs w:val="24"/>
        </w:rPr>
      </w:pPr>
    </w:p>
    <w:p>
      <w:pPr>
        <w:pStyle w:val="89"/>
        <w:spacing w:before="0" w:line="440" w:lineRule="exact"/>
        <w:ind w:firstLine="0" w:firstLineChars="0"/>
        <w:rPr>
          <w:rFonts w:ascii="仿宋" w:hAnsi="仿宋" w:eastAsia="仿宋" w:cs="仿宋"/>
          <w:b/>
          <w:bCs/>
          <w:szCs w:val="24"/>
        </w:rPr>
      </w:pPr>
      <w:r>
        <w:rPr>
          <w:rFonts w:hint="eastAsia" w:ascii="仿宋" w:hAnsi="仿宋" w:eastAsia="仿宋" w:cs="仿宋"/>
          <w:b/>
          <w:bCs/>
          <w:szCs w:val="24"/>
        </w:rPr>
        <w:t>商务分（5分）</w:t>
      </w:r>
    </w:p>
    <w:tbl>
      <w:tblPr>
        <w:tblStyle w:val="66"/>
        <w:tblpPr w:leftFromText="180" w:rightFromText="180" w:vertAnchor="text" w:horzAnchor="page" w:tblpX="1268" w:tblpY="610"/>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5696"/>
        <w:gridCol w:w="112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kern w:val="0"/>
                <w:sz w:val="24"/>
                <w:lang w:bidi="ar"/>
              </w:rPr>
              <w:t>1、投标人资质</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1、投标人具有ISO14001环境管理体系认证证书（0.5分）</w:t>
            </w:r>
          </w:p>
          <w:p>
            <w:pPr>
              <w:spacing w:line="360" w:lineRule="auto"/>
              <w:rPr>
                <w:rFonts w:ascii="仿宋" w:hAnsi="仿宋" w:eastAsia="仿宋" w:cs="仿宋"/>
                <w:sz w:val="24"/>
              </w:rPr>
            </w:pPr>
            <w:r>
              <w:rPr>
                <w:rFonts w:hint="eastAsia" w:ascii="仿宋" w:hAnsi="仿宋" w:eastAsia="仿宋" w:cs="仿宋"/>
                <w:sz w:val="24"/>
              </w:rPr>
              <w:t>2、投标人具有ISO9001质量管理体系认证证书（0.5分）</w:t>
            </w:r>
          </w:p>
          <w:p>
            <w:pPr>
              <w:spacing w:line="360" w:lineRule="auto"/>
              <w:rPr>
                <w:rFonts w:ascii="仿宋" w:hAnsi="仿宋" w:eastAsia="仿宋" w:cs="仿宋"/>
                <w:sz w:val="24"/>
              </w:rPr>
            </w:pPr>
            <w:r>
              <w:rPr>
                <w:rFonts w:hint="eastAsia" w:ascii="仿宋" w:hAnsi="仿宋" w:eastAsia="仿宋" w:cs="仿宋"/>
                <w:sz w:val="24"/>
              </w:rPr>
              <w:t>3、投标人具有ISO45001职业健康安全管理体系认证证书 (0.5分）</w:t>
            </w:r>
          </w:p>
          <w:p>
            <w:pPr>
              <w:spacing w:line="360" w:lineRule="auto"/>
              <w:rPr>
                <w:rFonts w:ascii="仿宋" w:hAnsi="仿宋" w:eastAsia="仿宋" w:cs="仿宋"/>
                <w:sz w:val="24"/>
              </w:rPr>
            </w:pPr>
            <w:r>
              <w:rPr>
                <w:rFonts w:hint="eastAsia" w:ascii="仿宋" w:hAnsi="仿宋" w:eastAsia="仿宋" w:cs="仿宋"/>
                <w:sz w:val="24"/>
              </w:rPr>
              <w:t>4、投标人具有其它政府部门颁发的与本项目采购需求有关的证书（0.5分）</w:t>
            </w:r>
          </w:p>
          <w:p>
            <w:pPr>
              <w:spacing w:line="360" w:lineRule="auto"/>
              <w:rPr>
                <w:rFonts w:ascii="仿宋" w:hAnsi="仿宋" w:eastAsia="仿宋" w:cs="仿宋"/>
                <w:sz w:val="24"/>
              </w:rPr>
            </w:pPr>
            <w:r>
              <w:rPr>
                <w:rFonts w:hint="eastAsia" w:ascii="仿宋" w:hAnsi="仿宋" w:eastAsia="仿宋" w:cs="仿宋"/>
                <w:sz w:val="24"/>
              </w:rPr>
              <w:t>投标文件中须提供以上证书扫描件且证书应在有效期内，否则不得分。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2分</w:t>
            </w:r>
          </w:p>
        </w:tc>
        <w:tc>
          <w:tcPr>
            <w:tcW w:w="1566" w:type="dxa"/>
            <w:vAlign w:val="center"/>
          </w:tcPr>
          <w:p>
            <w:pPr>
              <w:spacing w:line="360" w:lineRule="auto"/>
              <w:jc w:val="center"/>
              <w:rPr>
                <w:rFonts w:ascii="仿宋" w:hAnsi="仿宋" w:eastAsia="仿宋" w:cs="仿宋"/>
                <w:sz w:val="24"/>
              </w:rPr>
            </w:pPr>
          </w:p>
        </w:tc>
      </w:tr>
    </w:tbl>
    <w:p>
      <w:pPr>
        <w:pStyle w:val="89"/>
        <w:spacing w:before="0" w:line="440" w:lineRule="exact"/>
        <w:ind w:firstLine="0" w:firstLineChars="0"/>
        <w:rPr>
          <w:rFonts w:ascii="仿宋" w:hAnsi="仿宋" w:eastAsia="仿宋" w:cs="仿宋"/>
          <w:b/>
          <w:bCs/>
          <w:szCs w:val="24"/>
        </w:rPr>
      </w:pPr>
      <w:r>
        <w:rPr>
          <w:rFonts w:hint="eastAsia" w:ascii="仿宋" w:hAnsi="仿宋" w:eastAsia="仿宋" w:cs="仿宋"/>
          <w:b/>
          <w:bCs/>
          <w:szCs w:val="24"/>
        </w:rPr>
        <w:t xml:space="preserve"> </w:t>
      </w:r>
    </w:p>
    <w:tbl>
      <w:tblPr>
        <w:tblStyle w:val="66"/>
        <w:tblpPr w:leftFromText="180" w:rightFromText="180" w:vertAnchor="text" w:horzAnchor="page" w:tblpX="1268" w:tblpY="610"/>
        <w:tblOverlap w:val="never"/>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5696"/>
        <w:gridCol w:w="1129"/>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39" w:type="dxa"/>
            <w:vAlign w:val="center"/>
          </w:tcPr>
          <w:p>
            <w:pPr>
              <w:widowControl/>
              <w:spacing w:line="360" w:lineRule="auto"/>
              <w:jc w:val="center"/>
              <w:textAlignment w:val="center"/>
              <w:rPr>
                <w:rFonts w:ascii="仿宋" w:hAnsi="仿宋" w:eastAsia="仿宋" w:cs="仿宋"/>
                <w:sz w:val="24"/>
              </w:rPr>
            </w:pPr>
            <w:r>
              <w:rPr>
                <w:rFonts w:hint="eastAsia" w:ascii="仿宋" w:hAnsi="仿宋" w:eastAsia="仿宋" w:cs="仿宋"/>
                <w:kern w:val="0"/>
                <w:sz w:val="24"/>
                <w:lang w:bidi="ar"/>
              </w:rPr>
              <w:t>2、企业业绩</w:t>
            </w:r>
          </w:p>
        </w:tc>
        <w:tc>
          <w:tcPr>
            <w:tcW w:w="5696" w:type="dxa"/>
            <w:vAlign w:val="center"/>
          </w:tcPr>
          <w:p>
            <w:pPr>
              <w:spacing w:line="360" w:lineRule="auto"/>
              <w:rPr>
                <w:rFonts w:ascii="仿宋" w:hAnsi="仿宋" w:eastAsia="仿宋" w:cs="仿宋"/>
                <w:sz w:val="24"/>
              </w:rPr>
            </w:pPr>
            <w:r>
              <w:rPr>
                <w:rFonts w:hint="eastAsia" w:ascii="仿宋" w:hAnsi="仿宋" w:eastAsia="仿宋" w:cs="仿宋"/>
                <w:sz w:val="24"/>
              </w:rPr>
              <w:t>自2019年1月1日以来完成过类似项目的，每提供1个得1分，最高得3分。</w:t>
            </w:r>
          </w:p>
          <w:p>
            <w:pPr>
              <w:spacing w:line="360" w:lineRule="auto"/>
              <w:rPr>
                <w:rFonts w:ascii="仿宋" w:hAnsi="仿宋" w:eastAsia="仿宋" w:cs="仿宋"/>
                <w:sz w:val="24"/>
              </w:rPr>
            </w:pPr>
            <w:r>
              <w:rPr>
                <w:rFonts w:hint="eastAsia" w:ascii="仿宋" w:hAnsi="仿宋" w:eastAsia="仿宋" w:cs="仿宋"/>
                <w:b/>
                <w:bCs/>
                <w:sz w:val="24"/>
              </w:rPr>
              <w:t>投标文件中须同时提供合同扫描件并加盖投标人公章，不提供不得分</w:t>
            </w:r>
          </w:p>
        </w:tc>
        <w:tc>
          <w:tcPr>
            <w:tcW w:w="1129" w:type="dxa"/>
            <w:vAlign w:val="center"/>
          </w:tcPr>
          <w:p>
            <w:pPr>
              <w:spacing w:line="360" w:lineRule="auto"/>
              <w:jc w:val="center"/>
              <w:rPr>
                <w:rFonts w:ascii="仿宋" w:hAnsi="仿宋" w:eastAsia="仿宋" w:cs="仿宋"/>
                <w:sz w:val="24"/>
              </w:rPr>
            </w:pPr>
            <w:r>
              <w:rPr>
                <w:rFonts w:hint="eastAsia" w:ascii="仿宋" w:hAnsi="仿宋" w:eastAsia="仿宋" w:cs="仿宋"/>
                <w:sz w:val="24"/>
              </w:rPr>
              <w:t>3分</w:t>
            </w:r>
          </w:p>
        </w:tc>
        <w:tc>
          <w:tcPr>
            <w:tcW w:w="1566" w:type="dxa"/>
            <w:vAlign w:val="center"/>
          </w:tcPr>
          <w:p>
            <w:pPr>
              <w:spacing w:line="360" w:lineRule="auto"/>
              <w:jc w:val="center"/>
              <w:rPr>
                <w:rFonts w:ascii="仿宋" w:hAnsi="仿宋" w:eastAsia="仿宋" w:cs="仿宋"/>
                <w:sz w:val="24"/>
              </w:rPr>
            </w:pPr>
          </w:p>
        </w:tc>
      </w:tr>
    </w:tbl>
    <w:p>
      <w:pPr>
        <w:pStyle w:val="89"/>
        <w:spacing w:before="0" w:line="440" w:lineRule="exact"/>
        <w:ind w:firstLine="0" w:firstLineChars="0"/>
        <w:rPr>
          <w:rFonts w:ascii="仿宋" w:hAnsi="仿宋" w:eastAsia="仿宋" w:cs="仿宋"/>
          <w:b/>
          <w:bCs/>
          <w:szCs w:val="24"/>
        </w:rPr>
      </w:pPr>
    </w:p>
    <w:p>
      <w:pPr>
        <w:pStyle w:val="89"/>
        <w:spacing w:before="0" w:line="440" w:lineRule="exact"/>
        <w:ind w:firstLine="0" w:firstLineChars="0"/>
        <w:rPr>
          <w:rFonts w:ascii="仿宋" w:hAnsi="仿宋" w:eastAsia="仿宋" w:cs="仿宋"/>
          <w:b/>
          <w:bCs/>
          <w:szCs w:val="24"/>
        </w:rPr>
      </w:pPr>
    </w:p>
    <w:p>
      <w:pPr>
        <w:spacing w:line="360" w:lineRule="auto"/>
        <w:outlineLvl w:val="0"/>
        <w:rPr>
          <w:rFonts w:ascii="仿宋" w:hAnsi="仿宋" w:eastAsia="仿宋" w:cs="仿宋"/>
          <w:b/>
          <w:sz w:val="24"/>
        </w:rPr>
      </w:pPr>
      <w:r>
        <w:rPr>
          <w:rFonts w:hint="eastAsia" w:ascii="仿宋" w:hAnsi="仿宋" w:eastAsia="仿宋" w:cs="仿宋"/>
          <w:b/>
          <w:bCs/>
          <w:color w:val="000000"/>
          <w:sz w:val="24"/>
          <w:szCs w:val="20"/>
        </w:rPr>
        <w:t> *备注</w:t>
      </w:r>
      <w:r>
        <w:rPr>
          <w:rFonts w:hint="eastAsia" w:ascii="仿宋" w:hAnsi="仿宋" w:eastAsia="仿宋" w:cs="仿宋"/>
          <w:color w:val="000000"/>
          <w:sz w:val="24"/>
          <w:szCs w:val="20"/>
        </w:rPr>
        <w:t>：投标人编制投标文件（商务技术文件部分）时，建议按此目录（序号和</w:t>
      </w:r>
      <w:r>
        <w:rPr>
          <w:rFonts w:hint="eastAsia" w:ascii="仿宋" w:hAnsi="仿宋" w:eastAsia="仿宋" w:cs="仿宋"/>
          <w:sz w:val="24"/>
        </w:rPr>
        <w:t>内容）提供评标标准相应的商务技术资料。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w:t>
      </w:r>
      <w:r>
        <w:rPr>
          <w:rFonts w:hint="eastAsia" w:ascii="仿宋" w:hAnsi="仿宋" w:eastAsia="仿宋" w:cs="仿宋"/>
        </w:rPr>
        <w:t xml:space="preserve"> </w:t>
      </w:r>
      <w:r>
        <w:rPr>
          <w:rFonts w:hint="eastAsia" w:ascii="仿宋" w:hAnsi="仿宋" w:eastAsia="仿宋" w:cs="仿宋"/>
          <w:b/>
          <w:sz w:val="24"/>
        </w:rPr>
        <w:t>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89"/>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9"/>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89"/>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有下列情况之一的，投标无效：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hint="eastAsia" w:ascii="仿宋" w:hAnsi="仿宋" w:eastAsia="仿宋" w:cs="仿宋"/>
          <w:kern w:val="0"/>
          <w:sz w:val="24"/>
        </w:rPr>
        <w:t xml:space="preserve">  4.2.11投标人有恶意串通、妨碍其他投标人的竞争行为、损害采购人或者</w:t>
      </w:r>
      <w:r>
        <w:rPr>
          <w:rFonts w:ascii="仿宋_GB2312" w:hAnsi="仿宋" w:eastAsia="仿宋_GB2312" w:cs="Arial"/>
          <w:kern w:val="0"/>
          <w:sz w:val="24"/>
        </w:rPr>
        <w:t>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w:t>
      </w:r>
      <w:r>
        <w:rPr>
          <w:rFonts w:hint="eastAsia" w:ascii="仿宋_GB2312" w:hAnsi="仿宋" w:eastAsia="仿宋_GB2312" w:cs="Arial"/>
          <w:kern w:val="0"/>
          <w:sz w:val="24"/>
        </w:rPr>
        <w:t>未</w:t>
      </w:r>
      <w:r>
        <w:rPr>
          <w:rFonts w:ascii="仿宋_GB2312" w:hAnsi="仿宋" w:eastAsia="仿宋_GB2312" w:cs="Arial"/>
          <w:kern w:val="0"/>
          <w:sz w:val="24"/>
        </w:rPr>
        <w:t>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投标文件不满足招标文件的带“▲”号实质性要求的；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4"/>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286"/>
        <w:spacing w:before="120" w:line="22" w:lineRule="atLeast"/>
        <w:rPr>
          <w:rFonts w:ascii="仿宋" w:hAnsi="仿宋" w:eastAsia="仿宋"/>
          <w:szCs w:val="24"/>
        </w:rPr>
      </w:pPr>
    </w:p>
    <w:p>
      <w:pPr>
        <w:pStyle w:val="286"/>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headerReference r:id="rId8" w:type="default"/>
          <w:footerReference r:id="rId9" w:type="default"/>
          <w:pgSz w:w="11907" w:h="16840"/>
          <w:pgMar w:top="1474" w:right="1814" w:bottom="1474" w:left="1814" w:header="851" w:footer="851" w:gutter="0"/>
          <w:cols w:space="720" w:num="1"/>
        </w:sectPr>
      </w:pPr>
    </w:p>
    <w:p>
      <w:pPr>
        <w:pStyle w:val="36"/>
        <w:snapToGrid w:val="0"/>
        <w:spacing w:line="360" w:lineRule="auto"/>
        <w:rPr>
          <w:rFonts w:hAnsi="宋体" w:cs="宋体"/>
          <w:b/>
          <w:bCs/>
          <w:sz w:val="24"/>
          <w:szCs w:val="24"/>
        </w:rPr>
      </w:pPr>
      <w:r>
        <w:rPr>
          <w:rFonts w:hint="eastAsia" w:hAnsi="宋体" w:cs="宋体"/>
          <w:b/>
          <w:bCs/>
          <w:sz w:val="24"/>
          <w:szCs w:val="24"/>
        </w:rPr>
        <w:t>甲方：（买方）</w:t>
      </w:r>
    </w:p>
    <w:p>
      <w:pPr>
        <w:pStyle w:val="36"/>
        <w:snapToGrid w:val="0"/>
        <w:spacing w:line="360" w:lineRule="auto"/>
        <w:rPr>
          <w:rFonts w:hAnsi="宋体" w:cs="宋体"/>
          <w:b/>
          <w:bCs/>
          <w:sz w:val="24"/>
          <w:szCs w:val="24"/>
        </w:rPr>
      </w:pPr>
      <w:r>
        <w:rPr>
          <w:rFonts w:hint="eastAsia" w:hAnsi="宋体" w:cs="宋体"/>
          <w:b/>
          <w:bCs/>
          <w:sz w:val="24"/>
          <w:szCs w:val="24"/>
        </w:rPr>
        <w:t>乙方：（卖方）</w:t>
      </w:r>
    </w:p>
    <w:p>
      <w:pPr>
        <w:pStyle w:val="36"/>
        <w:snapToGrid w:val="0"/>
        <w:spacing w:line="360" w:lineRule="auto"/>
        <w:ind w:firstLine="482" w:firstLineChars="200"/>
        <w:rPr>
          <w:rFonts w:hAnsi="宋体" w:cs="宋体"/>
          <w:b/>
          <w:bCs/>
          <w:sz w:val="24"/>
          <w:szCs w:val="24"/>
        </w:rPr>
      </w:pPr>
      <w:r>
        <w:rPr>
          <w:rFonts w:hint="eastAsia" w:hAnsi="宋体" w:cs="宋体"/>
          <w:b/>
          <w:bCs/>
          <w:sz w:val="24"/>
          <w:szCs w:val="24"/>
        </w:rPr>
        <w:t>甲、乙双方根据                  项目（项目编号：         ）公开招标的结果，签署本合同。</w:t>
      </w:r>
    </w:p>
    <w:p>
      <w:pPr>
        <w:spacing w:line="560" w:lineRule="exact"/>
        <w:ind w:firstLine="482" w:firstLineChars="200"/>
        <w:outlineLvl w:val="0"/>
        <w:rPr>
          <w:rFonts w:ascii="仿宋" w:hAnsi="仿宋" w:eastAsia="仿宋"/>
          <w:b/>
          <w:sz w:val="24"/>
        </w:rPr>
      </w:pPr>
      <w:r>
        <w:rPr>
          <w:rFonts w:hint="eastAsia" w:ascii="仿宋" w:hAnsi="仿宋" w:eastAsia="仿宋"/>
          <w:b/>
          <w:sz w:val="24"/>
        </w:rPr>
        <w:t>1、货物</w:t>
      </w:r>
    </w:p>
    <w:p>
      <w:pPr>
        <w:spacing w:line="560" w:lineRule="exact"/>
        <w:ind w:firstLine="480" w:firstLineChars="200"/>
        <w:rPr>
          <w:rFonts w:ascii="仿宋" w:hAnsi="仿宋" w:eastAsia="仿宋"/>
          <w:sz w:val="24"/>
          <w:u w:val="single"/>
        </w:rPr>
      </w:pPr>
      <w:r>
        <w:rPr>
          <w:rFonts w:ascii="仿宋" w:hAnsi="仿宋" w:eastAsia="仿宋"/>
          <w:sz w:val="24"/>
        </w:rPr>
        <w:t xml:space="preserve">1.1 </w:t>
      </w:r>
      <w:r>
        <w:rPr>
          <w:rFonts w:hint="eastAsia" w:ascii="仿宋" w:hAnsi="仿宋" w:eastAsia="仿宋"/>
          <w:sz w:val="24"/>
        </w:rPr>
        <w:t>货物名称：</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u w:val="single"/>
        </w:rPr>
      </w:pPr>
      <w:r>
        <w:rPr>
          <w:rFonts w:ascii="仿宋" w:hAnsi="仿宋" w:eastAsia="仿宋"/>
          <w:sz w:val="24"/>
        </w:rPr>
        <w:t xml:space="preserve">1.2 </w:t>
      </w:r>
      <w:r>
        <w:rPr>
          <w:rFonts w:hint="eastAsia" w:ascii="仿宋" w:hAnsi="仿宋" w:eastAsia="仿宋"/>
          <w:sz w:val="24"/>
        </w:rPr>
        <w:t>货物数量：</w:t>
      </w:r>
      <w:r>
        <w:rPr>
          <w:rFonts w:ascii="仿宋" w:hAnsi="仿宋" w:eastAsia="仿宋"/>
          <w:sz w:val="24"/>
          <w:u w:val="single"/>
        </w:rPr>
        <w:t xml:space="preserve">                                                </w:t>
      </w:r>
      <w:r>
        <w:rPr>
          <w:rFonts w:hint="eastAsia" w:ascii="仿宋" w:hAnsi="仿宋" w:eastAsia="仿宋"/>
          <w:sz w:val="24"/>
        </w:rPr>
        <w:t>；</w:t>
      </w:r>
    </w:p>
    <w:p>
      <w:pPr>
        <w:spacing w:line="560" w:lineRule="exact"/>
        <w:ind w:firstLine="480" w:firstLineChars="200"/>
        <w:rPr>
          <w:rFonts w:ascii="仿宋" w:hAnsi="仿宋" w:eastAsia="仿宋"/>
          <w:sz w:val="24"/>
        </w:rPr>
      </w:pPr>
      <w:r>
        <w:rPr>
          <w:rFonts w:ascii="仿宋" w:hAnsi="仿宋" w:eastAsia="仿宋"/>
          <w:sz w:val="24"/>
        </w:rPr>
        <w:t xml:space="preserve">1.3 </w:t>
      </w:r>
      <w:r>
        <w:rPr>
          <w:rFonts w:hint="eastAsia" w:ascii="仿宋" w:hAnsi="仿宋" w:eastAsia="仿宋"/>
          <w:sz w:val="24"/>
        </w:rPr>
        <w:t>货物质量：</w:t>
      </w:r>
      <w:r>
        <w:rPr>
          <w:rFonts w:hint="eastAsia" w:ascii="仿宋" w:hAnsi="仿宋" w:eastAsia="仿宋"/>
          <w:sz w:val="24"/>
          <w:u w:val="single"/>
        </w:rPr>
        <w:t>　　　　　　　　　</w:t>
      </w:r>
      <w:r>
        <w:rPr>
          <w:rFonts w:ascii="仿宋" w:hAnsi="仿宋" w:eastAsia="仿宋"/>
          <w:sz w:val="24"/>
          <w:u w:val="single"/>
        </w:rPr>
        <w:t xml:space="preserve">                      　      </w:t>
      </w:r>
      <w:r>
        <w:rPr>
          <w:rFonts w:hint="eastAsia" w:ascii="仿宋" w:hAnsi="仿宋" w:eastAsia="仿宋"/>
          <w:sz w:val="24"/>
        </w:rPr>
        <w:t>。</w:t>
      </w:r>
    </w:p>
    <w:p>
      <w:pPr>
        <w:pStyle w:val="36"/>
        <w:snapToGrid w:val="0"/>
        <w:spacing w:line="360" w:lineRule="auto"/>
        <w:ind w:firstLine="482" w:firstLineChars="200"/>
        <w:rPr>
          <w:rFonts w:hAnsi="宋体" w:cs="宋体"/>
          <w:b/>
          <w:bCs/>
          <w:sz w:val="24"/>
          <w:szCs w:val="24"/>
        </w:rPr>
      </w:pPr>
    </w:p>
    <w:p>
      <w:pPr>
        <w:pStyle w:val="36"/>
        <w:snapToGrid w:val="0"/>
        <w:spacing w:line="360" w:lineRule="auto"/>
        <w:ind w:firstLine="482" w:firstLineChars="200"/>
        <w:rPr>
          <w:rFonts w:hAnsi="宋体" w:cs="宋体"/>
          <w:b/>
          <w:bCs/>
          <w:sz w:val="24"/>
          <w:szCs w:val="24"/>
        </w:rPr>
      </w:pPr>
      <w:r>
        <w:rPr>
          <w:rFonts w:hint="eastAsia" w:ascii="仿宋" w:hAnsi="仿宋" w:eastAsia="仿宋"/>
          <w:b/>
          <w:sz w:val="24"/>
        </w:rPr>
        <w:t>2、价款</w:t>
      </w:r>
    </w:p>
    <w:p>
      <w:pPr>
        <w:spacing w:line="560" w:lineRule="exact"/>
        <w:ind w:firstLine="480" w:firstLineChars="200"/>
        <w:rPr>
          <w:rFonts w:ascii="仿宋" w:hAnsi="仿宋" w:eastAsia="仿宋"/>
          <w:sz w:val="24"/>
        </w:rPr>
      </w:pPr>
      <w:r>
        <w:rPr>
          <w:rFonts w:hint="eastAsia" w:ascii="仿宋" w:hAnsi="仿宋" w:eastAsia="仿宋"/>
          <w:sz w:val="24"/>
        </w:rPr>
        <w:t>本合同总价为：￥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p>
    <w:p>
      <w:pPr>
        <w:spacing w:line="560" w:lineRule="exact"/>
        <w:ind w:firstLine="480" w:firstLineChars="200"/>
        <w:rPr>
          <w:rFonts w:ascii="仿宋" w:hAnsi="仿宋" w:eastAsia="仿宋"/>
          <w:sz w:val="24"/>
          <w:u w:val="single"/>
        </w:rPr>
      </w:pPr>
      <w:r>
        <w:rPr>
          <w:rFonts w:hint="eastAsia" w:ascii="仿宋" w:hAnsi="仿宋" w:eastAsia="仿宋"/>
          <w:sz w:val="24"/>
        </w:rPr>
        <w:t>分项价格：</w:t>
      </w:r>
    </w:p>
    <w:tbl>
      <w:tblPr>
        <w:tblStyle w:val="66"/>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jc w:val="center"/>
              <w:rPr>
                <w:rFonts w:ascii="仿宋" w:hAnsi="仿宋" w:eastAsia="仿宋"/>
                <w:sz w:val="24"/>
                <w:szCs w:val="24"/>
              </w:rPr>
            </w:pPr>
            <w:r>
              <w:rPr>
                <w:rFonts w:hint="eastAsia"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r>
              <w:rPr>
                <w:rFonts w:hint="eastAsia" w:ascii="仿宋" w:hAnsi="仿宋" w:eastAsia="仿宋"/>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9"/>
              <w:spacing w:line="560" w:lineRule="exact"/>
              <w:ind w:firstLine="200"/>
              <w:jc w:val="center"/>
              <w:rPr>
                <w:rFonts w:ascii="仿宋" w:hAnsi="仿宋" w:eastAsia="仿宋"/>
                <w:sz w:val="24"/>
                <w:szCs w:val="24"/>
              </w:rPr>
            </w:pPr>
          </w:p>
        </w:tc>
      </w:tr>
    </w:tbl>
    <w:p>
      <w:pPr>
        <w:spacing w:line="360" w:lineRule="auto"/>
        <w:ind w:firstLine="480" w:firstLineChars="200"/>
        <w:rPr>
          <w:rFonts w:ascii="仿宋" w:hAnsi="仿宋" w:eastAsia="仿宋"/>
          <w:kern w:val="0"/>
          <w:sz w:val="24"/>
          <w:szCs w:val="20"/>
        </w:rPr>
      </w:pPr>
    </w:p>
    <w:p>
      <w:pPr>
        <w:pStyle w:val="36"/>
        <w:snapToGrid w:val="0"/>
        <w:spacing w:line="360" w:lineRule="auto"/>
        <w:rPr>
          <w:rFonts w:ascii="仿宋" w:hAnsi="仿宋" w:eastAsia="仿宋" w:cs="仿宋"/>
          <w:b/>
          <w:bCs/>
          <w:sz w:val="24"/>
          <w:szCs w:val="24"/>
        </w:rPr>
      </w:pPr>
      <w:r>
        <w:rPr>
          <w:rFonts w:hint="eastAsia" w:hAnsi="宋体" w:cs="宋体"/>
          <w:sz w:val="24"/>
          <w:szCs w:val="24"/>
        </w:rPr>
        <w:t xml:space="preserve">   </w:t>
      </w:r>
      <w:r>
        <w:rPr>
          <w:rFonts w:hint="eastAsia" w:hAnsi="宋体" w:cs="宋体"/>
          <w:b/>
          <w:bCs/>
          <w:sz w:val="24"/>
          <w:szCs w:val="24"/>
        </w:rPr>
        <w:t xml:space="preserve"> </w:t>
      </w:r>
      <w:r>
        <w:rPr>
          <w:rFonts w:hint="eastAsia" w:ascii="仿宋" w:hAnsi="仿宋" w:eastAsia="仿宋" w:cs="仿宋"/>
          <w:b/>
          <w:bCs/>
          <w:sz w:val="24"/>
          <w:szCs w:val="24"/>
        </w:rPr>
        <w:t>3.技术资料</w:t>
      </w:r>
    </w:p>
    <w:p>
      <w:pPr>
        <w:pStyle w:val="36"/>
        <w:snapToGrid w:val="0"/>
        <w:spacing w:line="360" w:lineRule="auto"/>
        <w:rPr>
          <w:rFonts w:ascii="仿宋" w:hAnsi="仿宋" w:eastAsia="仿宋" w:cs="Times New Roman"/>
          <w:kern w:val="0"/>
          <w:sz w:val="24"/>
          <w:szCs w:val="20"/>
        </w:rPr>
      </w:pPr>
      <w:r>
        <w:rPr>
          <w:rFonts w:hint="eastAsia" w:hAnsi="宋体" w:cs="宋体"/>
          <w:bCs/>
          <w:sz w:val="24"/>
          <w:szCs w:val="24"/>
        </w:rPr>
        <w:t xml:space="preserve">  </w:t>
      </w:r>
      <w:r>
        <w:rPr>
          <w:rFonts w:hint="eastAsia" w:ascii="仿宋" w:hAnsi="仿宋" w:eastAsia="仿宋" w:cs="Times New Roman"/>
          <w:kern w:val="0"/>
          <w:sz w:val="24"/>
          <w:szCs w:val="20"/>
        </w:rPr>
        <w:t xml:space="preserve">  3.1乙方应按招标文件规定的时间向甲方提供使用货物的有关技术资料。</w:t>
      </w:r>
    </w:p>
    <w:p>
      <w:pPr>
        <w:spacing w:line="360" w:lineRule="auto"/>
        <w:ind w:firstLine="480" w:firstLineChars="200"/>
        <w:rPr>
          <w:rFonts w:ascii="仿宋" w:hAnsi="仿宋" w:eastAsia="仿宋"/>
          <w:sz w:val="24"/>
          <w:szCs w:val="20"/>
        </w:rPr>
      </w:pPr>
      <w:r>
        <w:rPr>
          <w:rFonts w:hint="eastAsia" w:ascii="仿宋" w:hAnsi="仿宋" w:eastAsia="仿宋"/>
          <w:kern w:val="0"/>
          <w:sz w:val="24"/>
          <w:szCs w:val="20"/>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r>
        <w:rPr>
          <w:rFonts w:hint="eastAsia" w:ascii="仿宋" w:hAnsi="仿宋" w:eastAsia="仿宋"/>
          <w:sz w:val="24"/>
          <w:szCs w:val="20"/>
        </w:rPr>
        <w:t>。</w:t>
      </w:r>
    </w:p>
    <w:p>
      <w:pPr>
        <w:snapToGrid w:val="0"/>
        <w:spacing w:line="360" w:lineRule="auto"/>
        <w:ind w:firstLine="354" w:firstLineChars="147"/>
        <w:rPr>
          <w:rFonts w:ascii="宋体" w:hAnsi="宋体" w:cs="宋体"/>
          <w:b/>
          <w:sz w:val="24"/>
        </w:rPr>
      </w:pPr>
      <w:r>
        <w:rPr>
          <w:rFonts w:hint="eastAsia" w:ascii="宋体" w:hAnsi="宋体" w:cs="宋体"/>
          <w:b/>
          <w:sz w:val="24"/>
        </w:rPr>
        <w:t xml:space="preserve"> 4.权利担保</w:t>
      </w:r>
    </w:p>
    <w:p>
      <w:pPr>
        <w:spacing w:line="360" w:lineRule="auto"/>
        <w:ind w:firstLine="480" w:firstLineChars="200"/>
        <w:rPr>
          <w:rFonts w:ascii="仿宋" w:hAnsi="仿宋" w:eastAsia="仿宋"/>
          <w:sz w:val="24"/>
          <w:szCs w:val="20"/>
        </w:rPr>
      </w:pPr>
      <w:r>
        <w:rPr>
          <w:rFonts w:hint="eastAsia" w:ascii="仿宋" w:hAnsi="仿宋" w:eastAsia="仿宋"/>
          <w:sz w:val="24"/>
          <w:szCs w:val="20"/>
        </w:rPr>
        <w:t>4.1乙方应保证所提供的货物或其任何一部分均不会侵犯任何第三方的知识产权。</w:t>
      </w:r>
    </w:p>
    <w:p>
      <w:pPr>
        <w:spacing w:line="360" w:lineRule="auto"/>
        <w:ind w:firstLine="480" w:firstLineChars="200"/>
        <w:rPr>
          <w:rFonts w:ascii="仿宋" w:hAnsi="仿宋" w:eastAsia="仿宋"/>
          <w:sz w:val="24"/>
          <w:szCs w:val="20"/>
        </w:rPr>
      </w:pPr>
      <w:r>
        <w:rPr>
          <w:rFonts w:hint="eastAsia" w:ascii="仿宋" w:hAnsi="仿宋" w:eastAsia="仿宋"/>
          <w:sz w:val="24"/>
          <w:szCs w:val="20"/>
        </w:rPr>
        <w:t>4.2乙方保证所交付的货物的所有权完全属于乙方且无任何抵押、查封等产权瑕疵。</w:t>
      </w:r>
    </w:p>
    <w:p>
      <w:pPr>
        <w:snapToGrid w:val="0"/>
        <w:spacing w:line="360" w:lineRule="auto"/>
        <w:ind w:firstLine="354" w:firstLineChars="147"/>
        <w:rPr>
          <w:rFonts w:ascii="宋体" w:hAnsi="宋体" w:cs="宋体"/>
          <w:b/>
          <w:sz w:val="24"/>
        </w:rPr>
      </w:pPr>
      <w:r>
        <w:rPr>
          <w:rFonts w:hint="eastAsia" w:ascii="宋体" w:hAnsi="宋体" w:cs="宋体"/>
          <w:b/>
          <w:sz w:val="24"/>
        </w:rPr>
        <w:t xml:space="preserve"> 5.履约保证金</w:t>
      </w:r>
    </w:p>
    <w:p>
      <w:pPr>
        <w:pStyle w:val="619"/>
        <w:spacing w:before="0" w:beforeAutospacing="0" w:after="0" w:afterAutospacing="0" w:line="360" w:lineRule="auto"/>
        <w:ind w:firstLine="420"/>
        <w:rPr>
          <w:rFonts w:ascii="仿宋" w:hAnsi="仿宋" w:eastAsia="仿宋"/>
        </w:rPr>
      </w:pPr>
      <w:r>
        <w:rPr>
          <w:rFonts w:hint="eastAsia" w:ascii="仿宋" w:hAnsi="仿宋" w:eastAsia="仿宋"/>
        </w:rPr>
        <w:t xml:space="preserve"> 5.</w:t>
      </w:r>
      <w:r>
        <w:rPr>
          <w:rFonts w:ascii="仿宋" w:hAnsi="仿宋" w:eastAsia="仿宋"/>
        </w:rPr>
        <w:t xml:space="preserve">1 </w:t>
      </w:r>
      <w:r>
        <w:rPr>
          <w:rFonts w:hint="eastAsia" w:ascii="仿宋" w:hAnsi="仿宋" w:eastAsia="仿宋"/>
        </w:rPr>
        <w:t>采购文件要求乙方提交履约保证金的，乙方应按</w:t>
      </w:r>
      <w:r>
        <w:rPr>
          <w:rFonts w:hint="eastAsia" w:ascii="仿宋" w:hAnsi="仿宋" w:eastAsia="仿宋"/>
          <w:u w:val="single"/>
        </w:rPr>
        <w:t xml:space="preserve">               </w:t>
      </w:r>
      <w:r>
        <w:rPr>
          <w:rFonts w:hint="eastAsia" w:ascii="仿宋" w:hAnsi="仿宋" w:eastAsia="仿宋"/>
        </w:rPr>
        <w:t>的方式，以支票、汇票、本票或者金融机构、担保机构出具的保函等非现金形式，提交不超过合同金额1</w:t>
      </w:r>
      <w:r>
        <w:rPr>
          <w:rFonts w:ascii="仿宋" w:hAnsi="仿宋" w:eastAsia="仿宋"/>
        </w:rPr>
        <w:t>%的履约保证金；鼓励和支持乙方以银行、保险公司出具的保函形式提供履约保证。</w:t>
      </w:r>
    </w:p>
    <w:p>
      <w:pPr>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 xml:space="preserve">.2  </w:t>
      </w:r>
      <w:r>
        <w:rPr>
          <w:rFonts w:hint="eastAsia" w:ascii="仿宋" w:hAnsi="仿宋" w:eastAsia="仿宋"/>
          <w:sz w:val="24"/>
        </w:rPr>
        <w:t>履约保证金在</w:t>
      </w:r>
      <w:r>
        <w:rPr>
          <w:rFonts w:hint="eastAsia" w:ascii="仿宋" w:hAnsi="仿宋" w:eastAsia="仿宋"/>
          <w:sz w:val="24"/>
          <w:u w:val="single"/>
        </w:rPr>
        <w:t xml:space="preserve">                     </w:t>
      </w:r>
      <w:r>
        <w:rPr>
          <w:rFonts w:hint="eastAsia" w:ascii="仿宋" w:hAnsi="仿宋" w:eastAsia="仿宋"/>
          <w:sz w:val="24"/>
        </w:rPr>
        <w:t>期间内不予退还。乙方在前述约定期间届满前能履行完合同约定义务事项的，甲方在前述约定期间届满之日起</w:t>
      </w:r>
      <w:r>
        <w:rPr>
          <w:rFonts w:ascii="仿宋" w:hAnsi="仿宋" w:eastAsia="仿宋"/>
          <w:sz w:val="24"/>
          <w:u w:val="single"/>
        </w:rPr>
        <w:t xml:space="preserve"> </w:t>
      </w:r>
      <w:r>
        <w:rPr>
          <w:rFonts w:hint="eastAsia" w:ascii="仿宋" w:hAnsi="仿宋" w:eastAsia="仿宋"/>
          <w:sz w:val="24"/>
          <w:u w:val="single"/>
        </w:rPr>
        <w:t>5</w:t>
      </w:r>
      <w:r>
        <w:rPr>
          <w:rFonts w:ascii="仿宋" w:hAnsi="仿宋" w:eastAsia="仿宋"/>
          <w:sz w:val="24"/>
          <w:u w:val="single"/>
        </w:rPr>
        <w:t xml:space="preserve"> </w:t>
      </w:r>
      <w:r>
        <w:rPr>
          <w:rFonts w:hint="eastAsia" w:ascii="仿宋" w:hAnsi="仿宋" w:eastAsia="仿宋"/>
          <w:sz w:val="24"/>
        </w:rPr>
        <w:t>个工作日内，以</w:t>
      </w:r>
      <w:r>
        <w:rPr>
          <w:rFonts w:hint="eastAsia" w:ascii="仿宋" w:hAnsi="仿宋" w:eastAsia="仿宋"/>
          <w:sz w:val="24"/>
          <w:u w:val="single"/>
        </w:rPr>
        <w:t xml:space="preserve">                      </w:t>
      </w:r>
      <w:r>
        <w:rPr>
          <w:rFonts w:hint="eastAsia" w:ascii="仿宋" w:hAnsi="仿宋" w:eastAsia="仿宋"/>
          <w:sz w:val="24"/>
        </w:rPr>
        <w:t>方式将履约保证金退还乙方，逾期退还的，乙方可要求甲方支付违约金，违约金按每迟延退还一日的应退还而未退还金额的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%计算，最高限额为本合同履约保证金的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hint="eastAsia" w:ascii="仿宋" w:hAnsi="仿宋" w:eastAsia="仿宋"/>
          <w:sz w:val="24"/>
        </w:rPr>
        <w:t>5.</w:t>
      </w:r>
      <w:r>
        <w:rPr>
          <w:rFonts w:ascii="仿宋" w:hAnsi="仿宋" w:eastAsia="仿宋"/>
          <w:sz w:val="24"/>
        </w:rPr>
        <w:t xml:space="preserve">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pPr>
      <w:r>
        <w:rPr>
          <w:rFonts w:hint="eastAsia" w:ascii="仿宋" w:hAnsi="仿宋" w:eastAsia="仿宋"/>
          <w:sz w:val="24"/>
        </w:rPr>
        <w:t>5</w:t>
      </w:r>
      <w:r>
        <w:rPr>
          <w:rFonts w:ascii="仿宋" w:hAnsi="仿宋" w:eastAsia="仿宋"/>
          <w:sz w:val="24"/>
        </w:rPr>
        <w:t>.</w:t>
      </w:r>
      <w:r>
        <w:rPr>
          <w:rFonts w:hint="eastAsia" w:ascii="仿宋" w:hAnsi="仿宋" w:eastAsia="仿宋"/>
          <w:sz w:val="24"/>
        </w:rPr>
        <w:t>4甲方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0" w:firstLineChars="200"/>
        <w:rPr>
          <w:rFonts w:ascii="仿宋" w:hAnsi="仿宋" w:eastAsia="仿宋"/>
          <w:sz w:val="24"/>
        </w:rPr>
      </w:pPr>
      <w:r>
        <w:rPr>
          <w:rFonts w:hint="eastAsia" w:ascii="仿宋" w:hAnsi="仿宋" w:eastAsia="仿宋"/>
          <w:sz w:val="24"/>
        </w:rPr>
        <w:t>5.5</w:t>
      </w:r>
      <w:r>
        <w:rPr>
          <w:rFonts w:ascii="仿宋" w:hAnsi="仿宋" w:eastAsia="仿宋"/>
          <w:sz w:val="24"/>
        </w:rPr>
        <w:t>对于因甲方原因导致变更、中止或者终止政府采购合同的，甲方应当依照合同约定对供应商受到的损失予以赔偿或者补偿。</w:t>
      </w:r>
    </w:p>
    <w:p>
      <w:pPr>
        <w:snapToGrid w:val="0"/>
        <w:spacing w:line="360" w:lineRule="auto"/>
        <w:ind w:firstLine="352" w:firstLineChars="147"/>
        <w:rPr>
          <w:rFonts w:ascii="宋体" w:hAnsi="宋体" w:cs="宋体"/>
          <w:b/>
          <w:sz w:val="24"/>
        </w:rPr>
      </w:pPr>
      <w:r>
        <w:rPr>
          <w:rFonts w:hint="eastAsia" w:ascii="宋体" w:hAnsi="宋体" w:cs="宋体"/>
          <w:bCs/>
          <w:sz w:val="24"/>
        </w:rPr>
        <w:t xml:space="preserve"> </w:t>
      </w:r>
      <w:r>
        <w:rPr>
          <w:rFonts w:hint="eastAsia" w:ascii="宋体" w:hAnsi="宋体" w:cs="宋体"/>
          <w:b/>
          <w:sz w:val="24"/>
        </w:rPr>
        <w:t>6.转包或分包</w:t>
      </w:r>
    </w:p>
    <w:p>
      <w:pPr>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仿宋" w:hAnsi="仿宋" w:eastAsia="仿宋"/>
          <w:sz w:val="24"/>
        </w:rPr>
      </w:pPr>
      <w:r>
        <w:rPr>
          <w:rFonts w:hint="eastAsia" w:ascii="仿宋" w:hAnsi="仿宋" w:eastAsia="仿宋"/>
          <w:sz w:val="24"/>
        </w:rPr>
        <w:t>6</w:t>
      </w:r>
      <w:r>
        <w:rPr>
          <w:rFonts w:ascii="仿宋" w:hAnsi="仿宋" w:eastAsia="仿宋"/>
          <w:sz w:val="24"/>
        </w:rPr>
        <w:t>.2乙方采取分包方式履行合同的，甲方可直接向分包供应商支付款项。</w:t>
      </w:r>
    </w:p>
    <w:p>
      <w:pPr>
        <w:snapToGrid w:val="0"/>
        <w:spacing w:line="360" w:lineRule="auto"/>
        <w:ind w:firstLine="354" w:firstLineChars="147"/>
        <w:rPr>
          <w:rFonts w:ascii="仿宋" w:hAnsi="仿宋" w:eastAsia="仿宋" w:cs="仿宋"/>
          <w:bCs/>
          <w:sz w:val="24"/>
        </w:rPr>
      </w:pPr>
      <w:r>
        <w:rPr>
          <w:rFonts w:hint="eastAsia" w:ascii="仿宋" w:hAnsi="仿宋" w:eastAsia="仿宋" w:cs="仿宋"/>
          <w:b/>
          <w:sz w:val="24"/>
        </w:rPr>
        <w:t>7.质保期</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 xml:space="preserve">质保期：产品验收合格使用之日起，质保期 </w:t>
      </w:r>
      <w:r>
        <w:rPr>
          <w:rFonts w:hint="eastAsia" w:ascii="仿宋" w:hAnsi="仿宋" w:eastAsia="仿宋" w:cs="仿宋"/>
          <w:bCs/>
          <w:sz w:val="24"/>
          <w:u w:val="single"/>
        </w:rPr>
        <w:t xml:space="preserve">        </w:t>
      </w:r>
      <w:r>
        <w:rPr>
          <w:rFonts w:hint="eastAsia" w:ascii="仿宋" w:hAnsi="仿宋" w:eastAsia="仿宋" w:cs="仿宋"/>
          <w:bCs/>
          <w:sz w:val="24"/>
        </w:rPr>
        <w:t>年（具体再参照乙方按投标文件承诺确定），质保期内的维修费用（包括材料）全部由乙方负责。超过质保期的，维修时只收部件成本费。</w:t>
      </w:r>
    </w:p>
    <w:p>
      <w:pPr>
        <w:snapToGrid w:val="0"/>
        <w:spacing w:line="360" w:lineRule="auto"/>
        <w:ind w:firstLine="354" w:firstLineChars="147"/>
        <w:rPr>
          <w:rFonts w:ascii="仿宋" w:hAnsi="仿宋" w:eastAsia="仿宋" w:cs="仿宋"/>
          <w:b/>
          <w:sz w:val="24"/>
        </w:rPr>
      </w:pPr>
      <w:r>
        <w:rPr>
          <w:rFonts w:hint="eastAsia" w:ascii="仿宋" w:hAnsi="仿宋" w:eastAsia="仿宋" w:cs="仿宋"/>
          <w:b/>
          <w:sz w:val="24"/>
        </w:rPr>
        <w:t>8.交货期、交货方式、交货地点及供货要求</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8.1交货期：</w:t>
      </w:r>
      <w:r>
        <w:rPr>
          <w:rFonts w:hint="eastAsia" w:ascii="仿宋" w:hAnsi="仿宋" w:eastAsia="仿宋" w:cs="仿宋"/>
          <w:sz w:val="24"/>
        </w:rPr>
        <w:t>签订合同后，供应商须于</w:t>
      </w:r>
      <w:r>
        <w:rPr>
          <w:rFonts w:hint="eastAsia" w:ascii="仿宋" w:hAnsi="仿宋" w:eastAsia="仿宋" w:cs="仿宋"/>
          <w:bCs/>
          <w:sz w:val="24"/>
          <w:u w:val="single"/>
        </w:rPr>
        <w:t xml:space="preserve">          </w:t>
      </w:r>
      <w:r>
        <w:rPr>
          <w:rFonts w:hint="eastAsia" w:ascii="仿宋" w:hAnsi="仿宋" w:eastAsia="仿宋" w:cs="仿宋"/>
          <w:sz w:val="24"/>
        </w:rPr>
        <w:t>前完成供货、安装</w:t>
      </w:r>
      <w:r>
        <w:rPr>
          <w:rFonts w:hint="eastAsia" w:ascii="仿宋" w:hAnsi="仿宋" w:eastAsia="仿宋" w:cs="仿宋"/>
          <w:kern w:val="0"/>
          <w:sz w:val="24"/>
        </w:rPr>
        <w:t>调试</w:t>
      </w:r>
      <w:r>
        <w:rPr>
          <w:rFonts w:hint="eastAsia" w:ascii="仿宋" w:hAnsi="仿宋" w:eastAsia="仿宋" w:cs="仿宋"/>
          <w:sz w:val="24"/>
        </w:rPr>
        <w:t>及使用方初步验收。</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8.2交货方式：由乙方负责运输至指定地点现场交货，并安装调试完毕。安装调试完毕交付甲方前发生的风险均由乙方负责。</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 xml:space="preserve">8.3 交货地点： </w:t>
      </w:r>
      <w:r>
        <w:rPr>
          <w:rFonts w:hint="eastAsia" w:ascii="仿宋" w:hAnsi="仿宋" w:eastAsia="仿宋" w:cs="仿宋"/>
          <w:bCs/>
          <w:sz w:val="24"/>
          <w:u w:val="single"/>
        </w:rPr>
        <w:t xml:space="preserve">                         </w:t>
      </w:r>
      <w:r>
        <w:rPr>
          <w:rFonts w:hint="eastAsia" w:ascii="仿宋" w:hAnsi="仿宋" w:eastAsia="仿宋" w:cs="仿宋"/>
          <w:bCs/>
          <w:sz w:val="24"/>
        </w:rPr>
        <w:t xml:space="preserve">  。</w:t>
      </w:r>
    </w:p>
    <w:p>
      <w:pPr>
        <w:snapToGrid w:val="0"/>
        <w:spacing w:line="360" w:lineRule="auto"/>
        <w:ind w:firstLine="352" w:firstLineChars="147"/>
        <w:rPr>
          <w:rFonts w:ascii="仿宋" w:hAnsi="仿宋" w:eastAsia="仿宋" w:cs="仿宋"/>
          <w:bCs/>
          <w:sz w:val="24"/>
        </w:rPr>
      </w:pPr>
      <w:r>
        <w:rPr>
          <w:rFonts w:hint="eastAsia" w:ascii="仿宋" w:hAnsi="仿宋" w:eastAsia="仿宋" w:cs="仿宋"/>
          <w:kern w:val="0"/>
          <w:sz w:val="24"/>
        </w:rPr>
        <w:t>8.4供货要求：乙方所供的货物必须为全新的，符合国家标准的合格产品。凡需国家强制保证或认可的产品、需提供相应的</w:t>
      </w:r>
      <w:r>
        <w:rPr>
          <w:rFonts w:hint="eastAsia" w:ascii="仿宋" w:hAnsi="仿宋" w:eastAsia="仿宋" w:cs="仿宋"/>
          <w:sz w:val="24"/>
        </w:rPr>
        <w:t>证书和认可的标志。</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8.5乙方应先派有经验的技术人员对安装现场进行实地勘察，对各种设备采购、制造、运输（到现场安装）、安装、工期、安全、文明施工进行总承包，一切费用均由乙方负责。</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8.6乙方在设备在安装、调试时不得损坏墙体、门窗等，如有损坏要予以赔偿。</w:t>
      </w:r>
    </w:p>
    <w:p>
      <w:pPr>
        <w:snapToGrid w:val="0"/>
        <w:spacing w:line="360" w:lineRule="auto"/>
        <w:rPr>
          <w:rFonts w:ascii="仿宋" w:hAnsi="仿宋" w:eastAsia="仿宋" w:cs="仿宋"/>
          <w:sz w:val="24"/>
        </w:rPr>
      </w:pPr>
      <w:r>
        <w:rPr>
          <w:rFonts w:hint="eastAsia" w:ascii="仿宋" w:hAnsi="仿宋" w:eastAsia="仿宋" w:cs="仿宋"/>
          <w:sz w:val="24"/>
        </w:rPr>
        <w:t xml:space="preserve">   8.7培训要求：安装调试后，供应商须向使用方人员做好所供产品日常保养、使用、管理的现场实地培训，直至会熟练使用。</w:t>
      </w:r>
    </w:p>
    <w:p>
      <w:pPr>
        <w:spacing w:line="360" w:lineRule="auto"/>
        <w:ind w:firstLine="482" w:firstLineChars="200"/>
        <w:outlineLvl w:val="0"/>
        <w:rPr>
          <w:rFonts w:ascii="仿宋" w:hAnsi="仿宋" w:eastAsia="仿宋"/>
          <w:b/>
          <w:sz w:val="24"/>
        </w:rPr>
      </w:pPr>
      <w:r>
        <w:rPr>
          <w:rFonts w:hint="eastAsia" w:ascii="宋体" w:hAnsi="宋体" w:cs="宋体"/>
          <w:b/>
          <w:sz w:val="24"/>
        </w:rPr>
        <w:t>9.付款方式、时间和条件</w:t>
      </w:r>
    </w:p>
    <w:p>
      <w:pPr>
        <w:pStyle w:val="619"/>
        <w:spacing w:before="0" w:beforeAutospacing="0" w:after="0" w:afterAutospacing="0" w:line="360" w:lineRule="auto"/>
        <w:ind w:firstLine="480"/>
        <w:rPr>
          <w:rFonts w:ascii="仿宋" w:hAnsi="仿宋" w:eastAsia="仿宋" w:cs="Times New Roman"/>
        </w:rPr>
      </w:pPr>
      <w:r>
        <w:rPr>
          <w:rFonts w:hint="eastAsia" w:ascii="仿宋" w:hAnsi="仿宋" w:eastAsia="仿宋" w:cs="Times New Roman"/>
        </w:rPr>
        <w:t>9.</w:t>
      </w:r>
      <w:r>
        <w:rPr>
          <w:rFonts w:ascii="仿宋" w:hAnsi="仿宋" w:eastAsia="仿宋" w:cs="Times New Roman"/>
        </w:rPr>
        <w:t>1</w:t>
      </w:r>
      <w:r>
        <w:rPr>
          <w:rFonts w:hint="eastAsia" w:ascii="仿宋" w:hAnsi="仿宋" w:eastAsia="仿宋" w:cs="Times New Roman"/>
        </w:rPr>
        <w:t>甲方应严格履行合同，及时组织验收，验收合格后及时将合同款支付完毕。对于满足合同约定支付条件的，甲方自收到发票后7</w:t>
      </w:r>
      <w:r>
        <w:rPr>
          <w:rFonts w:ascii="仿宋" w:hAnsi="仿宋" w:eastAsia="仿宋" w:cs="Times New Roman"/>
        </w:rPr>
        <w:t>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hint="eastAsia" w:ascii="仿宋" w:hAnsi="仿宋" w:eastAsia="仿宋"/>
          <w:sz w:val="24"/>
        </w:rPr>
        <w:t>9</w:t>
      </w:r>
      <w:r>
        <w:rPr>
          <w:rFonts w:ascii="仿宋" w:hAnsi="仿宋" w:eastAsia="仿宋"/>
          <w:sz w:val="24"/>
        </w:rPr>
        <w:t>.2甲方在政府采购合同中约定预付款，预付款比例</w:t>
      </w:r>
      <w:r>
        <w:rPr>
          <w:rFonts w:hint="eastAsia" w:ascii="仿宋" w:hAnsi="仿宋" w:eastAsia="仿宋"/>
          <w:sz w:val="24"/>
        </w:rPr>
        <w:t>为</w:t>
      </w:r>
      <w:r>
        <w:rPr>
          <w:rFonts w:ascii="仿宋" w:hAnsi="仿宋" w:eastAsia="仿宋"/>
          <w:sz w:val="24"/>
        </w:rPr>
        <w:t>合同金额的</w:t>
      </w:r>
      <w:r>
        <w:rPr>
          <w:rFonts w:hint="eastAsia" w:ascii="仿宋" w:hAnsi="仿宋" w:eastAsia="仿宋"/>
          <w:sz w:val="24"/>
        </w:rPr>
        <w:t>40</w:t>
      </w:r>
      <w:r>
        <w:rPr>
          <w:rFonts w:ascii="仿宋" w:hAnsi="仿宋" w:eastAsia="仿宋"/>
          <w:sz w:val="24"/>
        </w:rPr>
        <w:t>％；项目分年安排预算的，每年预付款比例</w:t>
      </w:r>
      <w:r>
        <w:rPr>
          <w:rFonts w:hint="eastAsia" w:ascii="仿宋" w:hAnsi="仿宋" w:eastAsia="仿宋"/>
          <w:sz w:val="24"/>
        </w:rPr>
        <w:t>为</w:t>
      </w:r>
      <w:r>
        <w:rPr>
          <w:rFonts w:ascii="仿宋" w:hAnsi="仿宋" w:eastAsia="仿宋"/>
          <w:sz w:val="24"/>
        </w:rPr>
        <w:t>项目年度计划支付资金额的</w:t>
      </w:r>
      <w:r>
        <w:rPr>
          <w:rFonts w:hint="eastAsia" w:ascii="仿宋" w:hAnsi="仿宋" w:eastAsia="仿宋"/>
          <w:sz w:val="24"/>
        </w:rPr>
        <w:t>40</w:t>
      </w:r>
      <w:r>
        <w:rPr>
          <w:rFonts w:ascii="仿宋" w:hAnsi="仿宋" w:eastAsia="仿宋"/>
          <w:sz w:val="24"/>
        </w:rPr>
        <w:t>％。采购项目实施以人工投入为主的，可适当降低预付款比例，但不低于</w:t>
      </w:r>
      <w:r>
        <w:rPr>
          <w:rFonts w:hint="eastAsia" w:ascii="仿宋" w:hAnsi="仿宋" w:eastAsia="仿宋"/>
          <w:sz w:val="24"/>
        </w:rPr>
        <w:t>20</w:t>
      </w:r>
      <w:r>
        <w:rPr>
          <w:rFonts w:ascii="仿宋" w:hAnsi="仿宋" w:eastAsia="仿宋"/>
          <w:sz w:val="24"/>
        </w:rPr>
        <w:t>%。甲方可以根据项目特点、乙方信用等实际情况提高预付款比例，最高预付比例可以达到</w:t>
      </w:r>
      <w:r>
        <w:rPr>
          <w:rFonts w:hint="eastAsia" w:ascii="仿宋" w:hAnsi="仿宋" w:eastAsia="仿宋"/>
          <w:sz w:val="24"/>
        </w:rPr>
        <w:t>70</w:t>
      </w:r>
      <w:r>
        <w:rPr>
          <w:rFonts w:ascii="仿宋" w:hAnsi="仿宋" w:eastAsia="仿宋"/>
          <w:sz w:val="24"/>
        </w:rPr>
        <w:t>%。</w:t>
      </w:r>
      <w:r>
        <w:rPr>
          <w:rFonts w:hint="eastAsia" w:ascii="仿宋" w:hAnsi="仿宋" w:eastAsia="仿宋"/>
          <w:sz w:val="24"/>
        </w:rPr>
        <w:t>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ind w:firstLine="480" w:firstLineChars="200"/>
        <w:rPr>
          <w:rFonts w:ascii="仿宋" w:hAnsi="仿宋" w:eastAsia="仿宋"/>
          <w:sz w:val="24"/>
        </w:rPr>
      </w:pPr>
      <w:r>
        <w:rPr>
          <w:rFonts w:hint="eastAsia" w:ascii="仿宋" w:hAnsi="仿宋" w:eastAsia="仿宋"/>
          <w:sz w:val="24"/>
        </w:rPr>
        <w:t>9</w:t>
      </w:r>
      <w:r>
        <w:rPr>
          <w:rFonts w:ascii="仿宋" w:hAnsi="仿宋" w:eastAsia="仿宋"/>
          <w:sz w:val="24"/>
        </w:rPr>
        <w:t>.3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hint="eastAsia" w:ascii="仿宋" w:hAnsi="仿宋" w:eastAsia="仿宋"/>
          <w:sz w:val="24"/>
        </w:rPr>
        <w:t>9</w:t>
      </w:r>
      <w:r>
        <w:rPr>
          <w:rFonts w:ascii="仿宋" w:hAnsi="仿宋" w:eastAsia="仿宋"/>
          <w:sz w:val="24"/>
        </w:rPr>
        <w:t>.4资金支付的方式、时间和条</w:t>
      </w:r>
      <w:r>
        <w:rPr>
          <w:rFonts w:hint="eastAsia" w:ascii="仿宋" w:hAnsi="仿宋" w:eastAsia="仿宋"/>
          <w:sz w:val="24"/>
        </w:rPr>
        <w:t>件：</w:t>
      </w:r>
      <w:r>
        <w:rPr>
          <w:rFonts w:hint="eastAsia" w:ascii="仿宋" w:hAnsi="仿宋" w:eastAsia="仿宋"/>
          <w:sz w:val="24"/>
          <w:u w:val="single"/>
        </w:rPr>
        <w:t xml:space="preserve">                            </w:t>
      </w:r>
      <w:r>
        <w:rPr>
          <w:rFonts w:hint="eastAsia" w:ascii="仿宋" w:hAnsi="仿宋" w:eastAsia="仿宋"/>
          <w:sz w:val="24"/>
        </w:rPr>
        <w:t>。</w:t>
      </w:r>
    </w:p>
    <w:p>
      <w:pPr>
        <w:spacing w:line="360" w:lineRule="auto"/>
        <w:ind w:firstLine="480" w:firstLineChars="200"/>
        <w:outlineLvl w:val="0"/>
        <w:rPr>
          <w:rFonts w:ascii="仿宋" w:hAnsi="仿宋" w:eastAsia="仿宋"/>
          <w:sz w:val="24"/>
        </w:rPr>
      </w:pPr>
      <w:r>
        <w:rPr>
          <w:rFonts w:hint="eastAsia" w:ascii="仿宋" w:hAnsi="仿宋" w:eastAsia="仿宋"/>
          <w:sz w:val="24"/>
        </w:rPr>
        <w:t>9</w:t>
      </w:r>
      <w:r>
        <w:rPr>
          <w:rFonts w:ascii="仿宋" w:hAnsi="仿宋" w:eastAsia="仿宋"/>
          <w:sz w:val="24"/>
        </w:rPr>
        <w:t>.5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napToGrid w:val="0"/>
        <w:spacing w:line="360" w:lineRule="auto"/>
        <w:ind w:firstLine="352" w:firstLineChars="147"/>
        <w:rPr>
          <w:rFonts w:ascii="仿宋" w:hAnsi="仿宋" w:eastAsia="仿宋" w:cs="仿宋"/>
          <w:b/>
          <w:sz w:val="24"/>
        </w:rPr>
      </w:pPr>
      <w:r>
        <w:rPr>
          <w:rFonts w:hint="eastAsia" w:ascii="宋体" w:hAnsi="宋体" w:cs="宋体"/>
          <w:bCs/>
          <w:sz w:val="24"/>
        </w:rPr>
        <w:t xml:space="preserve"> 10</w:t>
      </w:r>
      <w:r>
        <w:rPr>
          <w:rFonts w:hint="eastAsia" w:ascii="仿宋" w:hAnsi="仿宋" w:eastAsia="仿宋" w:cs="仿宋"/>
          <w:b/>
          <w:sz w:val="24"/>
        </w:rPr>
        <w:t>.税费</w:t>
      </w:r>
    </w:p>
    <w:p>
      <w:pPr>
        <w:spacing w:line="360" w:lineRule="auto"/>
        <w:ind w:firstLine="480" w:firstLineChars="200"/>
        <w:rPr>
          <w:rFonts w:ascii="仿宋" w:hAnsi="仿宋" w:eastAsia="仿宋" w:cs="仿宋"/>
          <w:bCs/>
          <w:sz w:val="24"/>
        </w:rPr>
      </w:pPr>
      <w:r>
        <w:rPr>
          <w:rFonts w:hint="eastAsia" w:ascii="仿宋" w:hAnsi="仿宋" w:eastAsia="仿宋" w:cs="仿宋"/>
          <w:sz w:val="24"/>
        </w:rPr>
        <w:t>与合同有关的一切税费，均按照中华人民共和国法律的相关规定缴纳。</w:t>
      </w:r>
    </w:p>
    <w:p>
      <w:pPr>
        <w:snapToGrid w:val="0"/>
        <w:spacing w:line="360" w:lineRule="auto"/>
        <w:ind w:firstLine="352" w:firstLineChars="147"/>
        <w:rPr>
          <w:rFonts w:ascii="仿宋" w:hAnsi="仿宋" w:eastAsia="仿宋" w:cs="仿宋"/>
          <w:b/>
          <w:sz w:val="24"/>
        </w:rPr>
      </w:pPr>
      <w:r>
        <w:rPr>
          <w:rFonts w:hint="eastAsia" w:ascii="仿宋" w:hAnsi="仿宋" w:eastAsia="仿宋" w:cs="仿宋"/>
          <w:bCs/>
          <w:sz w:val="24"/>
        </w:rPr>
        <w:t xml:space="preserve"> </w:t>
      </w:r>
      <w:r>
        <w:rPr>
          <w:rFonts w:hint="eastAsia" w:ascii="仿宋" w:hAnsi="仿宋" w:eastAsia="仿宋" w:cs="仿宋"/>
          <w:b/>
          <w:sz w:val="24"/>
        </w:rPr>
        <w:t>11.质量保证及售后服务</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 xml:space="preserve"> 11.1乙方应按招标文件规定的货物性能、技术要求、质量标准向甲方提供未经使用的全产品。所使用的材料必须具有质量保证书或符合规定做的试验资料报告。严禁使用质量不合格或不符合设计要求的材料，否则乙方须承担由此产生的一切责任。如有外购产品由乙方统一配备。乙方所提供的货物必须是符合需求的合法产品，杜绝三无、假冒和走私产品。</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11.2乙方提供的货物在质保期内因货物本身的质量问题发生故障，乙方应负责免费更换。对达不到技术要求者，根据实际情况，经双方协商，可按以下办法处理：</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更换：由乙方承担所发生的全部费用。</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贬值处理：由甲乙双方合议定价。</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退货处理：乙方应退还甲方支付的合同款，同时应承担该货物的直接费用（运输、保险、检验、货款利息及银行手续费等）。</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11.3在质保期内，乙方应对货物出现的质量及安全问题负责处理解决并承担一切费用。</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11.4乙方必须对所供产品实行终身维修，乙方在接到电话后2小时内响应，6小时内到达现场解决问题，最迟在2个工作日内修复，如不能修复应采取补救措施，以保证使用方的正常工作，乙方有其它服务承诺的，一并履行。</w:t>
      </w:r>
    </w:p>
    <w:p>
      <w:pPr>
        <w:snapToGrid w:val="0"/>
        <w:spacing w:line="360" w:lineRule="auto"/>
        <w:ind w:firstLine="352" w:firstLineChars="147"/>
        <w:rPr>
          <w:rFonts w:ascii="仿宋" w:hAnsi="仿宋" w:eastAsia="仿宋" w:cs="仿宋"/>
          <w:kern w:val="0"/>
          <w:sz w:val="24"/>
        </w:rPr>
      </w:pPr>
      <w:r>
        <w:rPr>
          <w:rFonts w:hint="eastAsia" w:ascii="仿宋" w:hAnsi="仿宋" w:eastAsia="仿宋" w:cs="仿宋"/>
          <w:bCs/>
          <w:sz w:val="24"/>
        </w:rPr>
        <w:t>11.5乙方在质保期内每年应（不少于一次）到使用方进行设备保养、检修。</w:t>
      </w:r>
    </w:p>
    <w:p>
      <w:pPr>
        <w:snapToGrid w:val="0"/>
        <w:spacing w:line="360" w:lineRule="auto"/>
        <w:rPr>
          <w:rFonts w:ascii="仿宋" w:hAnsi="仿宋" w:eastAsia="仿宋" w:cs="仿宋"/>
          <w:kern w:val="0"/>
          <w:sz w:val="24"/>
        </w:rPr>
      </w:pPr>
      <w:r>
        <w:rPr>
          <w:rFonts w:hint="eastAsia" w:ascii="仿宋" w:hAnsi="仿宋" w:eastAsia="仿宋" w:cs="仿宋"/>
          <w:kern w:val="0"/>
          <w:sz w:val="24"/>
        </w:rPr>
        <w:t xml:space="preserve">   11.6在质保期内，乙方应兑现“投标文件”中“售后服务”的诸项相关承诺，并应对货物出现的质量及安全问题负责处理解决并承担一切费用。在质保期内乙方不得以任何理由影响用户的正常使用，乙方必须对所供产品实行终身维修，配件按市场价格收取。</w:t>
      </w:r>
    </w:p>
    <w:p>
      <w:pPr>
        <w:snapToGrid w:val="0"/>
        <w:spacing w:line="360" w:lineRule="auto"/>
        <w:ind w:firstLine="354" w:firstLineChars="147"/>
        <w:rPr>
          <w:rFonts w:ascii="仿宋" w:hAnsi="仿宋" w:eastAsia="仿宋" w:cs="仿宋"/>
          <w:b/>
          <w:sz w:val="24"/>
        </w:rPr>
      </w:pPr>
      <w:r>
        <w:rPr>
          <w:rFonts w:hint="eastAsia" w:ascii="仿宋" w:hAnsi="仿宋" w:eastAsia="仿宋" w:cs="仿宋"/>
          <w:b/>
          <w:sz w:val="24"/>
        </w:rPr>
        <w:t>12.货物包装、发运及运输</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12.1乙方应在货物发运前对其进行满足运输距离、防潮、防震、防锈和防破损装卸等要求包装，以保证货物安全运达甲方指定地点。</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12.2使用说明书、质量检验证明书、随配附件和工具以及清单一并附于货物内。</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12.3乙方在货物发运手续办理完毕后24小时内或货到甲方48小时前通知甲方，以准备接货。</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12.4货物在交付甲方前发生的风险均由乙方负责。</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12.5货物在规定的交付期限内由乙方送达甲方指定的地点，及时通知甲方货物已送达并安装调试完毕视为交付。</w:t>
      </w:r>
    </w:p>
    <w:p>
      <w:pPr>
        <w:snapToGrid w:val="0"/>
        <w:spacing w:line="360" w:lineRule="auto"/>
        <w:rPr>
          <w:rFonts w:ascii="仿宋" w:hAnsi="仿宋" w:eastAsia="仿宋" w:cs="仿宋"/>
          <w:b/>
          <w:sz w:val="24"/>
        </w:rPr>
      </w:pPr>
      <w:r>
        <w:rPr>
          <w:rFonts w:hint="eastAsia" w:ascii="仿宋" w:hAnsi="仿宋" w:eastAsia="仿宋" w:cs="仿宋"/>
          <w:b/>
          <w:sz w:val="24"/>
        </w:rPr>
        <w:t xml:space="preserve">    13.调试和验收</w:t>
      </w:r>
    </w:p>
    <w:p>
      <w:pPr>
        <w:spacing w:line="360" w:lineRule="auto"/>
        <w:ind w:firstLine="480" w:firstLineChars="200"/>
        <w:outlineLvl w:val="0"/>
        <w:rPr>
          <w:rFonts w:ascii="仿宋" w:hAnsi="仿宋" w:eastAsia="仿宋" w:cs="仿宋"/>
          <w:bCs/>
          <w:sz w:val="24"/>
        </w:rPr>
      </w:pPr>
      <w:r>
        <w:rPr>
          <w:rFonts w:hint="eastAsia" w:ascii="仿宋" w:hAnsi="仿宋" w:eastAsia="仿宋" w:cs="仿宋"/>
          <w:sz w:val="24"/>
        </w:rPr>
        <w:t>13.1</w:t>
      </w:r>
      <w:r>
        <w:rPr>
          <w:rFonts w:hint="eastAsia" w:ascii="仿宋" w:hAnsi="仿宋" w:eastAsia="仿宋"/>
          <w:sz w:val="24"/>
          <w:u w:val="single"/>
        </w:rPr>
        <w:t xml:space="preserve">    无                                                         </w:t>
      </w:r>
      <w:r>
        <w:rPr>
          <w:rFonts w:hint="eastAsia" w:ascii="仿宋" w:hAnsi="仿宋" w:eastAsia="仿宋"/>
          <w:sz w:val="24"/>
        </w:rPr>
        <w:t>。</w:t>
      </w:r>
    </w:p>
    <w:p>
      <w:pPr>
        <w:snapToGrid w:val="0"/>
        <w:spacing w:line="360" w:lineRule="auto"/>
        <w:ind w:firstLine="352" w:firstLineChars="147"/>
        <w:rPr>
          <w:rFonts w:ascii="仿宋" w:hAnsi="仿宋" w:eastAsia="仿宋" w:cs="仿宋"/>
          <w:bCs/>
          <w:sz w:val="24"/>
        </w:rPr>
      </w:pPr>
      <w:r>
        <w:rPr>
          <w:rFonts w:hint="eastAsia" w:ascii="仿宋" w:hAnsi="仿宋" w:eastAsia="仿宋" w:cs="仿宋"/>
          <w:bCs/>
          <w:sz w:val="24"/>
        </w:rPr>
        <w:t xml:space="preserve"> 13.2经验收不合格且无法整改的，不付款不退货，所产生的所有损失由乙方承担。</w:t>
      </w:r>
    </w:p>
    <w:p>
      <w:pPr>
        <w:snapToGrid w:val="0"/>
        <w:spacing w:line="360" w:lineRule="auto"/>
        <w:ind w:firstLine="354" w:firstLineChars="147"/>
        <w:rPr>
          <w:rFonts w:ascii="仿宋" w:hAnsi="仿宋" w:eastAsia="仿宋" w:cs="仿宋"/>
          <w:b/>
          <w:sz w:val="24"/>
        </w:rPr>
      </w:pPr>
      <w:r>
        <w:rPr>
          <w:rFonts w:hint="eastAsia" w:ascii="仿宋" w:hAnsi="仿宋" w:eastAsia="仿宋" w:cs="仿宋"/>
          <w:b/>
          <w:sz w:val="24"/>
        </w:rPr>
        <w:t xml:space="preserve"> 14.违约责任</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1 </w:t>
      </w:r>
      <w:r>
        <w:rPr>
          <w:rFonts w:hint="eastAsia" w:ascii="仿宋" w:hAnsi="仿宋" w:eastAsia="仿宋"/>
          <w:sz w:val="24"/>
        </w:rPr>
        <w:t>除不可抗力外，如果乙方没有按照本合同约定的期限、地点和方式交付货物，那么甲方可要求乙方支付违约金，违约金按每迟延交付货物一日的应交付而未交付货物价格的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%；迟延交付货物的违约金计算数额达到前述最高限额之日起，甲方有权在要求乙方支付违约金的同时，书面通知乙方解除本合同；</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.2 </w:t>
      </w:r>
      <w:r>
        <w:rPr>
          <w:rFonts w:hint="eastAsia" w:ascii="仿宋" w:hAnsi="仿宋" w:eastAsia="仿宋"/>
          <w:sz w:val="24"/>
        </w:rPr>
        <w:t>除不可抗力外，如果甲方没有按照本合同约定的付款方式付款，那么乙方可要求甲方支付违约金，违约金按每迟延付款一日的应付而未付款的</w:t>
      </w:r>
      <w:r>
        <w:rPr>
          <w:rFonts w:ascii="仿宋" w:hAnsi="仿宋" w:eastAsia="仿宋"/>
          <w:sz w:val="24"/>
          <w:u w:val="single"/>
        </w:rPr>
        <w:t xml:space="preserve">  </w:t>
      </w:r>
      <w:r>
        <w:rPr>
          <w:rFonts w:hint="eastAsia" w:ascii="仿宋" w:hAnsi="仿宋" w:eastAsia="仿宋"/>
          <w:sz w:val="24"/>
          <w:u w:val="single"/>
        </w:rPr>
        <w:t>0.05</w:t>
      </w:r>
      <w:r>
        <w:rPr>
          <w:rFonts w:ascii="仿宋" w:hAnsi="仿宋" w:eastAsia="仿宋"/>
          <w:sz w:val="24"/>
          <w:u w:val="single"/>
        </w:rPr>
        <w:t xml:space="preserve">  </w:t>
      </w:r>
      <w:r>
        <w:rPr>
          <w:rFonts w:ascii="仿宋" w:hAnsi="仿宋" w:eastAsia="仿宋"/>
          <w:sz w:val="24"/>
        </w:rPr>
        <w:t>%计算，最高限额为本合同总价的</w:t>
      </w:r>
      <w:r>
        <w:rPr>
          <w:rFonts w:ascii="仿宋" w:hAnsi="仿宋" w:eastAsia="仿宋"/>
          <w:sz w:val="24"/>
          <w:u w:val="single"/>
        </w:rPr>
        <w:t xml:space="preserve">  </w:t>
      </w:r>
      <w:r>
        <w:rPr>
          <w:rFonts w:hint="eastAsia" w:ascii="仿宋" w:hAnsi="仿宋" w:eastAsia="仿宋"/>
          <w:sz w:val="24"/>
          <w:u w:val="single"/>
        </w:rPr>
        <w:t>20</w:t>
      </w:r>
      <w:r>
        <w:rPr>
          <w:rFonts w:ascii="仿宋" w:hAnsi="仿宋" w:eastAsia="仿宋"/>
          <w:sz w:val="24"/>
          <w:u w:val="single"/>
        </w:rPr>
        <w:t xml:space="preserve">   </w:t>
      </w:r>
      <w:r>
        <w:rPr>
          <w:rFonts w:ascii="仿宋" w:hAnsi="仿宋" w:eastAsia="仿宋"/>
          <w:sz w:val="24"/>
        </w:rPr>
        <w:t>%；迟延付款的违约金计算数额达到前述最高限额之日起，乙方有权在要求甲方支付违约金的同时，书面通知甲方解除本合同；</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hint="eastAsia" w:ascii="仿宋" w:hAnsi="仿宋" w:eastAsia="仿宋"/>
          <w:sz w:val="24"/>
        </w:rPr>
        <w:t>14</w:t>
      </w:r>
      <w:r>
        <w:rPr>
          <w:rFonts w:ascii="仿宋" w:hAnsi="仿宋" w:eastAsia="仿宋"/>
          <w:sz w:val="24"/>
        </w:rPr>
        <w:t xml:space="preserve">.6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960" w:firstLineChars="400"/>
      </w:pPr>
      <w:r>
        <w:rPr>
          <w:rFonts w:hint="eastAsia" w:ascii="仿宋" w:hAnsi="仿宋" w:eastAsia="仿宋"/>
          <w:sz w:val="24"/>
        </w:rPr>
        <w:t>14.7违约责任采购人另有约定的：</w:t>
      </w:r>
      <w:r>
        <w:rPr>
          <w:rFonts w:hint="eastAsia" w:ascii="仿宋" w:hAnsi="仿宋" w:eastAsia="仿宋"/>
          <w:sz w:val="24"/>
          <w:u w:val="single"/>
        </w:rPr>
        <w:t xml:space="preserve">                         </w:t>
      </w:r>
      <w:r>
        <w:rPr>
          <w:rFonts w:hint="eastAsia" w:ascii="仿宋" w:hAnsi="仿宋" w:eastAsia="仿宋"/>
          <w:sz w:val="24"/>
        </w:rPr>
        <w:t>从其约定。</w:t>
      </w:r>
    </w:p>
    <w:p>
      <w:pPr>
        <w:spacing w:line="360" w:lineRule="auto"/>
        <w:rPr>
          <w:rFonts w:ascii="仿宋" w:hAnsi="仿宋" w:eastAsia="仿宋" w:cs="仿宋"/>
          <w:b/>
          <w:bCs/>
          <w:sz w:val="24"/>
        </w:rPr>
      </w:pPr>
      <w:r>
        <w:rPr>
          <w:rFonts w:hint="eastAsia" w:ascii="仿宋" w:hAnsi="仿宋" w:eastAsia="仿宋" w:cs="仿宋"/>
          <w:b/>
          <w:bCs/>
          <w:sz w:val="24"/>
        </w:rPr>
        <w:t xml:space="preserve">    15.不可抗力事件处理</w:t>
      </w:r>
    </w:p>
    <w:p>
      <w:pPr>
        <w:spacing w:line="360" w:lineRule="auto"/>
        <w:rPr>
          <w:rFonts w:ascii="仿宋" w:hAnsi="仿宋" w:eastAsia="仿宋" w:cs="仿宋"/>
          <w:sz w:val="24"/>
        </w:rPr>
      </w:pPr>
      <w:r>
        <w:rPr>
          <w:rFonts w:hint="eastAsia" w:ascii="仿宋" w:hAnsi="仿宋" w:eastAsia="仿宋" w:cs="仿宋"/>
          <w:sz w:val="24"/>
        </w:rPr>
        <w:t xml:space="preserve">    15.1在合同有效期内，任何一方因不可抗力事件导致不能履行合同，则合同履行期可延长，其延长期与不可抗力影响期相同。</w:t>
      </w:r>
    </w:p>
    <w:p>
      <w:pPr>
        <w:spacing w:line="360" w:lineRule="auto"/>
        <w:rPr>
          <w:rFonts w:ascii="仿宋" w:hAnsi="仿宋" w:eastAsia="仿宋" w:cs="仿宋"/>
          <w:sz w:val="24"/>
        </w:rPr>
      </w:pPr>
      <w:r>
        <w:rPr>
          <w:rFonts w:hint="eastAsia" w:ascii="仿宋" w:hAnsi="仿宋" w:eastAsia="仿宋" w:cs="仿宋"/>
          <w:sz w:val="24"/>
        </w:rPr>
        <w:t xml:space="preserve">    15.2不可抗力事件发生后，应立即通知对方，并寄送有关权威机构出具的证明。</w:t>
      </w:r>
    </w:p>
    <w:p>
      <w:pPr>
        <w:spacing w:line="360" w:lineRule="auto"/>
        <w:rPr>
          <w:rFonts w:ascii="仿宋" w:hAnsi="仿宋" w:eastAsia="仿宋" w:cs="仿宋"/>
          <w:sz w:val="24"/>
        </w:rPr>
      </w:pPr>
      <w:r>
        <w:rPr>
          <w:rFonts w:hint="eastAsia" w:ascii="仿宋" w:hAnsi="仿宋" w:eastAsia="仿宋" w:cs="仿宋"/>
          <w:sz w:val="24"/>
        </w:rPr>
        <w:t xml:space="preserve">    15.3不可抗力事件延续120天以上，双方应通过友好协商，确定是否继续履行合同。</w:t>
      </w:r>
    </w:p>
    <w:p>
      <w:pPr>
        <w:spacing w:line="360" w:lineRule="auto"/>
        <w:rPr>
          <w:rFonts w:ascii="仿宋" w:hAnsi="仿宋" w:eastAsia="仿宋" w:cs="仿宋"/>
          <w:b/>
          <w:bCs/>
          <w:sz w:val="24"/>
        </w:rPr>
      </w:pPr>
      <w:r>
        <w:rPr>
          <w:rFonts w:hint="eastAsia" w:ascii="仿宋" w:hAnsi="仿宋" w:eastAsia="仿宋" w:cs="仿宋"/>
          <w:b/>
          <w:bCs/>
          <w:sz w:val="24"/>
        </w:rPr>
        <w:t xml:space="preserve">    16.诉讼</w:t>
      </w:r>
    </w:p>
    <w:p>
      <w:pPr>
        <w:spacing w:line="360" w:lineRule="auto"/>
        <w:rPr>
          <w:rFonts w:ascii="仿宋" w:hAnsi="仿宋" w:eastAsia="仿宋" w:cs="仿宋"/>
          <w:sz w:val="24"/>
        </w:rPr>
      </w:pPr>
      <w:r>
        <w:rPr>
          <w:rFonts w:hint="eastAsia" w:ascii="仿宋" w:hAnsi="仿宋" w:eastAsia="仿宋" w:cs="仿宋"/>
          <w:sz w:val="24"/>
        </w:rPr>
        <w:t xml:space="preserve">    双方在执行合同中所发生的一切争议，应通过协商解决。如协商不成，可向甲方所在地法院起诉。</w:t>
      </w:r>
    </w:p>
    <w:p>
      <w:pPr>
        <w:spacing w:line="360" w:lineRule="auto"/>
        <w:rPr>
          <w:rFonts w:ascii="仿宋" w:hAnsi="仿宋" w:eastAsia="仿宋" w:cs="仿宋"/>
          <w:b/>
          <w:bCs/>
          <w:sz w:val="24"/>
        </w:rPr>
      </w:pPr>
      <w:r>
        <w:rPr>
          <w:rFonts w:hint="eastAsia" w:ascii="仿宋" w:hAnsi="仿宋" w:eastAsia="仿宋" w:cs="仿宋"/>
          <w:b/>
          <w:bCs/>
          <w:sz w:val="24"/>
        </w:rPr>
        <w:t xml:space="preserve">    17.合同生效及其它</w:t>
      </w:r>
    </w:p>
    <w:p>
      <w:pPr>
        <w:spacing w:line="360" w:lineRule="auto"/>
        <w:rPr>
          <w:rFonts w:ascii="仿宋" w:hAnsi="仿宋" w:eastAsia="仿宋" w:cs="仿宋"/>
          <w:sz w:val="24"/>
        </w:rPr>
      </w:pPr>
      <w:r>
        <w:rPr>
          <w:rFonts w:hint="eastAsia" w:ascii="仿宋" w:hAnsi="仿宋" w:eastAsia="仿宋" w:cs="仿宋"/>
          <w:sz w:val="24"/>
        </w:rPr>
        <w:t xml:space="preserve">    17.1招标文件、投标文件、更正公告、中标通知书、承诺函等均作为本合同组成部分，具有同等效力。</w:t>
      </w:r>
    </w:p>
    <w:p>
      <w:pPr>
        <w:spacing w:line="360" w:lineRule="auto"/>
        <w:rPr>
          <w:rFonts w:ascii="仿宋" w:hAnsi="仿宋" w:eastAsia="仿宋" w:cs="仿宋"/>
          <w:sz w:val="24"/>
        </w:rPr>
      </w:pPr>
      <w:r>
        <w:rPr>
          <w:rFonts w:hint="eastAsia" w:ascii="仿宋" w:hAnsi="仿宋" w:eastAsia="仿宋" w:cs="仿宋"/>
          <w:sz w:val="24"/>
        </w:rPr>
        <w:t xml:space="preserve">    17.2合同经双方法定代表人或其授权代表签字并加盖单位公章后方可生效。</w:t>
      </w:r>
    </w:p>
    <w:p>
      <w:pPr>
        <w:spacing w:line="360" w:lineRule="auto"/>
        <w:rPr>
          <w:rFonts w:ascii="仿宋" w:hAnsi="仿宋" w:eastAsia="仿宋" w:cs="仿宋"/>
          <w:sz w:val="24"/>
        </w:rPr>
      </w:pPr>
      <w:r>
        <w:rPr>
          <w:rFonts w:hint="eastAsia" w:ascii="仿宋" w:hAnsi="仿宋" w:eastAsia="仿宋" w:cs="仿宋"/>
          <w:sz w:val="24"/>
        </w:rPr>
        <w:t xml:space="preserve">    17.3合同执行中涉及采购资金和采购内容修改或补充的，须经财政部门审批，并签书面补充协议报政府采购监督管理部门备案，作为主合同不可分割的一部分。</w:t>
      </w:r>
    </w:p>
    <w:p>
      <w:pPr>
        <w:spacing w:line="360" w:lineRule="auto"/>
        <w:rPr>
          <w:rFonts w:ascii="仿宋" w:hAnsi="仿宋" w:eastAsia="仿宋" w:cs="仿宋"/>
          <w:b/>
          <w:bCs/>
          <w:sz w:val="24"/>
        </w:rPr>
      </w:pPr>
      <w:r>
        <w:rPr>
          <w:rFonts w:hint="eastAsia" w:ascii="仿宋" w:hAnsi="仿宋" w:eastAsia="仿宋" w:cs="仿宋"/>
          <w:sz w:val="24"/>
        </w:rPr>
        <w:t xml:space="preserve">    </w:t>
      </w:r>
      <w:r>
        <w:rPr>
          <w:rFonts w:hint="eastAsia" w:ascii="仿宋" w:hAnsi="仿宋" w:eastAsia="仿宋" w:cs="仿宋"/>
          <w:b/>
          <w:bCs/>
          <w:sz w:val="24"/>
        </w:rPr>
        <w:t>17.4</w:t>
      </w:r>
      <w:r>
        <w:rPr>
          <w:rFonts w:hint="eastAsia" w:ascii="仿宋" w:hAnsi="仿宋" w:eastAsia="仿宋" w:cs="仿宋"/>
          <w:b/>
          <w:bCs/>
          <w:sz w:val="24"/>
          <w:lang w:val="zh-CN"/>
        </w:rPr>
        <w:t>本合同</w:t>
      </w:r>
      <w:r>
        <w:rPr>
          <w:rFonts w:hint="eastAsia" w:ascii="仿宋" w:hAnsi="仿宋" w:eastAsia="仿宋" w:cs="仿宋"/>
          <w:b/>
          <w:bCs/>
          <w:sz w:val="24"/>
        </w:rPr>
        <w:t>（□是  □</w:t>
      </w:r>
      <w:r>
        <w:rPr>
          <w:rFonts w:hint="eastAsia" w:ascii="仿宋" w:hAnsi="仿宋" w:eastAsia="仿宋" w:cs="仿宋"/>
          <w:b/>
          <w:bCs/>
          <w:sz w:val="24"/>
          <w:lang w:val="zh-CN"/>
        </w:rPr>
        <w:t>否</w:t>
      </w:r>
      <w:r>
        <w:rPr>
          <w:rFonts w:hint="eastAsia" w:ascii="仿宋" w:hAnsi="仿宋" w:eastAsia="仿宋" w:cs="仿宋"/>
          <w:b/>
          <w:bCs/>
          <w:sz w:val="24"/>
        </w:rPr>
        <w:t>）</w:t>
      </w:r>
      <w:r>
        <w:rPr>
          <w:rFonts w:hint="eastAsia" w:ascii="仿宋" w:hAnsi="仿宋" w:eastAsia="仿宋" w:cs="仿宋"/>
          <w:b/>
          <w:bCs/>
          <w:sz w:val="24"/>
          <w:lang w:val="zh-CN"/>
        </w:rPr>
        <w:t>为可融资合同</w:t>
      </w:r>
      <w:r>
        <w:rPr>
          <w:rFonts w:hint="eastAsia" w:ascii="仿宋" w:hAnsi="仿宋" w:eastAsia="仿宋" w:cs="仿宋"/>
          <w:b/>
          <w:bCs/>
          <w:sz w:val="24"/>
        </w:rPr>
        <w:t>，</w:t>
      </w:r>
      <w:r>
        <w:rPr>
          <w:rFonts w:hint="eastAsia" w:ascii="仿宋" w:hAnsi="仿宋" w:eastAsia="仿宋" w:cs="仿宋"/>
          <w:b/>
          <w:bCs/>
          <w:sz w:val="24"/>
          <w:lang w:val="zh-CN"/>
        </w:rPr>
        <w:t>关于中小企业信用融资事项</w:t>
      </w:r>
      <w:r>
        <w:rPr>
          <w:rFonts w:hint="eastAsia" w:ascii="仿宋" w:hAnsi="仿宋" w:eastAsia="仿宋" w:cs="仿宋"/>
          <w:b/>
          <w:bCs/>
          <w:sz w:val="24"/>
        </w:rPr>
        <w:t>详见《政府采购支持中小企业信用融资相关事项通知》，或登录杭州市政府采购网“中小企业信用融资”模块，查看信用融资政策文件及各相关银行服务方案。</w:t>
      </w:r>
    </w:p>
    <w:p>
      <w:pPr>
        <w:spacing w:line="360" w:lineRule="auto"/>
        <w:rPr>
          <w:rFonts w:ascii="仿宋" w:hAnsi="仿宋" w:eastAsia="仿宋" w:cs="仿宋"/>
          <w:sz w:val="24"/>
        </w:rPr>
      </w:pPr>
      <w:r>
        <w:rPr>
          <w:rFonts w:hint="eastAsia" w:ascii="仿宋" w:hAnsi="仿宋" w:eastAsia="仿宋" w:cs="仿宋"/>
          <w:sz w:val="24"/>
        </w:rPr>
        <w:t xml:space="preserve">    17.5本合同未尽事宜，遵照《民法典》有关条文执行。</w:t>
      </w:r>
    </w:p>
    <w:p>
      <w:pPr>
        <w:spacing w:line="360" w:lineRule="auto"/>
        <w:rPr>
          <w:rFonts w:ascii="仿宋" w:hAnsi="仿宋" w:eastAsia="仿宋" w:cs="仿宋"/>
          <w:sz w:val="24"/>
        </w:rPr>
      </w:pPr>
      <w:r>
        <w:rPr>
          <w:rFonts w:hint="eastAsia" w:ascii="仿宋" w:hAnsi="仿宋" w:eastAsia="仿宋" w:cs="仿宋"/>
          <w:sz w:val="24"/>
        </w:rPr>
        <w:t xml:space="preserve">    17.6本合同一式多份，具有同等法律效力，甲乙双方、区财政局采购监管科、验收单位，各执一份。 </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甲方（盖章）：                         乙方（盖章）：                 </w:t>
      </w:r>
    </w:p>
    <w:p>
      <w:pPr>
        <w:spacing w:line="360" w:lineRule="auto"/>
        <w:rPr>
          <w:rFonts w:ascii="仿宋" w:hAnsi="仿宋" w:eastAsia="仿宋" w:cs="仿宋"/>
          <w:sz w:val="24"/>
        </w:rPr>
      </w:pPr>
      <w:r>
        <w:rPr>
          <w:rFonts w:hint="eastAsia" w:ascii="仿宋" w:hAnsi="仿宋" w:eastAsia="仿宋" w:cs="仿宋"/>
          <w:sz w:val="24"/>
        </w:rPr>
        <w:t xml:space="preserve">法定代表人：                          法定代表人：                </w:t>
      </w:r>
    </w:p>
    <w:p>
      <w:pPr>
        <w:spacing w:line="360" w:lineRule="auto"/>
        <w:rPr>
          <w:rFonts w:ascii="仿宋" w:hAnsi="仿宋" w:eastAsia="仿宋" w:cs="仿宋"/>
          <w:sz w:val="24"/>
        </w:rPr>
      </w:pPr>
      <w:r>
        <w:rPr>
          <w:rFonts w:hint="eastAsia" w:ascii="仿宋" w:hAnsi="仿宋" w:eastAsia="仿宋" w:cs="仿宋"/>
          <w:sz w:val="24"/>
        </w:rPr>
        <w:t xml:space="preserve">或授权代表（签字）：                   或授权代表（签字）：           </w:t>
      </w:r>
    </w:p>
    <w:p>
      <w:pPr>
        <w:spacing w:line="360" w:lineRule="auto"/>
        <w:rPr>
          <w:rFonts w:ascii="仿宋" w:hAnsi="仿宋" w:eastAsia="仿宋" w:cs="仿宋"/>
          <w:sz w:val="24"/>
        </w:rPr>
      </w:pPr>
      <w:r>
        <w:rPr>
          <w:rFonts w:hint="eastAsia" w:ascii="仿宋" w:hAnsi="仿宋" w:eastAsia="仿宋" w:cs="仿宋"/>
          <w:sz w:val="24"/>
        </w:rPr>
        <w:t xml:space="preserve">地址：                                地址：    </w:t>
      </w:r>
    </w:p>
    <w:p>
      <w:pPr>
        <w:spacing w:line="360" w:lineRule="auto"/>
        <w:rPr>
          <w:rFonts w:ascii="仿宋" w:hAnsi="仿宋" w:eastAsia="仿宋" w:cs="仿宋"/>
          <w:sz w:val="24"/>
        </w:rPr>
      </w:pPr>
      <w:r>
        <w:rPr>
          <w:rFonts w:hint="eastAsia" w:ascii="仿宋" w:hAnsi="仿宋" w:eastAsia="仿宋" w:cs="仿宋"/>
          <w:sz w:val="24"/>
        </w:rPr>
        <w:t xml:space="preserve">邮编：                                邮编：                     </w:t>
      </w:r>
    </w:p>
    <w:p>
      <w:pPr>
        <w:spacing w:line="360" w:lineRule="auto"/>
        <w:rPr>
          <w:rFonts w:ascii="仿宋" w:hAnsi="仿宋" w:eastAsia="仿宋" w:cs="仿宋"/>
          <w:sz w:val="24"/>
        </w:rPr>
      </w:pPr>
      <w:r>
        <w:rPr>
          <w:rFonts w:hint="eastAsia" w:ascii="仿宋" w:hAnsi="仿宋" w:eastAsia="仿宋" w:cs="仿宋"/>
          <w:sz w:val="24"/>
        </w:rPr>
        <w:t xml:space="preserve">电话：                                电话：             </w:t>
      </w:r>
    </w:p>
    <w:p>
      <w:pPr>
        <w:spacing w:line="360" w:lineRule="auto"/>
        <w:rPr>
          <w:rFonts w:ascii="仿宋" w:hAnsi="仿宋" w:eastAsia="仿宋" w:cs="仿宋"/>
          <w:sz w:val="24"/>
        </w:rPr>
      </w:pPr>
      <w:r>
        <w:rPr>
          <w:rFonts w:hint="eastAsia" w:ascii="仿宋" w:hAnsi="仿宋" w:eastAsia="仿宋" w:cs="仿宋"/>
          <w:sz w:val="24"/>
        </w:rPr>
        <w:t xml:space="preserve">传真：                                传真：         </w:t>
      </w:r>
    </w:p>
    <w:p>
      <w:pPr>
        <w:spacing w:line="360" w:lineRule="auto"/>
        <w:rPr>
          <w:rFonts w:ascii="仿宋" w:hAnsi="仿宋" w:eastAsia="仿宋" w:cs="仿宋"/>
          <w:sz w:val="24"/>
        </w:rPr>
      </w:pPr>
      <w:r>
        <w:rPr>
          <w:rFonts w:hint="eastAsia" w:ascii="仿宋" w:hAnsi="仿宋" w:eastAsia="仿宋" w:cs="仿宋"/>
          <w:sz w:val="24"/>
        </w:rPr>
        <w:t xml:space="preserve">开户银行：                            开户银行：    </w:t>
      </w:r>
    </w:p>
    <w:p>
      <w:pPr>
        <w:spacing w:line="360" w:lineRule="auto"/>
        <w:rPr>
          <w:rFonts w:ascii="仿宋" w:hAnsi="仿宋" w:eastAsia="仿宋" w:cs="仿宋"/>
          <w:sz w:val="24"/>
        </w:rPr>
      </w:pPr>
      <w:r>
        <w:rPr>
          <w:rFonts w:hint="eastAsia" w:ascii="仿宋" w:hAnsi="仿宋" w:eastAsia="仿宋" w:cs="仿宋"/>
          <w:sz w:val="24"/>
        </w:rPr>
        <w:t xml:space="preserve">帐号：                                帐号：     </w:t>
      </w:r>
    </w:p>
    <w:p>
      <w:pPr>
        <w:spacing w:line="360" w:lineRule="auto"/>
        <w:rPr>
          <w:rFonts w:ascii="仿宋" w:hAnsi="仿宋" w:eastAsia="仿宋" w:cs="仿宋"/>
          <w:sz w:val="24"/>
        </w:rPr>
      </w:pPr>
      <w:r>
        <w:rPr>
          <w:rFonts w:hint="eastAsia" w:ascii="仿宋" w:hAnsi="仿宋" w:eastAsia="仿宋" w:cs="仿宋"/>
          <w:sz w:val="24"/>
        </w:rPr>
        <w:t xml:space="preserve"> </w:t>
      </w:r>
    </w:p>
    <w:p>
      <w:pPr>
        <w:spacing w:line="360" w:lineRule="auto"/>
        <w:rPr>
          <w:rFonts w:ascii="仿宋" w:hAnsi="仿宋" w:eastAsia="仿宋" w:cs="仿宋"/>
          <w:sz w:val="24"/>
        </w:rPr>
      </w:pPr>
      <w:r>
        <w:rPr>
          <w:rFonts w:hint="eastAsia" w:ascii="仿宋" w:hAnsi="仿宋" w:eastAsia="仿宋" w:cs="仿宋"/>
          <w:sz w:val="24"/>
        </w:rPr>
        <w:t xml:space="preserve">                                         </w:t>
      </w:r>
    </w:p>
    <w:p>
      <w:pPr>
        <w:spacing w:line="360" w:lineRule="auto"/>
        <w:rPr>
          <w:rFonts w:ascii="仿宋" w:hAnsi="仿宋" w:eastAsia="仿宋" w:cs="仿宋"/>
          <w:sz w:val="24"/>
        </w:rPr>
      </w:pPr>
    </w:p>
    <w:p>
      <w:pPr>
        <w:spacing w:line="360" w:lineRule="auto"/>
        <w:rPr>
          <w:rFonts w:ascii="仿宋" w:hAnsi="仿宋" w:eastAsia="仿宋" w:cs="仿宋"/>
          <w:sz w:val="24"/>
        </w:rPr>
      </w:pPr>
    </w:p>
    <w:p>
      <w:pPr>
        <w:spacing w:line="360" w:lineRule="auto"/>
        <w:jc w:val="center"/>
        <w:rPr>
          <w:rFonts w:ascii="仿宋" w:hAnsi="仿宋" w:eastAsia="仿宋" w:cs="仿宋"/>
          <w:sz w:val="24"/>
        </w:rPr>
      </w:pPr>
      <w:r>
        <w:rPr>
          <w:rFonts w:hint="eastAsia" w:ascii="仿宋" w:hAnsi="仿宋" w:eastAsia="仿宋" w:cs="仿宋"/>
          <w:sz w:val="24"/>
        </w:rPr>
        <w:t xml:space="preserve">                                           签约时间：      年    月   日</w:t>
      </w:r>
    </w:p>
    <w:p>
      <w:pPr>
        <w:spacing w:line="360" w:lineRule="auto"/>
        <w:rPr>
          <w:rFonts w:ascii="仿宋" w:hAnsi="仿宋" w:eastAsia="仿宋" w:cs="仿宋"/>
          <w:sz w:val="24"/>
        </w:rPr>
      </w:pPr>
      <w:r>
        <w:rPr>
          <w:rFonts w:hint="eastAsia" w:ascii="仿宋" w:hAnsi="仿宋" w:eastAsia="仿宋" w:cs="仿宋"/>
          <w:sz w:val="24"/>
        </w:rPr>
        <w:t xml:space="preserve">                                            签约地点： </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                             </w:t>
      </w:r>
    </w:p>
    <w:p>
      <w:pPr>
        <w:spacing w:line="360" w:lineRule="auto"/>
        <w:rPr>
          <w:rFonts w:ascii="仿宋" w:hAnsi="仿宋" w:eastAsia="仿宋" w:cs="仿宋"/>
          <w:b/>
          <w:bCs/>
          <w:sz w:val="24"/>
        </w:rPr>
      </w:pPr>
      <w:bookmarkStart w:id="394" w:name="_Toc350327365"/>
      <w:bookmarkStart w:id="395" w:name="_Toc326765771"/>
      <w:bookmarkStart w:id="396" w:name="_Toc328381300"/>
      <w:bookmarkStart w:id="397" w:name="_Toc868"/>
      <w:bookmarkStart w:id="398" w:name="_Toc339872468"/>
      <w:bookmarkStart w:id="399" w:name="_Toc349721554"/>
      <w:r>
        <w:rPr>
          <w:rFonts w:hint="eastAsia" w:ascii="仿宋" w:hAnsi="仿宋" w:eastAsia="仿宋" w:cs="仿宋"/>
          <w:b/>
          <w:bCs/>
          <w:sz w:val="24"/>
        </w:rPr>
        <w:t xml:space="preserve"> 此仅为合同书样本，中标单位需根据实际情况和采购人签订相应的合同！</w:t>
      </w:r>
      <w:bookmarkEnd w:id="394"/>
      <w:bookmarkEnd w:id="395"/>
      <w:bookmarkEnd w:id="396"/>
      <w:bookmarkEnd w:id="397"/>
      <w:bookmarkEnd w:id="398"/>
      <w:bookmarkEnd w:id="399"/>
    </w:p>
    <w:p>
      <w:pPr>
        <w:spacing w:line="360" w:lineRule="auto"/>
        <w:rPr>
          <w:rFonts w:ascii="仿宋" w:hAnsi="仿宋" w:eastAsia="仿宋" w:cs="仿宋"/>
          <w:b/>
          <w:bCs/>
          <w:sz w:val="24"/>
        </w:rPr>
        <w:sectPr>
          <w:pgSz w:w="11906" w:h="16838"/>
          <w:pgMar w:top="1558" w:right="1531" w:bottom="468" w:left="1531" w:header="851" w:footer="851" w:gutter="0"/>
          <w:cols w:space="720" w:num="1"/>
          <w:titlePg/>
          <w:docGrid w:type="lines" w:linePitch="312" w:charSpace="0"/>
        </w:sectPr>
      </w:pPr>
      <w:bookmarkStart w:id="400" w:name="_Toc194217895"/>
    </w:p>
    <w:bookmarkEnd w:id="400"/>
    <w:p>
      <w:pPr>
        <w:pStyle w:val="4"/>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 xml:space="preserve">我方参与（项目名称）【项目编号：    </w:t>
      </w:r>
      <w:r>
        <w:rPr>
          <w:rFonts w:hint="eastAsia" w:ascii="宋体" w:hAnsi="宋体" w:cs="宋体"/>
          <w:b/>
          <w:bCs/>
          <w:sz w:val="24"/>
        </w:rPr>
        <w:t xml:space="preserve"> </w:t>
      </w:r>
      <w:r>
        <w:rPr>
          <w:rFonts w:hint="eastAsia" w:ascii="仿宋_GB2312" w:hAnsi="仿宋" w:eastAsia="仿宋_GB2312" w:cs="仿宋_GB2312"/>
          <w:sz w:val="24"/>
        </w:rPr>
        <w:t>】政府采购活动，郑重承诺：</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（一）符合参与政府采购活动的资格条件并且没有税收缴纳、社会保障等方面的失信记录的承诺函;</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4"/>
        <w:rPr>
          <w:rFonts w:cs="仿宋_GB2312"/>
          <w:kern w:val="0"/>
        </w:rPr>
      </w:pPr>
    </w:p>
    <w:p>
      <w:pPr>
        <w:rPr>
          <w:rFonts w:ascii="仿宋_GB2312" w:hAnsi="仿宋" w:eastAsia="仿宋_GB2312" w:cs="仿宋_GB2312"/>
          <w:b/>
          <w:kern w:val="0"/>
          <w:sz w:val="32"/>
          <w:szCs w:val="32"/>
        </w:rPr>
      </w:pPr>
    </w:p>
    <w:p>
      <w:pPr>
        <w:pStyle w:val="4"/>
        <w:rPr>
          <w:rFonts w:cs="仿宋_GB2312"/>
          <w:kern w:val="0"/>
        </w:rPr>
      </w:pPr>
    </w:p>
    <w:p/>
    <w:p>
      <w:pPr>
        <w:rPr>
          <w:rFonts w:ascii="仿宋_GB2312" w:hAnsi="仿宋" w:eastAsia="仿宋_GB2312" w:cs="仿宋_GB2312"/>
          <w:b/>
          <w:kern w:val="0"/>
          <w:sz w:val="32"/>
          <w:szCs w:val="32"/>
        </w:rPr>
      </w:pPr>
    </w:p>
    <w:p>
      <w:pPr>
        <w:pStyle w:val="4"/>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r>
        <w:rPr>
          <w:rFonts w:ascii="仿宋_GB2312" w:hAnsi="仿宋" w:eastAsia="仿宋_GB2312" w:cs="仿宋_GB2312"/>
          <w:b/>
          <w:kern w:val="0"/>
          <w:sz w:val="36"/>
          <w:szCs w:val="36"/>
        </w:rPr>
        <w:br w:type="page"/>
      </w:r>
    </w:p>
    <w:p>
      <w:pPr>
        <w:pStyle w:val="4"/>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pPr>
      <w:r>
        <w:rPr>
          <w:rFonts w:hint="eastAsia" w:ascii="仿宋_GB2312" w:hAnsi="仿宋" w:eastAsia="仿宋_GB2312" w:cs="仿宋_GB2312"/>
          <w:sz w:val="24"/>
        </w:rPr>
        <w:t>（7</w:t>
      </w:r>
      <w:r>
        <w:rPr>
          <w:rFonts w:ascii="仿宋_GB2312" w:hAnsi="仿宋" w:eastAsia="仿宋_GB2312" w:cs="仿宋_GB2312"/>
          <w:sz w:val="24"/>
        </w:rPr>
        <w:t>）</w:t>
      </w:r>
      <w:r>
        <w:rPr>
          <w:rFonts w:hint="eastAsia" w:ascii="仿宋_GB2312" w:hAnsi="仿宋" w:eastAsia="仿宋_GB2312" w:cs="仿宋_GB2312"/>
          <w:sz w:val="24"/>
        </w:rPr>
        <w:t>投标标的清单</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（8</w:t>
      </w:r>
      <w:r>
        <w:rPr>
          <w:rFonts w:ascii="仿宋_GB2312" w:hAnsi="仿宋" w:eastAsia="仿宋_GB2312" w:cs="仿宋_GB2312"/>
          <w:sz w:val="24"/>
        </w:rPr>
        <w:t>）商务技术偏离表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hint="eastAsia" w:ascii="仿宋_GB2312" w:hAnsi="仿宋" w:eastAsia="仿宋_GB2312" w:cs="仿宋_GB2312"/>
          <w:sz w:val="24"/>
        </w:rPr>
        <w:t>9</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rPr>
          <w:rFonts w:ascii="仿宋_GB2312" w:hAnsi="仿宋" w:eastAsia="仿宋_GB2312" w:cs="仿宋_GB2312"/>
          <w:b/>
          <w:kern w:val="0"/>
          <w:sz w:val="32"/>
          <w:szCs w:val="32"/>
          <w:lang w:val="zh-CN"/>
        </w:rPr>
      </w:pPr>
      <w:r>
        <w:rPr>
          <w:rFonts w:hint="eastAsia" w:ascii="仿宋_GB2312" w:hAnsi="仿宋" w:eastAsia="仿宋_GB2312" w:cs="仿宋_GB2312"/>
          <w:sz w:val="24"/>
        </w:rPr>
        <w:t xml:space="preserve">    </w:t>
      </w:r>
      <w:r>
        <w:rPr>
          <w:rFonts w:hint="eastAsia" w:ascii="仿宋_GB2312" w:hAnsi="仿宋" w:eastAsia="仿宋_GB2312" w:cs="仿宋_GB2312"/>
          <w:sz w:val="24"/>
          <w:lang w:val="zh-CN"/>
        </w:rPr>
        <w:t>（</w:t>
      </w:r>
      <w:r>
        <w:rPr>
          <w:rFonts w:hint="eastAsia" w:ascii="仿宋_GB2312" w:hAnsi="仿宋" w:eastAsia="仿宋_GB2312" w:cs="仿宋_GB2312"/>
          <w:sz w:val="24"/>
        </w:rPr>
        <w:t>10</w:t>
      </w:r>
      <w:r>
        <w:rPr>
          <w:rFonts w:hint="eastAsia" w:ascii="仿宋_GB2312" w:hAnsi="仿宋" w:eastAsia="仿宋_GB2312" w:cs="仿宋_GB2312"/>
          <w:sz w:val="24"/>
          <w:lang w:val="zh-CN"/>
        </w:rPr>
        <w:t>）投标</w:t>
      </w:r>
      <w:r>
        <w:rPr>
          <w:rFonts w:hint="eastAsia" w:ascii="仿宋_GB2312" w:hAnsi="仿宋" w:eastAsia="仿宋_GB2312" w:cs="仿宋_GB2312"/>
          <w:sz w:val="24"/>
        </w:rPr>
        <w:t>人</w:t>
      </w:r>
      <w:r>
        <w:rPr>
          <w:rFonts w:hint="eastAsia" w:ascii="仿宋_GB2312" w:hAnsi="仿宋" w:eastAsia="仿宋_GB2312" w:cs="仿宋_GB2312"/>
          <w:sz w:val="24"/>
          <w:lang w:val="zh-CN"/>
        </w:rPr>
        <w:t>认为需要的其他文件资料（如有）</w:t>
      </w:r>
      <w:r>
        <w:rPr>
          <w:rFonts w:hint="eastAsia" w:cs="仿宋_GB2312"/>
        </w:rPr>
        <w:t>………………………………… （页码）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4"/>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9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6"/>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91"/>
              <w:adjustRightInd w:val="0"/>
              <w:spacing w:line="360" w:lineRule="auto"/>
              <w:rPr>
                <w:rFonts w:ascii="仿宋_GB2312" w:hAnsi="仿宋" w:eastAsia="仿宋_GB2312"/>
                <w:bCs/>
                <w:sz w:val="24"/>
                <w:szCs w:val="20"/>
              </w:rPr>
            </w:pPr>
            <w:r>
              <w:rPr>
                <w:rFonts w:hint="eastAsia" w:ascii="仿宋_GB2312" w:hAnsi="仿宋" w:eastAsia="仿宋_GB2312"/>
                <w:bCs/>
                <w:sz w:val="24"/>
                <w:szCs w:val="20"/>
              </w:rPr>
              <w:t>正面：                                 反面：</w:t>
            </w:r>
          </w:p>
          <w:p>
            <w:pPr>
              <w:pStyle w:val="91"/>
              <w:adjustRightInd w:val="0"/>
              <w:spacing w:line="360" w:lineRule="auto"/>
              <w:rPr>
                <w:rFonts w:ascii="仿宋_GB2312" w:hAnsi="仿宋" w:eastAsia="仿宋_GB2312"/>
                <w:bCs/>
                <w:sz w:val="24"/>
                <w:szCs w:val="20"/>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4"/>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szCs w:val="20"/>
              </w:rPr>
            </w:pPr>
            <w:r>
              <w:rPr>
                <w:rFonts w:hint="eastAsia" w:ascii="仿宋" w:hAnsi="仿宋" w:eastAsia="仿宋"/>
                <w:b/>
                <w:sz w:val="24"/>
                <w:szCs w:val="20"/>
              </w:rPr>
              <w:t>序号</w:t>
            </w:r>
          </w:p>
        </w:tc>
        <w:tc>
          <w:tcPr>
            <w:tcW w:w="4991" w:type="dxa"/>
            <w:vAlign w:val="center"/>
          </w:tcPr>
          <w:p>
            <w:pPr>
              <w:snapToGrid w:val="0"/>
              <w:spacing w:line="240" w:lineRule="atLeast"/>
              <w:jc w:val="center"/>
              <w:rPr>
                <w:rFonts w:ascii="仿宋" w:hAnsi="仿宋" w:eastAsia="仿宋"/>
                <w:b/>
                <w:sz w:val="24"/>
                <w:szCs w:val="20"/>
              </w:rPr>
            </w:pPr>
            <w:r>
              <w:rPr>
                <w:rFonts w:hint="eastAsia" w:ascii="仿宋" w:hAnsi="仿宋" w:eastAsia="仿宋"/>
                <w:b/>
                <w:sz w:val="24"/>
                <w:szCs w:val="20"/>
              </w:rPr>
              <w:t>实质性要求</w:t>
            </w:r>
          </w:p>
        </w:tc>
        <w:tc>
          <w:tcPr>
            <w:tcW w:w="2551" w:type="dxa"/>
            <w:vAlign w:val="center"/>
          </w:tcPr>
          <w:p>
            <w:pPr>
              <w:snapToGrid w:val="0"/>
              <w:spacing w:line="240" w:lineRule="atLeast"/>
              <w:jc w:val="center"/>
              <w:rPr>
                <w:rFonts w:ascii="仿宋" w:hAnsi="仿宋" w:eastAsia="仿宋"/>
                <w:b/>
                <w:sz w:val="24"/>
                <w:szCs w:val="20"/>
              </w:rPr>
            </w:pPr>
            <w:r>
              <w:rPr>
                <w:rFonts w:hint="eastAsia" w:ascii="仿宋" w:hAnsi="仿宋" w:eastAsia="仿宋"/>
                <w:b/>
                <w:sz w:val="24"/>
                <w:szCs w:val="20"/>
              </w:rPr>
              <w:t>需要提供的符合性审查资料</w:t>
            </w:r>
          </w:p>
        </w:tc>
        <w:tc>
          <w:tcPr>
            <w:tcW w:w="1418" w:type="dxa"/>
            <w:vAlign w:val="center"/>
          </w:tcPr>
          <w:p>
            <w:pPr>
              <w:snapToGrid w:val="0"/>
              <w:spacing w:line="240" w:lineRule="atLeast"/>
              <w:jc w:val="center"/>
              <w:rPr>
                <w:rFonts w:ascii="仿宋" w:hAnsi="仿宋" w:eastAsia="仿宋"/>
                <w:b/>
                <w:sz w:val="24"/>
                <w:szCs w:val="20"/>
              </w:rPr>
            </w:pPr>
            <w:r>
              <w:rPr>
                <w:rFonts w:hint="eastAsia" w:ascii="仿宋" w:hAnsi="仿宋" w:eastAsia="仿宋"/>
                <w:b/>
                <w:sz w:val="24"/>
                <w:szCs w:val="20"/>
              </w:rPr>
              <w:t>投标文件中的</w:t>
            </w:r>
          </w:p>
          <w:p>
            <w:pPr>
              <w:snapToGrid w:val="0"/>
              <w:spacing w:line="240" w:lineRule="atLeast"/>
              <w:jc w:val="center"/>
              <w:rPr>
                <w:rFonts w:ascii="仿宋" w:hAnsi="仿宋" w:eastAsia="仿宋"/>
                <w:b/>
                <w:sz w:val="24"/>
                <w:szCs w:val="20"/>
              </w:rPr>
            </w:pPr>
            <w:r>
              <w:rPr>
                <w:rFonts w:hint="eastAsia" w:ascii="仿宋" w:hAnsi="仿宋" w:eastAsia="仿宋"/>
                <w:b/>
                <w:sz w:val="24"/>
                <w:szCs w:val="20"/>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rPr>
            </w:pPr>
            <w:r>
              <w:rPr>
                <w:rFonts w:hint="eastAsia" w:ascii="仿宋" w:hAnsi="仿宋" w:eastAsia="仿宋"/>
                <w:sz w:val="24"/>
                <w:szCs w:val="20"/>
              </w:rPr>
              <w:t>1</w:t>
            </w:r>
          </w:p>
        </w:tc>
        <w:tc>
          <w:tcPr>
            <w:tcW w:w="4991" w:type="dxa"/>
          </w:tcPr>
          <w:p>
            <w:pPr>
              <w:spacing w:line="360" w:lineRule="auto"/>
              <w:rPr>
                <w:rFonts w:ascii="仿宋_GB2312" w:hAnsi="仿宋" w:eastAsia="仿宋_GB2312" w:cs="仿宋_GB2312"/>
                <w:sz w:val="24"/>
                <w:szCs w:val="20"/>
              </w:rPr>
            </w:pPr>
            <w:r>
              <w:rPr>
                <w:rFonts w:hint="eastAsia" w:ascii="仿宋_GB2312" w:hAnsi="仿宋" w:eastAsia="仿宋_GB2312" w:cs="仿宋_GB2312"/>
                <w:sz w:val="24"/>
                <w:szCs w:val="20"/>
              </w:rPr>
              <w:t>投标文件按照招标文件要求签署、盖章。</w:t>
            </w:r>
          </w:p>
        </w:tc>
        <w:tc>
          <w:tcPr>
            <w:tcW w:w="2551" w:type="dxa"/>
            <w:vAlign w:val="center"/>
          </w:tcPr>
          <w:p>
            <w:pPr>
              <w:rPr>
                <w:rFonts w:ascii="仿宋" w:hAnsi="仿宋" w:eastAsia="仿宋"/>
                <w:sz w:val="24"/>
                <w:szCs w:val="20"/>
              </w:rPr>
            </w:pPr>
            <w:r>
              <w:rPr>
                <w:rFonts w:hint="eastAsia" w:ascii="仿宋" w:hAnsi="仿宋" w:eastAsia="仿宋"/>
                <w:sz w:val="24"/>
                <w:szCs w:val="20"/>
              </w:rPr>
              <w:t>需要使用电子签名或者签字盖章的投标文件的组成部分</w:t>
            </w:r>
          </w:p>
        </w:tc>
        <w:tc>
          <w:tcPr>
            <w:tcW w:w="1418" w:type="dxa"/>
          </w:tcPr>
          <w:p>
            <w:pPr>
              <w:rPr>
                <w:rFonts w:ascii="仿宋" w:hAnsi="仿宋" w:eastAsia="仿宋" w:cs="仿宋_GB2312"/>
                <w:sz w:val="24"/>
                <w:szCs w:val="20"/>
              </w:rPr>
            </w:pPr>
          </w:p>
          <w:p>
            <w:pPr>
              <w:rPr>
                <w:rFonts w:ascii="仿宋" w:hAnsi="仿宋" w:eastAsia="仿宋" w:cs="仿宋_GB2312"/>
                <w:sz w:val="24"/>
                <w:szCs w:val="20"/>
              </w:rPr>
            </w:pPr>
            <w:r>
              <w:rPr>
                <w:rFonts w:hint="eastAsia" w:ascii="仿宋" w:hAnsi="仿宋" w:eastAsia="仿宋" w:cs="仿宋_GB2312"/>
                <w:sz w:val="24"/>
                <w:szCs w:val="20"/>
              </w:rPr>
              <w:t>见投标文件</w:t>
            </w:r>
          </w:p>
          <w:p>
            <w:pPr>
              <w:rPr>
                <w:sz w:val="20"/>
                <w:szCs w:val="20"/>
              </w:rPr>
            </w:pPr>
            <w:r>
              <w:rPr>
                <w:rFonts w:hint="eastAsia" w:ascii="仿宋" w:eastAsia="仿宋" w:cs="仿宋_GB2312"/>
                <w:sz w:val="24"/>
                <w:szCs w:val="20"/>
              </w:rPr>
              <w:t>第</w:t>
            </w:r>
            <w:r>
              <w:rPr>
                <w:rFonts w:hint="eastAsia" w:ascii="仿宋" w:eastAsia="仿宋" w:cs="仿宋_GB2312"/>
                <w:sz w:val="24"/>
                <w:szCs w:val="20"/>
                <w:u w:val="single"/>
              </w:rPr>
              <w:t xml:space="preserve">  </w:t>
            </w:r>
            <w:r>
              <w:rPr>
                <w:rFonts w:hint="eastAsia" w:ascii="仿宋"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szCs w:val="20"/>
              </w:rPr>
            </w:pPr>
            <w:r>
              <w:rPr>
                <w:rFonts w:hint="eastAsia" w:ascii="仿宋_GB2312" w:hAnsi="仿宋" w:eastAsia="仿宋_GB2312"/>
                <w:sz w:val="24"/>
                <w:szCs w:val="20"/>
              </w:rPr>
              <w:t>2</w:t>
            </w:r>
          </w:p>
        </w:tc>
        <w:tc>
          <w:tcPr>
            <w:tcW w:w="4991" w:type="dxa"/>
          </w:tcPr>
          <w:p>
            <w:pPr>
              <w:spacing w:line="360" w:lineRule="auto"/>
              <w:rPr>
                <w:rFonts w:ascii="仿宋_GB2312" w:hAnsi="仿宋" w:eastAsia="仿宋_GB2312"/>
                <w:sz w:val="24"/>
                <w:szCs w:val="20"/>
              </w:rPr>
            </w:pPr>
            <w:r>
              <w:rPr>
                <w:rFonts w:hint="eastAsia" w:ascii="仿宋_GB2312" w:hAnsi="仿宋" w:eastAsia="仿宋_GB2312"/>
                <w:sz w:val="24"/>
                <w:szCs w:val="20"/>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szCs w:val="20"/>
              </w:rPr>
            </w:pPr>
            <w:r>
              <w:rPr>
                <w:rFonts w:hint="eastAsia" w:ascii="仿宋_GB2312" w:hAnsi="仿宋" w:eastAsia="仿宋_GB2312" w:cs="仿宋_GB2312"/>
                <w:sz w:val="24"/>
                <w:szCs w:val="20"/>
              </w:rPr>
              <w:t>节能产品认证证书（本项目</w:t>
            </w:r>
            <w:r>
              <w:rPr>
                <w:rFonts w:hint="eastAsia" w:ascii="仿宋_GB2312" w:hAnsi="仿宋" w:eastAsia="仿宋_GB2312"/>
                <w:sz w:val="24"/>
                <w:szCs w:val="20"/>
              </w:rPr>
              <w:t>拟采购的产品不属于政府强制采购的节能产品品目清单范围的</w:t>
            </w:r>
            <w:r>
              <w:rPr>
                <w:rFonts w:hint="eastAsia" w:ascii="仿宋_GB2312" w:hAnsi="仿宋" w:eastAsia="仿宋_GB2312" w:cs="仿宋_GB2312"/>
                <w:sz w:val="24"/>
                <w:szCs w:val="20"/>
              </w:rPr>
              <w:t>，无需提供）</w:t>
            </w:r>
          </w:p>
        </w:tc>
        <w:tc>
          <w:tcPr>
            <w:tcW w:w="1418" w:type="dxa"/>
          </w:tcPr>
          <w:p>
            <w:pPr>
              <w:rPr>
                <w:rFonts w:ascii="仿宋" w:hAnsi="仿宋" w:eastAsia="仿宋" w:cs="仿宋_GB2312"/>
                <w:sz w:val="24"/>
                <w:szCs w:val="20"/>
              </w:rPr>
            </w:pPr>
          </w:p>
          <w:p>
            <w:pPr>
              <w:rPr>
                <w:rFonts w:ascii="仿宋" w:hAnsi="仿宋" w:eastAsia="仿宋" w:cs="仿宋_GB2312"/>
                <w:sz w:val="24"/>
                <w:szCs w:val="20"/>
              </w:rPr>
            </w:pPr>
          </w:p>
          <w:p>
            <w:pPr>
              <w:rPr>
                <w:rFonts w:ascii="仿宋" w:hAnsi="仿宋" w:eastAsia="仿宋" w:cs="仿宋_GB2312"/>
                <w:sz w:val="24"/>
                <w:szCs w:val="20"/>
              </w:rPr>
            </w:pPr>
            <w:r>
              <w:rPr>
                <w:rFonts w:hint="eastAsia" w:ascii="仿宋" w:hAnsi="仿宋" w:eastAsia="仿宋" w:cs="仿宋_GB2312"/>
                <w:sz w:val="24"/>
                <w:szCs w:val="20"/>
              </w:rPr>
              <w:t>见投标文件</w:t>
            </w:r>
          </w:p>
          <w:p>
            <w:pPr>
              <w:pStyle w:val="4"/>
              <w:rPr>
                <w:rFonts w:ascii="Times New Roman" w:hAnsi="Times New Roman"/>
                <w:sz w:val="20"/>
                <w:szCs w:val="20"/>
                <w:lang w:val="en-US"/>
              </w:rPr>
            </w:pPr>
            <w:r>
              <w:rPr>
                <w:rFonts w:hint="eastAsia" w:ascii="仿宋" w:hAnsi="Times New Roman" w:eastAsia="仿宋" w:cs="仿宋_GB2312"/>
                <w:b w:val="0"/>
                <w:bCs w:val="0"/>
                <w:sz w:val="24"/>
                <w:szCs w:val="24"/>
                <w:lang w:val="en-US"/>
              </w:rPr>
              <w:t>第</w:t>
            </w:r>
            <w:r>
              <w:rPr>
                <w:rFonts w:hint="eastAsia" w:ascii="仿宋" w:hAnsi="Times New Roman" w:eastAsia="仿宋" w:cs="仿宋_GB2312"/>
                <w:b w:val="0"/>
                <w:bCs w:val="0"/>
                <w:sz w:val="24"/>
                <w:szCs w:val="24"/>
                <w:u w:val="single"/>
                <w:lang w:val="en-US"/>
              </w:rPr>
              <w:t xml:space="preserve">  </w:t>
            </w:r>
            <w:r>
              <w:rPr>
                <w:rFonts w:hint="eastAsia" w:ascii="仿宋" w:hAnsi="Times New Roman"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rPr>
            </w:pPr>
            <w:r>
              <w:rPr>
                <w:rFonts w:hint="eastAsia" w:ascii="仿宋" w:hAnsi="仿宋" w:eastAsia="仿宋"/>
                <w:sz w:val="24"/>
                <w:szCs w:val="20"/>
              </w:rPr>
              <w:t>3</w:t>
            </w:r>
          </w:p>
        </w:tc>
        <w:tc>
          <w:tcPr>
            <w:tcW w:w="4991" w:type="dxa"/>
          </w:tcPr>
          <w:p>
            <w:pPr>
              <w:spacing w:line="360" w:lineRule="auto"/>
              <w:rPr>
                <w:rFonts w:ascii="仿宋_GB2312" w:hAnsi="仿宋" w:eastAsia="仿宋_GB2312" w:cs="仿宋_GB2312"/>
                <w:sz w:val="24"/>
                <w:szCs w:val="20"/>
              </w:rPr>
            </w:pPr>
            <w:r>
              <w:rPr>
                <w:rFonts w:hint="eastAsia" w:ascii="仿宋_GB2312" w:hAnsi="仿宋" w:eastAsia="仿宋_GB2312"/>
                <w:sz w:val="24"/>
                <w:szCs w:val="20"/>
              </w:rPr>
              <w:t>投标文件中承诺的投标有效期不少于招标文件中载明的投标有效期。</w:t>
            </w:r>
          </w:p>
        </w:tc>
        <w:tc>
          <w:tcPr>
            <w:tcW w:w="2551" w:type="dxa"/>
            <w:vAlign w:val="center"/>
          </w:tcPr>
          <w:p>
            <w:pPr>
              <w:rPr>
                <w:rFonts w:ascii="仿宋" w:hAnsi="仿宋" w:eastAsia="仿宋"/>
                <w:sz w:val="24"/>
                <w:szCs w:val="20"/>
              </w:rPr>
            </w:pPr>
            <w:r>
              <w:rPr>
                <w:rFonts w:hint="eastAsia" w:ascii="仿宋" w:hAnsi="仿宋" w:eastAsia="仿宋"/>
                <w:sz w:val="24"/>
                <w:szCs w:val="20"/>
              </w:rPr>
              <w:t>投标函</w:t>
            </w:r>
          </w:p>
        </w:tc>
        <w:tc>
          <w:tcPr>
            <w:tcW w:w="1418" w:type="dxa"/>
          </w:tcPr>
          <w:p>
            <w:pPr>
              <w:rPr>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szCs w:val="20"/>
              </w:rPr>
            </w:pPr>
            <w:r>
              <w:rPr>
                <w:rFonts w:hint="eastAsia" w:ascii="仿宋" w:hAnsi="仿宋" w:eastAsia="仿宋"/>
                <w:sz w:val="24"/>
                <w:szCs w:val="20"/>
              </w:rPr>
              <w:t>4</w:t>
            </w:r>
          </w:p>
        </w:tc>
        <w:tc>
          <w:tcPr>
            <w:tcW w:w="4991" w:type="dxa"/>
          </w:tcPr>
          <w:p>
            <w:pPr>
              <w:spacing w:line="360" w:lineRule="auto"/>
              <w:rPr>
                <w:rFonts w:ascii="仿宋_GB2312" w:hAnsi="仿宋" w:eastAsia="仿宋_GB2312"/>
                <w:sz w:val="24"/>
                <w:szCs w:val="20"/>
              </w:rPr>
            </w:pPr>
            <w:r>
              <w:rPr>
                <w:rFonts w:hint="eastAsia" w:ascii="仿宋_GB2312" w:hAnsi="仿宋" w:eastAsia="仿宋_GB2312"/>
                <w:sz w:val="24"/>
                <w:szCs w:val="20"/>
              </w:rPr>
              <w:t>投标文件满足招标文件的其它实质性要求。</w:t>
            </w:r>
          </w:p>
        </w:tc>
        <w:tc>
          <w:tcPr>
            <w:tcW w:w="2551" w:type="dxa"/>
            <w:vAlign w:val="center"/>
          </w:tcPr>
          <w:p>
            <w:pPr>
              <w:rPr>
                <w:rFonts w:ascii="仿宋" w:hAnsi="仿宋" w:eastAsia="仿宋"/>
                <w:sz w:val="24"/>
                <w:szCs w:val="20"/>
              </w:rPr>
            </w:pPr>
            <w:r>
              <w:rPr>
                <w:rFonts w:hint="eastAsia" w:ascii="仿宋_GB2312" w:hAnsi="仿宋" w:eastAsia="仿宋_GB2312" w:cs="仿宋_GB2312"/>
                <w:kern w:val="0"/>
                <w:sz w:val="24"/>
                <w:szCs w:val="20"/>
              </w:rPr>
              <w:t>招标文件其它实质性要求相应的材料（“▲” 系指实质性要求条款，招标文件无其它实质性要求的，无需提供）</w:t>
            </w:r>
          </w:p>
        </w:tc>
        <w:tc>
          <w:tcPr>
            <w:tcW w:w="1418" w:type="dxa"/>
          </w:tcPr>
          <w:p>
            <w:pPr>
              <w:rPr>
                <w:sz w:val="20"/>
                <w:szCs w:val="20"/>
              </w:rPr>
            </w:pPr>
            <w:r>
              <w:rPr>
                <w:rFonts w:hint="eastAsia" w:ascii="仿宋" w:hAnsi="仿宋" w:eastAsia="仿宋" w:cs="仿宋_GB2312"/>
                <w:sz w:val="24"/>
                <w:szCs w:val="20"/>
              </w:rPr>
              <w:t>见投标文件第</w:t>
            </w:r>
            <w:r>
              <w:rPr>
                <w:rFonts w:hint="eastAsia" w:ascii="仿宋" w:hAnsi="仿宋" w:eastAsia="仿宋" w:cs="仿宋_GB2312"/>
                <w:sz w:val="24"/>
                <w:szCs w:val="20"/>
                <w:u w:val="single"/>
              </w:rPr>
              <w:t xml:space="preserve">  </w:t>
            </w:r>
            <w:r>
              <w:rPr>
                <w:rFonts w:hint="eastAsia" w:ascii="仿宋" w:hAnsi="仿宋" w:eastAsia="仿宋" w:cs="仿宋_GB2312"/>
                <w:sz w:val="24"/>
                <w:szCs w:val="20"/>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4"/>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七、投标标的清单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bl>
    <w:p>
      <w:pPr>
        <w:spacing w:line="360" w:lineRule="auto"/>
        <w:rPr>
          <w:rFonts w:ascii="宋体" w:hAnsi="宋体" w:cs="宋体"/>
          <w:b/>
          <w:sz w:val="24"/>
          <w:szCs w:val="20"/>
        </w:rPr>
      </w:pPr>
      <w:r>
        <w:rPr>
          <w:rFonts w:hint="eastAsia" w:ascii="宋体" w:hAnsi="宋体" w:cs="宋体"/>
          <w:b/>
          <w:sz w:val="24"/>
          <w:szCs w:val="20"/>
        </w:rPr>
        <w:t>注：货物类按本格式和要求提供。</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七、投标标的清单</w:t>
      </w:r>
    </w:p>
    <w:tbl>
      <w:tblPr>
        <w:tblStyle w:val="66"/>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r>
              <w:rPr>
                <w:rFonts w:hint="eastAsia" w:ascii="宋体" w:hAnsi="宋体" w:cs="宋体"/>
                <w:b/>
                <w:sz w:val="24"/>
                <w:szCs w:val="20"/>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备注（如果有）</w:t>
            </w:r>
          </w:p>
          <w:p>
            <w:pPr>
              <w:spacing w:line="360" w:lineRule="auto"/>
              <w:jc w:val="center"/>
              <w:rPr>
                <w:rFonts w:ascii="宋体" w:hAnsi="宋体" w:cs="宋体"/>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r>
              <w:rPr>
                <w:rFonts w:hint="eastAsia" w:ascii="宋体" w:hAnsi="宋体" w:cs="宋体"/>
                <w:sz w:val="24"/>
                <w:szCs w:val="20"/>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szCs w:val="20"/>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0"/>
              </w:rPr>
            </w:pPr>
          </w:p>
        </w:tc>
      </w:tr>
    </w:tbl>
    <w:p>
      <w:pPr>
        <w:pStyle w:val="4"/>
        <w:rPr>
          <w:rFonts w:ascii="宋体" w:hAnsi="宋体" w:eastAsia="宋体" w:cs="宋体"/>
          <w:bCs w:val="0"/>
          <w:sz w:val="24"/>
          <w:szCs w:val="20"/>
          <w:lang w:val="en-US"/>
        </w:rPr>
      </w:pPr>
      <w:r>
        <w:rPr>
          <w:rFonts w:hint="eastAsia" w:ascii="宋体" w:hAnsi="宋体" w:eastAsia="宋体" w:cs="宋体"/>
          <w:bCs w:val="0"/>
          <w:sz w:val="24"/>
          <w:szCs w:val="20"/>
          <w:lang w:val="en-US"/>
        </w:rPr>
        <w:t>注：服务类按本格式和要求提供。</w:t>
      </w:r>
    </w:p>
    <w:p>
      <w:pPr>
        <w:rPr>
          <w:rFonts w:ascii="仿宋_GB2312" w:hAnsi="仿宋" w:eastAsia="仿宋_GB2312" w:cs="仿宋_GB2312"/>
          <w:b/>
          <w:kern w:val="0"/>
          <w:sz w:val="32"/>
          <w:szCs w:val="32"/>
        </w:rPr>
      </w:pPr>
    </w:p>
    <w:p>
      <w:pPr>
        <w:pStyle w:val="4"/>
        <w:rPr>
          <w:rFonts w:cs="仿宋_GB2312"/>
          <w:kern w:val="0"/>
        </w:rPr>
      </w:pPr>
    </w:p>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九、</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ind w:right="480"/>
        <w:rPr>
          <w:rFonts w:ascii="仿宋_GB2312" w:hAnsi="仿宋" w:eastAsia="仿宋_GB2312" w:cs="仿宋_GB2312"/>
          <w:b/>
          <w:kern w:val="0"/>
          <w:sz w:val="32"/>
          <w:szCs w:val="32"/>
        </w:rPr>
      </w:pPr>
      <w:r>
        <w:rPr>
          <w:rFonts w:hint="eastAsia" w:ascii="仿宋_GB2312" w:hAnsi="仿宋" w:eastAsia="仿宋_GB2312" w:cs="仿宋_GB2312"/>
          <w:sz w:val="24"/>
        </w:rPr>
        <w:t>（3）</w:t>
      </w:r>
      <w:r>
        <w:rPr>
          <w:rFonts w:ascii="仿宋_GB2312" w:hAnsi="仿宋" w:eastAsia="仿宋_GB2312" w:cs="仿宋_GB2312"/>
          <w:sz w:val="24"/>
        </w:rPr>
        <w:t>投标人针对报价需要说明的其他文件和说明（如有）</w:t>
      </w:r>
      <w:r>
        <w:rPr>
          <w:rFonts w:hint="eastAsia" w:ascii="仿宋_GB2312" w:hAnsi="仿宋" w:eastAsia="仿宋_GB2312" w:cs="仿宋_GB2312"/>
          <w:sz w:val="24"/>
        </w:rPr>
        <w:t>………………… （页码）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380"/>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rPr>
        <w:t>项目编号</w:t>
      </w:r>
      <w:r>
        <w:rPr>
          <w:rFonts w:hint="eastAsia" w:ascii="仿宋_GB2312" w:hAnsi="仿宋" w:eastAsia="仿宋_GB2312" w:cs="仿宋_GB2312"/>
          <w:kern w:val="0"/>
          <w:sz w:val="24"/>
          <w:lang w:val="zh-CN"/>
        </w:rPr>
        <w:t>：</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6"/>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sz w:val="24"/>
                <w:szCs w:val="20"/>
              </w:rPr>
            </w:pPr>
            <w:r>
              <w:rPr>
                <w:rFonts w:hint="eastAsia" w:ascii="宋体" w:hAnsi="宋体" w:cs="宋体"/>
                <w:b/>
                <w:sz w:val="24"/>
                <w:szCs w:val="20"/>
              </w:rPr>
              <w:t>序号</w:t>
            </w:r>
          </w:p>
        </w:tc>
        <w:tc>
          <w:tcPr>
            <w:tcW w:w="1417" w:type="dxa"/>
            <w:vAlign w:val="center"/>
          </w:tcPr>
          <w:p>
            <w:pPr>
              <w:spacing w:line="360" w:lineRule="auto"/>
              <w:jc w:val="center"/>
              <w:rPr>
                <w:rFonts w:ascii="宋体" w:hAnsi="宋体" w:cs="宋体"/>
                <w:b/>
                <w:sz w:val="24"/>
                <w:szCs w:val="20"/>
              </w:rPr>
            </w:pPr>
            <w:r>
              <w:rPr>
                <w:rFonts w:hint="eastAsia" w:ascii="宋体" w:hAnsi="宋体" w:cs="宋体"/>
                <w:b/>
                <w:sz w:val="24"/>
                <w:szCs w:val="20"/>
              </w:rPr>
              <w:t>名称</w:t>
            </w:r>
          </w:p>
        </w:tc>
        <w:tc>
          <w:tcPr>
            <w:tcW w:w="1843" w:type="dxa"/>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品牌（如果有）</w:t>
            </w:r>
          </w:p>
        </w:tc>
        <w:tc>
          <w:tcPr>
            <w:tcW w:w="3118" w:type="dxa"/>
            <w:vAlign w:val="center"/>
          </w:tcPr>
          <w:p>
            <w:pPr>
              <w:spacing w:line="360" w:lineRule="auto"/>
              <w:jc w:val="center"/>
              <w:rPr>
                <w:rFonts w:ascii="宋体" w:hAnsi="宋体" w:cs="宋体"/>
                <w:b/>
                <w:sz w:val="24"/>
                <w:szCs w:val="20"/>
              </w:rPr>
            </w:pPr>
            <w:r>
              <w:rPr>
                <w:rFonts w:hint="eastAsia" w:ascii="宋体" w:hAnsi="宋体" w:cs="宋体"/>
                <w:b/>
                <w:sz w:val="24"/>
                <w:szCs w:val="20"/>
              </w:rPr>
              <w:t>规格型号</w:t>
            </w:r>
          </w:p>
        </w:tc>
        <w:tc>
          <w:tcPr>
            <w:tcW w:w="993" w:type="dxa"/>
            <w:vAlign w:val="center"/>
          </w:tcPr>
          <w:p>
            <w:pPr>
              <w:spacing w:line="360" w:lineRule="auto"/>
              <w:jc w:val="center"/>
              <w:rPr>
                <w:rFonts w:ascii="宋体" w:hAnsi="宋体" w:cs="宋体"/>
                <w:b/>
                <w:sz w:val="24"/>
                <w:szCs w:val="20"/>
              </w:rPr>
            </w:pPr>
            <w:r>
              <w:rPr>
                <w:rFonts w:hint="eastAsia" w:ascii="宋体" w:hAnsi="宋体" w:cs="宋体"/>
                <w:b/>
                <w:sz w:val="24"/>
                <w:szCs w:val="20"/>
              </w:rPr>
              <w:t>数量</w:t>
            </w:r>
          </w:p>
        </w:tc>
        <w:tc>
          <w:tcPr>
            <w:tcW w:w="1559" w:type="dxa"/>
            <w:vAlign w:val="center"/>
          </w:tcPr>
          <w:p>
            <w:pPr>
              <w:spacing w:line="360" w:lineRule="auto"/>
              <w:jc w:val="center"/>
              <w:rPr>
                <w:rFonts w:ascii="宋体" w:hAnsi="宋体" w:cs="宋体"/>
                <w:b/>
                <w:sz w:val="24"/>
                <w:szCs w:val="20"/>
              </w:rPr>
            </w:pPr>
            <w:r>
              <w:rPr>
                <w:rFonts w:hint="eastAsia" w:ascii="宋体" w:hAnsi="宋体" w:cs="宋体"/>
                <w:b/>
                <w:sz w:val="24"/>
                <w:szCs w:val="20"/>
              </w:rPr>
              <w:t>单价</w:t>
            </w:r>
          </w:p>
        </w:tc>
        <w:tc>
          <w:tcPr>
            <w:tcW w:w="1984" w:type="dxa"/>
            <w:vAlign w:val="center"/>
          </w:tcPr>
          <w:p>
            <w:pPr>
              <w:spacing w:line="360" w:lineRule="auto"/>
              <w:jc w:val="center"/>
              <w:rPr>
                <w:rFonts w:ascii="宋体" w:hAnsi="宋体" w:cs="宋体"/>
                <w:b/>
                <w:sz w:val="24"/>
                <w:szCs w:val="20"/>
              </w:rPr>
            </w:pPr>
            <w:r>
              <w:rPr>
                <w:rFonts w:hint="eastAsia" w:ascii="宋体" w:hAnsi="宋体" w:cs="宋体"/>
                <w:b/>
                <w:sz w:val="24"/>
                <w:szCs w:val="20"/>
              </w:rPr>
              <w:t>合计</w:t>
            </w:r>
          </w:p>
        </w:tc>
        <w:tc>
          <w:tcPr>
            <w:tcW w:w="3119" w:type="dxa"/>
            <w:vAlign w:val="center"/>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备注（如果有）</w:t>
            </w:r>
          </w:p>
          <w:p>
            <w:pPr>
              <w:spacing w:line="360" w:lineRule="auto"/>
              <w:jc w:val="center"/>
              <w:rPr>
                <w:rFonts w:ascii="宋体" w:hAnsi="宋体" w:cs="宋体"/>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szCs w:val="20"/>
              </w:rPr>
            </w:pPr>
            <w:r>
              <w:rPr>
                <w:rFonts w:hint="eastAsia" w:ascii="宋体" w:hAnsi="宋体" w:cs="宋体"/>
                <w:sz w:val="24"/>
                <w:szCs w:val="20"/>
              </w:rPr>
              <w:t>1</w:t>
            </w:r>
          </w:p>
        </w:tc>
        <w:tc>
          <w:tcPr>
            <w:tcW w:w="1417" w:type="dxa"/>
            <w:vAlign w:val="center"/>
          </w:tcPr>
          <w:p>
            <w:pPr>
              <w:snapToGrid w:val="0"/>
              <w:spacing w:line="360" w:lineRule="auto"/>
              <w:jc w:val="center"/>
              <w:rPr>
                <w:rFonts w:ascii="宋体" w:hAnsi="宋体" w:cs="宋体"/>
                <w:sz w:val="24"/>
                <w:szCs w:val="20"/>
              </w:rPr>
            </w:pPr>
            <w:r>
              <w:rPr>
                <w:rFonts w:hint="eastAsia" w:ascii="宋体" w:hAnsi="宋体" w:cs="宋体"/>
                <w:sz w:val="24"/>
                <w:szCs w:val="20"/>
              </w:rPr>
              <w:t>XX</w:t>
            </w:r>
          </w:p>
        </w:tc>
        <w:tc>
          <w:tcPr>
            <w:tcW w:w="1843" w:type="dxa"/>
            <w:vAlign w:val="center"/>
          </w:tcPr>
          <w:p>
            <w:pPr>
              <w:snapToGrid w:val="0"/>
              <w:spacing w:line="360" w:lineRule="auto"/>
              <w:jc w:val="center"/>
              <w:rPr>
                <w:rFonts w:ascii="宋体" w:hAnsi="宋体" w:cs="宋体"/>
                <w:sz w:val="24"/>
                <w:szCs w:val="20"/>
              </w:rPr>
            </w:pPr>
          </w:p>
        </w:tc>
        <w:tc>
          <w:tcPr>
            <w:tcW w:w="3118" w:type="dxa"/>
            <w:vAlign w:val="center"/>
          </w:tcPr>
          <w:p>
            <w:pPr>
              <w:snapToGrid w:val="0"/>
              <w:spacing w:line="360" w:lineRule="auto"/>
              <w:jc w:val="center"/>
              <w:rPr>
                <w:rFonts w:ascii="宋体" w:hAnsi="宋体" w:cs="宋体"/>
                <w:sz w:val="24"/>
                <w:szCs w:val="20"/>
              </w:rPr>
            </w:pPr>
          </w:p>
        </w:tc>
        <w:tc>
          <w:tcPr>
            <w:tcW w:w="993" w:type="dxa"/>
            <w:vAlign w:val="center"/>
          </w:tcPr>
          <w:p>
            <w:pPr>
              <w:snapToGrid w:val="0"/>
              <w:spacing w:line="360" w:lineRule="auto"/>
              <w:jc w:val="center"/>
              <w:rPr>
                <w:rFonts w:ascii="宋体" w:hAnsi="宋体" w:cs="宋体"/>
                <w:sz w:val="24"/>
                <w:szCs w:val="20"/>
              </w:rPr>
            </w:pPr>
          </w:p>
        </w:tc>
        <w:tc>
          <w:tcPr>
            <w:tcW w:w="1559" w:type="dxa"/>
            <w:vAlign w:val="center"/>
          </w:tcPr>
          <w:p>
            <w:pPr>
              <w:spacing w:line="360" w:lineRule="auto"/>
              <w:jc w:val="center"/>
              <w:rPr>
                <w:rFonts w:ascii="宋体" w:hAnsi="宋体" w:cs="宋体"/>
                <w:sz w:val="24"/>
                <w:szCs w:val="20"/>
              </w:rPr>
            </w:pPr>
          </w:p>
        </w:tc>
        <w:tc>
          <w:tcPr>
            <w:tcW w:w="1984" w:type="dxa"/>
            <w:vAlign w:val="center"/>
          </w:tcPr>
          <w:p>
            <w:pPr>
              <w:spacing w:line="360" w:lineRule="auto"/>
              <w:jc w:val="center"/>
              <w:rPr>
                <w:rFonts w:ascii="宋体" w:hAnsi="宋体" w:cs="宋体"/>
                <w:sz w:val="24"/>
                <w:szCs w:val="20"/>
              </w:rPr>
            </w:pPr>
          </w:p>
        </w:tc>
        <w:tc>
          <w:tcPr>
            <w:tcW w:w="3119"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rPr>
            </w:pPr>
            <w:r>
              <w:rPr>
                <w:rFonts w:hint="eastAsia" w:ascii="宋体" w:hAnsi="宋体" w:cs="宋体"/>
                <w:sz w:val="24"/>
                <w:szCs w:val="20"/>
              </w:rPr>
              <w:t>2</w:t>
            </w:r>
          </w:p>
        </w:tc>
        <w:tc>
          <w:tcPr>
            <w:tcW w:w="1417" w:type="dxa"/>
            <w:vAlign w:val="center"/>
          </w:tcPr>
          <w:p>
            <w:pPr>
              <w:snapToGrid w:val="0"/>
              <w:spacing w:line="360" w:lineRule="auto"/>
              <w:jc w:val="center"/>
              <w:rPr>
                <w:rFonts w:ascii="宋体" w:hAnsi="宋体" w:cs="宋体"/>
                <w:sz w:val="24"/>
                <w:szCs w:val="20"/>
              </w:rPr>
            </w:pPr>
            <w:r>
              <w:rPr>
                <w:rFonts w:hint="eastAsia" w:ascii="宋体" w:hAnsi="宋体" w:cs="宋体"/>
                <w:sz w:val="24"/>
                <w:szCs w:val="20"/>
              </w:rPr>
              <w:t>XX</w:t>
            </w:r>
          </w:p>
        </w:tc>
        <w:tc>
          <w:tcPr>
            <w:tcW w:w="1843" w:type="dxa"/>
            <w:vAlign w:val="center"/>
          </w:tcPr>
          <w:p>
            <w:pPr>
              <w:snapToGrid w:val="0"/>
              <w:spacing w:line="360" w:lineRule="auto"/>
              <w:jc w:val="center"/>
              <w:rPr>
                <w:rFonts w:ascii="宋体" w:hAnsi="宋体" w:cs="宋体"/>
                <w:sz w:val="24"/>
                <w:szCs w:val="20"/>
              </w:rPr>
            </w:pPr>
          </w:p>
        </w:tc>
        <w:tc>
          <w:tcPr>
            <w:tcW w:w="3118" w:type="dxa"/>
            <w:vAlign w:val="center"/>
          </w:tcPr>
          <w:p>
            <w:pPr>
              <w:snapToGrid w:val="0"/>
              <w:spacing w:line="360" w:lineRule="auto"/>
              <w:jc w:val="center"/>
              <w:rPr>
                <w:rFonts w:ascii="宋体" w:hAnsi="宋体" w:cs="宋体"/>
                <w:sz w:val="24"/>
                <w:szCs w:val="20"/>
              </w:rPr>
            </w:pPr>
          </w:p>
        </w:tc>
        <w:tc>
          <w:tcPr>
            <w:tcW w:w="993" w:type="dxa"/>
            <w:vAlign w:val="center"/>
          </w:tcPr>
          <w:p>
            <w:pPr>
              <w:snapToGrid w:val="0"/>
              <w:spacing w:line="360" w:lineRule="auto"/>
              <w:jc w:val="center"/>
              <w:rPr>
                <w:rFonts w:ascii="宋体" w:hAnsi="宋体" w:cs="宋体"/>
                <w:sz w:val="24"/>
                <w:szCs w:val="20"/>
              </w:rPr>
            </w:pPr>
          </w:p>
        </w:tc>
        <w:tc>
          <w:tcPr>
            <w:tcW w:w="1559" w:type="dxa"/>
            <w:vAlign w:val="center"/>
          </w:tcPr>
          <w:p>
            <w:pPr>
              <w:spacing w:line="360" w:lineRule="auto"/>
              <w:jc w:val="center"/>
              <w:rPr>
                <w:rFonts w:ascii="宋体" w:hAnsi="宋体" w:cs="宋体"/>
                <w:sz w:val="24"/>
                <w:szCs w:val="20"/>
              </w:rPr>
            </w:pPr>
          </w:p>
        </w:tc>
        <w:tc>
          <w:tcPr>
            <w:tcW w:w="1984" w:type="dxa"/>
            <w:vAlign w:val="center"/>
          </w:tcPr>
          <w:p>
            <w:pPr>
              <w:spacing w:line="360" w:lineRule="auto"/>
              <w:jc w:val="center"/>
              <w:rPr>
                <w:rFonts w:ascii="宋体" w:hAnsi="宋体" w:cs="宋体"/>
                <w:sz w:val="24"/>
                <w:szCs w:val="20"/>
              </w:rPr>
            </w:pPr>
          </w:p>
        </w:tc>
        <w:tc>
          <w:tcPr>
            <w:tcW w:w="3119"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rPr>
            </w:pPr>
            <w:r>
              <w:rPr>
                <w:rFonts w:hint="eastAsia" w:ascii="宋体" w:hAnsi="宋体" w:cs="宋体"/>
                <w:sz w:val="24"/>
                <w:szCs w:val="20"/>
              </w:rPr>
              <w:t>…</w:t>
            </w:r>
          </w:p>
        </w:tc>
        <w:tc>
          <w:tcPr>
            <w:tcW w:w="1417" w:type="dxa"/>
            <w:vAlign w:val="center"/>
          </w:tcPr>
          <w:p>
            <w:pPr>
              <w:snapToGrid w:val="0"/>
              <w:spacing w:line="360" w:lineRule="auto"/>
              <w:jc w:val="center"/>
              <w:rPr>
                <w:rFonts w:ascii="宋体" w:hAnsi="宋体" w:cs="宋体"/>
                <w:sz w:val="24"/>
                <w:szCs w:val="20"/>
              </w:rPr>
            </w:pPr>
          </w:p>
        </w:tc>
        <w:tc>
          <w:tcPr>
            <w:tcW w:w="1843" w:type="dxa"/>
            <w:vAlign w:val="center"/>
          </w:tcPr>
          <w:p>
            <w:pPr>
              <w:snapToGrid w:val="0"/>
              <w:spacing w:line="360" w:lineRule="auto"/>
              <w:jc w:val="center"/>
              <w:rPr>
                <w:rFonts w:ascii="宋体" w:hAnsi="宋体" w:cs="宋体"/>
                <w:sz w:val="24"/>
                <w:szCs w:val="20"/>
              </w:rPr>
            </w:pPr>
          </w:p>
        </w:tc>
        <w:tc>
          <w:tcPr>
            <w:tcW w:w="3118" w:type="dxa"/>
            <w:vAlign w:val="center"/>
          </w:tcPr>
          <w:p>
            <w:pPr>
              <w:snapToGrid w:val="0"/>
              <w:spacing w:line="360" w:lineRule="auto"/>
              <w:jc w:val="center"/>
              <w:rPr>
                <w:rFonts w:ascii="宋体" w:hAnsi="宋体" w:cs="宋体"/>
                <w:sz w:val="24"/>
                <w:szCs w:val="20"/>
              </w:rPr>
            </w:pPr>
          </w:p>
        </w:tc>
        <w:tc>
          <w:tcPr>
            <w:tcW w:w="993" w:type="dxa"/>
            <w:vAlign w:val="center"/>
          </w:tcPr>
          <w:p>
            <w:pPr>
              <w:snapToGrid w:val="0"/>
              <w:spacing w:line="360" w:lineRule="auto"/>
              <w:jc w:val="center"/>
              <w:rPr>
                <w:rFonts w:ascii="宋体" w:hAnsi="宋体" w:cs="宋体"/>
                <w:sz w:val="24"/>
                <w:szCs w:val="20"/>
              </w:rPr>
            </w:pPr>
          </w:p>
        </w:tc>
        <w:tc>
          <w:tcPr>
            <w:tcW w:w="1559" w:type="dxa"/>
            <w:vAlign w:val="center"/>
          </w:tcPr>
          <w:p>
            <w:pPr>
              <w:spacing w:line="360" w:lineRule="auto"/>
              <w:jc w:val="center"/>
              <w:rPr>
                <w:rFonts w:ascii="宋体" w:hAnsi="宋体" w:cs="宋体"/>
                <w:sz w:val="24"/>
                <w:szCs w:val="20"/>
              </w:rPr>
            </w:pPr>
          </w:p>
        </w:tc>
        <w:tc>
          <w:tcPr>
            <w:tcW w:w="1984" w:type="dxa"/>
            <w:vAlign w:val="center"/>
          </w:tcPr>
          <w:p>
            <w:pPr>
              <w:spacing w:line="360" w:lineRule="auto"/>
              <w:jc w:val="center"/>
              <w:rPr>
                <w:rFonts w:ascii="宋体" w:hAnsi="宋体" w:cs="宋体"/>
                <w:sz w:val="24"/>
                <w:szCs w:val="20"/>
              </w:rPr>
            </w:pPr>
          </w:p>
        </w:tc>
        <w:tc>
          <w:tcPr>
            <w:tcW w:w="3119"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rPr>
            </w:pPr>
          </w:p>
        </w:tc>
        <w:tc>
          <w:tcPr>
            <w:tcW w:w="1417" w:type="dxa"/>
            <w:vAlign w:val="center"/>
          </w:tcPr>
          <w:p>
            <w:pPr>
              <w:snapToGrid w:val="0"/>
              <w:spacing w:line="360" w:lineRule="auto"/>
              <w:jc w:val="center"/>
              <w:rPr>
                <w:rFonts w:ascii="宋体" w:hAnsi="宋体" w:cs="宋体"/>
                <w:sz w:val="24"/>
                <w:szCs w:val="20"/>
              </w:rPr>
            </w:pPr>
          </w:p>
        </w:tc>
        <w:tc>
          <w:tcPr>
            <w:tcW w:w="1843" w:type="dxa"/>
            <w:vAlign w:val="center"/>
          </w:tcPr>
          <w:p>
            <w:pPr>
              <w:snapToGrid w:val="0"/>
              <w:spacing w:line="360" w:lineRule="auto"/>
              <w:jc w:val="center"/>
              <w:rPr>
                <w:rFonts w:ascii="宋体" w:hAnsi="宋体" w:cs="宋体"/>
                <w:sz w:val="24"/>
                <w:szCs w:val="20"/>
              </w:rPr>
            </w:pPr>
          </w:p>
        </w:tc>
        <w:tc>
          <w:tcPr>
            <w:tcW w:w="3118" w:type="dxa"/>
            <w:vAlign w:val="center"/>
          </w:tcPr>
          <w:p>
            <w:pPr>
              <w:snapToGrid w:val="0"/>
              <w:spacing w:line="360" w:lineRule="auto"/>
              <w:jc w:val="center"/>
              <w:rPr>
                <w:rFonts w:ascii="宋体" w:hAnsi="宋体" w:cs="宋体"/>
                <w:sz w:val="24"/>
                <w:szCs w:val="20"/>
              </w:rPr>
            </w:pPr>
          </w:p>
        </w:tc>
        <w:tc>
          <w:tcPr>
            <w:tcW w:w="993" w:type="dxa"/>
            <w:vAlign w:val="center"/>
          </w:tcPr>
          <w:p>
            <w:pPr>
              <w:snapToGrid w:val="0"/>
              <w:spacing w:line="360" w:lineRule="auto"/>
              <w:jc w:val="center"/>
              <w:rPr>
                <w:rFonts w:ascii="宋体" w:hAnsi="宋体" w:cs="宋体"/>
                <w:sz w:val="24"/>
                <w:szCs w:val="20"/>
              </w:rPr>
            </w:pPr>
          </w:p>
        </w:tc>
        <w:tc>
          <w:tcPr>
            <w:tcW w:w="1559" w:type="dxa"/>
            <w:vAlign w:val="center"/>
          </w:tcPr>
          <w:p>
            <w:pPr>
              <w:spacing w:line="360" w:lineRule="auto"/>
              <w:jc w:val="center"/>
              <w:rPr>
                <w:rFonts w:ascii="宋体" w:hAnsi="宋体" w:cs="宋体"/>
                <w:sz w:val="24"/>
                <w:szCs w:val="20"/>
              </w:rPr>
            </w:pPr>
          </w:p>
        </w:tc>
        <w:tc>
          <w:tcPr>
            <w:tcW w:w="1984" w:type="dxa"/>
            <w:vAlign w:val="center"/>
          </w:tcPr>
          <w:p>
            <w:pPr>
              <w:spacing w:line="360" w:lineRule="auto"/>
              <w:jc w:val="center"/>
              <w:rPr>
                <w:rFonts w:ascii="宋体" w:hAnsi="宋体" w:cs="宋体"/>
                <w:sz w:val="24"/>
                <w:szCs w:val="20"/>
              </w:rPr>
            </w:pPr>
          </w:p>
        </w:tc>
        <w:tc>
          <w:tcPr>
            <w:tcW w:w="3119"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sz w:val="24"/>
                <w:szCs w:val="20"/>
              </w:rPr>
            </w:pPr>
          </w:p>
        </w:tc>
        <w:tc>
          <w:tcPr>
            <w:tcW w:w="1417" w:type="dxa"/>
            <w:vAlign w:val="center"/>
          </w:tcPr>
          <w:p>
            <w:pPr>
              <w:snapToGrid w:val="0"/>
              <w:spacing w:line="360" w:lineRule="auto"/>
              <w:jc w:val="center"/>
              <w:rPr>
                <w:rFonts w:ascii="宋体" w:hAnsi="宋体" w:cs="宋体"/>
                <w:sz w:val="24"/>
                <w:szCs w:val="20"/>
              </w:rPr>
            </w:pPr>
          </w:p>
        </w:tc>
        <w:tc>
          <w:tcPr>
            <w:tcW w:w="1843" w:type="dxa"/>
            <w:vAlign w:val="center"/>
          </w:tcPr>
          <w:p>
            <w:pPr>
              <w:snapToGrid w:val="0"/>
              <w:spacing w:line="360" w:lineRule="auto"/>
              <w:jc w:val="center"/>
              <w:rPr>
                <w:rFonts w:ascii="宋体" w:hAnsi="宋体" w:cs="宋体"/>
                <w:sz w:val="24"/>
                <w:szCs w:val="20"/>
              </w:rPr>
            </w:pPr>
          </w:p>
        </w:tc>
        <w:tc>
          <w:tcPr>
            <w:tcW w:w="3118" w:type="dxa"/>
            <w:vAlign w:val="center"/>
          </w:tcPr>
          <w:p>
            <w:pPr>
              <w:snapToGrid w:val="0"/>
              <w:spacing w:line="360" w:lineRule="auto"/>
              <w:jc w:val="center"/>
              <w:rPr>
                <w:rFonts w:ascii="宋体" w:hAnsi="宋体" w:cs="宋体"/>
                <w:sz w:val="24"/>
                <w:szCs w:val="20"/>
              </w:rPr>
            </w:pPr>
          </w:p>
        </w:tc>
        <w:tc>
          <w:tcPr>
            <w:tcW w:w="993" w:type="dxa"/>
            <w:vAlign w:val="center"/>
          </w:tcPr>
          <w:p>
            <w:pPr>
              <w:snapToGrid w:val="0"/>
              <w:spacing w:line="360" w:lineRule="auto"/>
              <w:jc w:val="center"/>
              <w:rPr>
                <w:rFonts w:ascii="宋体" w:hAnsi="宋体" w:cs="宋体"/>
                <w:sz w:val="24"/>
                <w:szCs w:val="20"/>
              </w:rPr>
            </w:pPr>
          </w:p>
        </w:tc>
        <w:tc>
          <w:tcPr>
            <w:tcW w:w="1559" w:type="dxa"/>
            <w:vAlign w:val="center"/>
          </w:tcPr>
          <w:p>
            <w:pPr>
              <w:spacing w:line="360" w:lineRule="auto"/>
              <w:jc w:val="center"/>
              <w:rPr>
                <w:rFonts w:ascii="宋体" w:hAnsi="宋体" w:cs="宋体"/>
                <w:sz w:val="24"/>
                <w:szCs w:val="20"/>
              </w:rPr>
            </w:pPr>
          </w:p>
        </w:tc>
        <w:tc>
          <w:tcPr>
            <w:tcW w:w="1984" w:type="dxa"/>
            <w:vAlign w:val="center"/>
          </w:tcPr>
          <w:p>
            <w:pPr>
              <w:spacing w:line="360" w:lineRule="auto"/>
              <w:jc w:val="center"/>
              <w:rPr>
                <w:rFonts w:ascii="宋体" w:hAnsi="宋体" w:cs="宋体"/>
                <w:sz w:val="24"/>
                <w:szCs w:val="20"/>
              </w:rPr>
            </w:pPr>
          </w:p>
        </w:tc>
        <w:tc>
          <w:tcPr>
            <w:tcW w:w="3119"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sz w:val="24"/>
                <w:szCs w:val="20"/>
              </w:rPr>
            </w:pPr>
            <w:r>
              <w:rPr>
                <w:rFonts w:hint="eastAsia" w:ascii="宋体" w:hAnsi="宋体" w:cs="宋体"/>
                <w:b/>
                <w:sz w:val="24"/>
                <w:szCs w:val="20"/>
              </w:rPr>
              <w:t>投标报价（小写）</w:t>
            </w:r>
          </w:p>
        </w:tc>
        <w:tc>
          <w:tcPr>
            <w:tcW w:w="7655" w:type="dxa"/>
            <w:gridSpan w:val="4"/>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sz w:val="24"/>
                <w:szCs w:val="20"/>
              </w:rPr>
            </w:pPr>
            <w:r>
              <w:rPr>
                <w:rFonts w:hint="eastAsia" w:ascii="宋体" w:hAnsi="宋体" w:cs="宋体"/>
                <w:b/>
                <w:sz w:val="24"/>
                <w:szCs w:val="20"/>
              </w:rPr>
              <w:t>投标报价（大写）</w:t>
            </w:r>
          </w:p>
        </w:tc>
        <w:tc>
          <w:tcPr>
            <w:tcW w:w="7655" w:type="dxa"/>
            <w:gridSpan w:val="4"/>
            <w:vAlign w:val="center"/>
          </w:tcPr>
          <w:p>
            <w:pPr>
              <w:spacing w:line="360" w:lineRule="auto"/>
              <w:jc w:val="center"/>
              <w:rPr>
                <w:rFonts w:ascii="宋体" w:hAnsi="宋体" w:cs="宋体"/>
                <w:sz w:val="24"/>
                <w:szCs w:val="20"/>
              </w:rPr>
            </w:pPr>
          </w:p>
        </w:tc>
      </w:tr>
    </w:tbl>
    <w:p>
      <w:pPr>
        <w:spacing w:line="360" w:lineRule="auto"/>
        <w:rPr>
          <w:rFonts w:ascii="宋体" w:hAnsi="宋体" w:cs="宋体"/>
          <w:b/>
          <w:sz w:val="24"/>
          <w:szCs w:val="20"/>
        </w:rPr>
      </w:pPr>
      <w:r>
        <w:rPr>
          <w:rFonts w:hint="eastAsia" w:ascii="宋体" w:hAnsi="宋体" w:cs="宋体"/>
          <w:b/>
          <w:sz w:val="24"/>
          <w:szCs w:val="20"/>
        </w:rPr>
        <w:t>注：货物类按本格式和要求提供。</w:t>
      </w:r>
    </w:p>
    <w:p>
      <w:pPr>
        <w:snapToGrid w:val="0"/>
        <w:spacing w:line="360" w:lineRule="auto"/>
        <w:ind w:left="480"/>
        <w:rPr>
          <w:rFonts w:ascii="仿宋_GB2312" w:hAnsi="仿宋" w:eastAsia="仿宋_GB2312" w:cs="仿宋_GB2312"/>
          <w:b/>
          <w:kern w:val="0"/>
          <w:sz w:val="24"/>
          <w:highlight w:val="green"/>
          <w:lang w:val="zh-CN"/>
        </w:rPr>
      </w:pPr>
    </w:p>
    <w:p>
      <w:pPr>
        <w:pStyle w:val="4"/>
      </w:pPr>
    </w:p>
    <w:p>
      <w:pPr>
        <w:spacing w:line="360" w:lineRule="auto"/>
        <w:jc w:val="center"/>
        <w:rPr>
          <w:rFonts w:ascii="宋体" w:hAnsi="宋体" w:cs="宋体"/>
          <w:b/>
          <w:kern w:val="0"/>
          <w:sz w:val="24"/>
          <w:lang w:val="zh-CN"/>
        </w:rPr>
      </w:pPr>
      <w:r>
        <w:rPr>
          <w:rFonts w:hint="eastAsia" w:ascii="宋体" w:hAnsi="宋体" w:cs="宋体"/>
          <w:b/>
          <w:kern w:val="0"/>
          <w:sz w:val="24"/>
          <w:lang w:val="zh-CN"/>
        </w:rPr>
        <w:t>开标一览表（报价表）(单位均为人民币元)</w:t>
      </w:r>
    </w:p>
    <w:tbl>
      <w:tblPr>
        <w:tblStyle w:val="66"/>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sz w:val="24"/>
                <w:szCs w:val="20"/>
              </w:rPr>
            </w:pPr>
            <w:r>
              <w:rPr>
                <w:rFonts w:hint="eastAsia" w:ascii="宋体" w:hAnsi="宋体" w:cs="宋体"/>
                <w:b/>
                <w:sz w:val="24"/>
                <w:szCs w:val="20"/>
              </w:rPr>
              <w:t>序号</w:t>
            </w:r>
          </w:p>
        </w:tc>
        <w:tc>
          <w:tcPr>
            <w:tcW w:w="992" w:type="dxa"/>
            <w:vAlign w:val="center"/>
          </w:tcPr>
          <w:p>
            <w:pPr>
              <w:spacing w:line="360" w:lineRule="auto"/>
              <w:jc w:val="center"/>
              <w:rPr>
                <w:rFonts w:ascii="宋体" w:hAnsi="宋体" w:cs="宋体"/>
                <w:b/>
                <w:sz w:val="24"/>
                <w:szCs w:val="20"/>
              </w:rPr>
            </w:pPr>
            <w:r>
              <w:rPr>
                <w:rFonts w:hint="eastAsia" w:ascii="宋体" w:hAnsi="宋体" w:cs="宋体"/>
                <w:b/>
                <w:sz w:val="24"/>
                <w:szCs w:val="20"/>
              </w:rPr>
              <w:t>名称</w:t>
            </w:r>
          </w:p>
        </w:tc>
        <w:tc>
          <w:tcPr>
            <w:tcW w:w="2268" w:type="dxa"/>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服务范围</w:t>
            </w:r>
          </w:p>
        </w:tc>
        <w:tc>
          <w:tcPr>
            <w:tcW w:w="2410" w:type="dxa"/>
            <w:vAlign w:val="center"/>
          </w:tcPr>
          <w:p>
            <w:pPr>
              <w:spacing w:line="360" w:lineRule="auto"/>
              <w:jc w:val="center"/>
              <w:rPr>
                <w:rFonts w:ascii="宋体" w:hAnsi="宋体" w:cs="宋体"/>
                <w:b/>
                <w:sz w:val="24"/>
                <w:szCs w:val="20"/>
              </w:rPr>
            </w:pPr>
            <w:r>
              <w:rPr>
                <w:rFonts w:hint="eastAsia" w:ascii="宋体" w:hAnsi="宋体" w:cs="宋体"/>
                <w:b/>
                <w:sz w:val="24"/>
                <w:szCs w:val="20"/>
              </w:rPr>
              <w:t>服务要求</w:t>
            </w:r>
          </w:p>
        </w:tc>
        <w:tc>
          <w:tcPr>
            <w:tcW w:w="2268" w:type="dxa"/>
            <w:vAlign w:val="center"/>
          </w:tcPr>
          <w:p>
            <w:pPr>
              <w:spacing w:line="360" w:lineRule="auto"/>
              <w:jc w:val="center"/>
              <w:rPr>
                <w:rFonts w:ascii="宋体" w:hAnsi="宋体" w:cs="宋体"/>
                <w:b/>
                <w:sz w:val="24"/>
                <w:szCs w:val="20"/>
              </w:rPr>
            </w:pPr>
            <w:r>
              <w:rPr>
                <w:rFonts w:hint="eastAsia" w:ascii="宋体" w:hAnsi="宋体" w:cs="宋体"/>
                <w:b/>
                <w:sz w:val="24"/>
                <w:szCs w:val="20"/>
              </w:rPr>
              <w:t>服务时间</w:t>
            </w:r>
          </w:p>
        </w:tc>
        <w:tc>
          <w:tcPr>
            <w:tcW w:w="2126" w:type="dxa"/>
            <w:vAlign w:val="center"/>
          </w:tcPr>
          <w:p>
            <w:pPr>
              <w:spacing w:line="360" w:lineRule="auto"/>
              <w:jc w:val="center"/>
              <w:rPr>
                <w:rFonts w:ascii="宋体" w:hAnsi="宋体" w:cs="宋体"/>
                <w:b/>
                <w:sz w:val="24"/>
                <w:szCs w:val="20"/>
              </w:rPr>
            </w:pPr>
            <w:r>
              <w:rPr>
                <w:rFonts w:hint="eastAsia" w:ascii="宋体" w:hAnsi="宋体" w:cs="宋体"/>
                <w:b/>
                <w:sz w:val="24"/>
                <w:szCs w:val="20"/>
              </w:rPr>
              <w:t>服务标准</w:t>
            </w:r>
          </w:p>
        </w:tc>
        <w:tc>
          <w:tcPr>
            <w:tcW w:w="2127" w:type="dxa"/>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服务人数</w:t>
            </w:r>
          </w:p>
        </w:tc>
        <w:tc>
          <w:tcPr>
            <w:tcW w:w="2126" w:type="dxa"/>
            <w:vAlign w:val="center"/>
          </w:tcPr>
          <w:p>
            <w:pPr>
              <w:spacing w:line="360" w:lineRule="auto"/>
              <w:jc w:val="center"/>
              <w:rPr>
                <w:rFonts w:ascii="宋体" w:hAnsi="宋体" w:cs="宋体"/>
                <w:b/>
                <w:sz w:val="24"/>
                <w:szCs w:val="20"/>
              </w:rPr>
            </w:pPr>
          </w:p>
          <w:p>
            <w:pPr>
              <w:spacing w:line="360" w:lineRule="auto"/>
              <w:jc w:val="center"/>
              <w:rPr>
                <w:rFonts w:ascii="宋体" w:hAnsi="宋体" w:cs="宋体"/>
                <w:b/>
                <w:sz w:val="24"/>
                <w:szCs w:val="20"/>
              </w:rPr>
            </w:pPr>
            <w:r>
              <w:rPr>
                <w:rFonts w:hint="eastAsia" w:ascii="宋体" w:hAnsi="宋体" w:cs="宋体"/>
                <w:b/>
                <w:sz w:val="24"/>
                <w:szCs w:val="20"/>
              </w:rPr>
              <w:t>备注（如果有）</w:t>
            </w:r>
          </w:p>
          <w:p>
            <w:pPr>
              <w:spacing w:line="360" w:lineRule="auto"/>
              <w:jc w:val="center"/>
              <w:rPr>
                <w:rFonts w:ascii="宋体" w:hAnsi="宋体" w:cs="宋体"/>
                <w:b/>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sz w:val="24"/>
                <w:szCs w:val="20"/>
              </w:rPr>
            </w:pPr>
            <w:r>
              <w:rPr>
                <w:rFonts w:hint="eastAsia" w:ascii="宋体" w:hAnsi="宋体" w:cs="宋体"/>
                <w:sz w:val="24"/>
                <w:szCs w:val="20"/>
              </w:rPr>
              <w:t>1</w:t>
            </w:r>
          </w:p>
        </w:tc>
        <w:tc>
          <w:tcPr>
            <w:tcW w:w="992" w:type="dxa"/>
            <w:vAlign w:val="center"/>
          </w:tcPr>
          <w:p>
            <w:pPr>
              <w:snapToGrid w:val="0"/>
              <w:spacing w:line="360" w:lineRule="auto"/>
              <w:jc w:val="center"/>
              <w:rPr>
                <w:rFonts w:ascii="宋体" w:hAnsi="宋体" w:cs="宋体"/>
                <w:sz w:val="24"/>
                <w:szCs w:val="20"/>
              </w:rPr>
            </w:pPr>
            <w:r>
              <w:rPr>
                <w:rFonts w:hint="eastAsia" w:ascii="宋体" w:hAnsi="宋体" w:cs="宋体"/>
                <w:sz w:val="24"/>
                <w:szCs w:val="20"/>
              </w:rPr>
              <w:t>XX</w:t>
            </w:r>
          </w:p>
        </w:tc>
        <w:tc>
          <w:tcPr>
            <w:tcW w:w="2268" w:type="dxa"/>
            <w:vAlign w:val="center"/>
          </w:tcPr>
          <w:p>
            <w:pPr>
              <w:snapToGrid w:val="0"/>
              <w:spacing w:line="360" w:lineRule="auto"/>
              <w:jc w:val="center"/>
              <w:rPr>
                <w:rFonts w:ascii="宋体" w:hAnsi="宋体" w:cs="宋体"/>
                <w:sz w:val="24"/>
                <w:szCs w:val="20"/>
              </w:rPr>
            </w:pPr>
          </w:p>
        </w:tc>
        <w:tc>
          <w:tcPr>
            <w:tcW w:w="2410"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c>
          <w:tcPr>
            <w:tcW w:w="2127" w:type="dxa"/>
          </w:tcPr>
          <w:p>
            <w:pPr>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rPr>
            </w:pPr>
            <w:r>
              <w:rPr>
                <w:rFonts w:hint="eastAsia" w:ascii="宋体" w:hAnsi="宋体" w:cs="宋体"/>
                <w:sz w:val="24"/>
                <w:szCs w:val="20"/>
              </w:rPr>
              <w:t>2</w:t>
            </w:r>
          </w:p>
        </w:tc>
        <w:tc>
          <w:tcPr>
            <w:tcW w:w="992" w:type="dxa"/>
            <w:vAlign w:val="center"/>
          </w:tcPr>
          <w:p>
            <w:pPr>
              <w:snapToGrid w:val="0"/>
              <w:spacing w:line="360" w:lineRule="auto"/>
              <w:jc w:val="center"/>
              <w:rPr>
                <w:rFonts w:ascii="宋体" w:hAnsi="宋体" w:cs="宋体"/>
                <w:sz w:val="24"/>
                <w:szCs w:val="20"/>
              </w:rPr>
            </w:pPr>
            <w:r>
              <w:rPr>
                <w:rFonts w:hint="eastAsia" w:ascii="宋体" w:hAnsi="宋体" w:cs="宋体"/>
                <w:sz w:val="24"/>
                <w:szCs w:val="20"/>
              </w:rPr>
              <w:t>XX</w:t>
            </w:r>
          </w:p>
        </w:tc>
        <w:tc>
          <w:tcPr>
            <w:tcW w:w="2268" w:type="dxa"/>
            <w:vAlign w:val="center"/>
          </w:tcPr>
          <w:p>
            <w:pPr>
              <w:snapToGrid w:val="0"/>
              <w:spacing w:line="360" w:lineRule="auto"/>
              <w:jc w:val="center"/>
              <w:rPr>
                <w:rFonts w:ascii="宋体" w:hAnsi="宋体" w:cs="宋体"/>
                <w:sz w:val="24"/>
                <w:szCs w:val="20"/>
              </w:rPr>
            </w:pPr>
          </w:p>
        </w:tc>
        <w:tc>
          <w:tcPr>
            <w:tcW w:w="2410"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c>
          <w:tcPr>
            <w:tcW w:w="2127" w:type="dxa"/>
          </w:tcPr>
          <w:p>
            <w:pPr>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rPr>
            </w:pPr>
            <w:r>
              <w:rPr>
                <w:rFonts w:hint="eastAsia" w:ascii="宋体" w:hAnsi="宋体" w:cs="宋体"/>
                <w:sz w:val="24"/>
                <w:szCs w:val="20"/>
              </w:rPr>
              <w:t>…</w:t>
            </w:r>
          </w:p>
        </w:tc>
        <w:tc>
          <w:tcPr>
            <w:tcW w:w="992"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410"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c>
          <w:tcPr>
            <w:tcW w:w="2127" w:type="dxa"/>
          </w:tcPr>
          <w:p>
            <w:pPr>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rPr>
            </w:pPr>
          </w:p>
        </w:tc>
        <w:tc>
          <w:tcPr>
            <w:tcW w:w="992"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410"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c>
          <w:tcPr>
            <w:tcW w:w="2127" w:type="dxa"/>
          </w:tcPr>
          <w:p>
            <w:pPr>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szCs w:val="20"/>
              </w:rPr>
            </w:pPr>
          </w:p>
        </w:tc>
        <w:tc>
          <w:tcPr>
            <w:tcW w:w="992"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410" w:type="dxa"/>
            <w:vAlign w:val="center"/>
          </w:tcPr>
          <w:p>
            <w:pPr>
              <w:snapToGrid w:val="0"/>
              <w:spacing w:line="360" w:lineRule="auto"/>
              <w:jc w:val="center"/>
              <w:rPr>
                <w:rFonts w:ascii="宋体" w:hAnsi="宋体" w:cs="宋体"/>
                <w:sz w:val="24"/>
                <w:szCs w:val="20"/>
              </w:rPr>
            </w:pPr>
          </w:p>
        </w:tc>
        <w:tc>
          <w:tcPr>
            <w:tcW w:w="2268" w:type="dxa"/>
            <w:vAlign w:val="center"/>
          </w:tcPr>
          <w:p>
            <w:pPr>
              <w:snapToGrid w:val="0"/>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c>
          <w:tcPr>
            <w:tcW w:w="2127" w:type="dxa"/>
          </w:tcPr>
          <w:p>
            <w:pPr>
              <w:spacing w:line="360" w:lineRule="auto"/>
              <w:jc w:val="center"/>
              <w:rPr>
                <w:rFonts w:ascii="宋体" w:hAnsi="宋体" w:cs="宋体"/>
                <w:sz w:val="24"/>
                <w:szCs w:val="20"/>
              </w:rPr>
            </w:pPr>
          </w:p>
        </w:tc>
        <w:tc>
          <w:tcPr>
            <w:tcW w:w="2126" w:type="dxa"/>
            <w:vAlign w:val="center"/>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szCs w:val="20"/>
              </w:rPr>
            </w:pPr>
            <w:r>
              <w:rPr>
                <w:rFonts w:hint="eastAsia" w:ascii="宋体" w:hAnsi="宋体" w:cs="宋体"/>
                <w:b/>
                <w:sz w:val="24"/>
                <w:szCs w:val="20"/>
              </w:rPr>
              <w:t>投标报价（小写）</w:t>
            </w:r>
          </w:p>
        </w:tc>
        <w:tc>
          <w:tcPr>
            <w:tcW w:w="8647" w:type="dxa"/>
            <w:gridSpan w:val="4"/>
          </w:tcPr>
          <w:p>
            <w:pPr>
              <w:spacing w:line="360" w:lineRule="auto"/>
              <w:jc w:val="center"/>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szCs w:val="20"/>
              </w:rPr>
            </w:pPr>
            <w:r>
              <w:rPr>
                <w:rFonts w:hint="eastAsia" w:ascii="宋体" w:hAnsi="宋体" w:cs="宋体"/>
                <w:b/>
                <w:sz w:val="24"/>
                <w:szCs w:val="20"/>
              </w:rPr>
              <w:t>投标报价（大写）</w:t>
            </w:r>
          </w:p>
        </w:tc>
        <w:tc>
          <w:tcPr>
            <w:tcW w:w="8647" w:type="dxa"/>
            <w:gridSpan w:val="4"/>
          </w:tcPr>
          <w:p>
            <w:pPr>
              <w:spacing w:line="360" w:lineRule="auto"/>
              <w:jc w:val="center"/>
              <w:rPr>
                <w:rFonts w:ascii="宋体" w:hAnsi="宋体" w:cs="宋体"/>
                <w:sz w:val="24"/>
                <w:szCs w:val="20"/>
              </w:rPr>
            </w:pPr>
          </w:p>
        </w:tc>
      </w:tr>
    </w:tbl>
    <w:p>
      <w:pPr>
        <w:pStyle w:val="4"/>
        <w:rPr>
          <w:rFonts w:ascii="宋体" w:hAnsi="宋体" w:eastAsia="宋体" w:cs="宋体"/>
          <w:bCs w:val="0"/>
          <w:sz w:val="24"/>
          <w:szCs w:val="20"/>
          <w:lang w:val="en-US"/>
        </w:rPr>
      </w:pPr>
      <w:r>
        <w:rPr>
          <w:rFonts w:hint="eastAsia" w:ascii="宋体" w:hAnsi="宋体" w:eastAsia="宋体" w:cs="宋体"/>
          <w:bCs w:val="0"/>
          <w:sz w:val="24"/>
          <w:szCs w:val="20"/>
          <w:lang w:val="en-US"/>
        </w:rPr>
        <w:t>注：服务类按本格式和要求提供。</w:t>
      </w:r>
    </w:p>
    <w:p>
      <w:pPr>
        <w:pStyle w:val="4"/>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firstLine="480" w:firstLineChars="200"/>
        <w:rPr>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仿宋_GB2312" w:hAnsi="仿宋" w:eastAsia="仿宋_GB2312" w:cs="仿宋_GB2312"/>
          <w:kern w:val="0"/>
          <w:sz w:val="24"/>
        </w:rPr>
        <w:t>2</w:t>
      </w:r>
      <w:r>
        <w:rPr>
          <w:rFonts w:ascii="仿宋_GB2312" w:hAnsi="仿宋" w:eastAsia="仿宋_GB2312" w:cs="仿宋_GB2312"/>
          <w:kern w:val="0"/>
          <w:sz w:val="24"/>
          <w:lang w:val="zh-CN"/>
        </w:rPr>
        <w:t>、有关本项目实施所涉及的一切费用均计入报价。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；采购内容未包含在《开标一览表（报价表）》名称栏中，投标人不能作出合理解释的，视为投标文件含有采购人不能接受的附加条件的，投标无效。</w:t>
      </w:r>
    </w:p>
    <w:p>
      <w:pPr>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szCs w:val="22"/>
        </w:rPr>
        <w:t>3</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4"/>
        <w:rPr>
          <w:rFonts w:cs="仿宋_GB2312"/>
          <w:kern w:val="0"/>
          <w:sz w:val="24"/>
          <w:lang w:val="en-US"/>
        </w:rPr>
      </w:pPr>
      <w:r>
        <w:rPr>
          <w:rFonts w:hint="eastAsia" w:cs="仿宋_GB2312"/>
          <w:kern w:val="0"/>
          <w:sz w:val="24"/>
          <w:lang w:val="en-US"/>
        </w:rPr>
        <w:t xml:space="preserve">    </w:t>
      </w:r>
    </w:p>
    <w:p>
      <w:pPr>
        <w:rPr>
          <w:rFonts w:ascii="宋体" w:hAnsi="宋体" w:cs="宋体"/>
          <w:kern w:val="0"/>
          <w:sz w:val="24"/>
          <w:lang w:val="zh-CN"/>
        </w:rPr>
      </w:pPr>
      <w:r>
        <w:rPr>
          <w:rFonts w:hint="eastAsia" w:ascii="宋体" w:hAnsi="宋体" w:cs="宋体"/>
          <w:kern w:val="0"/>
          <w:sz w:val="24"/>
        </w:rPr>
        <w:t xml:space="preserve">    4</w:t>
      </w:r>
      <w:r>
        <w:rPr>
          <w:rFonts w:hint="eastAsia" w:ascii="宋体" w:hAnsi="宋体" w:cs="宋体"/>
          <w:kern w:val="0"/>
          <w:sz w:val="24"/>
          <w:lang w:val="zh-CN"/>
        </w:rPr>
        <w:t>、特别提示：采购机构将对项目名称和项目编号，中标供应商名称、地址和中标金额，主要中标标的名称、品牌（如果有）、规格型号、数量、单价等予以公示。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rPr>
        <w:t>4</w:t>
      </w:r>
      <w:r>
        <w:rPr>
          <w:rFonts w:hint="eastAsia" w:ascii="宋体" w:hAnsi="宋体" w:cs="宋体"/>
          <w:kern w:val="0"/>
          <w:sz w:val="24"/>
          <w:lang w:val="zh-CN"/>
        </w:rPr>
        <w:t>、特别提示：采购机构将对项目名称和项目编号，中标供应商名称、地址和中标金额，主要中标标的名称、服务范围、服务要求、服务时间、服务标准等予以公示。</w:t>
      </w:r>
    </w:p>
    <w:p>
      <w:pPr>
        <w:pStyle w:val="4"/>
        <w:rPr>
          <w:lang w:val="en-US"/>
        </w:rPr>
      </w:pPr>
    </w:p>
    <w:p>
      <w:pPr>
        <w:rPr>
          <w:rFonts w:ascii="仿宋_GB2312" w:hAnsi="仿宋" w:eastAsia="仿宋_GB2312" w:cs="仿宋_GB2312"/>
          <w:kern w:val="0"/>
          <w:sz w:val="24"/>
          <w:lang w:val="zh-CN"/>
        </w:rPr>
      </w:pPr>
    </w:p>
    <w:p>
      <w:pPr>
        <w:pStyle w:val="4"/>
        <w:sectPr>
          <w:pgSz w:w="16838" w:h="11906" w:orient="landscape"/>
          <w:pgMar w:top="1418" w:right="1247" w:bottom="1418" w:left="1276" w:header="851" w:footer="992" w:gutter="0"/>
          <w:cols w:space="720" w:num="1"/>
          <w:titlePg/>
          <w:docGrid w:linePitch="312" w:charSpace="0"/>
        </w:sectPr>
      </w:pPr>
    </w:p>
    <w:p>
      <w:pPr>
        <w:pStyle w:val="38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 w:hAnsi="仿宋" w:eastAsia="仿宋" w:cs="仿宋_GB2312"/>
          <w:kern w:val="0"/>
          <w:sz w:val="24"/>
          <w:lang w:val="zh-CN"/>
        </w:rPr>
      </w:pPr>
      <w:r>
        <w:rPr>
          <w:rFonts w:hint="eastAsia" w:ascii="仿宋" w:hAnsi="仿宋" w:eastAsia="仿宋" w:cs="仿宋_GB2312"/>
          <w:kern w:val="0"/>
          <w:sz w:val="24"/>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ascii="仿宋" w:hAnsi="仿宋" w:eastAsia="仿宋" w:cs="仿宋_GB2312"/>
          <w:kern w:val="0"/>
          <w:sz w:val="24"/>
          <w:lang w:val="zh-CN"/>
        </w:rPr>
      </w:pPr>
      <w:r>
        <w:rPr>
          <w:rFonts w:hint="eastAsia" w:ascii="仿宋" w:hAnsi="仿宋" w:eastAsia="仿宋" w:cs="仿宋_GB2312"/>
          <w:kern w:val="0"/>
          <w:sz w:val="24"/>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ascii="仿宋" w:hAnsi="仿宋" w:eastAsia="仿宋"/>
          <w:b/>
          <w:sz w:val="24"/>
        </w:rPr>
      </w:pPr>
      <w:r>
        <w:rPr>
          <w:rFonts w:hint="eastAsia" w:ascii="仿宋" w:hAnsi="仿宋" w:eastAsia="仿宋"/>
          <w:b/>
          <w:sz w:val="24"/>
        </w:rPr>
        <w:t>一、适用对象</w:t>
      </w:r>
    </w:p>
    <w:p>
      <w:pPr>
        <w:spacing w:line="360" w:lineRule="auto"/>
        <w:ind w:firstLine="480" w:firstLineChars="200"/>
        <w:rPr>
          <w:rFonts w:ascii="仿宋" w:hAnsi="仿宋" w:eastAsia="仿宋"/>
          <w:sz w:val="24"/>
        </w:rPr>
      </w:pPr>
      <w:r>
        <w:rPr>
          <w:rFonts w:hint="eastAsia" w:ascii="仿宋" w:hAnsi="仿宋" w:eastAsia="仿宋"/>
          <w:sz w:val="24"/>
        </w:rPr>
        <w:t>凡已在浙江政府采购网上注册入库，并取得杭州市政府采购合同的中小企业供应商（以下简称“供应商”），均可申请政府采购信用融资。</w:t>
      </w:r>
    </w:p>
    <w:p>
      <w:pPr>
        <w:spacing w:line="360" w:lineRule="auto"/>
        <w:ind w:firstLine="482" w:firstLineChars="200"/>
        <w:rPr>
          <w:rFonts w:ascii="仿宋" w:hAnsi="仿宋" w:eastAsia="仿宋"/>
          <w:b/>
          <w:sz w:val="24"/>
        </w:rPr>
      </w:pPr>
      <w:r>
        <w:rPr>
          <w:rFonts w:hint="eastAsia" w:ascii="仿宋" w:hAnsi="仿宋" w:eastAsia="仿宋"/>
          <w:b/>
          <w:sz w:val="24"/>
        </w:rPr>
        <w:t>二、相关信息获取方式</w:t>
      </w:r>
    </w:p>
    <w:p>
      <w:pPr>
        <w:spacing w:line="360" w:lineRule="auto"/>
        <w:ind w:firstLine="480" w:firstLineChars="200"/>
        <w:rPr>
          <w:rFonts w:ascii="仿宋" w:hAnsi="仿宋" w:eastAsia="仿宋"/>
          <w:sz w:val="24"/>
        </w:rPr>
      </w:pPr>
      <w:r>
        <w:rPr>
          <w:rFonts w:hint="eastAsia" w:ascii="仿宋" w:hAnsi="仿宋" w:eastAsia="仿宋"/>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ascii="仿宋" w:hAnsi="仿宋" w:eastAsia="仿宋"/>
          <w:b/>
          <w:sz w:val="24"/>
        </w:rPr>
      </w:pPr>
      <w:r>
        <w:rPr>
          <w:rFonts w:hint="eastAsia" w:ascii="仿宋" w:hAnsi="仿宋" w:eastAsia="仿宋"/>
          <w:b/>
          <w:sz w:val="24"/>
        </w:rPr>
        <w:t>三、　政府采购信用融资操作流程：</w:t>
      </w:r>
    </w:p>
    <w:p>
      <w:pPr>
        <w:spacing w:line="360" w:lineRule="auto"/>
        <w:ind w:firstLine="960" w:firstLineChars="400"/>
        <w:rPr>
          <w:rFonts w:ascii="仿宋" w:hAnsi="仿宋" w:eastAsia="仿宋"/>
          <w:sz w:val="24"/>
        </w:rPr>
      </w:pPr>
      <w:r>
        <w:rPr>
          <w:rFonts w:hint="eastAsia" w:ascii="仿宋" w:hAnsi="仿宋" w:eastAsia="仿宋"/>
          <w:sz w:val="24"/>
        </w:rPr>
        <w:t>（一）线上融资模式：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2.供应商中标后，可通过杭州市政府采购网或“浙里办”测算授信额度；</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4.审批通过后，在线办理放贷手续。</w:t>
      </w:r>
    </w:p>
    <w:p>
      <w:pPr>
        <w:spacing w:line="360" w:lineRule="auto"/>
        <w:ind w:firstLine="480" w:firstLineChars="200"/>
        <w:rPr>
          <w:rFonts w:ascii="仿宋" w:hAnsi="仿宋" w:eastAsia="仿宋"/>
          <w:sz w:val="24"/>
        </w:rPr>
      </w:pPr>
      <w:r>
        <w:rPr>
          <w:rFonts w:hint="eastAsia" w:ascii="仿宋" w:hAnsi="仿宋" w:eastAsia="仿宋"/>
          <w:sz w:val="24"/>
        </w:rPr>
        <w:t>　　（二）线下融资模式：</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1.供应商根据合作银行提供的方案，自行选择金融产品，向合作银行提出信用资格预审，并办理开户等手续；</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2.采购合同签订后，供应商在杭州市政府采购网或“浙里办”向合作银行发出融资申请；</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ascii="仿宋" w:hAnsi="仿宋" w:eastAsia="仿宋"/>
          <w:sz w:val="24"/>
        </w:rPr>
      </w:pPr>
      <w:r>
        <w:rPr>
          <w:rFonts w:hint="eastAsia" w:ascii="仿宋" w:hAnsi="仿宋" w:eastAsia="仿宋"/>
          <w:sz w:val="24"/>
        </w:rPr>
        <w:t>　　</w:t>
      </w:r>
      <w:r>
        <w:rPr>
          <w:rFonts w:ascii="仿宋" w:hAnsi="仿宋" w:eastAsia="仿宋"/>
          <w:sz w:val="24"/>
        </w:rPr>
        <w:t>4.审批通过后，合作银行应按照合作备忘录中约定的审批放款期限和优惠利率及时予以放款。</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（三）杭州e融平台申请融资</w:t>
      </w:r>
    </w:p>
    <w:p>
      <w:pPr>
        <w:pStyle w:val="4"/>
        <w:ind w:left="0" w:firstLine="960" w:firstLineChars="400"/>
        <w:rPr>
          <w:rFonts w:ascii="仿宋" w:eastAsia="仿宋"/>
          <w:b w:val="0"/>
          <w:bCs w:val="0"/>
          <w:sz w:val="24"/>
          <w:szCs w:val="24"/>
          <w:lang w:val="en-US"/>
        </w:rPr>
      </w:pPr>
      <w:r>
        <w:rPr>
          <w:rFonts w:hint="eastAsia" w:ascii="仿宋" w:eastAsia="仿宋"/>
          <w:b w:val="0"/>
          <w:bCs w:val="0"/>
          <w:sz w:val="24"/>
          <w:szCs w:val="24"/>
          <w:lang w:val="en-US"/>
        </w:rPr>
        <w:t>供应商通过杭州e融平台政采贷专区，自行选择金融产品，按规定手续办理贷款流程。</w:t>
      </w:r>
    </w:p>
    <w:p>
      <w:pPr>
        <w:spacing w:line="360" w:lineRule="auto"/>
        <w:ind w:firstLine="482" w:firstLineChars="200"/>
        <w:rPr>
          <w:rFonts w:ascii="仿宋" w:hAnsi="仿宋" w:eastAsia="仿宋"/>
          <w:b/>
          <w:sz w:val="24"/>
        </w:rPr>
      </w:pPr>
      <w:r>
        <w:rPr>
          <w:rFonts w:hint="eastAsia" w:ascii="仿宋" w:hAnsi="仿宋" w:eastAsia="仿宋"/>
          <w:b/>
          <w:sz w:val="24"/>
        </w:rPr>
        <w:t>四、注意事项</w:t>
      </w:r>
    </w:p>
    <w:p>
      <w:pPr>
        <w:spacing w:line="360" w:lineRule="auto"/>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对拟用于信用融资的政府采购合同，供应商在签订合同时应当在合同中注明融资银行名称及账号，作为在该银行的唯一收款账号。</w:t>
      </w:r>
    </w:p>
    <w:p>
      <w:pPr>
        <w:spacing w:line="360" w:lineRule="auto"/>
        <w:ind w:firstLine="480" w:firstLineChars="200"/>
        <w:rPr>
          <w:rFonts w:ascii="仿宋_GB2312" w:hAnsi="仿宋" w:eastAsia="仿宋_GB2312" w:cs="仿宋_GB2312"/>
          <w:sz w:val="24"/>
        </w:rPr>
      </w:pPr>
      <w:r>
        <w:rPr>
          <w:rFonts w:ascii="仿宋" w:hAnsi="仿宋" w:eastAsia="仿宋"/>
          <w:sz w:val="24"/>
        </w:rPr>
        <w:t>2</w:t>
      </w:r>
      <w:r>
        <w:rPr>
          <w:rFonts w:hint="eastAsia" w:ascii="仿宋" w:hAnsi="仿宋" w:eastAsia="仿宋"/>
          <w:sz w:val="24"/>
        </w:rPr>
        <w:t>、供应商弄虚作假或以伪造政府采购合同等方式违规获取政府采购信用融资，或不及时还款，或出现其他违反本办法规定情形的，按融资合同约定承担违约责任；涉嫌犯罪的，移送司法机关处理</w:t>
      </w:r>
      <w:r>
        <w:rPr>
          <w:rFonts w:hint="eastAsia" w:ascii="仿宋_GB2312" w:hAnsi="仿宋" w:eastAsia="仿宋_GB2312" w:cs="仿宋_GB2312"/>
          <w:sz w:val="24"/>
        </w:rPr>
        <w:t>。</w:t>
      </w:r>
    </w:p>
    <w:p>
      <w:pPr>
        <w:spacing w:line="360" w:lineRule="auto"/>
        <w:ind w:left="5060" w:hanging="5060" w:hangingChars="2100"/>
        <w:rPr>
          <w:rFonts w:ascii="仿宋_GB2312" w:hAnsi="仿宋" w:eastAsia="仿宋_GB2312" w:cs="仿宋_GB2312"/>
          <w:b/>
          <w:bCs/>
          <w:kern w:val="0"/>
          <w:sz w:val="24"/>
        </w:rPr>
      </w:pPr>
    </w:p>
    <w:p>
      <w:pPr>
        <w:pStyle w:val="3"/>
        <w:pageBreakBefore/>
        <w:widowControl/>
        <w:spacing w:before="100" w:beforeAutospacing="1" w:after="100" w:afterAutospacing="1" w:line="360" w:lineRule="auto"/>
        <w:ind w:left="1290" w:firstLine="3092" w:firstLineChars="700"/>
        <w:rPr>
          <w:rFonts w:ascii="仿宋_GB2312" w:hAnsi="仿宋" w:eastAsia="仿宋_GB2312"/>
        </w:rPr>
      </w:pPr>
      <w:bookmarkStart w:id="401" w:name="_Toc465665161"/>
      <w:r>
        <w:rPr>
          <w:rFonts w:hint="eastAsia" w:ascii="仿宋_GB2312" w:hAnsi="仿宋" w:eastAsia="仿宋_GB2312"/>
        </w:rPr>
        <w:t>附件</w:t>
      </w:r>
      <w:bookmarkEnd w:id="401"/>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402" w:name="OLE_LINK14"/>
      <w:bookmarkStart w:id="403" w:name="OLE_LINK13"/>
      <w:r>
        <w:rPr>
          <w:rFonts w:hint="eastAsia" w:ascii="仿宋_GB2312" w:hAnsi="仿宋" w:eastAsia="仿宋_GB2312"/>
          <w:b/>
          <w:spacing w:val="6"/>
          <w:sz w:val="32"/>
          <w:szCs w:val="32"/>
        </w:rPr>
        <w:t>残疾人福利性单位声明函</w:t>
      </w:r>
    </w:p>
    <w:bookmarkEnd w:id="402"/>
    <w:bookmarkEnd w:id="403"/>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r>
        <w:br w:type="page"/>
      </w:r>
    </w:p>
    <w:p>
      <w:pPr>
        <w:pStyle w:val="4"/>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2700" r="9525" b="10160"/>
                <wp:wrapNone/>
                <wp:docPr id="1866508325"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9ZAPP9gAAAAKAQAADwAAAAAAAAABACAAAAAiAAAAZHJzL2Rvd25yZXYueG1sUEsB&#10;AhQAFAAAAAgAh07iQLg0Y/guAgAAfQQAAA4AAAAAAAAAAQAgAAAAJwEAAGRycy9lMm9Eb2MueG1s&#10;UEsFBgAAAAAGAAYAWQEAAMcFA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2700" r="10160" b="10160"/>
                <wp:wrapNone/>
                <wp:docPr id="1711478562"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JWEXQkxAgAAfQQAAA4AAAAAAAAAAQAgAAAAJwEAAGRycy9lMm9Eb2Mu&#10;eG1sUEsFBgAAAAAGAAYAWQEAAMoFAAAAAA==&#10;">
                <v:fill on="t" focussize="0,0"/>
                <v:stroke color="#000000" miterlimit="2" joinstyle="miter"/>
                <v:imagedata o:title=""/>
                <o:lock v:ext="edit" aspectratio="f"/>
              </v:rect>
            </w:pict>
          </mc:Fallback>
        </mc:AlternateConten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r>
        <w:rPr>
          <w:rFonts w:hint="eastAsia" w:ascii="仿宋" w:hAnsi="仿宋" w:eastAsia="仿宋"/>
          <w:b/>
          <w:spacing w:val="6"/>
          <w:sz w:val="32"/>
          <w:szCs w:val="32"/>
        </w:rPr>
        <w:br w:type="page"/>
      </w: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19" w:type="first"/>
      <w:footerReference r:id="rId22" w:type="first"/>
      <w:headerReference r:id="rId18" w:type="default"/>
      <w:footerReference r:id="rId20" w:type="default"/>
      <w:footerReference r:id="rId21"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1270" b="0"/>
              <wp:wrapNone/>
              <wp:docPr id="1247411546"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43"/>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4vdRNAAAAACAQAADwAAAAAAAAABACAAAAAiAAAAZHJzL2Rvd25yZXYueG1s&#10;UEsBAhQAFAAAAAgAh07iQC4Dur0AAgAACQQAAA4AAAAAAAAAAQAgAAAAHwEAAGRycy9lMm9Eb2Mu&#10;eG1sUEsFBgAAAAAGAAYAWQEAAJE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separate"/>
    </w:r>
    <w:r>
      <w:rPr>
        <w:rStyle w:val="76"/>
      </w:rPr>
      <w:t>8</w:t>
    </w:r>
    <w:r>
      <w:fldChar w:fldCharType="end"/>
    </w:r>
  </w:p>
  <w:p>
    <w:pPr>
      <w:pStyle w:val="43"/>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086485" cy="147955"/>
              <wp:effectExtent l="0" t="0" r="1270" b="0"/>
              <wp:wrapNone/>
              <wp:docPr id="1313446876" name="Text Box 8"/>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36110187"/>
                          <w:bookmarkStart w:id="405" w:name="_Toc164085800"/>
                          <w:bookmarkStart w:id="406" w:name="_Toc91899912"/>
                          <w:bookmarkStart w:id="407" w:name="_Toc131845147"/>
                          <w:r>
                            <w:rPr>
                              <w:rFonts w:hint="eastAsia" w:ascii="仿宋_GB2312" w:eastAsia="仿宋_GB2312"/>
                              <w:kern w:val="0"/>
                              <w:szCs w:val="21"/>
                            </w:rPr>
                            <w:t xml:space="preserve"> 页</w:t>
                          </w:r>
                          <w:bookmarkEnd w:id="404"/>
                          <w:bookmarkEnd w:id="405"/>
                          <w:bookmarkEnd w:id="406"/>
                          <w:bookmarkEnd w:id="407"/>
                        </w:p>
                      </w:txbxContent>
                    </wps:txbx>
                    <wps:bodyPr rot="0" vert="horz" wrap="none" lIns="0" tIns="0" rIns="0" bIns="0" anchor="t" anchorCtr="0" upright="1">
                      <a:spAutoFit/>
                    </wps:bodyPr>
                  </wps:wsp>
                </a:graphicData>
              </a:graphic>
            </wp:anchor>
          </w:drawing>
        </mc:Choice>
        <mc:Fallback>
          <w:pict>
            <v:shape id="Text Box 8" o:spid="_x0000_s1026" o:spt="202" type="#_x0000_t202" style="position:absolute;left:0pt;margin-top:0pt;height:11.65pt;width:85.55pt;mso-position-horizontal:center;mso-position-horizontal-relative:margin;mso-wrap-style:none;z-index:251666432;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VwBXRAAAABAEAAA8AAAAAAAAAAQAgAAAAIgAAAGRycy9kb3ducmV2&#10;LnhtbFBLAQIUABQAAAAIAIdO4kDYfiCgAwIAAAsEAAAOAAAAAAAAAAEAIAAAACABAABkcnMvZTJv&#10;RG9jLnhtbFBLBQYAAAAABgAGAFkBAACVBQ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404" w:name="_Toc36110187"/>
                    <w:bookmarkStart w:id="405" w:name="_Toc164085800"/>
                    <w:bookmarkStart w:id="406" w:name="_Toc91899912"/>
                    <w:bookmarkStart w:id="407" w:name="_Toc131845147"/>
                    <w:r>
                      <w:rPr>
                        <w:rFonts w:hint="eastAsia" w:ascii="仿宋_GB2312" w:eastAsia="仿宋_GB2312"/>
                        <w:kern w:val="0"/>
                        <w:szCs w:val="21"/>
                      </w:rPr>
                      <w:t xml:space="preserve"> 页</w:t>
                    </w:r>
                    <w:bookmarkEnd w:id="404"/>
                    <w:bookmarkEnd w:id="405"/>
                    <w:bookmarkEnd w:id="406"/>
                    <w:bookmarkEnd w:id="407"/>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72085" cy="131445"/>
              <wp:effectExtent l="0" t="0" r="635" b="1905"/>
              <wp:wrapNone/>
              <wp:docPr id="1582603047"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2085" cy="131445"/>
                      </a:xfrm>
                      <a:prstGeom prst="rect">
                        <a:avLst/>
                      </a:prstGeom>
                      <a:noFill/>
                      <a:ln>
                        <a:noFill/>
                      </a:ln>
                    </wps:spPr>
                    <wps:txbx>
                      <w:txbxContent>
                        <w:p>
                          <w:pPr>
                            <w:pStyle w:val="43"/>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0.35pt;width:13.55pt;mso-position-horizontal:center;mso-position-horizontal-relative:margin;mso-wrap-style:none;z-index:251660288;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SV0OXPAAAAAwEAAA8AAAAAAAAAAQAgAAAAIgAAAGRycy9kb3ducmV2Lnht&#10;bFBLAQIUABQAAAAIAIdO4kBAeQwnAgIAAAoEAAAOAAAAAAAAAAEAIAAAAB4BAABkcnMvZTJvRG9j&#10;LnhtbFBLBQYAAAAABgAGAFkBAACSBQ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宋体" w:hAnsi="宋体" w:cs="宋体"/>
        <w:kern w:val="0"/>
        <w:sz w:val="21"/>
        <w:szCs w:val="21"/>
      </w:rPr>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635" b="3810"/>
              <wp:wrapNone/>
              <wp:docPr id="863073939" name="Text Box 10"/>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43"/>
                          </w:pPr>
                          <w:r>
                            <w:fldChar w:fldCharType="begin"/>
                          </w:r>
                          <w:r>
                            <w:instrText xml:space="preserve"> PAGE  \* MERGEFORMAT </w:instrText>
                          </w:r>
                          <w:r>
                            <w:fldChar w:fldCharType="separate"/>
                          </w:r>
                          <w:r>
                            <w:t>24</w:t>
                          </w:r>
                          <w:r>
                            <w:fldChar w:fldCharType="end"/>
                          </w:r>
                        </w:p>
                      </w:txbxContent>
                    </wps:txbx>
                    <wps:bodyPr rot="0" vert="horz" wrap="none" lIns="0" tIns="0" rIns="0" bIns="0" anchor="t" anchorCtr="0" upright="1">
                      <a:spAutoFit/>
                    </wps:bodyPr>
                  </wps:wsp>
                </a:graphicData>
              </a:graphic>
            </wp:anchor>
          </w:drawing>
        </mc:Choice>
        <mc:Fallback>
          <w:pict>
            <v:shape id="Text Box 10" o:spid="_x0000_s1026" o:spt="202" type="#_x0000_t202" style="position:absolute;left:0pt;margin-top:0pt;height:10.35pt;width:9.05pt;mso-position-horizontal:center;mso-position-horizontal-relative:margin;mso-wrap-style:none;z-index:25166745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V+SdAAAAADAQAADwAAAAAAAAABACAAAAAiAAAAZHJzL2Rvd25yZXYu&#10;eG1sUEsBAhQAFAAAAAgAh07iQO4KajMDAgAACgQAAA4AAAAAAAAAAQAgAAAAHwEAAGRycy9lMm9E&#10;b2MueG1sUEsFBgAAAAAGAAYAWQEAAJQFAAAAAA==&#10;">
              <v:fill on="f" focussize="0,0"/>
              <v:stroke on="f"/>
              <v:imagedata o:title=""/>
              <o:lock v:ext="edit" aspectratio="f"/>
              <v:textbox inset="0mm,0mm,0mm,0mm" style="mso-fit-shape-to-text:t;">
                <w:txbxContent>
                  <w:p>
                    <w:pPr>
                      <w:pStyle w:val="43"/>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086485" cy="147955"/>
              <wp:effectExtent l="0" t="0" r="1270" b="0"/>
              <wp:wrapNone/>
              <wp:docPr id="195275584" name="Text Box 3"/>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1.65pt;width:85.55pt;mso-position-horizontal:center;mso-position-horizontal-relative:margin;mso-wrap-style:none;z-index:251661312;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tXAFdEAAAAEAQAADwAAAAAAAAABACAAAAAiAAAAZHJzL2Rvd25yZXYu&#10;eG1sUEsBAhQAFAAAAAgAh07iQAWb7iQCAgAACgQAAA4AAAAAAAAAAQAgAAAAIAEAAGRycy9lMm9E&#10;b2MueG1sUEsFBgAAAAAGAAYAWQEAAJQFA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086485" cy="147955"/>
              <wp:effectExtent l="0" t="0" r="1270" b="0"/>
              <wp:wrapNone/>
              <wp:docPr id="1686092588" name="Text Box 4"/>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85.55pt;mso-position-horizontal:center;mso-position-horizontal-relative:margin;mso-wrap-style:none;z-index:251662336;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tXAFdEAAAAEAQAADwAAAAAAAAABACAAAAAiAAAAZHJzL2Rvd25yZXYu&#10;eG1sUEsBAhQAFAAAAAgAh07iQBrG5ikCAgAACwQAAA4AAAAAAAAAAQAgAAAAIAEAAGRycy9lMm9E&#10;b2MueG1sUEsFBgAAAAAGAAYAWQEAAJQFA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086485" cy="147955"/>
              <wp:effectExtent l="1905" t="0" r="0" b="0"/>
              <wp:wrapNone/>
              <wp:docPr id="359721274" name="Text Box 5"/>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85.55pt;mso-position-horizontal:center;mso-position-horizontal-relative:margin;mso-wrap-style:none;z-index:251663360;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VwBXRAAAABAEAAA8AAAAAAAAAAQAgAAAAIgAAAGRycy9kb3ducmV2&#10;LnhtbFBLAQIUABQAAAAIAIdO4kCY7FdyAwIAAAoEAAAOAAAAAAAAAAEAIAAAACABAABkcnMvZTJv&#10;RG9jLnhtbFBLBQYAAAAABgAGAFkBAACVBQ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086485" cy="147955"/>
              <wp:effectExtent l="1905" t="0" r="0" b="0"/>
              <wp:wrapNone/>
              <wp:docPr id="701306709" name="Text Box 6"/>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85.55pt;mso-position-horizontal:center;mso-position-horizontal-relative:margin;mso-wrap-style:none;z-index:251664384;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VwBXRAAAABAEAAA8AAAAAAAAAAQAgAAAAIgAAAGRycy9kb3ducmV2&#10;LnhtbFBLAQIUABQAAAAIAIdO4kAc44d0AwIAAAoEAAAOAAAAAAAAAAEAIAAAACABAABkcnMvZTJv&#10;RG9jLnhtbFBLBQYAAAAABgAGAFkBAACVBQ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086485" cy="147955"/>
              <wp:effectExtent l="0" t="0" r="1270" b="0"/>
              <wp:wrapNone/>
              <wp:docPr id="1820801729" name="Text Box 7"/>
              <wp:cNvGraphicFramePr/>
              <a:graphic xmlns:a="http://schemas.openxmlformats.org/drawingml/2006/main">
                <a:graphicData uri="http://schemas.microsoft.com/office/word/2010/wordprocessingShape">
                  <wps:wsp>
                    <wps:cNvSpPr txBox="1">
                      <a:spLocks noChangeArrowheads="1"/>
                    </wps:cNvSpPr>
                    <wps:spPr bwMode="auto">
                      <a:xfrm>
                        <a:off x="0" y="0"/>
                        <a:ext cx="1086485" cy="147955"/>
                      </a:xfrm>
                      <a:prstGeom prst="rect">
                        <a:avLst/>
                      </a:prstGeom>
                      <a:noFill/>
                      <a:ln>
                        <a:noFill/>
                      </a:ln>
                    </wps:spPr>
                    <wps:txbx>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85.55pt;mso-position-horizontal:center;mso-position-horizontal-relative:margin;mso-wrap-style:none;z-index:251665408;mso-width-relative:page;mso-height-relative:page;" filled="f" stroked="f" coordsize="21600,21600" o:gfxdata="UEsDBAoAAAAAAIdO4kAAAAAAAAAAAAAAAAAEAAAAZHJzL1BLAwQUAAAACACHTuJARtXAF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VwBXRAAAABAEAAA8AAAAAAAAAAQAgAAAAIgAAAGRycy9kb3ducmV2&#10;LnhtbFBLAQIUABQAAAAIAIdO4kDTBqcrAwIAAAsEAAAOAAAAAAAAAAEAIAAAACABAABkcnMvZTJv&#10;RG9jLnhtbFBLBQYAAAAABgAGAFkBAACVBQAAAAA=&#10;">
              <v:fill on="f" focussize="0,0"/>
              <v:stroke on="f"/>
              <v:imagedata o:title=""/>
              <o:lock v:ext="edit" aspectratio="f"/>
              <v:textbox inset="0mm,0mm,0mm,0mm" style="mso-fit-shape-to-text:t;">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ind w:left="420" w:hanging="420" w:hangingChars="200"/>
      <w:jc w:val="right"/>
      <w:rPr>
        <w:rFonts w:ascii="宋体" w:hAnsi="宋体" w:cs="宋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6C7D49"/>
    <w:multiLevelType w:val="singleLevel"/>
    <w:tmpl w:val="E66C7D49"/>
    <w:lvl w:ilvl="0" w:tentative="0">
      <w:start w:val="2"/>
      <w:numFmt w:val="chineseCounting"/>
      <w:suff w:val="nothing"/>
      <w:lvlText w:val="%1、"/>
      <w:lvlJc w:val="left"/>
      <w:rPr>
        <w:rFonts w:hint="eastAsia"/>
      </w:rPr>
    </w:lvl>
  </w:abstractNum>
  <w:abstractNum w:abstractNumId="1">
    <w:nsid w:val="054B5839"/>
    <w:multiLevelType w:val="singleLevel"/>
    <w:tmpl w:val="054B5839"/>
    <w:lvl w:ilvl="0" w:tentative="0">
      <w:start w:val="2"/>
      <w:numFmt w:val="decimal"/>
      <w:suff w:val="nothing"/>
      <w:lvlText w:val="%1）"/>
      <w:lvlJc w:val="left"/>
    </w:lvl>
  </w:abstractNum>
  <w:abstractNum w:abstractNumId="2">
    <w:nsid w:val="07C70115"/>
    <w:multiLevelType w:val="singleLevel"/>
    <w:tmpl w:val="07C70115"/>
    <w:lvl w:ilvl="0" w:tentative="0">
      <w:start w:val="1"/>
      <w:numFmt w:val="decimal"/>
      <w:lvlText w:val="%1."/>
      <w:lvlJc w:val="left"/>
      <w:pPr>
        <w:tabs>
          <w:tab w:val="left" w:pos="312"/>
        </w:tabs>
      </w:pPr>
    </w:lvl>
  </w:abstractNum>
  <w:abstractNum w:abstractNumId="3">
    <w:nsid w:val="2496E974"/>
    <w:multiLevelType w:val="singleLevel"/>
    <w:tmpl w:val="2496E974"/>
    <w:lvl w:ilvl="0" w:tentative="0">
      <w:start w:val="4"/>
      <w:numFmt w:val="decimal"/>
      <w:lvlText w:val="%1."/>
      <w:lvlJc w:val="left"/>
      <w:pPr>
        <w:tabs>
          <w:tab w:val="left" w:pos="312"/>
        </w:tabs>
      </w:pPr>
    </w:lvl>
  </w:abstractNum>
  <w:abstractNum w:abstractNumId="4">
    <w:nsid w:val="6225D133"/>
    <w:multiLevelType w:val="singleLevel"/>
    <w:tmpl w:val="6225D133"/>
    <w:lvl w:ilvl="0" w:tentative="0">
      <w:start w:val="3"/>
      <w:numFmt w:val="decimal"/>
      <w:lvlText w:val="%1."/>
      <w:lvlJc w:val="left"/>
      <w:pPr>
        <w:tabs>
          <w:tab w:val="left" w:pos="312"/>
        </w:tabs>
      </w:pPr>
    </w:lvl>
  </w:abstractNum>
  <w:abstractNum w:abstractNumId="5">
    <w:nsid w:val="629D9D1F"/>
    <w:multiLevelType w:val="singleLevel"/>
    <w:tmpl w:val="629D9D1F"/>
    <w:lvl w:ilvl="0" w:tentative="0">
      <w:start w:val="6"/>
      <w:numFmt w:val="chineseCounting"/>
      <w:suff w:val="nothing"/>
      <w:lvlText w:val="%1、"/>
      <w:lvlJc w:val="left"/>
    </w:lvl>
  </w:abstractNum>
  <w:abstractNum w:abstractNumId="6">
    <w:nsid w:val="7D5BDD82"/>
    <w:multiLevelType w:val="singleLevel"/>
    <w:tmpl w:val="7D5BDD82"/>
    <w:lvl w:ilvl="0" w:tentative="0">
      <w:start w:val="4"/>
      <w:numFmt w:val="chineseCounting"/>
      <w:suff w:val="nothing"/>
      <w:lvlText w:val="%1、"/>
      <w:lvlJc w:val="left"/>
      <w:rPr>
        <w:rFonts w:hint="eastAsia"/>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JmMjJhY2VmMTMzYTQ0NDg4ZTZmZGQ1M2Y5MmEyMjcifQ=="/>
    <w:docVar w:name="KSO_WPS_MARK_KEY" w:val="6a3b3d2a-e5a0-4b6f-829b-888bd4fb6bda"/>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4F36"/>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C48"/>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23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530"/>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491"/>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2BF7"/>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15297B"/>
    <w:rsid w:val="026B2E25"/>
    <w:rsid w:val="02824D4D"/>
    <w:rsid w:val="02827F58"/>
    <w:rsid w:val="02DC4B10"/>
    <w:rsid w:val="02DD76CE"/>
    <w:rsid w:val="02F36323"/>
    <w:rsid w:val="02F5619C"/>
    <w:rsid w:val="0326446A"/>
    <w:rsid w:val="032D5555"/>
    <w:rsid w:val="035D4591"/>
    <w:rsid w:val="036634D2"/>
    <w:rsid w:val="03DD35E4"/>
    <w:rsid w:val="04076900"/>
    <w:rsid w:val="041A5A3B"/>
    <w:rsid w:val="042311BA"/>
    <w:rsid w:val="042B157A"/>
    <w:rsid w:val="046E4E16"/>
    <w:rsid w:val="048F763B"/>
    <w:rsid w:val="049F330E"/>
    <w:rsid w:val="04AA775C"/>
    <w:rsid w:val="04AF1889"/>
    <w:rsid w:val="04F66F48"/>
    <w:rsid w:val="05251E14"/>
    <w:rsid w:val="05A16594"/>
    <w:rsid w:val="05A7762D"/>
    <w:rsid w:val="060E5941"/>
    <w:rsid w:val="06110FAF"/>
    <w:rsid w:val="063F5B0F"/>
    <w:rsid w:val="06493CA7"/>
    <w:rsid w:val="065A6178"/>
    <w:rsid w:val="06667154"/>
    <w:rsid w:val="066F1CF3"/>
    <w:rsid w:val="06930BB8"/>
    <w:rsid w:val="06DF4882"/>
    <w:rsid w:val="07245D42"/>
    <w:rsid w:val="07264C62"/>
    <w:rsid w:val="072A2FCD"/>
    <w:rsid w:val="0779354C"/>
    <w:rsid w:val="07BF028B"/>
    <w:rsid w:val="07C231CA"/>
    <w:rsid w:val="08061376"/>
    <w:rsid w:val="08162787"/>
    <w:rsid w:val="08452D77"/>
    <w:rsid w:val="086401F8"/>
    <w:rsid w:val="08751CAA"/>
    <w:rsid w:val="087E4C40"/>
    <w:rsid w:val="08D4742C"/>
    <w:rsid w:val="08D66AD6"/>
    <w:rsid w:val="08DA33A3"/>
    <w:rsid w:val="08E80F13"/>
    <w:rsid w:val="09335624"/>
    <w:rsid w:val="0944690F"/>
    <w:rsid w:val="09535675"/>
    <w:rsid w:val="095F057D"/>
    <w:rsid w:val="09642282"/>
    <w:rsid w:val="096D58B6"/>
    <w:rsid w:val="09733572"/>
    <w:rsid w:val="09772C16"/>
    <w:rsid w:val="098353B5"/>
    <w:rsid w:val="09A92330"/>
    <w:rsid w:val="09B06B87"/>
    <w:rsid w:val="09C13146"/>
    <w:rsid w:val="09E04166"/>
    <w:rsid w:val="0A1C0718"/>
    <w:rsid w:val="0A3E7710"/>
    <w:rsid w:val="0A5B7E63"/>
    <w:rsid w:val="0A626533"/>
    <w:rsid w:val="0AA374A5"/>
    <w:rsid w:val="0AAB7649"/>
    <w:rsid w:val="0ABC5606"/>
    <w:rsid w:val="0AC42132"/>
    <w:rsid w:val="0ADF76C8"/>
    <w:rsid w:val="0AEE5A69"/>
    <w:rsid w:val="0B0C5D4B"/>
    <w:rsid w:val="0B30404E"/>
    <w:rsid w:val="0B4C6C14"/>
    <w:rsid w:val="0B631A88"/>
    <w:rsid w:val="0B683D45"/>
    <w:rsid w:val="0B6D31C6"/>
    <w:rsid w:val="0B7F3F11"/>
    <w:rsid w:val="0B884417"/>
    <w:rsid w:val="0BBB7C7D"/>
    <w:rsid w:val="0BF6188C"/>
    <w:rsid w:val="0BF73C91"/>
    <w:rsid w:val="0C170175"/>
    <w:rsid w:val="0C571A41"/>
    <w:rsid w:val="0C5C1171"/>
    <w:rsid w:val="0C5C1BCC"/>
    <w:rsid w:val="0C5E1CBC"/>
    <w:rsid w:val="0C615B50"/>
    <w:rsid w:val="0C8445DA"/>
    <w:rsid w:val="0C87121B"/>
    <w:rsid w:val="0C8F253F"/>
    <w:rsid w:val="0CC007F7"/>
    <w:rsid w:val="0CFE707A"/>
    <w:rsid w:val="0D063BDA"/>
    <w:rsid w:val="0D08375F"/>
    <w:rsid w:val="0D0B2C6C"/>
    <w:rsid w:val="0D0F0C6D"/>
    <w:rsid w:val="0D184CFB"/>
    <w:rsid w:val="0D217AE2"/>
    <w:rsid w:val="0D395136"/>
    <w:rsid w:val="0D4A7419"/>
    <w:rsid w:val="0D667776"/>
    <w:rsid w:val="0D7E177B"/>
    <w:rsid w:val="0D827401"/>
    <w:rsid w:val="0D84094E"/>
    <w:rsid w:val="0D8A00E9"/>
    <w:rsid w:val="0D8D589E"/>
    <w:rsid w:val="0D985DAE"/>
    <w:rsid w:val="0DA01C73"/>
    <w:rsid w:val="0DD63300"/>
    <w:rsid w:val="0DF50604"/>
    <w:rsid w:val="0DF702FE"/>
    <w:rsid w:val="0E060E51"/>
    <w:rsid w:val="0E5604B2"/>
    <w:rsid w:val="0E6D5D79"/>
    <w:rsid w:val="0E9D0089"/>
    <w:rsid w:val="0EB803EE"/>
    <w:rsid w:val="0EF94D4B"/>
    <w:rsid w:val="0F1106F7"/>
    <w:rsid w:val="0F4958DC"/>
    <w:rsid w:val="0F515DF7"/>
    <w:rsid w:val="0F596BA8"/>
    <w:rsid w:val="0F6248D2"/>
    <w:rsid w:val="0F693536"/>
    <w:rsid w:val="0F7B0511"/>
    <w:rsid w:val="0F7B76D9"/>
    <w:rsid w:val="0F816ACD"/>
    <w:rsid w:val="0F9832DB"/>
    <w:rsid w:val="0FBF3FD2"/>
    <w:rsid w:val="0FBF7FF3"/>
    <w:rsid w:val="10105A09"/>
    <w:rsid w:val="10646583"/>
    <w:rsid w:val="107D4B15"/>
    <w:rsid w:val="108A3C80"/>
    <w:rsid w:val="10C26171"/>
    <w:rsid w:val="10F26336"/>
    <w:rsid w:val="10F33360"/>
    <w:rsid w:val="10FC16EA"/>
    <w:rsid w:val="11036B00"/>
    <w:rsid w:val="110F1D40"/>
    <w:rsid w:val="11266F33"/>
    <w:rsid w:val="118963A1"/>
    <w:rsid w:val="11914F50"/>
    <w:rsid w:val="11C6522A"/>
    <w:rsid w:val="11E104CC"/>
    <w:rsid w:val="11E20309"/>
    <w:rsid w:val="11FE0013"/>
    <w:rsid w:val="12255233"/>
    <w:rsid w:val="12530213"/>
    <w:rsid w:val="127723A9"/>
    <w:rsid w:val="12862074"/>
    <w:rsid w:val="12883966"/>
    <w:rsid w:val="1291752C"/>
    <w:rsid w:val="129E45B4"/>
    <w:rsid w:val="12AB5C50"/>
    <w:rsid w:val="12BB25D2"/>
    <w:rsid w:val="12D81596"/>
    <w:rsid w:val="13072A44"/>
    <w:rsid w:val="135F4BE2"/>
    <w:rsid w:val="137A4BC0"/>
    <w:rsid w:val="137B008C"/>
    <w:rsid w:val="138F6718"/>
    <w:rsid w:val="139B1A0A"/>
    <w:rsid w:val="139D25C7"/>
    <w:rsid w:val="13BF3CE4"/>
    <w:rsid w:val="141008D8"/>
    <w:rsid w:val="14125FE6"/>
    <w:rsid w:val="144B31B2"/>
    <w:rsid w:val="146D271E"/>
    <w:rsid w:val="14982588"/>
    <w:rsid w:val="149A5AD9"/>
    <w:rsid w:val="14A7619D"/>
    <w:rsid w:val="14BB7B9C"/>
    <w:rsid w:val="150536C3"/>
    <w:rsid w:val="150C1963"/>
    <w:rsid w:val="151447A0"/>
    <w:rsid w:val="154A6454"/>
    <w:rsid w:val="15762120"/>
    <w:rsid w:val="164D312E"/>
    <w:rsid w:val="16A8729C"/>
    <w:rsid w:val="16B33777"/>
    <w:rsid w:val="16BC70A7"/>
    <w:rsid w:val="16C6339E"/>
    <w:rsid w:val="172F2D79"/>
    <w:rsid w:val="17557BEF"/>
    <w:rsid w:val="175F3F5B"/>
    <w:rsid w:val="17D349C1"/>
    <w:rsid w:val="17E34FEF"/>
    <w:rsid w:val="1830729E"/>
    <w:rsid w:val="1870062C"/>
    <w:rsid w:val="18817102"/>
    <w:rsid w:val="18830A15"/>
    <w:rsid w:val="18852B28"/>
    <w:rsid w:val="188B5321"/>
    <w:rsid w:val="196453DF"/>
    <w:rsid w:val="19932372"/>
    <w:rsid w:val="19A20DD5"/>
    <w:rsid w:val="19AE03F1"/>
    <w:rsid w:val="19BB2E95"/>
    <w:rsid w:val="1A071A03"/>
    <w:rsid w:val="1A1F16AE"/>
    <w:rsid w:val="1A3B5C77"/>
    <w:rsid w:val="1A65423B"/>
    <w:rsid w:val="1A984BAD"/>
    <w:rsid w:val="1AB8220E"/>
    <w:rsid w:val="1AE4166C"/>
    <w:rsid w:val="1AF06CFB"/>
    <w:rsid w:val="1AF11B8D"/>
    <w:rsid w:val="1AF85A85"/>
    <w:rsid w:val="1B11359C"/>
    <w:rsid w:val="1B2A271F"/>
    <w:rsid w:val="1B46204F"/>
    <w:rsid w:val="1B530544"/>
    <w:rsid w:val="1B713184"/>
    <w:rsid w:val="1B741675"/>
    <w:rsid w:val="1BA209CF"/>
    <w:rsid w:val="1BB4777D"/>
    <w:rsid w:val="1BC258DA"/>
    <w:rsid w:val="1BD75AB8"/>
    <w:rsid w:val="1C0459C2"/>
    <w:rsid w:val="1C1B3B4A"/>
    <w:rsid w:val="1C5C6861"/>
    <w:rsid w:val="1C5F79A5"/>
    <w:rsid w:val="1C767BD0"/>
    <w:rsid w:val="1C88086E"/>
    <w:rsid w:val="1CDE18EA"/>
    <w:rsid w:val="1CE43536"/>
    <w:rsid w:val="1D266CE1"/>
    <w:rsid w:val="1D3963AF"/>
    <w:rsid w:val="1D6A673C"/>
    <w:rsid w:val="1D9247AE"/>
    <w:rsid w:val="1DB567EC"/>
    <w:rsid w:val="1DE54FD0"/>
    <w:rsid w:val="1DF51A98"/>
    <w:rsid w:val="1E281AB5"/>
    <w:rsid w:val="1E3A0677"/>
    <w:rsid w:val="1E3D060F"/>
    <w:rsid w:val="1E3F7D2E"/>
    <w:rsid w:val="1E4134E4"/>
    <w:rsid w:val="1E5062B3"/>
    <w:rsid w:val="1E523514"/>
    <w:rsid w:val="1E714A66"/>
    <w:rsid w:val="1E802593"/>
    <w:rsid w:val="1EA703CC"/>
    <w:rsid w:val="1EB7330C"/>
    <w:rsid w:val="1F0A0FF3"/>
    <w:rsid w:val="1F4305AE"/>
    <w:rsid w:val="1F5771FF"/>
    <w:rsid w:val="1F8F57C2"/>
    <w:rsid w:val="1FD53709"/>
    <w:rsid w:val="1FE868A9"/>
    <w:rsid w:val="20034907"/>
    <w:rsid w:val="20173E4B"/>
    <w:rsid w:val="202B1BD0"/>
    <w:rsid w:val="204E48BC"/>
    <w:rsid w:val="208921B3"/>
    <w:rsid w:val="208A67B8"/>
    <w:rsid w:val="20973DEB"/>
    <w:rsid w:val="20B26522"/>
    <w:rsid w:val="20B44310"/>
    <w:rsid w:val="211116EB"/>
    <w:rsid w:val="2133151A"/>
    <w:rsid w:val="21444693"/>
    <w:rsid w:val="216133FC"/>
    <w:rsid w:val="21D56769"/>
    <w:rsid w:val="21E52EF3"/>
    <w:rsid w:val="21F50358"/>
    <w:rsid w:val="21FB5D7B"/>
    <w:rsid w:val="220B1C3D"/>
    <w:rsid w:val="221D1D20"/>
    <w:rsid w:val="22334A87"/>
    <w:rsid w:val="22681CF7"/>
    <w:rsid w:val="226A2E83"/>
    <w:rsid w:val="226D3F97"/>
    <w:rsid w:val="22BE6801"/>
    <w:rsid w:val="22C24A6D"/>
    <w:rsid w:val="233500BF"/>
    <w:rsid w:val="23377FF7"/>
    <w:rsid w:val="236B425F"/>
    <w:rsid w:val="23705A01"/>
    <w:rsid w:val="23836192"/>
    <w:rsid w:val="23901F29"/>
    <w:rsid w:val="239C0061"/>
    <w:rsid w:val="23AC4114"/>
    <w:rsid w:val="23B908A4"/>
    <w:rsid w:val="23D46191"/>
    <w:rsid w:val="23E95BEF"/>
    <w:rsid w:val="23F23D7D"/>
    <w:rsid w:val="23FD0064"/>
    <w:rsid w:val="245375B0"/>
    <w:rsid w:val="24642C0A"/>
    <w:rsid w:val="24B22173"/>
    <w:rsid w:val="24B95AD9"/>
    <w:rsid w:val="24BE24DA"/>
    <w:rsid w:val="24CF5825"/>
    <w:rsid w:val="24D663E6"/>
    <w:rsid w:val="24D77F2B"/>
    <w:rsid w:val="24E53D49"/>
    <w:rsid w:val="253E1FB4"/>
    <w:rsid w:val="257C2AEA"/>
    <w:rsid w:val="258B00E2"/>
    <w:rsid w:val="25A917A6"/>
    <w:rsid w:val="25BE27CC"/>
    <w:rsid w:val="25F654BC"/>
    <w:rsid w:val="25F74A5C"/>
    <w:rsid w:val="2628662C"/>
    <w:rsid w:val="262D45DE"/>
    <w:rsid w:val="26892073"/>
    <w:rsid w:val="26A02F87"/>
    <w:rsid w:val="26A53EF9"/>
    <w:rsid w:val="26A94201"/>
    <w:rsid w:val="26AC274F"/>
    <w:rsid w:val="27044A29"/>
    <w:rsid w:val="27106BE8"/>
    <w:rsid w:val="271D34C8"/>
    <w:rsid w:val="276142BF"/>
    <w:rsid w:val="27783712"/>
    <w:rsid w:val="278B3C24"/>
    <w:rsid w:val="27907362"/>
    <w:rsid w:val="28084A26"/>
    <w:rsid w:val="28333E1D"/>
    <w:rsid w:val="28454BD6"/>
    <w:rsid w:val="28455253"/>
    <w:rsid w:val="28551971"/>
    <w:rsid w:val="285B1C53"/>
    <w:rsid w:val="289F7086"/>
    <w:rsid w:val="28AA0CE5"/>
    <w:rsid w:val="28C32028"/>
    <w:rsid w:val="28CC490F"/>
    <w:rsid w:val="28DE40AA"/>
    <w:rsid w:val="28E228FE"/>
    <w:rsid w:val="29345E77"/>
    <w:rsid w:val="293F112D"/>
    <w:rsid w:val="294C65AD"/>
    <w:rsid w:val="29806583"/>
    <w:rsid w:val="298B3C4C"/>
    <w:rsid w:val="29F26D24"/>
    <w:rsid w:val="2A15033F"/>
    <w:rsid w:val="2A1662C1"/>
    <w:rsid w:val="2A1C5CBB"/>
    <w:rsid w:val="2A1C7367"/>
    <w:rsid w:val="2A2815FA"/>
    <w:rsid w:val="2A6D6092"/>
    <w:rsid w:val="2A7D76B4"/>
    <w:rsid w:val="2B437463"/>
    <w:rsid w:val="2B7807EE"/>
    <w:rsid w:val="2BBF00EC"/>
    <w:rsid w:val="2BC33EED"/>
    <w:rsid w:val="2BC37CFD"/>
    <w:rsid w:val="2BD5237F"/>
    <w:rsid w:val="2BE536CE"/>
    <w:rsid w:val="2BE758D9"/>
    <w:rsid w:val="2C09049E"/>
    <w:rsid w:val="2C0A653C"/>
    <w:rsid w:val="2C191F85"/>
    <w:rsid w:val="2C4E7785"/>
    <w:rsid w:val="2CE40F12"/>
    <w:rsid w:val="2CE82D6F"/>
    <w:rsid w:val="2CF24727"/>
    <w:rsid w:val="2D343236"/>
    <w:rsid w:val="2D491B1B"/>
    <w:rsid w:val="2DD15014"/>
    <w:rsid w:val="2DF72DE4"/>
    <w:rsid w:val="2E0220AF"/>
    <w:rsid w:val="2E4B082A"/>
    <w:rsid w:val="2E5D4E86"/>
    <w:rsid w:val="2E5D790B"/>
    <w:rsid w:val="2E984B00"/>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BF2D77"/>
    <w:rsid w:val="32FB6478"/>
    <w:rsid w:val="33196747"/>
    <w:rsid w:val="33263B3F"/>
    <w:rsid w:val="336963EB"/>
    <w:rsid w:val="33757D46"/>
    <w:rsid w:val="33816EEB"/>
    <w:rsid w:val="33EB55CD"/>
    <w:rsid w:val="33EC4C02"/>
    <w:rsid w:val="340D2360"/>
    <w:rsid w:val="3410665D"/>
    <w:rsid w:val="34211214"/>
    <w:rsid w:val="342E63AB"/>
    <w:rsid w:val="34950E68"/>
    <w:rsid w:val="34986E94"/>
    <w:rsid w:val="34A064BE"/>
    <w:rsid w:val="34AF62C9"/>
    <w:rsid w:val="34CB4388"/>
    <w:rsid w:val="34DB19BE"/>
    <w:rsid w:val="34FA6E12"/>
    <w:rsid w:val="358D5588"/>
    <w:rsid w:val="359F2AF8"/>
    <w:rsid w:val="36397C72"/>
    <w:rsid w:val="363A3B40"/>
    <w:rsid w:val="365302AE"/>
    <w:rsid w:val="36607A0A"/>
    <w:rsid w:val="366E227C"/>
    <w:rsid w:val="366F2E0D"/>
    <w:rsid w:val="367B6A5C"/>
    <w:rsid w:val="36890AA8"/>
    <w:rsid w:val="36A74ADA"/>
    <w:rsid w:val="36AD60D5"/>
    <w:rsid w:val="36B224F9"/>
    <w:rsid w:val="36EC0CC9"/>
    <w:rsid w:val="373F410B"/>
    <w:rsid w:val="37EE7094"/>
    <w:rsid w:val="38120769"/>
    <w:rsid w:val="38174ABC"/>
    <w:rsid w:val="38296C89"/>
    <w:rsid w:val="383002EB"/>
    <w:rsid w:val="38586797"/>
    <w:rsid w:val="38BC0149"/>
    <w:rsid w:val="38BC34BF"/>
    <w:rsid w:val="38D404EE"/>
    <w:rsid w:val="38D87D1C"/>
    <w:rsid w:val="38EC33C3"/>
    <w:rsid w:val="39636459"/>
    <w:rsid w:val="396B7F6C"/>
    <w:rsid w:val="398A029A"/>
    <w:rsid w:val="39A0598D"/>
    <w:rsid w:val="39B417A9"/>
    <w:rsid w:val="39FC5695"/>
    <w:rsid w:val="3A006D8E"/>
    <w:rsid w:val="3A23749D"/>
    <w:rsid w:val="3A3651E5"/>
    <w:rsid w:val="3A495E66"/>
    <w:rsid w:val="3A744481"/>
    <w:rsid w:val="3A856654"/>
    <w:rsid w:val="3A8C7BEF"/>
    <w:rsid w:val="3A906246"/>
    <w:rsid w:val="3B2349B7"/>
    <w:rsid w:val="3B3D2948"/>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453DC6"/>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9E5F37"/>
    <w:rsid w:val="3EAF4836"/>
    <w:rsid w:val="3EC33DFA"/>
    <w:rsid w:val="3F060E16"/>
    <w:rsid w:val="3F1D1096"/>
    <w:rsid w:val="3F2F0234"/>
    <w:rsid w:val="3F35117A"/>
    <w:rsid w:val="3F6363FE"/>
    <w:rsid w:val="3F756B8F"/>
    <w:rsid w:val="3F95482B"/>
    <w:rsid w:val="4019356B"/>
    <w:rsid w:val="40592157"/>
    <w:rsid w:val="406E1CAE"/>
    <w:rsid w:val="40A0133A"/>
    <w:rsid w:val="40C31A53"/>
    <w:rsid w:val="40FF545D"/>
    <w:rsid w:val="410067C8"/>
    <w:rsid w:val="41586BC4"/>
    <w:rsid w:val="418F0D2A"/>
    <w:rsid w:val="41D01505"/>
    <w:rsid w:val="41E72A50"/>
    <w:rsid w:val="42474939"/>
    <w:rsid w:val="424C3C57"/>
    <w:rsid w:val="42562163"/>
    <w:rsid w:val="42613FF3"/>
    <w:rsid w:val="42660D96"/>
    <w:rsid w:val="428667D2"/>
    <w:rsid w:val="42A272D7"/>
    <w:rsid w:val="42CD1CE0"/>
    <w:rsid w:val="42E1381E"/>
    <w:rsid w:val="42EA34EA"/>
    <w:rsid w:val="42ED6459"/>
    <w:rsid w:val="42FE58DD"/>
    <w:rsid w:val="43036A81"/>
    <w:rsid w:val="43174B3D"/>
    <w:rsid w:val="434B790E"/>
    <w:rsid w:val="4360274F"/>
    <w:rsid w:val="43614E5D"/>
    <w:rsid w:val="43977AB6"/>
    <w:rsid w:val="43A3342B"/>
    <w:rsid w:val="43C77C27"/>
    <w:rsid w:val="43DE09EE"/>
    <w:rsid w:val="44002FAD"/>
    <w:rsid w:val="449101DD"/>
    <w:rsid w:val="44CB55AC"/>
    <w:rsid w:val="44DE1391"/>
    <w:rsid w:val="450A21DE"/>
    <w:rsid w:val="451B225C"/>
    <w:rsid w:val="452410C9"/>
    <w:rsid w:val="45317DFB"/>
    <w:rsid w:val="456D3CE4"/>
    <w:rsid w:val="4579042C"/>
    <w:rsid w:val="457F0571"/>
    <w:rsid w:val="45851176"/>
    <w:rsid w:val="45C63B94"/>
    <w:rsid w:val="45CF39F2"/>
    <w:rsid w:val="460E7DA5"/>
    <w:rsid w:val="461130CC"/>
    <w:rsid w:val="46422483"/>
    <w:rsid w:val="4659254A"/>
    <w:rsid w:val="465B0637"/>
    <w:rsid w:val="465E3F0D"/>
    <w:rsid w:val="466A16E6"/>
    <w:rsid w:val="46893F2B"/>
    <w:rsid w:val="46C4686E"/>
    <w:rsid w:val="46D10264"/>
    <w:rsid w:val="47144155"/>
    <w:rsid w:val="477B778F"/>
    <w:rsid w:val="478203EC"/>
    <w:rsid w:val="47B025FA"/>
    <w:rsid w:val="47E94C70"/>
    <w:rsid w:val="4809698F"/>
    <w:rsid w:val="4811697D"/>
    <w:rsid w:val="485D638B"/>
    <w:rsid w:val="486F6CFB"/>
    <w:rsid w:val="487A3E25"/>
    <w:rsid w:val="488B5503"/>
    <w:rsid w:val="48937E21"/>
    <w:rsid w:val="489A0361"/>
    <w:rsid w:val="48B94FF3"/>
    <w:rsid w:val="48E37AAB"/>
    <w:rsid w:val="48FD4B4C"/>
    <w:rsid w:val="490A68E0"/>
    <w:rsid w:val="491055FE"/>
    <w:rsid w:val="49137FD5"/>
    <w:rsid w:val="492D2352"/>
    <w:rsid w:val="495F5B3E"/>
    <w:rsid w:val="496F77D7"/>
    <w:rsid w:val="497654FD"/>
    <w:rsid w:val="498D2DA1"/>
    <w:rsid w:val="49B64211"/>
    <w:rsid w:val="49EA5E65"/>
    <w:rsid w:val="49F6167F"/>
    <w:rsid w:val="4A064FA0"/>
    <w:rsid w:val="4A16615C"/>
    <w:rsid w:val="4A266DE0"/>
    <w:rsid w:val="4A4424D7"/>
    <w:rsid w:val="4A966613"/>
    <w:rsid w:val="4AB82D0F"/>
    <w:rsid w:val="4AEB7664"/>
    <w:rsid w:val="4AFD7C19"/>
    <w:rsid w:val="4B0567D1"/>
    <w:rsid w:val="4B1D01E3"/>
    <w:rsid w:val="4B236AAE"/>
    <w:rsid w:val="4B707271"/>
    <w:rsid w:val="4B9739F7"/>
    <w:rsid w:val="4BA92D56"/>
    <w:rsid w:val="4BEE2503"/>
    <w:rsid w:val="4C245A30"/>
    <w:rsid w:val="4C994F4D"/>
    <w:rsid w:val="4CB6685F"/>
    <w:rsid w:val="4CC367FE"/>
    <w:rsid w:val="4D077F3C"/>
    <w:rsid w:val="4D123355"/>
    <w:rsid w:val="4D23288C"/>
    <w:rsid w:val="4D2A3B31"/>
    <w:rsid w:val="4D2B0757"/>
    <w:rsid w:val="4D312C52"/>
    <w:rsid w:val="4D347603"/>
    <w:rsid w:val="4D3B7E54"/>
    <w:rsid w:val="4D905305"/>
    <w:rsid w:val="4D964A72"/>
    <w:rsid w:val="4D9C1254"/>
    <w:rsid w:val="4DE917E6"/>
    <w:rsid w:val="4E281212"/>
    <w:rsid w:val="4E793892"/>
    <w:rsid w:val="4E800872"/>
    <w:rsid w:val="4EA07161"/>
    <w:rsid w:val="4EC569ED"/>
    <w:rsid w:val="4ED50EA1"/>
    <w:rsid w:val="4EEC050C"/>
    <w:rsid w:val="4F104EC3"/>
    <w:rsid w:val="4F47354A"/>
    <w:rsid w:val="4F911C54"/>
    <w:rsid w:val="4FE625E0"/>
    <w:rsid w:val="4FE65BDF"/>
    <w:rsid w:val="5021480F"/>
    <w:rsid w:val="50962ECB"/>
    <w:rsid w:val="50A42E38"/>
    <w:rsid w:val="50A4577F"/>
    <w:rsid w:val="50B73D1F"/>
    <w:rsid w:val="50BD5BC9"/>
    <w:rsid w:val="50C11EEE"/>
    <w:rsid w:val="50E97CFC"/>
    <w:rsid w:val="50FA4028"/>
    <w:rsid w:val="510D65B7"/>
    <w:rsid w:val="511157AB"/>
    <w:rsid w:val="5142540C"/>
    <w:rsid w:val="5151508A"/>
    <w:rsid w:val="515D57DD"/>
    <w:rsid w:val="518832C8"/>
    <w:rsid w:val="518F5CC6"/>
    <w:rsid w:val="51A0432A"/>
    <w:rsid w:val="51A86090"/>
    <w:rsid w:val="51B7396D"/>
    <w:rsid w:val="51DC3BC7"/>
    <w:rsid w:val="51F3279C"/>
    <w:rsid w:val="522E4CC3"/>
    <w:rsid w:val="5244713B"/>
    <w:rsid w:val="52615633"/>
    <w:rsid w:val="52977FD4"/>
    <w:rsid w:val="52A25790"/>
    <w:rsid w:val="52A96B6F"/>
    <w:rsid w:val="52B45975"/>
    <w:rsid w:val="52D94AA4"/>
    <w:rsid w:val="52EA3A62"/>
    <w:rsid w:val="52F50BB8"/>
    <w:rsid w:val="53097272"/>
    <w:rsid w:val="53544462"/>
    <w:rsid w:val="5397158E"/>
    <w:rsid w:val="54013861"/>
    <w:rsid w:val="54042BB4"/>
    <w:rsid w:val="54487265"/>
    <w:rsid w:val="544D6070"/>
    <w:rsid w:val="54605E1E"/>
    <w:rsid w:val="54B3506A"/>
    <w:rsid w:val="54BB24C6"/>
    <w:rsid w:val="54CA0D16"/>
    <w:rsid w:val="54DD4057"/>
    <w:rsid w:val="54E7490F"/>
    <w:rsid w:val="54FC355F"/>
    <w:rsid w:val="550764A4"/>
    <w:rsid w:val="550B2BF6"/>
    <w:rsid w:val="55214EB5"/>
    <w:rsid w:val="55364EFD"/>
    <w:rsid w:val="555D4828"/>
    <w:rsid w:val="557A4C8B"/>
    <w:rsid w:val="558931E1"/>
    <w:rsid w:val="55923347"/>
    <w:rsid w:val="55925180"/>
    <w:rsid w:val="55983B1B"/>
    <w:rsid w:val="55A8376B"/>
    <w:rsid w:val="55B1107B"/>
    <w:rsid w:val="55DC29B6"/>
    <w:rsid w:val="55DD4241"/>
    <w:rsid w:val="566B6D1E"/>
    <w:rsid w:val="568D608C"/>
    <w:rsid w:val="56A64417"/>
    <w:rsid w:val="57032A2C"/>
    <w:rsid w:val="570F5219"/>
    <w:rsid w:val="57257E2E"/>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34E48"/>
    <w:rsid w:val="583A6DC9"/>
    <w:rsid w:val="58917D2F"/>
    <w:rsid w:val="5894085C"/>
    <w:rsid w:val="58AE4F0C"/>
    <w:rsid w:val="58B85899"/>
    <w:rsid w:val="58E363A9"/>
    <w:rsid w:val="58F87A10"/>
    <w:rsid w:val="59120131"/>
    <w:rsid w:val="594B5446"/>
    <w:rsid w:val="595E1678"/>
    <w:rsid w:val="59686533"/>
    <w:rsid w:val="596D5BD4"/>
    <w:rsid w:val="597E3DD8"/>
    <w:rsid w:val="59F80043"/>
    <w:rsid w:val="5A09252F"/>
    <w:rsid w:val="5A0A49B5"/>
    <w:rsid w:val="5A0B2778"/>
    <w:rsid w:val="5A2A7C7B"/>
    <w:rsid w:val="5A3C0E89"/>
    <w:rsid w:val="5A3E2560"/>
    <w:rsid w:val="5A5D3B6E"/>
    <w:rsid w:val="5A636661"/>
    <w:rsid w:val="5A637A76"/>
    <w:rsid w:val="5A6D33BA"/>
    <w:rsid w:val="5A7449E7"/>
    <w:rsid w:val="5A792B1F"/>
    <w:rsid w:val="5A874767"/>
    <w:rsid w:val="5AA302F7"/>
    <w:rsid w:val="5AAB0CDA"/>
    <w:rsid w:val="5AAD6F28"/>
    <w:rsid w:val="5AD63A24"/>
    <w:rsid w:val="5B024457"/>
    <w:rsid w:val="5B091AC4"/>
    <w:rsid w:val="5B2E1A1D"/>
    <w:rsid w:val="5B4B565D"/>
    <w:rsid w:val="5B843A1C"/>
    <w:rsid w:val="5B873E3F"/>
    <w:rsid w:val="5C02690E"/>
    <w:rsid w:val="5C196DA7"/>
    <w:rsid w:val="5C2A048C"/>
    <w:rsid w:val="5C80234E"/>
    <w:rsid w:val="5C8A680C"/>
    <w:rsid w:val="5C967376"/>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9A3F78"/>
    <w:rsid w:val="5F9E593F"/>
    <w:rsid w:val="5FCC5339"/>
    <w:rsid w:val="5FE34A5B"/>
    <w:rsid w:val="5FFE1E36"/>
    <w:rsid w:val="60232584"/>
    <w:rsid w:val="603354CB"/>
    <w:rsid w:val="607330CE"/>
    <w:rsid w:val="60825176"/>
    <w:rsid w:val="609F2AC4"/>
    <w:rsid w:val="60FA2EE8"/>
    <w:rsid w:val="61054A27"/>
    <w:rsid w:val="610A52BC"/>
    <w:rsid w:val="611D2366"/>
    <w:rsid w:val="61241E74"/>
    <w:rsid w:val="61421856"/>
    <w:rsid w:val="615227C4"/>
    <w:rsid w:val="61654E3F"/>
    <w:rsid w:val="6182292A"/>
    <w:rsid w:val="619145DE"/>
    <w:rsid w:val="619F7F92"/>
    <w:rsid w:val="61B51E9A"/>
    <w:rsid w:val="61E3027B"/>
    <w:rsid w:val="61F94C26"/>
    <w:rsid w:val="62000E56"/>
    <w:rsid w:val="624F3E49"/>
    <w:rsid w:val="625063DC"/>
    <w:rsid w:val="62557CB5"/>
    <w:rsid w:val="62632286"/>
    <w:rsid w:val="626671FB"/>
    <w:rsid w:val="62885958"/>
    <w:rsid w:val="629058F8"/>
    <w:rsid w:val="62F40B65"/>
    <w:rsid w:val="62FC2CFE"/>
    <w:rsid w:val="62FC3761"/>
    <w:rsid w:val="63024505"/>
    <w:rsid w:val="635B1DB5"/>
    <w:rsid w:val="63711FED"/>
    <w:rsid w:val="63880DDC"/>
    <w:rsid w:val="638D750D"/>
    <w:rsid w:val="63AC6CC0"/>
    <w:rsid w:val="64055776"/>
    <w:rsid w:val="6410048D"/>
    <w:rsid w:val="64240056"/>
    <w:rsid w:val="643E143A"/>
    <w:rsid w:val="648B6EEF"/>
    <w:rsid w:val="64A0561B"/>
    <w:rsid w:val="64C158BF"/>
    <w:rsid w:val="64CE2EAA"/>
    <w:rsid w:val="653C3090"/>
    <w:rsid w:val="65854376"/>
    <w:rsid w:val="658767BE"/>
    <w:rsid w:val="65892531"/>
    <w:rsid w:val="66125E6A"/>
    <w:rsid w:val="66195831"/>
    <w:rsid w:val="662B2165"/>
    <w:rsid w:val="662E75B1"/>
    <w:rsid w:val="66342C2E"/>
    <w:rsid w:val="663E784C"/>
    <w:rsid w:val="668B6A45"/>
    <w:rsid w:val="66E05CCA"/>
    <w:rsid w:val="672F3F24"/>
    <w:rsid w:val="673E055F"/>
    <w:rsid w:val="67430B21"/>
    <w:rsid w:val="67551CE3"/>
    <w:rsid w:val="67A22552"/>
    <w:rsid w:val="67B22DCC"/>
    <w:rsid w:val="67BE71AA"/>
    <w:rsid w:val="67D90273"/>
    <w:rsid w:val="67DE5875"/>
    <w:rsid w:val="67E55852"/>
    <w:rsid w:val="67EB1AB4"/>
    <w:rsid w:val="67FA1285"/>
    <w:rsid w:val="68165501"/>
    <w:rsid w:val="68551F4F"/>
    <w:rsid w:val="686F02F5"/>
    <w:rsid w:val="687C10C9"/>
    <w:rsid w:val="68840C16"/>
    <w:rsid w:val="68876EFB"/>
    <w:rsid w:val="68884654"/>
    <w:rsid w:val="689F444F"/>
    <w:rsid w:val="68B96DBB"/>
    <w:rsid w:val="68CA2805"/>
    <w:rsid w:val="68E937A3"/>
    <w:rsid w:val="693E15D3"/>
    <w:rsid w:val="69627681"/>
    <w:rsid w:val="6977531D"/>
    <w:rsid w:val="69A2559F"/>
    <w:rsid w:val="69CC2BFF"/>
    <w:rsid w:val="69DE5B40"/>
    <w:rsid w:val="69EC2FA3"/>
    <w:rsid w:val="69FD55B8"/>
    <w:rsid w:val="6A0B1C62"/>
    <w:rsid w:val="6A2406C8"/>
    <w:rsid w:val="6A4803B8"/>
    <w:rsid w:val="6A72466A"/>
    <w:rsid w:val="6ADE0BD1"/>
    <w:rsid w:val="6AE96859"/>
    <w:rsid w:val="6B147746"/>
    <w:rsid w:val="6B24787C"/>
    <w:rsid w:val="6B2B2545"/>
    <w:rsid w:val="6B573233"/>
    <w:rsid w:val="6B5B6274"/>
    <w:rsid w:val="6B795CEF"/>
    <w:rsid w:val="6B841E8D"/>
    <w:rsid w:val="6B8E6844"/>
    <w:rsid w:val="6B935D53"/>
    <w:rsid w:val="6BE96690"/>
    <w:rsid w:val="6BFC24ED"/>
    <w:rsid w:val="6C196F71"/>
    <w:rsid w:val="6C226FCB"/>
    <w:rsid w:val="6C31226F"/>
    <w:rsid w:val="6C406744"/>
    <w:rsid w:val="6C552F0B"/>
    <w:rsid w:val="6C5F420E"/>
    <w:rsid w:val="6C8C67B7"/>
    <w:rsid w:val="6C9D744C"/>
    <w:rsid w:val="6D167928"/>
    <w:rsid w:val="6D26299B"/>
    <w:rsid w:val="6D2A6A64"/>
    <w:rsid w:val="6D4772EC"/>
    <w:rsid w:val="6D8C6B50"/>
    <w:rsid w:val="6D9078AF"/>
    <w:rsid w:val="6D956F05"/>
    <w:rsid w:val="6DAA3FEF"/>
    <w:rsid w:val="6DC0172B"/>
    <w:rsid w:val="6DCB690C"/>
    <w:rsid w:val="6DD41A5B"/>
    <w:rsid w:val="6DD9340E"/>
    <w:rsid w:val="6DF43C2E"/>
    <w:rsid w:val="6DF51CA3"/>
    <w:rsid w:val="6E627429"/>
    <w:rsid w:val="6E8335BD"/>
    <w:rsid w:val="6E8E12EF"/>
    <w:rsid w:val="6E972936"/>
    <w:rsid w:val="6ED446C5"/>
    <w:rsid w:val="6EFA5469"/>
    <w:rsid w:val="6F2A7D94"/>
    <w:rsid w:val="6F8331F1"/>
    <w:rsid w:val="6FA737F5"/>
    <w:rsid w:val="6FAE1A09"/>
    <w:rsid w:val="6FD75BF8"/>
    <w:rsid w:val="707723D0"/>
    <w:rsid w:val="708C43FF"/>
    <w:rsid w:val="70F5661B"/>
    <w:rsid w:val="71360107"/>
    <w:rsid w:val="713B688E"/>
    <w:rsid w:val="71565065"/>
    <w:rsid w:val="719A716B"/>
    <w:rsid w:val="71D43752"/>
    <w:rsid w:val="71F1796A"/>
    <w:rsid w:val="72154626"/>
    <w:rsid w:val="72262B5D"/>
    <w:rsid w:val="72283FF7"/>
    <w:rsid w:val="722E7212"/>
    <w:rsid w:val="723A0474"/>
    <w:rsid w:val="72463F5E"/>
    <w:rsid w:val="725923E4"/>
    <w:rsid w:val="72864BF7"/>
    <w:rsid w:val="729023FC"/>
    <w:rsid w:val="73C0646E"/>
    <w:rsid w:val="742222F5"/>
    <w:rsid w:val="74476126"/>
    <w:rsid w:val="74480233"/>
    <w:rsid w:val="74706664"/>
    <w:rsid w:val="747F3682"/>
    <w:rsid w:val="749C4185"/>
    <w:rsid w:val="74D01A8B"/>
    <w:rsid w:val="75067759"/>
    <w:rsid w:val="752E6DCD"/>
    <w:rsid w:val="75342268"/>
    <w:rsid w:val="754A11EA"/>
    <w:rsid w:val="7551380D"/>
    <w:rsid w:val="75600BE5"/>
    <w:rsid w:val="7564475C"/>
    <w:rsid w:val="7583797F"/>
    <w:rsid w:val="75C503E2"/>
    <w:rsid w:val="75D20F1D"/>
    <w:rsid w:val="75DA2C18"/>
    <w:rsid w:val="75F54412"/>
    <w:rsid w:val="75FB7FE4"/>
    <w:rsid w:val="761D08E0"/>
    <w:rsid w:val="765D347C"/>
    <w:rsid w:val="76826699"/>
    <w:rsid w:val="76C87133"/>
    <w:rsid w:val="76CD08D5"/>
    <w:rsid w:val="76DB4B92"/>
    <w:rsid w:val="77052AA4"/>
    <w:rsid w:val="77136511"/>
    <w:rsid w:val="77231E57"/>
    <w:rsid w:val="77340A39"/>
    <w:rsid w:val="77351FD0"/>
    <w:rsid w:val="77472422"/>
    <w:rsid w:val="777F31F2"/>
    <w:rsid w:val="77D1700D"/>
    <w:rsid w:val="77EC04CC"/>
    <w:rsid w:val="78510AC5"/>
    <w:rsid w:val="78590B7C"/>
    <w:rsid w:val="785B70AB"/>
    <w:rsid w:val="78775729"/>
    <w:rsid w:val="78A42DB0"/>
    <w:rsid w:val="78A656AB"/>
    <w:rsid w:val="78B2245C"/>
    <w:rsid w:val="78E172CC"/>
    <w:rsid w:val="78EA1D1F"/>
    <w:rsid w:val="78F155B7"/>
    <w:rsid w:val="7904172F"/>
    <w:rsid w:val="790F7E27"/>
    <w:rsid w:val="792A231A"/>
    <w:rsid w:val="79316829"/>
    <w:rsid w:val="797E66A9"/>
    <w:rsid w:val="79A97383"/>
    <w:rsid w:val="79E27E8B"/>
    <w:rsid w:val="79F850CE"/>
    <w:rsid w:val="79F90271"/>
    <w:rsid w:val="79FD443C"/>
    <w:rsid w:val="7A0B3A69"/>
    <w:rsid w:val="7A1D1975"/>
    <w:rsid w:val="7A3E5150"/>
    <w:rsid w:val="7A4670D6"/>
    <w:rsid w:val="7A534B63"/>
    <w:rsid w:val="7A615382"/>
    <w:rsid w:val="7A67303B"/>
    <w:rsid w:val="7AAB1D04"/>
    <w:rsid w:val="7ABA4368"/>
    <w:rsid w:val="7AD05746"/>
    <w:rsid w:val="7B257FFD"/>
    <w:rsid w:val="7B2A28E9"/>
    <w:rsid w:val="7B343476"/>
    <w:rsid w:val="7B5A2978"/>
    <w:rsid w:val="7B5A7E4C"/>
    <w:rsid w:val="7B667AF9"/>
    <w:rsid w:val="7B7468F8"/>
    <w:rsid w:val="7BDE669D"/>
    <w:rsid w:val="7BEE0103"/>
    <w:rsid w:val="7C0A0FE4"/>
    <w:rsid w:val="7C254906"/>
    <w:rsid w:val="7C2B78AA"/>
    <w:rsid w:val="7C365C01"/>
    <w:rsid w:val="7C590818"/>
    <w:rsid w:val="7C7C10F6"/>
    <w:rsid w:val="7C853BEA"/>
    <w:rsid w:val="7C881368"/>
    <w:rsid w:val="7CA51A2A"/>
    <w:rsid w:val="7CE27788"/>
    <w:rsid w:val="7D0C32F1"/>
    <w:rsid w:val="7D0F408D"/>
    <w:rsid w:val="7D491C6C"/>
    <w:rsid w:val="7D5429C0"/>
    <w:rsid w:val="7D6E6D43"/>
    <w:rsid w:val="7DB039FE"/>
    <w:rsid w:val="7DB57A34"/>
    <w:rsid w:val="7DE60973"/>
    <w:rsid w:val="7DEF0916"/>
    <w:rsid w:val="7E1E5218"/>
    <w:rsid w:val="7E6C1E82"/>
    <w:rsid w:val="7E7442D3"/>
    <w:rsid w:val="7E9A4E1F"/>
    <w:rsid w:val="7EA7723A"/>
    <w:rsid w:val="7EF56FBB"/>
    <w:rsid w:val="7F0768EB"/>
    <w:rsid w:val="7F143BEC"/>
    <w:rsid w:val="7F712CC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0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0"/>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9"/>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2"/>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semiHidden/>
    <w:unhideWhenUsed/>
    <w:qFormat/>
    <w:uiPriority w:val="1"/>
  </w:style>
  <w:style w:type="table" w:default="1" w:styleId="6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932"/>
    <w:qFormat/>
    <w:uiPriority w:val="0"/>
    <w:pPr>
      <w:autoSpaceDE w:val="0"/>
      <w:autoSpaceDN w:val="0"/>
      <w:spacing w:line="360" w:lineRule="auto"/>
    </w:pPr>
    <w:rPr>
      <w:rFonts w:ascii="宋体" w:hAnsi="Arial" w:cs="Arial"/>
      <w:snapToGrid w:val="0"/>
      <w:sz w:val="24"/>
      <w:szCs w:val="21"/>
      <w:lang w:val="zh-CN"/>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720"/>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752"/>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727"/>
    <w:qFormat/>
    <w:uiPriority w:val="0"/>
    <w:pPr>
      <w:shd w:val="clear" w:color="auto" w:fill="000080"/>
    </w:pPr>
  </w:style>
  <w:style w:type="paragraph" w:styleId="20">
    <w:name w:val="annotation text"/>
    <w:basedOn w:val="1"/>
    <w:link w:val="855"/>
    <w:qFormat/>
    <w:uiPriority w:val="99"/>
    <w:pPr>
      <w:jc w:val="left"/>
    </w:pPr>
    <w:rPr>
      <w:rFonts w:hint="eastAsia"/>
    </w:rPr>
  </w:style>
  <w:style w:type="paragraph" w:styleId="21">
    <w:name w:val="Salutation"/>
    <w:basedOn w:val="1"/>
    <w:next w:val="1"/>
    <w:link w:val="815"/>
    <w:qFormat/>
    <w:uiPriority w:val="0"/>
    <w:rPr>
      <w:rFonts w:ascii="仿宋_GB2312" w:eastAsia="仿宋_GB2312"/>
      <w:sz w:val="28"/>
      <w:szCs w:val="20"/>
    </w:rPr>
  </w:style>
  <w:style w:type="paragraph" w:styleId="22">
    <w:name w:val="Body Text 3"/>
    <w:basedOn w:val="1"/>
    <w:link w:val="843"/>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Indent"/>
    <w:basedOn w:val="1"/>
    <w:next w:val="25"/>
    <w:link w:val="783"/>
    <w:qFormat/>
    <w:uiPriority w:val="0"/>
    <w:pPr>
      <w:spacing w:line="480" w:lineRule="exact"/>
      <w:ind w:firstLine="480" w:firstLineChars="200"/>
    </w:pPr>
    <w:rPr>
      <w:rFonts w:ascii="宋体" w:hAnsi="宋体"/>
      <w:sz w:val="24"/>
    </w:rPr>
  </w:style>
  <w:style w:type="paragraph" w:customStyle="1" w:styleId="25">
    <w:name w:val="正文文本首行缩进 21"/>
    <w:basedOn w:val="26"/>
    <w:qFormat/>
    <w:uiPriority w:val="99"/>
    <w:pPr>
      <w:tabs>
        <w:tab w:val="right" w:leader="dot" w:pos="8268"/>
      </w:tabs>
      <w:spacing w:line="200" w:lineRule="atLeast"/>
      <w:ind w:firstLine="420"/>
    </w:pPr>
    <w:rPr>
      <w:rFonts w:ascii="宋体"/>
      <w:spacing w:val="-4"/>
      <w:sz w:val="18"/>
    </w:rPr>
  </w:style>
  <w:style w:type="paragraph" w:customStyle="1" w:styleId="26">
    <w:name w:val="正文缩进1"/>
    <w:basedOn w:val="27"/>
    <w:next w:val="25"/>
    <w:qFormat/>
    <w:uiPriority w:val="0"/>
    <w:pPr>
      <w:tabs>
        <w:tab w:val="right" w:leader="dot" w:pos="8268"/>
      </w:tabs>
      <w:autoSpaceDE w:val="0"/>
      <w:autoSpaceDN w:val="0"/>
      <w:snapToGrid w:val="0"/>
      <w:spacing w:after="120" w:line="360" w:lineRule="auto"/>
      <w:ind w:left="420" w:leftChars="200"/>
    </w:pPr>
    <w:rPr>
      <w:szCs w:val="21"/>
    </w:rPr>
  </w:style>
  <w:style w:type="paragraph" w:customStyle="1" w:styleId="27">
    <w:name w:val="正文1"/>
    <w:basedOn w:val="19"/>
    <w:next w:val="28"/>
    <w:qFormat/>
    <w:uiPriority w:val="0"/>
    <w:pPr>
      <w:tabs>
        <w:tab w:val="right" w:leader="dot" w:pos="8268"/>
      </w:tabs>
      <w:ind w:firstLine="480" w:firstLineChars="200"/>
    </w:pPr>
    <w:rPr>
      <w:rFonts w:ascii="仿宋_GB2312" w:hAnsi="Courier New" w:eastAsia="仿宋_GB2312"/>
      <w:kern w:val="28"/>
      <w:sz w:val="24"/>
    </w:rPr>
  </w:style>
  <w:style w:type="paragraph" w:customStyle="1" w:styleId="28">
    <w:name w:val="标题 21"/>
    <w:basedOn w:val="27"/>
    <w:next w:val="27"/>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744"/>
    <w:qFormat/>
    <w:uiPriority w:val="0"/>
    <w:pPr>
      <w:widowControl/>
      <w:adjustRightInd/>
      <w:ind w:firstLine="200" w:firstLineChars="200"/>
      <w:jc w:val="left"/>
    </w:pPr>
    <w:rPr>
      <w:rFonts w:ascii="宋体" w:hAnsi="宋体"/>
      <w:i/>
      <w:iCs/>
      <w:kern w:val="0"/>
      <w:sz w:val="24"/>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659"/>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09"/>
    <w:qFormat/>
    <w:uiPriority w:val="0"/>
    <w:pPr>
      <w:ind w:left="100" w:leftChars="2500"/>
    </w:pPr>
    <w:rPr>
      <w:rFonts w:ascii="宋体"/>
      <w:sz w:val="24"/>
      <w:szCs w:val="21"/>
      <w:lang w:val="zh-CN"/>
    </w:rPr>
  </w:style>
  <w:style w:type="paragraph" w:styleId="40">
    <w:name w:val="Body Text Indent 2"/>
    <w:basedOn w:val="1"/>
    <w:link w:val="823"/>
    <w:qFormat/>
    <w:uiPriority w:val="0"/>
    <w:pPr>
      <w:spacing w:line="360" w:lineRule="auto"/>
      <w:ind w:firstLine="601"/>
      <w:textAlignment w:val="baseline"/>
    </w:pPr>
    <w:rPr>
      <w:rFonts w:ascii="宋体"/>
      <w:kern w:val="0"/>
      <w:sz w:val="28"/>
      <w:szCs w:val="20"/>
    </w:rPr>
  </w:style>
  <w:style w:type="paragraph" w:styleId="41">
    <w:name w:val="endnote text"/>
    <w:basedOn w:val="1"/>
    <w:link w:val="940"/>
    <w:qFormat/>
    <w:uiPriority w:val="0"/>
    <w:rPr>
      <w:lang w:val="zh-CN"/>
    </w:rPr>
  </w:style>
  <w:style w:type="paragraph" w:styleId="42">
    <w:name w:val="Balloon Text"/>
    <w:basedOn w:val="1"/>
    <w:link w:val="716"/>
    <w:qFormat/>
    <w:uiPriority w:val="0"/>
    <w:rPr>
      <w:sz w:val="18"/>
      <w:szCs w:val="18"/>
    </w:rPr>
  </w:style>
  <w:style w:type="paragraph" w:styleId="43">
    <w:name w:val="footer"/>
    <w:basedOn w:val="1"/>
    <w:link w:val="891"/>
    <w:qFormat/>
    <w:uiPriority w:val="99"/>
    <w:pPr>
      <w:tabs>
        <w:tab w:val="center" w:pos="4153"/>
        <w:tab w:val="right" w:pos="8306"/>
      </w:tabs>
      <w:snapToGrid w:val="0"/>
      <w:jc w:val="left"/>
    </w:pPr>
    <w:rPr>
      <w:sz w:val="18"/>
      <w:szCs w:val="18"/>
    </w:rPr>
  </w:style>
  <w:style w:type="paragraph" w:styleId="44">
    <w:name w:val="header"/>
    <w:basedOn w:val="1"/>
    <w:link w:val="899"/>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6"/>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16"/>
    <w:link w:val="825"/>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4"/>
    <w:qFormat/>
    <w:uiPriority w:val="0"/>
    <w:pPr>
      <w:spacing w:line="360" w:lineRule="auto"/>
      <w:ind w:firstLine="420"/>
    </w:pPr>
    <w:rPr>
      <w:sz w:val="24"/>
      <w:szCs w:val="20"/>
    </w:rPr>
  </w:style>
  <w:style w:type="paragraph" w:styleId="57">
    <w:name w:val="toc 2"/>
    <w:basedOn w:val="1"/>
    <w:next w:val="1"/>
    <w:qFormat/>
    <w:uiPriority w:val="0"/>
    <w:pPr>
      <w:ind w:left="420" w:leftChars="200"/>
    </w:pPr>
  </w:style>
  <w:style w:type="paragraph" w:styleId="58">
    <w:name w:val="toc 9"/>
    <w:basedOn w:val="1"/>
    <w:next w:val="1"/>
    <w:qFormat/>
    <w:uiPriority w:val="0"/>
    <w:pPr>
      <w:ind w:left="3360" w:leftChars="1600"/>
    </w:pPr>
  </w:style>
  <w:style w:type="paragraph" w:styleId="59">
    <w:name w:val="Body Text 2"/>
    <w:basedOn w:val="1"/>
    <w:link w:val="819"/>
    <w:qFormat/>
    <w:uiPriority w:val="0"/>
    <w:pPr>
      <w:spacing w:after="120" w:line="480" w:lineRule="auto"/>
    </w:pPr>
  </w:style>
  <w:style w:type="paragraph" w:styleId="60">
    <w:name w:val="HTML Preformatted"/>
    <w:basedOn w:val="1"/>
    <w:link w:val="8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803"/>
    <w:qFormat/>
    <w:uiPriority w:val="10"/>
    <w:pPr>
      <w:widowControl/>
      <w:overflowPunct w:val="0"/>
      <w:autoSpaceDE w:val="0"/>
      <w:autoSpaceDN w:val="0"/>
      <w:jc w:val="center"/>
      <w:textAlignment w:val="baseline"/>
    </w:pPr>
    <w:rPr>
      <w:b/>
      <w:kern w:val="0"/>
      <w:sz w:val="24"/>
      <w:szCs w:val="20"/>
    </w:rPr>
  </w:style>
  <w:style w:type="paragraph" w:styleId="63">
    <w:name w:val="annotation subject"/>
    <w:basedOn w:val="20"/>
    <w:next w:val="20"/>
    <w:link w:val="632"/>
    <w:qFormat/>
    <w:uiPriority w:val="0"/>
    <w:rPr>
      <w:b/>
      <w:bCs/>
    </w:rPr>
  </w:style>
  <w:style w:type="paragraph" w:styleId="64">
    <w:name w:val="Body Text First Indent"/>
    <w:basedOn w:val="2"/>
    <w:next w:val="1"/>
    <w:link w:val="834"/>
    <w:qFormat/>
    <w:uiPriority w:val="0"/>
    <w:pPr>
      <w:ind w:firstLine="420"/>
    </w:pPr>
    <w:rPr>
      <w:rFonts w:hAnsi="Calibri" w:cs="Times New Roman"/>
      <w:szCs w:val="20"/>
    </w:rPr>
  </w:style>
  <w:style w:type="paragraph" w:styleId="65">
    <w:name w:val="Body Text First Indent 2"/>
    <w:basedOn w:val="24"/>
    <w:next w:val="1"/>
    <w:link w:val="655"/>
    <w:qFormat/>
    <w:uiPriority w:val="0"/>
    <w:pPr>
      <w:adjustRightInd/>
      <w:spacing w:after="120" w:line="240" w:lineRule="auto"/>
      <w:ind w:left="420" w:leftChars="200" w:firstLine="210"/>
    </w:pPr>
    <w:rPr>
      <w:sz w:val="21"/>
    </w:rPr>
  </w:style>
  <w:style w:type="table" w:styleId="67">
    <w:name w:val="Table Grid"/>
    <w:basedOn w:val="6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8">
    <w:name w:val="Table Theme"/>
    <w:basedOn w:val="6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Table Elegant"/>
    <w:basedOn w:val="66"/>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qFormat/>
    <w:uiPriority w:val="22"/>
    <w:rPr>
      <w:b/>
      <w:bCs/>
    </w:rPr>
  </w:style>
  <w:style w:type="character" w:styleId="75">
    <w:name w:val="endnote reference"/>
    <w:qFormat/>
    <w:uiPriority w:val="0"/>
    <w:rPr>
      <w:vertAlign w:val="superscript"/>
    </w:rPr>
  </w:style>
  <w:style w:type="character" w:styleId="76">
    <w:name w:val="page number"/>
    <w:basedOn w:val="73"/>
    <w:qFormat/>
    <w:uiPriority w:val="0"/>
    <w:rPr>
      <w:rFonts w:ascii="Arial" w:hAnsi="Arial" w:eastAsia="黑体" w:cs="Arial"/>
      <w:snapToGrid w:val="0"/>
      <w:kern w:val="0"/>
      <w:szCs w:val="21"/>
    </w:rPr>
  </w:style>
  <w:style w:type="character" w:styleId="77">
    <w:name w:val="FollowedHyperlink"/>
    <w:qFormat/>
    <w:uiPriority w:val="99"/>
    <w:rPr>
      <w:rFonts w:ascii="Arial" w:hAnsi="Arial" w:eastAsia="黑体" w:cs="Arial"/>
      <w:snapToGrid w:val="0"/>
      <w:color w:val="000000"/>
      <w:kern w:val="0"/>
      <w:sz w:val="18"/>
      <w:szCs w:val="18"/>
      <w:u w:val="none"/>
    </w:rPr>
  </w:style>
  <w:style w:type="character" w:styleId="78">
    <w:name w:val="Emphasis"/>
    <w:qFormat/>
    <w:uiPriority w:val="20"/>
    <w:rPr>
      <w:color w:val="CC0033"/>
    </w:rPr>
  </w:style>
  <w:style w:type="character" w:styleId="79">
    <w:name w:val="line number"/>
    <w:basedOn w:val="73"/>
    <w:qFormat/>
    <w:uiPriority w:val="0"/>
    <w:rPr>
      <w:rFonts w:ascii="Arial" w:hAnsi="Arial" w:eastAsia="黑体" w:cs="Arial"/>
      <w:snapToGrid w:val="0"/>
      <w:kern w:val="0"/>
      <w:szCs w:val="21"/>
    </w:rPr>
  </w:style>
  <w:style w:type="character" w:styleId="80">
    <w:name w:val="Hyperlink"/>
    <w:basedOn w:val="73"/>
    <w:qFormat/>
    <w:uiPriority w:val="99"/>
    <w:rPr>
      <w:rFonts w:ascii="Arial" w:hAnsi="Arial" w:eastAsia="黑体" w:cs="Arial"/>
      <w:snapToGrid w:val="0"/>
      <w:color w:val="000000"/>
      <w:kern w:val="0"/>
      <w:sz w:val="18"/>
      <w:szCs w:val="18"/>
      <w:u w:val="none"/>
    </w:rPr>
  </w:style>
  <w:style w:type="character" w:styleId="81">
    <w:name w:val="HTML Code"/>
    <w:qFormat/>
    <w:uiPriority w:val="0"/>
    <w:rPr>
      <w:rFonts w:ascii="黑体" w:hAnsi="Courier New" w:eastAsia="黑体" w:cs="楷体_GB2312"/>
      <w:sz w:val="20"/>
      <w:szCs w:val="20"/>
    </w:rPr>
  </w:style>
  <w:style w:type="character" w:styleId="82">
    <w:name w:val="annotation reference"/>
    <w:qFormat/>
    <w:uiPriority w:val="99"/>
    <w:rPr>
      <w:sz w:val="21"/>
      <w:szCs w:val="21"/>
    </w:rPr>
  </w:style>
  <w:style w:type="paragraph" w:customStyle="1" w:styleId="83">
    <w:name w:val="Char Char Char Char Char Char Char Char Char Char Char Char Char"/>
    <w:basedOn w:val="1"/>
    <w:qFormat/>
    <w:uiPriority w:val="0"/>
    <w:rPr>
      <w:rFonts w:ascii="仿宋_GB2312" w:eastAsia="仿宋_GB2312"/>
      <w:b/>
      <w:sz w:val="32"/>
      <w:szCs w:val="32"/>
    </w:rPr>
  </w:style>
  <w:style w:type="paragraph" w:customStyle="1" w:styleId="84">
    <w:name w:val="表格非标题文字"/>
    <w:link w:val="621"/>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5">
    <w:name w:val="*正文"/>
    <w:basedOn w:val="1"/>
    <w:link w:val="622"/>
    <w:qFormat/>
    <w:uiPriority w:val="0"/>
    <w:pPr>
      <w:snapToGrid w:val="0"/>
      <w:spacing w:line="360" w:lineRule="auto"/>
      <w:ind w:firstLine="482"/>
      <w:jc w:val="left"/>
    </w:pPr>
    <w:rPr>
      <w:rFonts w:ascii="宋体" w:hAnsi="宋体"/>
      <w:kern w:val="0"/>
      <w:sz w:val="24"/>
      <w:szCs w:val="20"/>
    </w:rPr>
  </w:style>
  <w:style w:type="paragraph" w:customStyle="1" w:styleId="86">
    <w:name w:val="U_正文"/>
    <w:basedOn w:val="1"/>
    <w:link w:val="630"/>
    <w:qFormat/>
    <w:uiPriority w:val="0"/>
    <w:pPr>
      <w:adjustRightInd/>
      <w:spacing w:beforeLines="20" w:afterLines="20" w:line="300" w:lineRule="auto"/>
      <w:ind w:firstLine="200" w:firstLineChars="200"/>
    </w:pPr>
    <w:rPr>
      <w:kern w:val="0"/>
      <w:sz w:val="24"/>
    </w:rPr>
  </w:style>
  <w:style w:type="paragraph" w:customStyle="1" w:styleId="87">
    <w:name w:val="哈哈正文"/>
    <w:basedOn w:val="1"/>
    <w:link w:val="637"/>
    <w:qFormat/>
    <w:uiPriority w:val="0"/>
    <w:pPr>
      <w:adjustRightInd/>
      <w:spacing w:line="360" w:lineRule="auto"/>
      <w:ind w:firstLine="200" w:firstLineChars="200"/>
    </w:pPr>
    <w:rPr>
      <w:rFonts w:ascii="宋体" w:hAnsi="宋体"/>
      <w:sz w:val="24"/>
      <w:szCs w:val="20"/>
    </w:rPr>
  </w:style>
  <w:style w:type="paragraph" w:customStyle="1" w:styleId="88">
    <w:name w:val="5正文"/>
    <w:basedOn w:val="1"/>
    <w:link w:val="650"/>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9">
    <w:name w:val="正文2"/>
    <w:basedOn w:val="1"/>
    <w:link w:val="664"/>
    <w:qFormat/>
    <w:uiPriority w:val="0"/>
    <w:pPr>
      <w:spacing w:before="156" w:line="360" w:lineRule="auto"/>
      <w:ind w:firstLine="510" w:firstLineChars="200"/>
    </w:pPr>
    <w:rPr>
      <w:sz w:val="24"/>
      <w:szCs w:val="20"/>
    </w:rPr>
  </w:style>
  <w:style w:type="paragraph" w:customStyle="1" w:styleId="90">
    <w:name w:val="无间隔1"/>
    <w:link w:val="672"/>
    <w:qFormat/>
    <w:uiPriority w:val="1"/>
    <w:rPr>
      <w:rFonts w:ascii="Times New Roman" w:hAnsi="Times New Roman" w:eastAsia="宋体" w:cs="Times New Roman"/>
      <w:sz w:val="22"/>
      <w:szCs w:val="22"/>
      <w:lang w:val="en-US" w:eastAsia="zh-CN" w:bidi="ar-SA"/>
    </w:rPr>
  </w:style>
  <w:style w:type="paragraph" w:customStyle="1" w:styleId="91">
    <w:name w:val="纯文本_0_0"/>
    <w:basedOn w:val="92"/>
    <w:link w:val="680"/>
    <w:qFormat/>
    <w:uiPriority w:val="0"/>
    <w:rPr>
      <w:rFonts w:ascii="宋体" w:hAnsi="Courier New"/>
      <w:szCs w:val="21"/>
    </w:rPr>
  </w:style>
  <w:style w:type="paragraph" w:customStyle="1" w:styleId="9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正文（绿盟科技）"/>
    <w:link w:val="690"/>
    <w:qFormat/>
    <w:uiPriority w:val="0"/>
    <w:pPr>
      <w:spacing w:line="300" w:lineRule="auto"/>
    </w:pPr>
    <w:rPr>
      <w:rFonts w:ascii="Arial" w:hAnsi="Arial" w:eastAsia="宋体" w:cs="Times New Roman"/>
      <w:sz w:val="21"/>
      <w:szCs w:val="21"/>
      <w:lang w:val="en-US" w:eastAsia="zh-CN" w:bidi="ar-SA"/>
    </w:rPr>
  </w:style>
  <w:style w:type="paragraph" w:customStyle="1" w:styleId="94">
    <w:name w:val="表格名称"/>
    <w:basedOn w:val="4"/>
    <w:link w:val="699"/>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5">
    <w:name w:val="my正文"/>
    <w:basedOn w:val="1"/>
    <w:link w:val="719"/>
    <w:qFormat/>
    <w:uiPriority w:val="0"/>
    <w:pPr>
      <w:adjustRightInd/>
      <w:spacing w:line="360" w:lineRule="auto"/>
      <w:ind w:firstLine="480" w:firstLineChars="200"/>
    </w:pPr>
    <w:rPr>
      <w:rFonts w:ascii="Tahoma" w:hAnsi="Tahoma"/>
      <w:kern w:val="0"/>
      <w:sz w:val="24"/>
    </w:rPr>
  </w:style>
  <w:style w:type="paragraph" w:customStyle="1" w:styleId="96">
    <w:name w:val="3级"/>
    <w:basedOn w:val="97"/>
    <w:link w:val="725"/>
    <w:qFormat/>
    <w:uiPriority w:val="0"/>
    <w:pPr>
      <w:ind w:left="0" w:right="466" w:firstLine="288"/>
    </w:pPr>
    <w:rPr>
      <w:rFonts w:hAnsi="宋体"/>
    </w:rPr>
  </w:style>
  <w:style w:type="paragraph" w:customStyle="1" w:styleId="97">
    <w:name w:val="样式 标题 3h33rd level3BOD 0H3l3CTHeading 3 - oldLevel 3 He..."/>
    <w:basedOn w:val="5"/>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8">
    <w:name w:val="标题4-dyf"/>
    <w:basedOn w:val="6"/>
    <w:link w:val="747"/>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9">
    <w:name w:val="冯"/>
    <w:basedOn w:val="1"/>
    <w:link w:val="749"/>
    <w:qFormat/>
    <w:uiPriority w:val="0"/>
    <w:pPr>
      <w:widowControl/>
      <w:adjustRightInd/>
      <w:spacing w:line="360" w:lineRule="auto"/>
      <w:ind w:firstLine="480" w:firstLineChars="200"/>
    </w:pPr>
    <w:rPr>
      <w:rFonts w:ascii="宋体" w:hAnsi="宋体"/>
      <w:color w:val="000000"/>
      <w:kern w:val="0"/>
      <w:sz w:val="24"/>
    </w:rPr>
  </w:style>
  <w:style w:type="paragraph" w:customStyle="1" w:styleId="100">
    <w:name w:val="Default"/>
    <w:link w:val="75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01">
    <w:name w:val="正文样式"/>
    <w:basedOn w:val="1"/>
    <w:link w:val="767"/>
    <w:qFormat/>
    <w:uiPriority w:val="0"/>
    <w:pPr>
      <w:adjustRightInd/>
      <w:spacing w:line="360" w:lineRule="auto"/>
      <w:ind w:firstLine="480" w:firstLineChars="200"/>
    </w:pPr>
    <w:rPr>
      <w:kern w:val="0"/>
      <w:sz w:val="24"/>
    </w:rPr>
  </w:style>
  <w:style w:type="paragraph" w:customStyle="1" w:styleId="102">
    <w:name w:val="gf正文1"/>
    <w:basedOn w:val="1"/>
    <w:link w:val="773"/>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3">
    <w:name w:val="列表1"/>
    <w:basedOn w:val="1"/>
    <w:next w:val="104"/>
    <w:link w:val="776"/>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4">
    <w:name w:val="列表段落1"/>
    <w:basedOn w:val="1"/>
    <w:qFormat/>
    <w:uiPriority w:val="34"/>
    <w:pPr>
      <w:spacing w:line="360" w:lineRule="auto"/>
      <w:ind w:firstLine="200" w:firstLineChars="200"/>
    </w:pPr>
    <w:rPr>
      <w:rFonts w:eastAsia="楷体_GB2312" w:cs="Lucida Sans"/>
      <w:sz w:val="24"/>
    </w:rPr>
  </w:style>
  <w:style w:type="paragraph" w:customStyle="1" w:styleId="105">
    <w:name w:val="此正文"/>
    <w:basedOn w:val="1"/>
    <w:link w:val="798"/>
    <w:qFormat/>
    <w:uiPriority w:val="0"/>
    <w:pPr>
      <w:adjustRightInd/>
      <w:spacing w:line="360" w:lineRule="auto"/>
      <w:ind w:firstLine="200" w:firstLineChars="200"/>
    </w:pPr>
    <w:rPr>
      <w:sz w:val="24"/>
    </w:rPr>
  </w:style>
  <w:style w:type="paragraph" w:customStyle="1" w:styleId="106">
    <w:name w:val="样式 样式 标题 4h4H4Fab-4T5Ref Heading 1rh1Heading sqlsect 1.2.3.... +..."/>
    <w:basedOn w:val="107"/>
    <w:link w:val="820"/>
    <w:qFormat/>
    <w:uiPriority w:val="0"/>
    <w:pPr>
      <w:tabs>
        <w:tab w:val="left" w:pos="2356"/>
      </w:tabs>
    </w:pPr>
  </w:style>
  <w:style w:type="paragraph" w:customStyle="1" w:styleId="107">
    <w:name w:val="样式 标题 4h4H4Fab-4T5Ref Heading 1rh1Heading sqlsect 1.2.3...."/>
    <w:basedOn w:val="6"/>
    <w:link w:val="917"/>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8">
    <w:name w:val="Item List"/>
    <w:link w:val="831"/>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9">
    <w:name w:val="纯文本1"/>
    <w:basedOn w:val="1"/>
    <w:link w:val="833"/>
    <w:qFormat/>
    <w:uiPriority w:val="0"/>
    <w:pPr>
      <w:adjustRightInd/>
    </w:pPr>
    <w:rPr>
      <w:rFonts w:ascii="宋体" w:hAnsi="Courier New"/>
      <w:kern w:val="0"/>
      <w:sz w:val="20"/>
      <w:szCs w:val="20"/>
    </w:rPr>
  </w:style>
  <w:style w:type="paragraph" w:customStyle="1" w:styleId="110">
    <w:name w:val="正文说明"/>
    <w:basedOn w:val="1"/>
    <w:link w:val="845"/>
    <w:qFormat/>
    <w:uiPriority w:val="0"/>
    <w:pPr>
      <w:adjustRightInd/>
      <w:spacing w:line="360" w:lineRule="auto"/>
    </w:pPr>
    <w:rPr>
      <w:kern w:val="0"/>
      <w:sz w:val="24"/>
    </w:rPr>
  </w:style>
  <w:style w:type="paragraph" w:customStyle="1" w:styleId="111">
    <w:name w:val="Table Text"/>
    <w:basedOn w:val="1"/>
    <w:link w:val="851"/>
    <w:qFormat/>
    <w:uiPriority w:val="0"/>
    <w:pPr>
      <w:widowControl/>
      <w:spacing w:before="60" w:after="60"/>
      <w:jc w:val="left"/>
    </w:pPr>
    <w:rPr>
      <w:kern w:val="0"/>
      <w:sz w:val="24"/>
    </w:rPr>
  </w:style>
  <w:style w:type="paragraph" w:customStyle="1" w:styleId="112">
    <w:name w:val="公文正文"/>
    <w:basedOn w:val="1"/>
    <w:link w:val="863"/>
    <w:qFormat/>
    <w:uiPriority w:val="0"/>
    <w:pPr>
      <w:adjustRightInd/>
      <w:spacing w:before="156" w:line="360" w:lineRule="auto"/>
      <w:ind w:firstLine="360" w:firstLineChars="200"/>
    </w:pPr>
    <w:rPr>
      <w:rFonts w:ascii="仿宋_GB2312" w:eastAsia="仿宋_GB2312"/>
      <w:sz w:val="24"/>
    </w:rPr>
  </w:style>
  <w:style w:type="paragraph" w:customStyle="1" w:styleId="113">
    <w:name w:val="正文（缩进2汉字）"/>
    <w:basedOn w:val="1"/>
    <w:link w:val="866"/>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4">
    <w:name w:val="b11_01b"/>
    <w:basedOn w:val="1"/>
    <w:next w:val="1"/>
    <w:link w:val="88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5">
    <w:name w:val="段落"/>
    <w:basedOn w:val="1"/>
    <w:link w:val="896"/>
    <w:qFormat/>
    <w:uiPriority w:val="0"/>
    <w:pPr>
      <w:adjustRightInd/>
      <w:spacing w:line="360" w:lineRule="auto"/>
      <w:ind w:firstLine="480" w:firstLineChars="200"/>
    </w:pPr>
    <w:rPr>
      <w:rFonts w:ascii="宋体" w:hAnsi="宋体"/>
      <w:kern w:val="0"/>
      <w:sz w:val="24"/>
      <w:szCs w:val="20"/>
    </w:rPr>
  </w:style>
  <w:style w:type="paragraph" w:customStyle="1" w:styleId="116">
    <w:name w:val="正文段"/>
    <w:basedOn w:val="1"/>
    <w:link w:val="903"/>
    <w:qFormat/>
    <w:uiPriority w:val="0"/>
    <w:pPr>
      <w:widowControl/>
      <w:snapToGrid w:val="0"/>
      <w:spacing w:after="156" w:afterLines="50"/>
      <w:ind w:firstLine="200" w:firstLineChars="200"/>
    </w:pPr>
    <w:rPr>
      <w:kern w:val="0"/>
      <w:sz w:val="24"/>
      <w:szCs w:val="20"/>
    </w:rPr>
  </w:style>
  <w:style w:type="paragraph" w:customStyle="1" w:styleId="117">
    <w:name w:val="冯广丽"/>
    <w:basedOn w:val="1"/>
    <w:link w:val="906"/>
    <w:qFormat/>
    <w:uiPriority w:val="0"/>
    <w:pPr>
      <w:adjustRightInd/>
      <w:spacing w:line="360" w:lineRule="auto"/>
      <w:ind w:firstLine="480" w:firstLineChars="200"/>
    </w:pPr>
    <w:rPr>
      <w:rFonts w:ascii="宋体" w:hAnsi="宋体"/>
      <w:sz w:val="24"/>
      <w:szCs w:val="22"/>
    </w:rPr>
  </w:style>
  <w:style w:type="paragraph" w:customStyle="1" w:styleId="118">
    <w:name w:val="编号，小四"/>
    <w:basedOn w:val="1"/>
    <w:link w:val="912"/>
    <w:qFormat/>
    <w:uiPriority w:val="0"/>
    <w:pPr>
      <w:tabs>
        <w:tab w:val="left" w:pos="432"/>
      </w:tabs>
      <w:adjustRightInd/>
      <w:spacing w:line="360" w:lineRule="auto"/>
      <w:ind w:left="432" w:hanging="432"/>
    </w:pPr>
    <w:rPr>
      <w:rFonts w:ascii="Arial" w:hAnsi="Arial"/>
      <w:kern w:val="0"/>
      <w:sz w:val="24"/>
      <w:szCs w:val="20"/>
    </w:rPr>
  </w:style>
  <w:style w:type="paragraph" w:customStyle="1" w:styleId="119">
    <w:name w:val="仿宋正文"/>
    <w:basedOn w:val="1"/>
    <w:link w:val="919"/>
    <w:qFormat/>
    <w:uiPriority w:val="0"/>
    <w:pPr>
      <w:adjustRightInd/>
      <w:spacing w:line="360" w:lineRule="auto"/>
      <w:ind w:firstLine="480" w:firstLineChars="200"/>
    </w:pPr>
    <w:rPr>
      <w:rFonts w:ascii="仿宋_GB2312" w:eastAsia="仿宋_GB2312"/>
      <w:sz w:val="24"/>
      <w:szCs w:val="20"/>
    </w:rPr>
  </w:style>
  <w:style w:type="paragraph" w:customStyle="1" w:styleId="120">
    <w:name w:val="样式 正文缩进 + 首行缩进:  2 字符"/>
    <w:basedOn w:val="16"/>
    <w:link w:val="931"/>
    <w:qFormat/>
    <w:uiPriority w:val="0"/>
    <w:pPr>
      <w:widowControl w:val="0"/>
      <w:adjustRightInd/>
      <w:snapToGrid/>
      <w:spacing w:line="360" w:lineRule="auto"/>
      <w:ind w:firstLine="200" w:firstLineChars="200"/>
    </w:pPr>
    <w:rPr>
      <w:rFonts w:ascii="Calibri"/>
      <w:color w:val="auto"/>
      <w:kern w:val="2"/>
      <w:sz w:val="24"/>
    </w:rPr>
  </w:style>
  <w:style w:type="paragraph" w:customStyle="1" w:styleId="12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8">
    <w:name w:val="标题4_自定义"/>
    <w:basedOn w:val="6"/>
    <w:qFormat/>
    <w:uiPriority w:val="0"/>
    <w:pPr>
      <w:adjustRightInd/>
      <w:spacing w:before="0" w:after="0" w:line="360" w:lineRule="auto"/>
    </w:pPr>
    <w:rPr>
      <w:rFonts w:ascii="Verdana" w:eastAsia="Verdana"/>
      <w:sz w:val="21"/>
      <w:lang w:val="en-US"/>
    </w:rPr>
  </w:style>
  <w:style w:type="paragraph" w:customStyle="1" w:styleId="129">
    <w:name w:val="正文 内标 序号标"/>
    <w:basedOn w:val="130"/>
    <w:qFormat/>
    <w:uiPriority w:val="0"/>
    <w:pPr>
      <w:tabs>
        <w:tab w:val="left" w:pos="0"/>
      </w:tabs>
      <w:adjustRightInd/>
      <w:spacing w:before="0"/>
      <w:ind w:firstLine="482"/>
    </w:pPr>
    <w:rPr>
      <w:rFonts w:ascii="微软雅黑" w:hAnsi="微软雅黑"/>
      <w:sz w:val="24"/>
      <w:szCs w:val="24"/>
    </w:rPr>
  </w:style>
  <w:style w:type="paragraph" w:customStyle="1" w:styleId="130">
    <w:name w:val="My正文"/>
    <w:basedOn w:val="1"/>
    <w:qFormat/>
    <w:uiPriority w:val="0"/>
    <w:pPr>
      <w:spacing w:before="120" w:line="360" w:lineRule="auto"/>
      <w:ind w:firstLine="567"/>
    </w:pPr>
    <w:rPr>
      <w:rFonts w:ascii="Arial" w:hAnsi="Arial"/>
      <w:sz w:val="20"/>
      <w:szCs w:val="20"/>
    </w:rPr>
  </w:style>
  <w:style w:type="paragraph" w:customStyle="1" w:styleId="13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3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4">
    <w:name w:val="修订2"/>
    <w:qFormat/>
    <w:uiPriority w:val="0"/>
    <w:rPr>
      <w:rFonts w:ascii="Times New Roman" w:hAnsi="Times New Roman" w:eastAsia="宋体" w:cs="Times New Roman"/>
      <w:kern w:val="2"/>
      <w:sz w:val="21"/>
      <w:lang w:val="en-US" w:eastAsia="zh-CN" w:bidi="ar-SA"/>
    </w:rPr>
  </w:style>
  <w:style w:type="paragraph" w:customStyle="1" w:styleId="13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7">
    <w:name w:val="文章标题"/>
    <w:next w:val="13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8">
    <w:name w:val="封面公司名"/>
    <w:qFormat/>
    <w:uiPriority w:val="0"/>
    <w:pPr>
      <w:jc w:val="center"/>
    </w:pPr>
    <w:rPr>
      <w:rFonts w:ascii="Arial" w:hAnsi="Arial" w:eastAsia="楷体_GB2312" w:cs="宋体"/>
      <w:bCs/>
      <w:kern w:val="2"/>
      <w:sz w:val="28"/>
      <w:lang w:val="en-US" w:eastAsia="zh-CN" w:bidi="ar-SA"/>
    </w:rPr>
  </w:style>
  <w:style w:type="paragraph" w:customStyle="1" w:styleId="139">
    <w:name w:val="Char1 Char Char Char5"/>
    <w:basedOn w:val="1"/>
    <w:qFormat/>
    <w:uiPriority w:val="0"/>
    <w:pPr>
      <w:adjustRightInd/>
      <w:ind w:firstLine="200" w:firstLineChars="200"/>
    </w:pPr>
    <w:rPr>
      <w:rFonts w:ascii="Tahoma" w:hAnsi="Tahoma"/>
      <w:sz w:val="24"/>
      <w:szCs w:val="20"/>
    </w:rPr>
  </w:style>
  <w:style w:type="paragraph" w:customStyle="1" w:styleId="14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4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2">
    <w:name w:val="Char Char Char Char Char Char Char Char"/>
    <w:basedOn w:val="1"/>
    <w:qFormat/>
    <w:uiPriority w:val="0"/>
    <w:pPr>
      <w:tabs>
        <w:tab w:val="left" w:pos="360"/>
      </w:tabs>
    </w:pPr>
    <w:rPr>
      <w:sz w:val="24"/>
      <w:szCs w:val="20"/>
    </w:rPr>
  </w:style>
  <w:style w:type="paragraph" w:customStyle="1" w:styleId="143">
    <w:name w:val="Char Char11 Char Char Char"/>
    <w:basedOn w:val="1"/>
    <w:qFormat/>
    <w:uiPriority w:val="0"/>
    <w:pPr>
      <w:spacing w:line="360" w:lineRule="auto"/>
    </w:pPr>
    <w:rPr>
      <w:szCs w:val="20"/>
    </w:rPr>
  </w:style>
  <w:style w:type="paragraph" w:customStyle="1" w:styleId="14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6">
    <w:name w:val="样式3"/>
    <w:basedOn w:val="147"/>
    <w:qFormat/>
    <w:uiPriority w:val="0"/>
    <w:pPr>
      <w:tabs>
        <w:tab w:val="left" w:pos="2790"/>
        <w:tab w:val="left" w:pos="4230"/>
      </w:tabs>
      <w:spacing w:before="312" w:beforeLines="100"/>
      <w:jc w:val="left"/>
    </w:pPr>
  </w:style>
  <w:style w:type="paragraph" w:customStyle="1" w:styleId="14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8">
    <w:name w:val="Char Char1 Char Char1 Char Char1"/>
    <w:basedOn w:val="1"/>
    <w:qFormat/>
    <w:uiPriority w:val="0"/>
    <w:pPr>
      <w:tabs>
        <w:tab w:val="left" w:pos="840"/>
      </w:tabs>
      <w:ind w:left="840" w:hanging="420"/>
    </w:pPr>
    <w:rPr>
      <w:rFonts w:ascii="Tahoma" w:hAnsi="Tahoma"/>
      <w:sz w:val="24"/>
    </w:rPr>
  </w:style>
  <w:style w:type="paragraph" w:customStyle="1" w:styleId="14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50">
    <w:name w:val="标书标题2"/>
    <w:basedOn w:val="4"/>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5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52">
    <w:name w:val="正文21"/>
    <w:basedOn w:val="1"/>
    <w:qFormat/>
    <w:uiPriority w:val="0"/>
    <w:pPr>
      <w:adjustRightInd/>
      <w:spacing w:before="156" w:line="360" w:lineRule="auto"/>
      <w:ind w:firstLine="510" w:firstLineChars="200"/>
    </w:pPr>
    <w:rPr>
      <w:sz w:val="24"/>
      <w:szCs w:val="20"/>
    </w:rPr>
  </w:style>
  <w:style w:type="paragraph" w:customStyle="1" w:styleId="15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5">
    <w:name w:val="Char1"/>
    <w:basedOn w:val="1"/>
    <w:qFormat/>
    <w:uiPriority w:val="0"/>
    <w:rPr>
      <w:rFonts w:ascii="仿宋_GB2312" w:eastAsia="仿宋_GB2312"/>
      <w:b/>
      <w:sz w:val="32"/>
      <w:szCs w:val="32"/>
    </w:rPr>
  </w:style>
  <w:style w:type="paragraph" w:customStyle="1" w:styleId="15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60">
    <w:name w:val="6级标题"/>
    <w:basedOn w:val="161"/>
    <w:qFormat/>
    <w:uiPriority w:val="0"/>
    <w:pPr>
      <w:keepNext/>
      <w:tabs>
        <w:tab w:val="left" w:pos="360"/>
      </w:tabs>
      <w:spacing w:before="0" w:after="0"/>
      <w:outlineLvl w:val="5"/>
    </w:pPr>
  </w:style>
  <w:style w:type="paragraph" w:customStyle="1" w:styleId="161">
    <w:name w:val="5级标题"/>
    <w:basedOn w:val="16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62">
    <w:name w:val="4级标题"/>
    <w:basedOn w:val="104"/>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3">
    <w:name w:val="样式 正文文本缩进 + 段前: 2 字符"/>
    <w:basedOn w:val="1"/>
    <w:qFormat/>
    <w:uiPriority w:val="0"/>
    <w:pPr>
      <w:adjustRightInd/>
      <w:ind w:left="420" w:leftChars="200"/>
      <w:jc w:val="left"/>
    </w:pPr>
    <w:rPr>
      <w:sz w:val="28"/>
      <w:szCs w:val="20"/>
      <w:lang w:eastAsia="zh-TW"/>
    </w:rPr>
  </w:style>
  <w:style w:type="paragraph" w:customStyle="1" w:styleId="164">
    <w:name w:val="Char2 Char Char"/>
    <w:basedOn w:val="1"/>
    <w:qFormat/>
    <w:uiPriority w:val="0"/>
    <w:pPr>
      <w:adjustRightInd/>
    </w:pPr>
    <w:rPr>
      <w:rFonts w:ascii="Tahoma" w:hAnsi="Tahoma"/>
      <w:sz w:val="24"/>
      <w:szCs w:val="20"/>
    </w:rPr>
  </w:style>
  <w:style w:type="paragraph" w:customStyle="1" w:styleId="165">
    <w:name w:val="_Style 11"/>
    <w:basedOn w:val="1"/>
    <w:qFormat/>
    <w:uiPriority w:val="34"/>
    <w:pPr>
      <w:adjustRightInd/>
      <w:ind w:firstLine="420" w:firstLineChars="200"/>
    </w:pPr>
    <w:rPr>
      <w:rFonts w:eastAsia="仿宋_GB2312"/>
      <w:sz w:val="28"/>
    </w:rPr>
  </w:style>
  <w:style w:type="paragraph" w:customStyle="1" w:styleId="16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7">
    <w:name w:val="Char Char Char"/>
    <w:basedOn w:val="1"/>
    <w:qFormat/>
    <w:uiPriority w:val="0"/>
    <w:rPr>
      <w:rFonts w:ascii="Tahoma" w:hAnsi="Tahoma"/>
      <w:sz w:val="24"/>
      <w:szCs w:val="20"/>
    </w:rPr>
  </w:style>
  <w:style w:type="paragraph" w:customStyle="1" w:styleId="168">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70">
    <w:name w:val="无间隔2"/>
    <w:basedOn w:val="1"/>
    <w:link w:val="941"/>
    <w:qFormat/>
    <w:uiPriority w:val="99"/>
    <w:rPr>
      <w:szCs w:val="22"/>
    </w:rPr>
  </w:style>
  <w:style w:type="paragraph" w:customStyle="1" w:styleId="17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2">
    <w:name w:val="Char Char Char Char Char Char Char Char Char Char Char Char1 Char1"/>
    <w:basedOn w:val="1"/>
    <w:qFormat/>
    <w:uiPriority w:val="6"/>
    <w:rPr>
      <w:rFonts w:ascii="Tahoma" w:hAnsi="Tahoma" w:cs="仿宋_GB2312"/>
      <w:sz w:val="24"/>
      <w:szCs w:val="20"/>
    </w:rPr>
  </w:style>
  <w:style w:type="paragraph" w:customStyle="1" w:styleId="17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6">
    <w:name w:val="MM Topic 2"/>
    <w:basedOn w:val="4"/>
    <w:qFormat/>
    <w:uiPriority w:val="0"/>
    <w:pPr>
      <w:tabs>
        <w:tab w:val="left" w:pos="1260"/>
        <w:tab w:val="clear" w:pos="432"/>
      </w:tabs>
      <w:ind w:left="1260" w:hanging="420"/>
    </w:pPr>
    <w:rPr>
      <w:rFonts w:ascii="Arial" w:hAnsi="Arial" w:eastAsia="黑体"/>
      <w:lang w:val="en-US"/>
    </w:rPr>
  </w:style>
  <w:style w:type="paragraph" w:customStyle="1" w:styleId="177">
    <w:name w:val="五级无标题条"/>
    <w:basedOn w:val="1"/>
    <w:qFormat/>
    <w:uiPriority w:val="0"/>
    <w:pPr>
      <w:adjustRightInd/>
    </w:pPr>
  </w:style>
  <w:style w:type="paragraph" w:customStyle="1" w:styleId="178">
    <w:name w:val="Char5"/>
    <w:basedOn w:val="1"/>
    <w:qFormat/>
    <w:uiPriority w:val="0"/>
    <w:rPr>
      <w:rFonts w:ascii="仿宋_GB2312" w:eastAsia="仿宋_GB2312"/>
      <w:b/>
      <w:sz w:val="32"/>
      <w:szCs w:val="32"/>
    </w:rPr>
  </w:style>
  <w:style w:type="paragraph" w:customStyle="1" w:styleId="17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80">
    <w:name w:val="彩色列表 - 强调文字颜色 12"/>
    <w:basedOn w:val="1"/>
    <w:qFormat/>
    <w:uiPriority w:val="0"/>
    <w:pPr>
      <w:adjustRightInd/>
      <w:ind w:firstLine="420" w:firstLineChars="200"/>
    </w:pPr>
    <w:rPr>
      <w:rFonts w:ascii="Calibri" w:hAnsi="Calibri"/>
      <w:szCs w:val="22"/>
    </w:rPr>
  </w:style>
  <w:style w:type="paragraph" w:customStyle="1" w:styleId="18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82">
    <w:name w:val="Char2"/>
    <w:basedOn w:val="1"/>
    <w:qFormat/>
    <w:uiPriority w:val="0"/>
    <w:rPr>
      <w:rFonts w:ascii="仿宋_GB2312" w:eastAsia="仿宋_GB2312"/>
      <w:b/>
      <w:sz w:val="32"/>
      <w:szCs w:val="32"/>
    </w:rPr>
  </w:style>
  <w:style w:type="paragraph" w:customStyle="1" w:styleId="183">
    <w:name w:val="数字标题3"/>
    <w:basedOn w:val="5"/>
    <w:next w:val="1"/>
    <w:qFormat/>
    <w:uiPriority w:val="0"/>
    <w:pPr>
      <w:spacing w:line="240" w:lineRule="auto"/>
    </w:pPr>
    <w:rPr>
      <w:sz w:val="28"/>
      <w:szCs w:val="28"/>
    </w:rPr>
  </w:style>
  <w:style w:type="paragraph" w:customStyle="1" w:styleId="184">
    <w:name w:val="FA正文"/>
    <w:basedOn w:val="1"/>
    <w:qFormat/>
    <w:uiPriority w:val="0"/>
    <w:pPr>
      <w:spacing w:line="360" w:lineRule="auto"/>
      <w:ind w:firstLine="480" w:firstLineChars="200"/>
    </w:pPr>
    <w:rPr>
      <w:rFonts w:hAnsi="宋体"/>
      <w:sz w:val="24"/>
      <w:szCs w:val="20"/>
    </w:rPr>
  </w:style>
  <w:style w:type="paragraph" w:customStyle="1" w:styleId="185">
    <w:name w:val="MM Topic 5"/>
    <w:basedOn w:val="7"/>
    <w:qFormat/>
    <w:uiPriority w:val="0"/>
    <w:pPr>
      <w:tabs>
        <w:tab w:val="left" w:pos="2520"/>
        <w:tab w:val="clear" w:pos="1008"/>
      </w:tabs>
      <w:adjustRightInd/>
      <w:ind w:left="2520" w:hanging="420"/>
    </w:pPr>
  </w:style>
  <w:style w:type="paragraph" w:customStyle="1" w:styleId="186">
    <w:name w:val="Char Char Char Char Char Char Char Char Char Char1"/>
    <w:basedOn w:val="1"/>
    <w:qFormat/>
    <w:uiPriority w:val="0"/>
    <w:rPr>
      <w:rFonts w:ascii="仿宋_GB2312" w:eastAsia="仿宋_GB2312"/>
      <w:b/>
      <w:sz w:val="32"/>
      <w:szCs w:val="32"/>
    </w:rPr>
  </w:style>
  <w:style w:type="paragraph" w:customStyle="1" w:styleId="18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8">
    <w:name w:val="修订1"/>
    <w:qFormat/>
    <w:uiPriority w:val="3"/>
    <w:rPr>
      <w:rFonts w:ascii="Times New Roman" w:hAnsi="Times New Roman" w:eastAsia="宋体" w:cs="Times New Roman"/>
      <w:color w:val="000000"/>
      <w:kern w:val="1"/>
      <w:sz w:val="21"/>
      <w:lang w:val="en-US" w:eastAsia="zh-CN" w:bidi="ar-SA"/>
    </w:rPr>
  </w:style>
  <w:style w:type="paragraph" w:customStyle="1" w:styleId="189">
    <w:name w:val="Char2 Char Char Char"/>
    <w:basedOn w:val="1"/>
    <w:qFormat/>
    <w:uiPriority w:val="0"/>
    <w:rPr>
      <w:rFonts w:ascii="仿宋_GB2312" w:eastAsia="仿宋_GB2312"/>
      <w:b/>
      <w:sz w:val="32"/>
      <w:szCs w:val="32"/>
    </w:rPr>
  </w:style>
  <w:style w:type="paragraph" w:customStyle="1" w:styleId="190">
    <w:name w:val="Char2 Char Char Char1"/>
    <w:basedOn w:val="1"/>
    <w:qFormat/>
    <w:uiPriority w:val="6"/>
    <w:rPr>
      <w:rFonts w:ascii="仿宋_GB2312" w:eastAsia="仿宋_GB2312"/>
      <w:b/>
      <w:sz w:val="32"/>
      <w:szCs w:val="32"/>
    </w:rPr>
  </w:style>
  <w:style w:type="paragraph" w:customStyle="1" w:styleId="191">
    <w:name w:val="默认段落样式"/>
    <w:basedOn w:val="89"/>
    <w:qFormat/>
    <w:uiPriority w:val="0"/>
    <w:pPr>
      <w:spacing w:before="0"/>
      <w:ind w:firstLine="480"/>
      <w:outlineLvl w:val="2"/>
    </w:pPr>
    <w:rPr>
      <w:rFonts w:ascii="仿宋_GB2312" w:hAnsi="宋体" w:eastAsia="仿宋_GB2312"/>
      <w:color w:val="000000"/>
      <w:szCs w:val="24"/>
    </w:rPr>
  </w:style>
  <w:style w:type="paragraph" w:customStyle="1" w:styleId="192">
    <w:name w:val="图中文字"/>
    <w:basedOn w:val="1"/>
    <w:qFormat/>
    <w:uiPriority w:val="0"/>
    <w:pPr>
      <w:snapToGrid w:val="0"/>
      <w:spacing w:line="0" w:lineRule="atLeast"/>
      <w:ind w:firstLine="200" w:firstLineChars="200"/>
      <w:jc w:val="center"/>
    </w:pPr>
    <w:rPr>
      <w:sz w:val="24"/>
      <w:szCs w:val="20"/>
    </w:rPr>
  </w:style>
  <w:style w:type="paragraph" w:customStyle="1" w:styleId="19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4">
    <w:name w:val="MM Topic 3"/>
    <w:basedOn w:val="5"/>
    <w:qFormat/>
    <w:uiPriority w:val="0"/>
    <w:pPr>
      <w:tabs>
        <w:tab w:val="left" w:pos="1680"/>
        <w:tab w:val="clear" w:pos="900"/>
      </w:tabs>
      <w:adjustRightInd/>
      <w:ind w:left="1680" w:hanging="420"/>
    </w:pPr>
  </w:style>
  <w:style w:type="paragraph" w:customStyle="1" w:styleId="195">
    <w:name w:val="标准小四"/>
    <w:basedOn w:val="1"/>
    <w:qFormat/>
    <w:uiPriority w:val="0"/>
    <w:pPr>
      <w:spacing w:line="360" w:lineRule="auto"/>
      <w:ind w:firstLine="480" w:firstLineChars="200"/>
    </w:pPr>
    <w:rPr>
      <w:rFonts w:ascii="Arial" w:hAnsi="Arial"/>
      <w:sz w:val="24"/>
      <w:szCs w:val="21"/>
    </w:rPr>
  </w:style>
  <w:style w:type="paragraph" w:customStyle="1" w:styleId="19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197">
    <w:name w:val="表格（小）"/>
    <w:basedOn w:val="1"/>
    <w:qFormat/>
    <w:uiPriority w:val="0"/>
    <w:pPr>
      <w:adjustRightInd/>
      <w:snapToGrid w:val="0"/>
      <w:spacing w:line="300" w:lineRule="auto"/>
    </w:pPr>
    <w:rPr>
      <w:rFonts w:eastAsia="仿宋"/>
      <w:szCs w:val="21"/>
    </w:rPr>
  </w:style>
  <w:style w:type="paragraph" w:customStyle="1" w:styleId="19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9">
    <w:name w:val="Char2 Char Char1"/>
    <w:basedOn w:val="1"/>
    <w:qFormat/>
    <w:uiPriority w:val="6"/>
    <w:pPr>
      <w:adjustRightInd/>
    </w:pPr>
    <w:rPr>
      <w:rFonts w:ascii="Tahoma" w:hAnsi="Tahoma"/>
      <w:sz w:val="24"/>
      <w:szCs w:val="20"/>
    </w:rPr>
  </w:style>
  <w:style w:type="paragraph" w:customStyle="1" w:styleId="200">
    <w:name w:val="列出段落5"/>
    <w:basedOn w:val="1"/>
    <w:qFormat/>
    <w:uiPriority w:val="0"/>
    <w:pPr>
      <w:spacing w:line="360" w:lineRule="auto"/>
      <w:ind w:firstLine="200" w:firstLineChars="200"/>
    </w:pPr>
    <w:rPr>
      <w:rFonts w:eastAsia="楷体_GB2312" w:cs="Lucida Sans"/>
      <w:sz w:val="24"/>
    </w:rPr>
  </w:style>
  <w:style w:type="paragraph" w:customStyle="1" w:styleId="20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2">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20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8">
    <w:name w:val="_Style 3"/>
    <w:basedOn w:val="1"/>
    <w:qFormat/>
    <w:uiPriority w:val="0"/>
    <w:pPr>
      <w:adjustRightInd/>
      <w:ind w:firstLine="420" w:firstLineChars="200"/>
    </w:pPr>
    <w:rPr>
      <w:rFonts w:eastAsia="仿宋_GB2312"/>
      <w:sz w:val="28"/>
    </w:rPr>
  </w:style>
  <w:style w:type="paragraph" w:customStyle="1" w:styleId="20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10">
    <w:name w:val="Bulleting First Indent 1"/>
    <w:basedOn w:val="64"/>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11">
    <w:name w:val="左对齐表格文字"/>
    <w:basedOn w:val="1"/>
    <w:qFormat/>
    <w:uiPriority w:val="0"/>
    <w:pPr>
      <w:adjustRightInd/>
      <w:ind w:firstLine="200" w:firstLineChars="200"/>
      <w:jc w:val="right"/>
    </w:pPr>
  </w:style>
  <w:style w:type="paragraph" w:customStyle="1" w:styleId="212">
    <w:name w:val="Char Char11 Char Char Char Char Char Char Char Char Char"/>
    <w:basedOn w:val="1"/>
    <w:qFormat/>
    <w:uiPriority w:val="0"/>
    <w:pPr>
      <w:spacing w:line="360" w:lineRule="auto"/>
    </w:pPr>
    <w:rPr>
      <w:szCs w:val="20"/>
    </w:rPr>
  </w:style>
  <w:style w:type="paragraph" w:customStyle="1" w:styleId="213">
    <w:name w:val="正文1.25"/>
    <w:basedOn w:val="1"/>
    <w:qFormat/>
    <w:uiPriority w:val="0"/>
    <w:pPr>
      <w:adjustRightInd/>
      <w:spacing w:line="300" w:lineRule="auto"/>
      <w:ind w:firstLine="480" w:firstLineChars="200"/>
    </w:pPr>
    <w:rPr>
      <w:sz w:val="24"/>
      <w:szCs w:val="20"/>
    </w:rPr>
  </w:style>
  <w:style w:type="paragraph" w:customStyle="1" w:styleId="21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7">
    <w:name w:val="Char Char1 Char Char Char1"/>
    <w:basedOn w:val="1"/>
    <w:qFormat/>
    <w:uiPriority w:val="6"/>
    <w:rPr>
      <w:rFonts w:ascii="仿宋_GB2312" w:eastAsia="仿宋_GB2312"/>
      <w:b/>
      <w:sz w:val="32"/>
      <w:szCs w:val="20"/>
    </w:rPr>
  </w:style>
  <w:style w:type="paragraph" w:customStyle="1" w:styleId="218">
    <w:name w:val="列出段落2"/>
    <w:basedOn w:val="1"/>
    <w:qFormat/>
    <w:uiPriority w:val="0"/>
    <w:pPr>
      <w:adjustRightInd/>
      <w:ind w:firstLine="420" w:firstLineChars="200"/>
    </w:pPr>
    <w:rPr>
      <w:rFonts w:ascii="宋体" w:hAnsi="宋体"/>
      <w:sz w:val="24"/>
    </w:rPr>
  </w:style>
  <w:style w:type="paragraph" w:customStyle="1" w:styleId="219">
    <w:name w:val="默认段落字体 Para Char Char Char Char Char Char Char"/>
    <w:basedOn w:val="1"/>
    <w:qFormat/>
    <w:uiPriority w:val="0"/>
    <w:rPr>
      <w:rFonts w:eastAsia="仿宋_GB2312"/>
      <w:sz w:val="28"/>
      <w:szCs w:val="20"/>
    </w:rPr>
  </w:style>
  <w:style w:type="paragraph" w:customStyle="1" w:styleId="22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21">
    <w:name w:val="样式 标题 4PIM 4H4h4bulletblbbH41H42H43H44H45H46H47H48...1"/>
    <w:basedOn w:val="6"/>
    <w:qFormat/>
    <w:uiPriority w:val="0"/>
    <w:pPr>
      <w:widowControl/>
      <w:jc w:val="left"/>
    </w:pPr>
    <w:rPr>
      <w:rFonts w:cs="宋体"/>
      <w:sz w:val="24"/>
      <w:szCs w:val="20"/>
    </w:rPr>
  </w:style>
  <w:style w:type="paragraph" w:customStyle="1" w:styleId="222">
    <w:name w:val="彩色列表 - 强调文字颜色 11"/>
    <w:basedOn w:val="1"/>
    <w:qFormat/>
    <w:uiPriority w:val="0"/>
    <w:pPr>
      <w:adjustRightInd/>
      <w:ind w:firstLine="420" w:firstLineChars="200"/>
    </w:pPr>
    <w:rPr>
      <w:rFonts w:ascii="Calibri" w:hAnsi="Calibri"/>
      <w:szCs w:val="22"/>
    </w:rPr>
  </w:style>
  <w:style w:type="paragraph" w:customStyle="1" w:styleId="22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6">
    <w:name w:val="Char Char Char1 Char1"/>
    <w:basedOn w:val="1"/>
    <w:qFormat/>
    <w:uiPriority w:val="6"/>
    <w:rPr>
      <w:szCs w:val="20"/>
    </w:rPr>
  </w:style>
  <w:style w:type="paragraph" w:customStyle="1" w:styleId="22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3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3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2">
    <w:name w:val="CM14"/>
    <w:basedOn w:val="100"/>
    <w:next w:val="100"/>
    <w:qFormat/>
    <w:uiPriority w:val="0"/>
    <w:pPr>
      <w:spacing w:after="68"/>
    </w:pPr>
    <w:rPr>
      <w:rFonts w:ascii="FHLHE E+ Futura Bk" w:eastAsia="FHLHE E+ Futura Bk" w:cs="Times New Roman"/>
      <w:color w:val="auto"/>
    </w:rPr>
  </w:style>
  <w:style w:type="paragraph" w:customStyle="1" w:styleId="23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6">
    <w:name w:val="正文文字 2"/>
    <w:basedOn w:val="100"/>
    <w:next w:val="100"/>
    <w:qFormat/>
    <w:uiPriority w:val="0"/>
    <w:rPr>
      <w:rFonts w:ascii="宋体" w:eastAsia="宋体" w:cs="Times New Roman"/>
      <w:color w:val="auto"/>
    </w:rPr>
  </w:style>
  <w:style w:type="paragraph" w:customStyle="1" w:styleId="23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8">
    <w:name w:val="Char Char1 Char"/>
    <w:basedOn w:val="1"/>
    <w:qFormat/>
    <w:uiPriority w:val="0"/>
    <w:rPr>
      <w:rFonts w:ascii="仿宋_GB2312" w:eastAsia="仿宋_GB2312"/>
      <w:b/>
      <w:sz w:val="32"/>
      <w:szCs w:val="32"/>
    </w:rPr>
  </w:style>
  <w:style w:type="paragraph" w:customStyle="1" w:styleId="23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4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41">
    <w:name w:val="Char Char111"/>
    <w:basedOn w:val="1"/>
    <w:qFormat/>
    <w:uiPriority w:val="0"/>
    <w:pPr>
      <w:spacing w:line="360" w:lineRule="auto"/>
    </w:pPr>
    <w:rPr>
      <w:szCs w:val="20"/>
    </w:rPr>
  </w:style>
  <w:style w:type="paragraph" w:customStyle="1" w:styleId="242">
    <w:name w:val="Char"/>
    <w:basedOn w:val="1"/>
    <w:qFormat/>
    <w:uiPriority w:val="0"/>
    <w:rPr>
      <w:rFonts w:ascii="仿宋_GB2312" w:eastAsia="仿宋_GB2312"/>
      <w:b/>
      <w:sz w:val="32"/>
      <w:szCs w:val="32"/>
    </w:rPr>
  </w:style>
  <w:style w:type="paragraph" w:customStyle="1" w:styleId="24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5">
    <w:name w:val="Char Char Char1 Char"/>
    <w:basedOn w:val="1"/>
    <w:qFormat/>
    <w:uiPriority w:val="0"/>
    <w:rPr>
      <w:szCs w:val="20"/>
    </w:rPr>
  </w:style>
  <w:style w:type="paragraph" w:customStyle="1" w:styleId="246">
    <w:name w:val="正文标准"/>
    <w:basedOn w:val="1"/>
    <w:qFormat/>
    <w:uiPriority w:val="0"/>
    <w:pPr>
      <w:adjustRightInd/>
      <w:spacing w:line="360" w:lineRule="auto"/>
      <w:ind w:firstLine="200" w:firstLineChars="200"/>
    </w:pPr>
    <w:rPr>
      <w:rFonts w:ascii="宋体" w:hAnsi="Calibri"/>
      <w:sz w:val="24"/>
    </w:rPr>
  </w:style>
  <w:style w:type="paragraph" w:customStyle="1" w:styleId="24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5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8">
    <w:name w:val="标准有序列表（L1）"/>
    <w:basedOn w:val="16"/>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9">
    <w:name w:val="Char Char Char Char Char Char Char Char Char Char"/>
    <w:basedOn w:val="1"/>
    <w:qFormat/>
    <w:uiPriority w:val="0"/>
    <w:rPr>
      <w:rFonts w:ascii="仿宋_GB2312" w:eastAsia="仿宋_GB2312"/>
      <w:b/>
      <w:sz w:val="32"/>
      <w:szCs w:val="32"/>
    </w:rPr>
  </w:style>
  <w:style w:type="paragraph" w:customStyle="1" w:styleId="26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61">
    <w:name w:val="_正文段落"/>
    <w:basedOn w:val="1"/>
    <w:qFormat/>
    <w:uiPriority w:val="0"/>
    <w:pPr>
      <w:adjustRightInd/>
      <w:ind w:firstLine="560"/>
    </w:pPr>
    <w:rPr>
      <w:rFonts w:ascii="仿宋_GB2312" w:hAnsi="仿宋" w:eastAsia="仿宋_GB2312"/>
      <w:kern w:val="0"/>
      <w:sz w:val="28"/>
      <w:szCs w:val="28"/>
    </w:rPr>
  </w:style>
  <w:style w:type="paragraph" w:customStyle="1" w:styleId="26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8">
    <w:name w:val="Char Char Char1 Char2"/>
    <w:basedOn w:val="1"/>
    <w:qFormat/>
    <w:uiPriority w:val="0"/>
    <w:rPr>
      <w:szCs w:val="20"/>
    </w:rPr>
  </w:style>
  <w:style w:type="paragraph" w:customStyle="1" w:styleId="26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0">
    <w:name w:val="默认段落字体 Para Char"/>
    <w:basedOn w:val="1"/>
    <w:qFormat/>
    <w:uiPriority w:val="0"/>
    <w:rPr>
      <w:rFonts w:ascii="Tahoma" w:hAnsi="Tahoma"/>
      <w:sz w:val="24"/>
      <w:szCs w:val="20"/>
    </w:rPr>
  </w:style>
  <w:style w:type="paragraph" w:customStyle="1" w:styleId="271">
    <w:name w:val="标题五"/>
    <w:basedOn w:val="1"/>
    <w:qFormat/>
    <w:uiPriority w:val="0"/>
    <w:pPr>
      <w:adjustRightInd/>
      <w:spacing w:before="156" w:beforeLines="50" w:line="360" w:lineRule="auto"/>
    </w:pPr>
    <w:rPr>
      <w:b/>
      <w:sz w:val="24"/>
    </w:rPr>
  </w:style>
  <w:style w:type="paragraph" w:customStyle="1" w:styleId="272">
    <w:name w:val="Char Char1101"/>
    <w:basedOn w:val="1"/>
    <w:qFormat/>
    <w:uiPriority w:val="0"/>
    <w:pPr>
      <w:spacing w:line="360" w:lineRule="auto"/>
    </w:pPr>
    <w:rPr>
      <w:rFonts w:ascii="Tahoma" w:hAnsi="Tahoma"/>
      <w:sz w:val="24"/>
      <w:szCs w:val="20"/>
    </w:rPr>
  </w:style>
  <w:style w:type="paragraph" w:customStyle="1" w:styleId="273">
    <w:name w:val="Char Char Char Char Char Char Char Char1"/>
    <w:basedOn w:val="1"/>
    <w:qFormat/>
    <w:uiPriority w:val="0"/>
    <w:pPr>
      <w:tabs>
        <w:tab w:val="left" w:pos="360"/>
      </w:tabs>
    </w:pPr>
    <w:rPr>
      <w:sz w:val="24"/>
      <w:szCs w:val="20"/>
    </w:rPr>
  </w:style>
  <w:style w:type="paragraph" w:customStyle="1" w:styleId="274">
    <w:name w:val="Char Char Char 字元 字元"/>
    <w:basedOn w:val="1"/>
    <w:qFormat/>
    <w:uiPriority w:val="0"/>
    <w:pPr>
      <w:adjustRightInd/>
      <w:spacing w:line="360" w:lineRule="auto"/>
      <w:ind w:firstLine="200" w:firstLineChars="200"/>
    </w:pPr>
    <w:rPr>
      <w:szCs w:val="20"/>
    </w:rPr>
  </w:style>
  <w:style w:type="paragraph" w:customStyle="1" w:styleId="27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6">
    <w:name w:val="Char Char Char Char Char Char Char"/>
    <w:basedOn w:val="1"/>
    <w:qFormat/>
    <w:uiPriority w:val="0"/>
    <w:rPr>
      <w:rFonts w:ascii="仿宋_GB2312" w:eastAsia="仿宋_GB2312"/>
      <w:b/>
      <w:sz w:val="32"/>
      <w:szCs w:val="32"/>
    </w:rPr>
  </w:style>
  <w:style w:type="paragraph" w:customStyle="1" w:styleId="27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0">
    <w:name w:val="样式6"/>
    <w:basedOn w:val="36"/>
    <w:qFormat/>
    <w:uiPriority w:val="0"/>
    <w:pPr>
      <w:spacing w:line="460" w:lineRule="exact"/>
      <w:outlineLvl w:val="2"/>
    </w:pPr>
    <w:rPr>
      <w:rFonts w:ascii="仿宋_GB2312" w:hAnsi="宋体" w:eastAsia="仿宋_GB2312"/>
      <w:b/>
      <w:bCs/>
      <w:sz w:val="24"/>
      <w:szCs w:val="24"/>
    </w:rPr>
  </w:style>
  <w:style w:type="paragraph" w:customStyle="1" w:styleId="281">
    <w:name w:val="批注框文本 Char Char"/>
    <w:basedOn w:val="1"/>
    <w:qFormat/>
    <w:uiPriority w:val="0"/>
    <w:pPr>
      <w:adjustRightInd/>
    </w:pPr>
    <w:rPr>
      <w:sz w:val="18"/>
      <w:szCs w:val="20"/>
    </w:rPr>
  </w:style>
  <w:style w:type="paragraph" w:customStyle="1" w:styleId="28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6">
    <w:name w:val="索引 11"/>
    <w:basedOn w:val="1"/>
    <w:next w:val="1"/>
    <w:qFormat/>
    <w:uiPriority w:val="99"/>
    <w:pPr>
      <w:adjustRightInd/>
      <w:spacing w:line="360" w:lineRule="auto"/>
    </w:pPr>
    <w:rPr>
      <w:rFonts w:ascii="仿宋_GB2312" w:eastAsia="仿宋_GB2312"/>
      <w:sz w:val="24"/>
      <w:szCs w:val="20"/>
    </w:rPr>
  </w:style>
  <w:style w:type="paragraph" w:customStyle="1" w:styleId="28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0">
    <w:name w:val="文档正文"/>
    <w:basedOn w:val="1"/>
    <w:qFormat/>
    <w:uiPriority w:val="0"/>
    <w:pPr>
      <w:spacing w:line="480" w:lineRule="atLeast"/>
      <w:ind w:firstLine="567"/>
      <w:textAlignment w:val="baseline"/>
    </w:pPr>
    <w:rPr>
      <w:kern w:val="0"/>
      <w:sz w:val="24"/>
      <w:szCs w:val="20"/>
    </w:rPr>
  </w:style>
  <w:style w:type="paragraph" w:customStyle="1" w:styleId="291">
    <w:name w:val="正文文字表格居中"/>
    <w:basedOn w:val="1"/>
    <w:next w:val="59"/>
    <w:qFormat/>
    <w:uiPriority w:val="0"/>
    <w:pPr>
      <w:snapToGrid w:val="0"/>
      <w:spacing w:line="360" w:lineRule="auto"/>
    </w:pPr>
    <w:rPr>
      <w:rFonts w:ascii="宋体"/>
      <w:b/>
      <w:sz w:val="24"/>
      <w:szCs w:val="20"/>
    </w:rPr>
  </w:style>
  <w:style w:type="paragraph" w:customStyle="1" w:styleId="29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4">
    <w:name w:val="Plain Text1"/>
    <w:basedOn w:val="1"/>
    <w:qFormat/>
    <w:uiPriority w:val="7"/>
    <w:pPr>
      <w:adjustRightInd/>
    </w:pPr>
    <w:rPr>
      <w:rFonts w:ascii="宋体" w:hAnsi="Courier New"/>
    </w:rPr>
  </w:style>
  <w:style w:type="paragraph" w:customStyle="1" w:styleId="295">
    <w:name w:val="Char3"/>
    <w:basedOn w:val="1"/>
    <w:qFormat/>
    <w:uiPriority w:val="0"/>
    <w:pPr>
      <w:adjustRightInd/>
    </w:pPr>
    <w:rPr>
      <w:rFonts w:ascii="仿宋_GB2312" w:eastAsia="仿宋_GB2312"/>
      <w:b/>
      <w:sz w:val="32"/>
      <w:szCs w:val="32"/>
    </w:rPr>
  </w:style>
  <w:style w:type="paragraph" w:customStyle="1" w:styleId="29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8">
    <w:name w:val="标题2"/>
    <w:basedOn w:val="4"/>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9">
    <w:name w:val="List Paragraph1"/>
    <w:basedOn w:val="1"/>
    <w:qFormat/>
    <w:uiPriority w:val="0"/>
    <w:pPr>
      <w:spacing w:line="360" w:lineRule="auto"/>
      <w:ind w:firstLine="200" w:firstLineChars="200"/>
    </w:pPr>
    <w:rPr>
      <w:rFonts w:eastAsia="楷体_GB2312" w:cs="Lucida Sans"/>
      <w:sz w:val="24"/>
    </w:rPr>
  </w:style>
  <w:style w:type="paragraph" w:customStyle="1" w:styleId="30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3">
    <w:name w:val="Char3 Char Char Char"/>
    <w:basedOn w:val="1"/>
    <w:qFormat/>
    <w:uiPriority w:val="0"/>
    <w:pPr>
      <w:widowControl/>
      <w:adjustRightInd/>
      <w:spacing w:after="160" w:line="240" w:lineRule="exact"/>
      <w:jc w:val="left"/>
    </w:pPr>
    <w:rPr>
      <w:szCs w:val="20"/>
    </w:rPr>
  </w:style>
  <w:style w:type="paragraph" w:customStyle="1" w:styleId="304">
    <w:name w:val="表格标题2"/>
    <w:basedOn w:val="305"/>
    <w:qFormat/>
    <w:uiPriority w:val="0"/>
    <w:rPr>
      <w:b/>
    </w:rPr>
  </w:style>
  <w:style w:type="paragraph" w:customStyle="1" w:styleId="305">
    <w:name w:val="表格内文"/>
    <w:basedOn w:val="1"/>
    <w:qFormat/>
    <w:uiPriority w:val="0"/>
    <w:pPr>
      <w:adjustRightInd/>
      <w:spacing w:line="360" w:lineRule="auto"/>
    </w:pPr>
    <w:rPr>
      <w:rFonts w:ascii="宋体" w:hAnsi="宋体" w:cs="宋体"/>
      <w:color w:val="000000"/>
      <w:szCs w:val="20"/>
    </w:rPr>
  </w:style>
  <w:style w:type="paragraph" w:customStyle="1" w:styleId="306">
    <w:name w:val="Char Char Char Char Char Char Char Char Char Char2"/>
    <w:basedOn w:val="1"/>
    <w:qFormat/>
    <w:uiPriority w:val="0"/>
    <w:rPr>
      <w:rFonts w:ascii="仿宋_GB2312" w:eastAsia="仿宋_GB2312"/>
      <w:b/>
      <w:sz w:val="32"/>
      <w:szCs w:val="32"/>
    </w:rPr>
  </w:style>
  <w:style w:type="paragraph" w:customStyle="1" w:styleId="30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9">
    <w:name w:val="Char Char11 Char Char Char Char Char Char Char Char Char11"/>
    <w:basedOn w:val="1"/>
    <w:qFormat/>
    <w:uiPriority w:val="0"/>
    <w:pPr>
      <w:spacing w:line="360" w:lineRule="auto"/>
    </w:pPr>
    <w:rPr>
      <w:szCs w:val="20"/>
    </w:rPr>
  </w:style>
  <w:style w:type="paragraph" w:customStyle="1" w:styleId="31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12">
    <w:name w:val="MM Topic 1"/>
    <w:basedOn w:val="3"/>
    <w:qFormat/>
    <w:uiPriority w:val="0"/>
    <w:pPr>
      <w:tabs>
        <w:tab w:val="left" w:pos="840"/>
        <w:tab w:val="clear" w:pos="432"/>
      </w:tabs>
      <w:adjustRightInd/>
      <w:ind w:left="840" w:hanging="420"/>
    </w:pPr>
  </w:style>
  <w:style w:type="paragraph" w:customStyle="1" w:styleId="31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314">
    <w:name w:val="文本正文 Char"/>
    <w:basedOn w:val="1"/>
    <w:qFormat/>
    <w:uiPriority w:val="0"/>
    <w:pPr>
      <w:spacing w:line="360" w:lineRule="auto"/>
      <w:ind w:firstLine="200" w:firstLineChars="200"/>
    </w:pPr>
    <w:rPr>
      <w:kern w:val="0"/>
      <w:sz w:val="24"/>
      <w:szCs w:val="20"/>
    </w:rPr>
  </w:style>
  <w:style w:type="paragraph" w:customStyle="1" w:styleId="315">
    <w:name w:val="表格"/>
    <w:basedOn w:val="1"/>
    <w:qFormat/>
    <w:uiPriority w:val="0"/>
    <w:pPr>
      <w:snapToGrid w:val="0"/>
      <w:ind w:firstLine="42" w:firstLineChars="21"/>
    </w:pPr>
    <w:rPr>
      <w:rFonts w:ascii="宋体" w:hAnsi="宋体"/>
      <w:kern w:val="0"/>
      <w:sz w:val="20"/>
      <w:szCs w:val="20"/>
    </w:rPr>
  </w:style>
  <w:style w:type="paragraph" w:customStyle="1" w:styleId="316">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9">
    <w:name w:val="表格项目符号 2"/>
    <w:basedOn w:val="32"/>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0">
    <w:name w:val="EB_表格"/>
    <w:basedOn w:val="1"/>
    <w:qFormat/>
    <w:uiPriority w:val="0"/>
    <w:pPr>
      <w:adjustRightInd/>
      <w:spacing w:line="300" w:lineRule="auto"/>
      <w:jc w:val="center"/>
    </w:pPr>
  </w:style>
  <w:style w:type="paragraph" w:customStyle="1" w:styleId="321">
    <w:name w:val="_Style 6"/>
    <w:basedOn w:val="1"/>
    <w:qFormat/>
    <w:uiPriority w:val="34"/>
    <w:pPr>
      <w:adjustRightInd/>
      <w:ind w:firstLine="420" w:firstLineChars="200"/>
    </w:pPr>
    <w:rPr>
      <w:rFonts w:eastAsia="仿宋_GB2312"/>
      <w:sz w:val="28"/>
    </w:rPr>
  </w:style>
  <w:style w:type="paragraph" w:customStyle="1" w:styleId="32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325">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6">
    <w:name w:val="正文表标题"/>
    <w:next w:val="32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9">
    <w:name w:val="trademark"/>
    <w:qFormat/>
    <w:uiPriority w:val="0"/>
    <w:pPr>
      <w:spacing w:after="60"/>
    </w:pPr>
    <w:rPr>
      <w:rFonts w:ascii="Futura Bk" w:hAnsi="Futura Bk" w:eastAsia="宋体" w:cs="Times New Roman"/>
      <w:sz w:val="15"/>
      <w:lang w:val="en-US" w:eastAsia="en-US" w:bidi="ar-SA"/>
    </w:rPr>
  </w:style>
  <w:style w:type="paragraph" w:customStyle="1" w:styleId="33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1">
    <w:name w:val="Char Char1 Char Char Char Char Char Char1"/>
    <w:basedOn w:val="1"/>
    <w:qFormat/>
    <w:uiPriority w:val="0"/>
    <w:rPr>
      <w:rFonts w:ascii="仿宋_GB2312" w:eastAsia="仿宋_GB2312"/>
      <w:b/>
      <w:sz w:val="32"/>
      <w:szCs w:val="20"/>
    </w:rPr>
  </w:style>
  <w:style w:type="paragraph" w:customStyle="1" w:styleId="33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3">
    <w:name w:val="Char1 Char Char Char1"/>
    <w:basedOn w:val="1"/>
    <w:qFormat/>
    <w:uiPriority w:val="0"/>
    <w:pPr>
      <w:adjustRightInd/>
      <w:ind w:firstLine="200" w:firstLineChars="200"/>
    </w:pPr>
    <w:rPr>
      <w:rFonts w:ascii="Tahoma" w:hAnsi="Tahoma"/>
      <w:sz w:val="24"/>
      <w:szCs w:val="20"/>
    </w:rPr>
  </w:style>
  <w:style w:type="paragraph" w:customStyle="1" w:styleId="334">
    <w:name w:val="a1"/>
    <w:basedOn w:val="1"/>
    <w:qFormat/>
    <w:uiPriority w:val="0"/>
    <w:pPr>
      <w:widowControl/>
      <w:spacing w:line="300" w:lineRule="atLeast"/>
      <w:jc w:val="left"/>
    </w:pPr>
    <w:rPr>
      <w:rFonts w:ascii="宋体" w:hAnsi="宋体"/>
      <w:kern w:val="0"/>
      <w:sz w:val="18"/>
      <w:szCs w:val="20"/>
    </w:rPr>
  </w:style>
  <w:style w:type="paragraph" w:customStyle="1" w:styleId="335">
    <w:name w:val="样式7"/>
    <w:basedOn w:val="336"/>
    <w:next w:val="1"/>
    <w:qFormat/>
    <w:uiPriority w:val="0"/>
    <w:pPr>
      <w:spacing w:after="156" w:afterLines="50"/>
      <w:jc w:val="left"/>
      <w:outlineLvl w:val="3"/>
    </w:pPr>
    <w:rPr>
      <w:sz w:val="24"/>
      <w:szCs w:val="24"/>
    </w:rPr>
  </w:style>
  <w:style w:type="paragraph" w:customStyle="1" w:styleId="33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9">
    <w:name w:val="样式 样式2 + 左侧:  1 字符 右侧:  1 字符"/>
    <w:basedOn w:val="14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0">
    <w:name w:val="Char2 Char Char2"/>
    <w:basedOn w:val="1"/>
    <w:qFormat/>
    <w:uiPriority w:val="0"/>
    <w:pPr>
      <w:adjustRightInd/>
    </w:pPr>
    <w:rPr>
      <w:rFonts w:ascii="Tahoma" w:hAnsi="Tahoma"/>
      <w:sz w:val="24"/>
      <w:szCs w:val="20"/>
    </w:rPr>
  </w:style>
  <w:style w:type="paragraph" w:customStyle="1" w:styleId="34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2">
    <w:name w:val="三级条标题"/>
    <w:basedOn w:val="343"/>
    <w:next w:val="327"/>
    <w:qFormat/>
    <w:uiPriority w:val="0"/>
    <w:pPr>
      <w:tabs>
        <w:tab w:val="left" w:pos="1260"/>
        <w:tab w:val="left" w:pos="1680"/>
        <w:tab w:val="left" w:pos="2100"/>
        <w:tab w:val="left" w:pos="2520"/>
      </w:tabs>
      <w:ind w:left="2520"/>
      <w:outlineLvl w:val="4"/>
    </w:pPr>
  </w:style>
  <w:style w:type="paragraph" w:customStyle="1" w:styleId="343">
    <w:name w:val="二级条标题"/>
    <w:basedOn w:val="344"/>
    <w:next w:val="327"/>
    <w:qFormat/>
    <w:uiPriority w:val="0"/>
    <w:pPr>
      <w:tabs>
        <w:tab w:val="left" w:pos="1260"/>
        <w:tab w:val="left" w:pos="1680"/>
        <w:tab w:val="left" w:pos="2100"/>
      </w:tabs>
      <w:ind w:left="0"/>
      <w:outlineLvl w:val="3"/>
    </w:pPr>
  </w:style>
  <w:style w:type="paragraph" w:customStyle="1" w:styleId="344">
    <w:name w:val="一级条标题"/>
    <w:basedOn w:val="345"/>
    <w:next w:val="327"/>
    <w:qFormat/>
    <w:uiPriority w:val="0"/>
    <w:pPr>
      <w:tabs>
        <w:tab w:val="left" w:pos="1260"/>
        <w:tab w:val="left" w:pos="1680"/>
      </w:tabs>
      <w:spacing w:before="0" w:beforeLines="0" w:after="0" w:afterLines="0"/>
      <w:ind w:left="1680"/>
      <w:outlineLvl w:val="2"/>
    </w:pPr>
  </w:style>
  <w:style w:type="paragraph" w:customStyle="1" w:styleId="345">
    <w:name w:val="章标题"/>
    <w:next w:val="32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6">
    <w:name w:val="数字标题2"/>
    <w:basedOn w:val="4"/>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8">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0">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2">
    <w:name w:val="正文 项目2"/>
    <w:basedOn w:val="353"/>
    <w:qFormat/>
    <w:uiPriority w:val="0"/>
    <w:pPr>
      <w:tabs>
        <w:tab w:val="left" w:pos="840"/>
      </w:tabs>
      <w:spacing w:after="0"/>
      <w:ind w:left="900"/>
    </w:pPr>
  </w:style>
  <w:style w:type="paragraph" w:customStyle="1" w:styleId="35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4">
    <w:name w:val="Body Text 2*"/>
    <w:basedOn w:val="1"/>
    <w:qFormat/>
    <w:uiPriority w:val="6"/>
    <w:pPr>
      <w:widowControl/>
      <w:adjustRightInd/>
      <w:ind w:left="720" w:hanging="720"/>
    </w:pPr>
    <w:rPr>
      <w:color w:val="000000"/>
      <w:kern w:val="0"/>
      <w:sz w:val="24"/>
      <w:szCs w:val="20"/>
    </w:rPr>
  </w:style>
  <w:style w:type="paragraph" w:customStyle="1" w:styleId="355">
    <w:name w:val="表1"/>
    <w:basedOn w:val="1"/>
    <w:qFormat/>
    <w:uiPriority w:val="0"/>
    <w:pPr>
      <w:tabs>
        <w:tab w:val="left" w:pos="703"/>
      </w:tabs>
      <w:adjustRightInd/>
      <w:spacing w:line="360" w:lineRule="auto"/>
      <w:ind w:left="703"/>
      <w:jc w:val="center"/>
    </w:pPr>
  </w:style>
  <w:style w:type="paragraph" w:customStyle="1" w:styleId="35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9">
    <w:name w:val="2级标题"/>
    <w:basedOn w:val="360"/>
    <w:qFormat/>
    <w:uiPriority w:val="0"/>
    <w:pPr>
      <w:jc w:val="left"/>
      <w:outlineLvl w:val="1"/>
    </w:pPr>
    <w:rPr>
      <w:rFonts w:ascii="Times New Roman" w:hAnsi="Times New Roman" w:eastAsia="仿宋"/>
      <w:sz w:val="30"/>
    </w:rPr>
  </w:style>
  <w:style w:type="paragraph" w:customStyle="1" w:styleId="36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5">
    <w:name w:val="bullet"/>
    <w:basedOn w:val="1"/>
    <w:qFormat/>
    <w:uiPriority w:val="0"/>
    <w:pPr>
      <w:tabs>
        <w:tab w:val="left" w:pos="840"/>
      </w:tabs>
      <w:adjustRightInd/>
      <w:ind w:left="840" w:hanging="420"/>
    </w:pPr>
  </w:style>
  <w:style w:type="paragraph" w:customStyle="1" w:styleId="36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3">
    <w:name w:val="MM Topic 4"/>
    <w:basedOn w:val="6"/>
    <w:qFormat/>
    <w:uiPriority w:val="0"/>
    <w:pPr>
      <w:tabs>
        <w:tab w:val="left" w:pos="2100"/>
        <w:tab w:val="clear" w:pos="864"/>
      </w:tabs>
      <w:adjustRightInd/>
      <w:ind w:left="2100" w:hanging="420"/>
    </w:pPr>
    <w:rPr>
      <w:lang w:val="en-US"/>
    </w:rPr>
  </w:style>
  <w:style w:type="paragraph" w:customStyle="1" w:styleId="37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6">
    <w:name w:val="Char Char11 Char Char Char Char Char Char Char Char Char1"/>
    <w:basedOn w:val="1"/>
    <w:qFormat/>
    <w:uiPriority w:val="6"/>
    <w:pPr>
      <w:spacing w:line="360" w:lineRule="auto"/>
    </w:pPr>
    <w:rPr>
      <w:szCs w:val="20"/>
    </w:rPr>
  </w:style>
  <w:style w:type="paragraph" w:customStyle="1" w:styleId="37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9">
    <w:name w:val="body text bold"/>
    <w:basedOn w:val="2"/>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6">
    <w:name w:val="单元格居中"/>
    <w:basedOn w:val="1"/>
    <w:qFormat/>
    <w:uiPriority w:val="0"/>
    <w:pPr>
      <w:adjustRightInd/>
      <w:spacing w:line="360" w:lineRule="auto"/>
      <w:jc w:val="center"/>
    </w:pPr>
    <w:rPr>
      <w:sz w:val="24"/>
    </w:rPr>
  </w:style>
  <w:style w:type="paragraph" w:customStyle="1" w:styleId="38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8">
    <w:name w:val="Char Char Char Char Char Char Char1"/>
    <w:basedOn w:val="1"/>
    <w:qFormat/>
    <w:uiPriority w:val="6"/>
    <w:rPr>
      <w:rFonts w:ascii="仿宋_GB2312" w:eastAsia="仿宋_GB2312"/>
      <w:b/>
      <w:sz w:val="32"/>
      <w:szCs w:val="32"/>
    </w:rPr>
  </w:style>
  <w:style w:type="paragraph" w:customStyle="1" w:styleId="38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0">
    <w:name w:val="Char3 Char Char Char11"/>
    <w:basedOn w:val="1"/>
    <w:qFormat/>
    <w:uiPriority w:val="0"/>
    <w:pPr>
      <w:widowControl/>
      <w:adjustRightInd/>
      <w:spacing w:after="160" w:line="240" w:lineRule="exact"/>
      <w:jc w:val="left"/>
    </w:pPr>
    <w:rPr>
      <w:szCs w:val="20"/>
    </w:rPr>
  </w:style>
  <w:style w:type="paragraph" w:customStyle="1" w:styleId="391">
    <w:name w:val="Char Char1121"/>
    <w:basedOn w:val="1"/>
    <w:qFormat/>
    <w:uiPriority w:val="0"/>
    <w:pPr>
      <w:spacing w:line="360" w:lineRule="auto"/>
    </w:pPr>
    <w:rPr>
      <w:szCs w:val="20"/>
    </w:rPr>
  </w:style>
  <w:style w:type="paragraph" w:customStyle="1" w:styleId="392">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3">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4">
    <w:name w:val="Normal0"/>
    <w:qFormat/>
    <w:uiPriority w:val="0"/>
    <w:rPr>
      <w:rFonts w:ascii="Times New Roman" w:hAnsi="Times New Roman" w:eastAsia="宋体" w:cs="Times New Roman"/>
      <w:lang w:val="en-US" w:eastAsia="en-US" w:bidi="ar-SA"/>
    </w:rPr>
  </w:style>
  <w:style w:type="paragraph" w:customStyle="1" w:styleId="395">
    <w:name w:val="带编号样式"/>
    <w:basedOn w:val="314"/>
    <w:qFormat/>
    <w:uiPriority w:val="0"/>
    <w:pPr>
      <w:tabs>
        <w:tab w:val="left" w:pos="840"/>
      </w:tabs>
      <w:snapToGrid w:val="0"/>
      <w:ind w:left="840" w:hanging="420" w:firstLineChars="0"/>
    </w:pPr>
    <w:rPr>
      <w:rFonts w:ascii="仿宋_GB2312" w:eastAsia="仿宋_GB2312"/>
      <w:color w:val="000000"/>
    </w:rPr>
  </w:style>
  <w:style w:type="paragraph" w:customStyle="1" w:styleId="396">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7">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8">
    <w:name w:val="封面"/>
    <w:basedOn w:val="1"/>
    <w:qFormat/>
    <w:uiPriority w:val="0"/>
    <w:pPr>
      <w:spacing w:line="360" w:lineRule="atLeast"/>
      <w:jc w:val="right"/>
      <w:textAlignment w:val="baseline"/>
    </w:pPr>
    <w:rPr>
      <w:rFonts w:ascii="Symbol" w:hAnsi="Symbol"/>
      <w:kern w:val="0"/>
      <w:szCs w:val="20"/>
    </w:rPr>
  </w:style>
  <w:style w:type="paragraph" w:customStyle="1" w:styleId="399">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0">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1">
    <w:name w:val="默认段落字体 Para Char Char Char1 Char"/>
    <w:basedOn w:val="1"/>
    <w:qFormat/>
    <w:uiPriority w:val="0"/>
    <w:pPr>
      <w:spacing w:line="240" w:lineRule="atLeast"/>
      <w:ind w:left="420" w:firstLine="420"/>
    </w:pPr>
    <w:rPr>
      <w:sz w:val="24"/>
    </w:rPr>
  </w:style>
  <w:style w:type="paragraph" w:customStyle="1" w:styleId="402">
    <w:name w:val="WW-正文文字缩进 2"/>
    <w:basedOn w:val="1"/>
    <w:qFormat/>
    <w:uiPriority w:val="0"/>
    <w:pPr>
      <w:suppressAutoHyphens/>
      <w:adjustRightInd/>
      <w:ind w:firstLine="420"/>
    </w:pPr>
    <w:rPr>
      <w:kern w:val="1"/>
      <w:szCs w:val="20"/>
    </w:rPr>
  </w:style>
  <w:style w:type="paragraph" w:customStyle="1" w:styleId="403">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4">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405">
    <w:name w:val="有符号正文"/>
    <w:basedOn w:val="1"/>
    <w:qFormat/>
    <w:uiPriority w:val="0"/>
    <w:pPr>
      <w:adjustRightInd/>
      <w:spacing w:line="400" w:lineRule="exact"/>
      <w:ind w:firstLine="200" w:firstLineChars="200"/>
    </w:pPr>
    <w:rPr>
      <w:rFonts w:ascii="Arial" w:hAnsi="Arial"/>
    </w:rPr>
  </w:style>
  <w:style w:type="paragraph" w:customStyle="1" w:styleId="406">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7">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8">
    <w:name w:val="4"/>
    <w:basedOn w:val="1"/>
    <w:next w:val="40"/>
    <w:qFormat/>
    <w:uiPriority w:val="0"/>
    <w:pPr>
      <w:spacing w:after="120" w:line="480" w:lineRule="auto"/>
      <w:ind w:left="420" w:leftChars="200"/>
    </w:pPr>
    <w:rPr>
      <w:sz w:val="24"/>
      <w:szCs w:val="20"/>
    </w:rPr>
  </w:style>
  <w:style w:type="paragraph" w:customStyle="1" w:styleId="40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0">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1">
    <w:name w:val="样式 标题 3H3 + 两端对齐"/>
    <w:basedOn w:val="5"/>
    <w:qFormat/>
    <w:uiPriority w:val="0"/>
    <w:pPr>
      <w:spacing w:before="0" w:after="0" w:line="240" w:lineRule="auto"/>
      <w:jc w:val="left"/>
    </w:pPr>
    <w:rPr>
      <w:rFonts w:cs="宋体"/>
      <w:sz w:val="21"/>
      <w:szCs w:val="20"/>
    </w:rPr>
  </w:style>
  <w:style w:type="paragraph" w:customStyle="1" w:styleId="412">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3">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4">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5">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6">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7">
    <w:name w:val="Char Char1 Char Char Char"/>
    <w:basedOn w:val="1"/>
    <w:qFormat/>
    <w:uiPriority w:val="0"/>
    <w:rPr>
      <w:rFonts w:ascii="仿宋_GB2312" w:eastAsia="仿宋_GB2312"/>
      <w:b/>
      <w:sz w:val="32"/>
      <w:szCs w:val="20"/>
    </w:rPr>
  </w:style>
  <w:style w:type="paragraph" w:customStyle="1" w:styleId="418">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9">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0">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1">
    <w:name w:val="Char Char1 Char Char Char2"/>
    <w:basedOn w:val="1"/>
    <w:qFormat/>
    <w:uiPriority w:val="0"/>
    <w:rPr>
      <w:rFonts w:ascii="仿宋_GB2312" w:eastAsia="仿宋_GB2312"/>
      <w:b/>
      <w:sz w:val="32"/>
      <w:szCs w:val="32"/>
    </w:rPr>
  </w:style>
  <w:style w:type="paragraph" w:customStyle="1" w:styleId="422">
    <w:name w:val="Char3 Char Char Char1"/>
    <w:basedOn w:val="1"/>
    <w:qFormat/>
    <w:uiPriority w:val="6"/>
    <w:pPr>
      <w:widowControl/>
      <w:adjustRightInd/>
      <w:spacing w:after="160" w:line="240" w:lineRule="exact"/>
      <w:jc w:val="left"/>
    </w:pPr>
    <w:rPr>
      <w:szCs w:val="20"/>
    </w:rPr>
  </w:style>
  <w:style w:type="paragraph" w:customStyle="1" w:styleId="423">
    <w:name w:val="Char1 Char Char Char21"/>
    <w:basedOn w:val="1"/>
    <w:qFormat/>
    <w:uiPriority w:val="0"/>
    <w:rPr>
      <w:rFonts w:ascii="Tahoma" w:hAnsi="Tahoma"/>
      <w:sz w:val="24"/>
      <w:szCs w:val="20"/>
    </w:rPr>
  </w:style>
  <w:style w:type="paragraph" w:customStyle="1" w:styleId="424">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5">
    <w:name w:val="正文（标题三）"/>
    <w:basedOn w:val="1"/>
    <w:qFormat/>
    <w:uiPriority w:val="0"/>
    <w:pPr>
      <w:spacing w:line="360" w:lineRule="auto"/>
      <w:ind w:firstLine="200" w:firstLineChars="200"/>
    </w:pPr>
    <w:rPr>
      <w:sz w:val="24"/>
    </w:rPr>
  </w:style>
  <w:style w:type="paragraph" w:customStyle="1" w:styleId="426">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7">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8">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9">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1">
    <w:name w:val="Char1 Char Char Char4"/>
    <w:basedOn w:val="1"/>
    <w:qFormat/>
    <w:uiPriority w:val="0"/>
    <w:pPr>
      <w:adjustRightInd/>
      <w:ind w:firstLine="200" w:firstLineChars="200"/>
    </w:pPr>
    <w:rPr>
      <w:rFonts w:ascii="Tahoma" w:hAnsi="Tahoma"/>
      <w:sz w:val="24"/>
      <w:szCs w:val="20"/>
    </w:rPr>
  </w:style>
  <w:style w:type="paragraph" w:customStyle="1" w:styleId="432">
    <w:name w:val="_标题2"/>
    <w:basedOn w:val="399"/>
    <w:next w:val="399"/>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3">
    <w:name w:val="样式1 + (中宋体"/>
    <w:basedOn w:val="410"/>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4">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5">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6">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7">
    <w:name w:val="四号　首行缩进"/>
    <w:basedOn w:val="1"/>
    <w:qFormat/>
    <w:uiPriority w:val="0"/>
    <w:pPr>
      <w:adjustRightInd/>
      <w:spacing w:line="360" w:lineRule="auto"/>
    </w:pPr>
    <w:rPr>
      <w:rFonts w:ascii="宋体" w:hAnsi="宋体"/>
      <w:szCs w:val="20"/>
    </w:rPr>
  </w:style>
  <w:style w:type="paragraph" w:customStyle="1" w:styleId="438">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9">
    <w:name w:val="Char Char Char Char Char Char Char Char Char Char Char1 Char"/>
    <w:basedOn w:val="1"/>
    <w:qFormat/>
    <w:uiPriority w:val="0"/>
    <w:pPr>
      <w:adjustRightInd/>
    </w:pPr>
    <w:rPr>
      <w:rFonts w:ascii="Tahoma" w:hAnsi="Tahoma"/>
      <w:sz w:val="24"/>
    </w:rPr>
  </w:style>
  <w:style w:type="paragraph" w:customStyle="1" w:styleId="440">
    <w:name w:val="Char Char Char Char11"/>
    <w:basedOn w:val="1"/>
    <w:qFormat/>
    <w:uiPriority w:val="0"/>
    <w:rPr>
      <w:rFonts w:ascii="Tahoma" w:hAnsi="Tahoma"/>
      <w:sz w:val="24"/>
      <w:szCs w:val="20"/>
    </w:rPr>
  </w:style>
  <w:style w:type="paragraph" w:customStyle="1" w:styleId="441">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2">
    <w:name w:val="Char Char Char Char"/>
    <w:basedOn w:val="1"/>
    <w:qFormat/>
    <w:uiPriority w:val="0"/>
    <w:rPr>
      <w:rFonts w:ascii="Tahoma" w:hAnsi="Tahoma"/>
      <w:sz w:val="24"/>
      <w:szCs w:val="20"/>
    </w:rPr>
  </w:style>
  <w:style w:type="paragraph" w:customStyle="1" w:styleId="443">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4">
    <w:name w:val="Char19"/>
    <w:basedOn w:val="1"/>
    <w:qFormat/>
    <w:uiPriority w:val="0"/>
    <w:pPr>
      <w:adjustRightInd/>
    </w:pPr>
    <w:rPr>
      <w:szCs w:val="20"/>
    </w:rPr>
  </w:style>
  <w:style w:type="paragraph" w:customStyle="1" w:styleId="44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6">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7">
    <w:name w:val="_Style 5"/>
    <w:basedOn w:val="1"/>
    <w:qFormat/>
    <w:uiPriority w:val="34"/>
    <w:pPr>
      <w:adjustRightInd/>
      <w:ind w:firstLine="420" w:firstLineChars="200"/>
    </w:pPr>
    <w:rPr>
      <w:rFonts w:eastAsia="仿宋_GB2312"/>
      <w:sz w:val="28"/>
    </w:rPr>
  </w:style>
  <w:style w:type="paragraph" w:customStyle="1" w:styleId="448">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9">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0">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1">
    <w:name w:val="标书表格字体格式"/>
    <w:next w:val="445"/>
    <w:qFormat/>
    <w:uiPriority w:val="0"/>
    <w:rPr>
      <w:rFonts w:ascii="Times New Roman" w:hAnsi="Times New Roman" w:eastAsia="宋体" w:cs="Times New Roman"/>
      <w:kern w:val="2"/>
      <w:sz w:val="21"/>
      <w:szCs w:val="24"/>
      <w:lang w:val="en-US" w:eastAsia="zh-CN" w:bidi="ar-SA"/>
    </w:rPr>
  </w:style>
  <w:style w:type="paragraph" w:customStyle="1" w:styleId="452">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3">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4">
    <w:name w:val="修订3"/>
    <w:qFormat/>
    <w:uiPriority w:val="0"/>
    <w:rPr>
      <w:rFonts w:ascii="Times New Roman" w:hAnsi="Times New Roman" w:eastAsia="宋体" w:cs="Times New Roman"/>
      <w:kern w:val="2"/>
      <w:sz w:val="21"/>
      <w:lang w:val="en-US" w:eastAsia="zh-CN" w:bidi="ar-SA"/>
    </w:rPr>
  </w:style>
  <w:style w:type="paragraph" w:customStyle="1" w:styleId="455">
    <w:name w:val="CSS1级正文 Char"/>
    <w:basedOn w:val="2"/>
    <w:qFormat/>
    <w:uiPriority w:val="0"/>
    <w:pPr>
      <w:snapToGrid w:val="0"/>
      <w:ind w:firstLine="480" w:firstLineChars="200"/>
    </w:pPr>
    <w:rPr>
      <w:rFonts w:ascii="Times New Roman"/>
      <w:szCs w:val="24"/>
      <w:lang w:val="en-US"/>
    </w:rPr>
  </w:style>
  <w:style w:type="paragraph" w:customStyle="1" w:styleId="456">
    <w:name w:val="无间隔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7">
    <w:name w:val="表文字"/>
    <w:qFormat/>
    <w:uiPriority w:val="0"/>
    <w:rPr>
      <w:rFonts w:ascii="宋体" w:hAnsi="Times New Roman" w:eastAsia="宋体" w:cs="Times New Roman"/>
      <w:kern w:val="2"/>
      <w:lang w:val="en-US" w:eastAsia="zh-CN" w:bidi="ar-SA"/>
    </w:rPr>
  </w:style>
  <w:style w:type="paragraph" w:customStyle="1" w:styleId="458">
    <w:name w:val="MM Title"/>
    <w:basedOn w:val="62"/>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9">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0">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1">
    <w:name w:val="Char Char Char Char Char Char Char Char2"/>
    <w:basedOn w:val="1"/>
    <w:qFormat/>
    <w:uiPriority w:val="0"/>
    <w:pPr>
      <w:tabs>
        <w:tab w:val="left" w:pos="360"/>
      </w:tabs>
    </w:pPr>
    <w:rPr>
      <w:sz w:val="24"/>
      <w:szCs w:val="20"/>
    </w:rPr>
  </w:style>
  <w:style w:type="paragraph" w:customStyle="1" w:styleId="462">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3">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4">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5">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7">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8">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9">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0">
    <w:name w:val="p0"/>
    <w:basedOn w:val="1"/>
    <w:qFormat/>
    <w:uiPriority w:val="0"/>
    <w:pPr>
      <w:widowControl/>
      <w:adjustRightInd/>
    </w:pPr>
    <w:rPr>
      <w:kern w:val="0"/>
      <w:szCs w:val="21"/>
    </w:rPr>
  </w:style>
  <w:style w:type="paragraph" w:customStyle="1" w:styleId="471">
    <w:name w:val="Char6"/>
    <w:basedOn w:val="1"/>
    <w:qFormat/>
    <w:uiPriority w:val="0"/>
    <w:rPr>
      <w:rFonts w:ascii="仿宋_GB2312" w:eastAsia="仿宋_GB2312"/>
      <w:b/>
      <w:sz w:val="32"/>
      <w:szCs w:val="32"/>
    </w:rPr>
  </w:style>
  <w:style w:type="paragraph" w:customStyle="1" w:styleId="472">
    <w:name w:val="Char111"/>
    <w:basedOn w:val="1"/>
    <w:qFormat/>
    <w:uiPriority w:val="0"/>
    <w:rPr>
      <w:rFonts w:ascii="仿宋_GB2312" w:eastAsia="仿宋_GB2312"/>
      <w:b/>
      <w:sz w:val="32"/>
      <w:szCs w:val="32"/>
    </w:rPr>
  </w:style>
  <w:style w:type="paragraph" w:customStyle="1" w:styleId="473">
    <w:name w:val="标题3"/>
    <w:basedOn w:val="5"/>
    <w:next w:val="56"/>
    <w:qFormat/>
    <w:uiPriority w:val="0"/>
    <w:pPr>
      <w:tabs>
        <w:tab w:val="clear" w:pos="900"/>
      </w:tabs>
      <w:spacing w:after="0" w:line="360" w:lineRule="auto"/>
    </w:pPr>
    <w:rPr>
      <w:rFonts w:ascii="仿宋" w:hAnsi="仿宋" w:eastAsia="仿宋" w:cs="仿宋"/>
    </w:rPr>
  </w:style>
  <w:style w:type="paragraph" w:customStyle="1" w:styleId="474">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5">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6">
    <w:name w:val="Char1 Char Char Char2"/>
    <w:basedOn w:val="1"/>
    <w:qFormat/>
    <w:uiPriority w:val="0"/>
    <w:pPr>
      <w:adjustRightInd/>
      <w:ind w:firstLine="200" w:firstLineChars="200"/>
    </w:pPr>
    <w:rPr>
      <w:rFonts w:ascii="Tahoma" w:hAnsi="Tahoma"/>
      <w:sz w:val="24"/>
      <w:szCs w:val="20"/>
    </w:rPr>
  </w:style>
  <w:style w:type="paragraph" w:customStyle="1" w:styleId="477">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8">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9">
    <w:name w:val="Char Char Char Char Char Char Char2"/>
    <w:basedOn w:val="1"/>
    <w:qFormat/>
    <w:uiPriority w:val="0"/>
    <w:rPr>
      <w:rFonts w:ascii="仿宋_GB2312" w:eastAsia="仿宋_GB2312"/>
      <w:b/>
      <w:sz w:val="32"/>
      <w:szCs w:val="32"/>
    </w:rPr>
  </w:style>
  <w:style w:type="paragraph" w:customStyle="1" w:styleId="480">
    <w:name w:val="五级条标题"/>
    <w:basedOn w:val="481"/>
    <w:next w:val="327"/>
    <w:qFormat/>
    <w:uiPriority w:val="0"/>
    <w:pPr>
      <w:tabs>
        <w:tab w:val="left" w:pos="1260"/>
        <w:tab w:val="left" w:pos="1680"/>
        <w:tab w:val="left" w:pos="2100"/>
        <w:tab w:val="left" w:pos="2940"/>
        <w:tab w:val="left" w:pos="3360"/>
      </w:tabs>
      <w:ind w:left="3360"/>
      <w:outlineLvl w:val="6"/>
    </w:pPr>
  </w:style>
  <w:style w:type="paragraph" w:customStyle="1" w:styleId="481">
    <w:name w:val="四级条标题"/>
    <w:basedOn w:val="342"/>
    <w:next w:val="327"/>
    <w:qFormat/>
    <w:uiPriority w:val="0"/>
    <w:pPr>
      <w:tabs>
        <w:tab w:val="left" w:pos="2940"/>
        <w:tab w:val="clear" w:pos="2520"/>
      </w:tabs>
      <w:ind w:left="2940"/>
      <w:outlineLvl w:val="5"/>
    </w:pPr>
  </w:style>
  <w:style w:type="paragraph" w:customStyle="1" w:styleId="48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3">
    <w:name w:val="Char23"/>
    <w:basedOn w:val="1"/>
    <w:qFormat/>
    <w:uiPriority w:val="0"/>
    <w:rPr>
      <w:rFonts w:ascii="仿宋_GB2312" w:eastAsia="仿宋_GB2312"/>
      <w:b/>
      <w:sz w:val="32"/>
      <w:szCs w:val="32"/>
    </w:rPr>
  </w:style>
  <w:style w:type="paragraph" w:customStyle="1" w:styleId="484">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5">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6">
    <w:name w:val="首行缩进"/>
    <w:basedOn w:val="1"/>
    <w:qFormat/>
    <w:uiPriority w:val="0"/>
    <w:pPr>
      <w:spacing w:line="360" w:lineRule="auto"/>
      <w:ind w:firstLine="480" w:firstLineChars="200"/>
    </w:pPr>
    <w:rPr>
      <w:rFonts w:ascii="宋体"/>
      <w:sz w:val="24"/>
      <w:szCs w:val="20"/>
    </w:rPr>
  </w:style>
  <w:style w:type="paragraph" w:customStyle="1" w:styleId="487">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8">
    <w:name w:val="单元格左对齐"/>
    <w:basedOn w:val="1"/>
    <w:qFormat/>
    <w:uiPriority w:val="0"/>
    <w:pPr>
      <w:adjustRightInd/>
      <w:spacing w:line="360" w:lineRule="auto"/>
    </w:pPr>
    <w:rPr>
      <w:sz w:val="24"/>
    </w:rPr>
  </w:style>
  <w:style w:type="paragraph" w:customStyle="1" w:styleId="489">
    <w:name w:val="正文主体"/>
    <w:basedOn w:val="311"/>
    <w:qFormat/>
    <w:uiPriority w:val="0"/>
  </w:style>
  <w:style w:type="paragraph" w:customStyle="1" w:styleId="490">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1">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2">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3">
    <w:name w:val="正文（首行缩进2字符）"/>
    <w:basedOn w:val="1"/>
    <w:qFormat/>
    <w:uiPriority w:val="0"/>
    <w:pPr>
      <w:adjustRightInd/>
      <w:spacing w:line="360" w:lineRule="auto"/>
      <w:ind w:firstLine="480" w:firstLineChars="200"/>
    </w:pPr>
    <w:rPr>
      <w:sz w:val="24"/>
      <w:szCs w:val="20"/>
    </w:rPr>
  </w:style>
  <w:style w:type="paragraph" w:customStyle="1" w:styleId="494">
    <w:name w:val="P1"/>
    <w:basedOn w:val="1"/>
    <w:qFormat/>
    <w:uiPriority w:val="0"/>
    <w:pPr>
      <w:adjustRightInd/>
      <w:spacing w:line="288" w:lineRule="auto"/>
      <w:ind w:firstLine="425" w:firstLineChars="200"/>
    </w:pPr>
  </w:style>
  <w:style w:type="paragraph" w:customStyle="1" w:styleId="495">
    <w:name w:val="列表内容"/>
    <w:basedOn w:val="1"/>
    <w:next w:val="1"/>
    <w:qFormat/>
    <w:uiPriority w:val="0"/>
    <w:pPr>
      <w:widowControl/>
      <w:tabs>
        <w:tab w:val="left" w:pos="840"/>
      </w:tabs>
      <w:ind w:left="840" w:hanging="420"/>
      <w:jc w:val="left"/>
    </w:pPr>
    <w:rPr>
      <w:kern w:val="0"/>
      <w:sz w:val="18"/>
    </w:rPr>
  </w:style>
  <w:style w:type="paragraph" w:customStyle="1" w:styleId="496">
    <w:name w:val="Char Char11 Char Char Char1"/>
    <w:basedOn w:val="1"/>
    <w:qFormat/>
    <w:uiPriority w:val="6"/>
    <w:pPr>
      <w:spacing w:line="360" w:lineRule="auto"/>
    </w:pPr>
    <w:rPr>
      <w:szCs w:val="20"/>
    </w:rPr>
  </w:style>
  <w:style w:type="paragraph" w:customStyle="1" w:styleId="497">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8">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9">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0">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1">
    <w:name w:val="正文文字缩进2字"/>
    <w:basedOn w:val="2"/>
    <w:qFormat/>
    <w:uiPriority w:val="0"/>
    <w:pPr>
      <w:adjustRightInd/>
      <w:spacing w:before="60" w:after="60"/>
      <w:ind w:firstLine="200" w:firstLineChars="200"/>
    </w:pPr>
    <w:rPr>
      <w:rFonts w:ascii="Times New Roman"/>
      <w:szCs w:val="20"/>
      <w:lang w:val="en-US"/>
    </w:rPr>
  </w:style>
  <w:style w:type="paragraph" w:customStyle="1" w:styleId="502">
    <w:name w:val="默认段落字体 Para Char Char Char Char"/>
    <w:basedOn w:val="1"/>
    <w:qFormat/>
    <w:uiPriority w:val="0"/>
    <w:pPr>
      <w:spacing w:line="360" w:lineRule="auto"/>
    </w:pPr>
    <w:rPr>
      <w:szCs w:val="20"/>
    </w:rPr>
  </w:style>
  <w:style w:type="paragraph" w:customStyle="1" w:styleId="503">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5">
    <w:name w:val="Char2 Char Char Char2"/>
    <w:basedOn w:val="1"/>
    <w:qFormat/>
    <w:uiPriority w:val="0"/>
    <w:rPr>
      <w:rFonts w:ascii="仿宋_GB2312" w:eastAsia="仿宋_GB2312"/>
      <w:b/>
      <w:sz w:val="32"/>
      <w:szCs w:val="32"/>
    </w:rPr>
  </w:style>
  <w:style w:type="paragraph" w:customStyle="1" w:styleId="506">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7">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8">
    <w:name w:val="正文 首行缩进:  2 字符 Char"/>
    <w:basedOn w:val="1"/>
    <w:qFormat/>
    <w:uiPriority w:val="0"/>
    <w:pPr>
      <w:adjustRightInd/>
      <w:spacing w:line="360" w:lineRule="auto"/>
      <w:ind w:firstLine="480"/>
    </w:pPr>
    <w:rPr>
      <w:rFonts w:cs="宋体"/>
      <w:sz w:val="24"/>
      <w:szCs w:val="20"/>
    </w:rPr>
  </w:style>
  <w:style w:type="paragraph" w:customStyle="1" w:styleId="509">
    <w:name w:val="Char Char4 Char Char"/>
    <w:basedOn w:val="1"/>
    <w:qFormat/>
    <w:uiPriority w:val="0"/>
    <w:pPr>
      <w:widowControl/>
      <w:adjustRightInd/>
      <w:spacing w:after="160" w:line="240" w:lineRule="exact"/>
      <w:jc w:val="left"/>
    </w:pPr>
  </w:style>
  <w:style w:type="paragraph" w:customStyle="1" w:styleId="510">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1">
    <w:name w:val="Char Char11 Char Char Char2"/>
    <w:basedOn w:val="1"/>
    <w:qFormat/>
    <w:uiPriority w:val="0"/>
    <w:pPr>
      <w:spacing w:line="360" w:lineRule="auto"/>
    </w:pPr>
    <w:rPr>
      <w:szCs w:val="20"/>
    </w:rPr>
  </w:style>
  <w:style w:type="paragraph" w:customStyle="1" w:styleId="512">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3">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4">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5">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6">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7">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8">
    <w:name w:val="Char311"/>
    <w:basedOn w:val="1"/>
    <w:qFormat/>
    <w:uiPriority w:val="0"/>
    <w:pPr>
      <w:adjustRightInd/>
      <w:ind w:firstLine="200" w:firstLineChars="200"/>
    </w:pPr>
    <w:rPr>
      <w:rFonts w:ascii="Tahoma" w:hAnsi="Tahoma"/>
      <w:sz w:val="24"/>
      <w:szCs w:val="20"/>
    </w:rPr>
  </w:style>
  <w:style w:type="paragraph" w:customStyle="1" w:styleId="519">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0">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1">
    <w:name w:val="正文 内标"/>
    <w:basedOn w:val="436"/>
    <w:qFormat/>
    <w:uiPriority w:val="0"/>
    <w:pPr>
      <w:tabs>
        <w:tab w:val="left" w:pos="0"/>
      </w:tabs>
      <w:ind w:left="900" w:firstLine="0" w:firstLineChars="0"/>
    </w:pPr>
  </w:style>
  <w:style w:type="paragraph" w:customStyle="1" w:styleId="522">
    <w:name w:val="Bulleted List"/>
    <w:basedOn w:val="1"/>
    <w:qFormat/>
    <w:uiPriority w:val="0"/>
    <w:pPr>
      <w:tabs>
        <w:tab w:val="left" w:pos="1260"/>
      </w:tabs>
      <w:adjustRightInd/>
      <w:ind w:left="1260" w:hanging="420"/>
    </w:pPr>
  </w:style>
  <w:style w:type="paragraph" w:customStyle="1" w:styleId="523">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4">
    <w:name w:val="样式 左侧:  0.85 厘米"/>
    <w:basedOn w:val="1"/>
    <w:qFormat/>
    <w:uiPriority w:val="2"/>
    <w:pPr>
      <w:adjustRightInd/>
      <w:spacing w:line="360" w:lineRule="auto"/>
    </w:pPr>
    <w:rPr>
      <w:rFonts w:cs="宋体"/>
      <w:sz w:val="24"/>
      <w:szCs w:val="20"/>
    </w:rPr>
  </w:style>
  <w:style w:type="paragraph" w:customStyle="1" w:styleId="525">
    <w:name w:val="Char Char Char Char Char Char Char Char Char Char Char Char1 Char"/>
    <w:basedOn w:val="1"/>
    <w:qFormat/>
    <w:uiPriority w:val="0"/>
    <w:rPr>
      <w:rFonts w:ascii="Tahoma" w:hAnsi="Tahoma" w:cs="仿宋_GB2312"/>
      <w:sz w:val="24"/>
      <w:szCs w:val="20"/>
    </w:rPr>
  </w:style>
  <w:style w:type="paragraph" w:customStyle="1" w:styleId="526">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7">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9">
    <w:name w:val="Char Char1 Char Char Char Char Char Char"/>
    <w:basedOn w:val="1"/>
    <w:qFormat/>
    <w:uiPriority w:val="0"/>
    <w:rPr>
      <w:rFonts w:ascii="仿宋_GB2312" w:eastAsia="仿宋_GB2312"/>
      <w:b/>
      <w:sz w:val="32"/>
      <w:szCs w:val="20"/>
    </w:rPr>
  </w:style>
  <w:style w:type="paragraph" w:customStyle="1" w:styleId="530">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1">
    <w:name w:val="Char Char1 Char Char Char Char Char Char2"/>
    <w:basedOn w:val="1"/>
    <w:qFormat/>
    <w:uiPriority w:val="0"/>
    <w:rPr>
      <w:rFonts w:ascii="仿宋_GB2312" w:eastAsia="仿宋_GB2312"/>
      <w:b/>
      <w:sz w:val="32"/>
      <w:szCs w:val="20"/>
    </w:rPr>
  </w:style>
  <w:style w:type="paragraph" w:customStyle="1" w:styleId="532">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3">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4">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6">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7">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8">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9">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1">
    <w:name w:val="Char31"/>
    <w:basedOn w:val="1"/>
    <w:qFormat/>
    <w:uiPriority w:val="0"/>
    <w:pPr>
      <w:adjustRightInd/>
    </w:pPr>
    <w:rPr>
      <w:rFonts w:ascii="仿宋_GB2312" w:eastAsia="仿宋_GB2312"/>
      <w:b/>
      <w:sz w:val="32"/>
      <w:szCs w:val="32"/>
    </w:rPr>
  </w:style>
  <w:style w:type="paragraph" w:customStyle="1" w:styleId="542">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543">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4">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5">
    <w:name w:val="Char Char1"/>
    <w:basedOn w:val="1"/>
    <w:qFormat/>
    <w:uiPriority w:val="0"/>
    <w:pPr>
      <w:widowControl/>
      <w:spacing w:after="160" w:line="240" w:lineRule="exact"/>
      <w:jc w:val="left"/>
    </w:pPr>
    <w:rPr>
      <w:rFonts w:eastAsia="仿宋_GB2312"/>
      <w:sz w:val="28"/>
    </w:rPr>
  </w:style>
  <w:style w:type="paragraph" w:customStyle="1" w:styleId="546">
    <w:name w:val="Char21"/>
    <w:basedOn w:val="1"/>
    <w:qFormat/>
    <w:uiPriority w:val="0"/>
    <w:pPr>
      <w:adjustRightInd/>
      <w:ind w:firstLine="200" w:firstLineChars="200"/>
    </w:pPr>
    <w:rPr>
      <w:rFonts w:ascii="仿宋_GB2312" w:eastAsia="仿宋_GB2312"/>
      <w:b/>
      <w:sz w:val="32"/>
      <w:szCs w:val="32"/>
    </w:rPr>
  </w:style>
  <w:style w:type="paragraph" w:customStyle="1" w:styleId="547">
    <w:name w:val="列表段落11"/>
    <w:basedOn w:val="1"/>
    <w:qFormat/>
    <w:uiPriority w:val="34"/>
    <w:pPr>
      <w:adjustRightInd/>
      <w:ind w:right="238" w:firstLine="420"/>
    </w:pPr>
    <w:rPr>
      <w:rFonts w:ascii="Calibri" w:hAnsi="Calibri"/>
      <w:sz w:val="24"/>
    </w:rPr>
  </w:style>
  <w:style w:type="paragraph" w:customStyle="1" w:styleId="548">
    <w:name w:val="Char Char110"/>
    <w:basedOn w:val="1"/>
    <w:qFormat/>
    <w:uiPriority w:val="6"/>
    <w:pPr>
      <w:spacing w:line="360" w:lineRule="auto"/>
    </w:pPr>
    <w:rPr>
      <w:rFonts w:ascii="Tahoma" w:hAnsi="Tahoma"/>
      <w:sz w:val="24"/>
      <w:szCs w:val="20"/>
    </w:rPr>
  </w:style>
  <w:style w:type="paragraph" w:customStyle="1" w:styleId="549">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1">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2">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3">
    <w:name w:val="Char Char Char Char Char Char Char Char Char Char Char Char1 Char2"/>
    <w:basedOn w:val="1"/>
    <w:qFormat/>
    <w:uiPriority w:val="0"/>
    <w:rPr>
      <w:rFonts w:ascii="Tahoma" w:hAnsi="Tahoma" w:cs="仿宋_GB2312"/>
      <w:sz w:val="24"/>
      <w:szCs w:val="20"/>
    </w:rPr>
  </w:style>
  <w:style w:type="paragraph" w:customStyle="1" w:styleId="554">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5">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6">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7">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8">
    <w:name w:val="_Style 12"/>
    <w:basedOn w:val="19"/>
    <w:qFormat/>
    <w:uiPriority w:val="0"/>
    <w:pPr>
      <w:snapToGrid w:val="0"/>
      <w:spacing w:line="360" w:lineRule="auto"/>
    </w:pPr>
  </w:style>
  <w:style w:type="paragraph" w:customStyle="1" w:styleId="559">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0">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1">
    <w:name w:val="_Style 94"/>
    <w:basedOn w:val="1"/>
    <w:next w:val="104"/>
    <w:qFormat/>
    <w:uiPriority w:val="34"/>
    <w:pPr>
      <w:adjustRightInd/>
      <w:spacing w:line="360" w:lineRule="auto"/>
      <w:ind w:firstLine="200" w:firstLineChars="200"/>
    </w:pPr>
    <w:rPr>
      <w:rFonts w:ascii="Calibri" w:hAnsi="Calibri"/>
      <w:sz w:val="28"/>
      <w:szCs w:val="20"/>
    </w:rPr>
  </w:style>
  <w:style w:type="paragraph" w:customStyle="1" w:styleId="562">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3">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4">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5">
    <w:name w:val="3级标题"/>
    <w:basedOn w:val="359"/>
    <w:qFormat/>
    <w:uiPriority w:val="0"/>
    <w:pPr>
      <w:outlineLvl w:val="2"/>
    </w:pPr>
  </w:style>
  <w:style w:type="paragraph" w:customStyle="1" w:styleId="566">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7">
    <w:name w:val="Char1 Char Char Char3"/>
    <w:basedOn w:val="1"/>
    <w:qFormat/>
    <w:uiPriority w:val="0"/>
    <w:pPr>
      <w:adjustRightInd/>
      <w:ind w:firstLine="200" w:firstLineChars="200"/>
    </w:pPr>
    <w:rPr>
      <w:rFonts w:ascii="Tahoma" w:hAnsi="Tahoma"/>
      <w:sz w:val="24"/>
      <w:szCs w:val="20"/>
    </w:rPr>
  </w:style>
  <w:style w:type="paragraph" w:customStyle="1" w:styleId="568">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9">
    <w:name w:val="MM Empty"/>
    <w:basedOn w:val="1"/>
    <w:qFormat/>
    <w:uiPriority w:val="0"/>
    <w:pPr>
      <w:adjustRightInd/>
    </w:pPr>
  </w:style>
  <w:style w:type="paragraph" w:customStyle="1" w:styleId="570">
    <w:name w:val="Char24"/>
    <w:basedOn w:val="1"/>
    <w:qFormat/>
    <w:uiPriority w:val="0"/>
    <w:rPr>
      <w:rFonts w:ascii="仿宋_GB2312" w:eastAsia="仿宋_GB2312"/>
      <w:b/>
      <w:sz w:val="32"/>
      <w:szCs w:val="32"/>
    </w:rPr>
  </w:style>
  <w:style w:type="paragraph" w:customStyle="1" w:styleId="571">
    <w:name w:val="正文箭头"/>
    <w:basedOn w:val="225"/>
    <w:qFormat/>
    <w:uiPriority w:val="0"/>
  </w:style>
  <w:style w:type="paragraph" w:customStyle="1" w:styleId="572">
    <w:name w:val="U_编号2"/>
    <w:basedOn w:val="1"/>
    <w:qFormat/>
    <w:uiPriority w:val="0"/>
    <w:pPr>
      <w:tabs>
        <w:tab w:val="left" w:pos="785"/>
      </w:tabs>
      <w:adjustRightInd/>
      <w:spacing w:beforeLines="10" w:afterLines="10" w:line="300" w:lineRule="auto"/>
    </w:pPr>
    <w:rPr>
      <w:sz w:val="24"/>
    </w:rPr>
  </w:style>
  <w:style w:type="paragraph" w:customStyle="1" w:styleId="573">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4">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5">
    <w:name w:val="标书标题3"/>
    <w:basedOn w:val="5"/>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6">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7">
    <w:name w:val="_Style 1"/>
    <w:basedOn w:val="1"/>
    <w:qFormat/>
    <w:uiPriority w:val="34"/>
    <w:pPr>
      <w:adjustRightInd/>
      <w:ind w:firstLine="420" w:firstLineChars="200"/>
    </w:pPr>
    <w:rPr>
      <w:rFonts w:eastAsia="仿宋_GB2312"/>
      <w:sz w:val="28"/>
    </w:rPr>
  </w:style>
  <w:style w:type="paragraph" w:customStyle="1" w:styleId="578">
    <w:name w:val="表格 内容"/>
    <w:basedOn w:val="415"/>
    <w:qFormat/>
    <w:uiPriority w:val="0"/>
    <w:rPr>
      <w:b w:val="0"/>
      <w:sz w:val="20"/>
    </w:rPr>
  </w:style>
  <w:style w:type="paragraph" w:customStyle="1" w:styleId="579">
    <w:name w:val="正文首行缩进1"/>
    <w:basedOn w:val="2"/>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0">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1">
    <w:name w:val="数字标题5"/>
    <w:basedOn w:val="7"/>
    <w:next w:val="1"/>
    <w:qFormat/>
    <w:uiPriority w:val="0"/>
    <w:pPr>
      <w:tabs>
        <w:tab w:val="left" w:pos="1080"/>
        <w:tab w:val="clear" w:pos="1008"/>
      </w:tabs>
      <w:ind w:left="1080" w:hanging="1080"/>
    </w:pPr>
  </w:style>
  <w:style w:type="paragraph" w:customStyle="1" w:styleId="582">
    <w:name w:val="数字标题1"/>
    <w:basedOn w:val="3"/>
    <w:next w:val="1"/>
    <w:qFormat/>
    <w:uiPriority w:val="0"/>
    <w:pPr>
      <w:tabs>
        <w:tab w:val="left" w:pos="480"/>
        <w:tab w:val="clear" w:pos="432"/>
      </w:tabs>
      <w:ind w:left="480" w:hanging="480"/>
    </w:pPr>
  </w:style>
  <w:style w:type="paragraph" w:customStyle="1" w:styleId="583">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4">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5">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6">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7">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8">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9">
    <w:name w:val="0"/>
    <w:basedOn w:val="1"/>
    <w:qFormat/>
    <w:uiPriority w:val="0"/>
    <w:pPr>
      <w:widowControl/>
    </w:pPr>
    <w:rPr>
      <w:kern w:val="0"/>
      <w:sz w:val="24"/>
      <w:szCs w:val="20"/>
    </w:rPr>
  </w:style>
  <w:style w:type="paragraph" w:customStyle="1" w:styleId="590">
    <w:name w:val="Char Char113"/>
    <w:basedOn w:val="1"/>
    <w:qFormat/>
    <w:uiPriority w:val="0"/>
    <w:pPr>
      <w:widowControl/>
      <w:spacing w:after="160" w:line="240" w:lineRule="exact"/>
      <w:jc w:val="left"/>
    </w:pPr>
    <w:rPr>
      <w:rFonts w:eastAsia="仿宋_GB2312"/>
      <w:sz w:val="28"/>
    </w:rPr>
  </w:style>
  <w:style w:type="paragraph" w:customStyle="1" w:styleId="5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2">
    <w:name w:val="_Style 8"/>
    <w:basedOn w:val="1"/>
    <w:qFormat/>
    <w:uiPriority w:val="34"/>
    <w:pPr>
      <w:adjustRightInd/>
      <w:ind w:firstLine="420" w:firstLineChars="200"/>
    </w:pPr>
    <w:rPr>
      <w:rFonts w:eastAsia="仿宋_GB2312"/>
      <w:sz w:val="28"/>
    </w:rPr>
  </w:style>
  <w:style w:type="paragraph" w:customStyle="1" w:styleId="593">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4">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5">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7">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8">
    <w:name w:val="Char Char112"/>
    <w:basedOn w:val="1"/>
    <w:qFormat/>
    <w:uiPriority w:val="6"/>
    <w:pPr>
      <w:widowControl/>
      <w:spacing w:after="160" w:line="240" w:lineRule="exact"/>
      <w:jc w:val="left"/>
    </w:pPr>
    <w:rPr>
      <w:rFonts w:eastAsia="仿宋_GB2312"/>
      <w:sz w:val="28"/>
    </w:rPr>
  </w:style>
  <w:style w:type="paragraph" w:customStyle="1" w:styleId="599">
    <w:name w:val="正文 图"/>
    <w:basedOn w:val="130"/>
    <w:qFormat/>
    <w:uiPriority w:val="0"/>
    <w:pPr>
      <w:adjustRightInd/>
      <w:spacing w:before="0"/>
      <w:ind w:firstLine="0"/>
      <w:jc w:val="center"/>
    </w:pPr>
    <w:rPr>
      <w:rFonts w:ascii="微软雅黑" w:hAnsi="微软雅黑"/>
    </w:rPr>
  </w:style>
  <w:style w:type="paragraph" w:customStyle="1" w:styleId="600">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1">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2">
    <w:name w:val="Thf"/>
    <w:basedOn w:val="249"/>
    <w:qFormat/>
    <w:uiPriority w:val="0"/>
    <w:pPr>
      <w:ind w:left="0"/>
    </w:pPr>
  </w:style>
  <w:style w:type="paragraph" w:customStyle="1" w:styleId="603">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4">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5">
    <w:name w:val="注释"/>
    <w:basedOn w:val="1"/>
    <w:qFormat/>
    <w:uiPriority w:val="0"/>
    <w:pPr>
      <w:adjustRightInd/>
      <w:spacing w:line="360" w:lineRule="auto"/>
      <w:ind w:firstLine="480"/>
    </w:pPr>
    <w:rPr>
      <w:sz w:val="24"/>
    </w:rPr>
  </w:style>
  <w:style w:type="paragraph" w:customStyle="1" w:styleId="606">
    <w:name w:val="列出段落111"/>
    <w:basedOn w:val="1"/>
    <w:qFormat/>
    <w:uiPriority w:val="34"/>
    <w:pPr>
      <w:ind w:firstLine="420" w:firstLineChars="200"/>
    </w:pPr>
  </w:style>
  <w:style w:type="paragraph" w:customStyle="1" w:styleId="607">
    <w:name w:val="标准文本"/>
    <w:basedOn w:val="1"/>
    <w:link w:val="942"/>
    <w:qFormat/>
    <w:uiPriority w:val="0"/>
    <w:pPr>
      <w:adjustRightInd/>
      <w:spacing w:line="360" w:lineRule="auto"/>
      <w:ind w:firstLine="480" w:firstLineChars="200"/>
    </w:pPr>
    <w:rPr>
      <w:rFonts w:cs="宋体"/>
      <w:sz w:val="24"/>
      <w:szCs w:val="20"/>
    </w:rPr>
  </w:style>
  <w:style w:type="paragraph" w:customStyle="1" w:styleId="608">
    <w:name w:val="_Style 947"/>
    <w:basedOn w:val="1"/>
    <w:next w:val="104"/>
    <w:qFormat/>
    <w:uiPriority w:val="34"/>
    <w:pPr>
      <w:adjustRightInd/>
      <w:ind w:firstLine="420" w:firstLineChars="200"/>
    </w:pPr>
  </w:style>
  <w:style w:type="paragraph" w:customStyle="1" w:styleId="609">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0">
    <w:name w:val="纯文本2"/>
    <w:basedOn w:val="1"/>
    <w:qFormat/>
    <w:uiPriority w:val="0"/>
    <w:pPr>
      <w:adjustRightInd/>
      <w:snapToGrid w:val="0"/>
      <w:jc w:val="left"/>
    </w:pPr>
    <w:rPr>
      <w:rFonts w:ascii="Century Gothic" w:hAnsi="楷体_GB2312" w:eastAsia="Century Gothic"/>
      <w:szCs w:val="20"/>
    </w:rPr>
  </w:style>
  <w:style w:type="paragraph" w:customStyle="1" w:styleId="611">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2">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3">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4">
    <w:name w:val="Blockquote"/>
    <w:basedOn w:val="1"/>
    <w:qFormat/>
    <w:uiPriority w:val="0"/>
    <w:pPr>
      <w:autoSpaceDE w:val="0"/>
      <w:autoSpaceDN w:val="0"/>
      <w:spacing w:before="100" w:after="100"/>
      <w:ind w:left="360" w:right="360"/>
      <w:jc w:val="left"/>
    </w:pPr>
    <w:rPr>
      <w:kern w:val="0"/>
      <w:sz w:val="24"/>
      <w:szCs w:val="20"/>
    </w:rPr>
  </w:style>
  <w:style w:type="paragraph" w:customStyle="1" w:styleId="615">
    <w:name w:val="p1"/>
    <w:basedOn w:val="1"/>
    <w:qFormat/>
    <w:uiPriority w:val="0"/>
    <w:pPr>
      <w:widowControl/>
      <w:adjustRightInd/>
      <w:jc w:val="left"/>
    </w:pPr>
    <w:rPr>
      <w:rFonts w:ascii=".PingFang SC" w:eastAsia=".PingFang SC"/>
      <w:color w:val="454545"/>
      <w:kern w:val="0"/>
      <w:sz w:val="18"/>
      <w:szCs w:val="18"/>
    </w:rPr>
  </w:style>
  <w:style w:type="paragraph" w:customStyle="1" w:styleId="616">
    <w:name w:val="Table Paragraph"/>
    <w:basedOn w:val="1"/>
    <w:qFormat/>
    <w:uiPriority w:val="0"/>
    <w:pPr>
      <w:adjustRightInd/>
      <w:jc w:val="left"/>
    </w:pPr>
    <w:rPr>
      <w:rFonts w:ascii="Calibri" w:hAnsi="Calibri"/>
      <w:kern w:val="0"/>
      <w:sz w:val="22"/>
      <w:szCs w:val="22"/>
      <w:lang w:eastAsia="en-US"/>
    </w:rPr>
  </w:style>
  <w:style w:type="paragraph" w:customStyle="1" w:styleId="61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8">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0">
    <w:name w:val="招标正文"/>
    <w:basedOn w:val="1"/>
    <w:qFormat/>
    <w:uiPriority w:val="0"/>
    <w:pPr>
      <w:snapToGrid w:val="0"/>
      <w:spacing w:line="360" w:lineRule="auto"/>
      <w:ind w:firstLine="480" w:firstLineChars="200"/>
    </w:pPr>
    <w:rPr>
      <w:rFonts w:ascii="宋体" w:hAnsi="宋体"/>
      <w:color w:val="000000"/>
      <w:kern w:val="0"/>
      <w:sz w:val="24"/>
      <w:szCs w:val="21"/>
    </w:rPr>
  </w:style>
  <w:style w:type="character" w:customStyle="1" w:styleId="621">
    <w:name w:val="表格非标题文字 Char"/>
    <w:link w:val="84"/>
    <w:qFormat/>
    <w:uiPriority w:val="0"/>
    <w:rPr>
      <w:rFonts w:ascii="Futura Bk" w:hAnsi="Futura Bk"/>
      <w:kern w:val="2"/>
      <w:sz w:val="18"/>
      <w:szCs w:val="21"/>
      <w:lang w:val="en-US" w:eastAsia="zh-CN" w:bidi="ar-SA"/>
    </w:rPr>
  </w:style>
  <w:style w:type="character" w:customStyle="1" w:styleId="622">
    <w:name w:val="*正文 Char"/>
    <w:link w:val="85"/>
    <w:qFormat/>
    <w:locked/>
    <w:uiPriority w:val="0"/>
    <w:rPr>
      <w:rFonts w:ascii="宋体" w:hAnsi="宋体"/>
      <w:sz w:val="24"/>
    </w:rPr>
  </w:style>
  <w:style w:type="character" w:customStyle="1" w:styleId="623">
    <w:name w:val="Char Char71"/>
    <w:semiHidden/>
    <w:qFormat/>
    <w:uiPriority w:val="0"/>
    <w:rPr>
      <w:rFonts w:eastAsia="宋体"/>
      <w:kern w:val="2"/>
      <w:sz w:val="21"/>
      <w:szCs w:val="24"/>
      <w:lang w:val="en-US" w:eastAsia="zh-CN" w:bidi="ar-SA"/>
    </w:rPr>
  </w:style>
  <w:style w:type="character" w:customStyle="1" w:styleId="624">
    <w:name w:val="Char Char6"/>
    <w:qFormat/>
    <w:uiPriority w:val="0"/>
    <w:rPr>
      <w:rFonts w:eastAsia="宋体"/>
      <w:kern w:val="2"/>
      <w:sz w:val="21"/>
      <w:szCs w:val="24"/>
      <w:lang w:val="en-US" w:eastAsia="zh-CN" w:bidi="ar-SA"/>
    </w:rPr>
  </w:style>
  <w:style w:type="character" w:customStyle="1" w:styleId="625">
    <w:name w:val="正文缩进 Char"/>
    <w:qFormat/>
    <w:uiPriority w:val="0"/>
    <w:rPr>
      <w:rFonts w:eastAsia="宋体"/>
      <w:kern w:val="2"/>
      <w:sz w:val="21"/>
      <w:lang w:val="en-US" w:eastAsia="zh-CN"/>
    </w:rPr>
  </w:style>
  <w:style w:type="character" w:customStyle="1" w:styleId="626">
    <w:name w:val="正文首行缩进 Char1"/>
    <w:qFormat/>
    <w:uiPriority w:val="0"/>
    <w:rPr>
      <w:rFonts w:ascii="宋体" w:hAnsi="Times New Roman" w:eastAsia="宋体" w:cs="Times New Roman"/>
      <w:snapToGrid w:val="0"/>
      <w:kern w:val="2"/>
      <w:sz w:val="24"/>
      <w:szCs w:val="21"/>
      <w:lang w:val="zh-CN"/>
    </w:rPr>
  </w:style>
  <w:style w:type="character" w:customStyle="1" w:styleId="627">
    <w:name w:val="Char Char28"/>
    <w:qFormat/>
    <w:uiPriority w:val="6"/>
    <w:rPr>
      <w:rFonts w:ascii="仿宋_GB2312" w:hAnsi="仿宋_GB2312" w:eastAsia="仿宋_GB2312"/>
      <w:kern w:val="1"/>
      <w:sz w:val="28"/>
    </w:rPr>
  </w:style>
  <w:style w:type="character" w:customStyle="1" w:styleId="62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9">
    <w:name w:val="Heading 1 Char"/>
    <w:qFormat/>
    <w:uiPriority w:val="6"/>
    <w:rPr>
      <w:rFonts w:ascii="Times New Roman" w:hAnsi="Times New Roman" w:eastAsia="黑体" w:cs="Times New Roman"/>
      <w:b/>
      <w:kern w:val="0"/>
      <w:sz w:val="24"/>
      <w:szCs w:val="24"/>
    </w:rPr>
  </w:style>
  <w:style w:type="character" w:customStyle="1" w:styleId="630">
    <w:name w:val="U_正文 Char"/>
    <w:link w:val="86"/>
    <w:qFormat/>
    <w:uiPriority w:val="0"/>
    <w:rPr>
      <w:sz w:val="24"/>
      <w:szCs w:val="24"/>
    </w:rPr>
  </w:style>
  <w:style w:type="character" w:customStyle="1" w:styleId="631">
    <w:name w:val="HTML 地址 Char1"/>
    <w:qFormat/>
    <w:uiPriority w:val="0"/>
    <w:rPr>
      <w:rFonts w:ascii="Times New Roman" w:hAnsi="Times New Roman" w:eastAsia="宋体" w:cs="Times New Roman"/>
      <w:i/>
      <w:iCs/>
      <w:szCs w:val="24"/>
    </w:rPr>
  </w:style>
  <w:style w:type="character" w:customStyle="1" w:styleId="632">
    <w:name w:val="批注主题 字符"/>
    <w:link w:val="63"/>
    <w:qFormat/>
    <w:uiPriority w:val="0"/>
    <w:rPr>
      <w:b/>
      <w:bCs/>
      <w:kern w:val="2"/>
      <w:sz w:val="21"/>
      <w:szCs w:val="24"/>
    </w:rPr>
  </w:style>
  <w:style w:type="character" w:customStyle="1" w:styleId="633">
    <w:name w:val="Char Char51"/>
    <w:qFormat/>
    <w:uiPriority w:val="0"/>
    <w:rPr>
      <w:rFonts w:ascii="宋体" w:hAnsi="Courier New" w:eastAsia="宋体"/>
      <w:kern w:val="2"/>
      <w:sz w:val="21"/>
      <w:lang w:val="en-US" w:eastAsia="zh-CN"/>
    </w:rPr>
  </w:style>
  <w:style w:type="character" w:customStyle="1" w:styleId="634">
    <w:name w:val="表正文 Char"/>
    <w:qFormat/>
    <w:uiPriority w:val="0"/>
    <w:rPr>
      <w:rFonts w:ascii="宋体" w:eastAsia="宋体"/>
      <w:snapToGrid w:val="0"/>
      <w:color w:val="000000"/>
      <w:kern w:val="28"/>
      <w:sz w:val="28"/>
      <w:lang w:val="en-US" w:eastAsia="zh-CN" w:bidi="ar-SA"/>
    </w:rPr>
  </w:style>
  <w:style w:type="character" w:customStyle="1" w:styleId="635">
    <w:name w:val="Char Char34"/>
    <w:qFormat/>
    <w:uiPriority w:val="6"/>
    <w:rPr>
      <w:b/>
      <w:kern w:val="1"/>
      <w:sz w:val="28"/>
      <w:szCs w:val="28"/>
    </w:rPr>
  </w:style>
  <w:style w:type="character" w:customStyle="1" w:styleId="636">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7">
    <w:name w:val="哈哈正文 Char"/>
    <w:link w:val="87"/>
    <w:qFormat/>
    <w:uiPriority w:val="0"/>
    <w:rPr>
      <w:rFonts w:ascii="宋体" w:hAnsi="宋体" w:eastAsia="宋体"/>
      <w:kern w:val="2"/>
      <w:sz w:val="24"/>
      <w:lang w:bidi="ar-SA"/>
    </w:rPr>
  </w:style>
  <w:style w:type="character" w:customStyle="1" w:styleId="638">
    <w:name w:val="未处理的提及1"/>
    <w:qFormat/>
    <w:uiPriority w:val="0"/>
    <w:rPr>
      <w:color w:val="808080"/>
      <w:shd w:val="clear" w:color="auto" w:fill="E6E6E6"/>
    </w:rPr>
  </w:style>
  <w:style w:type="character" w:customStyle="1" w:styleId="639">
    <w:name w:val="txt"/>
    <w:qFormat/>
    <w:uiPriority w:val="0"/>
    <w:rPr>
      <w:rFonts w:ascii="仿宋_GB2312" w:eastAsia="微软雅黑"/>
      <w:b/>
      <w:kern w:val="2"/>
      <w:sz w:val="32"/>
      <w:szCs w:val="32"/>
      <w:lang w:val="en-US" w:eastAsia="zh-CN" w:bidi="ar-SA"/>
    </w:rPr>
  </w:style>
  <w:style w:type="character" w:customStyle="1" w:styleId="640">
    <w:name w:val="二级标题 Char Char"/>
    <w:qFormat/>
    <w:uiPriority w:val="0"/>
    <w:rPr>
      <w:rFonts w:ascii="宋体" w:hAnsi="宋体" w:eastAsia="宋体"/>
      <w:b/>
      <w:snapToGrid w:val="0"/>
      <w:kern w:val="2"/>
      <w:sz w:val="24"/>
      <w:szCs w:val="24"/>
      <w:lang w:val="en-US" w:eastAsia="zh-CN" w:bidi="ar-SA"/>
    </w:rPr>
  </w:style>
  <w:style w:type="character" w:customStyle="1" w:styleId="641">
    <w:name w:val="Char Char32"/>
    <w:qFormat/>
    <w:uiPriority w:val="6"/>
    <w:rPr>
      <w:b/>
      <w:kern w:val="1"/>
      <w:sz w:val="24"/>
      <w:szCs w:val="24"/>
    </w:rPr>
  </w:style>
  <w:style w:type="character" w:customStyle="1" w:styleId="642">
    <w:name w:val="PI Char1"/>
    <w:qFormat/>
    <w:uiPriority w:val="0"/>
    <w:rPr>
      <w:rFonts w:ascii="宋体" w:hAnsi="宋体"/>
      <w:kern w:val="2"/>
      <w:sz w:val="24"/>
      <w:szCs w:val="24"/>
    </w:rPr>
  </w:style>
  <w:style w:type="character" w:customStyle="1" w:styleId="643">
    <w:name w:val="tw4winTerm"/>
    <w:qFormat/>
    <w:uiPriority w:val="0"/>
    <w:rPr>
      <w:color w:val="0000FF"/>
    </w:rPr>
  </w:style>
  <w:style w:type="character" w:customStyle="1" w:styleId="644">
    <w:name w:val="Footer Char"/>
    <w:qFormat/>
    <w:locked/>
    <w:uiPriority w:val="0"/>
    <w:rPr>
      <w:rFonts w:eastAsia="宋体"/>
      <w:kern w:val="2"/>
      <w:sz w:val="18"/>
      <w:lang w:val="en-US" w:eastAsia="zh-CN" w:bidi="ar-SA"/>
    </w:rPr>
  </w:style>
  <w:style w:type="character" w:customStyle="1" w:styleId="645">
    <w:name w:val="普通文字 Char Char1"/>
    <w:qFormat/>
    <w:uiPriority w:val="0"/>
    <w:rPr>
      <w:rFonts w:ascii="宋体" w:hAnsi="Courier New"/>
      <w:kern w:val="2"/>
      <w:sz w:val="21"/>
    </w:rPr>
  </w:style>
  <w:style w:type="character" w:customStyle="1" w:styleId="646">
    <w:name w:val="Char Char101"/>
    <w:qFormat/>
    <w:uiPriority w:val="6"/>
    <w:rPr>
      <w:rFonts w:ascii="宋体" w:hAnsi="宋体"/>
      <w:kern w:val="2"/>
      <w:sz w:val="21"/>
      <w:szCs w:val="24"/>
      <w:lang w:val="en-US" w:eastAsia="zh-CN"/>
    </w:rPr>
  </w:style>
  <w:style w:type="character" w:customStyle="1" w:styleId="647">
    <w:name w:val="标题 4 Char"/>
    <w:qFormat/>
    <w:uiPriority w:val="0"/>
    <w:rPr>
      <w:rFonts w:ascii="Arial" w:hAnsi="Arial" w:eastAsia="黑体"/>
      <w:b/>
      <w:kern w:val="2"/>
      <w:sz w:val="28"/>
    </w:rPr>
  </w:style>
  <w:style w:type="character" w:customStyle="1" w:styleId="648">
    <w:name w:val="链接"/>
    <w:qFormat/>
    <w:uiPriority w:val="0"/>
    <w:rPr>
      <w:color w:val="0000FF"/>
      <w:sz w:val="21"/>
      <w:szCs w:val="21"/>
      <w:u w:val="single"/>
    </w:rPr>
  </w:style>
  <w:style w:type="character" w:customStyle="1" w:styleId="649">
    <w:name w:val="h4 Char"/>
    <w:qFormat/>
    <w:uiPriority w:val="0"/>
    <w:rPr>
      <w:rFonts w:ascii="Arial" w:hAnsi="Arial" w:eastAsia="黑体"/>
      <w:b/>
      <w:bCs/>
      <w:kern w:val="2"/>
      <w:sz w:val="28"/>
      <w:szCs w:val="28"/>
      <w:lang w:val="zh-CN" w:eastAsia="zh-CN" w:bidi="ar-SA"/>
    </w:rPr>
  </w:style>
  <w:style w:type="character" w:customStyle="1" w:styleId="650">
    <w:name w:val="5正文 Char"/>
    <w:link w:val="88"/>
    <w:qFormat/>
    <w:uiPriority w:val="0"/>
    <w:rPr>
      <w:rFonts w:ascii="仿宋_GB2312" w:hAnsi="微软雅黑" w:eastAsia="仿宋_GB2312"/>
      <w:sz w:val="28"/>
      <w:szCs w:val="21"/>
    </w:rPr>
  </w:style>
  <w:style w:type="character" w:customStyle="1" w:styleId="651">
    <w:name w:val="标题 3 字符"/>
    <w:qFormat/>
    <w:uiPriority w:val="9"/>
    <w:rPr>
      <w:b/>
      <w:bCs/>
      <w:kern w:val="2"/>
      <w:sz w:val="32"/>
      <w:szCs w:val="32"/>
    </w:rPr>
  </w:style>
  <w:style w:type="character" w:customStyle="1" w:styleId="652">
    <w:name w:val="样式6 Char"/>
    <w:qFormat/>
    <w:uiPriority w:val="0"/>
    <w:rPr>
      <w:rFonts w:ascii="仿宋_GB2312" w:hAnsi="宋体" w:eastAsia="仿宋_GB2312"/>
      <w:b/>
      <w:bCs/>
      <w:kern w:val="2"/>
      <w:sz w:val="24"/>
      <w:szCs w:val="24"/>
      <w:lang w:val="en-US" w:eastAsia="zh-CN" w:bidi="ar-SA"/>
    </w:rPr>
  </w:style>
  <w:style w:type="character" w:customStyle="1" w:styleId="653">
    <w:name w:val="Char Char14"/>
    <w:qFormat/>
    <w:uiPriority w:val="6"/>
    <w:rPr>
      <w:rFonts w:ascii="黑体" w:hAnsi="黑体" w:eastAsia="黑体"/>
    </w:rPr>
  </w:style>
  <w:style w:type="character" w:customStyle="1" w:styleId="654">
    <w:name w:val="Heading 2 Hidden Char"/>
    <w:qFormat/>
    <w:uiPriority w:val="0"/>
    <w:rPr>
      <w:rFonts w:ascii="仿宋_GB2312" w:eastAsia="仿宋_GB2312"/>
      <w:b/>
      <w:bCs/>
      <w:kern w:val="2"/>
      <w:sz w:val="24"/>
      <w:szCs w:val="24"/>
      <w:lang w:val="zh-CN" w:eastAsia="zh-CN" w:bidi="ar-SA"/>
    </w:rPr>
  </w:style>
  <w:style w:type="character" w:customStyle="1" w:styleId="655">
    <w:name w:val="正文文本首行缩进 2 字符"/>
    <w:link w:val="65"/>
    <w:qFormat/>
    <w:uiPriority w:val="0"/>
    <w:rPr>
      <w:rFonts w:ascii="宋体" w:hAnsi="宋体"/>
      <w:kern w:val="2"/>
      <w:sz w:val="21"/>
      <w:szCs w:val="24"/>
    </w:rPr>
  </w:style>
  <w:style w:type="character" w:customStyle="1" w:styleId="656">
    <w:name w:val="font11"/>
    <w:basedOn w:val="73"/>
    <w:qFormat/>
    <w:uiPriority w:val="0"/>
    <w:rPr>
      <w:rFonts w:hint="default" w:ascii="Times New Roman" w:hAnsi="Times New Roman" w:cs="Times New Roman"/>
      <w:color w:val="000000"/>
      <w:sz w:val="22"/>
      <w:szCs w:val="22"/>
      <w:u w:val="none"/>
    </w:rPr>
  </w:style>
  <w:style w:type="character" w:customStyle="1" w:styleId="657">
    <w:name w:val="表正文 Char1"/>
    <w:qFormat/>
    <w:uiPriority w:val="0"/>
    <w:rPr>
      <w:rFonts w:ascii="宋体" w:eastAsia="宋体"/>
      <w:snapToGrid w:val="0"/>
      <w:color w:val="000000"/>
      <w:kern w:val="28"/>
      <w:sz w:val="28"/>
    </w:rPr>
  </w:style>
  <w:style w:type="character" w:customStyle="1" w:styleId="658">
    <w:name w:val="blue1"/>
    <w:basedOn w:val="73"/>
    <w:qFormat/>
    <w:uiPriority w:val="0"/>
    <w:rPr>
      <w:rFonts w:ascii="Arial" w:hAnsi="Arial" w:eastAsia="黑体" w:cs="Arial"/>
      <w:snapToGrid w:val="0"/>
      <w:kern w:val="0"/>
      <w:szCs w:val="21"/>
    </w:rPr>
  </w:style>
  <w:style w:type="character" w:customStyle="1" w:styleId="659">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660">
    <w:name w:val="标书1 Char"/>
    <w:qFormat/>
    <w:uiPriority w:val="0"/>
    <w:rPr>
      <w:rFonts w:eastAsia="宋体"/>
      <w:b/>
      <w:bCs/>
      <w:kern w:val="44"/>
      <w:sz w:val="44"/>
      <w:szCs w:val="44"/>
      <w:lang w:val="en-US" w:eastAsia="zh-CN" w:bidi="ar-SA"/>
    </w:rPr>
  </w:style>
  <w:style w:type="character" w:customStyle="1" w:styleId="661">
    <w:name w:val="样式5 Char"/>
    <w:qFormat/>
    <w:uiPriority w:val="0"/>
    <w:rPr>
      <w:rFonts w:ascii="仿宋_GB2312" w:hAnsi="仿宋" w:eastAsia="仿宋_GB2312"/>
      <w:kern w:val="2"/>
      <w:sz w:val="24"/>
      <w:szCs w:val="24"/>
    </w:rPr>
  </w:style>
  <w:style w:type="character" w:customStyle="1" w:styleId="662">
    <w:name w:val="样式4 Char"/>
    <w:qFormat/>
    <w:uiPriority w:val="0"/>
    <w:rPr>
      <w:rFonts w:ascii="仿宋_GB2312" w:hAnsi="仿宋" w:eastAsia="仿宋_GB2312"/>
      <w:b/>
      <w:kern w:val="2"/>
      <w:sz w:val="32"/>
      <w:szCs w:val="32"/>
      <w:lang w:bidi="ar-SA"/>
    </w:rPr>
  </w:style>
  <w:style w:type="character" w:customStyle="1" w:styleId="663">
    <w:name w:val="插图说明 Char"/>
    <w:qFormat/>
    <w:uiPriority w:val="0"/>
    <w:rPr>
      <w:rFonts w:eastAsia="黑体"/>
      <w:sz w:val="24"/>
      <w:lang w:val="en-US" w:eastAsia="zh-CN"/>
    </w:rPr>
  </w:style>
  <w:style w:type="character" w:customStyle="1" w:styleId="664">
    <w:name w:val="正文2 Char Char"/>
    <w:link w:val="89"/>
    <w:qFormat/>
    <w:uiPriority w:val="0"/>
    <w:rPr>
      <w:rFonts w:eastAsia="宋体"/>
      <w:kern w:val="2"/>
      <w:sz w:val="24"/>
      <w:lang w:val="en-US" w:eastAsia="zh-CN" w:bidi="ar-SA"/>
    </w:rPr>
  </w:style>
  <w:style w:type="character" w:customStyle="1" w:styleId="665">
    <w:name w:val="Char Char24"/>
    <w:qFormat/>
    <w:uiPriority w:val="6"/>
    <w:rPr>
      <w:kern w:val="1"/>
      <w:sz w:val="21"/>
    </w:rPr>
  </w:style>
  <w:style w:type="character" w:customStyle="1" w:styleId="666">
    <w:name w:val="副标题 字符"/>
    <w:link w:val="50"/>
    <w:qFormat/>
    <w:uiPriority w:val="0"/>
    <w:rPr>
      <w:rFonts w:ascii="Arial" w:hAnsi="Arial" w:eastAsia="隶书"/>
      <w:b/>
      <w:bCs/>
      <w:kern w:val="28"/>
      <w:sz w:val="44"/>
      <w:szCs w:val="32"/>
      <w:lang w:val="en-US" w:eastAsia="zh-CN" w:bidi="ar-SA"/>
    </w:rPr>
  </w:style>
  <w:style w:type="character" w:customStyle="1" w:styleId="667">
    <w:name w:val="普通文字 Char1 Char"/>
    <w:qFormat/>
    <w:uiPriority w:val="0"/>
    <w:rPr>
      <w:rFonts w:ascii="宋体" w:hAnsi="Courier New" w:eastAsia="宋体"/>
      <w:kern w:val="2"/>
      <w:sz w:val="21"/>
      <w:szCs w:val="24"/>
      <w:lang w:val="en-US" w:eastAsia="zh-CN" w:bidi="ar-SA"/>
    </w:rPr>
  </w:style>
  <w:style w:type="character" w:customStyle="1" w:styleId="668">
    <w:name w:val="h3 Char1"/>
    <w:qFormat/>
    <w:uiPriority w:val="0"/>
    <w:rPr>
      <w:rFonts w:eastAsia="宋体"/>
      <w:b/>
      <w:bCs/>
      <w:kern w:val="2"/>
      <w:sz w:val="32"/>
      <w:szCs w:val="32"/>
      <w:lang w:bidi="ar-SA"/>
    </w:rPr>
  </w:style>
  <w:style w:type="character" w:customStyle="1" w:styleId="669">
    <w:name w:val="标题 Char1"/>
    <w:qFormat/>
    <w:uiPriority w:val="0"/>
    <w:rPr>
      <w:rFonts w:ascii="Cambria" w:hAnsi="Cambria" w:eastAsia="宋体" w:cs="Times New Roman"/>
      <w:b/>
      <w:bCs/>
      <w:sz w:val="32"/>
      <w:szCs w:val="32"/>
      <w:lang w:bidi="ar-SA"/>
    </w:rPr>
  </w:style>
  <w:style w:type="character" w:customStyle="1" w:styleId="670">
    <w:name w:val="gf正文1 Char"/>
    <w:qFormat/>
    <w:uiPriority w:val="0"/>
    <w:rPr>
      <w:rFonts w:ascii="宋体" w:hAnsi="宋体" w:eastAsia="宋体" w:cs="宋体"/>
      <w:kern w:val="2"/>
      <w:sz w:val="24"/>
      <w:szCs w:val="24"/>
      <w:lang w:val="en-US" w:eastAsia="zh-CN" w:bidi="ar-SA"/>
    </w:rPr>
  </w:style>
  <w:style w:type="character" w:customStyle="1" w:styleId="671">
    <w:name w:val="正文文本缩进 Char1"/>
    <w:qFormat/>
    <w:uiPriority w:val="0"/>
    <w:rPr>
      <w:rFonts w:ascii="Calibri" w:hAnsi="Calibri"/>
      <w:sz w:val="28"/>
    </w:rPr>
  </w:style>
  <w:style w:type="character" w:customStyle="1" w:styleId="672">
    <w:name w:val="No Spacing Char"/>
    <w:link w:val="90"/>
    <w:qFormat/>
    <w:uiPriority w:val="1"/>
    <w:rPr>
      <w:sz w:val="22"/>
      <w:szCs w:val="22"/>
      <w:lang w:val="en-US" w:eastAsia="zh-CN" w:bidi="ar-SA"/>
    </w:rPr>
  </w:style>
  <w:style w:type="character" w:customStyle="1" w:styleId="673">
    <w:name w:val="样式7 Char"/>
    <w:qFormat/>
    <w:uiPriority w:val="0"/>
    <w:rPr>
      <w:rFonts w:ascii="仿宋_GB2312" w:hAnsi="仿宋" w:eastAsia="仿宋_GB2312"/>
      <w:b/>
      <w:kern w:val="2"/>
      <w:sz w:val="24"/>
      <w:szCs w:val="24"/>
    </w:rPr>
  </w:style>
  <w:style w:type="character" w:customStyle="1" w:styleId="674">
    <w:name w:val="font12gray1"/>
    <w:qFormat/>
    <w:uiPriority w:val="0"/>
    <w:rPr>
      <w:rFonts w:ascii="仿宋_GB2312" w:eastAsia="微软雅黑"/>
      <w:b/>
      <w:spacing w:val="300"/>
      <w:kern w:val="2"/>
      <w:sz w:val="18"/>
      <w:szCs w:val="18"/>
      <w:lang w:val="en-US" w:eastAsia="zh-CN" w:bidi="ar-SA"/>
    </w:rPr>
  </w:style>
  <w:style w:type="character" w:customStyle="1" w:styleId="675">
    <w:name w:val="Char Char7"/>
    <w:semiHidden/>
    <w:qFormat/>
    <w:uiPriority w:val="0"/>
    <w:rPr>
      <w:rFonts w:eastAsia="宋体"/>
      <w:kern w:val="2"/>
      <w:sz w:val="21"/>
      <w:szCs w:val="24"/>
      <w:lang w:val="en-US" w:eastAsia="zh-CN" w:bidi="ar-SA"/>
    </w:rPr>
  </w:style>
  <w:style w:type="character" w:customStyle="1" w:styleId="676">
    <w:name w:val="表名 Char"/>
    <w:qFormat/>
    <w:uiPriority w:val="0"/>
    <w:rPr>
      <w:rFonts w:eastAsia="宋体"/>
      <w:b/>
      <w:bCs/>
      <w:kern w:val="2"/>
      <w:sz w:val="24"/>
      <w:szCs w:val="24"/>
      <w:lang w:val="en-US" w:eastAsia="zh-CN" w:bidi="ar-SA"/>
    </w:rPr>
  </w:style>
  <w:style w:type="character" w:customStyle="1" w:styleId="677">
    <w:name w:val="Document Map Char"/>
    <w:qFormat/>
    <w:locked/>
    <w:uiPriority w:val="0"/>
    <w:rPr>
      <w:rFonts w:eastAsia="宋体"/>
      <w:kern w:val="2"/>
      <w:sz w:val="21"/>
      <w:szCs w:val="24"/>
      <w:lang w:val="en-US" w:eastAsia="zh-CN" w:bidi="ar-SA"/>
    </w:rPr>
  </w:style>
  <w:style w:type="character" w:customStyle="1" w:styleId="678">
    <w:name w:val="font41"/>
    <w:qFormat/>
    <w:uiPriority w:val="0"/>
    <w:rPr>
      <w:rFonts w:hint="eastAsia" w:ascii="仿宋_GB2312" w:eastAsia="仿宋_GB2312" w:cs="仿宋_GB2312"/>
      <w:color w:val="000000"/>
      <w:sz w:val="22"/>
      <w:szCs w:val="22"/>
      <w:u w:val="none"/>
    </w:rPr>
  </w:style>
  <w:style w:type="character" w:customStyle="1" w:styleId="679">
    <w:name w:val="标题 6 字符"/>
    <w:link w:val="8"/>
    <w:qFormat/>
    <w:uiPriority w:val="0"/>
    <w:rPr>
      <w:rFonts w:ascii="Arial" w:hAnsi="Arial" w:eastAsia="黑体"/>
      <w:b/>
      <w:bCs/>
      <w:kern w:val="2"/>
      <w:sz w:val="24"/>
      <w:szCs w:val="24"/>
    </w:rPr>
  </w:style>
  <w:style w:type="character" w:customStyle="1" w:styleId="680">
    <w:name w:val="纯文本 Char_0"/>
    <w:link w:val="91"/>
    <w:qFormat/>
    <w:uiPriority w:val="0"/>
    <w:rPr>
      <w:rFonts w:ascii="宋体" w:hAnsi="Courier New"/>
      <w:kern w:val="2"/>
      <w:sz w:val="21"/>
      <w:szCs w:val="21"/>
      <w:lang w:val="en-US" w:eastAsia="zh-CN"/>
    </w:rPr>
  </w:style>
  <w:style w:type="character" w:customStyle="1" w:styleId="681">
    <w:name w:val="Balloon Text Char"/>
    <w:qFormat/>
    <w:locked/>
    <w:uiPriority w:val="0"/>
    <w:rPr>
      <w:rFonts w:eastAsia="宋体"/>
      <w:kern w:val="2"/>
      <w:sz w:val="18"/>
      <w:szCs w:val="18"/>
      <w:lang w:val="en-US" w:eastAsia="zh-CN" w:bidi="ar-SA"/>
    </w:rPr>
  </w:style>
  <w:style w:type="character" w:customStyle="1" w:styleId="682">
    <w:name w:val="正文 项目2 Char"/>
    <w:basedOn w:val="683"/>
    <w:qFormat/>
    <w:uiPriority w:val="0"/>
    <w:rPr>
      <w:rFonts w:ascii="仿宋_GB2312" w:hAnsi="仿宋_GB2312" w:eastAsia="仿宋_GB2312"/>
      <w:kern w:val="2"/>
      <w:sz w:val="24"/>
      <w:lang w:bidi="ar-SA"/>
    </w:rPr>
  </w:style>
  <w:style w:type="character" w:customStyle="1" w:styleId="683">
    <w:name w:val="正文 项目 Char"/>
    <w:qFormat/>
    <w:uiPriority w:val="0"/>
    <w:rPr>
      <w:rFonts w:ascii="仿宋_GB2312" w:hAnsi="仿宋_GB2312" w:eastAsia="仿宋_GB2312"/>
      <w:kern w:val="2"/>
      <w:sz w:val="24"/>
      <w:lang w:bidi="ar-SA"/>
    </w:rPr>
  </w:style>
  <w:style w:type="character" w:customStyle="1" w:styleId="684">
    <w:name w:val="h Char Char1"/>
    <w:qFormat/>
    <w:uiPriority w:val="0"/>
    <w:rPr>
      <w:rFonts w:eastAsia="宋体"/>
      <w:kern w:val="2"/>
      <w:sz w:val="18"/>
      <w:szCs w:val="18"/>
      <w:lang w:val="en-US" w:eastAsia="zh-CN" w:bidi="ar-SA"/>
    </w:rPr>
  </w:style>
  <w:style w:type="character" w:customStyle="1" w:styleId="685">
    <w:name w:val="Char Char27"/>
    <w:qFormat/>
    <w:uiPriority w:val="6"/>
    <w:rPr>
      <w:rFonts w:ascii="宋体" w:hAnsi="宋体" w:eastAsia="宋体"/>
      <w:color w:val="000000"/>
      <w:kern w:val="1"/>
      <w:sz w:val="28"/>
      <w:lang w:val="en-US" w:eastAsia="zh-CN" w:bidi="ar-SA"/>
    </w:rPr>
  </w:style>
  <w:style w:type="character" w:customStyle="1" w:styleId="686">
    <w:name w:val="px14"/>
    <w:qFormat/>
    <w:uiPriority w:val="0"/>
    <w:rPr>
      <w:rFonts w:ascii="仿宋_GB2312" w:eastAsia="微软雅黑" w:cs="Times New Roman"/>
      <w:b/>
      <w:kern w:val="2"/>
      <w:sz w:val="32"/>
      <w:szCs w:val="32"/>
      <w:lang w:val="en-US" w:eastAsia="zh-CN" w:bidi="ar-SA"/>
    </w:rPr>
  </w:style>
  <w:style w:type="character" w:customStyle="1" w:styleId="687">
    <w:name w:val="HTML 预设格式 Char1"/>
    <w:qFormat/>
    <w:uiPriority w:val="0"/>
    <w:rPr>
      <w:rFonts w:ascii="Courier New" w:hAnsi="Courier New" w:eastAsia="宋体" w:cs="Courier New"/>
      <w:sz w:val="20"/>
      <w:szCs w:val="20"/>
    </w:rPr>
  </w:style>
  <w:style w:type="character" w:customStyle="1" w:styleId="688">
    <w:name w:val="普通文字 Char1"/>
    <w:qFormat/>
    <w:uiPriority w:val="0"/>
    <w:rPr>
      <w:rFonts w:ascii="宋体" w:hAnsi="Courier New" w:eastAsia="宋体"/>
      <w:kern w:val="2"/>
      <w:sz w:val="21"/>
      <w:lang w:val="en-US" w:eastAsia="zh-CN"/>
    </w:rPr>
  </w:style>
  <w:style w:type="character" w:customStyle="1" w:styleId="689">
    <w:name w:val="hei16b1"/>
    <w:qFormat/>
    <w:uiPriority w:val="0"/>
    <w:rPr>
      <w:rFonts w:hint="default" w:ascii="Arial" w:hAnsi="Arial" w:cs="Arial"/>
      <w:b/>
      <w:bCs/>
      <w:color w:val="000000"/>
      <w:sz w:val="24"/>
      <w:szCs w:val="24"/>
    </w:rPr>
  </w:style>
  <w:style w:type="character" w:customStyle="1" w:styleId="690">
    <w:name w:val="正文（绿盟科技） Char"/>
    <w:link w:val="93"/>
    <w:qFormat/>
    <w:uiPriority w:val="0"/>
    <w:rPr>
      <w:rFonts w:ascii="Arial" w:hAnsi="Arial"/>
      <w:sz w:val="21"/>
      <w:szCs w:val="21"/>
    </w:rPr>
  </w:style>
  <w:style w:type="character" w:customStyle="1" w:styleId="691">
    <w:name w:val="Char Char19"/>
    <w:qFormat/>
    <w:uiPriority w:val="6"/>
    <w:rPr>
      <w:rFonts w:ascii="宋体" w:hAnsi="宋体"/>
      <w:i/>
      <w:sz w:val="24"/>
      <w:szCs w:val="24"/>
    </w:rPr>
  </w:style>
  <w:style w:type="character" w:customStyle="1" w:styleId="692">
    <w:name w:val="页脚 Char"/>
    <w:qFormat/>
    <w:uiPriority w:val="0"/>
    <w:rPr>
      <w:rFonts w:eastAsia="仿宋_GB2312"/>
      <w:kern w:val="2"/>
      <w:sz w:val="18"/>
      <w:lang w:val="en-US" w:eastAsia="zh-CN"/>
    </w:rPr>
  </w:style>
  <w:style w:type="character" w:customStyle="1" w:styleId="693">
    <w:name w:val="批注主题 Char"/>
    <w:qFormat/>
    <w:uiPriority w:val="0"/>
    <w:rPr>
      <w:rFonts w:eastAsia="宋体"/>
      <w:b/>
      <w:bCs/>
      <w:kern w:val="2"/>
      <w:sz w:val="21"/>
      <w:szCs w:val="24"/>
      <w:lang w:val="en-US" w:eastAsia="zh-CN" w:bidi="ar-SA"/>
    </w:rPr>
  </w:style>
  <w:style w:type="character" w:customStyle="1" w:styleId="694">
    <w:name w:val="Comment Text Char"/>
    <w:qFormat/>
    <w:locked/>
    <w:uiPriority w:val="0"/>
    <w:rPr>
      <w:rFonts w:ascii="宋体" w:hAnsi="宋体" w:eastAsia="宋体"/>
      <w:kern w:val="2"/>
      <w:sz w:val="24"/>
      <w:lang w:val="en-US" w:eastAsia="zh-CN" w:bidi="ar-SA"/>
    </w:rPr>
  </w:style>
  <w:style w:type="character" w:customStyle="1" w:styleId="695">
    <w:name w:val="标题 2 字符"/>
    <w:qFormat/>
    <w:uiPriority w:val="1"/>
    <w:rPr>
      <w:rFonts w:ascii="仿宋_GB2312" w:hAnsi="Times New Roman" w:eastAsia="仿宋_GB2312" w:cs="Times New Roman"/>
      <w:b/>
      <w:kern w:val="2"/>
      <w:sz w:val="24"/>
      <w:lang w:val="zh-CN"/>
    </w:rPr>
  </w:style>
  <w:style w:type="character" w:customStyle="1" w:styleId="696">
    <w:name w:val="Char Char72"/>
    <w:qFormat/>
    <w:uiPriority w:val="0"/>
    <w:rPr>
      <w:rFonts w:eastAsia="宋体"/>
      <w:kern w:val="2"/>
      <w:sz w:val="21"/>
      <w:szCs w:val="24"/>
      <w:lang w:val="en-US" w:eastAsia="zh-CN" w:bidi="ar-SA"/>
    </w:rPr>
  </w:style>
  <w:style w:type="character" w:customStyle="1" w:styleId="697">
    <w:name w:val="正文文本缩进 Char2"/>
    <w:qFormat/>
    <w:uiPriority w:val="0"/>
    <w:rPr>
      <w:rFonts w:ascii="Times New Roman" w:hAnsi="Times New Roman" w:eastAsia="宋体" w:cs="Times New Roman"/>
      <w:snapToGrid w:val="0"/>
      <w:kern w:val="0"/>
      <w:szCs w:val="24"/>
    </w:rPr>
  </w:style>
  <w:style w:type="character" w:customStyle="1" w:styleId="698">
    <w:name w:val="样式2 Char"/>
    <w:qFormat/>
    <w:uiPriority w:val="0"/>
    <w:rPr>
      <w:rFonts w:ascii="仿宋_GB2312" w:hAnsi="仿宋" w:eastAsia="仿宋_GB2312" w:cs="仿宋_GB2312"/>
      <w:b/>
      <w:bCs/>
      <w:sz w:val="32"/>
      <w:szCs w:val="30"/>
      <w:lang w:val="zh-CN"/>
    </w:rPr>
  </w:style>
  <w:style w:type="character" w:customStyle="1" w:styleId="699">
    <w:name w:val="表格名称[858D7CFB-ED40-4347-BF05-701D383B685F]"/>
    <w:link w:val="94"/>
    <w:qFormat/>
    <w:uiPriority w:val="0"/>
    <w:rPr>
      <w:sz w:val="32"/>
    </w:rPr>
  </w:style>
  <w:style w:type="character" w:customStyle="1" w:styleId="700">
    <w:name w:val="Char Char4"/>
    <w:qFormat/>
    <w:uiPriority w:val="0"/>
    <w:rPr>
      <w:rFonts w:eastAsia="宋体"/>
      <w:b/>
      <w:sz w:val="24"/>
      <w:lang w:eastAsia="zh-CN" w:bidi="ar-SA"/>
    </w:rPr>
  </w:style>
  <w:style w:type="character" w:customStyle="1" w:styleId="701">
    <w:name w:val="c7 style3"/>
    <w:qFormat/>
    <w:uiPriority w:val="0"/>
  </w:style>
  <w:style w:type="character" w:customStyle="1" w:styleId="702">
    <w:name w:val="正文文本 3 Char1"/>
    <w:semiHidden/>
    <w:qFormat/>
    <w:uiPriority w:val="99"/>
    <w:rPr>
      <w:rFonts w:ascii="Times New Roman" w:hAnsi="Times New Roman" w:eastAsia="宋体" w:cs="Times New Roman"/>
      <w:sz w:val="16"/>
      <w:szCs w:val="16"/>
    </w:rPr>
  </w:style>
  <w:style w:type="character" w:customStyle="1" w:styleId="703">
    <w:name w:val="tw4winInternal"/>
    <w:qFormat/>
    <w:uiPriority w:val="0"/>
    <w:rPr>
      <w:rFonts w:ascii="Courier New" w:hAnsi="Courier New" w:cs="Courier New"/>
      <w:color w:val="FF0000"/>
      <w:lang w:val="en-US" w:eastAsia="zh-CN"/>
    </w:rPr>
  </w:style>
  <w:style w:type="character" w:customStyle="1" w:styleId="704">
    <w:name w:val="Char Char10"/>
    <w:semiHidden/>
    <w:qFormat/>
    <w:uiPriority w:val="0"/>
    <w:rPr>
      <w:rFonts w:ascii="宋体" w:hAnsi="宋体"/>
      <w:kern w:val="2"/>
      <w:sz w:val="21"/>
      <w:szCs w:val="24"/>
      <w:lang w:val="en-US" w:eastAsia="zh-CN"/>
    </w:rPr>
  </w:style>
  <w:style w:type="character" w:customStyle="1" w:styleId="705">
    <w:name w:val="shadow11"/>
    <w:qFormat/>
    <w:uiPriority w:val="0"/>
    <w:rPr>
      <w:color w:val="000000"/>
      <w:sz w:val="21"/>
    </w:rPr>
  </w:style>
  <w:style w:type="character" w:customStyle="1" w:styleId="706">
    <w:name w:val="正文非缩进 Char3"/>
    <w:qFormat/>
    <w:uiPriority w:val="0"/>
    <w:rPr>
      <w:rFonts w:ascii="宋体" w:eastAsia="宋体"/>
      <w:snapToGrid w:val="0"/>
      <w:color w:val="000000"/>
      <w:kern w:val="28"/>
      <w:sz w:val="28"/>
      <w:lang w:val="en-US" w:eastAsia="zh-CN" w:bidi="ar-SA"/>
    </w:rPr>
  </w:style>
  <w:style w:type="character" w:customStyle="1" w:styleId="707">
    <w:name w:val="Char Char"/>
    <w:qFormat/>
    <w:uiPriority w:val="0"/>
    <w:rPr>
      <w:rFonts w:ascii="宋体" w:hAnsi="Courier New" w:eastAsia="宋体"/>
      <w:kern w:val="2"/>
      <w:sz w:val="21"/>
      <w:lang w:val="en-US" w:eastAsia="zh-CN" w:bidi="ar-SA"/>
    </w:rPr>
  </w:style>
  <w:style w:type="character" w:customStyle="1" w:styleId="708">
    <w:name w:val="签名 Char1"/>
    <w:qFormat/>
    <w:uiPriority w:val="0"/>
    <w:rPr>
      <w:rFonts w:ascii="Times New Roman" w:hAnsi="Times New Roman" w:eastAsia="宋体" w:cs="Times New Roman"/>
      <w:szCs w:val="24"/>
    </w:rPr>
  </w:style>
  <w:style w:type="character" w:customStyle="1" w:styleId="709">
    <w:name w:val="日期 字符"/>
    <w:link w:val="39"/>
    <w:qFormat/>
    <w:uiPriority w:val="0"/>
    <w:rPr>
      <w:rFonts w:ascii="宋体"/>
      <w:kern w:val="2"/>
      <w:sz w:val="24"/>
      <w:szCs w:val="21"/>
      <w:lang w:val="zh-CN"/>
    </w:rPr>
  </w:style>
  <w:style w:type="character" w:customStyle="1" w:styleId="710">
    <w:name w:val="标题 9 字符"/>
    <w:link w:val="11"/>
    <w:qFormat/>
    <w:uiPriority w:val="0"/>
    <w:rPr>
      <w:rFonts w:ascii="Arial" w:hAnsi="Arial" w:eastAsia="黑体"/>
      <w:kern w:val="2"/>
      <w:sz w:val="21"/>
      <w:szCs w:val="21"/>
    </w:rPr>
  </w:style>
  <w:style w:type="character" w:customStyle="1" w:styleId="711">
    <w:name w:val="Char Char18"/>
    <w:qFormat/>
    <w:uiPriority w:val="6"/>
    <w:rPr>
      <w:rFonts w:ascii="宋体" w:hAnsi="宋体"/>
      <w:sz w:val="28"/>
    </w:rPr>
  </w:style>
  <w:style w:type="character" w:customStyle="1" w:styleId="712">
    <w:name w:val="批注文字 Char"/>
    <w:qFormat/>
    <w:uiPriority w:val="99"/>
    <w:rPr>
      <w:kern w:val="2"/>
      <w:sz w:val="21"/>
      <w:szCs w:val="24"/>
    </w:rPr>
  </w:style>
  <w:style w:type="character" w:customStyle="1" w:styleId="713">
    <w:name w:val="Char Char22"/>
    <w:qFormat/>
    <w:uiPriority w:val="6"/>
    <w:rPr>
      <w:rFonts w:ascii="宋体" w:hAnsi="宋体"/>
      <w:kern w:val="1"/>
      <w:sz w:val="24"/>
      <w:szCs w:val="24"/>
    </w:rPr>
  </w:style>
  <w:style w:type="character" w:customStyle="1" w:styleId="714">
    <w:name w:val="pt141"/>
    <w:qFormat/>
    <w:uiPriority w:val="0"/>
    <w:rPr>
      <w:color w:val="330066"/>
      <w:sz w:val="22"/>
      <w:szCs w:val="22"/>
    </w:rPr>
  </w:style>
  <w:style w:type="character" w:customStyle="1" w:styleId="715">
    <w:name w:val="正文文本缩进 2 Char1"/>
    <w:semiHidden/>
    <w:qFormat/>
    <w:uiPriority w:val="99"/>
    <w:rPr>
      <w:rFonts w:ascii="Times New Roman" w:hAnsi="Times New Roman" w:eastAsia="宋体" w:cs="Times New Roman"/>
      <w:szCs w:val="24"/>
    </w:rPr>
  </w:style>
  <w:style w:type="character" w:customStyle="1" w:styleId="716">
    <w:name w:val="批注框文本 字符1"/>
    <w:link w:val="42"/>
    <w:qFormat/>
    <w:uiPriority w:val="0"/>
    <w:rPr>
      <w:kern w:val="2"/>
      <w:sz w:val="18"/>
      <w:szCs w:val="18"/>
    </w:rPr>
  </w:style>
  <w:style w:type="character" w:customStyle="1" w:styleId="717">
    <w:name w:val="Char Char611"/>
    <w:qFormat/>
    <w:uiPriority w:val="0"/>
    <w:rPr>
      <w:rFonts w:eastAsia="宋体"/>
      <w:kern w:val="2"/>
      <w:sz w:val="21"/>
      <w:szCs w:val="24"/>
      <w:lang w:val="en-US" w:eastAsia="zh-CN" w:bidi="ar-SA"/>
    </w:rPr>
  </w:style>
  <w:style w:type="character" w:customStyle="1" w:styleId="718">
    <w:name w:val="highlight1"/>
    <w:qFormat/>
    <w:uiPriority w:val="0"/>
    <w:rPr>
      <w:rFonts w:ascii="仿宋_GB2312" w:eastAsia="微软雅黑"/>
      <w:b/>
      <w:kern w:val="2"/>
      <w:sz w:val="23"/>
      <w:szCs w:val="23"/>
      <w:lang w:val="en-US" w:eastAsia="zh-CN" w:bidi="ar-SA"/>
    </w:rPr>
  </w:style>
  <w:style w:type="character" w:customStyle="1" w:styleId="719">
    <w:name w:val="my正文 Char"/>
    <w:link w:val="95"/>
    <w:qFormat/>
    <w:locked/>
    <w:uiPriority w:val="0"/>
    <w:rPr>
      <w:rFonts w:ascii="Tahoma" w:hAnsi="Tahoma"/>
      <w:sz w:val="24"/>
      <w:szCs w:val="24"/>
    </w:rPr>
  </w:style>
  <w:style w:type="character" w:customStyle="1" w:styleId="720">
    <w:name w:val="正文缩进 字符2"/>
    <w:link w:val="16"/>
    <w:qFormat/>
    <w:uiPriority w:val="0"/>
    <w:rPr>
      <w:rFonts w:ascii="宋体" w:eastAsia="宋体"/>
      <w:snapToGrid w:val="0"/>
      <w:color w:val="000000"/>
      <w:kern w:val="28"/>
      <w:sz w:val="28"/>
      <w:lang w:val="en-US" w:eastAsia="zh-CN" w:bidi="ar-SA"/>
    </w:rPr>
  </w:style>
  <w:style w:type="character" w:customStyle="1" w:styleId="721">
    <w:name w:val="Used by Word for text of Help footnotes Char Char1"/>
    <w:qFormat/>
    <w:uiPriority w:val="0"/>
    <w:rPr>
      <w:color w:val="0000FF"/>
      <w:sz w:val="21"/>
    </w:rPr>
  </w:style>
  <w:style w:type="character" w:customStyle="1" w:styleId="722">
    <w:name w:val="页眉 Char"/>
    <w:qFormat/>
    <w:uiPriority w:val="0"/>
    <w:rPr>
      <w:rFonts w:eastAsia="仿宋_GB2312"/>
      <w:kern w:val="2"/>
      <w:sz w:val="18"/>
      <w:lang w:val="en-US" w:eastAsia="zh-CN"/>
    </w:rPr>
  </w:style>
  <w:style w:type="character" w:customStyle="1" w:styleId="723">
    <w:name w:val="FA正文 Char Char"/>
    <w:qFormat/>
    <w:uiPriority w:val="0"/>
    <w:rPr>
      <w:rFonts w:hAnsi="宋体"/>
      <w:kern w:val="2"/>
      <w:sz w:val="24"/>
      <w:lang w:bidi="ar-SA"/>
    </w:rPr>
  </w:style>
  <w:style w:type="character" w:customStyle="1" w:styleId="724">
    <w:name w:val="纯文本 字符"/>
    <w:qFormat/>
    <w:uiPriority w:val="0"/>
    <w:rPr>
      <w:rFonts w:ascii="宋体" w:hAnsi="Courier New" w:eastAsia="宋体" w:cs="Arial"/>
      <w:snapToGrid w:val="0"/>
      <w:kern w:val="2"/>
      <w:sz w:val="21"/>
      <w:szCs w:val="21"/>
      <w:lang w:val="en-US" w:eastAsia="zh-CN" w:bidi="ar-SA"/>
    </w:rPr>
  </w:style>
  <w:style w:type="character" w:customStyle="1" w:styleId="725">
    <w:name w:val="3级 Char"/>
    <w:link w:val="96"/>
    <w:qFormat/>
    <w:uiPriority w:val="0"/>
    <w:rPr>
      <w:rFonts w:ascii="宋体" w:hAnsi="宋体"/>
      <w:b/>
      <w:bCs/>
      <w:sz w:val="28"/>
    </w:rPr>
  </w:style>
  <w:style w:type="character" w:customStyle="1" w:styleId="726">
    <w:name w:val="myp11"/>
    <w:qFormat/>
    <w:uiPriority w:val="0"/>
    <w:rPr>
      <w:rFonts w:ascii="仿宋_GB2312" w:eastAsia="微软雅黑"/>
      <w:b/>
      <w:kern w:val="2"/>
      <w:sz w:val="32"/>
      <w:szCs w:val="32"/>
      <w:lang w:val="en-US" w:eastAsia="zh-CN" w:bidi="ar-SA"/>
    </w:rPr>
  </w:style>
  <w:style w:type="character" w:customStyle="1" w:styleId="727">
    <w:name w:val="文档结构图 字符"/>
    <w:link w:val="19"/>
    <w:qFormat/>
    <w:uiPriority w:val="0"/>
    <w:rPr>
      <w:kern w:val="2"/>
      <w:sz w:val="21"/>
      <w:szCs w:val="24"/>
      <w:shd w:val="clear" w:color="auto" w:fill="000080"/>
    </w:rPr>
  </w:style>
  <w:style w:type="character" w:customStyle="1" w:styleId="728">
    <w:name w:val="H6 Char"/>
    <w:qFormat/>
    <w:uiPriority w:val="0"/>
    <w:rPr>
      <w:rFonts w:ascii="Arial" w:hAnsi="Arial" w:eastAsia="黑体"/>
      <w:b/>
      <w:bCs/>
      <w:kern w:val="2"/>
      <w:sz w:val="24"/>
      <w:szCs w:val="24"/>
    </w:rPr>
  </w:style>
  <w:style w:type="character" w:customStyle="1" w:styleId="729">
    <w:name w:val="Char Char91"/>
    <w:qFormat/>
    <w:uiPriority w:val="0"/>
    <w:rPr>
      <w:rFonts w:eastAsia="宋体"/>
      <w:kern w:val="2"/>
      <w:sz w:val="18"/>
      <w:szCs w:val="18"/>
      <w:lang w:val="en-US" w:eastAsia="zh-CN" w:bidi="ar-SA"/>
    </w:rPr>
  </w:style>
  <w:style w:type="character" w:customStyle="1" w:styleId="730">
    <w:name w:val="副标题 Char1"/>
    <w:qFormat/>
    <w:uiPriority w:val="0"/>
    <w:rPr>
      <w:rFonts w:ascii="Cambria" w:hAnsi="Cambria" w:eastAsia="宋体" w:cs="Times New Roman"/>
      <w:b/>
      <w:bCs/>
      <w:snapToGrid w:val="0"/>
      <w:kern w:val="28"/>
      <w:sz w:val="32"/>
      <w:szCs w:val="32"/>
    </w:rPr>
  </w:style>
  <w:style w:type="character" w:customStyle="1" w:styleId="731">
    <w:name w:val="font61"/>
    <w:basedOn w:val="73"/>
    <w:qFormat/>
    <w:uiPriority w:val="0"/>
    <w:rPr>
      <w:rFonts w:hint="eastAsia" w:ascii="仿宋" w:hAnsi="仿宋" w:eastAsia="仿宋" w:cs="仿宋"/>
      <w:color w:val="000000"/>
      <w:sz w:val="20"/>
      <w:szCs w:val="20"/>
      <w:u w:val="none"/>
    </w:rPr>
  </w:style>
  <w:style w:type="character" w:customStyle="1" w:styleId="732">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3">
    <w:name w:val="Char Char211"/>
    <w:qFormat/>
    <w:uiPriority w:val="0"/>
    <w:rPr>
      <w:rFonts w:eastAsia="宋体"/>
      <w:b/>
      <w:bCs/>
      <w:kern w:val="2"/>
      <w:sz w:val="21"/>
      <w:szCs w:val="24"/>
      <w:lang w:val="en-US" w:eastAsia="zh-CN" w:bidi="ar-SA"/>
    </w:rPr>
  </w:style>
  <w:style w:type="character" w:customStyle="1" w:styleId="734">
    <w:name w:val="标题 2 Char"/>
    <w:qFormat/>
    <w:uiPriority w:val="0"/>
    <w:rPr>
      <w:rFonts w:ascii="Arial" w:hAnsi="Arial" w:eastAsia="黑体"/>
      <w:b/>
      <w:kern w:val="2"/>
      <w:sz w:val="32"/>
      <w:lang w:val="en-US" w:eastAsia="zh-CN"/>
    </w:rPr>
  </w:style>
  <w:style w:type="character" w:customStyle="1" w:styleId="735">
    <w:name w:val="maywed421"/>
    <w:qFormat/>
    <w:uiPriority w:val="0"/>
    <w:rPr>
      <w:color w:val="366FB6"/>
      <w:u w:val="none"/>
    </w:rPr>
  </w:style>
  <w:style w:type="character" w:customStyle="1" w:styleId="736">
    <w:name w:val="正文文本缩进 Char"/>
    <w:qFormat/>
    <w:uiPriority w:val="0"/>
    <w:rPr>
      <w:rFonts w:ascii="宋体" w:hAnsi="宋体"/>
      <w:kern w:val="2"/>
      <w:sz w:val="24"/>
      <w:szCs w:val="24"/>
    </w:rPr>
  </w:style>
  <w:style w:type="character" w:customStyle="1" w:styleId="737">
    <w:name w:val="Char Char102"/>
    <w:semiHidden/>
    <w:qFormat/>
    <w:uiPriority w:val="0"/>
    <w:rPr>
      <w:rFonts w:ascii="宋体" w:hAnsi="宋体"/>
      <w:kern w:val="2"/>
      <w:sz w:val="21"/>
      <w:szCs w:val="24"/>
      <w:lang w:val="en-US" w:eastAsia="zh-CN"/>
    </w:rPr>
  </w:style>
  <w:style w:type="character" w:customStyle="1" w:styleId="738">
    <w:name w:val="页眉 Char1"/>
    <w:qFormat/>
    <w:uiPriority w:val="0"/>
    <w:rPr>
      <w:rFonts w:eastAsia="宋体"/>
      <w:kern w:val="2"/>
      <w:sz w:val="18"/>
      <w:szCs w:val="18"/>
      <w:lang w:val="en-US" w:eastAsia="zh-CN" w:bidi="ar-SA"/>
    </w:rPr>
  </w:style>
  <w:style w:type="character" w:customStyle="1" w:styleId="739">
    <w:name w:val="md"/>
    <w:basedOn w:val="73"/>
    <w:qFormat/>
    <w:uiPriority w:val="0"/>
    <w:rPr>
      <w:rFonts w:ascii="Arial" w:hAnsi="Arial" w:eastAsia="黑体" w:cs="Arial"/>
      <w:snapToGrid w:val="0"/>
      <w:kern w:val="0"/>
      <w:szCs w:val="21"/>
    </w:rPr>
  </w:style>
  <w:style w:type="character" w:customStyle="1" w:styleId="740">
    <w:name w:val="big1"/>
    <w:qFormat/>
    <w:uiPriority w:val="0"/>
    <w:rPr>
      <w:rFonts w:hint="eastAsia" w:ascii="宋体" w:hAnsi="宋体" w:eastAsia="宋体"/>
      <w:color w:val="333333"/>
      <w:sz w:val="22"/>
      <w:szCs w:val="22"/>
    </w:rPr>
  </w:style>
  <w:style w:type="character" w:customStyle="1" w:styleId="741">
    <w:name w:val="Char Char311"/>
    <w:qFormat/>
    <w:uiPriority w:val="0"/>
    <w:rPr>
      <w:rFonts w:eastAsia="宋体"/>
      <w:kern w:val="2"/>
      <w:sz w:val="21"/>
      <w:szCs w:val="24"/>
      <w:lang w:val="en-US" w:eastAsia="zh-CN" w:bidi="ar-SA"/>
    </w:rPr>
  </w:style>
  <w:style w:type="character" w:customStyle="1" w:styleId="742">
    <w:name w:val="Char Char81"/>
    <w:qFormat/>
    <w:uiPriority w:val="6"/>
    <w:rPr>
      <w:rFonts w:eastAsia="宋体"/>
      <w:b/>
      <w:sz w:val="24"/>
      <w:lang w:eastAsia="zh-CN"/>
    </w:rPr>
  </w:style>
  <w:style w:type="character" w:customStyle="1" w:styleId="743">
    <w:name w:val="样式3 Char"/>
    <w:basedOn w:val="698"/>
    <w:qFormat/>
    <w:uiPriority w:val="0"/>
    <w:rPr>
      <w:rFonts w:ascii="仿宋_GB2312" w:hAnsi="仿宋" w:eastAsia="仿宋_GB2312" w:cs="仿宋_GB2312"/>
      <w:sz w:val="32"/>
      <w:szCs w:val="30"/>
      <w:lang w:val="zh-CN"/>
    </w:rPr>
  </w:style>
  <w:style w:type="character" w:customStyle="1" w:styleId="744">
    <w:name w:val="HTML 地址 字符"/>
    <w:link w:val="33"/>
    <w:qFormat/>
    <w:uiPriority w:val="0"/>
    <w:rPr>
      <w:rFonts w:ascii="宋体" w:hAnsi="宋体"/>
      <w:i/>
      <w:iCs/>
      <w:sz w:val="24"/>
      <w:szCs w:val="24"/>
    </w:rPr>
  </w:style>
  <w:style w:type="character" w:customStyle="1" w:styleId="745">
    <w:name w:val="正文首行缩进 2 Char1"/>
    <w:qFormat/>
    <w:uiPriority w:val="0"/>
    <w:rPr>
      <w:rFonts w:ascii="Times New Roman" w:hAnsi="Times New Roman" w:eastAsia="宋体" w:cs="Times New Roman"/>
      <w:kern w:val="2"/>
      <w:sz w:val="24"/>
      <w:szCs w:val="24"/>
    </w:rPr>
  </w:style>
  <w:style w:type="character" w:customStyle="1" w:styleId="746">
    <w:name w:val="副标题 Char2"/>
    <w:qFormat/>
    <w:uiPriority w:val="0"/>
    <w:rPr>
      <w:rFonts w:ascii="Cambria" w:hAnsi="Cambria" w:eastAsia="宋体" w:cs="Times New Roman"/>
      <w:b/>
      <w:bCs/>
      <w:snapToGrid w:val="0"/>
      <w:kern w:val="28"/>
      <w:sz w:val="32"/>
      <w:szCs w:val="32"/>
    </w:rPr>
  </w:style>
  <w:style w:type="character" w:customStyle="1" w:styleId="747">
    <w:name w:val="标题4-dyf Char"/>
    <w:link w:val="98"/>
    <w:qFormat/>
    <w:uiPriority w:val="0"/>
    <w:rPr>
      <w:rFonts w:ascii="Cambria" w:hAnsi="Cambria"/>
      <w:b/>
      <w:bCs/>
      <w:color w:val="000000"/>
      <w:kern w:val="2"/>
      <w:sz w:val="21"/>
      <w:szCs w:val="21"/>
    </w:rPr>
  </w:style>
  <w:style w:type="character" w:customStyle="1" w:styleId="748">
    <w:name w:val="dectext1"/>
    <w:qFormat/>
    <w:uiPriority w:val="0"/>
    <w:rPr>
      <w:rFonts w:ascii="宋体" w:hAnsi="宋体" w:eastAsia="宋体"/>
      <w:color w:val="333333"/>
      <w:sz w:val="21"/>
      <w:szCs w:val="21"/>
      <w:u w:val="none"/>
    </w:rPr>
  </w:style>
  <w:style w:type="character" w:customStyle="1" w:styleId="749">
    <w:name w:val="冯 Char"/>
    <w:link w:val="99"/>
    <w:qFormat/>
    <w:uiPriority w:val="0"/>
    <w:rPr>
      <w:rFonts w:ascii="宋体" w:hAnsi="宋体"/>
      <w:color w:val="000000"/>
      <w:sz w:val="24"/>
      <w:szCs w:val="24"/>
    </w:rPr>
  </w:style>
  <w:style w:type="character" w:customStyle="1" w:styleId="750">
    <w:name w:val="Header Char"/>
    <w:qFormat/>
    <w:locked/>
    <w:uiPriority w:val="0"/>
    <w:rPr>
      <w:rFonts w:eastAsia="宋体"/>
      <w:kern w:val="2"/>
      <w:sz w:val="18"/>
      <w:szCs w:val="18"/>
      <w:lang w:val="en-US" w:eastAsia="zh-CN" w:bidi="ar-SA"/>
    </w:rPr>
  </w:style>
  <w:style w:type="character" w:customStyle="1" w:styleId="751">
    <w:name w:val="Char Char12"/>
    <w:qFormat/>
    <w:uiPriority w:val="0"/>
    <w:rPr>
      <w:rFonts w:ascii="仿宋_GB2312" w:eastAsia="仿宋_GB2312"/>
      <w:b/>
      <w:bCs/>
      <w:kern w:val="2"/>
      <w:sz w:val="24"/>
      <w:szCs w:val="24"/>
      <w:lang w:val="zh-CN" w:eastAsia="zh-CN" w:bidi="ar-SA"/>
    </w:rPr>
  </w:style>
  <w:style w:type="character" w:customStyle="1" w:styleId="752">
    <w:name w:val="题注 字符"/>
    <w:link w:val="17"/>
    <w:qFormat/>
    <w:uiPriority w:val="0"/>
    <w:rPr>
      <w:b/>
      <w:kern w:val="2"/>
      <w:sz w:val="28"/>
    </w:rPr>
  </w:style>
  <w:style w:type="character" w:customStyle="1" w:styleId="753">
    <w:name w:val="普通文字 Char3"/>
    <w:qFormat/>
    <w:uiPriority w:val="0"/>
    <w:rPr>
      <w:rFonts w:ascii="宋体" w:hAnsi="Courier New" w:eastAsia="宋体"/>
      <w:kern w:val="2"/>
      <w:sz w:val="21"/>
      <w:lang w:val="en-US" w:eastAsia="zh-CN" w:bidi="ar-SA"/>
    </w:rPr>
  </w:style>
  <w:style w:type="character" w:customStyle="1" w:styleId="754">
    <w:name w:val="公文正文 Char"/>
    <w:qFormat/>
    <w:uiPriority w:val="0"/>
    <w:rPr>
      <w:rFonts w:ascii="仿宋_GB2312" w:eastAsia="仿宋_GB2312"/>
      <w:kern w:val="2"/>
      <w:sz w:val="24"/>
      <w:szCs w:val="24"/>
      <w:lang w:val="en-US" w:eastAsia="zh-CN" w:bidi="ar-SA"/>
    </w:rPr>
  </w:style>
  <w:style w:type="character" w:customStyle="1" w:styleId="755">
    <w:name w:val="正文首行缩进 Char Char Char Char Char"/>
    <w:qFormat/>
    <w:uiPriority w:val="0"/>
    <w:rPr>
      <w:rFonts w:ascii="宋体"/>
      <w:kern w:val="2"/>
      <w:sz w:val="24"/>
      <w:lang w:val="zh-CN"/>
    </w:rPr>
  </w:style>
  <w:style w:type="character" w:customStyle="1" w:styleId="756">
    <w:name w:val="PI Char"/>
    <w:qFormat/>
    <w:uiPriority w:val="0"/>
    <w:rPr>
      <w:rFonts w:ascii="宋体" w:hAnsi="宋体" w:eastAsia="宋体"/>
      <w:kern w:val="2"/>
      <w:sz w:val="24"/>
      <w:szCs w:val="24"/>
      <w:lang w:val="en-US" w:eastAsia="zh-CN" w:bidi="ar-SA"/>
    </w:rPr>
  </w:style>
  <w:style w:type="character" w:customStyle="1" w:styleId="757">
    <w:name w:val="Default Char"/>
    <w:link w:val="100"/>
    <w:qFormat/>
    <w:uiPriority w:val="0"/>
    <w:rPr>
      <w:rFonts w:ascii="仿宋_GB2312" w:eastAsia="仿宋_GB2312" w:cs="仿宋_GB2312"/>
      <w:color w:val="000000"/>
      <w:sz w:val="24"/>
      <w:szCs w:val="24"/>
      <w:lang w:val="en-US" w:eastAsia="zh-CN" w:bidi="ar-SA"/>
    </w:rPr>
  </w:style>
  <w:style w:type="character" w:customStyle="1" w:styleId="758">
    <w:name w:val="style91"/>
    <w:qFormat/>
    <w:uiPriority w:val="0"/>
    <w:rPr>
      <w:color w:val="333333"/>
    </w:rPr>
  </w:style>
  <w:style w:type="character" w:customStyle="1" w:styleId="759">
    <w:name w:val="列出段落 Char2"/>
    <w:qFormat/>
    <w:uiPriority w:val="34"/>
    <w:rPr>
      <w:rFonts w:ascii="Calibri" w:hAnsi="Calibri"/>
      <w:kern w:val="2"/>
      <w:sz w:val="28"/>
    </w:rPr>
  </w:style>
  <w:style w:type="character" w:customStyle="1" w:styleId="760">
    <w:name w:val="mdeck"/>
    <w:qFormat/>
    <w:uiPriority w:val="0"/>
    <w:rPr>
      <w:rFonts w:ascii="仿宋_GB2312" w:eastAsia="微软雅黑"/>
      <w:b/>
      <w:kern w:val="2"/>
      <w:sz w:val="32"/>
      <w:szCs w:val="32"/>
      <w:lang w:val="en-US" w:eastAsia="zh-CN" w:bidi="ar-SA"/>
    </w:rPr>
  </w:style>
  <w:style w:type="character" w:customStyle="1" w:styleId="761">
    <w:name w:val="unnamed11"/>
    <w:qFormat/>
    <w:uiPriority w:val="0"/>
    <w:rPr>
      <w:sz w:val="20"/>
      <w:szCs w:val="20"/>
    </w:rPr>
  </w:style>
  <w:style w:type="character" w:customStyle="1" w:styleId="762">
    <w:name w:val="正文文本 Char2"/>
    <w:semiHidden/>
    <w:qFormat/>
    <w:uiPriority w:val="99"/>
    <w:rPr>
      <w:rFonts w:ascii="Times New Roman" w:hAnsi="Times New Roman" w:eastAsia="宋体" w:cs="Times New Roman"/>
      <w:snapToGrid w:val="0"/>
      <w:kern w:val="0"/>
      <w:szCs w:val="24"/>
    </w:rPr>
  </w:style>
  <w:style w:type="character" w:customStyle="1" w:styleId="763">
    <w:name w:val="标书正文格式 Char"/>
    <w:qFormat/>
    <w:uiPriority w:val="0"/>
    <w:rPr>
      <w:rFonts w:eastAsia="楷体_GB2312"/>
      <w:kern w:val="2"/>
      <w:sz w:val="24"/>
      <w:szCs w:val="24"/>
      <w:lang w:bidi="ar-SA"/>
    </w:rPr>
  </w:style>
  <w:style w:type="character" w:customStyle="1" w:styleId="764">
    <w:name w:val="Char Char11"/>
    <w:qFormat/>
    <w:locked/>
    <w:uiPriority w:val="0"/>
    <w:rPr>
      <w:rFonts w:ascii="宋体" w:hAnsi="宋体" w:eastAsia="宋体"/>
      <w:b/>
      <w:kern w:val="2"/>
      <w:sz w:val="24"/>
      <w:szCs w:val="24"/>
      <w:lang w:val="en-US" w:eastAsia="zh-CN" w:bidi="ar-SA"/>
    </w:rPr>
  </w:style>
  <w:style w:type="character" w:customStyle="1" w:styleId="765">
    <w:name w:val="ca-131"/>
    <w:qFormat/>
    <w:uiPriority w:val="0"/>
    <w:rPr>
      <w:rFonts w:hint="eastAsia" w:ascii="仿宋_GB2312" w:eastAsia="仿宋_GB2312"/>
      <w:b/>
      <w:bCs/>
      <w:color w:val="000000"/>
      <w:spacing w:val="-20"/>
      <w:sz w:val="24"/>
      <w:szCs w:val="24"/>
    </w:rPr>
  </w:style>
  <w:style w:type="character" w:customStyle="1" w:styleId="766">
    <w:name w:val="tw4winMark"/>
    <w:qFormat/>
    <w:uiPriority w:val="0"/>
    <w:rPr>
      <w:rFonts w:ascii="Courier New" w:hAnsi="Courier New" w:cs="Courier New"/>
      <w:vanish/>
      <w:color w:val="800080"/>
      <w:sz w:val="24"/>
      <w:szCs w:val="24"/>
      <w:vertAlign w:val="subscript"/>
    </w:rPr>
  </w:style>
  <w:style w:type="character" w:customStyle="1" w:styleId="767">
    <w:name w:val="正文样式 Char"/>
    <w:link w:val="101"/>
    <w:qFormat/>
    <w:uiPriority w:val="0"/>
    <w:rPr>
      <w:rFonts w:ascii="Calibri" w:hAnsi="Calibri"/>
      <w:sz w:val="24"/>
      <w:szCs w:val="24"/>
    </w:rPr>
  </w:style>
  <w:style w:type="character" w:customStyle="1" w:styleId="768">
    <w:name w:val="表正文 Char3"/>
    <w:qFormat/>
    <w:uiPriority w:val="0"/>
    <w:rPr>
      <w:rFonts w:eastAsia="宋体"/>
    </w:rPr>
  </w:style>
  <w:style w:type="character" w:customStyle="1" w:styleId="769">
    <w:name w:val="H5 Char"/>
    <w:qFormat/>
    <w:uiPriority w:val="0"/>
    <w:rPr>
      <w:b/>
      <w:bCs/>
      <w:kern w:val="2"/>
      <w:sz w:val="28"/>
      <w:szCs w:val="28"/>
    </w:rPr>
  </w:style>
  <w:style w:type="character" w:customStyle="1" w:styleId="770">
    <w:name w:val="Char Char3"/>
    <w:qFormat/>
    <w:uiPriority w:val="0"/>
    <w:rPr>
      <w:rFonts w:eastAsia="宋体"/>
      <w:kern w:val="2"/>
      <w:sz w:val="21"/>
      <w:szCs w:val="24"/>
      <w:lang w:val="en-US" w:eastAsia="zh-CN" w:bidi="ar-SA"/>
    </w:rPr>
  </w:style>
  <w:style w:type="character" w:customStyle="1" w:styleId="771">
    <w:name w:val="正文 编号 Char"/>
    <w:qFormat/>
    <w:uiPriority w:val="0"/>
    <w:rPr>
      <w:rFonts w:ascii="仿宋_GB2312" w:hAnsi="仿宋_GB2312" w:eastAsia="仿宋_GB2312"/>
      <w:kern w:val="2"/>
      <w:sz w:val="24"/>
      <w:lang w:bidi="ar-SA"/>
    </w:rPr>
  </w:style>
  <w:style w:type="character" w:customStyle="1" w:styleId="772">
    <w:name w:val="question-title2"/>
    <w:qFormat/>
    <w:uiPriority w:val="6"/>
    <w:rPr>
      <w:rFonts w:ascii="Arial" w:hAnsi="Arial" w:eastAsia="黑体" w:cs="Arial"/>
      <w:snapToGrid w:val="0"/>
      <w:kern w:val="0"/>
      <w:szCs w:val="21"/>
    </w:rPr>
  </w:style>
  <w:style w:type="character" w:customStyle="1" w:styleId="773">
    <w:name w:val="gf正文1 Char Char"/>
    <w:link w:val="102"/>
    <w:qFormat/>
    <w:uiPriority w:val="0"/>
    <w:rPr>
      <w:rFonts w:ascii="宋体" w:hAnsi="宋体" w:cs="宋体"/>
      <w:kern w:val="2"/>
      <w:sz w:val="24"/>
      <w:szCs w:val="24"/>
    </w:rPr>
  </w:style>
  <w:style w:type="character" w:customStyle="1" w:styleId="774">
    <w:name w:val="Char Char15"/>
    <w:qFormat/>
    <w:uiPriority w:val="6"/>
    <w:rPr>
      <w:rFonts w:ascii="宋体" w:hAnsi="宋体"/>
      <w:kern w:val="1"/>
      <w:sz w:val="21"/>
    </w:rPr>
  </w:style>
  <w:style w:type="character" w:customStyle="1" w:styleId="775">
    <w:name w:val="正文缩进 Char3"/>
    <w:qFormat/>
    <w:uiPriority w:val="0"/>
    <w:rPr>
      <w:rFonts w:ascii="宋体" w:eastAsia="宋体"/>
      <w:snapToGrid w:val="0"/>
      <w:color w:val="000000"/>
      <w:kern w:val="28"/>
      <w:sz w:val="28"/>
      <w:lang w:val="en-US" w:eastAsia="zh-CN" w:bidi="ar-SA"/>
    </w:rPr>
  </w:style>
  <w:style w:type="character" w:customStyle="1" w:styleId="776">
    <w:name w:val="列出段落 Char1"/>
    <w:link w:val="103"/>
    <w:qFormat/>
    <w:uiPriority w:val="0"/>
    <w:rPr>
      <w:rFonts w:ascii="Calibri" w:hAnsi="Calibri"/>
      <w:sz w:val="24"/>
      <w:lang w:eastAsia="en-US"/>
    </w:rPr>
  </w:style>
  <w:style w:type="character" w:customStyle="1" w:styleId="777">
    <w:name w:val="Char Char8"/>
    <w:qFormat/>
    <w:uiPriority w:val="0"/>
    <w:rPr>
      <w:rFonts w:eastAsia="宋体"/>
      <w:b/>
      <w:sz w:val="24"/>
      <w:lang w:eastAsia="zh-CN"/>
    </w:rPr>
  </w:style>
  <w:style w:type="character" w:customStyle="1" w:styleId="778">
    <w:name w:val="Normal Indent Char Char"/>
    <w:qFormat/>
    <w:uiPriority w:val="0"/>
    <w:rPr>
      <w:rFonts w:eastAsia="宋体"/>
      <w:kern w:val="2"/>
      <w:sz w:val="21"/>
      <w:lang w:val="en-US" w:eastAsia="zh-CN" w:bidi="ar-SA"/>
    </w:rPr>
  </w:style>
  <w:style w:type="character" w:customStyle="1" w:styleId="779">
    <w:name w:val="列表段落 字符"/>
    <w:qFormat/>
    <w:uiPriority w:val="99"/>
  </w:style>
  <w:style w:type="character" w:customStyle="1" w:styleId="780">
    <w:name w:val="Ò³Ã¼ Char Char1"/>
    <w:qFormat/>
    <w:uiPriority w:val="0"/>
    <w:rPr>
      <w:rFonts w:eastAsia="宋体"/>
      <w:kern w:val="2"/>
      <w:sz w:val="18"/>
      <w:szCs w:val="18"/>
      <w:lang w:val="en-US" w:eastAsia="zh-CN" w:bidi="ar-SA"/>
    </w:rPr>
  </w:style>
  <w:style w:type="character" w:customStyle="1" w:styleId="781">
    <w:name w:val="方案正文 Char"/>
    <w:qFormat/>
    <w:uiPriority w:val="0"/>
    <w:rPr>
      <w:rFonts w:ascii="仿宋_GB2312" w:eastAsia="仿宋_GB2312"/>
      <w:b/>
      <w:color w:val="000000"/>
      <w:kern w:val="2"/>
      <w:sz w:val="24"/>
      <w:lang w:val="en-US" w:eastAsia="zh-CN" w:bidi="ar-SA"/>
    </w:rPr>
  </w:style>
  <w:style w:type="character" w:customStyle="1" w:styleId="782">
    <w:name w:val="Char Char30"/>
    <w:qFormat/>
    <w:uiPriority w:val="6"/>
    <w:rPr>
      <w:rFonts w:ascii="Arial" w:hAnsi="Arial" w:eastAsia="黑体"/>
      <w:kern w:val="1"/>
      <w:sz w:val="21"/>
      <w:szCs w:val="21"/>
    </w:rPr>
  </w:style>
  <w:style w:type="character" w:customStyle="1" w:styleId="783">
    <w:name w:val="正文文本缩进 字符1"/>
    <w:link w:val="24"/>
    <w:qFormat/>
    <w:uiPriority w:val="0"/>
    <w:rPr>
      <w:rFonts w:ascii="宋体" w:hAnsi="宋体"/>
      <w:kern w:val="2"/>
      <w:sz w:val="24"/>
      <w:szCs w:val="24"/>
    </w:rPr>
  </w:style>
  <w:style w:type="character" w:customStyle="1" w:styleId="784">
    <w:name w:val="font01"/>
    <w:qFormat/>
    <w:uiPriority w:val="0"/>
    <w:rPr>
      <w:rFonts w:hint="eastAsia" w:ascii="微软雅黑" w:hAnsi="微软雅黑" w:eastAsia="微软雅黑" w:cs="微软雅黑"/>
      <w:color w:val="000000"/>
      <w:sz w:val="20"/>
      <w:szCs w:val="20"/>
      <w:u w:val="none"/>
    </w:rPr>
  </w:style>
  <w:style w:type="character" w:customStyle="1" w:styleId="785">
    <w:name w:val="Char Char20"/>
    <w:qFormat/>
    <w:uiPriority w:val="6"/>
    <w:rPr>
      <w:kern w:val="1"/>
      <w:sz w:val="24"/>
    </w:rPr>
  </w:style>
  <w:style w:type="character" w:customStyle="1" w:styleId="786">
    <w:name w:val="tw4winExternal"/>
    <w:qFormat/>
    <w:uiPriority w:val="0"/>
    <w:rPr>
      <w:rFonts w:ascii="Courier New" w:hAnsi="Courier New" w:cs="Courier New"/>
      <w:color w:val="808080"/>
      <w:lang w:val="en-US" w:eastAsia="zh-CN"/>
    </w:rPr>
  </w:style>
  <w:style w:type="character" w:customStyle="1" w:styleId="787">
    <w:name w:val="标题 4 Char1"/>
    <w:qFormat/>
    <w:uiPriority w:val="9"/>
    <w:rPr>
      <w:rFonts w:ascii="Cambria" w:hAnsi="Cambria" w:eastAsia="宋体" w:cs="Times New Roman"/>
      <w:b/>
      <w:bCs/>
      <w:kern w:val="2"/>
      <w:sz w:val="28"/>
      <w:szCs w:val="28"/>
    </w:rPr>
  </w:style>
  <w:style w:type="character" w:customStyle="1" w:styleId="788">
    <w:name w:val="批注文字 Char2"/>
    <w:qFormat/>
    <w:uiPriority w:val="99"/>
    <w:rPr>
      <w:rFonts w:ascii="Times New Roman" w:hAnsi="Times New Roman" w:eastAsia="宋体" w:cs="Times New Roman"/>
      <w:snapToGrid w:val="0"/>
      <w:kern w:val="0"/>
      <w:szCs w:val="24"/>
    </w:rPr>
  </w:style>
  <w:style w:type="character" w:customStyle="1" w:styleId="789">
    <w:name w:val="正文文本 2 Char"/>
    <w:qFormat/>
    <w:uiPriority w:val="0"/>
    <w:rPr>
      <w:rFonts w:eastAsia="宋体"/>
      <w:kern w:val="2"/>
      <w:sz w:val="21"/>
      <w:szCs w:val="24"/>
      <w:lang w:val="en-US" w:eastAsia="zh-CN" w:bidi="ar-SA"/>
    </w:rPr>
  </w:style>
  <w:style w:type="character" w:customStyle="1" w:styleId="790">
    <w:name w:val="Ò³Ã¼ Char Char"/>
    <w:qFormat/>
    <w:uiPriority w:val="0"/>
    <w:rPr>
      <w:rFonts w:eastAsia="宋体"/>
      <w:kern w:val="2"/>
      <w:sz w:val="18"/>
      <w:lang w:val="en-US" w:eastAsia="zh-CN" w:bidi="ar-SA"/>
    </w:rPr>
  </w:style>
  <w:style w:type="character" w:customStyle="1" w:styleId="791">
    <w:name w:val="message1"/>
    <w:qFormat/>
    <w:uiPriority w:val="0"/>
    <w:rPr>
      <w:rFonts w:hint="default" w:ascii="Tahoma" w:hAnsi="Tahoma" w:cs="Tahoma"/>
      <w:sz w:val="18"/>
      <w:szCs w:val="18"/>
    </w:rPr>
  </w:style>
  <w:style w:type="character" w:customStyle="1" w:styleId="792">
    <w:name w:val="Char Char23"/>
    <w:qFormat/>
    <w:uiPriority w:val="6"/>
    <w:rPr>
      <w:color w:val="0000FF"/>
      <w:sz w:val="21"/>
    </w:rPr>
  </w:style>
  <w:style w:type="character" w:customStyle="1" w:styleId="793">
    <w:name w:val="批注框文本 字符"/>
    <w:qFormat/>
    <w:uiPriority w:val="0"/>
    <w:rPr>
      <w:rFonts w:ascii="Arial" w:hAnsi="Arial" w:eastAsia="黑体" w:cs="Arial"/>
      <w:snapToGrid w:val="0"/>
      <w:kern w:val="0"/>
      <w:sz w:val="18"/>
      <w:szCs w:val="18"/>
    </w:rPr>
  </w:style>
  <w:style w:type="character" w:customStyle="1" w:styleId="794">
    <w:name w:val="纯文本 Char2"/>
    <w:semiHidden/>
    <w:qFormat/>
    <w:uiPriority w:val="99"/>
    <w:rPr>
      <w:rFonts w:ascii="宋体" w:hAnsi="Courier New" w:eastAsia="宋体" w:cs="Courier New"/>
    </w:rPr>
  </w:style>
  <w:style w:type="character" w:customStyle="1" w:styleId="795">
    <w:name w:val="Char Char25"/>
    <w:qFormat/>
    <w:uiPriority w:val="6"/>
    <w:rPr>
      <w:rFonts w:ascii="宋体" w:hAnsi="宋体"/>
      <w:kern w:val="1"/>
      <w:sz w:val="24"/>
      <w:lang w:val="zh-CN"/>
    </w:rPr>
  </w:style>
  <w:style w:type="character" w:customStyle="1" w:styleId="796">
    <w:name w:val="Char Char411"/>
    <w:qFormat/>
    <w:uiPriority w:val="0"/>
    <w:rPr>
      <w:rFonts w:eastAsia="宋体"/>
      <w:b/>
      <w:sz w:val="24"/>
      <w:lang w:eastAsia="zh-CN" w:bidi="ar-SA"/>
    </w:rPr>
  </w:style>
  <w:style w:type="character" w:customStyle="1" w:styleId="797">
    <w:name w:val="Heading 7 Char"/>
    <w:qFormat/>
    <w:locked/>
    <w:uiPriority w:val="0"/>
    <w:rPr>
      <w:rFonts w:ascii="宋体" w:hAnsi="宋体" w:eastAsia="宋体"/>
      <w:b/>
      <w:bCs/>
      <w:kern w:val="2"/>
      <w:sz w:val="24"/>
      <w:szCs w:val="24"/>
      <w:lang w:val="en-US" w:eastAsia="zh-CN" w:bidi="ar-SA"/>
    </w:rPr>
  </w:style>
  <w:style w:type="character" w:customStyle="1" w:styleId="798">
    <w:name w:val="此正文 Char"/>
    <w:link w:val="105"/>
    <w:qFormat/>
    <w:uiPriority w:val="0"/>
    <w:rPr>
      <w:kern w:val="2"/>
      <w:sz w:val="24"/>
      <w:szCs w:val="24"/>
    </w:rPr>
  </w:style>
  <w:style w:type="character" w:customStyle="1" w:styleId="799">
    <w:name w:val="Char Char2"/>
    <w:qFormat/>
    <w:uiPriority w:val="0"/>
    <w:rPr>
      <w:rFonts w:eastAsia="宋体"/>
      <w:b/>
      <w:bCs/>
      <w:kern w:val="2"/>
      <w:sz w:val="21"/>
      <w:szCs w:val="24"/>
      <w:lang w:val="en-US" w:eastAsia="zh-CN" w:bidi="ar-SA"/>
    </w:rPr>
  </w:style>
  <w:style w:type="character" w:customStyle="1" w:styleId="800">
    <w:name w:val="标题 1 字符1"/>
    <w:link w:val="3"/>
    <w:qFormat/>
    <w:uiPriority w:val="9"/>
    <w:rPr>
      <w:b/>
      <w:bCs/>
      <w:kern w:val="44"/>
      <w:sz w:val="44"/>
      <w:szCs w:val="44"/>
    </w:rPr>
  </w:style>
  <w:style w:type="character" w:customStyle="1" w:styleId="801">
    <w:name w:val="Footer-Even Char1"/>
    <w:qFormat/>
    <w:uiPriority w:val="0"/>
    <w:rPr>
      <w:rFonts w:eastAsia="宋体"/>
      <w:kern w:val="2"/>
      <w:sz w:val="18"/>
      <w:szCs w:val="18"/>
      <w:lang w:val="en-US" w:eastAsia="zh-CN" w:bidi="ar-SA"/>
    </w:rPr>
  </w:style>
  <w:style w:type="character" w:customStyle="1" w:styleId="802">
    <w:name w:val="Char Char29"/>
    <w:qFormat/>
    <w:uiPriority w:val="6"/>
    <w:rPr>
      <w:rFonts w:ascii="Arial" w:hAnsi="Arial" w:eastAsia="微软雅黑"/>
      <w:b/>
      <w:kern w:val="1"/>
      <w:sz w:val="44"/>
      <w:szCs w:val="32"/>
      <w:lang w:val="en-US" w:eastAsia="zh-CN" w:bidi="ar-SA"/>
    </w:rPr>
  </w:style>
  <w:style w:type="character" w:customStyle="1" w:styleId="803">
    <w:name w:val="标题 字符"/>
    <w:link w:val="62"/>
    <w:qFormat/>
    <w:uiPriority w:val="10"/>
    <w:rPr>
      <w:b/>
      <w:sz w:val="24"/>
    </w:rPr>
  </w:style>
  <w:style w:type="character" w:customStyle="1" w:styleId="804">
    <w:name w:val="font81"/>
    <w:qFormat/>
    <w:uiPriority w:val="0"/>
    <w:rPr>
      <w:rFonts w:ascii="微软雅黑" w:hAnsi="微软雅黑" w:eastAsia="微软雅黑" w:cs="微软雅黑"/>
      <w:color w:val="000000"/>
      <w:sz w:val="20"/>
      <w:szCs w:val="20"/>
      <w:u w:val="none"/>
    </w:rPr>
  </w:style>
  <w:style w:type="character" w:customStyle="1" w:styleId="805">
    <w:name w:val="Char Char312"/>
    <w:qFormat/>
    <w:uiPriority w:val="0"/>
    <w:rPr>
      <w:rFonts w:ascii="Times New Roman" w:hAnsi="Times New Roman" w:eastAsia="宋体" w:cs="Times New Roman"/>
      <w:b/>
      <w:kern w:val="2"/>
      <w:sz w:val="32"/>
      <w:szCs w:val="24"/>
      <w:lang w:val="en-US" w:eastAsia="zh-CN" w:bidi="ar-SA"/>
    </w:rPr>
  </w:style>
  <w:style w:type="character" w:customStyle="1" w:styleId="806">
    <w:name w:val="t21"/>
    <w:qFormat/>
    <w:uiPriority w:val="0"/>
    <w:rPr>
      <w:rFonts w:ascii="仿宋_GB2312" w:eastAsia="微软雅黑"/>
      <w:b/>
      <w:kern w:val="2"/>
      <w:sz w:val="23"/>
      <w:szCs w:val="23"/>
      <w:lang w:val="en-US" w:eastAsia="zh-CN" w:bidi="ar-SA"/>
    </w:rPr>
  </w:style>
  <w:style w:type="character" w:customStyle="1" w:styleId="807">
    <w:name w:val="样式8 Char"/>
    <w:qFormat/>
    <w:uiPriority w:val="0"/>
    <w:rPr>
      <w:rFonts w:ascii="仿宋_GB2312" w:hAnsi="宋体" w:eastAsia="仿宋_GB2312"/>
      <w:b/>
      <w:bCs/>
      <w:kern w:val="2"/>
      <w:sz w:val="24"/>
      <w:szCs w:val="24"/>
    </w:rPr>
  </w:style>
  <w:style w:type="character" w:customStyle="1" w:styleId="808">
    <w:name w:val="表格 Char Char"/>
    <w:qFormat/>
    <w:uiPriority w:val="0"/>
    <w:rPr>
      <w:rFonts w:ascii="宋体" w:hAnsi="宋体" w:eastAsia="宋体"/>
      <w:lang w:bidi="ar-SA"/>
    </w:rPr>
  </w:style>
  <w:style w:type="character" w:customStyle="1" w:styleId="809">
    <w:name w:val="正文文本 字符1"/>
    <w:qFormat/>
    <w:uiPriority w:val="0"/>
    <w:rPr>
      <w:rFonts w:ascii="Calibri" w:hAnsi="Calibri" w:eastAsia="黑体" w:cs="Arial"/>
      <w:snapToGrid w:val="0"/>
      <w:kern w:val="2"/>
      <w:sz w:val="28"/>
      <w:szCs w:val="21"/>
    </w:rPr>
  </w:style>
  <w:style w:type="character" w:customStyle="1" w:styleId="810">
    <w:name w:val="标题 5 字符"/>
    <w:link w:val="7"/>
    <w:qFormat/>
    <w:uiPriority w:val="9"/>
    <w:rPr>
      <w:b/>
      <w:bCs/>
      <w:kern w:val="2"/>
      <w:sz w:val="28"/>
      <w:szCs w:val="28"/>
    </w:rPr>
  </w:style>
  <w:style w:type="character" w:customStyle="1" w:styleId="811">
    <w:name w:val="标题 6 Char1"/>
    <w:qFormat/>
    <w:uiPriority w:val="0"/>
    <w:rPr>
      <w:rFonts w:ascii="Arial" w:hAnsi="Arial" w:eastAsia="黑体" w:cs="Times New Roman"/>
      <w:b/>
      <w:sz w:val="24"/>
      <w:szCs w:val="20"/>
      <w:lang w:bidi="ar-SA"/>
    </w:rPr>
  </w:style>
  <w:style w:type="character" w:customStyle="1" w:styleId="812">
    <w:name w:val="带编号样式 Char"/>
    <w:qFormat/>
    <w:uiPriority w:val="0"/>
    <w:rPr>
      <w:rFonts w:ascii="仿宋_GB2312" w:eastAsia="仿宋_GB2312"/>
      <w:color w:val="000000"/>
      <w:sz w:val="24"/>
      <w:lang w:bidi="ar-SA"/>
    </w:rPr>
  </w:style>
  <w:style w:type="character" w:customStyle="1" w:styleId="813">
    <w:name w:val="unnamed31"/>
    <w:qFormat/>
    <w:uiPriority w:val="0"/>
    <w:rPr>
      <w:rFonts w:ascii="Tahoma" w:hAnsi="Tahoma" w:eastAsia="宋体"/>
      <w:b/>
      <w:kern w:val="2"/>
      <w:sz w:val="24"/>
      <w:szCs w:val="32"/>
      <w:u w:val="none"/>
      <w:lang w:val="en-US" w:eastAsia="zh-CN" w:bidi="ar-SA"/>
    </w:rPr>
  </w:style>
  <w:style w:type="character" w:customStyle="1" w:styleId="814">
    <w:name w:val="正文首行缩进 Char Char Char Char Char Char1"/>
    <w:qFormat/>
    <w:uiPriority w:val="0"/>
    <w:rPr>
      <w:rFonts w:ascii="宋体" w:eastAsia="宋体"/>
      <w:kern w:val="2"/>
      <w:sz w:val="24"/>
      <w:szCs w:val="24"/>
      <w:lang w:val="zh-CN" w:bidi="ar-SA"/>
    </w:rPr>
  </w:style>
  <w:style w:type="character" w:customStyle="1" w:styleId="815">
    <w:name w:val="称呼 字符"/>
    <w:link w:val="21"/>
    <w:qFormat/>
    <w:uiPriority w:val="0"/>
    <w:rPr>
      <w:rFonts w:ascii="仿宋_GB2312" w:eastAsia="仿宋_GB2312"/>
      <w:kern w:val="2"/>
      <w:sz w:val="28"/>
    </w:rPr>
  </w:style>
  <w:style w:type="character" w:customStyle="1" w:styleId="816">
    <w:name w:val="文本正文 Char Char"/>
    <w:qFormat/>
    <w:locked/>
    <w:uiPriority w:val="0"/>
    <w:rPr>
      <w:sz w:val="24"/>
      <w:lang w:bidi="ar-SA"/>
    </w:rPr>
  </w:style>
  <w:style w:type="character" w:customStyle="1" w:styleId="817">
    <w:name w:val="正文缩进 字符"/>
    <w:qFormat/>
    <w:uiPriority w:val="0"/>
    <w:rPr>
      <w:rFonts w:ascii="宋体" w:eastAsia="宋体"/>
      <w:snapToGrid w:val="0"/>
      <w:color w:val="000000"/>
      <w:kern w:val="28"/>
      <w:sz w:val="28"/>
      <w:lang w:val="en-US" w:eastAsia="zh-CN" w:bidi="ar-SA"/>
    </w:rPr>
  </w:style>
  <w:style w:type="character" w:customStyle="1" w:styleId="818">
    <w:name w:val="HTML 预设格式 字符"/>
    <w:link w:val="60"/>
    <w:qFormat/>
    <w:uiPriority w:val="0"/>
    <w:rPr>
      <w:rFonts w:ascii="黑体" w:hAnsi="Courier New" w:eastAsia="黑体"/>
    </w:rPr>
  </w:style>
  <w:style w:type="character" w:customStyle="1" w:styleId="819">
    <w:name w:val="正文文本 2 字符1"/>
    <w:link w:val="59"/>
    <w:qFormat/>
    <w:uiPriority w:val="0"/>
    <w:rPr>
      <w:kern w:val="2"/>
      <w:sz w:val="21"/>
      <w:szCs w:val="24"/>
    </w:rPr>
  </w:style>
  <w:style w:type="character" w:customStyle="1" w:styleId="820">
    <w:name w:val="样式 样式 标题 4h4H4Fab-4T5Ref Heading 1rh1Heading sqlsect 1.2.3.... +... Char"/>
    <w:link w:val="106"/>
    <w:qFormat/>
    <w:uiPriority w:val="0"/>
    <w:rPr>
      <w:rFonts w:ascii="微软雅黑" w:hAnsi="微软雅黑" w:eastAsia="微软雅黑"/>
      <w:b/>
      <w:bCs/>
      <w:kern w:val="2"/>
      <w:sz w:val="24"/>
      <w:szCs w:val="28"/>
    </w:rPr>
  </w:style>
  <w:style w:type="character" w:customStyle="1" w:styleId="821">
    <w:name w:val="正文非缩进 Char"/>
    <w:qFormat/>
    <w:uiPriority w:val="0"/>
    <w:rPr>
      <w:rFonts w:ascii="宋体" w:eastAsia="宋体"/>
      <w:snapToGrid w:val="0"/>
      <w:color w:val="000000"/>
      <w:kern w:val="28"/>
      <w:sz w:val="28"/>
      <w:lang w:val="en-US" w:eastAsia="zh-CN" w:bidi="ar-SA"/>
    </w:rPr>
  </w:style>
  <w:style w:type="character" w:customStyle="1" w:styleId="822">
    <w:name w:val="标题 7 字符"/>
    <w:link w:val="9"/>
    <w:qFormat/>
    <w:uiPriority w:val="0"/>
    <w:rPr>
      <w:b/>
      <w:bCs/>
      <w:kern w:val="2"/>
      <w:sz w:val="24"/>
      <w:szCs w:val="24"/>
    </w:rPr>
  </w:style>
  <w:style w:type="character" w:customStyle="1" w:styleId="823">
    <w:name w:val="正文文本缩进 2 字符"/>
    <w:link w:val="40"/>
    <w:qFormat/>
    <w:uiPriority w:val="0"/>
    <w:rPr>
      <w:rFonts w:ascii="宋体"/>
      <w:sz w:val="28"/>
    </w:rPr>
  </w:style>
  <w:style w:type="character" w:customStyle="1" w:styleId="824">
    <w:name w:val="Char Char5"/>
    <w:qFormat/>
    <w:uiPriority w:val="0"/>
    <w:rPr>
      <w:rFonts w:ascii="宋体" w:hAnsi="Courier New" w:eastAsia="宋体"/>
      <w:kern w:val="2"/>
      <w:sz w:val="21"/>
      <w:lang w:val="en-US" w:eastAsia="zh-CN"/>
    </w:rPr>
  </w:style>
  <w:style w:type="character" w:customStyle="1" w:styleId="825">
    <w:name w:val="脚注文本 字符"/>
    <w:link w:val="53"/>
    <w:qFormat/>
    <w:uiPriority w:val="0"/>
    <w:rPr>
      <w:color w:val="0000FF"/>
      <w:sz w:val="21"/>
    </w:rPr>
  </w:style>
  <w:style w:type="character" w:customStyle="1" w:styleId="826">
    <w:name w:val="称呼 Char1"/>
    <w:qFormat/>
    <w:uiPriority w:val="0"/>
    <w:rPr>
      <w:rFonts w:ascii="Times New Roman" w:hAnsi="Times New Roman" w:eastAsia="宋体" w:cs="Times New Roman"/>
      <w:szCs w:val="24"/>
    </w:rPr>
  </w:style>
  <w:style w:type="character" w:customStyle="1" w:styleId="827">
    <w:name w:val="正文1 Char"/>
    <w:qFormat/>
    <w:uiPriority w:val="0"/>
    <w:rPr>
      <w:rFonts w:ascii="宋体" w:eastAsia="宋体"/>
      <w:snapToGrid w:val="0"/>
      <w:color w:val="000000"/>
      <w:kern w:val="28"/>
      <w:sz w:val="28"/>
      <w:lang w:val="en-US" w:eastAsia="zh-CN" w:bidi="ar-SA"/>
    </w:rPr>
  </w:style>
  <w:style w:type="character" w:customStyle="1" w:styleId="828">
    <w:name w:val="正文缩进 Char1"/>
    <w:qFormat/>
    <w:uiPriority w:val="0"/>
    <w:rPr>
      <w:rFonts w:ascii="宋体" w:eastAsia="宋体"/>
      <w:snapToGrid w:val="0"/>
      <w:color w:val="000000"/>
      <w:kern w:val="28"/>
      <w:sz w:val="28"/>
      <w:lang w:val="en-US" w:eastAsia="zh-CN" w:bidi="ar-SA"/>
    </w:rPr>
  </w:style>
  <w:style w:type="character" w:customStyle="1" w:styleId="829">
    <w:name w:val="font21"/>
    <w:basedOn w:val="73"/>
    <w:qFormat/>
    <w:uiPriority w:val="0"/>
    <w:rPr>
      <w:rFonts w:hint="eastAsia" w:ascii="宋体" w:hAnsi="宋体" w:eastAsia="宋体"/>
      <w:kern w:val="2"/>
      <w:sz w:val="28"/>
      <w:szCs w:val="28"/>
      <w:lang w:val="en-US" w:eastAsia="zh-CN" w:bidi="ar-SA"/>
    </w:rPr>
  </w:style>
  <w:style w:type="character" w:customStyle="1" w:styleId="830">
    <w:name w:val="Char Char26"/>
    <w:qFormat/>
    <w:uiPriority w:val="6"/>
    <w:rPr>
      <w:kern w:val="1"/>
      <w:sz w:val="21"/>
      <w:szCs w:val="24"/>
    </w:rPr>
  </w:style>
  <w:style w:type="character" w:customStyle="1" w:styleId="831">
    <w:name w:val="Item List Char"/>
    <w:link w:val="108"/>
    <w:qFormat/>
    <w:uiPriority w:val="0"/>
    <w:rPr>
      <w:rFonts w:ascii="Arial"/>
      <w:bCs/>
      <w:sz w:val="21"/>
      <w:szCs w:val="21"/>
      <w:lang w:val="en-US" w:eastAsia="zh-CN" w:bidi="ar-SA"/>
    </w:rPr>
  </w:style>
  <w:style w:type="character" w:customStyle="1" w:styleId="832">
    <w:name w:val="批注框文本 Char1"/>
    <w:qFormat/>
    <w:uiPriority w:val="0"/>
    <w:rPr>
      <w:rFonts w:ascii="Times New Roman" w:hAnsi="Times New Roman" w:eastAsia="宋体" w:cs="Times New Roman"/>
      <w:sz w:val="18"/>
      <w:szCs w:val="18"/>
    </w:rPr>
  </w:style>
  <w:style w:type="character" w:customStyle="1" w:styleId="833">
    <w:name w:val="纯文本 Char1"/>
    <w:link w:val="109"/>
    <w:qFormat/>
    <w:uiPriority w:val="0"/>
    <w:rPr>
      <w:rFonts w:ascii="宋体" w:hAnsi="Courier New"/>
    </w:rPr>
  </w:style>
  <w:style w:type="character" w:customStyle="1" w:styleId="834">
    <w:name w:val="正文文本首行缩进 字符"/>
    <w:link w:val="64"/>
    <w:qFormat/>
    <w:uiPriority w:val="0"/>
    <w:rPr>
      <w:rFonts w:ascii="宋体"/>
      <w:kern w:val="2"/>
      <w:sz w:val="24"/>
      <w:lang w:val="zh-CN"/>
    </w:rPr>
  </w:style>
  <w:style w:type="character" w:customStyle="1" w:styleId="835">
    <w:name w:val="h3 Char"/>
    <w:qFormat/>
    <w:uiPriority w:val="0"/>
    <w:rPr>
      <w:rFonts w:eastAsia="宋体"/>
      <w:b/>
      <w:kern w:val="2"/>
      <w:sz w:val="32"/>
      <w:lang w:val="en-US" w:eastAsia="zh-CN" w:bidi="ar-SA"/>
    </w:rPr>
  </w:style>
  <w:style w:type="character" w:customStyle="1" w:styleId="836">
    <w:name w:val="dandyren_title1"/>
    <w:qFormat/>
    <w:uiPriority w:val="0"/>
    <w:rPr>
      <w:b/>
      <w:bCs/>
      <w:color w:val="FF6633"/>
      <w:sz w:val="18"/>
      <w:szCs w:val="18"/>
    </w:rPr>
  </w:style>
  <w:style w:type="character" w:customStyle="1" w:styleId="837">
    <w:name w:val="Char Char31"/>
    <w:qFormat/>
    <w:uiPriority w:val="6"/>
    <w:rPr>
      <w:rFonts w:ascii="Arial" w:hAnsi="Arial" w:eastAsia="黑体"/>
      <w:kern w:val="1"/>
      <w:sz w:val="24"/>
      <w:szCs w:val="24"/>
    </w:rPr>
  </w:style>
  <w:style w:type="character" w:customStyle="1" w:styleId="838">
    <w:name w:val="h Char1"/>
    <w:qFormat/>
    <w:uiPriority w:val="0"/>
    <w:rPr>
      <w:sz w:val="18"/>
      <w:szCs w:val="18"/>
    </w:rPr>
  </w:style>
  <w:style w:type="character" w:customStyle="1" w:styleId="839">
    <w:name w:val="solutionfonts"/>
    <w:qFormat/>
    <w:uiPriority w:val="0"/>
  </w:style>
  <w:style w:type="character" w:customStyle="1" w:styleId="840">
    <w:name w:val="标题 4 字符1"/>
    <w:link w:val="6"/>
    <w:qFormat/>
    <w:uiPriority w:val="9"/>
    <w:rPr>
      <w:rFonts w:ascii="Arial" w:hAnsi="Arial" w:eastAsia="黑体"/>
      <w:b/>
      <w:bCs/>
      <w:kern w:val="2"/>
      <w:sz w:val="28"/>
      <w:szCs w:val="28"/>
      <w:lang w:val="zh-CN"/>
    </w:rPr>
  </w:style>
  <w:style w:type="character" w:customStyle="1" w:styleId="841">
    <w:name w:val="首行缩进 Char"/>
    <w:qFormat/>
    <w:uiPriority w:val="0"/>
    <w:rPr>
      <w:rFonts w:ascii="宋体" w:eastAsia="宋体"/>
      <w:kern w:val="2"/>
      <w:sz w:val="24"/>
      <w:lang w:val="en-US" w:eastAsia="zh-CN" w:bidi="ar-SA"/>
    </w:rPr>
  </w:style>
  <w:style w:type="character" w:customStyle="1" w:styleId="842">
    <w:name w:val="Char Char52"/>
    <w:qFormat/>
    <w:uiPriority w:val="0"/>
    <w:rPr>
      <w:rFonts w:ascii="宋体" w:hAnsi="Courier New" w:eastAsia="宋体"/>
      <w:kern w:val="2"/>
      <w:sz w:val="21"/>
      <w:lang w:val="en-US" w:eastAsia="zh-CN"/>
    </w:rPr>
  </w:style>
  <w:style w:type="character" w:customStyle="1" w:styleId="843">
    <w:name w:val="正文文本 3 字符"/>
    <w:link w:val="22"/>
    <w:qFormat/>
    <w:uiPriority w:val="0"/>
    <w:rPr>
      <w:kern w:val="2"/>
      <w:sz w:val="21"/>
    </w:rPr>
  </w:style>
  <w:style w:type="character" w:customStyle="1" w:styleId="844">
    <w:name w:val="font31"/>
    <w:qFormat/>
    <w:uiPriority w:val="0"/>
    <w:rPr>
      <w:rFonts w:hint="eastAsia" w:ascii="仿宋" w:hAnsi="仿宋" w:eastAsia="仿宋" w:cs="仿宋"/>
      <w:color w:val="000000"/>
      <w:sz w:val="20"/>
      <w:szCs w:val="20"/>
      <w:u w:val="none"/>
    </w:rPr>
  </w:style>
  <w:style w:type="character" w:customStyle="1" w:styleId="845">
    <w:name w:val="正文说明 Char"/>
    <w:link w:val="110"/>
    <w:qFormat/>
    <w:uiPriority w:val="0"/>
    <w:rPr>
      <w:sz w:val="24"/>
      <w:szCs w:val="24"/>
    </w:rPr>
  </w:style>
  <w:style w:type="character" w:customStyle="1" w:styleId="846">
    <w:name w:val="脚注文本 Char1"/>
    <w:qFormat/>
    <w:uiPriority w:val="0"/>
    <w:rPr>
      <w:rFonts w:ascii="Times New Roman" w:hAnsi="Times New Roman" w:eastAsia="宋体" w:cs="Times New Roman"/>
      <w:sz w:val="18"/>
      <w:szCs w:val="18"/>
    </w:rPr>
  </w:style>
  <w:style w:type="character" w:customStyle="1" w:styleId="847">
    <w:name w:val="Char Char1211"/>
    <w:qFormat/>
    <w:uiPriority w:val="0"/>
    <w:rPr>
      <w:rFonts w:ascii="仿宋_GB2312" w:eastAsia="仿宋_GB2312"/>
      <w:b/>
      <w:bCs/>
      <w:kern w:val="2"/>
      <w:sz w:val="24"/>
      <w:szCs w:val="24"/>
      <w:lang w:val="zh-CN" w:eastAsia="zh-CN" w:bidi="ar-SA"/>
    </w:rPr>
  </w:style>
  <w:style w:type="character" w:customStyle="1" w:styleId="848">
    <w:name w:val="标题 Char"/>
    <w:qFormat/>
    <w:uiPriority w:val="0"/>
    <w:rPr>
      <w:rFonts w:eastAsia="宋体"/>
      <w:b/>
      <w:sz w:val="24"/>
      <w:lang w:eastAsia="zh-CN" w:bidi="ar-SA"/>
    </w:rPr>
  </w:style>
  <w:style w:type="character" w:customStyle="1" w:styleId="849">
    <w:name w:val="Char Char35"/>
    <w:qFormat/>
    <w:uiPriority w:val="6"/>
    <w:rPr>
      <w:rFonts w:ascii="Arial" w:hAnsi="Arial" w:eastAsia="黑体"/>
      <w:b/>
      <w:kern w:val="1"/>
      <w:sz w:val="28"/>
      <w:szCs w:val="28"/>
      <w:lang w:val="zh-CN"/>
    </w:rPr>
  </w:style>
  <w:style w:type="character" w:customStyle="1" w:styleId="850">
    <w:name w:val="纯文本 Char Char Char"/>
    <w:qFormat/>
    <w:uiPriority w:val="0"/>
    <w:rPr>
      <w:rFonts w:ascii="宋体" w:hAnsi="Courier New" w:eastAsia="宋体"/>
      <w:kern w:val="2"/>
      <w:sz w:val="21"/>
      <w:lang w:val="en-US" w:eastAsia="zh-CN" w:bidi="ar-SA"/>
    </w:rPr>
  </w:style>
  <w:style w:type="character" w:customStyle="1" w:styleId="851">
    <w:name w:val="Table Text Char"/>
    <w:link w:val="111"/>
    <w:qFormat/>
    <w:uiPriority w:val="0"/>
    <w:rPr>
      <w:sz w:val="24"/>
      <w:szCs w:val="24"/>
    </w:rPr>
  </w:style>
  <w:style w:type="character" w:customStyle="1" w:styleId="852">
    <w:name w:val="正文1 Char1"/>
    <w:qFormat/>
    <w:uiPriority w:val="0"/>
    <w:rPr>
      <w:rFonts w:ascii="仿宋_GB2312" w:hAnsi="Courier New" w:eastAsia="仿宋_GB2312"/>
      <w:kern w:val="28"/>
      <w:sz w:val="24"/>
      <w:szCs w:val="24"/>
      <w:lang w:val="en-US" w:eastAsia="zh-CN"/>
    </w:rPr>
  </w:style>
  <w:style w:type="character" w:customStyle="1" w:styleId="853">
    <w:name w:val="页脚 Char1"/>
    <w:qFormat/>
    <w:uiPriority w:val="0"/>
    <w:rPr>
      <w:rFonts w:eastAsia="宋体"/>
      <w:kern w:val="2"/>
      <w:sz w:val="18"/>
      <w:szCs w:val="18"/>
      <w:lang w:val="en-US" w:eastAsia="zh-CN" w:bidi="ar-SA"/>
    </w:rPr>
  </w:style>
  <w:style w:type="character" w:customStyle="1" w:styleId="854">
    <w:name w:val="Bold"/>
    <w:qFormat/>
    <w:uiPriority w:val="0"/>
    <w:rPr>
      <w:rFonts w:ascii="Arial" w:hAnsi="Arial" w:eastAsia="黑体" w:cs="Times New Roman"/>
      <w:b/>
      <w:kern w:val="2"/>
      <w:sz w:val="32"/>
      <w:szCs w:val="32"/>
      <w:lang w:val="en-US" w:eastAsia="zh-CN" w:bidi="ar-SA"/>
    </w:rPr>
  </w:style>
  <w:style w:type="character" w:customStyle="1" w:styleId="855">
    <w:name w:val="批注文字 字符1"/>
    <w:link w:val="20"/>
    <w:qFormat/>
    <w:uiPriority w:val="0"/>
    <w:rPr>
      <w:kern w:val="2"/>
      <w:sz w:val="21"/>
      <w:szCs w:val="24"/>
    </w:rPr>
  </w:style>
  <w:style w:type="character" w:customStyle="1" w:styleId="856">
    <w:name w:val="签名 字符"/>
    <w:link w:val="45"/>
    <w:qFormat/>
    <w:uiPriority w:val="0"/>
    <w:rPr>
      <w:rFonts w:eastAsia="仿宋_GB2312"/>
      <w:sz w:val="24"/>
    </w:rPr>
  </w:style>
  <w:style w:type="character" w:customStyle="1" w:styleId="857">
    <w:name w:val="hui3"/>
    <w:qFormat/>
    <w:uiPriority w:val="0"/>
    <w:rPr>
      <w:color w:val="333333"/>
    </w:rPr>
  </w:style>
  <w:style w:type="character" w:customStyle="1" w:styleId="858">
    <w:name w:val="Char Char17"/>
    <w:qFormat/>
    <w:uiPriority w:val="6"/>
    <w:rPr>
      <w:rFonts w:eastAsia="仿宋_GB2312"/>
      <w:sz w:val="24"/>
    </w:rPr>
  </w:style>
  <w:style w:type="character" w:customStyle="1" w:styleId="859">
    <w:name w:val="标题 4 字符"/>
    <w:qFormat/>
    <w:uiPriority w:val="9"/>
    <w:rPr>
      <w:rFonts w:ascii="等线 Light" w:hAnsi="等线 Light" w:eastAsia="等线 Light" w:cs="Times New Roman"/>
      <w:b/>
      <w:bCs/>
      <w:snapToGrid w:val="0"/>
      <w:kern w:val="0"/>
      <w:sz w:val="28"/>
      <w:szCs w:val="28"/>
    </w:rPr>
  </w:style>
  <w:style w:type="character" w:customStyle="1" w:styleId="860">
    <w:name w:val="Char Char37"/>
    <w:qFormat/>
    <w:uiPriority w:val="6"/>
    <w:rPr>
      <w:b/>
      <w:kern w:val="1"/>
      <w:sz w:val="44"/>
      <w:szCs w:val="44"/>
    </w:rPr>
  </w:style>
  <w:style w:type="character" w:customStyle="1" w:styleId="861">
    <w:name w:val="列出段落 Char"/>
    <w:qFormat/>
    <w:uiPriority w:val="0"/>
    <w:rPr>
      <w:rFonts w:eastAsia="楷体_GB2312" w:cs="Lucida Sans"/>
      <w:kern w:val="2"/>
      <w:sz w:val="24"/>
      <w:szCs w:val="24"/>
      <w:lang w:val="en-US" w:eastAsia="zh-CN" w:bidi="ar-SA"/>
    </w:rPr>
  </w:style>
  <w:style w:type="character" w:customStyle="1" w:styleId="862">
    <w:name w:val="正文文本缩进 3 Char1"/>
    <w:semiHidden/>
    <w:qFormat/>
    <w:uiPriority w:val="99"/>
    <w:rPr>
      <w:rFonts w:ascii="Times New Roman" w:hAnsi="Times New Roman" w:eastAsia="宋体" w:cs="Times New Roman"/>
      <w:sz w:val="16"/>
      <w:szCs w:val="16"/>
    </w:rPr>
  </w:style>
  <w:style w:type="character" w:customStyle="1" w:styleId="863">
    <w:name w:val="公文正文 Char Char"/>
    <w:link w:val="112"/>
    <w:qFormat/>
    <w:uiPriority w:val="0"/>
    <w:rPr>
      <w:rFonts w:ascii="仿宋_GB2312" w:eastAsia="仿宋_GB2312"/>
      <w:kern w:val="2"/>
      <w:sz w:val="24"/>
      <w:szCs w:val="24"/>
    </w:rPr>
  </w:style>
  <w:style w:type="character" w:customStyle="1" w:styleId="864">
    <w:name w:val="Table Text Char1"/>
    <w:qFormat/>
    <w:uiPriority w:val="0"/>
    <w:rPr>
      <w:rFonts w:eastAsia="宋体"/>
      <w:sz w:val="24"/>
      <w:szCs w:val="24"/>
      <w:lang w:val="en-US" w:eastAsia="zh-CN" w:bidi="ar-SA"/>
    </w:rPr>
  </w:style>
  <w:style w:type="character" w:customStyle="1" w:styleId="865">
    <w:name w:val="标题 1 Char Char"/>
    <w:qFormat/>
    <w:uiPriority w:val="0"/>
    <w:rPr>
      <w:rFonts w:hint="eastAsia" w:ascii="宋体" w:hAnsi="宋体" w:eastAsia="宋体"/>
      <w:b/>
      <w:spacing w:val="-2"/>
      <w:sz w:val="24"/>
      <w:lang w:val="en-US" w:eastAsia="zh-CN" w:bidi="ar-SA"/>
    </w:rPr>
  </w:style>
  <w:style w:type="character" w:customStyle="1" w:styleId="866">
    <w:name w:val="正文（缩进2汉字） Char"/>
    <w:link w:val="113"/>
    <w:qFormat/>
    <w:uiPriority w:val="0"/>
    <w:rPr>
      <w:rFonts w:ascii="宋体"/>
    </w:rPr>
  </w:style>
  <w:style w:type="character" w:customStyle="1" w:styleId="867">
    <w:name w:val="标题 8 字符"/>
    <w:link w:val="10"/>
    <w:qFormat/>
    <w:uiPriority w:val="0"/>
    <w:rPr>
      <w:rFonts w:ascii="Arial" w:hAnsi="Arial" w:eastAsia="黑体"/>
      <w:kern w:val="2"/>
      <w:sz w:val="24"/>
      <w:szCs w:val="24"/>
    </w:rPr>
  </w:style>
  <w:style w:type="character" w:customStyle="1" w:styleId="868">
    <w:name w:val="标书表格字体格式 Char"/>
    <w:qFormat/>
    <w:uiPriority w:val="0"/>
    <w:rPr>
      <w:kern w:val="2"/>
      <w:sz w:val="21"/>
      <w:szCs w:val="24"/>
      <w:lang w:bidi="ar-SA"/>
    </w:rPr>
  </w:style>
  <w:style w:type="character" w:customStyle="1" w:styleId="869">
    <w:name w:val="tw4winError"/>
    <w:qFormat/>
    <w:uiPriority w:val="0"/>
    <w:rPr>
      <w:rFonts w:ascii="Courier New" w:hAnsi="Courier New" w:cs="Courier New"/>
      <w:color w:val="00FF00"/>
      <w:sz w:val="40"/>
      <w:szCs w:val="40"/>
    </w:rPr>
  </w:style>
  <w:style w:type="character" w:customStyle="1" w:styleId="870">
    <w:name w:val="Body Text(ch) Char Char"/>
    <w:qFormat/>
    <w:uiPriority w:val="0"/>
    <w:rPr>
      <w:rFonts w:ascii="宋体"/>
      <w:kern w:val="2"/>
      <w:sz w:val="24"/>
      <w:szCs w:val="21"/>
      <w:lang w:val="zh-CN"/>
    </w:rPr>
  </w:style>
  <w:style w:type="character" w:customStyle="1" w:styleId="871">
    <w:name w:val="正文首行缩进两字 Char"/>
    <w:qFormat/>
    <w:uiPriority w:val="0"/>
    <w:rPr>
      <w:sz w:val="24"/>
      <w:szCs w:val="24"/>
      <w:lang w:val="en-US" w:eastAsia="zh-CN" w:bidi="ar-SA"/>
    </w:rPr>
  </w:style>
  <w:style w:type="character" w:customStyle="1" w:styleId="872">
    <w:name w:val="正文文本 Char"/>
    <w:qFormat/>
    <w:uiPriority w:val="0"/>
    <w:rPr>
      <w:rFonts w:eastAsia="宋体"/>
      <w:kern w:val="2"/>
      <w:sz w:val="24"/>
      <w:szCs w:val="24"/>
      <w:lang w:val="en-US" w:eastAsia="zh-CN" w:bidi="ar-SA"/>
    </w:rPr>
  </w:style>
  <w:style w:type="character" w:customStyle="1" w:styleId="873">
    <w:name w:val="文档结构图 字符1"/>
    <w:qFormat/>
    <w:uiPriority w:val="0"/>
    <w:rPr>
      <w:rFonts w:ascii="宋体" w:hAnsi="Calibri" w:eastAsia="黑体" w:cs="Arial"/>
      <w:snapToGrid w:val="0"/>
      <w:kern w:val="2"/>
      <w:sz w:val="18"/>
      <w:szCs w:val="18"/>
    </w:rPr>
  </w:style>
  <w:style w:type="character" w:customStyle="1" w:styleId="874">
    <w:name w:val="content"/>
    <w:qFormat/>
    <w:uiPriority w:val="0"/>
  </w:style>
  <w:style w:type="character" w:customStyle="1" w:styleId="875">
    <w:name w:val="tw4winPopup"/>
    <w:qFormat/>
    <w:uiPriority w:val="0"/>
    <w:rPr>
      <w:rFonts w:ascii="Courier New" w:hAnsi="Courier New" w:cs="Courier New"/>
      <w:color w:val="008000"/>
      <w:lang w:val="en-US" w:eastAsia="zh-CN"/>
    </w:rPr>
  </w:style>
  <w:style w:type="character" w:customStyle="1" w:styleId="876">
    <w:name w:val="param-name"/>
    <w:qFormat/>
    <w:uiPriority w:val="99"/>
    <w:rPr>
      <w:rFonts w:ascii="Arial" w:hAnsi="Arial" w:eastAsia="黑体" w:cs="Arial"/>
      <w:snapToGrid w:val="0"/>
      <w:kern w:val="0"/>
      <w:szCs w:val="21"/>
    </w:rPr>
  </w:style>
  <w:style w:type="character" w:customStyle="1" w:styleId="877">
    <w:name w:val="标准正文格式 Char"/>
    <w:qFormat/>
    <w:uiPriority w:val="0"/>
    <w:rPr>
      <w:rFonts w:ascii="宋体" w:eastAsia="仿宋_GB2312" w:cs="宋体"/>
      <w:color w:val="000000"/>
      <w:sz w:val="24"/>
      <w:lang w:val="en-US" w:eastAsia="zh-CN" w:bidi="ar-SA"/>
    </w:rPr>
  </w:style>
  <w:style w:type="character" w:customStyle="1" w:styleId="878">
    <w:name w:val="Char Char212"/>
    <w:qFormat/>
    <w:uiPriority w:val="0"/>
    <w:rPr>
      <w:rFonts w:eastAsia="宋体"/>
      <w:b/>
      <w:bCs/>
      <w:kern w:val="2"/>
      <w:sz w:val="21"/>
      <w:szCs w:val="24"/>
      <w:lang w:val="en-US" w:eastAsia="zh-CN" w:bidi="ar-SA"/>
    </w:rPr>
  </w:style>
  <w:style w:type="character" w:customStyle="1" w:styleId="879">
    <w:name w:val="文档结构图 Char"/>
    <w:qFormat/>
    <w:uiPriority w:val="0"/>
    <w:rPr>
      <w:rFonts w:eastAsia="宋体"/>
      <w:kern w:val="2"/>
      <w:sz w:val="21"/>
      <w:szCs w:val="24"/>
      <w:lang w:val="en-US" w:eastAsia="zh-CN" w:bidi="ar-SA"/>
    </w:rPr>
  </w:style>
  <w:style w:type="character" w:customStyle="1" w:styleId="880">
    <w:name w:val="zbggmain style9"/>
    <w:qFormat/>
    <w:uiPriority w:val="0"/>
  </w:style>
  <w:style w:type="character" w:customStyle="1" w:styleId="881">
    <w:name w:val="Char Char16"/>
    <w:qFormat/>
    <w:uiPriority w:val="6"/>
    <w:rPr>
      <w:kern w:val="1"/>
      <w:sz w:val="18"/>
      <w:szCs w:val="18"/>
    </w:rPr>
  </w:style>
  <w:style w:type="character" w:customStyle="1" w:styleId="882">
    <w:name w:val="font51"/>
    <w:basedOn w:val="73"/>
    <w:qFormat/>
    <w:uiPriority w:val="0"/>
    <w:rPr>
      <w:rFonts w:hint="eastAsia" w:ascii="仿宋" w:hAnsi="仿宋" w:eastAsia="仿宋" w:cs="仿宋"/>
      <w:color w:val="000000"/>
      <w:sz w:val="20"/>
      <w:szCs w:val="20"/>
      <w:u w:val="none"/>
    </w:rPr>
  </w:style>
  <w:style w:type="character" w:customStyle="1" w:styleId="883">
    <w:name w:val="Char Char82"/>
    <w:qFormat/>
    <w:uiPriority w:val="0"/>
    <w:rPr>
      <w:rFonts w:eastAsia="宋体"/>
      <w:b/>
      <w:sz w:val="24"/>
      <w:lang w:eastAsia="zh-CN"/>
    </w:rPr>
  </w:style>
  <w:style w:type="character" w:customStyle="1" w:styleId="884">
    <w:name w:val="正文文本缩进 3 字符"/>
    <w:link w:val="56"/>
    <w:qFormat/>
    <w:uiPriority w:val="0"/>
    <w:rPr>
      <w:kern w:val="2"/>
      <w:sz w:val="24"/>
    </w:rPr>
  </w:style>
  <w:style w:type="character" w:customStyle="1" w:styleId="885">
    <w:name w:val="日期 Char1"/>
    <w:semiHidden/>
    <w:qFormat/>
    <w:uiPriority w:val="99"/>
    <w:rPr>
      <w:rFonts w:ascii="Times New Roman" w:hAnsi="Times New Roman" w:eastAsia="宋体" w:cs="Times New Roman"/>
      <w:szCs w:val="24"/>
    </w:rPr>
  </w:style>
  <w:style w:type="character" w:customStyle="1" w:styleId="886">
    <w:name w:val="页眉 字符"/>
    <w:qFormat/>
    <w:uiPriority w:val="99"/>
    <w:rPr>
      <w:kern w:val="2"/>
      <w:sz w:val="18"/>
      <w:szCs w:val="18"/>
    </w:rPr>
  </w:style>
  <w:style w:type="character" w:customStyle="1" w:styleId="887">
    <w:name w:val="Char Char33"/>
    <w:qFormat/>
    <w:uiPriority w:val="6"/>
    <w:rPr>
      <w:rFonts w:ascii="Arial" w:hAnsi="Arial" w:eastAsia="黑体"/>
      <w:b/>
      <w:kern w:val="1"/>
      <w:sz w:val="24"/>
      <w:szCs w:val="24"/>
    </w:rPr>
  </w:style>
  <w:style w:type="character" w:customStyle="1" w:styleId="888">
    <w:name w:val="b11_01b Char"/>
    <w:link w:val="114"/>
    <w:qFormat/>
    <w:uiPriority w:val="0"/>
    <w:rPr>
      <w:rFonts w:ascii="Verdana" w:hAnsi="Verdana"/>
      <w:b/>
      <w:bCs/>
      <w:color w:val="4A82CA"/>
      <w:sz w:val="17"/>
      <w:szCs w:val="17"/>
    </w:rPr>
  </w:style>
  <w:style w:type="character" w:customStyle="1" w:styleId="889">
    <w:name w:val="Char Char121"/>
    <w:qFormat/>
    <w:uiPriority w:val="6"/>
    <w:rPr>
      <w:rFonts w:ascii="仿宋_GB2312" w:eastAsia="仿宋_GB2312"/>
      <w:b/>
      <w:bCs/>
      <w:kern w:val="2"/>
      <w:sz w:val="24"/>
      <w:szCs w:val="24"/>
      <w:lang w:val="zh-CN" w:eastAsia="zh-CN" w:bidi="ar-SA"/>
    </w:rPr>
  </w:style>
  <w:style w:type="character" w:customStyle="1" w:styleId="890">
    <w:name w:val="Footer-Even Char"/>
    <w:qFormat/>
    <w:uiPriority w:val="0"/>
    <w:rPr>
      <w:rFonts w:eastAsia="宋体"/>
      <w:kern w:val="2"/>
      <w:sz w:val="18"/>
      <w:lang w:val="en-US" w:eastAsia="zh-CN" w:bidi="ar-SA"/>
    </w:rPr>
  </w:style>
  <w:style w:type="character" w:customStyle="1" w:styleId="891">
    <w:name w:val="页脚 字符2"/>
    <w:link w:val="43"/>
    <w:qFormat/>
    <w:locked/>
    <w:uiPriority w:val="99"/>
    <w:rPr>
      <w:kern w:val="2"/>
      <w:sz w:val="18"/>
      <w:szCs w:val="18"/>
    </w:rPr>
  </w:style>
  <w:style w:type="character" w:customStyle="1" w:styleId="892">
    <w:name w:val="Char Char36"/>
    <w:qFormat/>
    <w:uiPriority w:val="6"/>
    <w:rPr>
      <w:rFonts w:ascii="仿宋_GB2312" w:hAnsi="仿宋_GB2312" w:eastAsia="仿宋_GB2312" w:cs="Arial"/>
      <w:b/>
      <w:kern w:val="1"/>
      <w:sz w:val="32"/>
      <w:szCs w:val="32"/>
      <w:lang w:val="zh-CN" w:eastAsia="zh-CN" w:bidi="ar-SA"/>
    </w:rPr>
  </w:style>
  <w:style w:type="character" w:customStyle="1" w:styleId="893">
    <w:name w:val="Char Char61"/>
    <w:qFormat/>
    <w:uiPriority w:val="6"/>
    <w:rPr>
      <w:rFonts w:eastAsia="宋体"/>
      <w:kern w:val="2"/>
      <w:sz w:val="21"/>
      <w:szCs w:val="24"/>
      <w:lang w:val="en-US" w:eastAsia="zh-CN" w:bidi="ar-SA"/>
    </w:rPr>
  </w:style>
  <w:style w:type="character" w:customStyle="1" w:styleId="894">
    <w:name w:val="正文文字缩进 2 Char Char"/>
    <w:qFormat/>
    <w:uiPriority w:val="0"/>
    <w:rPr>
      <w:rFonts w:ascii="宋体"/>
      <w:sz w:val="28"/>
    </w:rPr>
  </w:style>
  <w:style w:type="character" w:customStyle="1" w:styleId="895">
    <w:name w:val="f141"/>
    <w:qFormat/>
    <w:uiPriority w:val="0"/>
    <w:rPr>
      <w:rFonts w:ascii="Tahoma" w:hAnsi="Tahoma" w:eastAsia="宋体"/>
      <w:b/>
      <w:kern w:val="2"/>
      <w:sz w:val="21"/>
      <w:szCs w:val="21"/>
      <w:lang w:val="en-US" w:eastAsia="zh-CN" w:bidi="ar-SA"/>
    </w:rPr>
  </w:style>
  <w:style w:type="character" w:customStyle="1" w:styleId="896">
    <w:name w:val="段落 Char Char"/>
    <w:link w:val="115"/>
    <w:qFormat/>
    <w:uiPriority w:val="0"/>
    <w:rPr>
      <w:rFonts w:ascii="宋体" w:hAnsi="宋体"/>
      <w:sz w:val="24"/>
    </w:rPr>
  </w:style>
  <w:style w:type="character" w:customStyle="1" w:styleId="897">
    <w:name w:val="标题 3 Char2"/>
    <w:qFormat/>
    <w:uiPriority w:val="0"/>
    <w:rPr>
      <w:rFonts w:eastAsia="宋体"/>
      <w:b/>
      <w:bCs/>
      <w:kern w:val="2"/>
      <w:sz w:val="32"/>
      <w:szCs w:val="32"/>
      <w:lang w:val="en-US" w:eastAsia="zh-CN" w:bidi="ar-SA"/>
    </w:rPr>
  </w:style>
  <w:style w:type="character" w:customStyle="1" w:styleId="898">
    <w:name w:val="apple-converted-space"/>
    <w:qFormat/>
    <w:uiPriority w:val="0"/>
  </w:style>
  <w:style w:type="character" w:customStyle="1" w:styleId="899">
    <w:name w:val="页眉 字符2"/>
    <w:link w:val="44"/>
    <w:qFormat/>
    <w:uiPriority w:val="99"/>
    <w:rPr>
      <w:kern w:val="2"/>
      <w:sz w:val="18"/>
      <w:szCs w:val="18"/>
    </w:rPr>
  </w:style>
  <w:style w:type="character" w:customStyle="1" w:styleId="900">
    <w:name w:val="Char Char9"/>
    <w:qFormat/>
    <w:uiPriority w:val="0"/>
    <w:rPr>
      <w:rFonts w:eastAsia="宋体"/>
      <w:kern w:val="2"/>
      <w:sz w:val="18"/>
      <w:szCs w:val="18"/>
      <w:lang w:val="en-US" w:eastAsia="zh-CN" w:bidi="ar-SA"/>
    </w:rPr>
  </w:style>
  <w:style w:type="character" w:customStyle="1" w:styleId="901">
    <w:name w:val="Char Char41"/>
    <w:qFormat/>
    <w:uiPriority w:val="0"/>
    <w:rPr>
      <w:rFonts w:eastAsia="宋体"/>
      <w:b/>
      <w:sz w:val="24"/>
      <w:lang w:eastAsia="zh-CN" w:bidi="ar-SA"/>
    </w:rPr>
  </w:style>
  <w:style w:type="character" w:customStyle="1" w:styleId="902">
    <w:name w:val="large1"/>
    <w:qFormat/>
    <w:uiPriority w:val="0"/>
    <w:rPr>
      <w:rFonts w:hint="eastAsia" w:ascii="宋体" w:hAnsi="宋体" w:eastAsia="宋体"/>
      <w:sz w:val="21"/>
      <w:szCs w:val="21"/>
    </w:rPr>
  </w:style>
  <w:style w:type="character" w:customStyle="1" w:styleId="903">
    <w:name w:val="正文段 Char"/>
    <w:link w:val="116"/>
    <w:qFormat/>
    <w:uiPriority w:val="0"/>
    <w:rPr>
      <w:sz w:val="24"/>
    </w:rPr>
  </w:style>
  <w:style w:type="character" w:customStyle="1" w:styleId="904">
    <w:name w:val="Char Char13"/>
    <w:qFormat/>
    <w:uiPriority w:val="6"/>
    <w:rPr>
      <w:rFonts w:ascii="宋体" w:hAnsi="宋体"/>
      <w:kern w:val="1"/>
      <w:sz w:val="21"/>
      <w:szCs w:val="24"/>
    </w:rPr>
  </w:style>
  <w:style w:type="character" w:customStyle="1" w:styleId="905">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6">
    <w:name w:val="冯广丽 Char"/>
    <w:link w:val="117"/>
    <w:qFormat/>
    <w:uiPriority w:val="0"/>
    <w:rPr>
      <w:rFonts w:ascii="宋体" w:hAnsi="宋体"/>
      <w:kern w:val="2"/>
      <w:sz w:val="24"/>
      <w:szCs w:val="22"/>
    </w:rPr>
  </w:style>
  <w:style w:type="character" w:customStyle="1" w:styleId="907">
    <w:name w:val="批注文字 字符"/>
    <w:qFormat/>
    <w:uiPriority w:val="0"/>
    <w:rPr>
      <w:rFonts w:ascii="Arial" w:hAnsi="Arial" w:eastAsia="黑体" w:cs="Arial"/>
      <w:snapToGrid w:val="0"/>
      <w:kern w:val="0"/>
      <w:szCs w:val="21"/>
    </w:rPr>
  </w:style>
  <w:style w:type="character" w:customStyle="1" w:styleId="908">
    <w:name w:val="Char Char161"/>
    <w:qFormat/>
    <w:uiPriority w:val="0"/>
    <w:rPr>
      <w:rFonts w:eastAsia="宋体"/>
      <w:b/>
      <w:kern w:val="2"/>
      <w:sz w:val="32"/>
      <w:lang w:val="en-US" w:eastAsia="zh-CN"/>
    </w:rPr>
  </w:style>
  <w:style w:type="character" w:customStyle="1" w:styleId="909">
    <w:name w:val="javascript"/>
    <w:qFormat/>
    <w:uiPriority w:val="0"/>
  </w:style>
  <w:style w:type="character" w:customStyle="1" w:styleId="910">
    <w:name w:val="图名 Char"/>
    <w:qFormat/>
    <w:uiPriority w:val="0"/>
    <w:rPr>
      <w:rFonts w:ascii="Arial" w:hAnsi="Arial" w:eastAsia="黑体"/>
      <w:kern w:val="2"/>
      <w:sz w:val="24"/>
      <w:szCs w:val="24"/>
      <w:lang w:val="en-US" w:eastAsia="zh-CN" w:bidi="ar-SA"/>
    </w:rPr>
  </w:style>
  <w:style w:type="character" w:customStyle="1" w:styleId="911">
    <w:name w:val="Used by Word for text of Help footnotes Char Char"/>
    <w:qFormat/>
    <w:uiPriority w:val="0"/>
    <w:rPr>
      <w:rFonts w:ascii="Times New Roman" w:hAnsi="Times New Roman" w:eastAsia="宋体" w:cs="Times New Roman"/>
      <w:sz w:val="20"/>
      <w:szCs w:val="20"/>
    </w:rPr>
  </w:style>
  <w:style w:type="character" w:customStyle="1" w:styleId="912">
    <w:name w:val="编号，小四 Char"/>
    <w:link w:val="118"/>
    <w:qFormat/>
    <w:uiPriority w:val="0"/>
    <w:rPr>
      <w:rFonts w:ascii="Arial" w:hAnsi="Arial"/>
      <w:sz w:val="24"/>
    </w:rPr>
  </w:style>
  <w:style w:type="character" w:customStyle="1" w:styleId="913">
    <w:name w:val="Font Style82"/>
    <w:qFormat/>
    <w:uiPriority w:val="99"/>
    <w:rPr>
      <w:rFonts w:ascii="宋体" w:eastAsia="宋体" w:cs="宋体"/>
      <w:color w:val="000000"/>
      <w:sz w:val="14"/>
      <w:szCs w:val="14"/>
    </w:rPr>
  </w:style>
  <w:style w:type="character" w:customStyle="1" w:styleId="914">
    <w:name w:val="标题 2 Char Char"/>
    <w:qFormat/>
    <w:uiPriority w:val="0"/>
    <w:rPr>
      <w:rFonts w:ascii="楷体_GB2312" w:hAnsi="Arial" w:eastAsia="楷体_GB2312"/>
      <w:b/>
      <w:bCs/>
      <w:kern w:val="2"/>
      <w:sz w:val="24"/>
      <w:szCs w:val="32"/>
      <w:lang w:val="en-US" w:eastAsia="zh-CN" w:bidi="ar-SA"/>
    </w:rPr>
  </w:style>
  <w:style w:type="character" w:customStyle="1" w:styleId="915">
    <w:name w:val="未用 Char"/>
    <w:qFormat/>
    <w:uiPriority w:val="0"/>
    <w:rPr>
      <w:rFonts w:ascii="Arial" w:hAnsi="Arial" w:eastAsia="黑体"/>
      <w:kern w:val="2"/>
      <w:sz w:val="21"/>
      <w:szCs w:val="21"/>
      <w:lang w:val="en-US" w:eastAsia="zh-CN" w:bidi="ar-SA"/>
    </w:rPr>
  </w:style>
  <w:style w:type="character" w:customStyle="1" w:styleId="916">
    <w:name w:val="myp1111"/>
    <w:qFormat/>
    <w:uiPriority w:val="0"/>
    <w:rPr>
      <w:rFonts w:hint="default" w:ascii="ˎ̥" w:hAnsi="ˎ̥"/>
      <w:color w:val="000000"/>
      <w:sz w:val="20"/>
      <w:szCs w:val="20"/>
      <w:u w:val="none"/>
    </w:rPr>
  </w:style>
  <w:style w:type="character" w:customStyle="1" w:styleId="917">
    <w:name w:val="样式 标题 4h4H4Fab-4T5Ref Heading 1rh1Heading sqlsect 1.2.3.... Char"/>
    <w:link w:val="107"/>
    <w:qFormat/>
    <w:uiPriority w:val="0"/>
    <w:rPr>
      <w:rFonts w:ascii="微软雅黑" w:hAnsi="微软雅黑" w:eastAsia="微软雅黑"/>
      <w:b/>
      <w:bCs/>
      <w:kern w:val="2"/>
      <w:sz w:val="24"/>
      <w:szCs w:val="28"/>
    </w:rPr>
  </w:style>
  <w:style w:type="character" w:customStyle="1" w:styleId="918">
    <w:name w:val="h Char Char"/>
    <w:qFormat/>
    <w:uiPriority w:val="0"/>
    <w:rPr>
      <w:rFonts w:eastAsia="宋体"/>
      <w:kern w:val="2"/>
      <w:sz w:val="18"/>
      <w:lang w:val="en-US" w:eastAsia="zh-CN" w:bidi="ar-SA"/>
    </w:rPr>
  </w:style>
  <w:style w:type="character" w:customStyle="1" w:styleId="919">
    <w:name w:val="仿宋正文 Char"/>
    <w:link w:val="119"/>
    <w:qFormat/>
    <w:uiPriority w:val="0"/>
    <w:rPr>
      <w:rFonts w:ascii="仿宋_GB2312" w:eastAsia="仿宋_GB2312"/>
      <w:kern w:val="2"/>
      <w:sz w:val="24"/>
      <w:lang w:val="en-US" w:eastAsia="zh-CN" w:bidi="ar-SA"/>
    </w:rPr>
  </w:style>
  <w:style w:type="character" w:customStyle="1" w:styleId="920">
    <w:name w:val="正文首行缩进 Char Char Char Char Char Char"/>
    <w:qFormat/>
    <w:uiPriority w:val="0"/>
    <w:rPr>
      <w:rFonts w:ascii="宋体" w:eastAsia="宋体"/>
      <w:kern w:val="2"/>
      <w:sz w:val="24"/>
      <w:lang w:val="zh-CN" w:bidi="ar-SA"/>
    </w:rPr>
  </w:style>
  <w:style w:type="character" w:customStyle="1" w:styleId="921">
    <w:name w:val="样式 宋体"/>
    <w:qFormat/>
    <w:uiPriority w:val="0"/>
    <w:rPr>
      <w:rFonts w:ascii="宋体" w:hAnsi="宋体"/>
      <w:sz w:val="24"/>
    </w:rPr>
  </w:style>
  <w:style w:type="character" w:customStyle="1" w:styleId="922">
    <w:name w:val="tw4winJump"/>
    <w:qFormat/>
    <w:uiPriority w:val="0"/>
    <w:rPr>
      <w:rFonts w:ascii="Courier New" w:hAnsi="Courier New" w:cs="Courier New"/>
      <w:color w:val="008080"/>
      <w:lang w:val="en-US" w:eastAsia="zh-CN"/>
    </w:rPr>
  </w:style>
  <w:style w:type="character" w:customStyle="1" w:styleId="923">
    <w:name w:val="标题 1 字符"/>
    <w:qFormat/>
    <w:uiPriority w:val="9"/>
    <w:rPr>
      <w:rFonts w:ascii="Arial" w:hAnsi="Arial" w:eastAsia="黑体" w:cs="Arial"/>
      <w:b/>
      <w:bCs/>
      <w:snapToGrid w:val="0"/>
      <w:kern w:val="44"/>
      <w:sz w:val="44"/>
      <w:szCs w:val="44"/>
    </w:rPr>
  </w:style>
  <w:style w:type="character" w:customStyle="1" w:styleId="924">
    <w:name w:val="style36"/>
    <w:basedOn w:val="73"/>
    <w:qFormat/>
    <w:uiPriority w:val="0"/>
    <w:rPr>
      <w:rFonts w:ascii="Arial" w:hAnsi="Arial" w:eastAsia="黑体" w:cs="Arial"/>
      <w:snapToGrid w:val="0"/>
      <w:kern w:val="0"/>
      <w:szCs w:val="21"/>
    </w:rPr>
  </w:style>
  <w:style w:type="character" w:customStyle="1" w:styleId="925">
    <w:name w:val="pt9"/>
    <w:qFormat/>
    <w:uiPriority w:val="0"/>
    <w:rPr>
      <w:rFonts w:ascii="仿宋_GB2312" w:eastAsia="微软雅黑"/>
      <w:b/>
      <w:kern w:val="2"/>
      <w:sz w:val="32"/>
      <w:szCs w:val="32"/>
      <w:lang w:val="en-US" w:eastAsia="zh-CN" w:bidi="ar-SA"/>
    </w:rPr>
  </w:style>
  <w:style w:type="character" w:customStyle="1" w:styleId="926">
    <w:name w:val="DO_NOT_TRANSLATE"/>
    <w:qFormat/>
    <w:uiPriority w:val="0"/>
    <w:rPr>
      <w:rFonts w:ascii="Courier New" w:hAnsi="Courier New" w:cs="Courier New"/>
      <w:color w:val="800000"/>
      <w:lang w:val="en-US" w:eastAsia="zh-CN"/>
    </w:rPr>
  </w:style>
  <w:style w:type="character" w:customStyle="1" w:styleId="927">
    <w:name w:val="标书1 Char1"/>
    <w:qFormat/>
    <w:uiPriority w:val="0"/>
    <w:rPr>
      <w:rFonts w:eastAsia="宋体"/>
      <w:b/>
      <w:bCs/>
      <w:kern w:val="44"/>
      <w:sz w:val="44"/>
      <w:szCs w:val="44"/>
      <w:lang w:val="en-US" w:eastAsia="zh-CN" w:bidi="ar-SA"/>
    </w:rPr>
  </w:style>
  <w:style w:type="character" w:customStyle="1" w:styleId="928">
    <w:name w:val="页脚 字符"/>
    <w:qFormat/>
    <w:uiPriority w:val="99"/>
    <w:rPr>
      <w:kern w:val="2"/>
      <w:sz w:val="18"/>
      <w:szCs w:val="18"/>
    </w:rPr>
  </w:style>
  <w:style w:type="character" w:customStyle="1" w:styleId="929">
    <w:name w:val="正文2 Char"/>
    <w:qFormat/>
    <w:uiPriority w:val="0"/>
    <w:rPr>
      <w:rFonts w:eastAsia="宋体"/>
      <w:kern w:val="2"/>
      <w:sz w:val="24"/>
      <w:lang w:val="en-US" w:eastAsia="zh-CN" w:bidi="ar-SA"/>
    </w:rPr>
  </w:style>
  <w:style w:type="character" w:customStyle="1" w:styleId="930">
    <w:name w:val="Char Char21"/>
    <w:qFormat/>
    <w:uiPriority w:val="6"/>
    <w:rPr>
      <w:rFonts w:ascii="宋体" w:hAnsi="宋体"/>
      <w:kern w:val="1"/>
      <w:sz w:val="24"/>
      <w:szCs w:val="21"/>
      <w:lang w:val="zh-CN"/>
    </w:rPr>
  </w:style>
  <w:style w:type="character" w:customStyle="1" w:styleId="931">
    <w:name w:val="样式 正文缩进 + 首行缩进:  2 字符 Char Char"/>
    <w:link w:val="120"/>
    <w:qFormat/>
    <w:uiPriority w:val="0"/>
    <w:rPr>
      <w:rFonts w:cs="宋体"/>
      <w:kern w:val="2"/>
      <w:sz w:val="24"/>
    </w:rPr>
  </w:style>
  <w:style w:type="character" w:customStyle="1" w:styleId="932">
    <w:name w:val="正文文本 字符"/>
    <w:link w:val="2"/>
    <w:qFormat/>
    <w:uiPriority w:val="0"/>
    <w:rPr>
      <w:rFonts w:ascii="宋体" w:hAnsi="Arial" w:eastAsia="宋体" w:cs="Arial"/>
      <w:snapToGrid w:val="0"/>
      <w:kern w:val="2"/>
      <w:sz w:val="24"/>
      <w:szCs w:val="21"/>
      <w:lang w:val="zh-CN" w:eastAsia="zh-CN" w:bidi="ar-SA"/>
    </w:rPr>
  </w:style>
  <w:style w:type="character" w:customStyle="1" w:styleId="933">
    <w:name w:val="gray6"/>
    <w:basedOn w:val="73"/>
    <w:qFormat/>
    <w:uiPriority w:val="0"/>
    <w:rPr>
      <w:rFonts w:ascii="Arial" w:hAnsi="Arial" w:eastAsia="黑体" w:cs="Arial"/>
      <w:snapToGrid w:val="0"/>
      <w:kern w:val="0"/>
      <w:szCs w:val="21"/>
    </w:rPr>
  </w:style>
  <w:style w:type="character" w:customStyle="1" w:styleId="934">
    <w:name w:val="hui"/>
    <w:basedOn w:val="73"/>
    <w:qFormat/>
    <w:uiPriority w:val="0"/>
    <w:rPr>
      <w:rFonts w:ascii="Arial" w:hAnsi="Arial" w:eastAsia="黑体" w:cs="Arial"/>
      <w:snapToGrid w:val="0"/>
      <w:kern w:val="0"/>
      <w:szCs w:val="21"/>
    </w:rPr>
  </w:style>
  <w:style w:type="character" w:customStyle="1" w:styleId="935">
    <w:name w:val="哈哈正文 Char Char"/>
    <w:qFormat/>
    <w:uiPriority w:val="0"/>
    <w:rPr>
      <w:rFonts w:ascii="宋体" w:hAnsi="宋体" w:eastAsia="宋体" w:cs="宋体"/>
      <w:kern w:val="2"/>
      <w:sz w:val="24"/>
      <w:lang w:val="en-US" w:eastAsia="zh-CN" w:bidi="ar-SA"/>
    </w:rPr>
  </w:style>
  <w:style w:type="character" w:customStyle="1" w:styleId="936">
    <w:name w:val="交叉引用"/>
    <w:qFormat/>
    <w:uiPriority w:val="1"/>
    <w:rPr>
      <w:rFonts w:ascii="Arial" w:hAnsi="Arial" w:eastAsia="黑体"/>
      <w:snapToGrid w:val="0"/>
      <w:color w:val="0000FF"/>
      <w:kern w:val="0"/>
      <w:sz w:val="20"/>
      <w:szCs w:val="21"/>
      <w:u w:val="single"/>
      <w:lang w:val="en-US" w:eastAsia="zh-CN"/>
    </w:rPr>
  </w:style>
  <w:style w:type="character" w:customStyle="1" w:styleId="937">
    <w:name w:val="正文缩进 字符1"/>
    <w:qFormat/>
    <w:uiPriority w:val="0"/>
    <w:rPr>
      <w:rFonts w:ascii="宋体" w:eastAsia="宋体"/>
      <w:snapToGrid w:val="0"/>
      <w:color w:val="000000"/>
      <w:kern w:val="28"/>
      <w:sz w:val="28"/>
      <w:lang w:val="en-US" w:eastAsia="zh-CN" w:bidi="ar-SA"/>
    </w:rPr>
  </w:style>
  <w:style w:type="character" w:customStyle="1" w:styleId="938">
    <w:name w:val="页脚 字符1"/>
    <w:qFormat/>
    <w:locked/>
    <w:uiPriority w:val="99"/>
    <w:rPr>
      <w:kern w:val="2"/>
      <w:sz w:val="18"/>
      <w:szCs w:val="18"/>
    </w:rPr>
  </w:style>
  <w:style w:type="character" w:customStyle="1" w:styleId="939">
    <w:name w:val="页眉 字符1"/>
    <w:qFormat/>
    <w:uiPriority w:val="99"/>
    <w:rPr>
      <w:kern w:val="2"/>
      <w:sz w:val="18"/>
      <w:szCs w:val="18"/>
    </w:rPr>
  </w:style>
  <w:style w:type="character" w:customStyle="1" w:styleId="940">
    <w:name w:val="尾注文本 字符"/>
    <w:link w:val="41"/>
    <w:qFormat/>
    <w:uiPriority w:val="0"/>
    <w:rPr>
      <w:kern w:val="2"/>
      <w:sz w:val="21"/>
      <w:szCs w:val="24"/>
      <w:lang w:val="zh-CN"/>
    </w:rPr>
  </w:style>
  <w:style w:type="character" w:customStyle="1" w:styleId="941">
    <w:name w:val="无间隔 Char"/>
    <w:link w:val="170"/>
    <w:qFormat/>
    <w:uiPriority w:val="99"/>
    <w:rPr>
      <w:kern w:val="2"/>
      <w:sz w:val="21"/>
      <w:szCs w:val="22"/>
    </w:rPr>
  </w:style>
  <w:style w:type="character" w:customStyle="1" w:styleId="942">
    <w:name w:val="标准文本 Char Char"/>
    <w:link w:val="607"/>
    <w:qFormat/>
    <w:uiPriority w:val="0"/>
    <w:rPr>
      <w:rFonts w:cs="宋体"/>
      <w:kern w:val="2"/>
      <w:sz w:val="24"/>
    </w:rPr>
  </w:style>
  <w:style w:type="character" w:customStyle="1" w:styleId="943">
    <w:name w:val="Char Char213"/>
    <w:qFormat/>
    <w:uiPriority w:val="0"/>
    <w:rPr>
      <w:rFonts w:eastAsia="Century Gothic"/>
      <w:b/>
      <w:bCs/>
      <w:kern w:val="44"/>
      <w:sz w:val="32"/>
      <w:szCs w:val="44"/>
      <w:lang w:val="en-US" w:eastAsia="zh-CN" w:bidi="ar-SA"/>
    </w:rPr>
  </w:style>
  <w:style w:type="character" w:customStyle="1" w:styleId="944">
    <w:name w:val="apple-style-span"/>
    <w:qFormat/>
    <w:uiPriority w:val="0"/>
    <w:rPr>
      <w:rFonts w:ascii="Arial" w:hAnsi="Arial" w:eastAsia="黑体" w:cs="Arial"/>
      <w:snapToGrid w:val="0"/>
      <w:kern w:val="0"/>
      <w:szCs w:val="21"/>
    </w:rPr>
  </w:style>
  <w:style w:type="character" w:customStyle="1" w:styleId="945">
    <w:name w:val="15"/>
    <w:basedOn w:val="73"/>
    <w:qFormat/>
    <w:uiPriority w:val="0"/>
    <w:rPr>
      <w:rFonts w:hint="default" w:ascii="Calibri" w:hAnsi="Calibri"/>
      <w:color w:val="0000FF"/>
      <w:u w:val="single"/>
    </w:rPr>
  </w:style>
  <w:style w:type="character" w:customStyle="1" w:styleId="946">
    <w:name w:val="16"/>
    <w:qFormat/>
    <w:uiPriority w:val="0"/>
    <w:rPr>
      <w:rFonts w:hint="eastAsia" w:ascii="宋体" w:hAnsi="宋体" w:eastAsia="宋体"/>
      <w:color w:val="000000"/>
      <w:sz w:val="20"/>
      <w:szCs w:val="20"/>
    </w:rPr>
  </w:style>
  <w:style w:type="character" w:customStyle="1" w:styleId="947">
    <w:name w:val="edui-unclickable"/>
    <w:qFormat/>
    <w:uiPriority w:val="0"/>
    <w:rPr>
      <w:color w:val="808080"/>
    </w:rPr>
  </w:style>
  <w:style w:type="character" w:customStyle="1" w:styleId="948">
    <w:name w:val="tpc_content1"/>
    <w:qFormat/>
    <w:uiPriority w:val="0"/>
    <w:rPr>
      <w:sz w:val="20"/>
      <w:szCs w:val="20"/>
    </w:rPr>
  </w:style>
  <w:style w:type="character" w:customStyle="1" w:styleId="949">
    <w:name w:val="正文文本缩进 字符"/>
    <w:qFormat/>
    <w:uiPriority w:val="0"/>
    <w:rPr>
      <w:rFonts w:ascii="Century Gothic" w:hAnsi="Century Gothic" w:eastAsia="Century Gothic"/>
      <w:kern w:val="2"/>
      <w:sz w:val="24"/>
      <w:lang w:val="en-US" w:eastAsia="zh-CN" w:bidi="ar-SA"/>
    </w:rPr>
  </w:style>
  <w:style w:type="character" w:customStyle="1" w:styleId="950">
    <w:name w:val="正文文本 2 字符"/>
    <w:qFormat/>
    <w:uiPriority w:val="0"/>
    <w:rPr>
      <w:rFonts w:ascii="Arial" w:hAnsi="Arial" w:eastAsia="宋体"/>
      <w:kern w:val="2"/>
      <w:sz w:val="24"/>
      <w:szCs w:val="24"/>
      <w:lang w:val="en-US" w:eastAsia="zh-CN" w:bidi="ar-SA"/>
    </w:rPr>
  </w:style>
  <w:style w:type="character" w:customStyle="1" w:styleId="951">
    <w:name w:val="edui-clickable2"/>
    <w:qFormat/>
    <w:uiPriority w:val="0"/>
    <w:rPr>
      <w:color w:val="0000FF"/>
      <w:u w:val="single"/>
    </w:rPr>
  </w:style>
  <w:style w:type="character" w:customStyle="1" w:styleId="952">
    <w:name w:val="style1"/>
    <w:qFormat/>
    <w:uiPriority w:val="0"/>
    <w:rPr>
      <w:rFonts w:ascii="Arial" w:hAnsi="Arial" w:eastAsia="黑体" w:cs="Arial"/>
      <w:snapToGrid w:val="0"/>
      <w:kern w:val="0"/>
      <w:szCs w:val="21"/>
    </w:rPr>
  </w:style>
  <w:style w:type="character" w:customStyle="1" w:styleId="953">
    <w:name w:val="zbggtop11 style5"/>
    <w:qFormat/>
    <w:uiPriority w:val="0"/>
    <w:rPr>
      <w:rFonts w:ascii="Arial" w:hAnsi="Arial" w:eastAsia="黑体" w:cs="Arial"/>
      <w:snapToGrid w:val="0"/>
      <w:kern w:val="0"/>
      <w:szCs w:val="21"/>
    </w:rPr>
  </w:style>
  <w:style w:type="character" w:customStyle="1" w:styleId="95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5">
    <w:name w:val="bulletintext1"/>
    <w:qFormat/>
    <w:uiPriority w:val="0"/>
    <w:rPr>
      <w:color w:val="000000"/>
      <w:sz w:val="18"/>
    </w:rPr>
  </w:style>
  <w:style w:type="character" w:customStyle="1" w:styleId="956">
    <w:name w:val="ksfind_class_select1"/>
    <w:basedOn w:val="73"/>
    <w:qFormat/>
    <w:uiPriority w:val="0"/>
    <w:rPr>
      <w:color w:val="000000"/>
      <w:shd w:val="clear" w:color="auto" w:fill="EFD200"/>
    </w:rPr>
  </w:style>
  <w:style w:type="character" w:customStyle="1" w:styleId="957">
    <w:name w:val="font71"/>
    <w:qFormat/>
    <w:uiPriority w:val="0"/>
    <w:rPr>
      <w:rFonts w:hint="eastAsia" w:ascii="宋体" w:hAnsi="宋体" w:eastAsia="宋体" w:cs="宋体"/>
      <w:color w:val="000000"/>
      <w:sz w:val="22"/>
      <w:szCs w:val="22"/>
      <w:u w:val="none"/>
    </w:rPr>
  </w:style>
  <w:style w:type="character" w:customStyle="1" w:styleId="958">
    <w:name w:val="font91"/>
    <w:qFormat/>
    <w:uiPriority w:val="0"/>
    <w:rPr>
      <w:rFonts w:hint="eastAsia" w:ascii="仿宋" w:hAnsi="仿宋" w:eastAsia="仿宋" w:cs="仿宋"/>
      <w:color w:val="000000"/>
      <w:sz w:val="22"/>
      <w:szCs w:val="22"/>
      <w:u w:val="none"/>
    </w:rPr>
  </w:style>
  <w:style w:type="table" w:customStyle="1" w:styleId="959">
    <w:name w:val="网格型2"/>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0">
    <w:name w:val="网格型1"/>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1">
    <w:name w:val="网格型6"/>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2">
    <w:name w:val="网格型3"/>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4"/>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5"/>
    <w:basedOn w:val="66"/>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65">
    <w:name w:val="font141"/>
    <w:basedOn w:val="73"/>
    <w:qFormat/>
    <w:uiPriority w:val="0"/>
    <w:rPr>
      <w:rFonts w:hint="default" w:ascii="Times New Roman" w:hAnsi="Times New Roman" w:cs="Times New Roman"/>
      <w:color w:val="000000"/>
      <w:sz w:val="22"/>
      <w:szCs w:val="22"/>
      <w:u w:val="none"/>
    </w:rPr>
  </w:style>
  <w:style w:type="paragraph" w:customStyle="1" w:styleId="966">
    <w:name w:val="DAS正文"/>
    <w:basedOn w:val="1"/>
    <w:qFormat/>
    <w:uiPriority w:val="0"/>
    <w:pPr>
      <w:spacing w:line="360" w:lineRule="auto"/>
      <w:ind w:right="181" w:firstLine="480" w:firstLineChars="200"/>
    </w:pPr>
    <w:rPr>
      <w:rFonts w:ascii="Verdana" w:hAnsi="Verdana"/>
      <w:sz w:val="24"/>
    </w:rPr>
  </w:style>
  <w:style w:type="character" w:customStyle="1" w:styleId="967">
    <w:name w:val="font101"/>
    <w:basedOn w:val="73"/>
    <w:qFormat/>
    <w:uiPriority w:val="0"/>
    <w:rPr>
      <w:rFonts w:hint="eastAsia" w:ascii="宋体" w:hAnsi="宋体" w:eastAsia="宋体" w:cs="宋体"/>
      <w:color w:val="FF0000"/>
      <w:sz w:val="20"/>
      <w:szCs w:val="20"/>
      <w:u w:val="none"/>
    </w:rPr>
  </w:style>
  <w:style w:type="character" w:customStyle="1" w:styleId="968">
    <w:name w:val="font151"/>
    <w:basedOn w:val="73"/>
    <w:qFormat/>
    <w:uiPriority w:val="0"/>
    <w:rPr>
      <w:rFonts w:hint="eastAsia" w:ascii="宋体" w:hAnsi="宋体" w:eastAsia="宋体" w:cs="宋体"/>
      <w:color w:val="000000"/>
      <w:sz w:val="20"/>
      <w:szCs w:val="20"/>
      <w:u w:val="none"/>
    </w:rPr>
  </w:style>
  <w:style w:type="character" w:customStyle="1" w:styleId="969">
    <w:name w:val="font281"/>
    <w:basedOn w:val="73"/>
    <w:qFormat/>
    <w:uiPriority w:val="0"/>
    <w:rPr>
      <w:rFonts w:hint="eastAsia" w:ascii="宋体" w:hAnsi="宋体" w:eastAsia="宋体" w:cs="宋体"/>
      <w:color w:val="000000"/>
      <w:sz w:val="20"/>
      <w:szCs w:val="20"/>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174</Pages>
  <Words>99924</Words>
  <Characters>114365</Characters>
  <Lines>925</Lines>
  <Paragraphs>260</Paragraphs>
  <TotalTime>8</TotalTime>
  <ScaleCrop>false</ScaleCrop>
  <LinksUpToDate>false</LinksUpToDate>
  <CharactersWithSpaces>121581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2023-07-06T15:16:00Z</dcterms:created>
  <dc:creator>玥</dc:creator>
  <cp:lastModifiedBy>小涵</cp:lastModifiedBy>
  <cp:lastPrinted>2022-02-24T05:45:00Z</cp:lastPrinted>
  <dcterms:modified xsi:type="dcterms:W3CDTF">2023-07-07T07:48:17Z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