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48"/>
          <w:szCs w:val="48"/>
        </w:rPr>
      </w:pPr>
      <w:r>
        <w:rPr>
          <w:rFonts w:hint="eastAsia" w:ascii="宋体" w:hAnsi="宋体" w:eastAsia="宋体" w:cs="宋体"/>
          <w:i w:val="0"/>
          <w:iCs w:val="0"/>
          <w:caps w:val="0"/>
          <w:color w:val="000000"/>
          <w:spacing w:val="0"/>
          <w:sz w:val="48"/>
          <w:szCs w:val="48"/>
        </w:rPr>
        <w:t>杭州市临平区机关事务服务中心</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48"/>
          <w:szCs w:val="48"/>
        </w:rPr>
      </w:pPr>
      <w:r>
        <w:rPr>
          <w:rFonts w:hint="eastAsia" w:ascii="宋体" w:hAnsi="宋体" w:eastAsia="宋体" w:cs="宋体"/>
          <w:i w:val="0"/>
          <w:iCs w:val="0"/>
          <w:caps w:val="0"/>
          <w:color w:val="000000"/>
          <w:spacing w:val="0"/>
          <w:sz w:val="48"/>
          <w:szCs w:val="48"/>
        </w:rPr>
        <w:t>一馆三中心</w:t>
      </w:r>
      <w:r>
        <w:rPr>
          <w:rFonts w:hint="eastAsia" w:ascii="宋体" w:hAnsi="宋体" w:cs="宋体"/>
          <w:i w:val="0"/>
          <w:iCs w:val="0"/>
          <w:caps w:val="0"/>
          <w:color w:val="000000"/>
          <w:spacing w:val="0"/>
          <w:sz w:val="48"/>
          <w:szCs w:val="48"/>
          <w:lang w:val="en-US" w:eastAsia="zh-CN"/>
        </w:rPr>
        <w:t>食堂劳务外包采购</w:t>
      </w:r>
      <w:r>
        <w:rPr>
          <w:rFonts w:hint="eastAsia" w:ascii="宋体" w:hAnsi="宋体" w:eastAsia="宋体" w:cs="宋体"/>
          <w:i w:val="0"/>
          <w:iCs w:val="0"/>
          <w:caps w:val="0"/>
          <w:color w:val="000000"/>
          <w:spacing w:val="0"/>
          <w:sz w:val="48"/>
          <w:szCs w:val="48"/>
        </w:rPr>
        <w:t>项目</w:t>
      </w:r>
    </w:p>
    <w:p>
      <w:pPr>
        <w:rPr>
          <w:rFonts w:hint="eastAsia"/>
        </w:rPr>
      </w:pPr>
    </w:p>
    <w:p>
      <w:pPr>
        <w:shd w:val="clear" w:color="auto" w:fill="FFFFFF"/>
        <w:tabs>
          <w:tab w:val="left" w:pos="4500"/>
        </w:tabs>
        <w:snapToGrid w:val="0"/>
        <w:spacing w:line="360" w:lineRule="auto"/>
        <w:jc w:val="center"/>
        <w:textAlignment w:val="bottom"/>
        <w:rPr>
          <w:rFonts w:ascii="宋体" w:hAnsi="宋体" w:cs="宋体"/>
          <w:b/>
          <w:bCs/>
          <w:spacing w:val="6"/>
          <w:sz w:val="48"/>
          <w:szCs w:val="48"/>
        </w:rPr>
      </w:pPr>
      <w:r>
        <w:rPr>
          <w:rFonts w:hint="eastAsia" w:ascii="宋体" w:hAnsi="宋体" w:cs="宋体"/>
          <w:b/>
          <w:bCs/>
          <w:spacing w:val="6"/>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（项目编号：</w:t>
      </w:r>
      <w:r>
        <w:rPr>
          <w:rFonts w:hint="eastAsia" w:ascii="宋体" w:hAnsi="宋体" w:cs="宋体"/>
          <w:b/>
          <w:color w:val="000000"/>
          <w:sz w:val="36"/>
          <w:szCs w:val="36"/>
          <w:lang w:eastAsia="zh-CN"/>
        </w:rPr>
        <w:t>HZSYCG2022-05</w:t>
      </w:r>
      <w:r>
        <w:rPr>
          <w:rFonts w:hint="eastAsia" w:ascii="宋体" w:hAnsi="宋体" w:cs="宋体"/>
          <w:b/>
          <w:color w:val="000000"/>
          <w:sz w:val="36"/>
          <w:szCs w:val="36"/>
          <w:lang w:val="en-US" w:eastAsia="zh-CN"/>
        </w:rPr>
        <w:t>5</w:t>
      </w:r>
      <w:r>
        <w:rPr>
          <w:rFonts w:hint="eastAsia" w:ascii="宋体" w:hAnsi="宋体" w:cs="宋体"/>
          <w:b/>
          <w:color w:val="000000"/>
          <w:sz w:val="36"/>
          <w:szCs w:val="36"/>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宋体" w:hAnsi="宋体" w:cs="宋体"/>
          <w:b/>
          <w:color w:val="000000"/>
          <w:sz w:val="36"/>
          <w:szCs w:val="36"/>
        </w:rPr>
      </w:pPr>
      <w:r>
        <w:rPr>
          <w:rFonts w:hint="eastAsia" w:ascii="宋体" w:hAnsi="宋体" w:cs="宋体"/>
          <w:b/>
          <w:color w:val="000000"/>
          <w:sz w:val="36"/>
          <w:szCs w:val="36"/>
        </w:rPr>
        <w:t>采购人：杭州市临平区机关事务服务中心</w:t>
      </w:r>
    </w:p>
    <w:p>
      <w:pPr>
        <w:snapToGrid w:val="0"/>
        <w:spacing w:line="360" w:lineRule="auto"/>
        <w:jc w:val="center"/>
        <w:rPr>
          <w:rFonts w:ascii="宋体" w:hAnsi="宋体" w:cs="宋体"/>
          <w:bCs/>
          <w:color w:val="000000"/>
          <w:sz w:val="28"/>
          <w:szCs w:val="28"/>
        </w:rPr>
      </w:pPr>
      <w:r>
        <w:rPr>
          <w:rFonts w:hint="eastAsia" w:ascii="宋体" w:hAnsi="宋体" w:cs="宋体"/>
          <w:b/>
          <w:color w:val="000000"/>
          <w:sz w:val="36"/>
          <w:szCs w:val="36"/>
        </w:rPr>
        <w:t>采购代理机构：杭州尚远招标代理有限公司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二二年</w:t>
      </w:r>
      <w:r>
        <w:rPr>
          <w:rFonts w:hint="eastAsia" w:ascii="仿宋_GB2312" w:hAnsi="仿宋_GB2312" w:eastAsia="仿宋_GB2312" w:cs="仿宋_GB2312"/>
          <w:bCs/>
          <w:color w:val="auto"/>
          <w:sz w:val="32"/>
          <w:szCs w:val="32"/>
          <w:lang w:val="en-US" w:eastAsia="zh-CN"/>
        </w:rPr>
        <w:t>九</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二十</w:t>
      </w:r>
      <w:r>
        <w:rPr>
          <w:rFonts w:hint="eastAsia" w:ascii="仿宋_GB2312" w:hAnsi="仿宋_GB2312" w:eastAsia="仿宋_GB2312" w:cs="仿宋_GB2312"/>
          <w:bCs/>
          <w:color w:val="auto"/>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Style w:val="76"/>
          <w:rFonts w:ascii="仿宋_GB2312" w:hAnsi="仿宋" w:eastAsia="仿宋_GB2312" w:cs="Times New Roman"/>
          <w:color w:val="auto"/>
          <w:kern w:val="2"/>
          <w:sz w:val="24"/>
          <w:szCs w:val="24"/>
        </w:rPr>
      </w:pPr>
      <w:r>
        <w:rPr>
          <w:rFonts w:hint="eastAsia" w:ascii="仿宋" w:hAnsi="仿宋" w:eastAsia="仿宋" w:cs="仿宋"/>
          <w:i w:val="0"/>
          <w:iCs w:val="0"/>
          <w:caps w:val="0"/>
          <w:color w:val="000000"/>
          <w:spacing w:val="0"/>
          <w:sz w:val="24"/>
          <w:szCs w:val="24"/>
          <w:u w:val="single"/>
        </w:rPr>
        <w:t>杭州市临平区机关事务服务中心一馆三中心</w:t>
      </w:r>
      <w:r>
        <w:rPr>
          <w:rFonts w:hint="eastAsia" w:ascii="仿宋" w:hAnsi="仿宋" w:eastAsia="仿宋" w:cs="仿宋"/>
          <w:i w:val="0"/>
          <w:iCs w:val="0"/>
          <w:caps w:val="0"/>
          <w:color w:val="000000"/>
          <w:spacing w:val="0"/>
          <w:sz w:val="24"/>
          <w:szCs w:val="24"/>
          <w:u w:val="single"/>
          <w:lang w:val="en-US" w:eastAsia="zh-CN"/>
        </w:rPr>
        <w:t>食堂劳务外包采购</w:t>
      </w:r>
      <w:r>
        <w:rPr>
          <w:rFonts w:hint="eastAsia" w:ascii="仿宋" w:hAnsi="仿宋" w:eastAsia="仿宋" w:cs="仿宋"/>
          <w:i w:val="0"/>
          <w:iCs w:val="0"/>
          <w:caps w:val="0"/>
          <w:color w:val="000000"/>
          <w:spacing w:val="0"/>
          <w:sz w:val="24"/>
          <w:szCs w:val="24"/>
          <w:u w:val="single"/>
        </w:rPr>
        <w:t>项目</w:t>
      </w:r>
      <w:r>
        <w:rPr>
          <w:rFonts w:hint="eastAsia" w:ascii="仿宋_GB2312" w:hAnsi="仿宋" w:eastAsia="仿宋_GB2312"/>
          <w:sz w:val="24"/>
        </w:rPr>
        <w:t>招标项目的潜在投标人应在政采云平台（</w:t>
      </w:r>
      <w:r>
        <w:rPr>
          <w:rStyle w:val="76"/>
          <w:rFonts w:ascii="仿宋_GB2312" w:hAnsi="仿宋" w:eastAsia="仿宋_GB2312" w:cs="Times New Roman"/>
          <w:color w:val="auto"/>
          <w:kern w:val="2"/>
          <w:sz w:val="24"/>
          <w:szCs w:val="24"/>
        </w:rPr>
        <w:fldChar w:fldCharType="begin"/>
      </w:r>
      <w:r>
        <w:rPr>
          <w:rStyle w:val="76"/>
          <w:rFonts w:ascii="仿宋_GB2312" w:hAnsi="仿宋" w:eastAsia="仿宋_GB2312" w:cs="Times New Roman"/>
          <w:color w:val="auto"/>
          <w:kern w:val="2"/>
          <w:sz w:val="24"/>
          <w:szCs w:val="24"/>
        </w:rPr>
        <w:instrText xml:space="preserve"> HYPERLINK "https://www.zcygov.cn/）获取（下载）招标文件，并于2021年" </w:instrText>
      </w:r>
      <w:r>
        <w:rPr>
          <w:rStyle w:val="76"/>
          <w:rFonts w:ascii="仿宋_GB2312" w:hAnsi="仿宋" w:eastAsia="仿宋_GB2312" w:cs="Times New Roman"/>
          <w:color w:val="auto"/>
          <w:kern w:val="2"/>
          <w:sz w:val="24"/>
          <w:szCs w:val="24"/>
        </w:rPr>
        <w:fldChar w:fldCharType="separate"/>
      </w:r>
      <w:r>
        <w:rPr>
          <w:rStyle w:val="76"/>
          <w:rFonts w:ascii="仿宋_GB2312" w:hAnsi="仿宋" w:eastAsia="仿宋_GB2312" w:cs="Times New Roman"/>
          <w:color w:val="auto"/>
          <w:kern w:val="2"/>
          <w:sz w:val="24"/>
          <w:szCs w:val="24"/>
        </w:rPr>
        <w:t>https://www.zcygov.cn/）获取（下载）招标文件，并于</w:t>
      </w:r>
      <w:r>
        <w:rPr>
          <w:rStyle w:val="76"/>
          <w:rFonts w:hint="eastAsia" w:ascii="仿宋_GB2312" w:hAnsi="仿宋" w:eastAsia="仿宋_GB2312" w:cs="Times New Roman"/>
          <w:color w:val="auto"/>
          <w:kern w:val="2"/>
          <w:sz w:val="24"/>
          <w:szCs w:val="24"/>
        </w:rPr>
        <w:t>2022</w:t>
      </w:r>
      <w:r>
        <w:rPr>
          <w:rStyle w:val="76"/>
          <w:rFonts w:ascii="仿宋_GB2312" w:hAnsi="仿宋" w:eastAsia="仿宋_GB2312" w:cs="Times New Roman"/>
          <w:color w:val="auto"/>
          <w:kern w:val="2"/>
          <w:sz w:val="24"/>
          <w:szCs w:val="24"/>
        </w:rPr>
        <w:t>年</w:t>
      </w:r>
      <w:r>
        <w:rPr>
          <w:rStyle w:val="76"/>
          <w:rFonts w:hint="eastAsia" w:ascii="仿宋_GB2312" w:hAnsi="仿宋" w:eastAsia="仿宋_GB2312" w:cs="Times New Roman"/>
          <w:color w:val="auto"/>
          <w:kern w:val="2"/>
          <w:sz w:val="24"/>
          <w:szCs w:val="24"/>
          <w:lang w:val="en-US" w:eastAsia="zh-CN"/>
        </w:rPr>
        <w:t>10</w:t>
      </w:r>
      <w:r>
        <w:rPr>
          <w:rStyle w:val="76"/>
          <w:rFonts w:hint="eastAsia" w:ascii="仿宋_GB2312" w:hAnsi="仿宋" w:eastAsia="仿宋_GB2312" w:cs="Times New Roman"/>
          <w:color w:val="auto"/>
          <w:kern w:val="2"/>
          <w:sz w:val="24"/>
          <w:szCs w:val="24"/>
        </w:rPr>
        <w:t>月</w:t>
      </w:r>
      <w:r>
        <w:rPr>
          <w:rStyle w:val="76"/>
          <w:rFonts w:hint="eastAsia" w:ascii="仿宋_GB2312" w:hAnsi="仿宋" w:eastAsia="仿宋_GB2312" w:cs="Times New Roman"/>
          <w:color w:val="auto"/>
          <w:kern w:val="2"/>
          <w:sz w:val="24"/>
          <w:szCs w:val="24"/>
          <w:lang w:val="en-US" w:eastAsia="zh-CN"/>
        </w:rPr>
        <w:t>11</w:t>
      </w:r>
      <w:r>
        <w:rPr>
          <w:rStyle w:val="76"/>
          <w:rFonts w:hint="eastAsia" w:ascii="仿宋_GB2312" w:hAnsi="仿宋" w:eastAsia="仿宋_GB2312" w:cs="Times New Roman"/>
          <w:color w:val="auto"/>
          <w:kern w:val="2"/>
          <w:sz w:val="24"/>
          <w:szCs w:val="24"/>
        </w:rPr>
        <w:t>日14 点 分00秒</w:t>
      </w:r>
      <w:r>
        <w:rPr>
          <w:rStyle w:val="76"/>
          <w:rFonts w:hint="eastAsia" w:ascii="仿宋_GB2312" w:hAnsi="仿宋" w:eastAsia="仿宋_GB2312" w:cs="Times New Roman"/>
          <w:color w:val="auto"/>
          <w:kern w:val="2"/>
          <w:sz w:val="24"/>
          <w:szCs w:val="24"/>
        </w:rPr>
        <w:fldChar w:fldCharType="end"/>
      </w:r>
      <w:r>
        <w:rPr>
          <w:rStyle w:val="76"/>
          <w:rFonts w:hint="eastAsia" w:ascii="仿宋_GB2312" w:hAnsi="仿宋" w:eastAsia="仿宋_GB2312" w:cs="Times New Roman"/>
          <w:color w:val="auto"/>
          <w:kern w:val="2"/>
          <w:sz w:val="24"/>
          <w:szCs w:val="24"/>
        </w:rPr>
        <w:t>（北京时间）前递交（上传）投标文件。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HZSYCG2022-0</w:t>
      </w:r>
      <w:r>
        <w:rPr>
          <w:rFonts w:hint="eastAsia" w:ascii="仿宋_GB2312" w:hAnsi="仿宋" w:eastAsia="仿宋_GB2312"/>
          <w:sz w:val="24"/>
          <w:lang w:val="en-US" w:eastAsia="zh-CN"/>
        </w:rPr>
        <w:t>55</w:t>
      </w:r>
      <w:r>
        <w:rPr>
          <w:rFonts w:hint="eastAsia" w:ascii="仿宋_GB2312" w:hAnsi="仿宋" w:eastAsia="仿宋_GB2312"/>
          <w:sz w:val="24"/>
        </w:rPr>
        <w:t>）</w:t>
      </w:r>
    </w:p>
    <w:p>
      <w:pPr>
        <w:spacing w:line="360" w:lineRule="auto"/>
        <w:rPr>
          <w:rFonts w:hint="eastAsia" w:eastAsia="仿宋_GB2312"/>
          <w:spacing w:val="-6"/>
          <w:sz w:val="24"/>
          <w:u w:val="none"/>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 w:hAnsi="仿宋" w:eastAsia="仿宋" w:cs="仿宋"/>
          <w:i w:val="0"/>
          <w:iCs w:val="0"/>
          <w:caps w:val="0"/>
          <w:color w:val="000000"/>
          <w:spacing w:val="0"/>
          <w:sz w:val="24"/>
          <w:szCs w:val="24"/>
          <w:u w:val="none"/>
        </w:rPr>
        <w:t>杭州市临平区机关事务服务中心一馆三中心</w:t>
      </w:r>
      <w:r>
        <w:rPr>
          <w:rFonts w:hint="eastAsia" w:ascii="仿宋" w:hAnsi="仿宋" w:eastAsia="仿宋" w:cs="仿宋"/>
          <w:i w:val="0"/>
          <w:iCs w:val="0"/>
          <w:caps w:val="0"/>
          <w:color w:val="000000"/>
          <w:spacing w:val="0"/>
          <w:sz w:val="24"/>
          <w:szCs w:val="24"/>
          <w:u w:val="none"/>
          <w:lang w:val="en-US" w:eastAsia="zh-CN"/>
        </w:rPr>
        <w:t>食堂劳务外包采购</w:t>
      </w:r>
      <w:r>
        <w:rPr>
          <w:rFonts w:hint="eastAsia" w:ascii="仿宋" w:hAnsi="仿宋" w:eastAsia="仿宋" w:cs="仿宋"/>
          <w:i w:val="0"/>
          <w:iCs w:val="0"/>
          <w:caps w:val="0"/>
          <w:color w:val="000000"/>
          <w:spacing w:val="0"/>
          <w:sz w:val="24"/>
          <w:szCs w:val="24"/>
          <w:u w:val="none"/>
        </w:rPr>
        <w:t>项目</w:t>
      </w:r>
    </w:p>
    <w:p>
      <w:pPr>
        <w:spacing w:line="360" w:lineRule="auto"/>
        <w:rPr>
          <w:rFonts w:hint="default" w:ascii="仿宋_GB2312" w:hAnsi="仿宋" w:eastAsia="仿宋_GB2312"/>
          <w:color w:val="000000" w:themeColor="text1"/>
          <w:sz w:val="24"/>
          <w:lang w:val="en-US" w:eastAsia="zh-CN"/>
        </w:rPr>
      </w:pPr>
      <w:r>
        <w:rPr>
          <w:rFonts w:ascii="仿宋_GB2312" w:hAnsi="仿宋" w:eastAsia="仿宋_GB2312"/>
          <w:sz w:val="24"/>
        </w:rPr>
        <w:t xml:space="preserve">   </w:t>
      </w:r>
      <w:r>
        <w:rPr>
          <w:rFonts w:ascii="仿宋_GB2312" w:hAnsi="仿宋" w:eastAsia="仿宋_GB2312"/>
          <w:b/>
          <w:color w:val="000000" w:themeColor="text1"/>
          <w:sz w:val="24"/>
        </w:rPr>
        <w:t xml:space="preserve"> 预算金额（元）：</w:t>
      </w:r>
      <w:r>
        <w:rPr>
          <w:rFonts w:hint="eastAsia" w:ascii="仿宋_GB2312" w:hAnsi="仿宋" w:eastAsia="仿宋_GB2312"/>
          <w:b/>
          <w:color w:val="000000" w:themeColor="text1"/>
          <w:sz w:val="24"/>
          <w:lang w:val="en-US" w:eastAsia="zh-CN"/>
        </w:rPr>
        <w:t>849000</w:t>
      </w:r>
    </w:p>
    <w:p>
      <w:pPr>
        <w:spacing w:line="360" w:lineRule="auto"/>
        <w:ind w:firstLine="480"/>
        <w:rPr>
          <w:rFonts w:hint="default" w:ascii="仿宋_GB2312" w:hAnsi="仿宋" w:eastAsia="仿宋_GB2312"/>
          <w:b/>
          <w:bCs/>
          <w:color w:val="000000" w:themeColor="text1"/>
          <w:sz w:val="24"/>
          <w:lang w:val="en-US" w:eastAsia="zh-CN"/>
        </w:rPr>
      </w:pPr>
      <w:r>
        <w:rPr>
          <w:rFonts w:hint="eastAsia" w:ascii="仿宋_GB2312" w:hAnsi="仿宋" w:eastAsia="仿宋_GB2312"/>
          <w:b/>
          <w:color w:val="000000" w:themeColor="text1"/>
          <w:sz w:val="24"/>
        </w:rPr>
        <w:t>最高限价（元）：</w:t>
      </w:r>
      <w:r>
        <w:rPr>
          <w:rFonts w:hint="eastAsia" w:ascii="仿宋_GB2312" w:hAnsi="仿宋" w:eastAsia="仿宋_GB2312"/>
          <w:b/>
          <w:bCs/>
          <w:color w:val="000000" w:themeColor="text1"/>
          <w:sz w:val="24"/>
          <w:lang w:val="en-US" w:eastAsia="zh-CN"/>
        </w:rPr>
        <w:t>849000</w:t>
      </w:r>
    </w:p>
    <w:p>
      <w:pPr>
        <w:spacing w:line="360" w:lineRule="auto"/>
        <w:rPr>
          <w:rFonts w:hint="eastAsia" w:ascii="仿宋" w:hAnsi="仿宋" w:eastAsia="仿宋" w:cs="仿宋"/>
          <w:i w:val="0"/>
          <w:iCs w:val="0"/>
          <w:caps w:val="0"/>
          <w:color w:val="000000"/>
          <w:spacing w:val="0"/>
          <w:sz w:val="24"/>
          <w:szCs w:val="24"/>
          <w:u w:val="single"/>
        </w:rPr>
      </w:pPr>
      <w:r>
        <w:rPr>
          <w:rFonts w:hint="eastAsia" w:ascii="仿宋_GB2312" w:hAnsi="仿宋" w:eastAsia="仿宋_GB2312"/>
          <w:b/>
          <w:color w:val="auto"/>
          <w:sz w:val="24"/>
        </w:rPr>
        <w:t>采购需求：</w:t>
      </w:r>
      <w:r>
        <w:rPr>
          <w:rFonts w:hint="eastAsia" w:ascii="仿宋" w:hAnsi="仿宋" w:eastAsia="仿宋" w:cs="仿宋"/>
          <w:i w:val="0"/>
          <w:iCs w:val="0"/>
          <w:caps w:val="0"/>
          <w:color w:val="000000"/>
          <w:spacing w:val="0"/>
          <w:sz w:val="24"/>
          <w:szCs w:val="24"/>
          <w:u w:val="single"/>
        </w:rPr>
        <w:t>杭州市临平区机关事务服务中心一馆三中心</w:t>
      </w:r>
      <w:r>
        <w:rPr>
          <w:rFonts w:hint="eastAsia" w:ascii="仿宋" w:hAnsi="仿宋" w:eastAsia="仿宋" w:cs="仿宋"/>
          <w:i w:val="0"/>
          <w:iCs w:val="0"/>
          <w:caps w:val="0"/>
          <w:color w:val="000000"/>
          <w:spacing w:val="0"/>
          <w:sz w:val="24"/>
          <w:szCs w:val="24"/>
          <w:u w:val="single"/>
          <w:lang w:val="en-US" w:eastAsia="zh-CN"/>
        </w:rPr>
        <w:t>食堂劳务外包采购</w:t>
      </w:r>
      <w:r>
        <w:rPr>
          <w:rFonts w:hint="eastAsia" w:ascii="仿宋" w:hAnsi="仿宋" w:eastAsia="仿宋" w:cs="仿宋"/>
          <w:i w:val="0"/>
          <w:iCs w:val="0"/>
          <w:caps w:val="0"/>
          <w:color w:val="000000"/>
          <w:spacing w:val="0"/>
          <w:sz w:val="24"/>
          <w:szCs w:val="24"/>
          <w:u w:val="single"/>
        </w:rPr>
        <w:t>项目</w:t>
      </w:r>
    </w:p>
    <w:p>
      <w:pPr>
        <w:spacing w:line="360" w:lineRule="auto"/>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color w:val="000000"/>
          <w:spacing w:val="0"/>
          <w:sz w:val="24"/>
          <w:szCs w:val="24"/>
          <w:u w:val="none"/>
        </w:rPr>
        <w:t>杭州市临平区机关事务服务中心一馆三中心</w:t>
      </w:r>
      <w:r>
        <w:rPr>
          <w:rFonts w:hint="eastAsia" w:ascii="仿宋" w:hAnsi="仿宋" w:eastAsia="仿宋" w:cs="仿宋"/>
          <w:i w:val="0"/>
          <w:iCs w:val="0"/>
          <w:caps w:val="0"/>
          <w:color w:val="000000"/>
          <w:spacing w:val="0"/>
          <w:sz w:val="24"/>
          <w:szCs w:val="24"/>
          <w:u w:val="none"/>
          <w:lang w:val="en-US" w:eastAsia="zh-CN"/>
        </w:rPr>
        <w:t>食堂劳务外包采购</w:t>
      </w:r>
      <w:r>
        <w:rPr>
          <w:rFonts w:hint="eastAsia" w:ascii="仿宋" w:hAnsi="仿宋" w:eastAsia="仿宋" w:cs="仿宋"/>
          <w:i w:val="0"/>
          <w:iCs w:val="0"/>
          <w:caps w:val="0"/>
          <w:color w:val="000000"/>
          <w:spacing w:val="0"/>
          <w:sz w:val="24"/>
          <w:szCs w:val="24"/>
          <w:u w:val="none"/>
        </w:rPr>
        <w:t>项目</w:t>
      </w:r>
      <w:r>
        <w:rPr>
          <w:rFonts w:hint="eastAsia" w:ascii="仿宋_GB2312" w:hAnsi="仿宋" w:eastAsia="仿宋_GB2312"/>
          <w:bCs/>
          <w:color w:val="auto"/>
          <w:kern w:val="2"/>
          <w:sz w:val="24"/>
          <w:szCs w:val="24"/>
        </w:rPr>
        <w:t>的采购、运输、安装、调试、培训和相关维护等</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snapToGrid w:val="0"/>
        <w:spacing w:line="360" w:lineRule="auto"/>
        <w:ind w:firstLine="316" w:firstLineChars="150"/>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sz w:val="24"/>
        </w:rPr>
        <w:t>签订合同后，30日内完成供货安装，并调试完成。</w:t>
      </w:r>
    </w:p>
    <w:p>
      <w:pPr>
        <w:pStyle w:val="7"/>
        <w:spacing w:line="360" w:lineRule="auto"/>
        <w:ind w:firstLine="480"/>
        <w:rPr>
          <w:rFonts w:hAnsi="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color w:val="000000" w:themeColor="text1"/>
          <w:sz w:val="24"/>
        </w:rPr>
      </w:pPr>
      <w:r>
        <w:rPr>
          <w:rFonts w:ascii="MS Gothic" w:hAnsi="MS Gothic" w:eastAsia="MS Gothic" w:cs="Arial"/>
          <w:color w:val="000000" w:themeColor="text1"/>
          <w:kern w:val="0"/>
          <w:sz w:val="24"/>
        </w:rPr>
        <w:t>☐</w:t>
      </w:r>
      <w:r>
        <w:rPr>
          <w:rFonts w:hint="eastAsia" w:ascii="仿宋_GB2312" w:hAnsi="仿宋" w:eastAsia="仿宋_GB2312"/>
          <w:color w:val="000000" w:themeColor="text1"/>
          <w:sz w:val="24"/>
        </w:rPr>
        <w:t>无；</w:t>
      </w:r>
    </w:p>
    <w:p>
      <w:pPr>
        <w:spacing w:line="360" w:lineRule="auto"/>
        <w:ind w:firstLine="480" w:firstLineChars="200"/>
        <w:rPr>
          <w:rFonts w:ascii="仿宋_GB2312" w:hAnsi="仿宋" w:eastAsia="仿宋_GB2312"/>
          <w:color w:val="000000" w:themeColor="text1"/>
          <w:sz w:val="24"/>
        </w:rPr>
      </w:pPr>
      <w:r>
        <w:rPr>
          <w:rFonts w:ascii="MS Gothic" w:hAnsi="MS Gothic" w:eastAsia="MS Gothic" w:cs="Arial"/>
          <w:color w:val="000000" w:themeColor="text1"/>
          <w:kern w:val="0"/>
          <w:sz w:val="24"/>
        </w:rPr>
        <w:sym w:font="Wingdings" w:char="F0FE"/>
      </w:r>
      <w:r>
        <w:rPr>
          <w:rFonts w:hint="eastAsia" w:ascii="仿宋_GB2312" w:hAnsi="仿宋" w:eastAsia="仿宋_GB2312" w:cs="Arial"/>
          <w:color w:val="000000" w:themeColor="text1"/>
          <w:kern w:val="0"/>
          <w:sz w:val="24"/>
        </w:rPr>
        <w:t>专</w:t>
      </w:r>
      <w:r>
        <w:rPr>
          <w:rFonts w:hint="eastAsia" w:ascii="仿宋_GB2312" w:hAnsi="仿宋" w:eastAsia="仿宋_GB2312"/>
          <w:color w:val="000000" w:themeColor="text1"/>
          <w:sz w:val="24"/>
        </w:rPr>
        <w:t>门面向中小企业</w:t>
      </w:r>
    </w:p>
    <w:p>
      <w:pPr>
        <w:spacing w:line="360" w:lineRule="auto"/>
        <w:ind w:firstLine="897" w:firstLineChars="374"/>
        <w:rPr>
          <w:rFonts w:ascii="仿宋_GB2312" w:hAnsi="仿宋" w:eastAsia="仿宋_GB2312"/>
          <w:color w:val="000000" w:themeColor="text1"/>
          <w:sz w:val="24"/>
          <w:u w:val="single"/>
        </w:rPr>
      </w:pPr>
      <w:r>
        <w:rPr>
          <w:rFonts w:ascii="MS Gothic" w:hAnsi="MS Gothic" w:eastAsia="MS Gothic" w:cs="Arial"/>
          <w:color w:val="000000" w:themeColor="text1"/>
          <w:kern w:val="0"/>
          <w:sz w:val="24"/>
        </w:rPr>
        <w:sym w:font="Wingdings" w:char="00FE"/>
      </w:r>
      <w:r>
        <w:rPr>
          <w:rFonts w:hint="eastAsia" w:ascii="仿宋_GB2312" w:hAnsi="仿宋" w:eastAsia="仿宋_GB2312"/>
          <w:color w:val="000000" w:themeColor="text1"/>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3.本项目的特定资格要求：</w:t>
      </w:r>
      <w:r>
        <w:rPr>
          <w:rFonts w:hint="eastAsia" w:ascii="仿宋_GB2312" w:hAnsi="仿宋" w:eastAsia="仿宋_GB2312"/>
          <w:b/>
          <w:bCs/>
          <w:color w:val="000000" w:themeColor="text1"/>
          <w:sz w:val="24"/>
        </w:rPr>
        <w:t>提供中小企业申明函；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时间：</w:t>
      </w:r>
      <w:r>
        <w:rPr>
          <w:rFonts w:ascii="仿宋_GB2312" w:hAnsi="仿宋" w:eastAsia="仿宋_GB2312"/>
          <w:color w:val="000000" w:themeColor="text1"/>
          <w:sz w:val="24"/>
        </w:rPr>
        <w:t>/至</w:t>
      </w:r>
      <w:r>
        <w:rPr>
          <w:rFonts w:hint="eastAsia" w:ascii="仿宋_GB2312" w:hAnsi="仿宋" w:eastAsia="仿宋_GB2312"/>
          <w:color w:val="000000" w:themeColor="text1"/>
          <w:sz w:val="24"/>
          <w:u w:val="single"/>
        </w:rPr>
        <w:t>2022</w:t>
      </w:r>
      <w:r>
        <w:rPr>
          <w:rFonts w:ascii="仿宋_GB2312" w:hAnsi="仿宋" w:eastAsia="仿宋_GB2312"/>
          <w:color w:val="000000" w:themeColor="text1"/>
          <w:sz w:val="24"/>
          <w:u w:val="single"/>
        </w:rPr>
        <w:t>年</w:t>
      </w:r>
      <w:r>
        <w:rPr>
          <w:rFonts w:hint="eastAsia" w:ascii="仿宋_GB2312" w:hAnsi="仿宋" w:eastAsia="仿宋_GB2312"/>
          <w:color w:val="000000" w:themeColor="text1"/>
          <w:sz w:val="24"/>
          <w:u w:val="single"/>
        </w:rPr>
        <w:t xml:space="preserve"> </w:t>
      </w:r>
      <w:r>
        <w:rPr>
          <w:rFonts w:hint="eastAsia" w:ascii="仿宋_GB2312" w:hAnsi="仿宋" w:eastAsia="仿宋_GB2312"/>
          <w:color w:val="000000" w:themeColor="text1"/>
          <w:sz w:val="24"/>
          <w:u w:val="single"/>
          <w:lang w:val="en-US" w:eastAsia="zh-CN"/>
        </w:rPr>
        <w:t>10</w:t>
      </w:r>
      <w:r>
        <w:rPr>
          <w:rFonts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11</w:t>
      </w:r>
      <w:r>
        <w:rPr>
          <w:rFonts w:ascii="仿宋_GB2312" w:hAnsi="仿宋" w:eastAsia="仿宋_GB2312"/>
          <w:color w:val="000000" w:themeColor="text1"/>
          <w:sz w:val="24"/>
          <w:u w:val="single"/>
        </w:rPr>
        <w:t>日</w:t>
      </w:r>
      <w:r>
        <w:rPr>
          <w:rFonts w:hint="eastAsia" w:ascii="仿宋_GB2312" w:hAnsi="仿宋" w:eastAsia="仿宋_GB2312"/>
          <w:color w:val="000000" w:themeColor="text1"/>
          <w:sz w:val="24"/>
        </w:rPr>
        <w:t>，每天上午</w:t>
      </w:r>
      <w:r>
        <w:rPr>
          <w:rFonts w:ascii="仿宋_GB2312" w:hAnsi="仿宋" w:eastAsia="仿宋_GB2312"/>
          <w:color w:val="000000" w:themeColor="text1"/>
          <w:sz w:val="24"/>
        </w:rPr>
        <w:t xml:space="preserve">00:00至12:00 </w:t>
      </w:r>
      <w:r>
        <w:rPr>
          <w:rFonts w:hint="eastAsia" w:ascii="仿宋_GB2312" w:hAnsi="仿宋" w:eastAsia="仿宋_GB2312"/>
          <w:color w:val="000000" w:themeColor="text1"/>
          <w:sz w:val="24"/>
        </w:rPr>
        <w:t>，下午</w:t>
      </w:r>
      <w:r>
        <w:rPr>
          <w:rFonts w:ascii="仿宋_GB2312" w:hAnsi="仿宋" w:eastAsia="仿宋_GB2312"/>
          <w:color w:val="000000" w:themeColor="text1"/>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获取网址：</w:t>
      </w:r>
      <w:r>
        <w:rPr>
          <w:rFonts w:hint="eastAsia" w:ascii="仿宋_GB2312" w:hAnsi="仿宋" w:eastAsia="仿宋_GB2312"/>
          <w:color w:val="000000" w:themeColor="text1"/>
          <w:sz w:val="24"/>
        </w:rPr>
        <w:t>政采云平台（</w:t>
      </w:r>
      <w:r>
        <w:rPr>
          <w:rFonts w:ascii="仿宋_GB2312" w:hAnsi="仿宋" w:eastAsia="仿宋_GB2312"/>
          <w:color w:val="000000" w:themeColor="text1"/>
          <w:sz w:val="24"/>
        </w:rPr>
        <w:t xml:space="preserve">https://www.zcygov.cn/）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方式：</w:t>
      </w:r>
      <w:r>
        <w:rPr>
          <w:rFonts w:hint="eastAsia" w:ascii="仿宋_GB2312" w:hAnsi="仿宋" w:eastAsia="仿宋_GB2312"/>
          <w:color w:val="000000" w:themeColor="text1"/>
          <w:sz w:val="24"/>
        </w:rPr>
        <w:t>供应商登录政采云平台</w:t>
      </w:r>
      <w:r>
        <w:rPr>
          <w:rFonts w:ascii="仿宋_GB2312" w:hAnsi="仿宋" w:eastAsia="仿宋_GB2312"/>
          <w:color w:val="000000" w:themeColor="text1"/>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售价（元）：</w:t>
      </w:r>
      <w:r>
        <w:rPr>
          <w:rFonts w:ascii="仿宋_GB2312" w:hAnsi="仿宋" w:eastAsia="仿宋_GB2312"/>
          <w:color w:val="000000" w:themeColor="text1"/>
          <w:sz w:val="24"/>
        </w:rPr>
        <w:t xml:space="preserve">0 </w:t>
      </w:r>
      <w:r>
        <w:rPr>
          <w:rFonts w:ascii="仿宋_GB2312" w:hAnsi="仿宋" w:eastAsia="仿宋_GB2312"/>
          <w:color w:val="000000" w:themeColor="text1"/>
          <w:sz w:val="24"/>
        </w:rPr>
        <w:tab/>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四、提交投标文件截止时间、开标时间和地点</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提交投标文件截止时间：</w:t>
      </w:r>
      <w:r>
        <w:rPr>
          <w:rFonts w:ascii="仿宋_GB2312" w:hAnsi="仿宋" w:eastAsia="仿宋_GB2312"/>
          <w:color w:val="000000" w:themeColor="text1"/>
          <w:sz w:val="24"/>
          <w:u w:val="single"/>
        </w:rPr>
        <w:t xml:space="preserve"> </w:t>
      </w:r>
      <w:r>
        <w:rPr>
          <w:rFonts w:hint="eastAsia" w:ascii="仿宋_GB2312" w:hAnsi="仿宋" w:eastAsia="仿宋_GB2312"/>
          <w:color w:val="000000" w:themeColor="text1"/>
          <w:sz w:val="24"/>
          <w:u w:val="single"/>
        </w:rPr>
        <w:t xml:space="preserve">2022 </w:t>
      </w:r>
      <w:r>
        <w:rPr>
          <w:rFonts w:ascii="仿宋_GB2312" w:hAnsi="仿宋" w:eastAsia="仿宋_GB2312"/>
          <w:color w:val="000000" w:themeColor="text1"/>
          <w:sz w:val="24"/>
          <w:u w:val="single"/>
        </w:rPr>
        <w:t>年</w:t>
      </w:r>
      <w:r>
        <w:rPr>
          <w:rFonts w:hint="eastAsia" w:ascii="仿宋_GB2312" w:hAnsi="仿宋" w:eastAsia="仿宋_GB2312"/>
          <w:color w:val="000000" w:themeColor="text1"/>
          <w:sz w:val="24"/>
          <w:u w:val="single"/>
          <w:lang w:val="en-US" w:eastAsia="zh-CN"/>
        </w:rPr>
        <w:t>10</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11</w:t>
      </w:r>
      <w:r>
        <w:rPr>
          <w:rFonts w:hint="eastAsia" w:ascii="仿宋_GB2312" w:hAnsi="仿宋" w:eastAsia="仿宋_GB2312"/>
          <w:color w:val="000000" w:themeColor="text1"/>
          <w:sz w:val="24"/>
          <w:u w:val="single"/>
        </w:rPr>
        <w:t>日14点00分</w:t>
      </w:r>
      <w:r>
        <w:rPr>
          <w:rFonts w:hint="eastAsia" w:ascii="仿宋_GB2312" w:hAnsi="仿宋" w:eastAsia="仿宋_GB2312"/>
          <w:bCs/>
          <w:color w:val="000000" w:themeColor="text1"/>
          <w:sz w:val="24"/>
          <w:u w:val="single"/>
        </w:rPr>
        <w:t xml:space="preserve"> </w:t>
      </w:r>
      <w:r>
        <w:rPr>
          <w:rFonts w:hint="eastAsia" w:ascii="仿宋_GB2312" w:hAnsi="仿宋" w:eastAsia="仿宋_GB2312"/>
          <w:color w:val="000000" w:themeColor="text1"/>
          <w:sz w:val="24"/>
        </w:rPr>
        <w:t>（北京时间）</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投标地点：</w:t>
      </w:r>
      <w:r>
        <w:rPr>
          <w:rFonts w:ascii="仿宋_GB2312" w:hAnsi="仿宋" w:eastAsia="仿宋_GB2312"/>
          <w:color w:val="000000" w:themeColor="text1"/>
          <w:sz w:val="24"/>
        </w:rPr>
        <w:t>杭州</w:t>
      </w:r>
      <w:r>
        <w:rPr>
          <w:rFonts w:hint="eastAsia" w:ascii="仿宋_GB2312" w:hAnsi="仿宋" w:eastAsia="仿宋_GB2312"/>
          <w:color w:val="000000" w:themeColor="text1"/>
          <w:sz w:val="24"/>
        </w:rPr>
        <w:t>尚远招标代理有限公司（临平区星桥街道星星路7号1幢3楼306开标室）</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投标网址：政采云平台（</w:t>
      </w:r>
      <w:r>
        <w:rPr>
          <w:rFonts w:ascii="仿宋_GB2312" w:hAnsi="仿宋" w:eastAsia="仿宋_GB2312"/>
          <w:color w:val="000000" w:themeColor="text1"/>
          <w:sz w:val="24"/>
        </w:rPr>
        <w:t xml:space="preserve">https://www.zcygov.cn/） </w:t>
      </w:r>
    </w:p>
    <w:p>
      <w:pPr>
        <w:spacing w:line="360" w:lineRule="auto"/>
        <w:ind w:firstLine="482" w:firstLineChars="200"/>
        <w:rPr>
          <w:rFonts w:ascii="仿宋_GB2312" w:hAnsi="仿宋" w:eastAsia="仿宋_GB2312"/>
          <w:bCs/>
          <w:color w:val="000000" w:themeColor="text1"/>
          <w:sz w:val="24"/>
          <w:u w:val="single"/>
        </w:rPr>
      </w:pPr>
      <w:r>
        <w:rPr>
          <w:rFonts w:hint="eastAsia" w:ascii="仿宋_GB2312" w:hAnsi="仿宋" w:eastAsia="仿宋_GB2312"/>
          <w:b/>
          <w:color w:val="000000" w:themeColor="text1"/>
          <w:sz w:val="24"/>
        </w:rPr>
        <w:t>开标时间：</w:t>
      </w:r>
      <w:r>
        <w:rPr>
          <w:rFonts w:ascii="仿宋_GB2312" w:hAnsi="仿宋" w:eastAsia="仿宋_GB2312"/>
          <w:color w:val="000000" w:themeColor="text1"/>
          <w:sz w:val="24"/>
          <w:u w:val="single"/>
        </w:rPr>
        <w:t xml:space="preserve"> </w:t>
      </w:r>
      <w:r>
        <w:rPr>
          <w:rFonts w:hint="eastAsia" w:ascii="仿宋_GB2312" w:hAnsi="仿宋" w:eastAsia="仿宋_GB2312"/>
          <w:color w:val="000000" w:themeColor="text1"/>
          <w:sz w:val="24"/>
          <w:u w:val="single"/>
        </w:rPr>
        <w:t xml:space="preserve">2022 </w:t>
      </w:r>
      <w:r>
        <w:rPr>
          <w:rFonts w:ascii="仿宋_GB2312" w:hAnsi="仿宋" w:eastAsia="仿宋_GB2312"/>
          <w:color w:val="000000" w:themeColor="text1"/>
          <w:sz w:val="24"/>
          <w:u w:val="single"/>
        </w:rPr>
        <w:t>年</w:t>
      </w:r>
      <w:r>
        <w:rPr>
          <w:rFonts w:hint="eastAsia" w:ascii="仿宋_GB2312" w:hAnsi="仿宋" w:eastAsia="仿宋_GB2312"/>
          <w:color w:val="000000" w:themeColor="text1"/>
          <w:sz w:val="24"/>
          <w:u w:val="single"/>
          <w:lang w:val="en-US" w:eastAsia="zh-CN"/>
        </w:rPr>
        <w:t>10</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11</w:t>
      </w:r>
      <w:r>
        <w:rPr>
          <w:rFonts w:hint="eastAsia" w:ascii="仿宋_GB2312" w:hAnsi="仿宋" w:eastAsia="仿宋_GB2312"/>
          <w:color w:val="000000" w:themeColor="text1"/>
          <w:sz w:val="24"/>
          <w:u w:val="single"/>
        </w:rPr>
        <w:t>日14点00分</w:t>
      </w:r>
      <w:r>
        <w:rPr>
          <w:rFonts w:hint="eastAsia" w:ascii="仿宋_GB2312" w:hAnsi="仿宋" w:eastAsia="仿宋_GB2312"/>
          <w:bCs/>
          <w:color w:val="000000" w:themeColor="text1"/>
          <w:sz w:val="24"/>
          <w:u w:val="single"/>
        </w:rPr>
        <w:t xml:space="preserve">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开标地点：</w:t>
      </w:r>
      <w:r>
        <w:rPr>
          <w:rFonts w:ascii="仿宋_GB2312" w:hAnsi="仿宋" w:eastAsia="仿宋_GB2312"/>
          <w:color w:val="000000" w:themeColor="text1"/>
          <w:sz w:val="24"/>
        </w:rPr>
        <w:t>杭州</w:t>
      </w:r>
      <w:r>
        <w:rPr>
          <w:rFonts w:hint="eastAsia" w:ascii="仿宋_GB2312" w:hAnsi="仿宋" w:eastAsia="仿宋_GB2312"/>
          <w:color w:val="000000" w:themeColor="text1"/>
          <w:sz w:val="24"/>
        </w:rPr>
        <w:t>尚远招标代理有限公司（临平区星桥街道星星路7号1幢3楼314评</w:t>
      </w:r>
      <w:r>
        <w:rPr>
          <w:rFonts w:ascii="仿宋_GB2312" w:hAnsi="仿宋" w:eastAsia="仿宋_GB2312"/>
          <w:color w:val="000000" w:themeColor="text1"/>
          <w:sz w:val="24"/>
        </w:rPr>
        <w:t>标室</w:t>
      </w:r>
      <w:r>
        <w:rPr>
          <w:rFonts w:hint="eastAsia" w:ascii="仿宋_GB2312" w:hAnsi="仿宋" w:eastAsia="仿宋_GB2312"/>
          <w:color w:val="000000" w:themeColor="text1"/>
          <w:sz w:val="24"/>
        </w:rPr>
        <w:t>）</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开标网址：</w:t>
      </w:r>
      <w:r>
        <w:rPr>
          <w:rFonts w:ascii="仿宋_GB2312" w:hAnsi="仿宋" w:eastAsia="仿宋_GB2312"/>
          <w:color w:val="000000" w:themeColor="text1"/>
          <w:sz w:val="24"/>
        </w:rPr>
        <w:t>政</w:t>
      </w:r>
      <w:r>
        <w:rPr>
          <w:rFonts w:hint="eastAsia" w:ascii="仿宋_GB2312" w:hAnsi="仿宋" w:eastAsia="仿宋_GB2312"/>
          <w:color w:val="000000" w:themeColor="text1"/>
          <w:sz w:val="24"/>
        </w:rPr>
        <w:t>采云平台（</w:t>
      </w:r>
      <w:r>
        <w:rPr>
          <w:rFonts w:ascii="仿宋_GB2312" w:hAnsi="仿宋" w:eastAsia="仿宋_GB2312"/>
          <w:color w:val="000000" w:themeColor="text1"/>
          <w:sz w:val="24"/>
        </w:rPr>
        <w:t>https://www.zcygov.cn/）</w:t>
      </w:r>
    </w:p>
    <w:p>
      <w:pPr>
        <w:spacing w:line="360" w:lineRule="auto"/>
        <w:rPr>
          <w:rFonts w:ascii="仿宋_GB2312" w:hAnsi="仿宋" w:eastAsia="仿宋_GB2312"/>
          <w:color w:val="000000" w:themeColor="text1"/>
          <w:sz w:val="24"/>
        </w:rPr>
      </w:pPr>
      <w:r>
        <w:rPr>
          <w:rFonts w:hint="eastAsia" w:ascii="仿宋_GB2312" w:hAnsi="仿宋" w:eastAsia="仿宋_GB2312"/>
          <w:b/>
          <w:color w:val="000000" w:themeColor="text1"/>
          <w:sz w:val="24"/>
        </w:rPr>
        <w:t xml:space="preserve">    五、公告期限</w:t>
      </w:r>
      <w:r>
        <w:rPr>
          <w:rFonts w:ascii="仿宋_GB2312" w:hAnsi="仿宋" w:eastAsia="仿宋_GB2312"/>
          <w:b/>
          <w:color w:val="000000" w:themeColor="text1"/>
          <w:sz w:val="24"/>
        </w:rPr>
        <w:t xml:space="preserve">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自本公告发布之日起</w:t>
      </w:r>
      <w:r>
        <w:rPr>
          <w:rFonts w:ascii="仿宋_GB2312" w:hAnsi="仿宋" w:eastAsia="仿宋_GB2312"/>
          <w:color w:val="000000" w:themeColor="text1"/>
          <w:sz w:val="24"/>
        </w:rPr>
        <w:t>5个工作日。</w:t>
      </w:r>
    </w:p>
    <w:p>
      <w:pPr>
        <w:numPr>
          <w:ilvl w:val="0"/>
          <w:numId w:val="1"/>
        </w:numPr>
        <w:spacing w:line="360" w:lineRule="auto"/>
        <w:rPr>
          <w:rFonts w:ascii="仿宋_GB2312" w:hAnsi="仿宋" w:eastAsia="仿宋_GB2312"/>
          <w:b/>
          <w:sz w:val="24"/>
        </w:rPr>
      </w:pPr>
      <w:r>
        <w:rPr>
          <w:rFonts w:hint="eastAsia" w:ascii="仿宋_GB2312" w:hAnsi="仿宋" w:eastAsia="仿宋_GB2312"/>
          <w:b/>
          <w:sz w:val="24"/>
        </w:rPr>
        <w:t>其他补充事宜</w:t>
      </w:r>
    </w:p>
    <w:p>
      <w:pPr>
        <w:spacing w:line="360" w:lineRule="auto"/>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sz w:val="24"/>
        </w:rPr>
      </w:pPr>
      <w:r>
        <w:rPr>
          <w:rFonts w:hint="eastAsia" w:ascii="仿宋_GB2312" w:hAnsi="仿宋" w:eastAsia="仿宋_GB2312"/>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_GB2312" w:hAnsi="仿宋" w:eastAsia="仿宋_GB2312"/>
          <w:sz w:val="24"/>
        </w:rPr>
      </w:pPr>
      <w:r>
        <w:rPr>
          <w:rFonts w:hint="eastAsia" w:ascii="仿宋_GB2312" w:hAnsi="仿宋" w:eastAsia="仿宋_GB2312"/>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 w:hAnsi="仿宋" w:eastAsia="仿宋" w:cs="仿宋"/>
          <w:sz w:val="24"/>
        </w:rPr>
      </w:pPr>
      <w:r>
        <w:rPr>
          <w:rFonts w:ascii="仿宋_GB2312" w:hAnsi="仿宋" w:eastAsia="仿宋_GB2312"/>
          <w:sz w:val="24"/>
        </w:rPr>
        <w:t xml:space="preserve">    1.</w:t>
      </w:r>
      <w:r>
        <w:rPr>
          <w:rFonts w:hint="eastAsia" w:ascii="仿宋" w:hAnsi="仿宋" w:eastAsia="仿宋" w:cs="仿宋"/>
          <w:sz w:val="24"/>
        </w:rPr>
        <w:t xml:space="preserve">  1.采购人信息</w:t>
      </w:r>
    </w:p>
    <w:p>
      <w:pPr>
        <w:spacing w:line="360" w:lineRule="auto"/>
        <w:rPr>
          <w:rFonts w:hint="eastAsia" w:ascii="仿宋" w:hAnsi="仿宋" w:eastAsia="仿宋" w:cs="仿宋"/>
          <w:color w:val="000000" w:themeColor="text1"/>
          <w:sz w:val="24"/>
        </w:rPr>
      </w:pPr>
      <w:r>
        <w:rPr>
          <w:rFonts w:hint="eastAsia" w:ascii="仿宋" w:hAnsi="仿宋" w:eastAsia="仿宋" w:cs="仿宋"/>
          <w:sz w:val="24"/>
        </w:rPr>
        <w:t xml:space="preserve">  </w:t>
      </w:r>
      <w:r>
        <w:rPr>
          <w:rFonts w:hint="eastAsia" w:ascii="仿宋" w:hAnsi="仿宋" w:eastAsia="仿宋" w:cs="仿宋"/>
          <w:color w:val="000000" w:themeColor="text1"/>
          <w:sz w:val="24"/>
        </w:rPr>
        <w:t xml:space="preserve">  名    称：杭州市临平区机关事务服务中心 </w:t>
      </w:r>
    </w:p>
    <w:p>
      <w:pPr>
        <w:spacing w:line="360" w:lineRule="auto"/>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 xml:space="preserve">    地    址：浙江省杭州市临平区临平街道西大街33号</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孙钢</w:t>
      </w:r>
    </w:p>
    <w:p>
      <w:pPr>
        <w:spacing w:line="360" w:lineRule="auto"/>
        <w:ind w:firstLine="480"/>
        <w:rPr>
          <w:rFonts w:ascii="仿宋_GB2312" w:hAnsi="仿宋" w:eastAsia="仿宋_GB2312"/>
          <w:color w:val="auto"/>
          <w:sz w:val="24"/>
        </w:rPr>
      </w:pPr>
      <w:r>
        <w:rPr>
          <w:rFonts w:ascii="仿宋_GB2312" w:hAnsi="仿宋" w:eastAsia="仿宋_GB2312"/>
          <w:color w:val="auto"/>
          <w:sz w:val="24"/>
        </w:rPr>
        <w:t>项目联系方式（询问）：</w:t>
      </w:r>
      <w:r>
        <w:rPr>
          <w:rFonts w:hint="eastAsia" w:ascii="仿宋_GB2312" w:hAnsi="仿宋" w:eastAsia="仿宋_GB2312"/>
          <w:color w:val="auto"/>
          <w:sz w:val="24"/>
        </w:rPr>
        <w:t>0571-86105570</w:t>
      </w:r>
    </w:p>
    <w:p>
      <w:pPr>
        <w:spacing w:line="360" w:lineRule="auto"/>
        <w:ind w:firstLine="480"/>
        <w:rPr>
          <w:rFonts w:ascii="仿宋" w:hAnsi="仿宋" w:eastAsia="仿宋"/>
          <w:color w:val="auto"/>
          <w:sz w:val="24"/>
        </w:rPr>
      </w:pPr>
      <w:r>
        <w:rPr>
          <w:rFonts w:ascii="仿宋_GB2312" w:hAnsi="仿宋" w:eastAsia="仿宋_GB2312"/>
          <w:color w:val="auto"/>
          <w:sz w:val="24"/>
        </w:rPr>
        <w:t>质疑联系人：</w:t>
      </w:r>
      <w:r>
        <w:rPr>
          <w:rFonts w:hint="eastAsia" w:ascii="仿宋_GB2312" w:hAnsi="仿宋" w:eastAsia="仿宋_GB2312"/>
          <w:color w:val="auto"/>
          <w:sz w:val="24"/>
        </w:rPr>
        <w:t>韦莹</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0571-86166501</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bookmarkStart w:id="408" w:name="_GoBack"/>
      <w:bookmarkEnd w:id="408"/>
    </w:p>
    <w:p>
      <w:pPr>
        <w:spacing w:line="360" w:lineRule="auto"/>
        <w:ind w:firstLine="480" w:firstLineChars="200"/>
        <w:rPr>
          <w:rFonts w:ascii="仿宋" w:hAnsi="仿宋" w:eastAsia="仿宋" w:cs="仿宋"/>
          <w:sz w:val="24"/>
        </w:rPr>
      </w:pPr>
      <w:r>
        <w:rPr>
          <w:rFonts w:hint="eastAsia" w:ascii="仿宋" w:hAnsi="仿宋" w:eastAsia="仿宋" w:cs="仿宋"/>
          <w:sz w:val="24"/>
        </w:rPr>
        <w:t>名    称：杭州尚远招标代理有限公司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址：杭州市临平区星桥街道星星路7号1幢3楼306室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cs="仿宋"/>
          <w:sz w:val="24"/>
        </w:rPr>
        <w:t xml:space="preserve">陆月琴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 w:hAnsi="仿宋" w:eastAsia="仿宋" w:cs="仿宋"/>
          <w:sz w:val="24"/>
        </w:rPr>
        <w:t xml:space="preserve">15869183365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cs="仿宋"/>
          <w:sz w:val="24"/>
        </w:rPr>
        <w:t>李竹军</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cs="仿宋"/>
          <w:sz w:val="24"/>
        </w:rPr>
        <w:t>18357015059</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cs="仿宋"/>
          <w:sz w:val="24"/>
        </w:rPr>
        <w:t>临平区财政局采购监管科</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
          <w:color w:val="000000"/>
          <w:sz w:val="24"/>
        </w:rPr>
        <w:t>杭州市临平区东湖中路236号临平财税大楼</w:t>
      </w:r>
      <w:r>
        <w:rPr>
          <w:rFonts w:hint="eastAsia" w:ascii="仿宋" w:hAnsi="仿宋" w:eastAsia="仿宋" w:cs="仿宋"/>
          <w:sz w:val="24"/>
        </w:rPr>
        <w:t xml:space="preserve"> </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 w:hAnsi="仿宋" w:eastAsia="仿宋" w:cs="仿宋"/>
          <w:sz w:val="24"/>
        </w:rPr>
        <w:t xml:space="preserve">俞征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 xml:space="preserve">0571-89185312    </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b/>
                <w:kern w:val="0"/>
                <w:sz w:val="24"/>
                <w:szCs w:val="20"/>
                <w:lang w:val="zh-CN"/>
              </w:rPr>
              <w:t>;</w:t>
            </w:r>
          </w:p>
          <w:p>
            <w:pPr>
              <w:spacing w:before="0" w:beforeAutospacing="0" w:after="0" w:afterAutospacing="0" w:line="360" w:lineRule="auto"/>
              <w:ind w:left="0" w:right="0" w:firstLine="241" w:firstLineChars="100"/>
              <w:rPr>
                <w:rFonts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olor w:val="auto"/>
                <w:sz w:val="24"/>
                <w:szCs w:val="20"/>
              </w:rPr>
              <w:t>同意将非主体、非关键性的</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olor w:val="auto"/>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（1）资格证明文件：见招标文件第二部分11.1。</w:t>
            </w:r>
          </w:p>
          <w:p>
            <w:pPr>
              <w:spacing w:before="0" w:beforeAutospacing="0" w:after="0" w:afterAutospacing="0" w:line="360" w:lineRule="auto"/>
              <w:ind w:left="0" w:right="0"/>
              <w:rPr>
                <w:rFonts w:ascii="Arial" w:hAnsi="Arial" w:eastAsia="黑体" w:cs="Arial"/>
                <w:snapToGrid w:val="0"/>
                <w:color w:val="auto"/>
                <w:kern w:val="0"/>
                <w:sz w:val="20"/>
                <w:szCs w:val="21"/>
              </w:rPr>
            </w:pPr>
            <w:r>
              <w:rPr>
                <w:rFonts w:hint="eastAsia" w:ascii="仿宋_GB2312" w:hAnsi="仿宋" w:eastAsia="仿宋_GB2312"/>
                <w:color w:val="auto"/>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不组织。</w:t>
            </w:r>
          </w:p>
          <w:p>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olor w:val="auto"/>
                <w:kern w:val="0"/>
                <w:sz w:val="24"/>
                <w:szCs w:val="20"/>
              </w:rPr>
              <w:t>B组织，</w:t>
            </w:r>
            <w:r>
              <w:rPr>
                <w:rFonts w:hint="eastAsia" w:ascii="仿宋_GB2312" w:hAnsi="仿宋" w:eastAsia="仿宋_GB2312"/>
                <w:color w:val="auto"/>
                <w:sz w:val="24"/>
                <w:szCs w:val="20"/>
              </w:rPr>
              <w:t>时间：</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,地点：</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，联系人：</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，联系方式：</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不要求提供。</w:t>
            </w:r>
          </w:p>
          <w:p>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MS Gothic" w:hAnsi="MS Gothic" w:eastAsia="MS Gothic" w:cs="Arial"/>
                <w:color w:val="auto"/>
                <w:kern w:val="0"/>
                <w:sz w:val="24"/>
                <w:szCs w:val="20"/>
              </w:rPr>
              <w:t>☐</w:t>
            </w:r>
            <w:r>
              <w:rPr>
                <w:rFonts w:hint="eastAsia" w:ascii="仿宋_GB2312" w:hAnsi="仿宋" w:eastAsia="仿宋_GB2312"/>
                <w:color w:val="auto"/>
                <w:kern w:val="0"/>
                <w:sz w:val="24"/>
                <w:szCs w:val="20"/>
              </w:rPr>
              <w:t>B要求提供，</w:t>
            </w:r>
          </w:p>
          <w:p>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（1）</w:t>
            </w:r>
            <w:r>
              <w:rPr>
                <w:rFonts w:hint="eastAsia" w:ascii="仿宋" w:hAnsi="仿宋" w:eastAsia="仿宋"/>
                <w:snapToGrid w:val="0"/>
                <w:color w:val="auto"/>
                <w:kern w:val="28"/>
                <w:sz w:val="24"/>
                <w:szCs w:val="20"/>
              </w:rPr>
              <w:t>样品：</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w:t>
            </w:r>
          </w:p>
          <w:p>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（2）</w:t>
            </w:r>
            <w:r>
              <w:rPr>
                <w:rFonts w:hint="eastAsia" w:ascii="仿宋" w:hAnsi="仿宋" w:eastAsia="仿宋"/>
                <w:snapToGrid w:val="0"/>
                <w:color w:val="auto"/>
                <w:kern w:val="28"/>
                <w:sz w:val="24"/>
                <w:szCs w:val="20"/>
              </w:rPr>
              <w:t>样品制作的标准和要求：</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w:t>
            </w:r>
          </w:p>
          <w:p>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（3）样品的评审方法以及评审标准</w:t>
            </w:r>
            <w:r>
              <w:rPr>
                <w:rFonts w:hint="eastAsia" w:ascii="仿宋" w:hAnsi="仿宋" w:eastAsia="仿宋"/>
                <w:snapToGrid w:val="0"/>
                <w:color w:val="auto"/>
                <w:kern w:val="28"/>
                <w:sz w:val="24"/>
                <w:szCs w:val="20"/>
              </w:rPr>
              <w:t>：详见</w:t>
            </w:r>
            <w:r>
              <w:rPr>
                <w:rFonts w:hint="eastAsia" w:ascii="仿宋_GB2312" w:hAnsi="仿宋" w:eastAsia="仿宋_GB2312"/>
                <w:color w:val="auto"/>
                <w:sz w:val="24"/>
                <w:szCs w:val="20"/>
                <w:u w:val="single"/>
              </w:rPr>
              <w:t>评标办法</w:t>
            </w:r>
            <w:r>
              <w:rPr>
                <w:rFonts w:hint="eastAsia" w:ascii="仿宋_GB2312" w:hAnsi="仿宋" w:eastAsia="仿宋_GB2312"/>
                <w:color w:val="auto"/>
                <w:kern w:val="0"/>
                <w:sz w:val="24"/>
                <w:szCs w:val="20"/>
              </w:rPr>
              <w:t>；</w:t>
            </w:r>
          </w:p>
          <w:p>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（4）是否需要随样品提交检测报告：</w:t>
            </w:r>
            <w:r>
              <w:rPr>
                <w:rFonts w:hint="eastAsia" w:ascii="MS Gothic" w:hAnsi="MS Gothic" w:eastAsia="仿宋_GB2312" w:cs="Arial"/>
                <w:color w:val="auto"/>
                <w:kern w:val="0"/>
                <w:sz w:val="24"/>
                <w:szCs w:val="20"/>
              </w:rPr>
              <w:sym w:font="Wingdings" w:char="F0FE"/>
            </w:r>
            <w:r>
              <w:rPr>
                <w:rFonts w:hint="eastAsia" w:ascii="仿宋_GB2312" w:hAnsi="仿宋" w:eastAsia="仿宋_GB2312"/>
                <w:color w:val="auto"/>
                <w:kern w:val="0"/>
                <w:sz w:val="24"/>
                <w:szCs w:val="20"/>
              </w:rPr>
              <w:t>否；</w:t>
            </w:r>
            <w:r>
              <w:rPr>
                <w:rFonts w:hint="eastAsia" w:ascii="MS Gothic" w:hAnsi="MS Gothic" w:eastAsia="仿宋_GB2312" w:cs="Arial"/>
                <w:color w:val="auto"/>
                <w:kern w:val="0"/>
                <w:sz w:val="24"/>
                <w:szCs w:val="20"/>
              </w:rPr>
              <w:t>☐</w:t>
            </w:r>
            <w:r>
              <w:rPr>
                <w:rFonts w:hint="eastAsia" w:ascii="仿宋_GB2312" w:hAnsi="仿宋" w:eastAsia="仿宋_GB2312"/>
                <w:color w:val="auto"/>
                <w:kern w:val="0"/>
                <w:sz w:val="24"/>
                <w:szCs w:val="20"/>
              </w:rPr>
              <w:t>是，检测机构的要求</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；检测内容</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w:t>
            </w:r>
          </w:p>
          <w:p>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（5）提供样品的时间：</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；地点：</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；联系人</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w:t>
            </w:r>
            <w:r>
              <w:rPr>
                <w:rFonts w:hint="eastAsia" w:ascii="仿宋_GB2312" w:hAnsi="仿宋" w:eastAsia="仿宋_GB2312"/>
                <w:color w:val="auto"/>
                <w:kern w:val="28"/>
                <w:sz w:val="24"/>
                <w:szCs w:val="20"/>
              </w:rPr>
              <w:t>联系电话：</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（6）采购活动结束后，</w:t>
            </w:r>
            <w:r>
              <w:rPr>
                <w:rFonts w:hint="eastAsia" w:ascii="仿宋" w:hAnsi="仿宋" w:eastAsia="仿宋" w:cs="仿宋"/>
                <w:color w:val="auto"/>
                <w:sz w:val="24"/>
                <w:szCs w:val="20"/>
              </w:rPr>
              <w:t>未中标投标人的“样品”由投标人在中标公告结束后</w:t>
            </w:r>
            <w:r>
              <w:rPr>
                <w:rFonts w:hint="eastAsia" w:ascii="仿宋" w:hAnsi="仿宋" w:eastAsia="仿宋" w:cs="仿宋"/>
                <w:b/>
                <w:color w:val="auto"/>
                <w:sz w:val="24"/>
                <w:szCs w:val="20"/>
              </w:rPr>
              <w:t>三个工作日</w:t>
            </w:r>
            <w:r>
              <w:rPr>
                <w:rFonts w:hint="eastAsia" w:ascii="仿宋" w:hAnsi="仿宋" w:eastAsia="仿宋" w:cs="仿宋"/>
                <w:color w:val="auto"/>
                <w:sz w:val="24"/>
                <w:szCs w:val="20"/>
              </w:rPr>
              <w:t>内从采购人处自行领回，逾期采购人将不予保管；</w:t>
            </w:r>
            <w:r>
              <w:rPr>
                <w:rFonts w:hint="eastAsia" w:ascii="仿宋_GB2312" w:hAnsi="仿宋" w:eastAsia="仿宋_GB2312"/>
                <w:color w:val="auto"/>
                <w:sz w:val="24"/>
                <w:szCs w:val="20"/>
              </w:rPr>
              <w:t>对于中标人提供的样品，采购人将进行保管、封存，并作为履约验收的参考。</w:t>
            </w:r>
          </w:p>
          <w:p>
            <w:pPr>
              <w:spacing w:before="0" w:beforeAutospacing="0" w:after="0" w:afterAutospacing="0" w:line="360" w:lineRule="auto"/>
              <w:ind w:left="0" w:right="0"/>
              <w:rPr>
                <w:rFonts w:ascii="仿宋_GB2312" w:hAnsi="仿宋" w:eastAsia="仿宋_GB2312"/>
                <w:b/>
                <w:color w:val="auto"/>
                <w:sz w:val="24"/>
                <w:szCs w:val="20"/>
              </w:rPr>
            </w:pPr>
            <w:r>
              <w:rPr>
                <w:rFonts w:hint="eastAsia" w:ascii="仿宋_GB2312" w:hAnsi="仿宋" w:eastAsia="仿宋_GB2312"/>
                <w:color w:val="auto"/>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Cs/>
                <w:color w:val="auto"/>
                <w:sz w:val="24"/>
                <w:szCs w:val="20"/>
              </w:rPr>
            </w:pPr>
            <w:r>
              <w:rPr>
                <w:rFonts w:hint="eastAsia" w:ascii="仿宋_GB2312" w:hAnsi="仿宋" w:eastAsia="仿宋_GB2312" w:cs="仿宋_GB2312"/>
                <w:b/>
                <w:color w:val="auto"/>
                <w:sz w:val="24"/>
                <w:szCs w:val="20"/>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不组织。</w:t>
            </w:r>
          </w:p>
          <w:p>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MS Gothic" w:hAnsi="MS Gothic" w:eastAsia="MS Gothic" w:cs="Arial"/>
                <w:color w:val="auto"/>
                <w:kern w:val="0"/>
                <w:sz w:val="24"/>
                <w:szCs w:val="20"/>
              </w:rPr>
              <w:sym w:font="Wingdings" w:char="00A8"/>
            </w:r>
            <w:r>
              <w:rPr>
                <w:rFonts w:hint="eastAsia" w:ascii="仿宋_GB2312" w:hAnsi="仿宋" w:eastAsia="仿宋_GB2312"/>
                <w:color w:val="auto"/>
                <w:kern w:val="0"/>
                <w:sz w:val="24"/>
                <w:szCs w:val="20"/>
              </w:rPr>
              <w:t>B组织。</w:t>
            </w:r>
          </w:p>
          <w:p>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_GB2312" w:hAnsi="仿宋" w:eastAsia="仿宋_GB2312" w:cs="Times New Roman"/>
                <w:b/>
                <w:bCs/>
                <w:color w:val="auto"/>
                <w:kern w:val="0"/>
                <w:sz w:val="24"/>
                <w:szCs w:val="20"/>
                <w:highlight w:val="none"/>
              </w:rPr>
              <w:t>在评标时安排每个投标人进行方案讲解演示。每个投标人时间不超过</w:t>
            </w:r>
            <w:r>
              <w:rPr>
                <w:rFonts w:hint="eastAsia" w:ascii="仿宋_GB2312" w:hAnsi="仿宋" w:eastAsia="仿宋_GB2312" w:cs="Times New Roman"/>
                <w:b/>
                <w:bCs/>
                <w:color w:val="auto"/>
                <w:kern w:val="0"/>
                <w:sz w:val="24"/>
                <w:szCs w:val="20"/>
                <w:highlight w:val="none"/>
                <w:lang w:val="en-US" w:eastAsia="zh-CN"/>
              </w:rPr>
              <w:t>10</w:t>
            </w:r>
            <w:r>
              <w:rPr>
                <w:rFonts w:hint="eastAsia" w:ascii="仿宋_GB2312" w:hAnsi="仿宋" w:eastAsia="仿宋_GB2312" w:cs="Times New Roman"/>
                <w:b/>
                <w:bCs/>
                <w:color w:val="auto"/>
                <w:kern w:val="0"/>
                <w:sz w:val="24"/>
                <w:szCs w:val="20"/>
                <w:highlight w:val="none"/>
              </w:rPr>
              <w:t>分钟，讲解次序以</w:t>
            </w:r>
            <w:r>
              <w:rPr>
                <w:rFonts w:hint="eastAsia" w:ascii="仿宋_GB2312" w:hAnsi="仿宋" w:eastAsia="仿宋_GB2312" w:cs="Times New Roman"/>
                <w:b/>
                <w:bCs/>
                <w:color w:val="auto"/>
                <w:kern w:val="0"/>
                <w:sz w:val="24"/>
                <w:szCs w:val="20"/>
                <w:highlight w:val="none"/>
                <w:lang w:val="en-US" w:eastAsia="zh-CN"/>
              </w:rPr>
              <w:t>投标人现场抽签</w:t>
            </w:r>
            <w:r>
              <w:rPr>
                <w:rFonts w:hint="eastAsia" w:ascii="仿宋_GB2312" w:hAnsi="仿宋" w:eastAsia="仿宋_GB2312" w:cs="Times New Roman"/>
                <w:b/>
                <w:bCs/>
                <w:color w:val="auto"/>
                <w:kern w:val="0"/>
                <w:sz w:val="24"/>
                <w:szCs w:val="20"/>
                <w:highlight w:val="none"/>
              </w:rPr>
              <w:t>为准，讲解演示人员</w:t>
            </w:r>
            <w:r>
              <w:rPr>
                <w:rFonts w:hint="eastAsia" w:ascii="仿宋_GB2312" w:hAnsi="仿宋" w:eastAsia="仿宋_GB2312" w:cs="Times New Roman"/>
                <w:b/>
                <w:bCs/>
                <w:color w:val="auto"/>
                <w:kern w:val="0"/>
                <w:sz w:val="24"/>
                <w:szCs w:val="20"/>
                <w:highlight w:val="none"/>
                <w:lang w:val="en-US" w:eastAsia="zh-CN"/>
              </w:rPr>
              <w:t>为1人</w:t>
            </w:r>
            <w:r>
              <w:rPr>
                <w:rFonts w:hint="eastAsia" w:ascii="仿宋_GB2312" w:hAnsi="仿宋" w:eastAsia="仿宋_GB2312" w:cs="Times New Roman"/>
                <w:b/>
                <w:bCs/>
                <w:color w:val="auto"/>
                <w:kern w:val="0"/>
                <w:sz w:val="24"/>
                <w:szCs w:val="20"/>
                <w:highlight w:val="none"/>
              </w:rPr>
              <w:t>。讲解演示结束后按要求解答评标委员会提问。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（2）方案讲解演示方式：</w:t>
            </w:r>
          </w:p>
          <w:p>
            <w:pPr>
              <w:snapToGrid w:val="0"/>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s="Times New Roman"/>
                <w:b/>
                <w:bCs/>
                <w:color w:val="auto"/>
                <w:kern w:val="0"/>
                <w:sz w:val="24"/>
                <w:szCs w:val="20"/>
                <w:highlight w:val="none"/>
                <w:lang w:val="en-US" w:eastAsia="zh-CN"/>
              </w:rPr>
              <w:t xml:space="preserve">    投标人</w:t>
            </w:r>
            <w:r>
              <w:rPr>
                <w:rFonts w:hint="eastAsia" w:ascii="仿宋_GB2312" w:hAnsi="仿宋" w:eastAsia="仿宋_GB2312" w:cs="Times New Roman"/>
                <w:b/>
                <w:bCs/>
                <w:color w:val="auto"/>
                <w:kern w:val="0"/>
                <w:sz w:val="24"/>
                <w:szCs w:val="20"/>
                <w:highlight w:val="none"/>
              </w:rPr>
              <w:t>现场讲解演示。现场讲解地点为</w:t>
            </w:r>
            <w:r>
              <w:rPr>
                <w:rFonts w:hint="eastAsia" w:ascii="仿宋_GB2312" w:hAnsi="仿宋" w:eastAsia="仿宋_GB2312" w:cs="Times New Roman"/>
                <w:b/>
                <w:bCs/>
                <w:color w:val="auto"/>
                <w:sz w:val="24"/>
                <w:szCs w:val="20"/>
                <w:highlight w:val="none"/>
                <w:u w:val="single"/>
              </w:rPr>
              <w:t xml:space="preserve"> </w:t>
            </w:r>
            <w:r>
              <w:rPr>
                <w:rFonts w:hint="eastAsia" w:ascii="仿宋_GB2312" w:hAnsi="仿宋" w:eastAsia="仿宋_GB2312" w:cs="Times New Roman"/>
                <w:b/>
                <w:bCs/>
                <w:color w:val="auto"/>
                <w:sz w:val="24"/>
                <w:szCs w:val="20"/>
                <w:highlight w:val="none"/>
                <w:u w:val="single"/>
                <w:lang w:val="en-US" w:eastAsia="zh-CN"/>
              </w:rPr>
              <w:t>杭州市临平区星桥街道星星路7号1幢3楼303开标室</w:t>
            </w:r>
            <w:r>
              <w:rPr>
                <w:rFonts w:hint="eastAsia" w:ascii="仿宋_GB2312" w:hAnsi="仿宋" w:eastAsia="仿宋_GB2312" w:cs="Times New Roman"/>
                <w:b/>
                <w:bCs/>
                <w:color w:val="auto"/>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ascii="仿宋_GB2312" w:hAnsi="仿宋" w:eastAsia="仿宋_GB2312" w:cs="仿宋_GB2312"/>
                <w:b/>
                <w:color w:val="auto"/>
                <w:kern w:val="0"/>
                <w:sz w:val="24"/>
                <w:szCs w:val="20"/>
                <w:lang w:val="zh-CN"/>
              </w:rPr>
            </w:pPr>
            <w:r>
              <w:rPr>
                <w:rFonts w:hint="eastAsia" w:ascii="仿宋_GB2312" w:hAnsi="仿宋" w:eastAsia="仿宋_GB2312"/>
                <w:color w:val="auto"/>
                <w:kern w:val="0"/>
                <w:sz w:val="24"/>
                <w:szCs w:val="20"/>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s="Arial"/>
                <w:color w:val="auto"/>
                <w:kern w:val="0"/>
                <w:sz w:val="24"/>
                <w:szCs w:val="20"/>
              </w:rPr>
            </w:pP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本项目不允许采购进口产品。</w:t>
            </w:r>
          </w:p>
          <w:p>
            <w:pPr>
              <w:spacing w:before="0" w:beforeAutospacing="0" w:after="0" w:afterAutospacing="0" w:line="360" w:lineRule="auto"/>
              <w:ind w:left="0" w:right="0"/>
              <w:rPr>
                <w:color w:val="auto"/>
                <w:sz w:val="20"/>
                <w:szCs w:val="20"/>
              </w:rPr>
            </w:pPr>
            <w:r>
              <w:rPr>
                <w:rFonts w:hint="eastAsia" w:ascii="宋体" w:hAnsi="宋体" w:cs="宋体"/>
                <w:color w:val="auto"/>
                <w:kern w:val="0"/>
                <w:sz w:val="24"/>
                <w:szCs w:val="20"/>
              </w:rPr>
              <w:t>☐</w:t>
            </w:r>
            <w:r>
              <w:rPr>
                <w:rFonts w:hint="eastAsia" w:ascii="仿宋" w:hAnsi="仿宋" w:eastAsia="仿宋" w:cs="仿宋"/>
                <w:color w:val="auto"/>
                <w:kern w:val="0"/>
                <w:sz w:val="24"/>
                <w:szCs w:val="20"/>
              </w:rPr>
              <w:t>可以就</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sym w:font="Wingdings" w:char="00A8"/>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货物类，单一产品或</w:t>
            </w:r>
            <w:r>
              <w:rPr>
                <w:rFonts w:hint="eastAsia" w:ascii="仿宋_GB2312" w:hAnsi="仿宋" w:eastAsia="仿宋_GB2312"/>
                <w:color w:val="auto"/>
                <w:kern w:val="0"/>
                <w:sz w:val="24"/>
                <w:szCs w:val="20"/>
              </w:rPr>
              <w:t>核心产品为：</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w:t>
            </w:r>
          </w:p>
          <w:p>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sym w:font="Wingdings" w:char="00FE"/>
            </w:r>
            <w:r>
              <w:rPr>
                <w:rFonts w:hint="eastAsia" w:ascii="仿宋_GB2312" w:hAnsi="仿宋" w:eastAsia="仿宋_GB2312" w:cs="Arial"/>
                <w:color w:val="auto"/>
                <w:kern w:val="0"/>
                <w:sz w:val="24"/>
                <w:szCs w:val="20"/>
              </w:rPr>
              <w:t>B</w:t>
            </w:r>
            <w:r>
              <w:rPr>
                <w:rFonts w:hint="eastAsia" w:ascii="仿宋_GB2312" w:hAnsi="仿宋" w:eastAsia="仿宋_GB2312"/>
                <w:color w:val="auto"/>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ascii="仿宋_GB2312" w:hAnsi="仿宋" w:eastAsia="仿宋_GB2312" w:cs="Arial"/>
                <w:color w:val="auto"/>
                <w:kern w:val="0"/>
                <w:sz w:val="24"/>
                <w:szCs w:val="20"/>
              </w:rPr>
            </w:pPr>
            <w:r>
              <w:rPr>
                <w:rFonts w:hint="eastAsia" w:ascii="仿宋_GB2312" w:hAnsi="仿宋" w:eastAsia="仿宋_GB2312" w:cs="Arial"/>
                <w:color w:val="auto"/>
                <w:kern w:val="0"/>
                <w:sz w:val="24"/>
                <w:szCs w:val="20"/>
              </w:rPr>
              <w:t>（1）</w:t>
            </w:r>
            <w:r>
              <w:rPr>
                <w:rFonts w:hint="eastAsia" w:ascii="仿宋" w:eastAsia="仿宋" w:cs="仿宋"/>
                <w:color w:val="auto"/>
                <w:sz w:val="24"/>
              </w:rPr>
              <w:t>标的：</w:t>
            </w:r>
            <w:r>
              <w:rPr>
                <w:rFonts w:hint="eastAsia" w:ascii="仿宋" w:eastAsia="仿宋" w:cs="仿宋"/>
                <w:color w:val="auto"/>
                <w:sz w:val="24"/>
                <w:u w:val="single"/>
                <w:lang w:val="en-US" w:eastAsia="zh-CN"/>
              </w:rPr>
              <w:t>物业服务</w:t>
            </w:r>
            <w:r>
              <w:rPr>
                <w:rFonts w:hint="eastAsia" w:ascii="仿宋" w:eastAsia="仿宋" w:cs="仿宋"/>
                <w:color w:val="auto"/>
                <w:sz w:val="24"/>
              </w:rPr>
              <w:t xml:space="preserve"> ，属于其他</w:t>
            </w:r>
            <w:r>
              <w:rPr>
                <w:rFonts w:hint="eastAsia" w:ascii="仿宋" w:eastAsia="仿宋" w:cs="仿宋"/>
                <w:color w:val="auto"/>
                <w:sz w:val="24"/>
                <w:u w:val="single"/>
              </w:rPr>
              <w:t>未列行业</w:t>
            </w:r>
          </w:p>
          <w:p>
            <w:pPr>
              <w:pStyle w:val="5"/>
              <w:spacing w:before="0" w:beforeAutospacing="0" w:after="0" w:afterAutospacing="0"/>
              <w:ind w:right="0"/>
              <w:rPr>
                <w:rFonts w:ascii="Times New Roman" w:hAnsi="Times New Roman"/>
                <w:color w:val="auto"/>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eastAsia="仿宋"/>
                <w:sz w:val="20"/>
                <w:szCs w:val="20"/>
              </w:rPr>
            </w:pPr>
            <w:r>
              <w:rPr>
                <w:rFonts w:hint="eastAsia" w:ascii="仿宋_GB2312" w:hAnsi="仿宋" w:eastAsia="仿宋_GB2312" w:cs="Arial"/>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ascii="仿宋_GB2312" w:hAnsi="仿宋" w:eastAsia="仿宋_GB2312"/>
                <w:sz w:val="24"/>
                <w:szCs w:val="20"/>
              </w:rPr>
            </w:pPr>
            <w:r>
              <w:rPr>
                <w:rFonts w:hint="eastAsia" w:ascii="仿宋_GB2312" w:hAnsi="仿宋" w:eastAsia="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ascii="仿宋_GB2312" w:hAnsi="仿宋" w:eastAsia="仿宋_GB2312" w:cs="仿宋_GB2312"/>
                <w:b/>
                <w:sz w:val="24"/>
                <w:szCs w:val="24"/>
              </w:rPr>
            </w:pPr>
            <w:r>
              <w:rPr>
                <w:rFonts w:hint="eastAsia" w:ascii="仿宋_GB2312" w:hAnsi="仿宋" w:eastAsia="仿宋_GB2312" w:cs="Times New Roman"/>
                <w:b/>
                <w:bCs/>
                <w:kern w:val="28"/>
                <w:sz w:val="24"/>
                <w:szCs w:val="24"/>
              </w:rPr>
              <w:t>备份投标文件送达地点：</w:t>
            </w:r>
            <w:r>
              <w:rPr>
                <w:rFonts w:ascii="仿宋_GB2312" w:hAnsi="仿宋" w:eastAsia="仿宋_GB2312" w:cs="Times New Roman"/>
                <w:b/>
                <w:bCs/>
                <w:sz w:val="24"/>
                <w:szCs w:val="20"/>
              </w:rPr>
              <w:t>杭州市</w:t>
            </w:r>
            <w:r>
              <w:rPr>
                <w:rFonts w:hint="eastAsia" w:ascii="仿宋_GB2312" w:hAnsi="仿宋" w:eastAsia="仿宋_GB2312" w:cs="Times New Roman"/>
                <w:b/>
                <w:bCs/>
                <w:sz w:val="24"/>
                <w:szCs w:val="20"/>
              </w:rPr>
              <w:t>星桥街道星星路7号1幢3楼306室，</w:t>
            </w:r>
            <w:r>
              <w:rPr>
                <w:rFonts w:hint="eastAsia" w:ascii="仿宋_GB2312" w:hAnsi="仿宋" w:eastAsia="仿宋_GB2312" w:cs="仿宋_GB2312"/>
                <w:b/>
                <w:bCs/>
                <w:sz w:val="24"/>
                <w:szCs w:val="24"/>
              </w:rPr>
              <w:t>采购人、采购机构不强制或变相强制投标人</w:t>
            </w:r>
            <w:r>
              <w:rPr>
                <w:rFonts w:hint="eastAsia" w:ascii="仿宋_GB2312" w:hAnsi="仿宋" w:eastAsia="仿宋_GB2312" w:cs="仿宋_GB2312"/>
                <w:b/>
                <w:sz w:val="24"/>
                <w:szCs w:val="24"/>
              </w:rPr>
              <w:t>提交备份投标文件。</w:t>
            </w:r>
          </w:p>
          <w:p>
            <w:pPr>
              <w:spacing w:before="0" w:beforeAutospacing="0" w:after="0" w:afterAutospacing="0" w:line="360" w:lineRule="auto"/>
              <w:ind w:left="0" w:right="0" w:firstLine="482" w:firstLineChars="200"/>
              <w:rPr>
                <w:rFonts w:ascii="仿宋_GB2312" w:hAnsi="仿宋" w:eastAsia="仿宋_GB2312"/>
                <w:b/>
                <w:bCs/>
                <w:snapToGrid w:val="0"/>
                <w:sz w:val="24"/>
                <w:szCs w:val="20"/>
              </w:rPr>
            </w:pPr>
            <w:r>
              <w:rPr>
                <w:rFonts w:hint="eastAsia" w:ascii="仿宋_GB2312" w:hAnsi="仿宋" w:eastAsia="仿宋_GB2312"/>
                <w:b/>
                <w:bCs/>
                <w:snapToGrid w:val="0"/>
                <w:sz w:val="24"/>
                <w:szCs w:val="20"/>
              </w:rPr>
              <w:t>投标人递交备份投标文件出现下列情况之一的，将被拒收：</w:t>
            </w:r>
          </w:p>
          <w:p>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1、未按规定密封或标记的投标文件；</w:t>
            </w:r>
          </w:p>
          <w:p>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2、由于包装不妥，在送交途中严重破损或失散的；</w:t>
            </w:r>
          </w:p>
          <w:p>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3、未成功获取招标文件的；</w:t>
            </w:r>
          </w:p>
          <w:p>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4、超过投标截止时间送达的；</w:t>
            </w:r>
          </w:p>
          <w:p>
            <w:pPr>
              <w:pStyle w:val="34"/>
              <w:spacing w:before="0" w:beforeAutospacing="0" w:after="0" w:afterAutospacing="0" w:line="360" w:lineRule="auto"/>
              <w:ind w:left="0" w:right="0"/>
              <w:rPr>
                <w:rFonts w:ascii="仿宋_GB2312" w:hAnsi="仿宋" w:eastAsia="仿宋_GB2312" w:cs="仿宋_GB2312"/>
                <w:b/>
                <w:sz w:val="24"/>
                <w:szCs w:val="24"/>
              </w:rPr>
            </w:pPr>
            <w:r>
              <w:rPr>
                <w:rFonts w:hint="eastAsia" w:ascii="仿宋_GB2312" w:hAnsi="仿宋" w:eastAsia="仿宋_GB2312" w:cs="Times New Roman"/>
                <w:b/>
                <w:bCs/>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sz w:val="24"/>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rPr>
            </w:pPr>
            <w:r>
              <w:rPr>
                <w:rFonts w:hint="eastAsia" w:ascii="仿宋_GB2312" w:hAnsi="仿宋" w:eastAsia="仿宋_GB2312" w:cs="仿宋_GB2312"/>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本次代理服务费由中标人支付，招标代理费为人民币</w:t>
            </w:r>
          </w:p>
          <w:p>
            <w:pPr>
              <w:spacing w:before="0" w:beforeAutospacing="0" w:after="0" w:afterAutospacing="0" w:line="360" w:lineRule="auto"/>
              <w:ind w:left="0" w:right="0"/>
              <w:jc w:val="left"/>
              <w:rPr>
                <w:rFonts w:ascii="仿宋_GB2312" w:hAnsi="仿宋" w:eastAsia="仿宋_GB2312"/>
                <w:snapToGrid w:val="0"/>
                <w:kern w:val="28"/>
                <w:sz w:val="24"/>
              </w:rPr>
            </w:pPr>
            <w:r>
              <w:rPr>
                <w:rFonts w:hint="eastAsia" w:ascii="仿宋_GB2312" w:hAnsi="仿宋" w:eastAsia="仿宋_GB2312"/>
                <w:snapToGrid w:val="0"/>
                <w:color w:val="FF0000"/>
                <w:kern w:val="28"/>
                <w:sz w:val="24"/>
                <w:lang w:val="en-US" w:eastAsia="zh-CN"/>
              </w:rPr>
              <w:t>15335</w:t>
            </w:r>
            <w:r>
              <w:rPr>
                <w:rFonts w:hint="eastAsia" w:ascii="仿宋_GB2312" w:hAnsi="仿宋" w:eastAsia="仿宋_GB2312"/>
                <w:snapToGrid w:val="0"/>
                <w:color w:val="auto"/>
                <w:kern w:val="28"/>
                <w:sz w:val="24"/>
              </w:rPr>
              <w:t>元</w:t>
            </w:r>
            <w:r>
              <w:rPr>
                <w:rFonts w:hint="eastAsia" w:ascii="仿宋_GB2312" w:hAnsi="仿宋" w:eastAsia="仿宋_GB2312"/>
                <w:snapToGrid w:val="0"/>
                <w:kern w:val="28"/>
                <w:sz w:val="24"/>
              </w:rPr>
              <w:t>整。各投标人应在投标报价中予以考虑。</w:t>
            </w:r>
          </w:p>
          <w:p>
            <w:pPr>
              <w:spacing w:before="0" w:beforeAutospacing="0" w:after="0" w:afterAutospacing="0" w:line="360" w:lineRule="auto"/>
              <w:ind w:left="0" w:right="0"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中标服务费的交纳方式：以转帐或支票的形式支付；开户行名称：杭州余杭农村商业银行星桥支行；帐号：201000296228332；开户名：杭州尚远招标代理有限公司</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before="0" w:beforeAutospacing="0" w:after="0" w:afterAutospacing="0"/>
              <w:ind w:left="0" w:right="0"/>
              <w:jc w:val="center"/>
              <w:rPr>
                <w:rFonts w:ascii="仿宋_GB2312" w:hAnsi="仿宋" w:cs="仿宋_GB2312"/>
                <w:sz w:val="24"/>
              </w:rPr>
            </w:pPr>
            <w:r>
              <w:rPr>
                <w:rFonts w:hint="eastAsia"/>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各中标单位在中标公示结束后再递交与电子加密投标文件内容一致的书面响应文件（正本一份，副本四份）。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before="0" w:beforeAutospacing="0" w:after="0" w:afterAutospacing="0"/>
              <w:ind w:left="0" w:right="0"/>
              <w:jc w:val="center"/>
              <w:rPr>
                <w:rFonts w:ascii="仿宋_GB2312" w:hAnsi="仿宋" w:eastAsia="仿宋_GB2312" w:cs="仿宋_GB2312"/>
                <w:sz w:val="24"/>
              </w:rPr>
            </w:pPr>
            <w:r>
              <w:rPr>
                <w:rFonts w:hint="eastAsia" w:eastAsia="仿宋_GB2312"/>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采购文件中带“●”条款为招标文件要求的实质性内容，投标人须在投标文件中提供《符合性审查资料》（格式见第六部分  应提交的有关格式范例），如有任意一条未响应或不满足，将被视为无效。</w:t>
            </w:r>
          </w:p>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jc w:val="center"/>
              <w:rPr>
                <w:rFonts w:ascii="仿宋_GB2312" w:hAnsi="仿宋" w:eastAsia="仿宋_GB2312" w:cs="仿宋_GB2312"/>
                <w:sz w:val="24"/>
                <w:szCs w:val="20"/>
              </w:rPr>
            </w:pPr>
          </w:p>
          <w:p>
            <w:pPr>
              <w:snapToGrid w:val="0"/>
              <w:spacing w:before="0" w:beforeAutospacing="0" w:after="0" w:afterAutospacing="0" w:line="360" w:lineRule="auto"/>
              <w:ind w:left="0" w:right="0"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16</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ascii="仿宋_GB2312" w:hAnsi="仿宋" w:eastAsia="仿宋_GB2312" w:cs="仿宋_GB2312"/>
                <w:sz w:val="24"/>
                <w:szCs w:val="20"/>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ascii="仿宋_GB2312" w:hAnsi="仿宋" w:eastAsia="仿宋_GB2312" w:cs="仿宋_GB2312"/>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☐联合体投标的，联合体各方均需按招标文件第四部分评标标准要求提供资信证明文件，否则视为不符合要求。</w:t>
            </w:r>
          </w:p>
          <w:p>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sym w:font="Wingdings" w:char="F0FE"/>
            </w:r>
            <w:r>
              <w:rPr>
                <w:rFonts w:hint="eastAsia" w:ascii="仿宋_GB2312" w:hAnsi="仿宋" w:eastAsia="仿宋_GB2312"/>
                <w:snapToGrid w:val="0"/>
                <w:kern w:val="28"/>
                <w:sz w:val="24"/>
              </w:rPr>
              <w:t>联合体投标的，联合体中有一方或者联合体成员根据分工按招标文件第四部分评标标准要求提供资信证明文件的，视为符合要求。</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3.4.2首台套产品</w:t>
      </w:r>
      <w:r>
        <w:rPr>
          <w:rFonts w:hint="eastAsia" w:ascii="仿宋_GB2312" w:hAnsi="仿宋" w:eastAsia="仿宋_GB2312"/>
          <w:b/>
          <w:bCs/>
          <w:sz w:val="24"/>
        </w:rPr>
        <w:t>被纳入《首台套产品推广应用指导目录》之日起</w:t>
      </w:r>
      <w:r>
        <w:rPr>
          <w:rFonts w:ascii="仿宋_GB2312" w:hAnsi="仿宋" w:eastAsia="仿宋_GB2312"/>
          <w:b/>
          <w:bCs/>
          <w:sz w:val="24"/>
        </w:rPr>
        <w:t>2年内，以及产品核心技术高于国内领先水平，并具有明晰自主知识产权的“制造精品”产品，</w:t>
      </w:r>
      <w:r>
        <w:rPr>
          <w:rFonts w:hint="eastAsia" w:ascii="仿宋_GB2312" w:hAnsi="仿宋" w:eastAsia="仿宋_GB2312"/>
          <w:b/>
          <w:bCs/>
          <w:sz w:val="24"/>
        </w:rPr>
        <w:t>自认定之日起</w:t>
      </w:r>
      <w:r>
        <w:rPr>
          <w:rFonts w:ascii="仿宋_GB2312" w:hAnsi="仿宋" w:eastAsia="仿宋_GB2312"/>
          <w:b/>
          <w:bCs/>
          <w:sz w:val="24"/>
        </w:rPr>
        <w:t>2年内视同已具备相应销售业绩，参加政府采购活动</w:t>
      </w:r>
      <w:r>
        <w:rPr>
          <w:rFonts w:hint="eastAsia" w:ascii="仿宋_GB2312" w:hAnsi="仿宋" w:eastAsia="仿宋_GB2312"/>
          <w:b/>
          <w:bCs/>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hint="eastAsia" w:ascii="仿宋_GB2312" w:hAnsi="仿宋" w:eastAsia="仿宋_GB2312"/>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ascii="仿宋_GB2312" w:hAnsi="仿宋" w:eastAsia="仿宋_GB2312" w:cs="仿宋_GB2312"/>
          <w:sz w:val="24"/>
          <w:lang w:val="zh-CN"/>
        </w:rPr>
        <w:t>政府采购供应商廉洁自律承诺书；</w:t>
      </w:r>
    </w:p>
    <w:p>
      <w:pPr>
        <w:snapToGrid w:val="0"/>
        <w:spacing w:line="360" w:lineRule="auto"/>
        <w:rPr>
          <w:rFonts w:ascii="仿宋_GB2312" w:hAnsi="仿宋" w:eastAsia="仿宋_GB2312" w:cs="仿宋_GB2312"/>
          <w:sz w:val="24"/>
          <w:szCs w:val="20"/>
        </w:rPr>
      </w:pPr>
      <w:r>
        <w:rPr>
          <w:rFonts w:hint="eastAsia" w:ascii="仿宋_GB2312" w:hAnsi="仿宋" w:eastAsia="仿宋_GB2312" w:cs="仿宋_GB2312"/>
          <w:sz w:val="24"/>
        </w:rPr>
        <w:t xml:space="preserve">       </w:t>
      </w:r>
      <w:r>
        <w:rPr>
          <w:rFonts w:ascii="仿宋_GB2312" w:hAnsi="仿宋" w:eastAsia="仿宋_GB2312" w:cs="仿宋_GB2312"/>
          <w:sz w:val="24"/>
          <w:lang w:val="zh-CN"/>
        </w:rPr>
        <w:t xml:space="preserve"> 11.2.</w:t>
      </w:r>
      <w:r>
        <w:rPr>
          <w:rFonts w:hint="eastAsia" w:ascii="仿宋_GB2312" w:hAnsi="仿宋" w:eastAsia="仿宋_GB2312" w:cs="仿宋_GB2312"/>
          <w:sz w:val="24"/>
        </w:rPr>
        <w:t>10</w:t>
      </w:r>
      <w:r>
        <w:rPr>
          <w:rFonts w:ascii="仿宋_GB2312" w:hAnsi="仿宋" w:eastAsia="仿宋_GB2312" w:cs="仿宋_GB2312"/>
          <w:sz w:val="24"/>
          <w:szCs w:val="20"/>
          <w:lang w:val="zh-CN"/>
        </w:rPr>
        <w:t>投标</w:t>
      </w:r>
      <w:r>
        <w:rPr>
          <w:rFonts w:ascii="仿宋_GB2312" w:hAnsi="仿宋" w:eastAsia="仿宋_GB2312" w:cs="仿宋_GB2312"/>
          <w:sz w:val="24"/>
          <w:szCs w:val="20"/>
        </w:rPr>
        <w:t>人</w:t>
      </w:r>
      <w:r>
        <w:rPr>
          <w:rFonts w:ascii="仿宋_GB2312" w:hAnsi="仿宋" w:eastAsia="仿宋_GB2312" w:cs="仿宋_GB2312"/>
          <w:sz w:val="24"/>
          <w:szCs w:val="20"/>
          <w:lang w:val="zh-CN"/>
        </w:rPr>
        <w:t>认为需要的其他文件资料</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hAnsi="宋体"/>
          <w:b/>
          <w:color w:val="000000"/>
          <w:sz w:val="24"/>
          <w:szCs w:val="24"/>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rPr>
        <w:t>至</w:t>
      </w:r>
      <w:r>
        <w:rPr>
          <w:rFonts w:hint="eastAsia" w:ascii="仿宋_GB2312" w:hAnsi="仿宋" w:eastAsia="仿宋_GB2312" w:cs="仿宋_GB2312"/>
          <w:sz w:val="24"/>
          <w:szCs w:val="24"/>
          <w:lang w:val="en-US" w:eastAsia="zh-CN"/>
        </w:rPr>
        <w:t>杭州尚远招标代理有限公司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4714665"/>
      <w:bookmarkEnd w:id="14"/>
      <w:bookmarkStart w:id="15" w:name="_Hlt75236101"/>
      <w:bookmarkEnd w:id="15"/>
      <w:bookmarkStart w:id="16" w:name="_Hlt68072998"/>
      <w:bookmarkEnd w:id="16"/>
      <w:bookmarkStart w:id="17" w:name="_Hlt68403820"/>
      <w:bookmarkEnd w:id="17"/>
      <w:bookmarkStart w:id="18" w:name="_Hlt68057669"/>
      <w:bookmarkEnd w:id="18"/>
      <w:bookmarkStart w:id="19" w:name="_Hlt75236011"/>
      <w:bookmarkEnd w:id="19"/>
      <w:bookmarkStart w:id="20" w:name="_Hlt74729768"/>
      <w:bookmarkEnd w:id="20"/>
      <w:bookmarkStart w:id="21" w:name="_Hlt75236290"/>
      <w:bookmarkEnd w:id="21"/>
      <w:bookmarkStart w:id="22" w:name="_Hlt68073093"/>
      <w:bookmarkEnd w:id="22"/>
      <w:bookmarkStart w:id="23" w:name="_Hlt68072990"/>
      <w:bookmarkEnd w:id="23"/>
      <w:bookmarkStart w:id="24" w:name="_Hlt74730295"/>
      <w:bookmarkEnd w:id="24"/>
      <w:bookmarkStart w:id="25" w:name="_Hlt74707468"/>
      <w:bookmarkEnd w:id="25"/>
    </w:p>
    <w:p>
      <w:pPr>
        <w:snapToGrid w:val="0"/>
        <w:spacing w:line="360" w:lineRule="auto"/>
        <w:ind w:left="120" w:leftChars="57" w:firstLine="482" w:firstLineChars="150"/>
        <w:jc w:val="center"/>
        <w:rPr>
          <w:rFonts w:ascii="仿宋_GB2312" w:hAnsi="仿宋" w:eastAsia="仿宋_GB2312" w:cs="仿宋_GB2312"/>
          <w:b/>
          <w:sz w:val="32"/>
          <w:szCs w:val="20"/>
        </w:rPr>
      </w:pPr>
      <w:r>
        <w:rPr>
          <w:rFonts w:hint="eastAsia" w:ascii="仿宋_GB2312" w:hAnsi="仿宋" w:eastAsia="仿宋_GB2312" w:cs="仿宋_GB2312"/>
          <w:b/>
          <w:kern w:val="0"/>
          <w:sz w:val="32"/>
          <w:szCs w:val="20"/>
        </w:rPr>
        <w:t>十、货款支付</w:t>
      </w:r>
    </w:p>
    <w:p>
      <w:pPr>
        <w:pStyle w:val="5"/>
        <w:tabs>
          <w:tab w:val="left" w:pos="0"/>
          <w:tab w:val="clear" w:pos="432"/>
        </w:tabs>
        <w:ind w:left="12" w:hanging="12"/>
        <w:rPr>
          <w:rFonts w:ascii="仿宋" w:eastAsia="仿宋"/>
          <w:sz w:val="24"/>
        </w:rPr>
      </w:pPr>
      <w:r>
        <w:rPr>
          <w:rFonts w:hint="eastAsia" w:ascii="仿宋" w:eastAsia="仿宋"/>
          <w:sz w:val="24"/>
          <w:lang w:val="en-US"/>
        </w:rPr>
        <w:t xml:space="preserve">    30</w:t>
      </w:r>
      <w:r>
        <w:rPr>
          <w:rFonts w:ascii="仿宋" w:eastAsia="仿宋"/>
          <w:sz w:val="24"/>
        </w:rPr>
        <w:t>.</w:t>
      </w:r>
      <w:r>
        <w:rPr>
          <w:rFonts w:hint="eastAsia" w:ascii="仿宋" w:eastAsia="仿宋"/>
          <w:sz w:val="24"/>
          <w:lang w:val="en-US"/>
        </w:rPr>
        <w:t>1</w:t>
      </w:r>
      <w:r>
        <w:rPr>
          <w:rFonts w:hint="eastAsia" w:ascii="仿宋" w:eastAsia="仿宋"/>
          <w:sz w:val="24"/>
        </w:rPr>
        <w:t>应当</w:t>
      </w:r>
      <w:r>
        <w:rPr>
          <w:rFonts w:ascii="仿宋" w:eastAsia="仿宋"/>
          <w:sz w:val="24"/>
        </w:rPr>
        <w:t>在政府采购合同中约定预付款，预付款比例</w:t>
      </w:r>
      <w:r>
        <w:rPr>
          <w:rFonts w:hint="eastAsia" w:ascii="仿宋" w:eastAsia="仿宋"/>
          <w:sz w:val="24"/>
        </w:rPr>
        <w:t>为</w:t>
      </w:r>
      <w:r>
        <w:rPr>
          <w:rFonts w:ascii="仿宋" w:eastAsia="仿宋"/>
          <w:sz w:val="24"/>
        </w:rPr>
        <w:t>合同金额的</w:t>
      </w:r>
      <w:r>
        <w:rPr>
          <w:rFonts w:hint="eastAsia" w:ascii="仿宋" w:eastAsia="仿宋"/>
          <w:sz w:val="24"/>
          <w:lang w:val="en-US"/>
        </w:rPr>
        <w:t>40</w:t>
      </w:r>
      <w:r>
        <w:rPr>
          <w:rFonts w:ascii="仿宋" w:eastAsia="仿宋"/>
          <w:sz w:val="24"/>
        </w:rPr>
        <w:t>％；项目分年安排预算的，每年预付款比例</w:t>
      </w:r>
      <w:r>
        <w:rPr>
          <w:rFonts w:hint="eastAsia" w:ascii="仿宋" w:eastAsia="仿宋"/>
          <w:sz w:val="24"/>
        </w:rPr>
        <w:t>为</w:t>
      </w:r>
      <w:r>
        <w:rPr>
          <w:rFonts w:ascii="仿宋" w:eastAsia="仿宋"/>
          <w:sz w:val="24"/>
        </w:rPr>
        <w:t>项目年度计划支付资金额的</w:t>
      </w:r>
      <w:r>
        <w:rPr>
          <w:rFonts w:hint="eastAsia" w:ascii="仿宋" w:eastAsia="仿宋"/>
          <w:sz w:val="24"/>
          <w:lang w:val="en-US"/>
        </w:rPr>
        <w:t>40</w:t>
      </w:r>
      <w:r>
        <w:rPr>
          <w:rFonts w:ascii="仿宋" w:eastAsia="仿宋"/>
          <w:sz w:val="24"/>
        </w:rPr>
        <w:t>％。采购项目实施以人工投入为主的，可适当降低预付款比例，但不低于</w:t>
      </w:r>
      <w:r>
        <w:rPr>
          <w:rFonts w:hint="eastAsia" w:ascii="仿宋" w:eastAsia="仿宋"/>
          <w:sz w:val="24"/>
          <w:lang w:val="en-US"/>
        </w:rPr>
        <w:t>20</w:t>
      </w:r>
      <w:r>
        <w:rPr>
          <w:rFonts w:ascii="仿宋" w:eastAsia="仿宋"/>
          <w:sz w:val="24"/>
        </w:rPr>
        <w:t>%。可以根据项目特点、</w:t>
      </w:r>
      <w:r>
        <w:rPr>
          <w:rFonts w:hint="eastAsia" w:ascii="仿宋" w:eastAsia="仿宋"/>
          <w:sz w:val="24"/>
        </w:rPr>
        <w:t>供应商</w:t>
      </w:r>
      <w:r>
        <w:rPr>
          <w:rFonts w:ascii="仿宋" w:eastAsia="仿宋"/>
          <w:sz w:val="24"/>
        </w:rPr>
        <w:t>信用等实际情况提高预付款比例，最高预付比例可以达到</w:t>
      </w:r>
      <w:r>
        <w:rPr>
          <w:rFonts w:hint="eastAsia" w:ascii="仿宋" w:eastAsia="仿宋"/>
          <w:sz w:val="24"/>
          <w:lang w:val="en-US"/>
        </w:rPr>
        <w:t>70</w:t>
      </w:r>
      <w:r>
        <w:rPr>
          <w:rFonts w:asci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rPr>
        <w:t>30.3供应商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
      <w:pPr>
        <w:pStyle w:val="61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30.4采购人应严格履行合同，及时组织验收，验收合格后及时将合同款支付完毕。对于满足合同约定支付条件的，采购人自收到发票后7</w:t>
      </w:r>
      <w:r>
        <w:rPr>
          <w:rFonts w:ascii="仿宋" w:hAnsi="仿宋" w:eastAsia="仿宋" w:cs="Times New Roman"/>
        </w:rPr>
        <w:t>个工作日内将资金支付到合同约定的乙方账户。</w:t>
      </w:r>
    </w:p>
    <w:p>
      <w:pPr>
        <w:pStyle w:val="5"/>
        <w:rPr>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60"/>
        <w:spacing w:line="360" w:lineRule="auto"/>
        <w:jc w:val="left"/>
        <w:rPr>
          <w:rFonts w:ascii="宋体" w:hAnsi="宋体" w:cs="宋体"/>
          <w:bCs/>
          <w:szCs w:val="24"/>
        </w:rPr>
      </w:pPr>
      <w:r>
        <w:rPr>
          <w:rFonts w:hint="eastAsia" w:ascii="宋体" w:hAnsi="宋体" w:cs="宋体"/>
          <w:bCs/>
          <w:szCs w:val="24"/>
        </w:rPr>
        <w:t xml:space="preserve">  一、项目概述：</w:t>
      </w:r>
    </w:p>
    <w:p>
      <w:pPr>
        <w:pStyle w:val="34"/>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本项目为“交钥匙”项目，采购内容包括采购清单中货物供货、安装调试、培训、质保期内的售后服务等。投标报价包括设备费、运费、税费、安装调试费、售后服务费、代理费、培训费、政策性文件规定及合同包含的所有风险、责任等各项全部费用。</w:t>
      </w:r>
    </w:p>
    <w:p>
      <w:pPr>
        <w:adjustRightInd w:val="0"/>
        <w:snapToGrid w:val="0"/>
        <w:spacing w:line="520" w:lineRule="exact"/>
        <w:ind w:left="105"/>
        <w:outlineLvl w:val="1"/>
        <w:rPr>
          <w:rFonts w:hint="eastAsia"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、服务面积及功能区块</w:t>
      </w:r>
    </w:p>
    <w:p>
      <w:pPr>
        <w:spacing w:line="4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食堂基本情况：一馆三中心综合办公楼位于沿山路42-45号，内有科技馆、总工会、工人文化宫、青少年宫、老干部局等5幢办公大楼，员工食堂餐厅1个，总面积约630平方米。主要为厨房操作间、仓库、售餐区、就餐大厅和2个包厢，操作间设施设备其全。</w:t>
      </w:r>
    </w:p>
    <w:p>
      <w:pPr>
        <w:spacing w:line="520" w:lineRule="exact"/>
        <w:rPr>
          <w:rFonts w:hint="eastAsia" w:ascii="仿宋" w:hAnsi="仿宋" w:eastAsia="仿宋" w:cs="仿宋"/>
          <w:b/>
          <w:szCs w:val="24"/>
        </w:rPr>
      </w:pPr>
      <w:r>
        <w:rPr>
          <w:rFonts w:hint="eastAsia" w:ascii="仿宋" w:hAnsi="仿宋" w:eastAsia="仿宋" w:cs="仿宋"/>
          <w:b/>
          <w:szCs w:val="24"/>
        </w:rPr>
        <w:t xml:space="preserve">  </w:t>
      </w:r>
      <w:r>
        <w:rPr>
          <w:rFonts w:hint="eastAsia" w:ascii="仿宋" w:hAnsi="仿宋" w:eastAsia="仿宋" w:cs="仿宋"/>
          <w:b/>
          <w:szCs w:val="24"/>
          <w:lang w:val="en-US" w:eastAsia="zh-CN"/>
        </w:rPr>
        <w:t>三</w:t>
      </w:r>
      <w:r>
        <w:rPr>
          <w:rFonts w:hint="eastAsia" w:ascii="仿宋" w:hAnsi="仿宋" w:eastAsia="仿宋" w:cs="仿宋"/>
          <w:b/>
          <w:szCs w:val="24"/>
        </w:rPr>
        <w:t>、现列入本次采购的食堂运行服务基本要求为：</w:t>
      </w:r>
    </w:p>
    <w:p>
      <w:pPr>
        <w:spacing w:line="4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1、食堂运行服务项目：面向科技馆、工人文化宫、总工会、青少年宫、老干部局等100人左右，提供一日三餐（含周末），每周固定时间的打包外卖服务，承担各个单位组织培训、会议、接待时提供包厢用餐。</w:t>
      </w:r>
    </w:p>
    <w:p>
      <w:pPr>
        <w:adjustRightInd w:val="0"/>
        <w:snapToGrid w:val="0"/>
        <w:spacing w:line="520" w:lineRule="exact"/>
        <w:ind w:firstLine="482"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b/>
          <w:bCs/>
          <w:color w:val="000000"/>
          <w:kern w:val="0"/>
          <w:sz w:val="24"/>
        </w:rPr>
        <w:t>●</w:t>
      </w:r>
      <w:r>
        <w:rPr>
          <w:rFonts w:hint="eastAsia" w:ascii="仿宋" w:hAnsi="仿宋" w:eastAsia="仿宋" w:cs="仿宋"/>
          <w:b/>
          <w:sz w:val="24"/>
        </w:rPr>
        <w:t>2、</w:t>
      </w:r>
      <w:r>
        <w:rPr>
          <w:rFonts w:hint="eastAsia" w:ascii="仿宋" w:hAnsi="仿宋" w:eastAsia="仿宋" w:cs="仿宋"/>
          <w:b/>
          <w:bCs/>
          <w:sz w:val="24"/>
        </w:rPr>
        <w:t>食堂运行服务工作人员要求</w:t>
      </w:r>
      <w:r>
        <w:rPr>
          <w:rFonts w:hint="eastAsia" w:ascii="仿宋" w:hAnsi="仿宋" w:eastAsia="仿宋" w:cs="仿宋"/>
          <w:b/>
          <w:sz w:val="24"/>
        </w:rPr>
        <w:t>：经理（厨师长）1名，厨师3名，切配2名，明档（面馆）1名，点心师1名，洗涤工3名，财务兼库管1名，服务员2名；共需14名工作人员。要求有丰富操作经验，持健康证上岗，厨师必须有厨师等级证书。工作人员年龄要求：必须符合劳动法范围。</w:t>
      </w:r>
      <w:r>
        <w:rPr>
          <w:rFonts w:hint="eastAsia" w:ascii="仿宋" w:hAnsi="仿宋" w:eastAsia="仿宋" w:cs="仿宋"/>
          <w:sz w:val="24"/>
        </w:rPr>
        <w:t>实际用工人员投入</w:t>
      </w:r>
      <w:r>
        <w:rPr>
          <w:rFonts w:hint="eastAsia" w:ascii="仿宋" w:hAnsi="仿宋" w:eastAsia="仿宋" w:cs="仿宋"/>
          <w:snapToGrid w:val="0"/>
          <w:color w:val="auto"/>
          <w:kern w:val="2"/>
          <w:sz w:val="24"/>
          <w:szCs w:val="24"/>
          <w:lang w:val="en-US" w:eastAsia="zh-CN" w:bidi="ar-SA"/>
        </w:rPr>
        <w:t>不得少于14人，投标单位可根据实地踏看工作量增加工作人员，临时有大任务的需临时增加用工人员（含报价中）。用工人员年龄：男性在55周岁以下，女性在45周岁以下。用工人员工资不得低于杭州市政府公布的最低工资水平，按规定缴纳社保，并确保工作团队的稳定性。</w:t>
      </w:r>
    </w:p>
    <w:p>
      <w:pPr>
        <w:spacing w:line="520" w:lineRule="exac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bCs/>
          <w:sz w:val="24"/>
          <w:lang w:val="en-US" w:eastAsia="zh-CN"/>
        </w:rPr>
        <w:t>四</w:t>
      </w:r>
      <w:r>
        <w:rPr>
          <w:rFonts w:hint="eastAsia" w:ascii="仿宋" w:hAnsi="仿宋" w:eastAsia="仿宋" w:cs="仿宋"/>
          <w:sz w:val="24"/>
        </w:rPr>
        <w:t>、</w:t>
      </w:r>
      <w:r>
        <w:rPr>
          <w:rFonts w:hint="eastAsia" w:ascii="仿宋" w:hAnsi="仿宋" w:eastAsia="仿宋" w:cs="仿宋"/>
          <w:b/>
          <w:sz w:val="24"/>
        </w:rPr>
        <w:t>服务期限</w:t>
      </w:r>
    </w:p>
    <w:p>
      <w:pPr>
        <w:spacing w:line="360" w:lineRule="auto"/>
        <w:ind w:firstLine="480" w:firstLineChars="200"/>
        <w:rPr>
          <w:rFonts w:hint="eastAsia" w:ascii="仿宋" w:hAnsi="仿宋" w:eastAsia="仿宋" w:cs="仿宋"/>
          <w:b/>
          <w:sz w:val="24"/>
          <w:szCs w:val="20"/>
        </w:rPr>
      </w:pPr>
      <w:r>
        <w:rPr>
          <w:rFonts w:hint="eastAsia" w:ascii="仿宋" w:hAnsi="仿宋" w:eastAsia="仿宋" w:cs="仿宋"/>
          <w:sz w:val="24"/>
        </w:rPr>
        <w:t>自合同签订生效之日起</w:t>
      </w:r>
      <w:r>
        <w:rPr>
          <w:rFonts w:hint="eastAsia" w:ascii="仿宋" w:hAnsi="仿宋" w:eastAsia="仿宋" w:cs="仿宋"/>
          <w:b/>
          <w:sz w:val="24"/>
        </w:rPr>
        <w:t>12个月</w:t>
      </w:r>
      <w:r>
        <w:rPr>
          <w:rFonts w:hint="eastAsia" w:ascii="仿宋" w:hAnsi="仿宋" w:eastAsia="仿宋" w:cs="仿宋"/>
          <w:sz w:val="24"/>
        </w:rPr>
        <w:t>。</w:t>
      </w:r>
      <w:r>
        <w:rPr>
          <w:rFonts w:hint="eastAsia" w:ascii="仿宋" w:hAnsi="仿宋" w:eastAsia="仿宋" w:cs="仿宋"/>
          <w:b/>
          <w:sz w:val="24"/>
          <w:szCs w:val="20"/>
        </w:rPr>
        <w:t>本项目在合同期限内，供应商能严格履行合同。</w:t>
      </w:r>
    </w:p>
    <w:p>
      <w:pPr>
        <w:spacing w:line="520" w:lineRule="exact"/>
        <w:ind w:firstLine="482" w:firstLineChars="200"/>
        <w:rPr>
          <w:rFonts w:hint="eastAsia" w:ascii="仿宋" w:hAnsi="仿宋" w:eastAsia="仿宋" w:cs="仿宋"/>
          <w:b/>
          <w:sz w:val="24"/>
          <w:lang w:val="en-US" w:eastAsia="zh-CN"/>
        </w:rPr>
      </w:pPr>
      <w:r>
        <w:rPr>
          <w:rFonts w:hint="eastAsia" w:ascii="仿宋" w:hAnsi="仿宋" w:eastAsia="仿宋" w:cs="仿宋"/>
          <w:b/>
          <w:sz w:val="24"/>
          <w:lang w:val="en-US" w:eastAsia="zh-CN"/>
        </w:rPr>
        <w:t>五、管理服务费用及财务管理要求</w:t>
      </w:r>
    </w:p>
    <w:p>
      <w:pPr>
        <w:adjustRightInd w:val="0"/>
        <w:snapToGrid w:val="0"/>
        <w:spacing w:line="52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1、食堂外包服务费用以签订的合同价为准（合同期内如遇工作人员的最低工资调整等其他因素，产生的费用由中标单位承担）。</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napToGrid w:val="0"/>
          <w:color w:val="auto"/>
          <w:kern w:val="2"/>
          <w:sz w:val="24"/>
          <w:szCs w:val="24"/>
          <w:lang w:val="en-US" w:eastAsia="zh-CN" w:bidi="ar-SA"/>
        </w:rPr>
        <w:t>2、中标单位必须配置相关办公设备独立放置于采购单位提供的办公区域内，且不能与区域外单位、部门或团体共用，其办公设备所需耗材应由中标单</w:t>
      </w:r>
      <w:r>
        <w:rPr>
          <w:rFonts w:hint="eastAsia" w:ascii="仿宋" w:hAnsi="仿宋" w:eastAsia="仿宋" w:cs="仿宋"/>
          <w:sz w:val="24"/>
        </w:rPr>
        <w:t>位自行承担。</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rPr>
        <w:t>、费用结算方式</w:t>
      </w:r>
    </w:p>
    <w:p>
      <w:pPr>
        <w:spacing w:line="360" w:lineRule="auto"/>
        <w:ind w:firstLine="480" w:firstLineChars="200"/>
        <w:rPr>
          <w:rFonts w:hint="eastAsia" w:ascii="仿宋" w:hAnsi="仿宋" w:eastAsia="仿宋" w:cs="仿宋"/>
          <w:b/>
          <w:bCs/>
          <w:color w:val="000000"/>
          <w:sz w:val="24"/>
        </w:rPr>
      </w:pPr>
      <w:r>
        <w:rPr>
          <w:rFonts w:hint="eastAsia" w:ascii="仿宋" w:hAnsi="仿宋" w:eastAsia="仿宋" w:cs="仿宋"/>
          <w:color w:val="000000"/>
          <w:sz w:val="24"/>
        </w:rPr>
        <w:t xml:space="preserve"> </w:t>
      </w:r>
      <w:r>
        <w:rPr>
          <w:rFonts w:hint="eastAsia" w:ascii="仿宋" w:hAnsi="仿宋" w:eastAsia="仿宋" w:cs="仿宋"/>
          <w:b/>
          <w:bCs/>
          <w:color w:val="000000"/>
          <w:sz w:val="24"/>
        </w:rPr>
        <w:t>（1）采购人按</w:t>
      </w:r>
      <w:r>
        <w:rPr>
          <w:rFonts w:hint="eastAsia" w:ascii="仿宋" w:hAnsi="仿宋" w:eastAsia="仿宋" w:cs="仿宋"/>
          <w:b/>
          <w:bCs/>
          <w:color w:val="000000"/>
          <w:sz w:val="24"/>
          <w:lang w:eastAsia="zh-CN"/>
        </w:rPr>
        <w:t>约定</w:t>
      </w:r>
      <w:r>
        <w:rPr>
          <w:rFonts w:hint="eastAsia" w:ascii="仿宋" w:hAnsi="仿宋" w:eastAsia="仿宋" w:cs="仿宋"/>
          <w:b/>
          <w:bCs/>
          <w:color w:val="000000"/>
          <w:sz w:val="24"/>
        </w:rPr>
        <w:t>付款，</w:t>
      </w:r>
      <w:r>
        <w:rPr>
          <w:rFonts w:hint="eastAsia" w:ascii="仿宋" w:hAnsi="仿宋" w:eastAsia="仿宋" w:cs="仿宋"/>
          <w:b/>
          <w:bCs/>
          <w:color w:val="000000"/>
          <w:sz w:val="24"/>
          <w:lang w:eastAsia="zh-CN"/>
        </w:rPr>
        <w:t>每季度</w:t>
      </w:r>
      <w:r>
        <w:rPr>
          <w:rFonts w:hint="eastAsia" w:ascii="仿宋" w:hAnsi="仿宋" w:eastAsia="仿宋" w:cs="仿宋"/>
          <w:b/>
          <w:bCs/>
          <w:color w:val="000000"/>
          <w:sz w:val="24"/>
          <w:lang w:val="en-US" w:eastAsia="zh-CN"/>
        </w:rPr>
        <w:t>末</w:t>
      </w:r>
      <w:r>
        <w:rPr>
          <w:rFonts w:hint="eastAsia" w:ascii="仿宋" w:hAnsi="仿宋" w:eastAsia="仿宋" w:cs="仿宋"/>
          <w:b/>
          <w:bCs/>
          <w:color w:val="000000"/>
          <w:sz w:val="24"/>
        </w:rPr>
        <w:t>支付年合同价的</w:t>
      </w:r>
      <w:r>
        <w:rPr>
          <w:rFonts w:hint="eastAsia" w:ascii="仿宋" w:hAnsi="仿宋" w:eastAsia="仿宋" w:cs="仿宋"/>
          <w:b/>
          <w:bCs/>
          <w:color w:val="000000"/>
          <w:sz w:val="24"/>
          <w:lang w:val="en-US" w:eastAsia="zh-CN"/>
        </w:rPr>
        <w:t>25</w:t>
      </w: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中标方</w:t>
      </w:r>
      <w:r>
        <w:rPr>
          <w:rFonts w:hint="eastAsia" w:ascii="仿宋" w:hAnsi="仿宋" w:eastAsia="仿宋" w:cs="仿宋"/>
          <w:b/>
          <w:bCs/>
          <w:color w:val="000000"/>
          <w:sz w:val="24"/>
        </w:rPr>
        <w:t>明确表示无需预付款。</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（2）中标</w:t>
      </w:r>
      <w:r>
        <w:rPr>
          <w:rFonts w:hint="eastAsia" w:ascii="仿宋" w:hAnsi="仿宋" w:eastAsia="仿宋" w:cs="仿宋"/>
          <w:b/>
          <w:bCs/>
          <w:color w:val="000000"/>
          <w:sz w:val="24"/>
          <w:lang w:eastAsia="zh-CN"/>
        </w:rPr>
        <w:t>方</w:t>
      </w:r>
      <w:r>
        <w:rPr>
          <w:rFonts w:hint="eastAsia" w:ascii="仿宋" w:hAnsi="仿宋" w:eastAsia="仿宋" w:cs="仿宋"/>
          <w:b/>
          <w:color w:val="000000"/>
          <w:kern w:val="1"/>
          <w:sz w:val="24"/>
        </w:rPr>
        <w:t>因工作失误及按招标文件中的服务要求、考核要求造成的扣款则在季付款的同时相应扣除。</w:t>
      </w:r>
    </w:p>
    <w:p>
      <w:pPr>
        <w:spacing w:line="520" w:lineRule="exact"/>
        <w:ind w:firstLine="482" w:firstLineChars="200"/>
        <w:rPr>
          <w:rFonts w:hint="eastAsia" w:ascii="仿宋" w:hAnsi="仿宋" w:eastAsia="仿宋" w:cs="仿宋"/>
          <w:b/>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r>
        <w:rPr>
          <w:rFonts w:hint="eastAsia" w:ascii="仿宋" w:hAnsi="仿宋" w:eastAsia="仿宋" w:cs="仿宋"/>
          <w:b/>
          <w:sz w:val="24"/>
        </w:rPr>
        <w:t>其他说明及要求：</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 xml:space="preserve">    1、采购人水、电、气等配套设施齐全，提供食堂所有的设备设施及更衣室。</w:t>
      </w:r>
    </w:p>
    <w:p>
      <w:pPr>
        <w:adjustRightInd w:val="0"/>
        <w:snapToGrid w:val="0"/>
        <w:spacing w:line="520" w:lineRule="exact"/>
        <w:rPr>
          <w:rFonts w:hint="eastAsia"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2</w:t>
      </w:r>
      <w:r>
        <w:rPr>
          <w:rFonts w:hint="eastAsia" w:ascii="仿宋" w:hAnsi="仿宋" w:eastAsia="仿宋" w:cs="仿宋"/>
          <w:b/>
          <w:sz w:val="24"/>
        </w:rPr>
        <w:t>、</w:t>
      </w:r>
      <w:r>
        <w:rPr>
          <w:rFonts w:hint="eastAsia" w:ascii="仿宋" w:hAnsi="仿宋" w:eastAsia="仿宋" w:cs="仿宋"/>
          <w:sz w:val="24"/>
        </w:rPr>
        <w:t>各种食材与易耗品由中标方提需求，采购方采购，质量由中标方确认。采购方有相应的智慧平台，中标方必须配合使用。</w:t>
      </w:r>
    </w:p>
    <w:p>
      <w:pPr>
        <w:adjustRightInd w:val="0"/>
        <w:snapToGrid w:val="0"/>
        <w:spacing w:line="520" w:lineRule="exact"/>
        <w:rPr>
          <w:rFonts w:hint="eastAsia" w:ascii="仿宋" w:hAnsi="仿宋" w:eastAsia="仿宋" w:cs="仿宋"/>
          <w:sz w:val="24"/>
        </w:rPr>
      </w:pPr>
      <w:r>
        <w:rPr>
          <w:rFonts w:hint="eastAsia" w:ascii="仿宋" w:hAnsi="仿宋" w:eastAsia="仿宋" w:cs="仿宋"/>
          <w:sz w:val="24"/>
        </w:rPr>
        <w:t xml:space="preserve">    3、食堂的卫生防疫、就餐环境必须达到国家规定的食堂卫生标准。</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4、食堂内水、电、气费和日常设备、设施维修费用等使用费用由采购方负责，但食堂运行服务方应积极维护好厨房设施、餐具用具，恶意破坏或管理不善导致破损较多的，折价赔偿。</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5、食堂运行服务方根据人体营养需求，合理安排一周菜单，并报采购方确认同意。</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6、工作人员要遵守法规及工作纪律，要有良好的服务态度并自觉接受监督，不与就餐人员发生争吵或冲突，如有违规者，采购方追究食堂运行服务方的责任。</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7、食品质量要求：</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7.1冷菜酱制食品不含过多汤汁。</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7.2 冷菜切配的食品刀口细腻及均匀并搭配合理。</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7.3 冷菜凉拌食品汤汁适度并即时拌制。</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7.4  熟制后食品完整不碎及不松散。</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7.5  热菜供餐时保持温热。</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7.6 热菜食品表面无风干及水浸现象。</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7.7  素食食品即时烹炒并控干过多汤汁和水分。</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7.8  所供食品保证质量。</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7.9  菜肴花色更新及时，一周内不出现2次以上完全相同品种菜肴；根据季节调整，保证每月推出3款时令菜；每月末报下月菜单安排计划给采购方接口人员。</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7.10  控制油及其他调味品用量；菜肴品种齐全，营养搭配合理。</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7.11  根据餐厅就餐情况，及时更新添加菜肴，合理控制上菜节奏，杜绝浪费。</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8、饭菜出品时间和要求</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8.1 按规定准时开餐，每餐所供食品在开餐前15分钟布置完毕，如变更或其他情况，不能准时开餐，承包方应提前通知雇主，并留有充分时间做出补救。</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8.2  合理安排用餐人数，做好用餐人员分流工作，保持供餐器皿内食品在一半以上，不可出现用餐人员等候拥挤混乱现象。</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8.3  分餐服务人员及时准确进行分餐，保证菜量。</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8.4  当雇主增加或减少餐费标准时，经营方应在雇主指定的时间内对饭菜做出调整，调整前必须提前制定出方案，经雇主审核、确认、批准后方可实施。</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8.5  食堂运行服务人员及服务时间必须服从采购方管理，采购方有权要求更换不合格的服务人员。</w:t>
      </w:r>
    </w:p>
    <w:p>
      <w:pPr>
        <w:adjustRightInd w:val="0"/>
        <w:snapToGrid w:val="0"/>
        <w:spacing w:line="520" w:lineRule="exact"/>
        <w:ind w:firstLine="482" w:firstLineChars="200"/>
        <w:rPr>
          <w:rFonts w:hint="eastAsia" w:ascii="仿宋" w:hAnsi="仿宋" w:eastAsia="仿宋" w:cs="仿宋"/>
          <w:sz w:val="24"/>
        </w:rPr>
      </w:pPr>
      <w:r>
        <w:rPr>
          <w:rFonts w:hint="eastAsia" w:ascii="仿宋" w:hAnsi="仿宋" w:eastAsia="仿宋" w:cs="仿宋"/>
          <w:b/>
          <w:bCs/>
          <w:sz w:val="24"/>
        </w:rPr>
        <w:t>9、环境卫生管理</w:t>
      </w:r>
    </w:p>
    <w:p>
      <w:pPr>
        <w:adjustRightInd w:val="0"/>
        <w:snapToGrid w:val="0"/>
        <w:spacing w:line="520" w:lineRule="exact"/>
        <w:ind w:firstLine="482" w:firstLineChars="200"/>
        <w:rPr>
          <w:rFonts w:hint="eastAsia" w:ascii="仿宋" w:hAnsi="仿宋" w:eastAsia="仿宋" w:cs="仿宋"/>
          <w:sz w:val="24"/>
        </w:rPr>
      </w:pPr>
      <w:r>
        <w:rPr>
          <w:rFonts w:hint="eastAsia" w:ascii="仿宋" w:hAnsi="仿宋" w:eastAsia="仿宋" w:cs="仿宋"/>
          <w:b/>
          <w:bCs/>
          <w:sz w:val="24"/>
        </w:rPr>
        <w:t>厨房作业区</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（1）环境卫生</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1）厨房作业区分区明确，标注明晰，物品归类有序。</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2）生食物和熟食物的盛用容器、刀具等严格区分，不得混用。</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3）厨房每餐后台面地面要及时擦扫干净，刀具、机械用具、盛用器皿等用后热水洗净，擦干保存。</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4）厨房排水保持畅通，污水及时倒入污水池，不积存脏水污物，厨房地面、墙壁无污物。</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（2）人员卫生</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1）工作人员进入厨房作业区必须着工作服戴工作帽，工作服饰保持整洁干净，禁止穿工作服离开厨房、食堂或做与制作饭菜无关的工作。</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2）工作人员做好个人卫生，不留长指甲，工作前或工作中接触脏物后必须洗手，不得对着食物咳嗽、打喷嚏，不能用工作服擦鼻涕、擦汗、擦手或厨具等，不能随地吐痰。</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就餐区</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（1）餐厅环境</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 1）餐厅餐桌椅摆放整齐、桌上物品摆放有序。</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 2）餐厅地面、墙壁无污物，有充足的光线。</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 3）餐具整洁干净，摆放有序，每餐洗净后及时进行消毒。</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（2）工作人员</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 1）工作人员着工作服戴工作帽，工作服饰保持整洁干净。</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 2）工作人员搬送菜肴和餐具前必须洗手。</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10、服务质量 </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（1）餐厅设领班或服务员，并保持有岗有人有服务，服务规范，程序完善。</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（2）服务细则</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规范服务</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1）服务人员仪容仪表要端庄大方。上班着干净整洁工作服，女员工头发梳理整洁大方，忌浓妆艳抹或涂指甲油；男员工不留长发、不蓄胡子。</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2）服务人员语言要规范。使用普通话，服务态度亲切和蔼，讲话音量适中，做到主动打招呼，有问有答，文明礼貌，不粗言粗语和高声叫喊。</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3）服务人员在工作中要维护好食堂就餐秩序。</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4）服务人员在每餐开餐前把菜价公布上墙。</w:t>
      </w:r>
    </w:p>
    <w:p>
      <w:pPr>
        <w:adjustRightInd w:val="0"/>
        <w:snapToGri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热情服务</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1）服务人员要精神饱满、礼貌待客，做到微笑服务，不得与就餐人员发生口角。</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2）服务要积极主动，热情周到，细致入微。客人就餐过程中，坚持三勤服务，即“嘴勤、手勤、眼勤”，及时提供各项服务。</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3、坚守岗位</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1）工作期间要坚守岗位，按照分工做好本职工作，上岗期间不干私活，不玩手机，不乱串岗位，不私自外出。</w:t>
      </w:r>
    </w:p>
    <w:p>
      <w:pPr>
        <w:adjustRightInd w:val="0"/>
        <w:snapToGrid w:val="0"/>
        <w:spacing w:line="520" w:lineRule="exact"/>
        <w:ind w:firstLine="480" w:firstLineChars="200"/>
        <w:rPr>
          <w:rFonts w:hint="eastAsia" w:ascii="仿宋" w:hAnsi="仿宋" w:eastAsia="仿宋" w:cs="仿宋"/>
          <w:sz w:val="24"/>
        </w:rPr>
      </w:pPr>
      <w:r>
        <w:rPr>
          <w:rFonts w:hint="eastAsia" w:ascii="仿宋" w:hAnsi="仿宋" w:eastAsia="仿宋" w:cs="仿宋"/>
          <w:sz w:val="24"/>
        </w:rPr>
        <w:t>2）就餐期间服务人员要做好巡查，及时发现各个角落的问题，及时打扫餐桌，补充桌上调料、牙签、餐巾纸等，不在工作期间闲聊。</w:t>
      </w:r>
    </w:p>
    <w:p>
      <w:pPr>
        <w:adjustRightInd w:val="0"/>
        <w:snapToGrid w:val="0"/>
        <w:spacing w:line="520" w:lineRule="exact"/>
        <w:ind w:firstLine="480" w:firstLineChars="200"/>
        <w:rPr>
          <w:rFonts w:hint="eastAsia" w:ascii="仿宋" w:hAnsi="仿宋" w:eastAsia="仿宋" w:cs="仿宋"/>
          <w:sz w:val="24"/>
        </w:rPr>
      </w:pPr>
    </w:p>
    <w:p>
      <w:pPr>
        <w:adjustRightInd w:val="0"/>
        <w:spacing w:line="520" w:lineRule="exact"/>
        <w:ind w:firstLine="482" w:firstLineChars="200"/>
        <w:rPr>
          <w:rFonts w:hint="eastAsia" w:ascii="仿宋" w:hAnsi="仿宋" w:eastAsia="仿宋" w:cs="仿宋"/>
          <w:b/>
          <w:bCs/>
          <w:sz w:val="24"/>
        </w:rPr>
      </w:pPr>
      <w:r>
        <w:rPr>
          <w:rFonts w:hint="eastAsia" w:ascii="仿宋" w:hAnsi="仿宋" w:eastAsia="仿宋" w:cs="仿宋"/>
          <w:b/>
          <w:bCs/>
          <w:sz w:val="24"/>
        </w:rPr>
        <w:t>11、食堂运行服务费用报价要求</w:t>
      </w:r>
    </w:p>
    <w:p>
      <w:pPr>
        <w:shd w:val="clear" w:color="auto" w:fill="FFFFFF"/>
        <w:spacing w:line="520" w:lineRule="exact"/>
        <w:ind w:firstLine="480" w:firstLineChars="200"/>
        <w:rPr>
          <w:rFonts w:hint="eastAsia" w:ascii="仿宋" w:hAnsi="仿宋" w:eastAsia="仿宋" w:cs="仿宋"/>
          <w:sz w:val="24"/>
        </w:rPr>
      </w:pPr>
      <w:r>
        <w:rPr>
          <w:rFonts w:hint="eastAsia" w:ascii="仿宋" w:hAnsi="仿宋" w:eastAsia="仿宋" w:cs="仿宋"/>
          <w:sz w:val="24"/>
        </w:rPr>
        <w:t>（1）投标人应考虑企业自身实力、经验及项目实施过程中的各种因素，根据采购要求，详细说明所能提供的各项具体服务内容，自主确定报价，实行总价包干，并提供报价组成与成本分析。</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pPr>
        <w:adjustRightInd w:val="0"/>
        <w:spacing w:line="520" w:lineRule="exact"/>
        <w:ind w:firstLine="480" w:firstLineChars="200"/>
        <w:rPr>
          <w:rFonts w:hint="eastAsia" w:ascii="仿宋" w:hAnsi="仿宋" w:eastAsia="仿宋" w:cs="仿宋"/>
          <w:sz w:val="24"/>
        </w:rPr>
      </w:pPr>
      <w:r>
        <w:rPr>
          <w:rFonts w:hint="eastAsia" w:ascii="仿宋" w:hAnsi="仿宋" w:eastAsia="仿宋" w:cs="仿宋"/>
          <w:sz w:val="24"/>
        </w:rPr>
        <w:t>（3）中标人作为劳动用工的主体，负责劳动用工的所有事宜，劳动用工的所有责任和风险（如劳资纠纷等）由中标人负责。</w:t>
      </w:r>
    </w:p>
    <w:p>
      <w:pPr>
        <w:adjustRightInd w:val="0"/>
        <w:spacing w:line="520" w:lineRule="exact"/>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八、检查与考核</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adjustRightInd w:val="0"/>
        <w:spacing w:line="520" w:lineRule="exact"/>
        <w:ind w:firstLine="480" w:firstLineChars="200"/>
        <w:rPr>
          <w:rFonts w:hint="eastAsia" w:ascii="仿宋" w:hAnsi="仿宋" w:eastAsia="仿宋" w:cs="仿宋"/>
          <w:sz w:val="24"/>
        </w:rPr>
      </w:pPr>
      <w:r>
        <w:rPr>
          <w:rFonts w:hint="eastAsia" w:ascii="仿宋" w:hAnsi="仿宋" w:eastAsia="仿宋" w:cs="仿宋"/>
          <w:color w:val="000000"/>
          <w:sz w:val="24"/>
        </w:rPr>
        <w:t>采购人将根据工作需要和招标文件规定，设定食堂管理考核要求，具体内容如下：</w:t>
      </w:r>
    </w:p>
    <w:p>
      <w:pPr>
        <w:adjustRightInd w:val="0"/>
        <w:spacing w:line="520" w:lineRule="exact"/>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一、考核时间及评定方法：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食堂考核采用百分制，每年考核四次，每季度考核一次，并按以下原则评定考核等级：</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1.考核分高于90分(含)视为优秀，全额拨付当期管理服务费用。</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2.考核分高于80分(含)但低于90分(不含)视为良好，扣除当期管理服务费用的2%。</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3.考核分高于70分(含)但低于80分(不含)视为合格，扣除当期管理服务费用的5%。</w:t>
      </w:r>
    </w:p>
    <w:p>
      <w:pPr>
        <w:jc w:val="left"/>
        <w:rPr>
          <w:rFonts w:hint="eastAsia" w:ascii="仿宋" w:hAnsi="仿宋" w:eastAsia="仿宋" w:cs="仿宋"/>
          <w:sz w:val="24"/>
        </w:rPr>
      </w:pPr>
      <w:r>
        <w:rPr>
          <w:rFonts w:hint="eastAsia" w:ascii="仿宋" w:hAnsi="仿宋" w:eastAsia="仿宋" w:cs="仿宋"/>
          <w:b/>
          <w:bCs/>
          <w:sz w:val="24"/>
        </w:rPr>
        <w:t>4.考核分低于70分(不含)视为不合格，扣除当期管理服务费用的10%,并根据《临平区机关事务服务中心食堂管理考核评分细则》相关条款进行处理。（提前解除合同）</w:t>
      </w:r>
      <w:r>
        <w:rPr>
          <w:rFonts w:hint="eastAsia" w:ascii="仿宋" w:hAnsi="仿宋" w:eastAsia="仿宋" w:cs="仿宋"/>
          <w:sz w:val="24"/>
        </w:rPr>
        <w:t>。</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二、考核方式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（一）检查形式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（二）成绩计算方式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按照考核标准、评分细则，实行分级分类考核，各项检查考核基准分为100分，通过平时巡查、综合考评组每季度评分及各点负责人考核评分按3:3:4比例计算得出综合评分。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三、考核结果的运用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考核成绩将作为每季度对食堂外包合同进行付款，及每年表彰的重要依据。</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附件</w:t>
      </w: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临平区机关事务服务中心食堂管理考核评分细则</w:t>
      </w:r>
    </w:p>
    <w:p>
      <w:pPr>
        <w:rPr>
          <w:rFonts w:hint="eastAsia" w:ascii="仿宋" w:hAnsi="仿宋" w:eastAsia="仿宋" w:cs="仿宋"/>
        </w:rPr>
      </w:pPr>
    </w:p>
    <w:tbl>
      <w:tblPr>
        <w:tblStyle w:val="62"/>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项目</w:t>
            </w:r>
          </w:p>
        </w:tc>
        <w:tc>
          <w:tcPr>
            <w:tcW w:w="106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内容</w:t>
            </w:r>
          </w:p>
        </w:tc>
        <w:tc>
          <w:tcPr>
            <w:tcW w:w="3581"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评分标准</w:t>
            </w:r>
          </w:p>
        </w:tc>
        <w:tc>
          <w:tcPr>
            <w:tcW w:w="226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扣分标准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分值</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基础管理6分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组织架构和规范</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有人员增减的先报备中心，员工每天签到打卡，有请假的事先报备点长(要有据可查)</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没有事先报备的，发现一人扣1分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4</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应急管理</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针对突发事件或灾害性天气建立应急预案，定期演习应急预案，面临突发事件及时采取对应措施并通知委托方。</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突发事件未及时报备的，发现一次扣1分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员工素质 8分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岗位要求</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员工定期体检，健康证齐全，能熟练操作、文明礼貌。不做与本职工作无关的事情，不玩手机。</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健康证不齐的或有做本职工作无关事情的，发现一次扣1分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仪容仪表</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按要求统一工作服、工作鞋、围裙、袖套以及工作帽，并佩戴口罩、手套等。工作中服装干净，长发的需佩戴头花，不得披散头发、不留长指甲，不涂有色指甲油，不戴首饰。</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穿着不符要求的，发现一人扣1分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服务员保持大方得体的站姿与服务，面带微笑的提供有声服务，必须主动问好，灵活运用礼貌用语。</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服务不符要求的，发现一人扣1分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菜品开发和质量6分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菜品研发</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定期做好新菜品的研发及推出，确保每月2道新菜，1个新面点，做好记录和照片并报给委托方。</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没有完成指标的，少一样扣一分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输出品质</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确保食物出品检验合格，无石子，叶菜无菜虫，无头发丝、铁丝、烟头、创可贴等异物，无苍蝇、蟑螂、等其它虫类</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食品中有异物的，发现一次扣1分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经济</w:t>
            </w:r>
          </w:p>
          <w:p>
            <w:pPr>
              <w:widowControl/>
              <w:spacing w:before="0" w:beforeAutospacing="0" w:after="0" w:afterAutospacing="0"/>
              <w:ind w:left="0" w:right="0"/>
              <w:jc w:val="center"/>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指标</w:t>
            </w:r>
          </w:p>
          <w:p>
            <w:pPr>
              <w:widowControl/>
              <w:spacing w:before="0" w:beforeAutospacing="0" w:after="0" w:afterAutospacing="0"/>
              <w:ind w:left="0" w:right="0"/>
              <w:jc w:val="center"/>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考核</w:t>
            </w:r>
          </w:p>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12分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原材料</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杜绝过期变质产品，不出现生鲜类当日采购结余过多、或库存足量仍采购等情况。明确厨师长物料领用管理责任，出入库均应有相应责任人的签字确认。</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有不符合原料的情况，发现一次扣1分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低值易耗品</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定期报采购需求,每项低值易耗品合理使用，损耗率正常，并按季分析和提出相应调整措施，有效落实。</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有不符合易耗品的情况，发现一次扣1分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节能减排</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节约用电、用水、用气，灯和空调使用符合节能减排的要求：于营业前15-30分钟开启，营业结束时后关闭；空调设定合理温度,开启时应关闭窗户。</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有不符合节能减排的情况，发现一次扣1分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财务统计</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每日经营情况要求日清月结，账目清晰，现金一周至少缴存一次。做好结算（含餐券），不产生错帐、不漏刷卡。</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有不符合财务统计的情况，发现一样扣1分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食品和消防安全12分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原材料储存</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已出库物料按不同种类，区分常温、冷藏和冷冻，干货、调料、各类生鲜原材料，根据原材料保存要求使用不同箱框，进行分区存放。</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有不符合保存要求的，发现一次扣1分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成品半成品储存</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食物成品、半成品如短时存放，需做加盖、包保鲜膜等防尘措施；隔夜存放的，需密封后放进冷柜或冷库，分区存放，严格控制好生熟分装。</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有不符合保存要求的，发现一次扣1分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出品留样</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每餐菜品按要求进行留样，贴标签并记录好台帐，每样重量不少于100g，留样时间不少于48小时。</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有不符合留样要求的，发现一次扣1分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添加剂</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食品添加剂的保存和使用需符合规定，添加剂需上锁专人保存。</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有不符合添加剂使用管理要求的，发现一次扣1分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安全管理</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设施设备按规定进行检查、维修和保养，确保安全。每日进行水电气开关的检查和记录，并签字确认，排除隐患。</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有不符合安全管理要求的，发现一次扣1分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消防安全意识</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灭火器灭火毯要定点摆放，灭火器定期检查过期或失效情况，发现消防隐患，要及时上报中心处理整改。每年进行一次全员消防模拟演习或专题培训。</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有不符合消防管理要求的，发现一次扣1分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清洁卫生11分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餐厅</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客人离位及时清理桌面地面油污、汤水、杂物等，垃圾桶及时检查清理，并做好垃圾分类。</w:t>
            </w:r>
          </w:p>
        </w:tc>
        <w:tc>
          <w:tcPr>
            <w:tcW w:w="2265" w:type="dxa"/>
            <w:vMerge w:val="restart"/>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有不符合清洁卫生要求的，发现一处扣1分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vMerge w:val="restart"/>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后厨</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洗菜筐、食物器皿、砧板、刀具等用完即时清理并按五常法规定，指定位置摆放有序，以供分类使用。卫生工具用完要即时清洗，并按指定位置摆放有序，以供分类使用。</w:t>
            </w:r>
          </w:p>
        </w:tc>
        <w:tc>
          <w:tcPr>
            <w:tcW w:w="2265"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75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不锈钢操作台面，冰箱等实行定人管理，确保每餐结束后收拾干净。冷藏、冷冻柜每周进行除霜，每日清洁、整理，查看运行温度，柜内无异味。</w:t>
            </w:r>
          </w:p>
        </w:tc>
        <w:tc>
          <w:tcPr>
            <w:tcW w:w="2265"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75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各操作间相应工作完成后，即时打扫，保持地面干，门、窗、水电气关；每周进行大扫除，清理卫生死角。未经许可，外部无关人员不得进入厨房。</w:t>
            </w:r>
          </w:p>
        </w:tc>
        <w:tc>
          <w:tcPr>
            <w:tcW w:w="2265"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75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vMerge w:val="restart"/>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垃圾</w:t>
            </w:r>
          </w:p>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处理</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将剩饭剩菜和其他垃圾进行分类。厨余垃圾和泔水走相应的通道进入定点堆放处。垃圾必须当日清运，避免产生异味。</w:t>
            </w:r>
          </w:p>
        </w:tc>
        <w:tc>
          <w:tcPr>
            <w:tcW w:w="2265"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75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定点堆放垃圾，厨房内必须有两个或以上垃圾桶做好垃圾分类,做相应密封处理（扎袋子、加盖）。每日疏通清理排水沟，确保没有异味。</w:t>
            </w:r>
          </w:p>
        </w:tc>
        <w:tc>
          <w:tcPr>
            <w:tcW w:w="2265" w:type="dxa"/>
            <w:vMerge w:val="continue"/>
            <w:tcMar>
              <w:top w:w="15" w:type="dxa"/>
              <w:left w:w="15" w:type="dxa"/>
              <w:right w:w="15" w:type="dxa"/>
            </w:tcMar>
            <w:vAlign w:val="center"/>
          </w:tcPr>
          <w:p>
            <w:pPr>
              <w:spacing w:before="0" w:beforeAutospacing="0" w:after="0" w:afterAutospacing="0"/>
              <w:ind w:left="0" w:right="0"/>
              <w:jc w:val="left"/>
              <w:rPr>
                <w:rFonts w:hint="eastAsia" w:ascii="仿宋" w:hAnsi="仿宋" w:eastAsia="仿宋" w:cs="仿宋"/>
                <w:sz w:val="20"/>
                <w:szCs w:val="20"/>
              </w:rPr>
            </w:pPr>
          </w:p>
        </w:tc>
        <w:tc>
          <w:tcPr>
            <w:tcW w:w="75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仓库管理 8分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物料仓库</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按标线摆放物品，每日清点和整理，无关物品不得放入仓库。保持整洁干净，无着地安放，无安全隐患。明确仓库中每一种原材料的入库和使用期限，先进先出，严禁过期使用。</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有不符合物品管理要求的，发现一处扣1分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易耗品仓</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易耗品仓库物品按类摆放，保持整洁干净，无安全隐患，建立易耗品台账制度。</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有不符物品管理要求的，发现一处扣1分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验货收货</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库管验收时必须有厨师长在场，两人与供应商一起同时验货，确保数量无误，有问题的商品当场退回，并在送货单上签字确认。</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有不符合收货要求的环节，发现一处扣1分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4</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厨房精细化管理19分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粗加工间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蔬菜、肉类要进行分区清洗。工序：一摘二洗三浸泡四清五切，抽样或普检无泥沙及异物。</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切配</w:t>
            </w:r>
          </w:p>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蔬菜、肉类要使用不同的砧板和刀具（要能明确区分）。洗净蔬菜、肉类要按规定使用不同器具盛放。</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烹饪间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调料按指定区域存放，已拆封调料隔夜存放要进行密封处理（加盖或保鲜膜）。菜肴出品后根据品种不同做好保温措施，即炒即售，及时补充。</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蒸饭间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蒸饭区只存放相应物品，不得堆放其他物品。米袋要按离地要求进行摆放，防止浸水、受潮。淘米按规定时段进行淘米，用规定的器具清洗。</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冷菜间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室温控制在22度以下。人进入冷菜间要进行二次洗手、消毒，并更衣。冷菜间制作五专原则--专人、专室、专用工具、专用消毒设备、专用冷藏设备。</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面点间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面点间用具要和其他操作间用具分开。添加剂按定人定箱上锁管理。馅料类半成品要按规定密封，和其他原材料分开存放。生、熟食品进行分区存放。完工后所有设备需清理干净</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洗消间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洗消要求：一刮二刷三冲四消五保洁，抽检或普检，干净合格。各餐具按标识摆放区域进行存放，并做防尘处理，避免二次污染。</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售餐间</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开餐前5-10分钟，将菜放入保温台，按规定分区摆放各类食物，无生料和其他杂物。不同菜使用不同的勺子打菜，使用相应的餐具盛菜。原则上预先打好放置餐线上，即打即取。</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有不符合本操作间规范要求的，发现一处扣1分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食堂智慧化管理8分</w:t>
            </w: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包厢预定</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按中心要求做好食堂智慧化模块管理，各就餐单位预订包厢需通过智慧后勤平台操作，所有包厢就餐要有预订记录可查</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有不符合智慧化管理要求的，发现一处扣1分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餐券管理</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餐券网上购买，打印和发放，不再出售纸质餐券。做好餐券回收的管理，过期餐券不得使用，餐券库存量超50%以上原则上暂不出售</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有不符合智慧化管理要求的，发现一处扣1分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商品外卖</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食堂需配合中心的外卖推广计划，每周出品不同的自制食品，提供照片，由中心统一上架，根据指定时间制作销售</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有不符合智慧化管理要求的，发现一处扣1分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1060"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菜品发布</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大厅的菜单显示屏，每餐的供应品种和价格显示完整，智慧后勤平台上的菜品发布由中心统一完成，食堂需提前上报菜单，如有新菜需提供照片</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有不符合智慧化管理要求的，发现一处扣1分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餐厅形象</w:t>
            </w:r>
          </w:p>
          <w:p>
            <w:pPr>
              <w:widowControl/>
              <w:spacing w:before="0" w:beforeAutospacing="0" w:after="0" w:afterAutospacing="0"/>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和投诉</w:t>
            </w:r>
          </w:p>
          <w:p>
            <w:pPr>
              <w:widowControl/>
              <w:spacing w:before="0" w:beforeAutospacing="0" w:after="0" w:afterAutospacing="0"/>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及其他</w:t>
            </w:r>
          </w:p>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10分</w:t>
            </w: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餐桌椅和物品摆放整齐干净，餐厅的照明、空调、大屏、音响按规定使用，危及人身安全的区域要设置明显标志，并有防范措施。</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有不符合餐厅管理要求的，发现一处扣1分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服务员熟练操作结算系统，遇故障及时解决与报修。大厅及时补充筷子、餐巾纸、牙签、免费调料等物品。根据就餐要求，准时开餐，非就餐时间不提供营业服务。</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有不符合餐厅管理要求的，发现一处扣1分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配合委托方完成学习强国等其他工作任务。</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未按时完成学习强国等任务的，发现一次扣1分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委托方接到书面投诉，经查实是运营方过错。</w:t>
            </w:r>
          </w:p>
        </w:tc>
        <w:tc>
          <w:tcPr>
            <w:tcW w:w="2265" w:type="dxa"/>
            <w:tcMar>
              <w:top w:w="15" w:type="dxa"/>
              <w:left w:w="15" w:type="dxa"/>
              <w:right w:w="15" w:type="dxa"/>
            </w:tcMar>
            <w:vAlign w:val="center"/>
          </w:tcPr>
          <w:p>
            <w:pPr>
              <w:widowControl/>
              <w:spacing w:before="0" w:beforeAutospacing="0" w:after="0" w:afterAutospacing="0"/>
              <w:ind w:left="0" w:right="0"/>
              <w:jc w:val="left"/>
              <w:textAlignment w:val="center"/>
              <w:rPr>
                <w:rFonts w:hint="eastAsia" w:ascii="仿宋" w:hAnsi="仿宋" w:eastAsia="仿宋" w:cs="仿宋"/>
                <w:sz w:val="20"/>
                <w:szCs w:val="20"/>
              </w:rPr>
            </w:pPr>
            <w:r>
              <w:rPr>
                <w:rFonts w:hint="eastAsia" w:ascii="仿宋" w:hAnsi="仿宋" w:eastAsia="仿宋" w:cs="仿宋"/>
                <w:kern w:val="0"/>
                <w:sz w:val="20"/>
                <w:szCs w:val="20"/>
              </w:rPr>
              <w:t>投诉查实一次，扣2分，如严重影响中心形象和声誉的，一次扣4分</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4</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40" w:type="dxa"/>
            <w:gridSpan w:val="2"/>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p>
        </w:tc>
        <w:tc>
          <w:tcPr>
            <w:tcW w:w="3581"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c>
          <w:tcPr>
            <w:tcW w:w="226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总计</w:t>
            </w:r>
          </w:p>
        </w:tc>
        <w:tc>
          <w:tcPr>
            <w:tcW w:w="750"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100</w:t>
            </w:r>
          </w:p>
        </w:tc>
        <w:tc>
          <w:tcPr>
            <w:tcW w:w="705" w:type="dxa"/>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　</w:t>
            </w:r>
          </w:p>
        </w:tc>
      </w:tr>
    </w:tbl>
    <w:p>
      <w:pPr>
        <w:pStyle w:val="2"/>
        <w:rPr>
          <w:rFonts w:hint="eastAsia"/>
        </w:rPr>
      </w:pPr>
    </w:p>
    <w:p>
      <w:pPr>
        <w:snapToGrid w:val="0"/>
        <w:spacing w:line="360" w:lineRule="auto"/>
        <w:ind w:firstLine="354" w:firstLineChars="147"/>
        <w:rPr>
          <w:rFonts w:hint="eastAsia" w:ascii="仿宋" w:hAnsi="仿宋" w:eastAsia="仿宋" w:cs="仿宋"/>
          <w:bCs/>
          <w:color w:val="auto"/>
          <w:sz w:val="24"/>
        </w:rPr>
      </w:pPr>
      <w:r>
        <w:rPr>
          <w:rFonts w:hint="eastAsia" w:ascii="仿宋" w:hAnsi="仿宋" w:eastAsia="仿宋" w:cs="仿宋"/>
          <w:b/>
          <w:color w:val="auto"/>
          <w:sz w:val="24"/>
          <w:lang w:val="en-US" w:eastAsia="zh-CN"/>
        </w:rPr>
        <w:t xml:space="preserve">  </w:t>
      </w:r>
    </w:p>
    <w:p>
      <w:pPr>
        <w:snapToGrid w:val="0"/>
        <w:spacing w:line="360" w:lineRule="auto"/>
        <w:ind w:firstLine="482" w:firstLineChars="20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九、验收要求：</w:t>
      </w:r>
    </w:p>
    <w:p>
      <w:pPr>
        <w:snapToGrid w:val="0"/>
        <w:spacing w:line="360" w:lineRule="auto"/>
        <w:ind w:firstLine="352" w:firstLineChars="147"/>
        <w:rPr>
          <w:rFonts w:hint="eastAsia" w:ascii="仿宋" w:hAnsi="仿宋" w:eastAsia="仿宋" w:cs="仿宋"/>
          <w:bCs/>
          <w:color w:val="auto"/>
          <w:sz w:val="24"/>
        </w:rPr>
      </w:pPr>
      <w:r>
        <w:rPr>
          <w:rFonts w:hint="eastAsia" w:ascii="仿宋" w:hAnsi="仿宋" w:eastAsia="仿宋" w:cs="仿宋"/>
          <w:bCs/>
          <w:color w:val="auto"/>
          <w:sz w:val="24"/>
        </w:rPr>
        <w:t>根据</w:t>
      </w:r>
      <w:r>
        <w:rPr>
          <w:rFonts w:hint="eastAsia" w:ascii="仿宋" w:hAnsi="仿宋" w:eastAsia="仿宋" w:cs="仿宋"/>
          <w:bCs/>
          <w:color w:val="auto"/>
          <w:sz w:val="24"/>
          <w:lang w:val="en-US" w:eastAsia="zh-CN"/>
        </w:rPr>
        <w:t>临</w:t>
      </w:r>
      <w:r>
        <w:rPr>
          <w:rFonts w:hint="eastAsia" w:ascii="仿宋" w:hAnsi="仿宋" w:eastAsia="仿宋" w:cs="仿宋"/>
          <w:bCs/>
          <w:color w:val="auto"/>
          <w:sz w:val="24"/>
        </w:rPr>
        <w:t>财采〔202</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pPr>
        <w:snapToGrid w:val="0"/>
        <w:spacing w:line="360" w:lineRule="auto"/>
        <w:rPr>
          <w:rFonts w:hint="eastAsia" w:ascii="仿宋" w:hAnsi="仿宋" w:eastAsia="仿宋" w:cs="仿宋"/>
          <w:b/>
          <w:color w:val="auto"/>
          <w:sz w:val="24"/>
        </w:rPr>
      </w:pPr>
    </w:p>
    <w:p>
      <w:pPr>
        <w:snapToGrid w:val="0"/>
        <w:spacing w:line="360" w:lineRule="auto"/>
        <w:ind w:firstLine="354" w:firstLineChars="147"/>
        <w:rPr>
          <w:rFonts w:ascii="仿宋" w:hAnsi="仿宋" w:eastAsia="仿宋" w:cs="仿宋"/>
          <w:bCs/>
          <w:color w:val="auto"/>
          <w:sz w:val="24"/>
        </w:rPr>
      </w:pPr>
      <w:r>
        <w:rPr>
          <w:rFonts w:hint="eastAsia" w:ascii="仿宋" w:hAnsi="仿宋" w:eastAsia="仿宋" w:cs="仿宋"/>
          <w:b/>
          <w:color w:val="auto"/>
          <w:sz w:val="24"/>
        </w:rPr>
        <w:t xml:space="preserve">  </w:t>
      </w:r>
    </w:p>
    <w:p>
      <w:pPr>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 xml:space="preserve">   </w:t>
      </w: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、采购人认为必须说明的其他内容：</w:t>
      </w:r>
    </w:p>
    <w:p>
      <w:pPr>
        <w:pStyle w:val="619"/>
        <w:ind w:firstLine="0" w:firstLineChars="0"/>
        <w:outlineLvl w:val="0"/>
        <w:rPr>
          <w:rFonts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pPr>
        <w:spacing w:line="360" w:lineRule="auto"/>
        <w:ind w:firstLine="181" w:firstLineChars="50"/>
        <w:rPr>
          <w:rFonts w:ascii="仿宋" w:hAnsi="仿宋" w:eastAsia="仿宋" w:cs="仿宋"/>
          <w:b/>
          <w:color w:val="auto"/>
          <w:sz w:val="36"/>
          <w:szCs w:val="36"/>
        </w:rPr>
      </w:pPr>
    </w:p>
    <w:p>
      <w:pPr>
        <w:spacing w:line="360" w:lineRule="auto"/>
        <w:rPr>
          <w:rFonts w:ascii="仿宋" w:hAnsi="仿宋" w:eastAsia="仿宋" w:cs="仿宋"/>
          <w:color w:val="auto"/>
          <w:sz w:val="24"/>
        </w:rPr>
      </w:pPr>
    </w:p>
    <w:p>
      <w:pPr>
        <w:widowControl/>
        <w:ind w:firstLine="720" w:firstLineChars="300"/>
        <w:jc w:val="left"/>
        <w:rPr>
          <w:rFonts w:ascii="仿宋" w:hAnsi="仿宋" w:eastAsia="仿宋" w:cs="仿宋"/>
          <w:bCs/>
          <w:color w:val="auto"/>
          <w:sz w:val="24"/>
        </w:rPr>
      </w:pPr>
    </w:p>
    <w:p>
      <w:pPr>
        <w:rPr>
          <w:rFonts w:ascii="仿宋" w:hAnsi="仿宋" w:eastAsia="仿宋" w:cs="仿宋"/>
          <w:snapToGrid w:val="0"/>
          <w:color w:val="auto"/>
          <w:kern w:val="0"/>
          <w:sz w:val="24"/>
        </w:rPr>
      </w:pPr>
    </w:p>
    <w:p>
      <w:pPr>
        <w:snapToGrid w:val="0"/>
        <w:spacing w:line="360" w:lineRule="auto"/>
        <w:jc w:val="center"/>
        <w:rPr>
          <w:rFonts w:ascii="仿宋" w:hAnsi="仿宋" w:eastAsia="仿宋" w:cs="仿宋_GB2312"/>
          <w:b/>
          <w:color w:val="auto"/>
          <w:sz w:val="36"/>
          <w:szCs w:val="36"/>
        </w:rPr>
      </w:pPr>
      <w:r>
        <w:rPr>
          <w:rFonts w:hint="eastAsia" w:ascii="仿宋" w:hAnsi="仿宋" w:eastAsia="仿宋" w:cs="仿宋"/>
          <w:b/>
          <w:color w:val="auto"/>
          <w:sz w:val="24"/>
        </w:rPr>
        <w:br w:type="page"/>
      </w: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0323"/>
      <w:bookmarkEnd w:id="27"/>
      <w:bookmarkStart w:id="28" w:name="_Toc184312104"/>
      <w:bookmarkEnd w:id="28"/>
      <w:bookmarkStart w:id="29" w:name="_Toc184310300"/>
      <w:bookmarkEnd w:id="29"/>
      <w:bookmarkStart w:id="30" w:name="_Toc184310309"/>
      <w:bookmarkEnd w:id="30"/>
      <w:bookmarkStart w:id="31" w:name="_Toc184313257"/>
      <w:bookmarkEnd w:id="31"/>
      <w:bookmarkStart w:id="32" w:name="_Toc184312113"/>
      <w:bookmarkEnd w:id="32"/>
      <w:bookmarkStart w:id="33" w:name="_Toc184314450"/>
      <w:bookmarkEnd w:id="33"/>
      <w:bookmarkStart w:id="34" w:name="_Toc184312136"/>
      <w:bookmarkEnd w:id="34"/>
      <w:bookmarkStart w:id="35" w:name="_Toc184308065"/>
      <w:bookmarkEnd w:id="35"/>
      <w:bookmarkStart w:id="36" w:name="_Toc184314465"/>
      <w:bookmarkEnd w:id="36"/>
      <w:bookmarkStart w:id="37" w:name="_Toc184312096"/>
      <w:bookmarkEnd w:id="37"/>
      <w:bookmarkStart w:id="38" w:name="_Toc184313289"/>
      <w:bookmarkEnd w:id="38"/>
      <w:bookmarkStart w:id="39" w:name="_Toc184313264"/>
      <w:bookmarkEnd w:id="39"/>
      <w:bookmarkStart w:id="40" w:name="_Toc184314482"/>
      <w:bookmarkEnd w:id="40"/>
      <w:bookmarkStart w:id="41" w:name="_Toc184310343"/>
      <w:bookmarkEnd w:id="41"/>
      <w:bookmarkStart w:id="42" w:name="_Toc184310337"/>
      <w:bookmarkEnd w:id="42"/>
      <w:bookmarkStart w:id="43" w:name="_Toc184310313"/>
      <w:bookmarkEnd w:id="43"/>
      <w:bookmarkStart w:id="44" w:name="_Toc184308107"/>
      <w:bookmarkEnd w:id="44"/>
      <w:bookmarkStart w:id="45" w:name="_Toc184312081"/>
      <w:bookmarkEnd w:id="45"/>
      <w:bookmarkStart w:id="46" w:name="_Toc184313274"/>
      <w:bookmarkEnd w:id="46"/>
      <w:bookmarkStart w:id="47" w:name="_Toc184310333"/>
      <w:bookmarkEnd w:id="47"/>
      <w:bookmarkStart w:id="48" w:name="_Toc184308089"/>
      <w:bookmarkEnd w:id="48"/>
      <w:bookmarkStart w:id="49" w:name="_Toc184312139"/>
      <w:bookmarkEnd w:id="49"/>
      <w:bookmarkStart w:id="50" w:name="_Toc184313302"/>
      <w:bookmarkEnd w:id="50"/>
      <w:bookmarkStart w:id="51" w:name="_Toc184314445"/>
      <w:bookmarkEnd w:id="51"/>
      <w:bookmarkStart w:id="52" w:name="_Toc184312092"/>
      <w:bookmarkEnd w:id="52"/>
      <w:bookmarkStart w:id="53" w:name="_Toc184308084"/>
      <w:bookmarkEnd w:id="53"/>
      <w:bookmarkStart w:id="54" w:name="_Toc184313271"/>
      <w:bookmarkEnd w:id="54"/>
      <w:bookmarkStart w:id="55" w:name="_Toc184313281"/>
      <w:bookmarkEnd w:id="55"/>
      <w:bookmarkStart w:id="56" w:name="_Toc184314440"/>
      <w:bookmarkEnd w:id="56"/>
      <w:bookmarkStart w:id="57" w:name="_Toc184314451"/>
      <w:bookmarkEnd w:id="57"/>
      <w:bookmarkStart w:id="58" w:name="_Toc184308052"/>
      <w:bookmarkEnd w:id="58"/>
      <w:bookmarkStart w:id="59" w:name="_Toc184313293"/>
      <w:bookmarkEnd w:id="59"/>
      <w:bookmarkStart w:id="60" w:name="_Toc184312132"/>
      <w:bookmarkEnd w:id="60"/>
      <w:bookmarkStart w:id="61" w:name="_Toc184308047"/>
      <w:bookmarkEnd w:id="61"/>
      <w:bookmarkStart w:id="62" w:name="_Toc184310284"/>
      <w:bookmarkEnd w:id="62"/>
      <w:bookmarkStart w:id="63" w:name="_Toc184312071"/>
      <w:bookmarkEnd w:id="63"/>
      <w:bookmarkStart w:id="64" w:name="_Toc184312082"/>
      <w:bookmarkEnd w:id="64"/>
      <w:bookmarkStart w:id="65" w:name="_Toc184312078"/>
      <w:bookmarkEnd w:id="65"/>
      <w:bookmarkStart w:id="66" w:name="_Toc184308082"/>
      <w:bookmarkEnd w:id="66"/>
      <w:bookmarkStart w:id="67" w:name="_Toc184308036"/>
      <w:bookmarkEnd w:id="67"/>
      <w:bookmarkStart w:id="68" w:name="_Toc184308085"/>
      <w:bookmarkEnd w:id="68"/>
      <w:bookmarkStart w:id="69" w:name="_Toc184308106"/>
      <w:bookmarkEnd w:id="69"/>
      <w:bookmarkStart w:id="70" w:name="_Toc184313256"/>
      <w:bookmarkEnd w:id="70"/>
      <w:bookmarkStart w:id="71" w:name="_Toc184314421"/>
      <w:bookmarkEnd w:id="71"/>
      <w:bookmarkStart w:id="72" w:name="_Toc184313241"/>
      <w:bookmarkEnd w:id="72"/>
      <w:bookmarkStart w:id="73" w:name="_Toc184313294"/>
      <w:bookmarkEnd w:id="73"/>
      <w:bookmarkStart w:id="74" w:name="_Toc184310329"/>
      <w:bookmarkEnd w:id="74"/>
      <w:bookmarkStart w:id="75" w:name="_Toc184314461"/>
      <w:bookmarkEnd w:id="75"/>
      <w:bookmarkStart w:id="76" w:name="_Toc184312075"/>
      <w:bookmarkEnd w:id="76"/>
      <w:bookmarkStart w:id="77" w:name="_Toc184313283"/>
      <w:bookmarkEnd w:id="77"/>
      <w:bookmarkStart w:id="78" w:name="_Toc184308079"/>
      <w:bookmarkEnd w:id="78"/>
      <w:bookmarkStart w:id="79" w:name="_Toc184313238"/>
      <w:bookmarkEnd w:id="79"/>
      <w:bookmarkStart w:id="80" w:name="_Toc184314442"/>
      <w:bookmarkEnd w:id="80"/>
      <w:bookmarkStart w:id="81" w:name="_Toc184312080"/>
      <w:bookmarkEnd w:id="81"/>
      <w:bookmarkStart w:id="82" w:name="_Toc184314434"/>
      <w:bookmarkEnd w:id="82"/>
      <w:bookmarkStart w:id="83" w:name="_Toc184313268"/>
      <w:bookmarkEnd w:id="83"/>
      <w:bookmarkStart w:id="84" w:name="_Toc184312131"/>
      <w:bookmarkEnd w:id="84"/>
      <w:bookmarkStart w:id="85" w:name="_Toc184310308"/>
      <w:bookmarkEnd w:id="85"/>
      <w:bookmarkStart w:id="86" w:name="_Toc184314446"/>
      <w:bookmarkEnd w:id="86"/>
      <w:bookmarkStart w:id="87" w:name="_Toc184313291"/>
      <w:bookmarkEnd w:id="87"/>
      <w:bookmarkStart w:id="88" w:name="_Toc184313295"/>
      <w:bookmarkEnd w:id="88"/>
      <w:bookmarkStart w:id="89" w:name="_Toc184310306"/>
      <w:bookmarkEnd w:id="89"/>
      <w:bookmarkStart w:id="90" w:name="_Toc184308086"/>
      <w:bookmarkEnd w:id="90"/>
      <w:bookmarkStart w:id="91" w:name="_Toc184312099"/>
      <w:bookmarkEnd w:id="91"/>
      <w:bookmarkStart w:id="92" w:name="_Toc184312121"/>
      <w:bookmarkEnd w:id="92"/>
      <w:bookmarkStart w:id="93" w:name="_Toc184313310"/>
      <w:bookmarkEnd w:id="93"/>
      <w:bookmarkStart w:id="94" w:name="_Toc184308087"/>
      <w:bookmarkEnd w:id="94"/>
      <w:bookmarkStart w:id="95" w:name="_Toc184308093"/>
      <w:bookmarkEnd w:id="95"/>
      <w:bookmarkStart w:id="96" w:name="_Toc184313255"/>
      <w:bookmarkEnd w:id="96"/>
      <w:bookmarkStart w:id="97" w:name="_Toc184312114"/>
      <w:bookmarkEnd w:id="97"/>
      <w:bookmarkStart w:id="98" w:name="_Toc184308059"/>
      <w:bookmarkEnd w:id="98"/>
      <w:bookmarkStart w:id="99" w:name="_Toc184312118"/>
      <w:bookmarkEnd w:id="99"/>
      <w:bookmarkStart w:id="100" w:name="_Toc184310286"/>
      <w:bookmarkEnd w:id="100"/>
      <w:bookmarkStart w:id="101" w:name="_Toc184312109"/>
      <w:bookmarkEnd w:id="101"/>
      <w:bookmarkStart w:id="102" w:name="_Toc184308071"/>
      <w:bookmarkEnd w:id="102"/>
      <w:bookmarkStart w:id="103" w:name="_Toc184310340"/>
      <w:bookmarkEnd w:id="103"/>
      <w:bookmarkStart w:id="104" w:name="_Toc184314448"/>
      <w:bookmarkEnd w:id="104"/>
      <w:bookmarkStart w:id="105" w:name="_Toc184314426"/>
      <w:bookmarkEnd w:id="105"/>
      <w:bookmarkStart w:id="106" w:name="_Toc184308070"/>
      <w:bookmarkEnd w:id="106"/>
      <w:bookmarkStart w:id="107" w:name="_Toc184312126"/>
      <w:bookmarkEnd w:id="107"/>
      <w:bookmarkStart w:id="108" w:name="_Toc184314473"/>
      <w:bookmarkEnd w:id="108"/>
      <w:bookmarkStart w:id="109" w:name="_Toc184314441"/>
      <w:bookmarkEnd w:id="109"/>
      <w:bookmarkStart w:id="110" w:name="_Toc184314438"/>
      <w:bookmarkEnd w:id="110"/>
      <w:bookmarkStart w:id="111" w:name="_Toc184312088"/>
      <w:bookmarkEnd w:id="111"/>
      <w:bookmarkStart w:id="112" w:name="_Toc184313307"/>
      <w:bookmarkEnd w:id="112"/>
      <w:bookmarkStart w:id="113" w:name="_Toc184314422"/>
      <w:bookmarkEnd w:id="113"/>
      <w:bookmarkStart w:id="114" w:name="_Toc184312097"/>
      <w:bookmarkEnd w:id="114"/>
      <w:bookmarkStart w:id="115" w:name="_Toc184310328"/>
      <w:bookmarkEnd w:id="115"/>
      <w:bookmarkStart w:id="116" w:name="_Toc184312120"/>
      <w:bookmarkEnd w:id="116"/>
      <w:bookmarkStart w:id="117" w:name="_Toc184314444"/>
      <w:bookmarkEnd w:id="117"/>
      <w:bookmarkStart w:id="118" w:name="_Toc184308040"/>
      <w:bookmarkEnd w:id="118"/>
      <w:bookmarkStart w:id="119" w:name="_Toc184312124"/>
      <w:bookmarkEnd w:id="119"/>
      <w:bookmarkStart w:id="120" w:name="_Toc184313279"/>
      <w:bookmarkEnd w:id="120"/>
      <w:bookmarkStart w:id="121" w:name="_Toc184314410"/>
      <w:bookmarkEnd w:id="121"/>
      <w:bookmarkStart w:id="122" w:name="_Toc184313308"/>
      <w:bookmarkEnd w:id="122"/>
      <w:bookmarkStart w:id="123" w:name="_Toc184308081"/>
      <w:bookmarkEnd w:id="123"/>
      <w:bookmarkStart w:id="124" w:name="_Toc184313267"/>
      <w:bookmarkEnd w:id="124"/>
      <w:bookmarkStart w:id="125" w:name="_Toc184312103"/>
      <w:bookmarkEnd w:id="125"/>
      <w:bookmarkStart w:id="126" w:name="_Toc184310305"/>
      <w:bookmarkEnd w:id="126"/>
      <w:bookmarkStart w:id="127" w:name="_Toc184314439"/>
      <w:bookmarkEnd w:id="127"/>
      <w:bookmarkStart w:id="128" w:name="_Toc184308054"/>
      <w:bookmarkEnd w:id="128"/>
      <w:bookmarkStart w:id="129" w:name="_Toc184313273"/>
      <w:bookmarkEnd w:id="129"/>
      <w:bookmarkStart w:id="130" w:name="_Toc184314432"/>
      <w:bookmarkEnd w:id="130"/>
      <w:bookmarkStart w:id="131" w:name="_Toc184312087"/>
      <w:bookmarkEnd w:id="131"/>
      <w:bookmarkStart w:id="132" w:name="_Toc184310293"/>
      <w:bookmarkEnd w:id="132"/>
      <w:bookmarkStart w:id="133" w:name="_Toc184308051"/>
      <w:bookmarkEnd w:id="133"/>
      <w:bookmarkStart w:id="134" w:name="_Toc184312094"/>
      <w:bookmarkEnd w:id="134"/>
      <w:bookmarkStart w:id="135" w:name="_Toc184313258"/>
      <w:bookmarkEnd w:id="135"/>
      <w:bookmarkStart w:id="136" w:name="_Toc184313303"/>
      <w:bookmarkEnd w:id="136"/>
      <w:bookmarkStart w:id="137" w:name="_Toc184313272"/>
      <w:bookmarkEnd w:id="137"/>
      <w:bookmarkStart w:id="138" w:name="_Toc184314460"/>
      <w:bookmarkEnd w:id="138"/>
      <w:bookmarkStart w:id="139" w:name="_Toc184310289"/>
      <w:bookmarkEnd w:id="139"/>
      <w:bookmarkStart w:id="140" w:name="_Toc184308108"/>
      <w:bookmarkEnd w:id="140"/>
      <w:bookmarkStart w:id="141" w:name="_Toc184310311"/>
      <w:bookmarkEnd w:id="141"/>
      <w:bookmarkStart w:id="142" w:name="_Toc184314418"/>
      <w:bookmarkEnd w:id="142"/>
      <w:bookmarkStart w:id="143" w:name="_Toc184308078"/>
      <w:bookmarkEnd w:id="143"/>
      <w:bookmarkStart w:id="144" w:name="_Toc184314417"/>
      <w:bookmarkEnd w:id="144"/>
      <w:bookmarkStart w:id="145" w:name="_Toc184312105"/>
      <w:bookmarkEnd w:id="145"/>
      <w:bookmarkStart w:id="146" w:name="_Toc184313290"/>
      <w:bookmarkEnd w:id="146"/>
      <w:bookmarkStart w:id="147" w:name="_Toc184313252"/>
      <w:bookmarkEnd w:id="147"/>
      <w:bookmarkStart w:id="148" w:name="_Toc184312095"/>
      <w:bookmarkEnd w:id="148"/>
      <w:bookmarkStart w:id="149" w:name="_Toc184310302"/>
      <w:bookmarkEnd w:id="149"/>
      <w:bookmarkStart w:id="150" w:name="_Toc184308049"/>
      <w:bookmarkEnd w:id="150"/>
      <w:bookmarkStart w:id="151" w:name="_Toc184308061"/>
      <w:bookmarkEnd w:id="151"/>
      <w:bookmarkStart w:id="152" w:name="_Toc184308080"/>
      <w:bookmarkEnd w:id="152"/>
      <w:bookmarkStart w:id="153" w:name="_Toc184310336"/>
      <w:bookmarkEnd w:id="153"/>
      <w:bookmarkStart w:id="154" w:name="_Toc184308056"/>
      <w:bookmarkEnd w:id="154"/>
      <w:bookmarkStart w:id="155" w:name="_Toc184310310"/>
      <w:bookmarkEnd w:id="155"/>
      <w:bookmarkStart w:id="156" w:name="_Toc184312067"/>
      <w:bookmarkEnd w:id="156"/>
      <w:bookmarkStart w:id="157" w:name="_Toc184308066"/>
      <w:bookmarkEnd w:id="157"/>
      <w:bookmarkStart w:id="158" w:name="_Toc184314431"/>
      <w:bookmarkEnd w:id="158"/>
      <w:bookmarkStart w:id="159" w:name="_Toc184313253"/>
      <w:bookmarkEnd w:id="159"/>
      <w:bookmarkStart w:id="160" w:name="_Toc184308057"/>
      <w:bookmarkEnd w:id="160"/>
      <w:bookmarkStart w:id="161" w:name="_Toc184308104"/>
      <w:bookmarkEnd w:id="161"/>
      <w:bookmarkStart w:id="162" w:name="_Toc184314456"/>
      <w:bookmarkEnd w:id="162"/>
      <w:bookmarkStart w:id="163" w:name="_Toc184314472"/>
      <w:bookmarkEnd w:id="163"/>
      <w:bookmarkStart w:id="164" w:name="_Toc184310315"/>
      <w:bookmarkEnd w:id="164"/>
      <w:bookmarkStart w:id="165" w:name="_Toc184314468"/>
      <w:bookmarkEnd w:id="165"/>
      <w:bookmarkStart w:id="166" w:name="_Toc184312084"/>
      <w:bookmarkEnd w:id="166"/>
      <w:bookmarkStart w:id="167" w:name="_Toc184314420"/>
      <w:bookmarkEnd w:id="167"/>
      <w:bookmarkStart w:id="168" w:name="_Toc184314464"/>
      <w:bookmarkEnd w:id="168"/>
      <w:bookmarkStart w:id="169" w:name="_Toc184310319"/>
      <w:bookmarkEnd w:id="169"/>
      <w:bookmarkStart w:id="170" w:name="_Toc184312133"/>
      <w:bookmarkEnd w:id="170"/>
      <w:bookmarkStart w:id="171" w:name="_Toc184314423"/>
      <w:bookmarkEnd w:id="171"/>
      <w:bookmarkStart w:id="172" w:name="_Toc184313247"/>
      <w:bookmarkEnd w:id="172"/>
      <w:bookmarkStart w:id="173" w:name="_Toc184310278"/>
      <w:bookmarkEnd w:id="173"/>
      <w:bookmarkStart w:id="174" w:name="_Toc184310297"/>
      <w:bookmarkEnd w:id="174"/>
      <w:bookmarkStart w:id="175" w:name="_Toc184310283"/>
      <w:bookmarkEnd w:id="175"/>
      <w:bookmarkStart w:id="176" w:name="_Toc184314454"/>
      <w:bookmarkEnd w:id="176"/>
      <w:bookmarkStart w:id="177" w:name="_Toc184313269"/>
      <w:bookmarkEnd w:id="177"/>
      <w:bookmarkStart w:id="178" w:name="_Toc184308038"/>
      <w:bookmarkEnd w:id="178"/>
      <w:bookmarkStart w:id="179" w:name="_Toc184308083"/>
      <w:bookmarkEnd w:id="179"/>
      <w:bookmarkStart w:id="180" w:name="_Toc184314478"/>
      <w:bookmarkEnd w:id="180"/>
      <w:bookmarkStart w:id="181" w:name="_Toc184308058"/>
      <w:bookmarkEnd w:id="181"/>
      <w:bookmarkStart w:id="182" w:name="_Toc184312100"/>
      <w:bookmarkEnd w:id="182"/>
      <w:bookmarkStart w:id="183" w:name="_Toc184308069"/>
      <w:bookmarkEnd w:id="183"/>
      <w:bookmarkStart w:id="184" w:name="_Toc184312086"/>
      <w:bookmarkEnd w:id="184"/>
      <w:bookmarkStart w:id="185" w:name="_Toc184312111"/>
      <w:bookmarkEnd w:id="185"/>
      <w:bookmarkStart w:id="186" w:name="_Toc184310342"/>
      <w:bookmarkEnd w:id="186"/>
      <w:bookmarkStart w:id="187" w:name="_Toc184310282"/>
      <w:bookmarkEnd w:id="187"/>
      <w:bookmarkStart w:id="188" w:name="_Toc184308094"/>
      <w:bookmarkEnd w:id="188"/>
      <w:bookmarkStart w:id="189" w:name="_Toc184310287"/>
      <w:bookmarkEnd w:id="189"/>
      <w:bookmarkStart w:id="190" w:name="_Toc184313287"/>
      <w:bookmarkEnd w:id="190"/>
      <w:bookmarkStart w:id="191" w:name="_Toc184310314"/>
      <w:bookmarkEnd w:id="191"/>
      <w:bookmarkStart w:id="192" w:name="_Toc184310318"/>
      <w:bookmarkEnd w:id="192"/>
      <w:bookmarkStart w:id="193" w:name="_Toc184310332"/>
      <w:bookmarkEnd w:id="193"/>
      <w:bookmarkStart w:id="194" w:name="_Toc184308063"/>
      <w:bookmarkEnd w:id="194"/>
      <w:bookmarkStart w:id="195" w:name="_Toc184313270"/>
      <w:bookmarkEnd w:id="195"/>
      <w:bookmarkStart w:id="196" w:name="_Toc184312119"/>
      <w:bookmarkEnd w:id="196"/>
      <w:bookmarkStart w:id="197" w:name="_Toc184308064"/>
      <w:bookmarkEnd w:id="197"/>
      <w:bookmarkStart w:id="198" w:name="_Toc184310341"/>
      <w:bookmarkEnd w:id="198"/>
      <w:bookmarkStart w:id="199" w:name="_Toc184313251"/>
      <w:bookmarkEnd w:id="199"/>
      <w:bookmarkStart w:id="200" w:name="_Toc184308101"/>
      <w:bookmarkEnd w:id="200"/>
      <w:bookmarkStart w:id="201" w:name="_Toc184313300"/>
      <w:bookmarkEnd w:id="201"/>
      <w:bookmarkStart w:id="202" w:name="_Toc184308048"/>
      <w:bookmarkEnd w:id="202"/>
      <w:bookmarkStart w:id="203" w:name="_Toc184312110"/>
      <w:bookmarkEnd w:id="203"/>
      <w:bookmarkStart w:id="204" w:name="_Toc184308100"/>
      <w:bookmarkEnd w:id="204"/>
      <w:bookmarkStart w:id="205" w:name="_Toc184314430"/>
      <w:bookmarkEnd w:id="205"/>
      <w:bookmarkStart w:id="206" w:name="_Toc184310301"/>
      <w:bookmarkEnd w:id="206"/>
      <w:bookmarkStart w:id="207" w:name="_Toc184313275"/>
      <w:bookmarkEnd w:id="207"/>
      <w:bookmarkStart w:id="208" w:name="_Toc184314455"/>
      <w:bookmarkEnd w:id="208"/>
      <w:bookmarkStart w:id="209" w:name="_Toc184312077"/>
      <w:bookmarkEnd w:id="209"/>
      <w:bookmarkStart w:id="210" w:name="_Toc184313276"/>
      <w:bookmarkEnd w:id="210"/>
      <w:bookmarkStart w:id="211" w:name="_Toc184312101"/>
      <w:bookmarkEnd w:id="211"/>
      <w:bookmarkStart w:id="212" w:name="_Toc184314459"/>
      <w:bookmarkEnd w:id="212"/>
      <w:bookmarkStart w:id="213" w:name="_Toc184310322"/>
      <w:bookmarkEnd w:id="213"/>
      <w:bookmarkStart w:id="214" w:name="_Toc184312085"/>
      <w:bookmarkEnd w:id="214"/>
      <w:bookmarkStart w:id="215" w:name="_Toc184312135"/>
      <w:bookmarkEnd w:id="215"/>
      <w:bookmarkStart w:id="216" w:name="_Toc184310281"/>
      <w:bookmarkEnd w:id="216"/>
      <w:bookmarkStart w:id="217" w:name="_Toc184312138"/>
      <w:bookmarkEnd w:id="217"/>
      <w:bookmarkStart w:id="218" w:name="_Toc184308090"/>
      <w:bookmarkEnd w:id="218"/>
      <w:bookmarkStart w:id="219" w:name="_Toc184310321"/>
      <w:bookmarkEnd w:id="219"/>
      <w:bookmarkStart w:id="220" w:name="_Toc184312073"/>
      <w:bookmarkEnd w:id="220"/>
      <w:bookmarkStart w:id="221" w:name="_Toc184313288"/>
      <w:bookmarkEnd w:id="221"/>
      <w:bookmarkStart w:id="222" w:name="_Toc184313254"/>
      <w:bookmarkEnd w:id="222"/>
      <w:bookmarkStart w:id="223" w:name="_Toc184308055"/>
      <w:bookmarkEnd w:id="223"/>
      <w:bookmarkStart w:id="224" w:name="_Toc184312090"/>
      <w:bookmarkEnd w:id="224"/>
      <w:bookmarkStart w:id="225" w:name="_Toc184312116"/>
      <w:bookmarkEnd w:id="225"/>
      <w:bookmarkStart w:id="226" w:name="_Toc184310292"/>
      <w:bookmarkEnd w:id="226"/>
      <w:bookmarkStart w:id="227" w:name="_Toc184313278"/>
      <w:bookmarkEnd w:id="227"/>
      <w:bookmarkStart w:id="228" w:name="_Toc184308039"/>
      <w:bookmarkEnd w:id="228"/>
      <w:bookmarkStart w:id="229" w:name="_Toc184313301"/>
      <w:bookmarkEnd w:id="229"/>
      <w:bookmarkStart w:id="230" w:name="_Toc184308074"/>
      <w:bookmarkEnd w:id="230"/>
      <w:bookmarkStart w:id="231" w:name="_Toc184313240"/>
      <w:bookmarkEnd w:id="231"/>
      <w:bookmarkStart w:id="232" w:name="_Toc184310285"/>
      <w:bookmarkEnd w:id="232"/>
      <w:bookmarkStart w:id="233" w:name="_Toc184314413"/>
      <w:bookmarkEnd w:id="233"/>
      <w:bookmarkStart w:id="234" w:name="_Toc184314428"/>
      <w:bookmarkEnd w:id="234"/>
      <w:bookmarkStart w:id="235" w:name="_Toc184314453"/>
      <w:bookmarkEnd w:id="235"/>
      <w:bookmarkStart w:id="236" w:name="_Toc184314477"/>
      <w:bookmarkEnd w:id="236"/>
      <w:bookmarkStart w:id="237" w:name="_Toc184312070"/>
      <w:bookmarkEnd w:id="237"/>
      <w:bookmarkStart w:id="238" w:name="_Toc184312123"/>
      <w:bookmarkEnd w:id="238"/>
      <w:bookmarkStart w:id="239" w:name="_Toc184312068"/>
      <w:bookmarkEnd w:id="239"/>
      <w:bookmarkStart w:id="240" w:name="_Toc184313280"/>
      <w:bookmarkEnd w:id="240"/>
      <w:bookmarkStart w:id="241" w:name="_Toc184310298"/>
      <w:bookmarkEnd w:id="241"/>
      <w:bookmarkStart w:id="242" w:name="_Toc184308037"/>
      <w:bookmarkEnd w:id="242"/>
      <w:bookmarkStart w:id="243" w:name="_Toc184310275"/>
      <w:bookmarkEnd w:id="243"/>
      <w:bookmarkStart w:id="244" w:name="_Toc184308042"/>
      <w:bookmarkEnd w:id="244"/>
      <w:bookmarkStart w:id="245" w:name="_Toc184312115"/>
      <w:bookmarkEnd w:id="245"/>
      <w:bookmarkStart w:id="246" w:name="_Toc184310299"/>
      <w:bookmarkEnd w:id="246"/>
      <w:bookmarkStart w:id="247" w:name="_Toc184308067"/>
      <w:bookmarkEnd w:id="247"/>
      <w:bookmarkStart w:id="248" w:name="_Toc184313266"/>
      <w:bookmarkEnd w:id="248"/>
      <w:bookmarkStart w:id="249" w:name="_Toc184314458"/>
      <w:bookmarkEnd w:id="249"/>
      <w:bookmarkStart w:id="250" w:name="_Toc184313263"/>
      <w:bookmarkEnd w:id="250"/>
      <w:bookmarkStart w:id="251" w:name="_Toc184312069"/>
      <w:bookmarkEnd w:id="251"/>
      <w:bookmarkStart w:id="252" w:name="_Toc184313296"/>
      <w:bookmarkEnd w:id="252"/>
      <w:bookmarkStart w:id="253" w:name="_Toc184312117"/>
      <w:bookmarkEnd w:id="253"/>
      <w:bookmarkStart w:id="254" w:name="_Toc184310304"/>
      <w:bookmarkEnd w:id="254"/>
      <w:bookmarkStart w:id="255" w:name="_Toc184310288"/>
      <w:bookmarkEnd w:id="255"/>
      <w:bookmarkStart w:id="256" w:name="_Toc184313261"/>
      <w:bookmarkEnd w:id="256"/>
      <w:bookmarkStart w:id="257" w:name="_Toc184310320"/>
      <w:bookmarkEnd w:id="257"/>
      <w:bookmarkStart w:id="258" w:name="_Toc184313292"/>
      <w:bookmarkEnd w:id="258"/>
      <w:bookmarkStart w:id="259" w:name="_Toc184312134"/>
      <w:bookmarkEnd w:id="259"/>
      <w:bookmarkStart w:id="260" w:name="_Toc184308062"/>
      <w:bookmarkEnd w:id="260"/>
      <w:bookmarkStart w:id="261" w:name="_Toc184310273"/>
      <w:bookmarkEnd w:id="261"/>
      <w:bookmarkStart w:id="262" w:name="_Toc184310331"/>
      <w:bookmarkEnd w:id="262"/>
      <w:bookmarkStart w:id="263" w:name="_Toc184313239"/>
      <w:bookmarkEnd w:id="263"/>
      <w:bookmarkStart w:id="264" w:name="_Toc184313299"/>
      <w:bookmarkEnd w:id="264"/>
      <w:bookmarkStart w:id="265" w:name="_Toc184310334"/>
      <w:bookmarkEnd w:id="265"/>
      <w:bookmarkStart w:id="266" w:name="_Toc184314443"/>
      <w:bookmarkEnd w:id="266"/>
      <w:bookmarkStart w:id="267" w:name="_Toc184310317"/>
      <w:bookmarkEnd w:id="267"/>
      <w:bookmarkStart w:id="268" w:name="_Toc184308053"/>
      <w:bookmarkEnd w:id="268"/>
      <w:bookmarkStart w:id="269" w:name="_Toc184310344"/>
      <w:bookmarkEnd w:id="269"/>
      <w:bookmarkStart w:id="270" w:name="_Toc184312112"/>
      <w:bookmarkEnd w:id="270"/>
      <w:bookmarkStart w:id="271" w:name="_Toc184314481"/>
      <w:bookmarkEnd w:id="271"/>
      <w:bookmarkStart w:id="272" w:name="_Toc184308043"/>
      <w:bookmarkEnd w:id="272"/>
      <w:bookmarkStart w:id="273" w:name="_Toc184314424"/>
      <w:bookmarkEnd w:id="273"/>
      <w:bookmarkStart w:id="274" w:name="_Toc184312098"/>
      <w:bookmarkEnd w:id="274"/>
      <w:bookmarkStart w:id="275" w:name="_Toc184314411"/>
      <w:bookmarkEnd w:id="275"/>
      <w:bookmarkStart w:id="276" w:name="_Toc184314471"/>
      <w:bookmarkEnd w:id="276"/>
      <w:bookmarkStart w:id="277" w:name="_Toc184308073"/>
      <w:bookmarkEnd w:id="277"/>
      <w:bookmarkStart w:id="278" w:name="_Toc184314447"/>
      <w:bookmarkEnd w:id="278"/>
      <w:bookmarkStart w:id="279" w:name="_Toc184310316"/>
      <w:bookmarkEnd w:id="279"/>
      <w:bookmarkStart w:id="280" w:name="_Toc184310274"/>
      <w:bookmarkEnd w:id="280"/>
      <w:bookmarkStart w:id="281" w:name="_Toc184308075"/>
      <w:bookmarkEnd w:id="281"/>
      <w:bookmarkStart w:id="282" w:name="_Toc184313277"/>
      <w:bookmarkEnd w:id="282"/>
      <w:bookmarkStart w:id="283" w:name="_Toc184313285"/>
      <w:bookmarkEnd w:id="283"/>
      <w:bookmarkStart w:id="284" w:name="_Toc184310291"/>
      <w:bookmarkEnd w:id="284"/>
      <w:bookmarkStart w:id="285" w:name="_Toc184313306"/>
      <w:bookmarkEnd w:id="285"/>
      <w:bookmarkStart w:id="286" w:name="_Toc184314452"/>
      <w:bookmarkEnd w:id="286"/>
      <w:bookmarkStart w:id="287" w:name="_Toc184314469"/>
      <w:bookmarkEnd w:id="287"/>
      <w:bookmarkStart w:id="288" w:name="_Toc184314475"/>
      <w:bookmarkEnd w:id="288"/>
      <w:bookmarkStart w:id="289" w:name="_Toc184310326"/>
      <w:bookmarkEnd w:id="289"/>
      <w:bookmarkStart w:id="290" w:name="_Toc184310296"/>
      <w:bookmarkEnd w:id="290"/>
      <w:bookmarkStart w:id="291" w:name="_Toc184308102"/>
      <w:bookmarkEnd w:id="291"/>
      <w:bookmarkStart w:id="292" w:name="_Toc184308044"/>
      <w:bookmarkEnd w:id="292"/>
      <w:bookmarkStart w:id="293" w:name="_Toc184314449"/>
      <w:bookmarkEnd w:id="293"/>
      <w:bookmarkStart w:id="294" w:name="_Toc184312083"/>
      <w:bookmarkEnd w:id="294"/>
      <w:bookmarkStart w:id="295" w:name="_Toc184308105"/>
      <w:bookmarkEnd w:id="295"/>
      <w:bookmarkStart w:id="296" w:name="_Toc184310325"/>
      <w:bookmarkEnd w:id="296"/>
      <w:bookmarkStart w:id="297" w:name="_Toc184313245"/>
      <w:bookmarkEnd w:id="297"/>
      <w:bookmarkStart w:id="298" w:name="_Toc184314470"/>
      <w:bookmarkEnd w:id="298"/>
      <w:bookmarkStart w:id="299" w:name="_Toc184313262"/>
      <w:bookmarkEnd w:id="299"/>
      <w:bookmarkStart w:id="300" w:name="_Toc184312089"/>
      <w:bookmarkEnd w:id="300"/>
      <w:bookmarkStart w:id="301" w:name="_Toc184313248"/>
      <w:bookmarkEnd w:id="301"/>
      <w:bookmarkStart w:id="302" w:name="_Toc184312128"/>
      <w:bookmarkEnd w:id="302"/>
      <w:bookmarkStart w:id="303" w:name="_Toc184310290"/>
      <w:bookmarkEnd w:id="303"/>
      <w:bookmarkStart w:id="304" w:name="_Toc184310312"/>
      <w:bookmarkEnd w:id="304"/>
      <w:bookmarkStart w:id="305" w:name="_Toc184312091"/>
      <w:bookmarkEnd w:id="305"/>
      <w:bookmarkStart w:id="306" w:name="_Toc184312122"/>
      <w:bookmarkEnd w:id="306"/>
      <w:bookmarkStart w:id="307" w:name="_Toc184312130"/>
      <w:bookmarkEnd w:id="307"/>
      <w:bookmarkStart w:id="308" w:name="_Toc184314433"/>
      <w:bookmarkEnd w:id="308"/>
      <w:bookmarkStart w:id="309" w:name="_Toc184312106"/>
      <w:bookmarkEnd w:id="309"/>
      <w:bookmarkStart w:id="310" w:name="_Toc184310327"/>
      <w:bookmarkEnd w:id="310"/>
      <w:bookmarkStart w:id="311" w:name="_Toc184313286"/>
      <w:bookmarkEnd w:id="311"/>
      <w:bookmarkStart w:id="312" w:name="_Toc184310279"/>
      <w:bookmarkEnd w:id="312"/>
      <w:bookmarkStart w:id="313" w:name="_Toc184308060"/>
      <w:bookmarkEnd w:id="313"/>
      <w:bookmarkStart w:id="314" w:name="_Toc184314476"/>
      <w:bookmarkEnd w:id="314"/>
      <w:bookmarkStart w:id="315" w:name="_Toc184313249"/>
      <w:bookmarkEnd w:id="315"/>
      <w:bookmarkStart w:id="316" w:name="_Toc184308103"/>
      <w:bookmarkEnd w:id="316"/>
      <w:bookmarkStart w:id="317" w:name="_Toc184310339"/>
      <w:bookmarkEnd w:id="317"/>
      <w:bookmarkStart w:id="318" w:name="_Toc184314437"/>
      <w:bookmarkEnd w:id="318"/>
      <w:bookmarkStart w:id="319" w:name="_Toc184313246"/>
      <w:bookmarkEnd w:id="319"/>
      <w:bookmarkStart w:id="320" w:name="_Toc184314429"/>
      <w:bookmarkEnd w:id="320"/>
      <w:bookmarkStart w:id="321" w:name="_Toc184314427"/>
      <w:bookmarkEnd w:id="321"/>
      <w:bookmarkStart w:id="322" w:name="_Toc184313297"/>
      <w:bookmarkEnd w:id="322"/>
      <w:bookmarkStart w:id="323" w:name="_Toc184312127"/>
      <w:bookmarkEnd w:id="323"/>
      <w:bookmarkStart w:id="324" w:name="_Toc184308041"/>
      <w:bookmarkEnd w:id="324"/>
      <w:bookmarkStart w:id="325" w:name="_Toc184312072"/>
      <w:bookmarkEnd w:id="325"/>
      <w:bookmarkStart w:id="326" w:name="_Toc184310335"/>
      <w:bookmarkEnd w:id="326"/>
      <w:bookmarkStart w:id="327" w:name="_Toc184310272"/>
      <w:bookmarkEnd w:id="327"/>
      <w:bookmarkStart w:id="328" w:name="_Toc184310276"/>
      <w:bookmarkEnd w:id="328"/>
      <w:bookmarkStart w:id="329" w:name="_Toc184308099"/>
      <w:bookmarkEnd w:id="329"/>
      <w:bookmarkStart w:id="330" w:name="_Toc184310330"/>
      <w:bookmarkEnd w:id="330"/>
      <w:bookmarkStart w:id="331" w:name="_Toc184310280"/>
      <w:bookmarkEnd w:id="331"/>
      <w:bookmarkStart w:id="332" w:name="_Toc184314457"/>
      <w:bookmarkEnd w:id="332"/>
      <w:bookmarkStart w:id="333" w:name="_Toc184314435"/>
      <w:bookmarkEnd w:id="333"/>
      <w:bookmarkStart w:id="334" w:name="_Toc184313250"/>
      <w:bookmarkEnd w:id="334"/>
      <w:bookmarkStart w:id="335" w:name="_Toc184314474"/>
      <w:bookmarkEnd w:id="335"/>
      <w:bookmarkStart w:id="336" w:name="_Toc184312079"/>
      <w:bookmarkEnd w:id="336"/>
      <w:bookmarkStart w:id="337" w:name="_Toc184314436"/>
      <w:bookmarkEnd w:id="337"/>
      <w:bookmarkStart w:id="338" w:name="_Toc184312093"/>
      <w:bookmarkEnd w:id="338"/>
      <w:bookmarkStart w:id="339" w:name="_Toc184313244"/>
      <w:bookmarkEnd w:id="339"/>
      <w:bookmarkStart w:id="340" w:name="_Toc184313265"/>
      <w:bookmarkEnd w:id="340"/>
      <w:bookmarkStart w:id="341" w:name="_Toc184314416"/>
      <w:bookmarkEnd w:id="341"/>
      <w:bookmarkStart w:id="342" w:name="_Toc184313298"/>
      <w:bookmarkEnd w:id="342"/>
      <w:bookmarkStart w:id="343" w:name="_Toc184313304"/>
      <w:bookmarkEnd w:id="343"/>
      <w:bookmarkStart w:id="344" w:name="_Toc184314412"/>
      <w:bookmarkEnd w:id="344"/>
      <w:bookmarkStart w:id="345" w:name="_Toc184308091"/>
      <w:bookmarkEnd w:id="345"/>
      <w:bookmarkStart w:id="346" w:name="_Toc184314479"/>
      <w:bookmarkEnd w:id="346"/>
      <w:bookmarkStart w:id="347" w:name="_Toc184308076"/>
      <w:bookmarkEnd w:id="347"/>
      <w:bookmarkStart w:id="348" w:name="_Toc184314463"/>
      <w:bookmarkEnd w:id="348"/>
      <w:bookmarkStart w:id="349" w:name="_Toc184314415"/>
      <w:bookmarkEnd w:id="349"/>
      <w:bookmarkStart w:id="350" w:name="_Toc184308068"/>
      <w:bookmarkEnd w:id="350"/>
      <w:bookmarkStart w:id="351" w:name="_Toc184313259"/>
      <w:bookmarkEnd w:id="351"/>
      <w:bookmarkStart w:id="352" w:name="_Toc184308050"/>
      <w:bookmarkEnd w:id="352"/>
      <w:bookmarkStart w:id="353" w:name="_Toc184314462"/>
      <w:bookmarkEnd w:id="353"/>
      <w:bookmarkStart w:id="354" w:name="_Toc184308095"/>
      <w:bookmarkEnd w:id="354"/>
      <w:bookmarkStart w:id="355" w:name="_Toc184314480"/>
      <w:bookmarkEnd w:id="355"/>
      <w:bookmarkStart w:id="356" w:name="_Toc184312108"/>
      <w:bookmarkEnd w:id="356"/>
      <w:bookmarkStart w:id="357" w:name="_Toc184313242"/>
      <w:bookmarkEnd w:id="357"/>
      <w:bookmarkStart w:id="358" w:name="_Toc184313282"/>
      <w:bookmarkEnd w:id="358"/>
      <w:bookmarkStart w:id="359" w:name="_Toc184314425"/>
      <w:bookmarkEnd w:id="359"/>
      <w:bookmarkStart w:id="360" w:name="_Toc184310307"/>
      <w:bookmarkEnd w:id="360"/>
      <w:bookmarkStart w:id="361" w:name="_Toc184310324"/>
      <w:bookmarkEnd w:id="361"/>
      <w:bookmarkStart w:id="362" w:name="_Toc184313305"/>
      <w:bookmarkEnd w:id="362"/>
      <w:bookmarkStart w:id="363" w:name="_Toc184314414"/>
      <w:bookmarkEnd w:id="363"/>
      <w:bookmarkStart w:id="364" w:name="_Toc184310295"/>
      <w:bookmarkEnd w:id="364"/>
      <w:bookmarkStart w:id="365" w:name="_Toc184312102"/>
      <w:bookmarkEnd w:id="365"/>
      <w:bookmarkStart w:id="366" w:name="_Toc184308046"/>
      <w:bookmarkEnd w:id="366"/>
      <w:bookmarkStart w:id="367" w:name="_Toc184308097"/>
      <w:bookmarkEnd w:id="367"/>
      <w:bookmarkStart w:id="368" w:name="_Toc184313309"/>
      <w:bookmarkEnd w:id="368"/>
      <w:bookmarkStart w:id="369" w:name="_Toc184314467"/>
      <w:bookmarkEnd w:id="369"/>
      <w:bookmarkStart w:id="370" w:name="_Toc184310338"/>
      <w:bookmarkEnd w:id="370"/>
      <w:bookmarkStart w:id="371" w:name="_Toc184308092"/>
      <w:bookmarkEnd w:id="371"/>
      <w:bookmarkStart w:id="372" w:name="_Toc184308088"/>
      <w:bookmarkEnd w:id="372"/>
      <w:bookmarkStart w:id="373" w:name="_Toc184314419"/>
      <w:bookmarkEnd w:id="373"/>
      <w:bookmarkStart w:id="374" w:name="_Toc184310303"/>
      <w:bookmarkEnd w:id="374"/>
      <w:bookmarkStart w:id="375" w:name="_Toc184310294"/>
      <w:bookmarkEnd w:id="375"/>
      <w:bookmarkStart w:id="376" w:name="_Toc184313284"/>
      <w:bookmarkEnd w:id="376"/>
      <w:bookmarkStart w:id="377" w:name="_Toc184308096"/>
      <w:bookmarkEnd w:id="377"/>
      <w:bookmarkStart w:id="378" w:name="_Toc184308077"/>
      <w:bookmarkEnd w:id="378"/>
      <w:bookmarkStart w:id="379" w:name="_Toc184310277"/>
      <w:bookmarkEnd w:id="379"/>
      <w:bookmarkStart w:id="380" w:name="_Toc184313260"/>
      <w:bookmarkEnd w:id="380"/>
      <w:bookmarkStart w:id="381" w:name="_Toc184308098"/>
      <w:bookmarkEnd w:id="381"/>
      <w:bookmarkStart w:id="382" w:name="_Toc184313243"/>
      <w:bookmarkEnd w:id="382"/>
      <w:bookmarkStart w:id="383" w:name="_Toc184312076"/>
      <w:bookmarkEnd w:id="383"/>
      <w:bookmarkStart w:id="384" w:name="_Toc184312129"/>
      <w:bookmarkEnd w:id="384"/>
      <w:bookmarkStart w:id="385" w:name="_Toc184312074"/>
      <w:bookmarkEnd w:id="385"/>
      <w:bookmarkStart w:id="386" w:name="_Toc184312107"/>
      <w:bookmarkEnd w:id="386"/>
      <w:bookmarkStart w:id="387" w:name="_Toc184312137"/>
      <w:bookmarkEnd w:id="387"/>
      <w:bookmarkStart w:id="388" w:name="_Toc184308072"/>
      <w:bookmarkEnd w:id="388"/>
      <w:bookmarkStart w:id="389" w:name="_Toc184314466"/>
      <w:bookmarkEnd w:id="389"/>
      <w:bookmarkStart w:id="390" w:name="_Toc184308045"/>
      <w:bookmarkEnd w:id="390"/>
      <w:bookmarkStart w:id="391" w:name="_Toc184312125"/>
      <w:bookmarkEnd w:id="391"/>
      <w:r>
        <w:rPr>
          <w:rFonts w:hint="eastAsia" w:ascii="仿宋" w:hAnsi="仿宋" w:eastAsia="仿宋" w:cs="仿宋_GB2312"/>
          <w:b/>
          <w:color w:val="auto"/>
          <w:sz w:val="36"/>
          <w:szCs w:val="36"/>
        </w:rPr>
        <w:t>评标办法</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p>
      <w:pPr>
        <w:snapToGrid w:val="0"/>
        <w:spacing w:line="360" w:lineRule="auto"/>
        <w:jc w:val="left"/>
        <w:rPr>
          <w:rFonts w:ascii="仿宋" w:hAnsi="仿宋" w:eastAsia="仿宋" w:cs="仿宋_GB2312"/>
          <w:color w:val="auto"/>
          <w:sz w:val="24"/>
        </w:rPr>
      </w:pPr>
      <w:r>
        <w:rPr>
          <w:rFonts w:hint="eastAsia" w:ascii="仿宋_GB2312" w:hAnsi="仿宋" w:eastAsia="仿宋_GB2312"/>
          <w:color w:val="auto"/>
          <w:sz w:val="24"/>
          <w:szCs w:val="20"/>
        </w:rPr>
        <w:t xml:space="preserve">  </w:t>
      </w:r>
      <w:r>
        <w:rPr>
          <w:rFonts w:hint="eastAsia" w:ascii="仿宋_GB2312" w:hAnsi="仿宋" w:eastAsia="仿宋_GB2312"/>
          <w:color w:val="auto"/>
          <w:sz w:val="24"/>
          <w:szCs w:val="20"/>
          <w:lang w:val="en-US" w:eastAsia="zh-CN"/>
        </w:rPr>
        <w:t xml:space="preserve"> </w:t>
      </w:r>
      <w:r>
        <w:rPr>
          <w:rFonts w:hint="eastAsia" w:ascii="仿宋_GB2312" w:hAnsi="仿宋" w:eastAsia="仿宋_GB2312"/>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r>
        <w:rPr>
          <w:rFonts w:hint="eastAsia" w:ascii="仿宋_GB2312" w:hAnsi="仿宋" w:eastAsia="仿宋_GB2312"/>
          <w:color w:val="auto"/>
          <w:sz w:val="24"/>
          <w:szCs w:val="20"/>
          <w:lang w:val="en-US" w:eastAsia="zh-CN"/>
        </w:rPr>
        <w:t>产生中标候选人。</w:t>
      </w:r>
      <w:r>
        <w:rPr>
          <w:rFonts w:hint="eastAsia" w:ascii="仿宋" w:hAnsi="仿宋" w:eastAsia="仿宋" w:cs="仿宋_GB2312"/>
          <w:color w:val="auto"/>
          <w:sz w:val="24"/>
        </w:rPr>
        <w:t>价格分（</w:t>
      </w:r>
      <w:r>
        <w:rPr>
          <w:rFonts w:hint="eastAsia" w:ascii="仿宋" w:hAnsi="仿宋" w:eastAsia="仿宋" w:cs="仿宋_GB2312"/>
          <w:color w:val="auto"/>
          <w:sz w:val="24"/>
          <w:lang w:val="en-US" w:eastAsia="zh-CN"/>
        </w:rPr>
        <w:t>10</w:t>
      </w:r>
      <w:r>
        <w:rPr>
          <w:rFonts w:hint="eastAsia" w:ascii="仿宋" w:hAnsi="仿宋" w:eastAsia="仿宋" w:cs="仿宋_GB2312"/>
          <w:color w:val="auto"/>
          <w:sz w:val="24"/>
        </w:rPr>
        <w:t>分）</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w:t>
      </w:r>
      <w:r>
        <w:rPr>
          <w:rFonts w:hint="eastAsia" w:ascii="仿宋" w:hAnsi="仿宋" w:eastAsia="仿宋" w:cs="仿宋_GB2312"/>
          <w:color w:val="auto"/>
          <w:sz w:val="24"/>
          <w:lang w:val="en-US" w:eastAsia="zh-CN"/>
        </w:rPr>
        <w:t>90</w:t>
      </w:r>
      <w:r>
        <w:rPr>
          <w:rFonts w:hint="eastAsia" w:ascii="仿宋" w:hAnsi="仿宋" w:eastAsia="仿宋" w:cs="仿宋_GB2312"/>
          <w:color w:val="auto"/>
          <w:sz w:val="24"/>
        </w:rPr>
        <w:t>分）</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技术、商务分的计算：</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技术、商务分按照评标委员会成员的独立评分结果汇总数的算术平均分计算，计算公式为：</w:t>
      </w:r>
    </w:p>
    <w:p>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技术、商务分=评标委员会所有成员评分合计数/评标委员会组成人员数</w:t>
      </w:r>
    </w:p>
    <w:p>
      <w:pPr>
        <w:snapToGrid w:val="0"/>
        <w:spacing w:line="360" w:lineRule="auto"/>
        <w:rPr>
          <w:color w:val="auto"/>
        </w:rPr>
      </w:pPr>
      <w:r>
        <w:rPr>
          <w:rFonts w:hint="eastAsia" w:ascii="仿宋" w:hAnsi="仿宋" w:eastAsia="仿宋" w:cs="仿宋_GB2312"/>
          <w:color w:val="auto"/>
          <w:sz w:val="24"/>
        </w:rPr>
        <w:t>、评分细则如下：</w:t>
      </w:r>
    </w:p>
    <w:p>
      <w:pPr>
        <w:snapToGrid w:val="0"/>
        <w:spacing w:line="360" w:lineRule="auto"/>
        <w:rPr>
          <w:rFonts w:hint="eastAsia" w:ascii="仿宋" w:hAnsi="仿宋" w:eastAsia="仿宋" w:cs="仿宋_GB2312"/>
          <w:color w:val="auto"/>
          <w:sz w:val="24"/>
          <w:lang w:eastAsia="zh-CN"/>
        </w:rPr>
      </w:pPr>
      <w:r>
        <w:rPr>
          <w:rFonts w:hint="eastAsia" w:ascii="仿宋" w:hAnsi="仿宋" w:eastAsia="仿宋" w:cs="仿宋_GB2312"/>
          <w:color w:val="auto"/>
          <w:sz w:val="24"/>
        </w:rPr>
        <w:t>评分细则如下</w:t>
      </w:r>
      <w:r>
        <w:rPr>
          <w:rFonts w:hint="eastAsia" w:ascii="仿宋" w:hAnsi="仿宋" w:eastAsia="仿宋" w:cs="仿宋_GB2312"/>
          <w:color w:val="auto"/>
          <w:sz w:val="24"/>
          <w:lang w:eastAsia="zh-CN"/>
        </w:rPr>
        <w:t>：</w:t>
      </w:r>
    </w:p>
    <w:p>
      <w:pPr>
        <w:adjustRightInd/>
        <w:spacing w:line="440" w:lineRule="exact"/>
        <w:ind w:firstLine="602" w:firstLineChars="250"/>
        <w:rPr>
          <w:rFonts w:ascii="仿宋" w:hAnsi="仿宋" w:eastAsia="仿宋"/>
          <w:b/>
          <w:bCs/>
          <w:color w:val="auto"/>
          <w:sz w:val="24"/>
        </w:rPr>
      </w:pPr>
      <w:r>
        <w:rPr>
          <w:rFonts w:hint="eastAsia" w:ascii="仿宋" w:hAnsi="仿宋" w:eastAsia="仿宋"/>
          <w:b/>
          <w:bCs/>
          <w:color w:val="auto"/>
          <w:sz w:val="24"/>
        </w:rPr>
        <w:t xml:space="preserve">1）、价格分（ </w:t>
      </w:r>
      <w:r>
        <w:rPr>
          <w:rFonts w:hint="eastAsia" w:ascii="仿宋" w:hAnsi="仿宋" w:eastAsia="仿宋"/>
          <w:b/>
          <w:bCs/>
          <w:color w:val="auto"/>
          <w:sz w:val="24"/>
          <w:lang w:val="en-US" w:eastAsia="zh-CN"/>
        </w:rPr>
        <w:t>10</w:t>
      </w:r>
      <w:r>
        <w:rPr>
          <w:rFonts w:hint="eastAsia" w:ascii="仿宋" w:hAnsi="仿宋" w:eastAsia="仿宋"/>
          <w:b/>
          <w:bCs/>
          <w:color w:val="auto"/>
          <w:sz w:val="24"/>
        </w:rPr>
        <w:t xml:space="preserve"> 分）：</w:t>
      </w:r>
    </w:p>
    <w:tbl>
      <w:tblPr>
        <w:tblStyle w:val="62"/>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7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44" w:type="dxa"/>
            <w:vAlign w:val="center"/>
          </w:tcPr>
          <w:p>
            <w:pPr>
              <w:spacing w:before="0" w:beforeAutospacing="0" w:after="0" w:afterAutospacing="0" w:line="360" w:lineRule="auto"/>
              <w:ind w:left="0" w:right="0" w:firstLine="240" w:firstLineChars="100"/>
              <w:outlineLvl w:val="0"/>
              <w:rPr>
                <w:rFonts w:ascii="仿宋" w:hAnsi="仿宋" w:eastAsia="仿宋" w:cs="仿宋_GB2312"/>
                <w:color w:val="auto"/>
                <w:sz w:val="24"/>
                <w:szCs w:val="20"/>
              </w:rPr>
            </w:pPr>
            <w:r>
              <w:rPr>
                <w:rFonts w:hint="eastAsia" w:ascii="仿宋" w:hAnsi="仿宋" w:eastAsia="仿宋" w:cs="仿宋_GB2312"/>
                <w:color w:val="auto"/>
                <w:sz w:val="24"/>
                <w:szCs w:val="20"/>
              </w:rPr>
              <w:t>价格分</w:t>
            </w:r>
          </w:p>
        </w:tc>
        <w:tc>
          <w:tcPr>
            <w:tcW w:w="5754" w:type="dxa"/>
            <w:vAlign w:val="top"/>
          </w:tcPr>
          <w:p>
            <w:pPr>
              <w:spacing w:before="0" w:beforeAutospacing="0" w:after="0" w:afterAutospacing="0" w:line="360" w:lineRule="auto"/>
              <w:ind w:left="0" w:right="0"/>
              <w:outlineLvl w:val="0"/>
              <w:rPr>
                <w:rFonts w:ascii="仿宋" w:hAnsi="仿宋" w:eastAsia="仿宋" w:cs="仿宋_GB2312"/>
                <w:color w:val="auto"/>
                <w:sz w:val="24"/>
                <w:szCs w:val="20"/>
              </w:rPr>
            </w:pPr>
            <w:r>
              <w:rPr>
                <w:rFonts w:hint="eastAsia" w:ascii="仿宋" w:hAnsi="仿宋" w:eastAsia="仿宋" w:cs="仿宋_GB2312"/>
                <w:color w:val="auto"/>
                <w:sz w:val="24"/>
                <w:szCs w:val="20"/>
              </w:rPr>
              <w:t>有效投标报价的最低价作为评标基准价，其最低报价为满分；按［投标报价得分=（评标基准价/投标报价）*</w:t>
            </w:r>
            <w:r>
              <w:rPr>
                <w:rFonts w:hint="eastAsia" w:ascii="仿宋" w:hAnsi="仿宋" w:eastAsia="仿宋" w:cs="仿宋_GB2312"/>
                <w:color w:val="auto"/>
                <w:sz w:val="24"/>
                <w:szCs w:val="20"/>
                <w:lang w:val="en-US" w:eastAsia="zh-CN"/>
              </w:rPr>
              <w:t>10</w:t>
            </w:r>
            <w:r>
              <w:rPr>
                <w:rFonts w:hint="eastAsia" w:ascii="仿宋" w:hAnsi="仿宋" w:eastAsia="仿宋" w:cs="仿宋_GB2312"/>
                <w:color w:val="auto"/>
                <w:sz w:val="24"/>
                <w:szCs w:val="20"/>
              </w:rPr>
              <w:t>］的计算公式计算。</w:t>
            </w:r>
          </w:p>
          <w:p>
            <w:pPr>
              <w:widowControl/>
              <w:shd w:val="clear" w:color="auto" w:fill="FFFFFF"/>
              <w:adjustRightInd/>
              <w:spacing w:before="0" w:beforeAutospacing="0" w:after="225" w:afterAutospacing="0" w:line="315" w:lineRule="atLeast"/>
              <w:ind w:left="0" w:right="0" w:firstLine="420"/>
              <w:jc w:val="left"/>
              <w:rPr>
                <w:rFonts w:ascii="仿宋" w:hAnsi="仿宋" w:eastAsia="仿宋" w:cs="仿宋_GB2312"/>
                <w:color w:val="auto"/>
                <w:sz w:val="24"/>
                <w:szCs w:val="20"/>
              </w:rPr>
            </w:pPr>
            <w:r>
              <w:rPr>
                <w:rFonts w:hint="eastAsia" w:ascii="仿宋" w:hAnsi="仿宋" w:eastAsia="仿宋" w:cs="仿宋_GB2312"/>
                <w:color w:val="auto"/>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ascii="仿宋" w:eastAsia="仿宋"/>
                <w:color w:val="auto"/>
                <w:sz w:val="24"/>
                <w:szCs w:val="20"/>
              </w:rPr>
            </w:pPr>
            <w:r>
              <w:rPr>
                <w:rFonts w:hint="eastAsia" w:ascii="仿宋" w:hAnsi="仿宋" w:eastAsia="仿宋" w:cs="仿宋_GB2312"/>
                <w:color w:val="auto"/>
                <w:sz w:val="24"/>
                <w:szCs w:val="20"/>
              </w:rPr>
              <w:t>因落实政府采购政策需要进行价格调整的，以调整后的价格计算评标基准价和投标报价。</w:t>
            </w:r>
          </w:p>
        </w:tc>
        <w:tc>
          <w:tcPr>
            <w:tcW w:w="1683" w:type="dxa"/>
            <w:vAlign w:val="center"/>
          </w:tcPr>
          <w:p>
            <w:pPr>
              <w:spacing w:before="0" w:beforeAutospacing="0" w:after="0" w:afterAutospacing="0" w:line="360" w:lineRule="auto"/>
              <w:ind w:left="0" w:right="0" w:firstLine="120" w:firstLineChars="50"/>
              <w:outlineLvl w:val="0"/>
              <w:rPr>
                <w:rFonts w:ascii="仿宋" w:hAnsi="仿宋" w:eastAsia="仿宋" w:cs="仿宋_GB2312"/>
                <w:color w:val="auto"/>
                <w:sz w:val="24"/>
                <w:szCs w:val="20"/>
              </w:rPr>
            </w:pPr>
            <w:r>
              <w:rPr>
                <w:rFonts w:hint="eastAsia" w:ascii="仿宋" w:hAnsi="仿宋" w:eastAsia="仿宋" w:cs="仿宋_GB2312"/>
                <w:color w:val="auto"/>
                <w:sz w:val="24"/>
                <w:szCs w:val="20"/>
                <w:lang w:val="en-US" w:eastAsia="zh-CN"/>
              </w:rPr>
              <w:t>10</w:t>
            </w:r>
            <w:r>
              <w:rPr>
                <w:rFonts w:hint="eastAsia" w:ascii="仿宋" w:hAnsi="仿宋" w:eastAsia="仿宋" w:cs="仿宋_GB2312"/>
                <w:color w:val="auto"/>
                <w:sz w:val="24"/>
                <w:szCs w:val="20"/>
              </w:rPr>
              <w:t>分</w:t>
            </w:r>
          </w:p>
        </w:tc>
      </w:tr>
    </w:tbl>
    <w:p>
      <w:pPr>
        <w:pStyle w:val="25"/>
        <w:rPr>
          <w:rFonts w:hint="eastAsia"/>
          <w:color w:val="auto"/>
          <w:lang w:eastAsia="zh-CN"/>
        </w:rPr>
      </w:pPr>
    </w:p>
    <w:p>
      <w:pPr>
        <w:pStyle w:val="26"/>
        <w:rPr>
          <w:rFonts w:hint="eastAsia"/>
          <w:color w:val="auto"/>
          <w:lang w:eastAsia="zh-CN"/>
        </w:rPr>
      </w:pPr>
    </w:p>
    <w:p>
      <w:pPr>
        <w:rPr>
          <w:rFonts w:hint="eastAsia"/>
          <w:color w:val="auto"/>
          <w:lang w:eastAsia="zh-CN"/>
        </w:rPr>
      </w:pPr>
    </w:p>
    <w:p>
      <w:pPr>
        <w:rPr>
          <w:rFonts w:hint="eastAsia"/>
          <w:color w:val="auto"/>
          <w:lang w:eastAsia="zh-CN"/>
        </w:rPr>
      </w:pPr>
    </w:p>
    <w:p>
      <w:pPr>
        <w:snapToGrid w:val="0"/>
        <w:spacing w:line="240" w:lineRule="auto"/>
        <w:ind w:firstLine="241" w:firstLineChars="100"/>
        <w:rPr>
          <w:rFonts w:ascii="仿宋" w:hAnsi="仿宋" w:eastAsia="仿宋"/>
          <w:b/>
          <w:bCs/>
          <w:color w:val="auto"/>
          <w:sz w:val="24"/>
        </w:rPr>
      </w:pPr>
      <w:r>
        <w:rPr>
          <w:rFonts w:hint="eastAsia" w:ascii="仿宋" w:hAnsi="仿宋" w:eastAsia="仿宋"/>
          <w:b/>
          <w:bCs/>
          <w:color w:val="auto"/>
          <w:sz w:val="24"/>
          <w:lang w:val="en-US" w:eastAsia="zh-CN"/>
        </w:rPr>
        <w:t>2）</w:t>
      </w:r>
      <w:r>
        <w:rPr>
          <w:rFonts w:hint="eastAsia" w:ascii="仿宋" w:hAnsi="仿宋" w:eastAsia="仿宋"/>
          <w:b/>
          <w:bCs/>
          <w:color w:val="auto"/>
          <w:sz w:val="24"/>
        </w:rPr>
        <w:t>技术分（</w:t>
      </w:r>
      <w:r>
        <w:rPr>
          <w:rFonts w:hint="eastAsia" w:ascii="仿宋" w:hAnsi="仿宋" w:eastAsia="仿宋"/>
          <w:b/>
          <w:bCs/>
          <w:color w:val="auto"/>
          <w:sz w:val="24"/>
          <w:lang w:val="en-US" w:eastAsia="zh-CN"/>
        </w:rPr>
        <w:t>83</w:t>
      </w:r>
      <w:r>
        <w:rPr>
          <w:rFonts w:hint="eastAsia" w:ascii="仿宋" w:hAnsi="仿宋" w:eastAsia="仿宋"/>
          <w:b/>
          <w:bCs/>
          <w:color w:val="auto"/>
          <w:sz w:val="24"/>
        </w:rPr>
        <w:t>分）：</w:t>
      </w:r>
    </w:p>
    <w:tbl>
      <w:tblPr>
        <w:tblStyle w:val="62"/>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118"/>
        <w:gridCol w:w="5782"/>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6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118"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评分内容</w:t>
            </w:r>
          </w:p>
        </w:tc>
        <w:tc>
          <w:tcPr>
            <w:tcW w:w="5782"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评分标准及分值</w:t>
            </w:r>
          </w:p>
        </w:tc>
        <w:tc>
          <w:tcPr>
            <w:tcW w:w="927"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最高分值</w:t>
            </w:r>
          </w:p>
        </w:tc>
      </w:tr>
    </w:tbl>
    <w:tbl>
      <w:tblPr>
        <w:tblStyle w:val="62"/>
        <w:tblpPr w:leftFromText="180" w:rightFromText="180" w:vertAnchor="text" w:horzAnchor="page" w:tblpX="1810" w:tblpY="12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25"/>
        <w:gridCol w:w="579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0" w:type="dxa"/>
            <w:vMerge w:val="restart"/>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25" w:type="dxa"/>
            <w:vMerge w:val="restart"/>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食堂经营管理服务方案（20分）</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1）食堂管理制度及管理方案：供应商针对本项目的提供的管理方案，合理性和可操作性进行打分0-4分。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0"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rPr>
            </w:pPr>
          </w:p>
        </w:tc>
        <w:tc>
          <w:tcPr>
            <w:tcW w:w="1125"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rPr>
            </w:pP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2）事故应急处理预案：供应商针对本项目的事故应急处理预案，可行性和合理性进行打分0-4分。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0"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p>
        </w:tc>
        <w:tc>
          <w:tcPr>
            <w:tcW w:w="1125"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3）投诉处理方案、消防治安及意外事故处理方案：供应商针对本项目的投诉处理方案、消防治安、意外事故处理方案，可行性和合理性进行打分0-4分。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0"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p>
        </w:tc>
        <w:tc>
          <w:tcPr>
            <w:tcW w:w="1125"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4）员工管理方案：供应商针对本项目的员工管理方案，完整性、合理性，进行打分0-4分。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0"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p>
        </w:tc>
        <w:tc>
          <w:tcPr>
            <w:tcW w:w="1125" w:type="dxa"/>
            <w:vMerge w:val="continue"/>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5）食品质量控制方案，根据方案的完整性和合理性进行打分0-4分。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60" w:type="dxa"/>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25"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卫生管理控制方案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根据食品卫生、人员卫生、环境卫生、垃圾处理方案，完整性、合理性进行打分0-3分。</w:t>
            </w:r>
          </w:p>
        </w:tc>
        <w:tc>
          <w:tcPr>
            <w:tcW w:w="925" w:type="dxa"/>
            <w:vAlign w:val="center"/>
          </w:tcPr>
          <w:p>
            <w:pPr>
              <w:spacing w:before="0" w:beforeAutospacing="0" w:after="0" w:afterAutospacing="0"/>
              <w:ind w:left="0" w:right="0"/>
              <w:jc w:val="center"/>
              <w:rPr>
                <w:rFonts w:hint="eastAsia" w:ascii="仿宋" w:hAnsi="仿宋" w:eastAsia="仿宋" w:cs="仿宋"/>
                <w:color w:val="auto"/>
              </w:rPr>
            </w:pPr>
          </w:p>
          <w:p>
            <w:pPr>
              <w:spacing w:before="0" w:beforeAutospacing="0" w:after="0" w:afterAutospacing="0" w:line="360" w:lineRule="auto"/>
              <w:ind w:left="0" w:right="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60" w:type="dxa"/>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原材料管理方案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根据原材料使用管理方案及食品保存管理方案的完整性、合理性，进行打分0-3分。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Merge w:val="restart"/>
            <w:vAlign w:val="center"/>
          </w:tcPr>
          <w:p>
            <w:pP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4</w:t>
            </w:r>
          </w:p>
        </w:tc>
        <w:tc>
          <w:tcPr>
            <w:tcW w:w="1125" w:type="dxa"/>
            <w:vMerge w:val="restart"/>
            <w:vAlign w:val="center"/>
          </w:tcPr>
          <w:p>
            <w:pPr>
              <w:spacing w:before="0" w:beforeAutospacing="0" w:after="0" w:afterAutospacing="0"/>
              <w:ind w:left="0" w:right="0"/>
              <w:rPr>
                <w:rFonts w:hint="eastAsia" w:ascii="仿宋" w:hAnsi="仿宋" w:eastAsia="仿宋" w:cs="仿宋"/>
                <w:color w:val="auto"/>
                <w:lang w:eastAsia="zh-CN"/>
              </w:rPr>
            </w:pPr>
            <w:r>
              <w:rPr>
                <w:rFonts w:hint="eastAsia" w:ascii="仿宋" w:hAnsi="仿宋" w:eastAsia="仿宋" w:cs="仿宋"/>
                <w:color w:val="auto"/>
                <w:sz w:val="24"/>
                <w:szCs w:val="24"/>
              </w:rPr>
              <w:t>拟派食堂人员资格要求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16分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rPr>
            </w:pPr>
            <w:r>
              <w:rPr>
                <w:rFonts w:hint="eastAsia" w:ascii="仿宋" w:hAnsi="仿宋" w:eastAsia="仿宋" w:cs="仿宋"/>
                <w:color w:val="auto"/>
                <w:sz w:val="24"/>
                <w:szCs w:val="24"/>
              </w:rPr>
              <w:t>1）人员岗位安排分配明细情况比较，包括人员数量、配备是否合理，各岗位的配置和劳动力的投入是否经优化配置，大灶、小灶、点心、服务员等人员配备是否合理充分满足各岗位和工作量的需要（0-2分）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Merge w:val="continue"/>
            <w:vAlign w:val="center"/>
          </w:tcPr>
          <w:p>
            <w:pPr>
              <w:spacing w:before="0" w:beforeAutospacing="0" w:after="0" w:afterAutospacing="0"/>
              <w:ind w:left="0" w:right="0"/>
              <w:rPr>
                <w:rFonts w:hint="eastAsia" w:ascii="仿宋" w:hAnsi="仿宋" w:eastAsia="仿宋" w:cs="仿宋"/>
                <w:color w:val="auto"/>
              </w:rPr>
            </w:pPr>
          </w:p>
        </w:tc>
        <w:tc>
          <w:tcPr>
            <w:tcW w:w="1125" w:type="dxa"/>
            <w:vMerge w:val="continue"/>
            <w:vAlign w:val="center"/>
          </w:tcPr>
          <w:p>
            <w:pPr>
              <w:spacing w:before="0" w:beforeAutospacing="0" w:after="0" w:afterAutospacing="0"/>
              <w:ind w:left="0" w:right="0"/>
              <w:rPr>
                <w:rFonts w:hint="eastAsia" w:ascii="仿宋" w:hAnsi="仿宋" w:eastAsia="仿宋" w:cs="仿宋"/>
                <w:color w:val="auto"/>
              </w:rPr>
            </w:pP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rPr>
            </w:pPr>
            <w:r>
              <w:rPr>
                <w:rFonts w:hint="eastAsia" w:ascii="仿宋" w:hAnsi="仿宋" w:eastAsia="仿宋" w:cs="仿宋"/>
                <w:color w:val="auto"/>
                <w:sz w:val="24"/>
                <w:szCs w:val="24"/>
              </w:rPr>
              <w:t>2）餐饮服务人员：①拟派食堂经理具有餐饮业中级职业经理人的得2分，不提供不得分。②拟派厨师人员具有中式烹调师等级证书，其中中级（国家职业资格四级）的得2分，高级（国家职业资格三级）的得3分，技师（国家职业资格二级）的得4分，高级技师（国家职业资格一级）的得5分，不提供不得分。③拟派人员具有健康管理师资格证书的得2分，不提供不得分。④拟派面点师具有国家职业资格三级（中式面点）职业资格证书的得1分，不提供不得分。⑤拟派人员中具有食品安全管理员培训合格证书的得1分，不提供不得分。⑥具有高级营养师资格证书的得1分，不提供不得分。</w:t>
            </w:r>
            <w:r>
              <w:rPr>
                <w:rFonts w:hint="eastAsia" w:ascii="仿宋" w:hAnsi="仿宋" w:eastAsia="仿宋" w:cs="仿宋"/>
                <w:b/>
                <w:bCs/>
                <w:color w:val="auto"/>
                <w:sz w:val="24"/>
                <w:szCs w:val="24"/>
              </w:rPr>
              <w:t>需提供证书复印件及以上人员社保缴纳证明，不提供者不得分（本项最高得12分）。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Merge w:val="continue"/>
            <w:vAlign w:val="center"/>
          </w:tcPr>
          <w:p>
            <w:pPr>
              <w:spacing w:before="0" w:beforeAutospacing="0" w:after="0" w:afterAutospacing="0"/>
              <w:ind w:left="0" w:right="0"/>
              <w:rPr>
                <w:rFonts w:hint="eastAsia" w:ascii="仿宋" w:hAnsi="仿宋" w:eastAsia="仿宋" w:cs="仿宋"/>
                <w:color w:val="auto"/>
              </w:rPr>
            </w:pPr>
          </w:p>
        </w:tc>
        <w:tc>
          <w:tcPr>
            <w:tcW w:w="1125" w:type="dxa"/>
            <w:vMerge w:val="continue"/>
            <w:vAlign w:val="center"/>
          </w:tcPr>
          <w:p>
            <w:pPr>
              <w:spacing w:before="0" w:beforeAutospacing="0" w:after="0" w:afterAutospacing="0"/>
              <w:ind w:left="0" w:right="0"/>
              <w:rPr>
                <w:rFonts w:hint="eastAsia" w:ascii="仿宋" w:hAnsi="仿宋" w:eastAsia="仿宋" w:cs="仿宋"/>
                <w:color w:val="auto"/>
              </w:rPr>
            </w:pP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rPr>
              <w:t>工作人员都具有健康证且健康证在有效期内的得2分，按岗位分配明细少1本或其中有失效的不得分。</w:t>
            </w:r>
            <w:r>
              <w:rPr>
                <w:rFonts w:hint="eastAsia" w:ascii="仿宋" w:hAnsi="仿宋" w:eastAsia="仿宋" w:cs="仿宋"/>
                <w:b/>
                <w:bCs/>
                <w:color w:val="auto"/>
                <w:sz w:val="24"/>
                <w:szCs w:val="24"/>
              </w:rPr>
              <w:t>投标文件中提供健康证复印件或扫描件加盖公章。</w:t>
            </w:r>
          </w:p>
        </w:tc>
        <w:tc>
          <w:tcPr>
            <w:tcW w:w="925" w:type="dxa"/>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pP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5</w:t>
            </w:r>
          </w:p>
        </w:tc>
        <w:tc>
          <w:tcPr>
            <w:tcW w:w="1125" w:type="dxa"/>
            <w:vAlign w:val="center"/>
          </w:tcPr>
          <w:p>
            <w:pPr>
              <w:spacing w:before="0" w:beforeAutospacing="0" w:after="0" w:afterAutospacing="0" w:line="360" w:lineRule="auto"/>
              <w:ind w:left="0" w:right="0"/>
              <w:jc w:val="center"/>
              <w:rPr>
                <w:rFonts w:hint="eastAsia" w:ascii="仿宋" w:hAnsi="仿宋" w:eastAsia="仿宋" w:cs="仿宋"/>
                <w:color w:val="auto"/>
                <w:lang w:eastAsia="zh-CN"/>
              </w:rPr>
            </w:pPr>
            <w:r>
              <w:rPr>
                <w:rFonts w:hint="eastAsia" w:ascii="仿宋" w:hAnsi="仿宋" w:eastAsia="仿宋" w:cs="仿宋"/>
                <w:color w:val="auto"/>
                <w:sz w:val="24"/>
                <w:szCs w:val="24"/>
              </w:rPr>
              <w:t>员工培训计划及内容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根据员工培训计划及内容，合理性、规范性等，进行打分0-2分。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pP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6</w:t>
            </w:r>
          </w:p>
        </w:tc>
        <w:tc>
          <w:tcPr>
            <w:tcW w:w="1125" w:type="dxa"/>
            <w:vAlign w:val="center"/>
          </w:tcPr>
          <w:p>
            <w:pPr>
              <w:spacing w:before="0" w:beforeAutospacing="0" w:after="0" w:afterAutospacing="0" w:line="360" w:lineRule="auto"/>
              <w:ind w:left="0" w:right="0"/>
              <w:jc w:val="center"/>
              <w:rPr>
                <w:rFonts w:hint="eastAsia" w:ascii="仿宋" w:hAnsi="仿宋" w:eastAsia="仿宋" w:cs="仿宋"/>
                <w:color w:val="auto"/>
                <w:lang w:eastAsia="zh-CN"/>
              </w:rPr>
            </w:pPr>
            <w:r>
              <w:rPr>
                <w:rFonts w:hint="eastAsia" w:ascii="仿宋" w:hAnsi="仿宋" w:eastAsia="仿宋" w:cs="仿宋"/>
                <w:color w:val="auto"/>
                <w:sz w:val="24"/>
                <w:szCs w:val="24"/>
              </w:rPr>
              <w:t>应急响应能力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根据服务网点应急响应能力等情况进行打分：发生紧急事件后半小时内可响应的得5分。</w:t>
            </w:r>
            <w:r>
              <w:rPr>
                <w:rFonts w:hint="eastAsia" w:ascii="仿宋" w:hAnsi="仿宋" w:eastAsia="仿宋" w:cs="仿宋"/>
                <w:b/>
                <w:bCs/>
                <w:color w:val="auto"/>
                <w:sz w:val="24"/>
                <w:szCs w:val="24"/>
              </w:rPr>
              <w:t>投标文件中须提供服务流程、响应时间及人员安排说明，否则不得分，本项最高得分5分</w:t>
            </w:r>
            <w:r>
              <w:rPr>
                <w:rFonts w:hint="eastAsia" w:ascii="仿宋" w:hAnsi="仿宋" w:eastAsia="仿宋" w:cs="仿宋"/>
                <w:color w:val="auto"/>
                <w:sz w:val="24"/>
                <w:szCs w:val="24"/>
              </w:rPr>
              <w:t>。</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pP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7</w:t>
            </w:r>
          </w:p>
        </w:tc>
        <w:tc>
          <w:tcPr>
            <w:tcW w:w="1125" w:type="dxa"/>
            <w:vAlign w:val="center"/>
          </w:tcPr>
          <w:p>
            <w:pPr>
              <w:spacing w:before="0" w:beforeAutospacing="0" w:after="0" w:afterAutospacing="0" w:line="360" w:lineRule="auto"/>
              <w:ind w:left="0" w:right="0"/>
              <w:jc w:val="center"/>
              <w:rPr>
                <w:rFonts w:hint="eastAsia" w:ascii="仿宋" w:hAnsi="仿宋" w:eastAsia="仿宋" w:cs="仿宋"/>
                <w:color w:val="auto"/>
                <w:lang w:eastAsia="zh-CN"/>
              </w:rPr>
            </w:pPr>
            <w:r>
              <w:rPr>
                <w:rFonts w:hint="eastAsia" w:ascii="仿宋" w:hAnsi="仿宋" w:eastAsia="仿宋" w:cs="仿宋"/>
                <w:color w:val="auto"/>
                <w:sz w:val="24"/>
                <w:szCs w:val="24"/>
              </w:rPr>
              <w:t>相关承诺及优惠条件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投标单位中标后对相关事项作出承诺：①用工管理合理性、可行性得5分；②服务满意度可行性得5分；</w:t>
            </w:r>
            <w:r>
              <w:rPr>
                <w:rFonts w:hint="eastAsia" w:ascii="仿宋" w:hAnsi="仿宋" w:eastAsia="仿宋" w:cs="仿宋"/>
                <w:b/>
                <w:bCs/>
                <w:color w:val="auto"/>
                <w:sz w:val="24"/>
                <w:szCs w:val="24"/>
              </w:rPr>
              <w:t>根据投标人提供的实质性优惠和承诺进行打分（提供承诺书）本项最高得分10分。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pP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8</w:t>
            </w:r>
          </w:p>
        </w:tc>
        <w:tc>
          <w:tcPr>
            <w:tcW w:w="1125" w:type="dxa"/>
            <w:vAlign w:val="center"/>
          </w:tcPr>
          <w:p>
            <w:pPr>
              <w:spacing w:before="0" w:beforeAutospacing="0" w:after="0" w:afterAutospacing="0" w:line="360" w:lineRule="auto"/>
              <w:ind w:left="0" w:right="0"/>
              <w:jc w:val="center"/>
              <w:rPr>
                <w:rFonts w:hint="eastAsia" w:ascii="仿宋" w:hAnsi="仿宋" w:eastAsia="仿宋" w:cs="仿宋"/>
                <w:color w:val="auto"/>
                <w:lang w:eastAsia="zh-CN"/>
              </w:rPr>
            </w:pPr>
            <w:r>
              <w:rPr>
                <w:rFonts w:hint="eastAsia" w:ascii="仿宋" w:hAnsi="仿宋" w:eastAsia="仿宋" w:cs="仿宋"/>
                <w:color w:val="auto"/>
                <w:sz w:val="24"/>
                <w:szCs w:val="24"/>
              </w:rPr>
              <w:t>针对本项目的特点和难点分析及解决措施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针对本项目：①特点分析合理得5分；②难点及解决措施可行性得5分。</w:t>
            </w:r>
            <w:r>
              <w:rPr>
                <w:rFonts w:hint="eastAsia" w:ascii="仿宋" w:hAnsi="仿宋" w:eastAsia="仿宋" w:cs="仿宋"/>
                <w:b/>
                <w:bCs/>
                <w:color w:val="auto"/>
                <w:sz w:val="24"/>
                <w:szCs w:val="24"/>
              </w:rPr>
              <w:t>本项最高得分10分。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0" w:type="dxa"/>
            <w:vAlign w:val="center"/>
          </w:tcPr>
          <w:p>
            <w:pPr>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9</w:t>
            </w:r>
          </w:p>
        </w:tc>
        <w:tc>
          <w:tcPr>
            <w:tcW w:w="1125" w:type="dxa"/>
            <w:vAlign w:val="center"/>
          </w:tcPr>
          <w:p>
            <w:pPr>
              <w:spacing w:before="0" w:beforeAutospacing="0" w:after="0" w:afterAutospacing="0" w:line="360" w:lineRule="auto"/>
              <w:ind w:left="0" w:right="0"/>
              <w:jc w:val="center"/>
              <w:rPr>
                <w:rFonts w:hint="eastAsia" w:ascii="仿宋" w:hAnsi="仿宋" w:eastAsia="仿宋" w:cs="仿宋"/>
                <w:color w:val="auto"/>
                <w:lang w:eastAsia="zh-CN"/>
              </w:rPr>
            </w:pPr>
            <w:r>
              <w:rPr>
                <w:rFonts w:hint="eastAsia" w:ascii="仿宋" w:hAnsi="仿宋" w:eastAsia="仿宋" w:cs="仿宋"/>
                <w:color w:val="auto"/>
                <w:sz w:val="24"/>
                <w:szCs w:val="24"/>
              </w:rPr>
              <w:t>特色服务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14分</w:t>
            </w:r>
            <w:r>
              <w:rPr>
                <w:rFonts w:hint="eastAsia" w:ascii="仿宋" w:hAnsi="仿宋" w:eastAsia="仿宋" w:cs="仿宋"/>
                <w:color w:val="auto"/>
                <w:sz w:val="24"/>
                <w:szCs w:val="24"/>
                <w:lang w:eastAsia="zh-CN"/>
              </w:rPr>
              <w:t>）</w:t>
            </w:r>
          </w:p>
        </w:tc>
        <w:tc>
          <w:tcPr>
            <w:tcW w:w="5790" w:type="dxa"/>
            <w:vAlign w:val="center"/>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根据本项目提供的特色服务：①对供应模式提供新颖、创新，提供特色风味档（如缙云烧饼、铁板烧、东北煎饼卷、麻辣香锅、麻辣烫、嵊州豆腐包、肉夹馍、手抄混沌、拉面刀削面等）得3分；②菜肴丰富（各色菜系和西点、定制位餐）得4分；③档次搭配健康合理（素斋、减脂养生餐）得3分；增值服务（如开展各色美食活动）得4分。本项最高得分14分；</w:t>
            </w:r>
            <w:r>
              <w:rPr>
                <w:rFonts w:hint="eastAsia" w:ascii="仿宋" w:hAnsi="仿宋" w:eastAsia="仿宋" w:cs="仿宋"/>
                <w:b/>
                <w:bCs/>
                <w:color w:val="auto"/>
                <w:sz w:val="24"/>
                <w:szCs w:val="24"/>
              </w:rPr>
              <w:t>需提供投标人所在项目的特色服务证明（含甲方相关满意度调查表并盖章），否则不得分。</w:t>
            </w:r>
          </w:p>
        </w:tc>
        <w:tc>
          <w:tcPr>
            <w:tcW w:w="92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r>
    </w:tbl>
    <w:p>
      <w:pPr>
        <w:snapToGrid w:val="0"/>
        <w:spacing w:line="240" w:lineRule="auto"/>
        <w:rPr>
          <w:rFonts w:hint="eastAsia" w:ascii="仿宋" w:hAnsi="仿宋" w:eastAsia="仿宋" w:cs="仿宋"/>
          <w:b/>
          <w:bCs/>
          <w:sz w:val="24"/>
          <w:szCs w:val="24"/>
          <w:lang w:val="en-US" w:eastAsia="zh-CN"/>
        </w:rPr>
      </w:pPr>
    </w:p>
    <w:p>
      <w:pPr>
        <w:snapToGrid w:val="0"/>
        <w:spacing w:line="24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3）商务</w:t>
      </w:r>
      <w:r>
        <w:rPr>
          <w:rFonts w:hint="eastAsia" w:ascii="仿宋" w:hAnsi="仿宋" w:eastAsia="仿宋" w:cs="仿宋"/>
          <w:b/>
          <w:bCs/>
          <w:sz w:val="24"/>
          <w:szCs w:val="24"/>
        </w:rPr>
        <w:t>分（</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分）：</w:t>
      </w:r>
    </w:p>
    <w:tbl>
      <w:tblPr>
        <w:tblStyle w:val="62"/>
        <w:tblW w:w="8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060"/>
        <w:gridCol w:w="5423"/>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060"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评分内容</w:t>
            </w:r>
          </w:p>
        </w:tc>
        <w:tc>
          <w:tcPr>
            <w:tcW w:w="5423"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评分标准及分值</w:t>
            </w:r>
          </w:p>
        </w:tc>
        <w:tc>
          <w:tcPr>
            <w:tcW w:w="954"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最高分值</w:t>
            </w:r>
          </w:p>
        </w:tc>
      </w:tr>
    </w:tbl>
    <w:tbl>
      <w:tblPr>
        <w:tblStyle w:val="62"/>
        <w:tblpPr w:leftFromText="180" w:rightFromText="180" w:vertAnchor="text" w:horzAnchor="page" w:tblpX="2005" w:tblpY="126"/>
        <w:tblW w:w="8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538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5" w:type="dxa"/>
            <w:vAlign w:val="center"/>
          </w:tcPr>
          <w:p>
            <w:pPr>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color w:val="auto"/>
                <w:lang w:val="en-US" w:eastAsia="zh-CN"/>
              </w:rPr>
              <w:t>1</w:t>
            </w:r>
          </w:p>
        </w:tc>
        <w:tc>
          <w:tcPr>
            <w:tcW w:w="106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管理体系</w:t>
            </w:r>
          </w:p>
          <w:p>
            <w:pPr>
              <w:spacing w:before="0" w:beforeAutospacing="0" w:after="0" w:afterAutospacing="0" w:line="360" w:lineRule="auto"/>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认证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5分</w:t>
            </w:r>
            <w:r>
              <w:rPr>
                <w:rFonts w:hint="eastAsia" w:ascii="仿宋" w:hAnsi="仿宋" w:eastAsia="仿宋" w:cs="仿宋"/>
                <w:color w:val="auto"/>
                <w:sz w:val="24"/>
                <w:szCs w:val="24"/>
                <w:lang w:eastAsia="zh-CN"/>
              </w:rPr>
              <w:t>）</w:t>
            </w:r>
          </w:p>
        </w:tc>
        <w:tc>
          <w:tcPr>
            <w:tcW w:w="5385" w:type="dxa"/>
            <w:vAlign w:val="top"/>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①有效的质量管理体系认证证书（1分）；</w:t>
            </w:r>
          </w:p>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②有效的环境管理体系认证证书（1分）；</w:t>
            </w:r>
          </w:p>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③有效的职业健康安全管理体系认证证书（1分）；</w:t>
            </w:r>
          </w:p>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④有效的诚信管理体系认证证书（1分）；</w:t>
            </w:r>
          </w:p>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⑤有效的食品安全管理体系认证证书（1分）；</w:t>
            </w:r>
          </w:p>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b/>
                <w:bCs/>
                <w:color w:val="auto"/>
                <w:sz w:val="24"/>
                <w:szCs w:val="24"/>
              </w:rPr>
              <w:t>（提供有效期内证书复印件及体系网站查询截图加盖公章，否则不得分。）</w:t>
            </w:r>
          </w:p>
        </w:tc>
        <w:tc>
          <w:tcPr>
            <w:tcW w:w="97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5" w:type="dxa"/>
            <w:vAlign w:val="center"/>
          </w:tcPr>
          <w:p>
            <w:pPr>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1065" w:type="dxa"/>
            <w:vAlign w:val="center"/>
          </w:tcPr>
          <w:p>
            <w:pPr>
              <w:spacing w:before="0" w:beforeAutospacing="0" w:after="0" w:afterAutospacing="0" w:line="340" w:lineRule="exact"/>
              <w:ind w:left="0" w:right="0"/>
              <w:jc w:val="center"/>
              <w:rPr>
                <w:rFonts w:hint="eastAsia" w:ascii="仿宋" w:hAnsi="仿宋" w:eastAsia="仿宋" w:cs="仿宋"/>
                <w:color w:val="auto"/>
                <w:sz w:val="24"/>
                <w:szCs w:val="24"/>
              </w:rPr>
            </w:pPr>
          </w:p>
          <w:p>
            <w:pPr>
              <w:spacing w:before="0" w:beforeAutospacing="0" w:after="0" w:afterAutospacing="0" w:line="340" w:lineRule="exact"/>
              <w:ind w:left="0" w:right="0"/>
              <w:jc w:val="center"/>
              <w:rPr>
                <w:rFonts w:hint="eastAsia" w:ascii="仿宋" w:hAnsi="仿宋" w:eastAsia="仿宋" w:cs="仿宋"/>
                <w:color w:val="auto"/>
                <w:sz w:val="24"/>
                <w:szCs w:val="24"/>
              </w:rPr>
            </w:pPr>
          </w:p>
          <w:p>
            <w:pPr>
              <w:spacing w:before="0" w:beforeAutospacing="0" w:after="0" w:afterAutospacing="0" w:line="34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企业荣誉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lang w:eastAsia="zh-CN"/>
              </w:rPr>
              <w:t>）</w:t>
            </w:r>
          </w:p>
          <w:p>
            <w:pPr>
              <w:spacing w:before="0" w:beforeAutospacing="0" w:after="0" w:afterAutospacing="0" w:line="340" w:lineRule="exact"/>
              <w:ind w:left="0" w:right="0"/>
              <w:jc w:val="center"/>
              <w:rPr>
                <w:rFonts w:hint="eastAsia" w:ascii="仿宋" w:hAnsi="仿宋" w:eastAsia="仿宋" w:cs="仿宋"/>
                <w:color w:val="auto"/>
                <w:sz w:val="24"/>
                <w:szCs w:val="24"/>
              </w:rPr>
            </w:pPr>
          </w:p>
        </w:tc>
        <w:tc>
          <w:tcPr>
            <w:tcW w:w="5385" w:type="dxa"/>
            <w:vAlign w:val="top"/>
          </w:tcPr>
          <w:p>
            <w:pPr>
              <w:spacing w:before="0" w:beforeAutospacing="0" w:after="0" w:afterAutospacing="0" w:line="360" w:lineRule="auto"/>
              <w:ind w:left="0" w:right="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投标人在 2019 年1月1日（时间以获奖证书或获奖文件落款时间为准）至今获得过类似项目餐饮行业先进荣誉或参赛获奖证书的，投标人荣誉每提供1个得 1分，此项最多得1分。</w:t>
            </w:r>
            <w:r>
              <w:rPr>
                <w:rFonts w:hint="eastAsia" w:ascii="仿宋" w:hAnsi="仿宋" w:eastAsia="仿宋" w:cs="仿宋"/>
                <w:b/>
                <w:bCs/>
                <w:color w:val="auto"/>
                <w:sz w:val="24"/>
                <w:szCs w:val="24"/>
              </w:rPr>
              <w:t>（投标文件中提供获奖文件或获奖证书及项目合同的复印件或扫描件，否则不得分。）</w:t>
            </w:r>
          </w:p>
        </w:tc>
        <w:tc>
          <w:tcPr>
            <w:tcW w:w="97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5" w:type="dxa"/>
            <w:vAlign w:val="center"/>
          </w:tcPr>
          <w:p>
            <w:pPr>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1065"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项目案例业绩经验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lang w:eastAsia="zh-CN"/>
              </w:rPr>
              <w:t>）</w:t>
            </w:r>
          </w:p>
        </w:tc>
        <w:tc>
          <w:tcPr>
            <w:tcW w:w="5385" w:type="dxa"/>
            <w:vAlign w:val="top"/>
          </w:tcPr>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投标人自2019年1月1日（含）以来承担过类似餐饮服务外包项目成功案例的，每个得0.2分，此项最高得1分。</w:t>
            </w:r>
          </w:p>
          <w:p>
            <w:pPr>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b/>
                <w:bCs/>
                <w:color w:val="auto"/>
                <w:sz w:val="24"/>
                <w:szCs w:val="24"/>
              </w:rPr>
              <w:t>（提供合同复印件、发票扫描件及中标通知书，并附甲方联系人姓名及电话，否则不得分。）</w:t>
            </w:r>
          </w:p>
        </w:tc>
        <w:tc>
          <w:tcPr>
            <w:tcW w:w="97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bl>
    <w:p>
      <w:pPr>
        <w:snapToGrid w:val="0"/>
        <w:spacing w:line="360" w:lineRule="auto"/>
        <w:rPr>
          <w:rFonts w:ascii="仿宋" w:hAnsi="仿宋" w:eastAsia="仿宋"/>
          <w:b/>
          <w:bCs/>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6"/>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6"/>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6"/>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6"/>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6"/>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投标文件不满足招标文件的带“▲”号实质性要求的；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6"/>
        <w:rPr>
          <w:rFonts w:ascii="仿宋" w:hAnsi="仿宋" w:eastAsia="仿宋"/>
          <w:szCs w:val="24"/>
        </w:rPr>
      </w:pPr>
    </w:p>
    <w:p>
      <w:pPr>
        <w:pStyle w:val="386"/>
        <w:jc w:val="center"/>
        <w:rPr>
          <w:rFonts w:ascii="仿宋" w:hAnsi="仿宋" w:eastAsia="仿宋"/>
          <w:szCs w:val="24"/>
        </w:rPr>
      </w:pPr>
    </w:p>
    <w:p>
      <w:pPr>
        <w:pStyle w:val="386"/>
        <w:rPr>
          <w:rFonts w:ascii="仿宋" w:hAnsi="仿宋" w:eastAsia="仿宋"/>
          <w:szCs w:val="24"/>
        </w:rPr>
      </w:pPr>
    </w:p>
    <w:p>
      <w:pPr>
        <w:pStyle w:val="386"/>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3"/>
        <w:spacing w:before="120" w:line="22" w:lineRule="atLeast"/>
        <w:rPr>
          <w:rFonts w:ascii="仿宋" w:hAnsi="仿宋" w:eastAsia="仿宋"/>
          <w:szCs w:val="24"/>
        </w:rPr>
      </w:pPr>
    </w:p>
    <w:p>
      <w:pPr>
        <w:pStyle w:val="28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pPr>
        <w:pStyle w:val="34"/>
        <w:snapToGrid w:val="0"/>
        <w:spacing w:line="360" w:lineRule="auto"/>
        <w:rPr>
          <w:rFonts w:hAnsi="宋体" w:cs="宋体"/>
          <w:b/>
          <w:bCs/>
          <w:sz w:val="24"/>
          <w:szCs w:val="24"/>
        </w:rPr>
      </w:pPr>
      <w:r>
        <w:rPr>
          <w:rFonts w:hint="eastAsia" w:hAnsi="宋体" w:cs="宋体"/>
          <w:b/>
          <w:bCs/>
          <w:sz w:val="24"/>
          <w:szCs w:val="24"/>
        </w:rPr>
        <w:t>甲方：（买方）</w:t>
      </w:r>
    </w:p>
    <w:p>
      <w:pPr>
        <w:pStyle w:val="34"/>
        <w:snapToGrid w:val="0"/>
        <w:spacing w:line="360" w:lineRule="auto"/>
        <w:rPr>
          <w:rFonts w:hAnsi="宋体" w:cs="宋体"/>
          <w:b/>
          <w:bCs/>
          <w:sz w:val="24"/>
          <w:szCs w:val="24"/>
        </w:rPr>
      </w:pPr>
      <w:r>
        <w:rPr>
          <w:rFonts w:hint="eastAsia" w:hAnsi="宋体" w:cs="宋体"/>
          <w:b/>
          <w:bCs/>
          <w:sz w:val="24"/>
          <w:szCs w:val="24"/>
        </w:rPr>
        <w:t>乙方：（卖方）</w:t>
      </w:r>
    </w:p>
    <w:p>
      <w:pPr>
        <w:pStyle w:val="34"/>
        <w:snapToGrid w:val="0"/>
        <w:spacing w:line="360" w:lineRule="auto"/>
        <w:ind w:firstLine="482" w:firstLineChars="200"/>
        <w:rPr>
          <w:rFonts w:hAnsi="宋体" w:cs="宋体"/>
          <w:b/>
          <w:bCs/>
          <w:sz w:val="24"/>
          <w:szCs w:val="24"/>
        </w:rPr>
      </w:pPr>
      <w:r>
        <w:rPr>
          <w:rFonts w:hint="eastAsia" w:hAnsi="宋体" w:cs="宋体"/>
          <w:b/>
          <w:bCs/>
          <w:sz w:val="24"/>
          <w:szCs w:val="24"/>
        </w:rPr>
        <w:t>甲、乙双方根据                  项目（项目编号：         ）公开招标的结果，签署本合同。</w:t>
      </w:r>
    </w:p>
    <w:p>
      <w:pPr>
        <w:spacing w:line="560" w:lineRule="exact"/>
        <w:ind w:firstLine="482" w:firstLineChars="200"/>
        <w:outlineLvl w:val="0"/>
        <w:rPr>
          <w:rFonts w:ascii="仿宋" w:hAnsi="仿宋" w:eastAsia="仿宋"/>
          <w:b/>
          <w:sz w:val="24"/>
        </w:rPr>
      </w:pPr>
      <w:r>
        <w:rPr>
          <w:rFonts w:hint="eastAsia" w:ascii="仿宋" w:hAnsi="仿宋" w:eastAsia="仿宋"/>
          <w:b/>
          <w:sz w:val="24"/>
        </w:rPr>
        <w:t>1、货物</w:t>
      </w:r>
    </w:p>
    <w:p>
      <w:pPr>
        <w:spacing w:line="560" w:lineRule="exact"/>
        <w:ind w:firstLine="480" w:firstLineChars="200"/>
        <w:rPr>
          <w:rFonts w:ascii="仿宋" w:hAnsi="仿宋" w:eastAsia="仿宋"/>
          <w:sz w:val="24"/>
          <w:u w:val="single"/>
        </w:rPr>
      </w:pPr>
      <w:r>
        <w:rPr>
          <w:rFonts w:ascii="仿宋" w:hAnsi="仿宋" w:eastAsia="仿宋"/>
          <w:sz w:val="24"/>
        </w:rPr>
        <w:t xml:space="preserve">1.1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pStyle w:val="34"/>
        <w:snapToGrid w:val="0"/>
        <w:spacing w:line="360" w:lineRule="auto"/>
        <w:ind w:firstLine="482" w:firstLineChars="200"/>
        <w:rPr>
          <w:rFonts w:hAnsi="宋体" w:cs="宋体"/>
          <w:b/>
          <w:bCs/>
          <w:sz w:val="24"/>
          <w:szCs w:val="24"/>
        </w:rPr>
      </w:pPr>
    </w:p>
    <w:p>
      <w:pPr>
        <w:pStyle w:val="34"/>
        <w:snapToGrid w:val="0"/>
        <w:spacing w:line="360" w:lineRule="auto"/>
        <w:ind w:firstLine="482" w:firstLineChars="200"/>
        <w:rPr>
          <w:rFonts w:hAnsi="宋体" w:cs="宋体"/>
          <w:b/>
          <w:bCs/>
          <w:sz w:val="24"/>
          <w:szCs w:val="24"/>
        </w:rPr>
      </w:pPr>
      <w:r>
        <w:rPr>
          <w:rFonts w:hint="eastAsia" w:ascii="仿宋" w:hAnsi="仿宋" w:eastAsia="仿宋"/>
          <w:b/>
          <w:sz w:val="24"/>
        </w:rPr>
        <w:t>2、价款</w:t>
      </w:r>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ascii="仿宋" w:hAnsi="仿宋" w:eastAsia="仿宋"/>
                <w:sz w:val="24"/>
                <w:szCs w:val="24"/>
              </w:rPr>
            </w:pPr>
          </w:p>
        </w:tc>
      </w:tr>
    </w:tbl>
    <w:p>
      <w:pPr>
        <w:spacing w:line="360" w:lineRule="auto"/>
        <w:ind w:firstLine="480" w:firstLineChars="200"/>
        <w:rPr>
          <w:rFonts w:ascii="仿宋" w:hAnsi="仿宋" w:eastAsia="仿宋"/>
          <w:kern w:val="0"/>
          <w:sz w:val="24"/>
          <w:szCs w:val="20"/>
        </w:rPr>
      </w:pPr>
    </w:p>
    <w:p>
      <w:pPr>
        <w:pStyle w:val="34"/>
        <w:snapToGrid w:val="0"/>
        <w:spacing w:line="360" w:lineRule="auto"/>
        <w:rPr>
          <w:rFonts w:ascii="仿宋" w:hAnsi="仿宋" w:eastAsia="仿宋" w:cs="仿宋"/>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ascii="仿宋" w:hAnsi="仿宋" w:eastAsia="仿宋" w:cs="仿宋"/>
          <w:b/>
          <w:bCs/>
          <w:sz w:val="24"/>
          <w:szCs w:val="24"/>
        </w:rPr>
        <w:t>3.技术资料</w:t>
      </w:r>
    </w:p>
    <w:p>
      <w:pPr>
        <w:pStyle w:val="34"/>
        <w:snapToGrid w:val="0"/>
        <w:spacing w:line="360" w:lineRule="auto"/>
        <w:rPr>
          <w:rFonts w:ascii="仿宋" w:hAnsi="仿宋" w:eastAsia="仿宋" w:cs="Times New Roman"/>
          <w:kern w:val="0"/>
          <w:sz w:val="24"/>
          <w:szCs w:val="20"/>
        </w:rPr>
      </w:pPr>
      <w:r>
        <w:rPr>
          <w:rFonts w:hint="eastAsia" w:hAnsi="宋体" w:cs="宋体"/>
          <w:bCs/>
          <w:sz w:val="24"/>
          <w:szCs w:val="24"/>
        </w:rPr>
        <w:t xml:space="preserve">  </w:t>
      </w:r>
      <w:r>
        <w:rPr>
          <w:rFonts w:hint="eastAsia" w:ascii="仿宋" w:hAnsi="仿宋" w:eastAsia="仿宋" w:cs="Times New Roman"/>
          <w:kern w:val="0"/>
          <w:sz w:val="24"/>
          <w:szCs w:val="20"/>
        </w:rPr>
        <w:t xml:space="preserve">  3.1乙方应按招标文件规定的时间向甲方提供使用货物的有关技术资料。</w:t>
      </w:r>
    </w:p>
    <w:p>
      <w:pPr>
        <w:spacing w:line="360" w:lineRule="auto"/>
        <w:ind w:firstLine="480" w:firstLineChars="200"/>
        <w:rPr>
          <w:rFonts w:ascii="仿宋" w:hAnsi="仿宋" w:eastAsia="仿宋"/>
          <w:sz w:val="24"/>
          <w:szCs w:val="20"/>
        </w:rPr>
      </w:pPr>
      <w:r>
        <w:rPr>
          <w:rFonts w:hint="eastAsia" w:ascii="仿宋" w:hAnsi="仿宋" w:eastAsia="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sz w:val="24"/>
          <w:szCs w:val="20"/>
        </w:rPr>
        <w:t>。</w:t>
      </w:r>
    </w:p>
    <w:p>
      <w:pPr>
        <w:snapToGrid w:val="0"/>
        <w:spacing w:line="360" w:lineRule="auto"/>
        <w:ind w:firstLine="354" w:firstLineChars="147"/>
        <w:rPr>
          <w:rFonts w:ascii="宋体" w:hAnsi="宋体" w:cs="宋体"/>
          <w:b/>
          <w:sz w:val="24"/>
        </w:rPr>
      </w:pPr>
      <w:r>
        <w:rPr>
          <w:rFonts w:hint="eastAsia" w:ascii="宋体" w:hAnsi="宋体" w:cs="宋体"/>
          <w:b/>
          <w:sz w:val="24"/>
        </w:rPr>
        <w:t xml:space="preserve"> 4.权利担保</w:t>
      </w:r>
    </w:p>
    <w:p>
      <w:pPr>
        <w:spacing w:line="360" w:lineRule="auto"/>
        <w:ind w:firstLine="480" w:firstLineChars="200"/>
        <w:rPr>
          <w:rFonts w:ascii="仿宋" w:hAnsi="仿宋" w:eastAsia="仿宋"/>
          <w:sz w:val="24"/>
          <w:szCs w:val="20"/>
        </w:rPr>
      </w:pPr>
      <w:r>
        <w:rPr>
          <w:rFonts w:hint="eastAsia" w:ascii="仿宋" w:hAnsi="仿宋" w:eastAsia="仿宋"/>
          <w:sz w:val="24"/>
          <w:szCs w:val="20"/>
        </w:rPr>
        <w:t>4.1乙方应保证所提供的货物或其任何一部分均不会侵犯任何第三方的知识产权。</w:t>
      </w:r>
    </w:p>
    <w:p>
      <w:pPr>
        <w:spacing w:line="360" w:lineRule="auto"/>
        <w:ind w:firstLine="480" w:firstLineChars="200"/>
        <w:rPr>
          <w:rFonts w:ascii="仿宋" w:hAnsi="仿宋" w:eastAsia="仿宋"/>
          <w:sz w:val="24"/>
          <w:szCs w:val="20"/>
        </w:rPr>
      </w:pPr>
      <w:r>
        <w:rPr>
          <w:rFonts w:hint="eastAsia" w:ascii="仿宋" w:hAnsi="仿宋" w:eastAsia="仿宋"/>
          <w:sz w:val="24"/>
          <w:szCs w:val="20"/>
        </w:rPr>
        <w:t>4.2乙方保证所交付的货物的所有权完全属于乙方且无任何抵押、查封等产权瑕疵。</w:t>
      </w:r>
    </w:p>
    <w:p>
      <w:pPr>
        <w:snapToGrid w:val="0"/>
        <w:spacing w:line="360" w:lineRule="auto"/>
        <w:ind w:firstLine="354" w:firstLineChars="147"/>
        <w:rPr>
          <w:rFonts w:ascii="宋体" w:hAnsi="宋体" w:cs="宋体"/>
          <w:b/>
          <w:sz w:val="24"/>
        </w:rPr>
      </w:pPr>
      <w:r>
        <w:rPr>
          <w:rFonts w:hint="eastAsia" w:ascii="宋体" w:hAnsi="宋体" w:cs="宋体"/>
          <w:b/>
          <w:sz w:val="24"/>
        </w:rPr>
        <w:t xml:space="preserve"> 5.履约保证金</w:t>
      </w:r>
    </w:p>
    <w:p>
      <w:pPr>
        <w:pStyle w:val="618"/>
        <w:spacing w:before="0" w:beforeAutospacing="0" w:after="0" w:afterAutospacing="0" w:line="360" w:lineRule="auto"/>
        <w:ind w:firstLine="420"/>
        <w:rPr>
          <w:rFonts w:ascii="仿宋" w:hAnsi="仿宋" w:eastAsia="仿宋"/>
        </w:rPr>
      </w:pPr>
      <w:r>
        <w:rPr>
          <w:rFonts w:hint="eastAsia" w:ascii="仿宋" w:hAnsi="仿宋" w:eastAsia="仿宋"/>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rPr>
        <w:t xml:space="preserve">               </w:t>
      </w:r>
      <w:r>
        <w:rPr>
          <w:rFonts w:hint="eastAsia" w:ascii="仿宋" w:hAnsi="仿宋" w:eastAsia="仿宋"/>
        </w:rPr>
        <w:t>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个工作日内，以</w:t>
      </w:r>
      <w:r>
        <w:rPr>
          <w:rFonts w:hint="eastAsia" w:ascii="仿宋" w:hAnsi="仿宋" w:eastAsia="仿宋"/>
          <w:sz w:val="24"/>
          <w:u w:val="single"/>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rPr>
        <w:t>5</w:t>
      </w:r>
      <w:r>
        <w:rPr>
          <w:rFonts w:ascii="仿宋" w:hAnsi="仿宋" w:eastAsia="仿宋"/>
          <w:sz w:val="24"/>
        </w:rPr>
        <w:t>.</w:t>
      </w:r>
      <w:r>
        <w:rPr>
          <w:rFonts w:hint="eastAsia" w:ascii="仿宋" w:hAnsi="仿宋" w:eastAsia="仿宋"/>
          <w:sz w:val="24"/>
        </w:rPr>
        <w:t>4甲方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rPr>
        <w:t>5.5</w:t>
      </w:r>
      <w:r>
        <w:rPr>
          <w:rFonts w:ascii="仿宋" w:hAnsi="仿宋" w:eastAsia="仿宋"/>
          <w:sz w:val="24"/>
        </w:rPr>
        <w:t>对于因甲方原因导致变更、中止或者终止政府采购合同的，甲方应当依照合同约定对供应商受到的损失予以赔偿或者补偿。</w:t>
      </w:r>
    </w:p>
    <w:p>
      <w:pPr>
        <w:snapToGrid w:val="0"/>
        <w:spacing w:line="360" w:lineRule="auto"/>
        <w:ind w:firstLine="352" w:firstLineChars="147"/>
        <w:rPr>
          <w:rFonts w:ascii="宋体" w:hAnsi="宋体" w:cs="宋体"/>
          <w:b/>
          <w:sz w:val="24"/>
        </w:rPr>
      </w:pPr>
      <w:r>
        <w:rPr>
          <w:rFonts w:hint="eastAsia" w:ascii="宋体" w:hAnsi="宋体" w:cs="宋体"/>
          <w:bCs/>
          <w:sz w:val="24"/>
        </w:rPr>
        <w:t xml:space="preserve"> </w:t>
      </w:r>
      <w:r>
        <w:rPr>
          <w:rFonts w:hint="eastAsia" w:ascii="宋体" w:hAnsi="宋体" w:cs="宋体"/>
          <w:b/>
          <w:sz w:val="24"/>
        </w:rPr>
        <w:t>6.转包或分包</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.2乙方采取分包方式履行合同的，甲方可直接向分包供应商支付款项。</w:t>
      </w:r>
    </w:p>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7.质保期</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质保期：产品验收合格使用之日起，质保期 </w:t>
      </w:r>
      <w:r>
        <w:rPr>
          <w:rFonts w:hint="eastAsia" w:ascii="仿宋" w:hAnsi="仿宋" w:eastAsia="仿宋" w:cs="仿宋"/>
          <w:bCs/>
          <w:sz w:val="24"/>
          <w:u w:val="single"/>
        </w:rPr>
        <w:t xml:space="preserve">        </w:t>
      </w:r>
      <w:r>
        <w:rPr>
          <w:rFonts w:hint="eastAsia" w:ascii="仿宋" w:hAnsi="仿宋" w:eastAsia="仿宋" w:cs="仿宋"/>
          <w:bCs/>
          <w:sz w:val="24"/>
        </w:rPr>
        <w:t>年（具体再参照乙方按投标文件承诺确定），质保期内的维修费用（包括材料）全部由乙方负责。超过质保期的，维修时只收部件成本费。</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8.交货期、交货方式、交货地点及供货要求</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8.1交货期：</w:t>
      </w:r>
      <w:r>
        <w:rPr>
          <w:rFonts w:hint="eastAsia" w:ascii="仿宋" w:hAnsi="仿宋" w:eastAsia="仿宋" w:cs="仿宋"/>
          <w:sz w:val="24"/>
        </w:rPr>
        <w:t>签订合同后，供应商须于</w:t>
      </w:r>
      <w:r>
        <w:rPr>
          <w:rFonts w:hint="eastAsia" w:ascii="仿宋" w:hAnsi="仿宋" w:eastAsia="仿宋" w:cs="仿宋"/>
          <w:bCs/>
          <w:sz w:val="24"/>
          <w:u w:val="single"/>
        </w:rPr>
        <w:t xml:space="preserve">          </w:t>
      </w:r>
      <w:r>
        <w:rPr>
          <w:rFonts w:hint="eastAsia" w:ascii="仿宋" w:hAnsi="仿宋" w:eastAsia="仿宋" w:cs="仿宋"/>
          <w:sz w:val="24"/>
        </w:rPr>
        <w:t>前完成供货、安装</w:t>
      </w:r>
      <w:r>
        <w:rPr>
          <w:rFonts w:hint="eastAsia" w:ascii="仿宋" w:hAnsi="仿宋" w:eastAsia="仿宋" w:cs="仿宋"/>
          <w:kern w:val="0"/>
          <w:sz w:val="24"/>
        </w:rPr>
        <w:t>调试</w:t>
      </w:r>
      <w:r>
        <w:rPr>
          <w:rFonts w:hint="eastAsia" w:ascii="仿宋" w:hAnsi="仿宋" w:eastAsia="仿宋" w:cs="仿宋"/>
          <w:sz w:val="24"/>
        </w:rPr>
        <w:t>及使用方初步验收。</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8.2交货方式：由乙方负责运输至指定地点现场交货，并安装调试完毕。安装调试完毕交付甲方前发生的风险均由乙方负责。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8.3 交货地点： </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napToGrid w:val="0"/>
        <w:spacing w:line="360" w:lineRule="auto"/>
        <w:ind w:firstLine="352" w:firstLineChars="147"/>
        <w:rPr>
          <w:rFonts w:ascii="仿宋" w:hAnsi="仿宋" w:eastAsia="仿宋" w:cs="仿宋"/>
          <w:bCs/>
          <w:sz w:val="24"/>
        </w:rPr>
      </w:pPr>
      <w:r>
        <w:rPr>
          <w:rFonts w:hint="eastAsia" w:ascii="仿宋" w:hAnsi="仿宋" w:eastAsia="仿宋" w:cs="仿宋"/>
          <w:kern w:val="0"/>
          <w:sz w:val="24"/>
        </w:rPr>
        <w:t>8.4供货要求：乙方所供的货物必须为全新的，符合国家标准的合格产品。凡需国家强制保证或认可的产品、需提供相应的</w:t>
      </w:r>
      <w:r>
        <w:rPr>
          <w:rFonts w:hint="eastAsia" w:ascii="仿宋" w:hAnsi="仿宋" w:eastAsia="仿宋" w:cs="仿宋"/>
          <w:sz w:val="24"/>
        </w:rPr>
        <w:t>证书和认可的标志。</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8.5乙方应先派有经验的技术人员对安装现场进行实地勘察，对各种设备采购、制造、运输（到现场安装）、安装、工期、安全、文明施工进行总承包，一切费用均由乙方负责。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8.6乙方在设备在安装、调试时不得损坏墙体、门窗等，如有损坏要予以赔偿。</w:t>
      </w:r>
    </w:p>
    <w:p>
      <w:pPr>
        <w:snapToGrid w:val="0"/>
        <w:spacing w:line="360" w:lineRule="auto"/>
        <w:rPr>
          <w:rFonts w:ascii="仿宋" w:hAnsi="仿宋" w:eastAsia="仿宋" w:cs="仿宋"/>
          <w:sz w:val="24"/>
        </w:rPr>
      </w:pPr>
      <w:r>
        <w:rPr>
          <w:rFonts w:hint="eastAsia" w:ascii="仿宋" w:hAnsi="仿宋" w:eastAsia="仿宋" w:cs="仿宋"/>
          <w:sz w:val="24"/>
        </w:rPr>
        <w:t xml:space="preserve">   8.7培训要求：安装调试后，供应商须向使用方人员做好所供产品日常保养、使用、管理的现场实地培训，直至会熟练使用。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sz w:val="24"/>
        </w:rPr>
      </w:pPr>
      <w:r>
        <w:rPr>
          <w:rFonts w:hint="eastAsia" w:ascii="宋体" w:hAnsi="宋体" w:cs="宋体"/>
          <w:b/>
          <w:sz w:val="24"/>
        </w:rPr>
        <w:t>9.付款方式、时间和条件</w:t>
      </w:r>
    </w:p>
    <w:p>
      <w:pPr>
        <w:pStyle w:val="618"/>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rPr>
        <w:t>40</w:t>
      </w:r>
      <w:r>
        <w:rPr>
          <w:rFonts w:ascii="仿宋" w:hAnsi="仿宋" w:eastAsia="仿宋"/>
          <w:sz w:val="24"/>
        </w:rPr>
        <w:t>％。采购项目实施以人工投入为主的，可适当降低预付款比例，但不低于</w:t>
      </w:r>
      <w:r>
        <w:rPr>
          <w:rFonts w:hint="eastAsia" w:ascii="仿宋" w:hAnsi="仿宋" w:eastAsia="仿宋"/>
          <w:sz w:val="24"/>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.4资金支付的方式、时间和条</w:t>
      </w:r>
      <w:r>
        <w:rPr>
          <w:rFonts w:hint="eastAsia" w:ascii="仿宋" w:hAnsi="仿宋" w:eastAsia="仿宋"/>
          <w:sz w:val="24"/>
        </w:rPr>
        <w:t>件：</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hint="eastAsia" w:ascii="仿宋" w:hAnsi="仿宋" w:eastAsia="仿宋"/>
          <w:sz w:val="24"/>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360" w:lineRule="auto"/>
        <w:ind w:firstLine="352" w:firstLineChars="147"/>
        <w:rPr>
          <w:rFonts w:ascii="仿宋" w:hAnsi="仿宋" w:eastAsia="仿宋" w:cs="仿宋"/>
          <w:b/>
          <w:sz w:val="24"/>
        </w:rPr>
      </w:pPr>
      <w:r>
        <w:rPr>
          <w:rFonts w:hint="eastAsia" w:ascii="宋体" w:hAnsi="宋体" w:cs="宋体"/>
          <w:bCs/>
          <w:sz w:val="24"/>
        </w:rPr>
        <w:t xml:space="preserve"> 10</w:t>
      </w:r>
      <w:r>
        <w:rPr>
          <w:rFonts w:hint="eastAsia" w:ascii="仿宋" w:hAnsi="仿宋" w:eastAsia="仿宋" w:cs="仿宋"/>
          <w:b/>
          <w:sz w:val="24"/>
        </w:rPr>
        <w:t>.税费</w:t>
      </w:r>
    </w:p>
    <w:p>
      <w:pPr>
        <w:spacing w:line="360" w:lineRule="auto"/>
        <w:ind w:firstLine="480" w:firstLineChars="200"/>
        <w:rPr>
          <w:rFonts w:ascii="仿宋" w:hAnsi="仿宋" w:eastAsia="仿宋" w:cs="仿宋"/>
          <w:bCs/>
          <w:sz w:val="24"/>
        </w:rPr>
      </w:pPr>
      <w:r>
        <w:rPr>
          <w:rFonts w:hint="eastAsia" w:ascii="仿宋" w:hAnsi="仿宋" w:eastAsia="仿宋" w:cs="仿宋"/>
          <w:sz w:val="24"/>
        </w:rPr>
        <w:t>与合同有关的一切税费，均按照中华人民共和国法律的相关规定缴纳。</w:t>
      </w:r>
    </w:p>
    <w:p>
      <w:pPr>
        <w:snapToGrid w:val="0"/>
        <w:spacing w:line="360" w:lineRule="auto"/>
        <w:ind w:firstLine="352" w:firstLineChars="147"/>
        <w:rPr>
          <w:rFonts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11.质量保证及售后服务</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11.1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11.2乙方提供的货物在质保期内因货物本身的质量问题发生故障，乙方应负责免费更换。对达不到技术要求者，根据实际情况，经双方协商，可按以下办法处理：</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更换：由乙方承担所发生的全部费用。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贬值处理：由甲乙双方合议定价。</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退货处理：乙方应退还甲方支付的合同款，同时应承担该货物的直接费用（运输、保险、检验、货款利息及银行手续费等）。</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11.3在质保期内，乙方应对货物出现的质量及安全问题负责处理解决并承担一切费用。</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11.4乙方必须对所供产品实行终身维修，乙方在接到电话后2小时内响应，6小时内到达现场解决问题，最迟在2个工作日内修复，如不能修复应采取补救措施，以保证使用方的正常工作，乙方有其它服务承诺的，一并履行。</w:t>
      </w:r>
    </w:p>
    <w:p>
      <w:pPr>
        <w:snapToGrid w:val="0"/>
        <w:spacing w:line="360" w:lineRule="auto"/>
        <w:ind w:firstLine="352" w:firstLineChars="147"/>
        <w:rPr>
          <w:rFonts w:ascii="仿宋" w:hAnsi="仿宋" w:eastAsia="仿宋" w:cs="仿宋"/>
          <w:kern w:val="0"/>
          <w:sz w:val="24"/>
        </w:rPr>
      </w:pPr>
      <w:r>
        <w:rPr>
          <w:rFonts w:hint="eastAsia" w:ascii="仿宋" w:hAnsi="仿宋" w:eastAsia="仿宋" w:cs="仿宋"/>
          <w:bCs/>
          <w:sz w:val="24"/>
        </w:rPr>
        <w:t>11.5乙方在质保期内每年应（不少于一次）到使用方进行设备保养、检修。</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11.6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12.货物包装、发运及运输</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12.1乙方应在货物发运前对其进行满足运输距离、防潮、防震、防锈和防破损装卸等要求包装，以保证货物安全运达甲方指定地点。</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12.2使用说明书、质量检验证明书、随配附件和工具以及清单一并附于货物内。</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12.3乙方在货物发运手续办理完毕后24小时内或货到甲方48小时前通知甲方，以准备接货。</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12.4货物在交付甲方前发生的风险均由乙方负责。</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12.5货物在规定的交付期限内由乙方送达甲方指定的地点，及时通知甲方货物已送达并安装调试完毕视为交付。</w:t>
      </w:r>
    </w:p>
    <w:p>
      <w:pPr>
        <w:snapToGrid w:val="0"/>
        <w:spacing w:line="360" w:lineRule="auto"/>
        <w:rPr>
          <w:rFonts w:ascii="仿宋" w:hAnsi="仿宋" w:eastAsia="仿宋" w:cs="仿宋"/>
          <w:b/>
          <w:sz w:val="24"/>
        </w:rPr>
      </w:pPr>
      <w:r>
        <w:rPr>
          <w:rFonts w:hint="eastAsia" w:ascii="仿宋" w:hAnsi="仿宋" w:eastAsia="仿宋" w:cs="仿宋"/>
          <w:b/>
          <w:sz w:val="24"/>
        </w:rPr>
        <w:t xml:space="preserve">    13.调试和验收</w:t>
      </w:r>
    </w:p>
    <w:p>
      <w:pPr>
        <w:spacing w:line="360" w:lineRule="auto"/>
        <w:ind w:firstLine="480" w:firstLineChars="200"/>
        <w:outlineLvl w:val="0"/>
        <w:rPr>
          <w:rFonts w:ascii="仿宋" w:hAnsi="仿宋" w:eastAsia="仿宋" w:cs="仿宋"/>
          <w:bCs/>
          <w:sz w:val="24"/>
        </w:rPr>
      </w:pPr>
      <w:r>
        <w:rPr>
          <w:rFonts w:hint="eastAsia" w:ascii="仿宋" w:hAnsi="仿宋" w:eastAsia="仿宋" w:cs="仿宋"/>
          <w:sz w:val="24"/>
        </w:rPr>
        <w:t>13.1</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 xml:space="preserve"> 13.2经验收不合格且无法整改的，不付款不退货，所产生的所有损失由乙方承担。</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14.违约责任</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rPr>
        <w:t>14.7违约责任采购人另有约定的：</w:t>
      </w:r>
      <w:r>
        <w:rPr>
          <w:rFonts w:hint="eastAsia" w:ascii="仿宋" w:hAnsi="仿宋" w:eastAsia="仿宋"/>
          <w:sz w:val="24"/>
          <w:u w:val="single"/>
        </w:rPr>
        <w:t xml:space="preserve">                         </w:t>
      </w:r>
      <w:r>
        <w:rPr>
          <w:rFonts w:hint="eastAsia" w:ascii="仿宋" w:hAnsi="仿宋" w:eastAsia="仿宋"/>
          <w:sz w:val="24"/>
        </w:rPr>
        <w:t>从其约定。</w:t>
      </w:r>
    </w:p>
    <w:p>
      <w:pPr>
        <w:spacing w:line="360" w:lineRule="auto"/>
        <w:rPr>
          <w:rFonts w:ascii="仿宋" w:hAnsi="仿宋" w:eastAsia="仿宋" w:cs="仿宋"/>
          <w:b/>
          <w:bCs/>
          <w:sz w:val="24"/>
        </w:rPr>
      </w:pPr>
      <w:r>
        <w:rPr>
          <w:rFonts w:hint="eastAsia" w:ascii="仿宋" w:hAnsi="仿宋" w:eastAsia="仿宋" w:cs="仿宋"/>
          <w:b/>
          <w:bCs/>
          <w:sz w:val="24"/>
        </w:rPr>
        <w:t xml:space="preserve">    15.不可抗力事件处理</w:t>
      </w:r>
    </w:p>
    <w:p>
      <w:pPr>
        <w:spacing w:line="360" w:lineRule="auto"/>
        <w:rPr>
          <w:rFonts w:ascii="仿宋" w:hAnsi="仿宋" w:eastAsia="仿宋" w:cs="仿宋"/>
          <w:sz w:val="24"/>
        </w:rPr>
      </w:pPr>
      <w:r>
        <w:rPr>
          <w:rFonts w:hint="eastAsia" w:ascii="仿宋" w:hAnsi="仿宋" w:eastAsia="仿宋" w:cs="仿宋"/>
          <w:sz w:val="24"/>
        </w:rPr>
        <w:t xml:space="preserve">    15.1在合同有效期内，任何一方因不可抗力事件导致不能履行合同，则合同履行期可延长，其延长期与不可抗力影响期相同。</w:t>
      </w:r>
    </w:p>
    <w:p>
      <w:pPr>
        <w:spacing w:line="360" w:lineRule="auto"/>
        <w:rPr>
          <w:rFonts w:ascii="仿宋" w:hAnsi="仿宋" w:eastAsia="仿宋" w:cs="仿宋"/>
          <w:sz w:val="24"/>
        </w:rPr>
      </w:pPr>
      <w:r>
        <w:rPr>
          <w:rFonts w:hint="eastAsia" w:ascii="仿宋" w:hAnsi="仿宋" w:eastAsia="仿宋" w:cs="仿宋"/>
          <w:sz w:val="24"/>
        </w:rPr>
        <w:t xml:space="preserve">    15.2不可抗力事件发生后，应立即通知对方，并寄送有关权威机构出具的证明。</w:t>
      </w:r>
    </w:p>
    <w:p>
      <w:pPr>
        <w:spacing w:line="360" w:lineRule="auto"/>
        <w:rPr>
          <w:rFonts w:ascii="仿宋" w:hAnsi="仿宋" w:eastAsia="仿宋" w:cs="仿宋"/>
          <w:sz w:val="24"/>
        </w:rPr>
      </w:pPr>
      <w:r>
        <w:rPr>
          <w:rFonts w:hint="eastAsia" w:ascii="仿宋" w:hAnsi="仿宋" w:eastAsia="仿宋" w:cs="仿宋"/>
          <w:sz w:val="24"/>
        </w:rPr>
        <w:t xml:space="preserve">    15.3不可抗力事件延续120天以上，双方应通过友好协商，确定是否继续履行合同。</w:t>
      </w:r>
    </w:p>
    <w:p>
      <w:pPr>
        <w:spacing w:line="360" w:lineRule="auto"/>
        <w:rPr>
          <w:rFonts w:ascii="仿宋" w:hAnsi="仿宋" w:eastAsia="仿宋" w:cs="仿宋"/>
          <w:b/>
          <w:bCs/>
          <w:sz w:val="24"/>
        </w:rPr>
      </w:pPr>
      <w:r>
        <w:rPr>
          <w:rFonts w:hint="eastAsia" w:ascii="仿宋" w:hAnsi="仿宋" w:eastAsia="仿宋" w:cs="仿宋"/>
          <w:b/>
          <w:bCs/>
          <w:sz w:val="24"/>
        </w:rPr>
        <w:t xml:space="preserve">    16.诉讼</w:t>
      </w:r>
    </w:p>
    <w:p>
      <w:pPr>
        <w:spacing w:line="360" w:lineRule="auto"/>
        <w:rPr>
          <w:rFonts w:ascii="仿宋" w:hAnsi="仿宋" w:eastAsia="仿宋" w:cs="仿宋"/>
          <w:sz w:val="24"/>
        </w:rPr>
      </w:pPr>
      <w:r>
        <w:rPr>
          <w:rFonts w:hint="eastAsia" w:ascii="仿宋" w:hAnsi="仿宋" w:eastAsia="仿宋" w:cs="仿宋"/>
          <w:sz w:val="24"/>
        </w:rPr>
        <w:t xml:space="preserve">    双方在执行合同中所发生的一切争议，应通过协商解决。如协商不成，可向甲方所在地法院起诉。</w:t>
      </w:r>
    </w:p>
    <w:p>
      <w:pPr>
        <w:spacing w:line="360" w:lineRule="auto"/>
        <w:rPr>
          <w:rFonts w:ascii="仿宋" w:hAnsi="仿宋" w:eastAsia="仿宋" w:cs="仿宋"/>
          <w:b/>
          <w:bCs/>
          <w:sz w:val="24"/>
        </w:rPr>
      </w:pPr>
      <w:r>
        <w:rPr>
          <w:rFonts w:hint="eastAsia" w:ascii="仿宋" w:hAnsi="仿宋" w:eastAsia="仿宋" w:cs="仿宋"/>
          <w:b/>
          <w:bCs/>
          <w:sz w:val="24"/>
        </w:rPr>
        <w:t xml:space="preserve">    17.合同生效及其它</w:t>
      </w:r>
    </w:p>
    <w:p>
      <w:pPr>
        <w:spacing w:line="360" w:lineRule="auto"/>
        <w:rPr>
          <w:rFonts w:ascii="仿宋" w:hAnsi="仿宋" w:eastAsia="仿宋" w:cs="仿宋"/>
          <w:sz w:val="24"/>
        </w:rPr>
      </w:pPr>
      <w:r>
        <w:rPr>
          <w:rFonts w:hint="eastAsia" w:ascii="仿宋" w:hAnsi="仿宋" w:eastAsia="仿宋" w:cs="仿宋"/>
          <w:sz w:val="24"/>
        </w:rPr>
        <w:t xml:space="preserve">    17.1招标文件、投标文件、更正公告、中标通知书、承诺函等均作为本合同组成部分，具有同等效力。</w:t>
      </w:r>
    </w:p>
    <w:p>
      <w:pPr>
        <w:spacing w:line="360" w:lineRule="auto"/>
        <w:rPr>
          <w:rFonts w:ascii="仿宋" w:hAnsi="仿宋" w:eastAsia="仿宋" w:cs="仿宋"/>
          <w:sz w:val="24"/>
        </w:rPr>
      </w:pPr>
      <w:r>
        <w:rPr>
          <w:rFonts w:hint="eastAsia" w:ascii="仿宋" w:hAnsi="仿宋" w:eastAsia="仿宋" w:cs="仿宋"/>
          <w:sz w:val="24"/>
        </w:rPr>
        <w:t xml:space="preserve">    17.2合同经双方法定代表人或其授权代表签字并加盖单位公章后方可生效。</w:t>
      </w:r>
    </w:p>
    <w:p>
      <w:pPr>
        <w:spacing w:line="360" w:lineRule="auto"/>
        <w:rPr>
          <w:rFonts w:ascii="仿宋" w:hAnsi="仿宋" w:eastAsia="仿宋" w:cs="仿宋"/>
          <w:sz w:val="24"/>
        </w:rPr>
      </w:pPr>
      <w:r>
        <w:rPr>
          <w:rFonts w:hint="eastAsia" w:ascii="仿宋" w:hAnsi="仿宋" w:eastAsia="仿宋" w:cs="仿宋"/>
          <w:sz w:val="24"/>
        </w:rPr>
        <w:t xml:space="preserve">    17.3合同执行中涉及采购资金和采购内容修改或补充的，须经财政部门审批，并签书面补充协议报政府采购监督管理部门备案，作为主合同不可分割的一部分。</w:t>
      </w:r>
    </w:p>
    <w:p>
      <w:pPr>
        <w:spacing w:line="360" w:lineRule="auto"/>
        <w:rPr>
          <w:rFonts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sz w:val="24"/>
        </w:rPr>
      </w:pPr>
      <w:r>
        <w:rPr>
          <w:rFonts w:hint="eastAsia" w:ascii="仿宋" w:hAnsi="仿宋" w:eastAsia="仿宋" w:cs="仿宋"/>
          <w:sz w:val="24"/>
        </w:rPr>
        <w:t xml:space="preserve">    17.5本合同未尽事宜，遵照《民法典》有关条文执行。</w:t>
      </w:r>
    </w:p>
    <w:p>
      <w:pPr>
        <w:spacing w:line="360" w:lineRule="auto"/>
        <w:rPr>
          <w:rFonts w:ascii="仿宋" w:hAnsi="仿宋" w:eastAsia="仿宋" w:cs="仿宋"/>
          <w:sz w:val="24"/>
        </w:rPr>
      </w:pPr>
      <w:r>
        <w:rPr>
          <w:rFonts w:hint="eastAsia" w:ascii="仿宋" w:hAnsi="仿宋" w:eastAsia="仿宋" w:cs="仿宋"/>
          <w:sz w:val="24"/>
        </w:rPr>
        <w:t xml:space="preserve">    17.6本合同一式多份，具有同等法律效力，甲乙双方、区财政局采购监管科、验收单位，各执一份。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pPr>
        <w:spacing w:line="360" w:lineRule="auto"/>
        <w:rPr>
          <w:rFonts w:ascii="仿宋" w:hAnsi="仿宋" w:eastAsia="仿宋" w:cs="仿宋"/>
          <w:sz w:val="24"/>
        </w:rPr>
      </w:pPr>
      <w:r>
        <w:rPr>
          <w:rFonts w:hint="eastAsia" w:ascii="仿宋" w:hAnsi="仿宋" w:eastAsia="仿宋" w:cs="仿宋"/>
          <w:sz w:val="24"/>
        </w:rPr>
        <w:t xml:space="preserve">地址：                                地址：    </w:t>
      </w:r>
    </w:p>
    <w:p>
      <w:pPr>
        <w:spacing w:line="360" w:lineRule="auto"/>
        <w:rPr>
          <w:rFonts w:ascii="仿宋" w:hAnsi="仿宋" w:eastAsia="仿宋" w:cs="仿宋"/>
          <w:sz w:val="24"/>
        </w:rPr>
      </w:pPr>
      <w:r>
        <w:rPr>
          <w:rFonts w:hint="eastAsia" w:ascii="仿宋" w:hAnsi="仿宋" w:eastAsia="仿宋" w:cs="仿宋"/>
          <w:sz w:val="24"/>
        </w:rPr>
        <w:t xml:space="preserve">邮编：                                邮编：                     </w:t>
      </w:r>
    </w:p>
    <w:p>
      <w:pPr>
        <w:spacing w:line="360" w:lineRule="auto"/>
        <w:rPr>
          <w:rFonts w:ascii="仿宋" w:hAnsi="仿宋" w:eastAsia="仿宋" w:cs="仿宋"/>
          <w:sz w:val="24"/>
        </w:rPr>
      </w:pPr>
      <w:r>
        <w:rPr>
          <w:rFonts w:hint="eastAsia" w:ascii="仿宋" w:hAnsi="仿宋" w:eastAsia="仿宋" w:cs="仿宋"/>
          <w:sz w:val="24"/>
        </w:rPr>
        <w:t xml:space="preserve">电话：                                电话：             </w:t>
      </w:r>
    </w:p>
    <w:p>
      <w:pPr>
        <w:spacing w:line="360" w:lineRule="auto"/>
        <w:rPr>
          <w:rFonts w:ascii="仿宋" w:hAnsi="仿宋" w:eastAsia="仿宋" w:cs="仿宋"/>
          <w:sz w:val="24"/>
        </w:rPr>
      </w:pPr>
      <w:r>
        <w:rPr>
          <w:rFonts w:hint="eastAsia" w:ascii="仿宋" w:hAnsi="仿宋" w:eastAsia="仿宋" w:cs="仿宋"/>
          <w:sz w:val="24"/>
        </w:rPr>
        <w:t xml:space="preserve">传真：                                传真：         </w:t>
      </w:r>
    </w:p>
    <w:p>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spacing w:line="360" w:lineRule="auto"/>
        <w:rPr>
          <w:rFonts w:ascii="仿宋" w:hAnsi="仿宋" w:eastAsia="仿宋" w:cs="仿宋"/>
          <w:sz w:val="24"/>
        </w:rPr>
      </w:pPr>
      <w:r>
        <w:rPr>
          <w:rFonts w:hint="eastAsia" w:ascii="仿宋" w:hAnsi="仿宋" w:eastAsia="仿宋" w:cs="仿宋"/>
          <w:sz w:val="24"/>
        </w:rPr>
        <w:t xml:space="preserve">帐号：                                帐号：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签约时间：      年    月   日</w:t>
      </w:r>
    </w:p>
    <w:p>
      <w:pPr>
        <w:spacing w:line="360" w:lineRule="auto"/>
        <w:rPr>
          <w:rFonts w:ascii="仿宋" w:hAnsi="仿宋" w:eastAsia="仿宋" w:cs="仿宋"/>
          <w:sz w:val="24"/>
        </w:rPr>
      </w:pPr>
      <w:r>
        <w:rPr>
          <w:rFonts w:hint="eastAsia" w:ascii="仿宋" w:hAnsi="仿宋" w:eastAsia="仿宋" w:cs="仿宋"/>
          <w:sz w:val="24"/>
        </w:rPr>
        <w:t xml:space="preserve">                                            签约地点：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b/>
          <w:bCs/>
          <w:sz w:val="24"/>
        </w:rPr>
      </w:pPr>
      <w:bookmarkStart w:id="394" w:name="_Toc339872468"/>
      <w:bookmarkStart w:id="395" w:name="_Toc328381300"/>
      <w:bookmarkStart w:id="396" w:name="_Toc868"/>
      <w:bookmarkStart w:id="397" w:name="_Toc349721554"/>
      <w:bookmarkStart w:id="398" w:name="_Toc326765771"/>
      <w:bookmarkStart w:id="399" w:name="_Toc350327365"/>
      <w:r>
        <w:rPr>
          <w:rFonts w:hint="eastAsia" w:ascii="仿宋" w:hAnsi="仿宋" w:eastAsia="仿宋" w:cs="仿宋"/>
          <w:b/>
          <w:bCs/>
          <w:sz w:val="24"/>
        </w:rPr>
        <w:t xml:space="preserve"> 此仅为合同书样本，中标单位需根据实际情况和采购人签订相应的合同！</w:t>
      </w:r>
      <w:bookmarkEnd w:id="394"/>
      <w:bookmarkEnd w:id="395"/>
      <w:bookmarkEnd w:id="396"/>
      <w:bookmarkEnd w:id="397"/>
      <w:bookmarkEnd w:id="398"/>
      <w:bookmarkEnd w:id="399"/>
    </w:p>
    <w:p>
      <w:pPr>
        <w:spacing w:line="360" w:lineRule="auto"/>
        <w:rPr>
          <w:rFonts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0" w:name="_Toc194217895"/>
    </w:p>
    <w:bookmarkEnd w:id="400"/>
    <w:p>
      <w:pPr>
        <w:pStyle w:val="5"/>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我方参与（项目名称）【项目编号：    </w:t>
      </w:r>
      <w:r>
        <w:rPr>
          <w:rFonts w:hint="eastAsia" w:ascii="宋体" w:hAnsi="宋体" w:cs="宋体"/>
          <w:b/>
          <w:bCs/>
          <w:sz w:val="24"/>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（一）符合参与政府采购活动的资格条件并且没有税收缴纳、社会保障等方面的失信记录的承诺函;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5"/>
        <w:rPr>
          <w:rFonts w:cs="仿宋_GB2312"/>
          <w:kern w:val="0"/>
        </w:rPr>
      </w:pPr>
    </w:p>
    <w:p>
      <w:pPr>
        <w:rPr>
          <w:rFonts w:ascii="仿宋_GB2312" w:hAnsi="仿宋" w:eastAsia="仿宋_GB2312" w:cs="仿宋_GB2312"/>
          <w:b/>
          <w:kern w:val="0"/>
          <w:sz w:val="32"/>
          <w:szCs w:val="32"/>
        </w:rPr>
      </w:pPr>
    </w:p>
    <w:p>
      <w:pPr>
        <w:pStyle w:val="5"/>
        <w:rPr>
          <w:rFonts w:cs="仿宋_GB2312"/>
          <w:kern w:val="0"/>
        </w:rPr>
      </w:pPr>
    </w:p>
    <w:p>
      <w:pPr>
        <w:rPr>
          <w:rFonts w:ascii="仿宋_GB2312" w:hAnsi="仿宋" w:eastAsia="仿宋_GB2312" w:cs="仿宋_GB2312"/>
          <w:b/>
          <w:kern w:val="0"/>
          <w:sz w:val="32"/>
          <w:szCs w:val="32"/>
        </w:rPr>
      </w:pPr>
    </w:p>
    <w:p>
      <w:pPr>
        <w:pStyle w:val="5"/>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（7</w:t>
      </w:r>
      <w:r>
        <w:rPr>
          <w:rFonts w:ascii="仿宋_GB2312" w:hAnsi="仿宋" w:eastAsia="仿宋_GB2312" w:cs="仿宋_GB2312"/>
          <w:sz w:val="24"/>
        </w:rPr>
        <w:t>）</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rPr>
          <w:rFonts w:ascii="仿宋_GB2312" w:hAnsi="仿宋" w:eastAsia="仿宋_GB2312" w:cs="仿宋_GB2312"/>
          <w:b/>
          <w:kern w:val="0"/>
          <w:sz w:val="32"/>
          <w:szCs w:val="32"/>
          <w:lang w:val="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 （页码）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5"/>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ascii="仿宋_GB2312" w:hAnsi="仿宋" w:eastAsia="仿宋_GB2312"/>
                <w:bCs/>
                <w:sz w:val="24"/>
                <w:szCs w:val="20"/>
              </w:rPr>
            </w:pPr>
            <w:r>
              <w:rPr>
                <w:rFonts w:hint="eastAsia" w:ascii="仿宋_GB2312" w:hAnsi="仿宋" w:eastAsia="仿宋_GB2312"/>
                <w:bCs/>
                <w:sz w:val="24"/>
                <w:szCs w:val="20"/>
              </w:rPr>
              <w:t>正面：                                 反面：</w:t>
            </w:r>
          </w:p>
          <w:p>
            <w:pPr>
              <w:pStyle w:val="88"/>
              <w:adjustRightInd w:val="0"/>
              <w:spacing w:before="0" w:beforeAutospacing="0" w:after="0" w:afterAutospacing="0" w:line="360" w:lineRule="auto"/>
              <w:ind w:left="0" w:right="0"/>
              <w:rPr>
                <w:rFonts w:ascii="仿宋_GB2312" w:hAnsi="仿宋" w:eastAsia="仿宋_GB2312"/>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序号</w:t>
            </w:r>
          </w:p>
        </w:tc>
        <w:tc>
          <w:tcPr>
            <w:tcW w:w="4991" w:type="dxa"/>
            <w:vAlign w:val="center"/>
          </w:tcPr>
          <w:p>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投标文件中的</w:t>
            </w:r>
          </w:p>
          <w:p>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1</w:t>
            </w:r>
          </w:p>
        </w:tc>
        <w:tc>
          <w:tcPr>
            <w:tcW w:w="4991" w:type="dxa"/>
            <w:vAlign w:val="top"/>
          </w:tcPr>
          <w:p>
            <w:pPr>
              <w:spacing w:before="0" w:beforeAutospacing="0" w:after="0" w:afterAutospacing="0" w:line="360" w:lineRule="auto"/>
              <w:ind w:left="0" w:right="0"/>
              <w:rPr>
                <w:rFonts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vAlign w:val="top"/>
          </w:tcPr>
          <w:p>
            <w:pPr>
              <w:spacing w:before="0" w:beforeAutospacing="0" w:after="0" w:afterAutospacing="0"/>
              <w:ind w:left="0" w:right="0"/>
              <w:rPr>
                <w:rFonts w:ascii="仿宋" w:hAnsi="仿宋" w:eastAsia="仿宋" w:cs="仿宋_GB2312"/>
                <w:sz w:val="24"/>
                <w:szCs w:val="20"/>
              </w:rPr>
            </w:pPr>
          </w:p>
          <w:p>
            <w:pPr>
              <w:spacing w:before="0" w:beforeAutospacing="0" w:after="0" w:afterAutospacing="0"/>
              <w:ind w:left="0" w:right="0"/>
              <w:rPr>
                <w:rFonts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sz w:val="20"/>
                <w:szCs w:val="20"/>
              </w:rPr>
            </w:pPr>
            <w:r>
              <w:rPr>
                <w:rFonts w:hint="eastAsia" w:ascii="仿宋" w:eastAsia="仿宋" w:cs="仿宋_GB2312"/>
                <w:sz w:val="24"/>
                <w:szCs w:val="20"/>
              </w:rPr>
              <w:t>第</w:t>
            </w:r>
            <w:r>
              <w:rPr>
                <w:rFonts w:hint="eastAsia" w:ascii="仿宋" w:eastAsia="仿宋" w:cs="仿宋_GB2312"/>
                <w:sz w:val="24"/>
                <w:szCs w:val="20"/>
                <w:u w:val="single"/>
              </w:rPr>
              <w:t xml:space="preserve">  </w:t>
            </w:r>
            <w:r>
              <w:rPr>
                <w:rFonts w:hint="eastAsia" w:asci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ascii="仿宋_GB2312" w:hAnsi="仿宋" w:eastAsia="仿宋_GB2312"/>
                <w:sz w:val="24"/>
                <w:szCs w:val="20"/>
              </w:rPr>
            </w:pPr>
            <w:r>
              <w:rPr>
                <w:rFonts w:hint="eastAsia" w:ascii="仿宋_GB2312" w:hAnsi="仿宋" w:eastAsia="仿宋_GB2312"/>
                <w:sz w:val="24"/>
                <w:szCs w:val="20"/>
              </w:rPr>
              <w:t>2</w:t>
            </w:r>
          </w:p>
        </w:tc>
        <w:tc>
          <w:tcPr>
            <w:tcW w:w="4991" w:type="dxa"/>
            <w:vAlign w:val="top"/>
          </w:tcPr>
          <w:p>
            <w:pPr>
              <w:spacing w:before="0" w:beforeAutospacing="0" w:after="0" w:afterAutospacing="0" w:line="360" w:lineRule="auto"/>
              <w:ind w:left="0" w:right="0"/>
              <w:rPr>
                <w:rFonts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ascii="仿宋" w:hAnsi="仿宋" w:eastAsia="仿宋" w:cs="仿宋_GB2312"/>
                <w:sz w:val="24"/>
                <w:szCs w:val="20"/>
              </w:rPr>
            </w:pPr>
          </w:p>
          <w:p>
            <w:pPr>
              <w:spacing w:before="0" w:beforeAutospacing="0" w:after="0" w:afterAutospacing="0"/>
              <w:ind w:left="0" w:right="0"/>
              <w:rPr>
                <w:rFonts w:ascii="仿宋" w:hAnsi="仿宋" w:eastAsia="仿宋" w:cs="仿宋_GB2312"/>
                <w:sz w:val="24"/>
                <w:szCs w:val="20"/>
              </w:rPr>
            </w:pPr>
          </w:p>
          <w:p>
            <w:pPr>
              <w:spacing w:before="0" w:beforeAutospacing="0" w:after="0" w:afterAutospacing="0"/>
              <w:ind w:left="0" w:right="0"/>
              <w:rPr>
                <w:rFonts w:ascii="仿宋" w:hAnsi="仿宋" w:eastAsia="仿宋" w:cs="仿宋_GB2312"/>
                <w:sz w:val="24"/>
                <w:szCs w:val="20"/>
              </w:rPr>
            </w:pPr>
            <w:r>
              <w:rPr>
                <w:rFonts w:hint="eastAsia" w:ascii="仿宋" w:hAnsi="仿宋" w:eastAsia="仿宋" w:cs="仿宋_GB2312"/>
                <w:sz w:val="24"/>
                <w:szCs w:val="20"/>
              </w:rPr>
              <w:t>见投标文件</w:t>
            </w:r>
          </w:p>
          <w:p>
            <w:pPr>
              <w:pStyle w:val="5"/>
              <w:spacing w:before="0" w:beforeAutospacing="0" w:after="0" w:afterAutospacing="0"/>
              <w:ind w:right="0"/>
              <w:rPr>
                <w:rFonts w:ascii="Times New Roman" w:hAnsi="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3</w:t>
            </w:r>
          </w:p>
        </w:tc>
        <w:tc>
          <w:tcPr>
            <w:tcW w:w="4991" w:type="dxa"/>
            <w:vAlign w:val="top"/>
          </w:tcPr>
          <w:p>
            <w:pPr>
              <w:spacing w:before="0" w:beforeAutospacing="0" w:after="0" w:afterAutospacing="0" w:line="360" w:lineRule="auto"/>
              <w:ind w:left="0" w:right="0"/>
              <w:rPr>
                <w:rFonts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投标函</w:t>
            </w:r>
          </w:p>
        </w:tc>
        <w:tc>
          <w:tcPr>
            <w:tcW w:w="1418" w:type="dxa"/>
            <w:vAlign w:val="top"/>
          </w:tcPr>
          <w:p>
            <w:pPr>
              <w:spacing w:before="0" w:beforeAutospacing="0" w:after="0" w:afterAutospacing="0"/>
              <w:ind w:left="0" w:right="0"/>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4</w:t>
            </w:r>
          </w:p>
        </w:tc>
        <w:tc>
          <w:tcPr>
            <w:tcW w:w="4991" w:type="dxa"/>
            <w:vAlign w:val="top"/>
          </w:tcPr>
          <w:p>
            <w:pPr>
              <w:spacing w:before="0" w:beforeAutospacing="0" w:after="0" w:afterAutospacing="0" w:line="360" w:lineRule="auto"/>
              <w:ind w:left="0" w:right="0"/>
              <w:rPr>
                <w:rFonts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pPr>
              <w:spacing w:before="0" w:beforeAutospacing="0" w:after="0" w:afterAutospacing="0"/>
              <w:ind w:left="0" w:right="0"/>
              <w:rPr>
                <w:rFonts w:ascii="仿宋" w:hAnsi="仿宋" w:eastAsia="仿宋"/>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r>
    </w:tbl>
    <w:p>
      <w:pPr>
        <w:spacing w:line="360" w:lineRule="auto"/>
        <w:rPr>
          <w:rFonts w:ascii="宋体" w:hAnsi="宋体" w:cs="宋体"/>
          <w:b/>
          <w:sz w:val="24"/>
          <w:szCs w:val="20"/>
        </w:rPr>
      </w:pPr>
      <w:r>
        <w:rPr>
          <w:rFonts w:hint="eastAsia" w:ascii="宋体" w:hAnsi="宋体" w:cs="宋体"/>
          <w:b/>
          <w:sz w:val="24"/>
          <w:szCs w:val="20"/>
        </w:rPr>
        <w:t>注：货物类按本格式和要求提供。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备注（如果有）</w:t>
            </w:r>
          </w:p>
          <w:p>
            <w:pPr>
              <w:spacing w:before="0" w:beforeAutospacing="0" w:after="0" w:afterAutospacing="0" w:line="360" w:lineRule="auto"/>
              <w:ind w:left="0" w:right="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宋体"/>
                <w:sz w:val="24"/>
                <w:szCs w:val="20"/>
              </w:rPr>
            </w:pPr>
          </w:p>
        </w:tc>
      </w:tr>
    </w:tbl>
    <w:p>
      <w:pPr>
        <w:pStyle w:val="5"/>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pPr>
        <w:rPr>
          <w:rFonts w:ascii="仿宋_GB2312" w:hAnsi="仿宋" w:eastAsia="仿宋_GB2312" w:cs="仿宋_GB2312"/>
          <w:b/>
          <w:kern w:val="0"/>
          <w:sz w:val="32"/>
          <w:szCs w:val="32"/>
        </w:rPr>
      </w:pPr>
    </w:p>
    <w:p>
      <w:pPr>
        <w:pStyle w:val="5"/>
        <w:rPr>
          <w:rFonts w:cs="仿宋_GB2312"/>
          <w:kern w:val="0"/>
        </w:rPr>
      </w:pPr>
    </w:p>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 （页码）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1417"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1843" w:type="dxa"/>
            <w:vAlign w:val="top"/>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品牌（如果有）</w:t>
            </w:r>
          </w:p>
        </w:tc>
        <w:tc>
          <w:tcPr>
            <w:tcW w:w="3118"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规格型号</w:t>
            </w:r>
          </w:p>
        </w:tc>
        <w:tc>
          <w:tcPr>
            <w:tcW w:w="993"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数量</w:t>
            </w:r>
          </w:p>
        </w:tc>
        <w:tc>
          <w:tcPr>
            <w:tcW w:w="1559"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单价</w:t>
            </w:r>
          </w:p>
        </w:tc>
        <w:tc>
          <w:tcPr>
            <w:tcW w:w="1984"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合计</w:t>
            </w:r>
          </w:p>
        </w:tc>
        <w:tc>
          <w:tcPr>
            <w:tcW w:w="3119" w:type="dxa"/>
            <w:vAlign w:val="center"/>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备注（如果有）</w:t>
            </w:r>
          </w:p>
          <w:p>
            <w:pPr>
              <w:spacing w:before="0" w:beforeAutospacing="0" w:after="0" w:afterAutospacing="0" w:line="360" w:lineRule="auto"/>
              <w:ind w:left="0" w:right="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1417" w:type="dxa"/>
            <w:vAlign w:val="center"/>
          </w:tcPr>
          <w:p>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184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pPr>
              <w:spacing w:before="0" w:beforeAutospacing="0" w:after="0" w:afterAutospacing="0" w:line="360" w:lineRule="auto"/>
              <w:ind w:left="0" w:right="0"/>
              <w:jc w:val="center"/>
              <w:rPr>
                <w:rFonts w:ascii="宋体" w:hAnsi="宋体" w:cs="宋体"/>
                <w:sz w:val="24"/>
                <w:szCs w:val="20"/>
              </w:rPr>
            </w:pPr>
          </w:p>
        </w:tc>
        <w:tc>
          <w:tcPr>
            <w:tcW w:w="1984" w:type="dxa"/>
            <w:vAlign w:val="center"/>
          </w:tcPr>
          <w:p>
            <w:pPr>
              <w:spacing w:before="0" w:beforeAutospacing="0" w:after="0" w:afterAutospacing="0" w:line="360" w:lineRule="auto"/>
              <w:ind w:left="0" w:right="0"/>
              <w:jc w:val="center"/>
              <w:rPr>
                <w:rFonts w:ascii="宋体" w:hAnsi="宋体" w:cs="宋体"/>
                <w:sz w:val="24"/>
                <w:szCs w:val="20"/>
              </w:rPr>
            </w:pPr>
          </w:p>
        </w:tc>
        <w:tc>
          <w:tcPr>
            <w:tcW w:w="3119"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1417" w:type="dxa"/>
            <w:vAlign w:val="center"/>
          </w:tcPr>
          <w:p>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184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pPr>
              <w:spacing w:before="0" w:beforeAutospacing="0" w:after="0" w:afterAutospacing="0" w:line="360" w:lineRule="auto"/>
              <w:ind w:left="0" w:right="0"/>
              <w:jc w:val="center"/>
              <w:rPr>
                <w:rFonts w:ascii="宋体" w:hAnsi="宋体" w:cs="宋体"/>
                <w:sz w:val="24"/>
                <w:szCs w:val="20"/>
              </w:rPr>
            </w:pPr>
          </w:p>
        </w:tc>
        <w:tc>
          <w:tcPr>
            <w:tcW w:w="1984" w:type="dxa"/>
            <w:vAlign w:val="center"/>
          </w:tcPr>
          <w:p>
            <w:pPr>
              <w:spacing w:before="0" w:beforeAutospacing="0" w:after="0" w:afterAutospacing="0" w:line="360" w:lineRule="auto"/>
              <w:ind w:left="0" w:right="0"/>
              <w:jc w:val="center"/>
              <w:rPr>
                <w:rFonts w:ascii="宋体" w:hAnsi="宋体" w:cs="宋体"/>
                <w:sz w:val="24"/>
                <w:szCs w:val="20"/>
              </w:rPr>
            </w:pPr>
          </w:p>
        </w:tc>
        <w:tc>
          <w:tcPr>
            <w:tcW w:w="3119"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1417"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84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pPr>
              <w:spacing w:before="0" w:beforeAutospacing="0" w:after="0" w:afterAutospacing="0" w:line="360" w:lineRule="auto"/>
              <w:ind w:left="0" w:right="0"/>
              <w:jc w:val="center"/>
              <w:rPr>
                <w:rFonts w:ascii="宋体" w:hAnsi="宋体" w:cs="宋体"/>
                <w:sz w:val="24"/>
                <w:szCs w:val="20"/>
              </w:rPr>
            </w:pPr>
          </w:p>
        </w:tc>
        <w:tc>
          <w:tcPr>
            <w:tcW w:w="1984" w:type="dxa"/>
            <w:vAlign w:val="center"/>
          </w:tcPr>
          <w:p>
            <w:pPr>
              <w:spacing w:before="0" w:beforeAutospacing="0" w:after="0" w:afterAutospacing="0" w:line="360" w:lineRule="auto"/>
              <w:ind w:left="0" w:right="0"/>
              <w:jc w:val="center"/>
              <w:rPr>
                <w:rFonts w:ascii="宋体" w:hAnsi="宋体" w:cs="宋体"/>
                <w:sz w:val="24"/>
                <w:szCs w:val="20"/>
              </w:rPr>
            </w:pPr>
          </w:p>
        </w:tc>
        <w:tc>
          <w:tcPr>
            <w:tcW w:w="3119"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宋体" w:hAnsi="宋体" w:cs="宋体"/>
                <w:sz w:val="24"/>
                <w:szCs w:val="20"/>
              </w:rPr>
            </w:pPr>
          </w:p>
        </w:tc>
        <w:tc>
          <w:tcPr>
            <w:tcW w:w="1417"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84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pPr>
              <w:spacing w:before="0" w:beforeAutospacing="0" w:after="0" w:afterAutospacing="0" w:line="360" w:lineRule="auto"/>
              <w:ind w:left="0" w:right="0"/>
              <w:jc w:val="center"/>
              <w:rPr>
                <w:rFonts w:ascii="宋体" w:hAnsi="宋体" w:cs="宋体"/>
                <w:sz w:val="24"/>
                <w:szCs w:val="20"/>
              </w:rPr>
            </w:pPr>
          </w:p>
        </w:tc>
        <w:tc>
          <w:tcPr>
            <w:tcW w:w="1984" w:type="dxa"/>
            <w:vAlign w:val="center"/>
          </w:tcPr>
          <w:p>
            <w:pPr>
              <w:spacing w:before="0" w:beforeAutospacing="0" w:after="0" w:afterAutospacing="0" w:line="360" w:lineRule="auto"/>
              <w:ind w:left="0" w:right="0"/>
              <w:jc w:val="center"/>
              <w:rPr>
                <w:rFonts w:ascii="宋体" w:hAnsi="宋体" w:cs="宋体"/>
                <w:sz w:val="24"/>
                <w:szCs w:val="20"/>
              </w:rPr>
            </w:pPr>
          </w:p>
        </w:tc>
        <w:tc>
          <w:tcPr>
            <w:tcW w:w="3119"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宋体" w:hAnsi="宋体" w:cs="宋体"/>
                <w:sz w:val="24"/>
                <w:szCs w:val="20"/>
              </w:rPr>
            </w:pPr>
          </w:p>
        </w:tc>
        <w:tc>
          <w:tcPr>
            <w:tcW w:w="1417"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84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pPr>
              <w:spacing w:before="0" w:beforeAutospacing="0" w:after="0" w:afterAutospacing="0" w:line="360" w:lineRule="auto"/>
              <w:ind w:left="0" w:right="0"/>
              <w:jc w:val="center"/>
              <w:rPr>
                <w:rFonts w:ascii="宋体" w:hAnsi="宋体" w:cs="宋体"/>
                <w:sz w:val="24"/>
                <w:szCs w:val="20"/>
              </w:rPr>
            </w:pPr>
          </w:p>
        </w:tc>
        <w:tc>
          <w:tcPr>
            <w:tcW w:w="1984" w:type="dxa"/>
            <w:vAlign w:val="center"/>
          </w:tcPr>
          <w:p>
            <w:pPr>
              <w:spacing w:before="0" w:beforeAutospacing="0" w:after="0" w:afterAutospacing="0" w:line="360" w:lineRule="auto"/>
              <w:ind w:left="0" w:right="0"/>
              <w:jc w:val="center"/>
              <w:rPr>
                <w:rFonts w:ascii="宋体" w:hAnsi="宋体" w:cs="宋体"/>
                <w:sz w:val="24"/>
                <w:szCs w:val="20"/>
              </w:rPr>
            </w:pPr>
          </w:p>
        </w:tc>
        <w:tc>
          <w:tcPr>
            <w:tcW w:w="3119"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投标报价（小写）</w:t>
            </w:r>
          </w:p>
        </w:tc>
        <w:tc>
          <w:tcPr>
            <w:tcW w:w="7655" w:type="dxa"/>
            <w:gridSpan w:val="4"/>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投标报价（大写）</w:t>
            </w:r>
          </w:p>
        </w:tc>
        <w:tc>
          <w:tcPr>
            <w:tcW w:w="7655" w:type="dxa"/>
            <w:gridSpan w:val="4"/>
            <w:vAlign w:val="center"/>
          </w:tcPr>
          <w:p>
            <w:pPr>
              <w:spacing w:before="0" w:beforeAutospacing="0" w:after="0" w:afterAutospacing="0" w:line="360" w:lineRule="auto"/>
              <w:ind w:left="0" w:right="0"/>
              <w:jc w:val="center"/>
              <w:rPr>
                <w:rFonts w:ascii="宋体" w:hAnsi="宋体" w:cs="宋体"/>
                <w:sz w:val="24"/>
                <w:szCs w:val="20"/>
              </w:rPr>
            </w:pPr>
          </w:p>
        </w:tc>
      </w:tr>
    </w:tbl>
    <w:p>
      <w:pPr>
        <w:spacing w:line="360" w:lineRule="auto"/>
        <w:rPr>
          <w:rFonts w:hint="eastAsia" w:ascii="宋体" w:hAnsi="宋体" w:cs="宋体"/>
          <w:b/>
          <w:sz w:val="24"/>
          <w:szCs w:val="20"/>
          <w:lang w:val="en-US" w:eastAsia="zh-CN"/>
        </w:rPr>
      </w:pPr>
      <w:r>
        <w:rPr>
          <w:rFonts w:hint="eastAsia" w:ascii="宋体" w:hAnsi="宋体" w:cs="宋体"/>
          <w:b/>
          <w:sz w:val="24"/>
          <w:szCs w:val="20"/>
        </w:rPr>
        <w:t>注：货物类按本格式和要求提供。</w:t>
      </w:r>
      <w:r>
        <w:rPr>
          <w:rFonts w:hint="eastAsia" w:ascii="宋体" w:hAnsi="宋体" w:cs="宋体"/>
          <w:b/>
          <w:sz w:val="24"/>
          <w:szCs w:val="20"/>
          <w:lang w:val="en-US" w:eastAsia="zh-CN"/>
        </w:rPr>
        <w:t xml:space="preserve">                                           </w:t>
      </w:r>
    </w:p>
    <w:p>
      <w:pPr>
        <w:spacing w:line="360" w:lineRule="auto"/>
        <w:ind w:firstLine="8674" w:firstLineChars="3600"/>
        <w:rPr>
          <w:rFonts w:hint="default" w:ascii="仿宋_GB2312" w:hAnsi="仿宋" w:eastAsia="仿宋_GB2312" w:cs="仿宋_GB2312"/>
          <w:b/>
          <w:bCs/>
          <w:kern w:val="0"/>
          <w:sz w:val="24"/>
          <w:szCs w:val="24"/>
          <w:lang w:val="en-US" w:eastAsia="zh-CN" w:bidi="ar-SA"/>
        </w:rPr>
      </w:pPr>
      <w:r>
        <w:rPr>
          <w:rFonts w:hint="eastAsia" w:cs="仿宋_GB2312"/>
          <w:b/>
          <w:bCs/>
          <w:kern w:val="0"/>
          <w:sz w:val="24"/>
          <w:szCs w:val="24"/>
          <w:lang w:val="en-US" w:eastAsia="zh-CN" w:bidi="ar-SA"/>
        </w:rPr>
        <w:t xml:space="preserve"> </w:t>
      </w:r>
      <w:r>
        <w:rPr>
          <w:rFonts w:hint="eastAsia" w:ascii="仿宋_GB2312" w:hAnsi="仿宋" w:eastAsia="仿宋_GB2312" w:cs="仿宋_GB2312"/>
          <w:b/>
          <w:bCs/>
          <w:kern w:val="0"/>
          <w:sz w:val="24"/>
          <w:szCs w:val="24"/>
          <w:lang w:val="en-US" w:eastAsia="zh-CN" w:bidi="ar-SA"/>
        </w:rPr>
        <w:t>投标单位（盖章）     法人（签字或盖章）</w:t>
      </w:r>
    </w:p>
    <w:p>
      <w:pPr>
        <w:pStyle w:val="5"/>
      </w:pP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992"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2268" w:type="dxa"/>
            <w:vAlign w:val="top"/>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服务范围</w:t>
            </w:r>
          </w:p>
        </w:tc>
        <w:tc>
          <w:tcPr>
            <w:tcW w:w="2410"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服务要求</w:t>
            </w:r>
          </w:p>
        </w:tc>
        <w:tc>
          <w:tcPr>
            <w:tcW w:w="2268"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服务时间</w:t>
            </w:r>
          </w:p>
        </w:tc>
        <w:tc>
          <w:tcPr>
            <w:tcW w:w="2126" w:type="dxa"/>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服务标准</w:t>
            </w:r>
          </w:p>
        </w:tc>
        <w:tc>
          <w:tcPr>
            <w:tcW w:w="2127" w:type="dxa"/>
            <w:vAlign w:val="top"/>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服务人数</w:t>
            </w:r>
          </w:p>
        </w:tc>
        <w:tc>
          <w:tcPr>
            <w:tcW w:w="2126" w:type="dxa"/>
            <w:vAlign w:val="center"/>
          </w:tcPr>
          <w:p>
            <w:pPr>
              <w:spacing w:before="0" w:beforeAutospacing="0" w:after="0" w:afterAutospacing="0" w:line="360" w:lineRule="auto"/>
              <w:ind w:left="0" w:right="0"/>
              <w:jc w:val="center"/>
              <w:rPr>
                <w:rFonts w:ascii="宋体" w:hAnsi="宋体" w:cs="宋体"/>
                <w:b/>
                <w:sz w:val="24"/>
                <w:szCs w:val="20"/>
              </w:rPr>
            </w:pPr>
          </w:p>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备注（如果有）</w:t>
            </w:r>
          </w:p>
          <w:p>
            <w:pPr>
              <w:spacing w:before="0" w:beforeAutospacing="0" w:after="0" w:afterAutospacing="0" w:line="360" w:lineRule="auto"/>
              <w:ind w:left="0" w:right="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992" w:type="dxa"/>
            <w:vAlign w:val="center"/>
          </w:tcPr>
          <w:p>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c>
          <w:tcPr>
            <w:tcW w:w="2127" w:type="dxa"/>
            <w:vAlign w:val="top"/>
          </w:tcPr>
          <w:p>
            <w:pPr>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992" w:type="dxa"/>
            <w:vAlign w:val="center"/>
          </w:tcPr>
          <w:p>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c>
          <w:tcPr>
            <w:tcW w:w="2127" w:type="dxa"/>
            <w:vAlign w:val="top"/>
          </w:tcPr>
          <w:p>
            <w:pPr>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992"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c>
          <w:tcPr>
            <w:tcW w:w="2127" w:type="dxa"/>
            <w:vAlign w:val="top"/>
          </w:tcPr>
          <w:p>
            <w:pPr>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ascii="宋体" w:hAnsi="宋体" w:cs="宋体"/>
                <w:sz w:val="24"/>
                <w:szCs w:val="20"/>
              </w:rPr>
            </w:pPr>
          </w:p>
        </w:tc>
        <w:tc>
          <w:tcPr>
            <w:tcW w:w="992"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c>
          <w:tcPr>
            <w:tcW w:w="2127" w:type="dxa"/>
            <w:vAlign w:val="top"/>
          </w:tcPr>
          <w:p>
            <w:pPr>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ascii="宋体" w:hAnsi="宋体" w:cs="宋体"/>
                <w:sz w:val="24"/>
                <w:szCs w:val="20"/>
              </w:rPr>
            </w:pPr>
          </w:p>
        </w:tc>
        <w:tc>
          <w:tcPr>
            <w:tcW w:w="992"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c>
          <w:tcPr>
            <w:tcW w:w="2127" w:type="dxa"/>
            <w:vAlign w:val="top"/>
          </w:tcPr>
          <w:p>
            <w:pPr>
              <w:spacing w:before="0" w:beforeAutospacing="0" w:after="0" w:afterAutospacing="0" w:line="360" w:lineRule="auto"/>
              <w:ind w:left="0" w:right="0"/>
              <w:jc w:val="center"/>
              <w:rPr>
                <w:rFonts w:ascii="宋体" w:hAnsi="宋体" w:cs="宋体"/>
                <w:sz w:val="24"/>
                <w:szCs w:val="20"/>
              </w:rPr>
            </w:pPr>
          </w:p>
        </w:tc>
        <w:tc>
          <w:tcPr>
            <w:tcW w:w="2126" w:type="dxa"/>
            <w:vAlign w:val="center"/>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投标报价（小写）</w:t>
            </w:r>
          </w:p>
        </w:tc>
        <w:tc>
          <w:tcPr>
            <w:tcW w:w="8647" w:type="dxa"/>
            <w:gridSpan w:val="4"/>
            <w:vAlign w:val="top"/>
          </w:tcPr>
          <w:p>
            <w:pPr>
              <w:spacing w:before="0" w:beforeAutospacing="0" w:after="0" w:afterAutospacing="0" w:line="360" w:lineRule="auto"/>
              <w:ind w:left="0" w:right="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投标报价（大写）</w:t>
            </w:r>
          </w:p>
        </w:tc>
        <w:tc>
          <w:tcPr>
            <w:tcW w:w="8647" w:type="dxa"/>
            <w:gridSpan w:val="4"/>
            <w:vAlign w:val="top"/>
          </w:tcPr>
          <w:p>
            <w:pPr>
              <w:spacing w:before="0" w:beforeAutospacing="0" w:after="0" w:afterAutospacing="0" w:line="360" w:lineRule="auto"/>
              <w:ind w:left="0" w:right="0"/>
              <w:jc w:val="center"/>
              <w:rPr>
                <w:rFonts w:ascii="宋体" w:hAnsi="宋体" w:cs="宋体"/>
                <w:sz w:val="24"/>
                <w:szCs w:val="20"/>
              </w:rPr>
            </w:pPr>
          </w:p>
        </w:tc>
      </w:tr>
    </w:tbl>
    <w:p>
      <w:pPr>
        <w:pStyle w:val="5"/>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pPr>
        <w:pStyle w:val="5"/>
        <w:rPr>
          <w:rFonts w:hint="default" w:ascii="仿宋_GB2312" w:hAnsi="仿宋" w:eastAsia="仿宋_GB2312" w:cs="仿宋_GB2312"/>
          <w:b/>
          <w:bCs/>
          <w:kern w:val="0"/>
          <w:sz w:val="24"/>
          <w:szCs w:val="24"/>
          <w:lang w:val="en-US" w:eastAsia="zh-CN" w:bidi="ar-SA"/>
        </w:rPr>
      </w:pPr>
      <w:r>
        <w:rPr>
          <w:rFonts w:hint="eastAsia"/>
          <w:lang w:val="en-US" w:eastAsia="zh-CN"/>
        </w:rPr>
        <w:t xml:space="preserve">                                               </w:t>
      </w:r>
      <w:r>
        <w:rPr>
          <w:rFonts w:hint="eastAsia" w:ascii="仿宋_GB2312" w:hAnsi="仿宋" w:eastAsia="仿宋_GB2312" w:cs="仿宋_GB2312"/>
          <w:b w:val="0"/>
          <w:bCs w:val="0"/>
          <w:kern w:val="0"/>
          <w:sz w:val="24"/>
          <w:szCs w:val="24"/>
          <w:lang w:val="en-US" w:eastAsia="zh-CN" w:bidi="ar-SA"/>
        </w:rPr>
        <w:t xml:space="preserve">  </w:t>
      </w:r>
      <w:r>
        <w:rPr>
          <w:rFonts w:hint="eastAsia" w:cs="仿宋_GB2312"/>
          <w:b w:val="0"/>
          <w:bCs w:val="0"/>
          <w:kern w:val="0"/>
          <w:sz w:val="24"/>
          <w:szCs w:val="24"/>
          <w:lang w:val="en-US" w:eastAsia="zh-CN" w:bidi="ar-SA"/>
        </w:rPr>
        <w:t xml:space="preserve">          </w:t>
      </w:r>
      <w:r>
        <w:rPr>
          <w:rFonts w:hint="eastAsia" w:cs="仿宋_GB2312"/>
          <w:b/>
          <w:bCs/>
          <w:kern w:val="0"/>
          <w:sz w:val="24"/>
          <w:szCs w:val="24"/>
          <w:lang w:val="en-US" w:eastAsia="zh-CN" w:bidi="ar-SA"/>
        </w:rPr>
        <w:t xml:space="preserve"> </w:t>
      </w:r>
      <w:r>
        <w:rPr>
          <w:rFonts w:hint="eastAsia" w:ascii="仿宋_GB2312" w:hAnsi="仿宋" w:eastAsia="仿宋_GB2312" w:cs="仿宋_GB2312"/>
          <w:b/>
          <w:bCs/>
          <w:kern w:val="0"/>
          <w:sz w:val="24"/>
          <w:szCs w:val="24"/>
          <w:lang w:val="en-US" w:eastAsia="zh-CN" w:bidi="ar-SA"/>
        </w:rPr>
        <w:t>投标单位（盖章）     法人（签字或盖章）</w:t>
      </w: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仿宋_GB2312" w:hAnsi="仿宋" w:eastAsia="仿宋_GB2312" w:cs="仿宋_GB2312"/>
          <w:kern w:val="0"/>
          <w:sz w:val="24"/>
        </w:rPr>
        <w:t>2</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3</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5"/>
        <w:rPr>
          <w:rFonts w:cs="仿宋_GB2312"/>
          <w:kern w:val="0"/>
          <w:sz w:val="24"/>
          <w:lang w:val="en-US"/>
        </w:rPr>
      </w:pPr>
      <w:r>
        <w:rPr>
          <w:rFonts w:hint="eastAsia" w:cs="仿宋_GB2312"/>
          <w:kern w:val="0"/>
          <w:sz w:val="24"/>
          <w:lang w:val="en-US"/>
        </w:rPr>
        <w:t xml:space="preserve">    </w:t>
      </w:r>
    </w:p>
    <w:p>
      <w:pPr>
        <w:rPr>
          <w:rFonts w:ascii="宋体" w:hAnsi="宋体" w:cs="宋体"/>
          <w:kern w:val="0"/>
          <w:sz w:val="24"/>
          <w:lang w:val="zh-CN"/>
        </w:rPr>
      </w:pPr>
      <w:r>
        <w:rPr>
          <w:rFonts w:hint="eastAsia" w:ascii="宋体" w:hAnsi="宋体" w:cs="宋体"/>
          <w:kern w:val="0"/>
          <w:sz w:val="24"/>
        </w:rPr>
        <w:t xml:space="preserve">    4</w:t>
      </w:r>
      <w:r>
        <w:rPr>
          <w:rFonts w:hint="eastAsia" w:ascii="宋体" w:hAnsi="宋体" w:cs="宋体"/>
          <w:kern w:val="0"/>
          <w:sz w:val="24"/>
          <w:lang w:val="zh-CN"/>
        </w:rPr>
        <w:t>、特别提示：采购机构将对项目名称和项目编号，中标供应商名称、地址和中标金额，主要中标标的名称、品牌（如果有）、规格型号、数量、单价等予以公示。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、特别提示：采购机构将对项目名称和项目编号，中标供应商名称、地址和中标金额，主要中标标的名称、服务范围、服务要求、服务时间、服务标准等予以公示。</w:t>
      </w:r>
    </w:p>
    <w:p>
      <w:pPr>
        <w:pStyle w:val="5"/>
        <w:rPr>
          <w:lang w:val="en-US"/>
        </w:rPr>
      </w:pPr>
    </w:p>
    <w:p>
      <w:pPr>
        <w:rPr>
          <w:rFonts w:ascii="仿宋_GB2312" w:hAnsi="仿宋" w:eastAsia="仿宋_GB2312" w:cs="仿宋_GB2312"/>
          <w:kern w:val="0"/>
          <w:sz w:val="24"/>
          <w:lang w:val="zh-CN"/>
        </w:rPr>
      </w:pPr>
    </w:p>
    <w:p>
      <w:pPr>
        <w:pStyle w:val="5"/>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4"/>
      <w:bookmarkStart w:id="403" w:name="OLE_LINK13"/>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5"/>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4" w:name="_Toc164085800"/>
    <w:bookmarkStart w:id="405" w:name="_Toc36110187"/>
    <w:bookmarkStart w:id="406" w:name="_Toc13184514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before="120"/>
    </w:pPr>
    <w:r>
      <w:rPr>
        <w:rFonts w:ascii="Times New Roman" w:hAnsi="Times New Roman" w:eastAsia="宋体" w:cs="Times New Roman"/>
        <w:kern w:val="2"/>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临平区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D9D1F"/>
    <w:multiLevelType w:val="singleLevel"/>
    <w:tmpl w:val="629D9D1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mJmMjJhY2VmMTMzYTQ0NDg4ZTZmZGQ1M2Y5MmEy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5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8A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09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7D"/>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52"/>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68"/>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60484"/>
    <w:rsid w:val="04076900"/>
    <w:rsid w:val="041A5A3B"/>
    <w:rsid w:val="042311BA"/>
    <w:rsid w:val="042B157A"/>
    <w:rsid w:val="046E4E16"/>
    <w:rsid w:val="0482094E"/>
    <w:rsid w:val="048F763B"/>
    <w:rsid w:val="049F330E"/>
    <w:rsid w:val="04AA775C"/>
    <w:rsid w:val="04AF1889"/>
    <w:rsid w:val="04F66F48"/>
    <w:rsid w:val="05251E14"/>
    <w:rsid w:val="05A16594"/>
    <w:rsid w:val="05A7762D"/>
    <w:rsid w:val="05EC26B0"/>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C627E"/>
    <w:rsid w:val="098353B5"/>
    <w:rsid w:val="09A92330"/>
    <w:rsid w:val="09B06B87"/>
    <w:rsid w:val="09C13146"/>
    <w:rsid w:val="09E04166"/>
    <w:rsid w:val="0A1C0718"/>
    <w:rsid w:val="0A3E7710"/>
    <w:rsid w:val="0A5B7E63"/>
    <w:rsid w:val="0AA374A5"/>
    <w:rsid w:val="0AAB7649"/>
    <w:rsid w:val="0ABC5606"/>
    <w:rsid w:val="0AC42132"/>
    <w:rsid w:val="0ADF1319"/>
    <w:rsid w:val="0AEE5A69"/>
    <w:rsid w:val="0AFB5144"/>
    <w:rsid w:val="0B30404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B64CC"/>
    <w:rsid w:val="0FBF3FD2"/>
    <w:rsid w:val="0FBF7FF3"/>
    <w:rsid w:val="10105A09"/>
    <w:rsid w:val="103D2B2E"/>
    <w:rsid w:val="10646583"/>
    <w:rsid w:val="107D4B15"/>
    <w:rsid w:val="108A3C80"/>
    <w:rsid w:val="10C26171"/>
    <w:rsid w:val="10F26336"/>
    <w:rsid w:val="10F33360"/>
    <w:rsid w:val="10FC16EA"/>
    <w:rsid w:val="11036B00"/>
    <w:rsid w:val="110F1D40"/>
    <w:rsid w:val="11266F33"/>
    <w:rsid w:val="118963A1"/>
    <w:rsid w:val="11B65DF2"/>
    <w:rsid w:val="11C6522A"/>
    <w:rsid w:val="11CB3D84"/>
    <w:rsid w:val="11E104CC"/>
    <w:rsid w:val="11E20309"/>
    <w:rsid w:val="11FE0013"/>
    <w:rsid w:val="12255233"/>
    <w:rsid w:val="12530213"/>
    <w:rsid w:val="12704669"/>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5E45D39"/>
    <w:rsid w:val="16A8729C"/>
    <w:rsid w:val="16B33777"/>
    <w:rsid w:val="16BC70A7"/>
    <w:rsid w:val="16C6339E"/>
    <w:rsid w:val="172F2D79"/>
    <w:rsid w:val="17557BEF"/>
    <w:rsid w:val="175F3F5B"/>
    <w:rsid w:val="17847889"/>
    <w:rsid w:val="17D349C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B8305C"/>
    <w:rsid w:val="1AE4166C"/>
    <w:rsid w:val="1AF06CFB"/>
    <w:rsid w:val="1AF11B8D"/>
    <w:rsid w:val="1AF776D6"/>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674909"/>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687EA9"/>
    <w:rsid w:val="21811B6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0B5FA0"/>
    <w:rsid w:val="242B489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09257A"/>
    <w:rsid w:val="260E76B9"/>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A42124"/>
    <w:rsid w:val="28C32028"/>
    <w:rsid w:val="28CC490F"/>
    <w:rsid w:val="28D472A8"/>
    <w:rsid w:val="28DE40AA"/>
    <w:rsid w:val="29345E77"/>
    <w:rsid w:val="294C65AD"/>
    <w:rsid w:val="29806583"/>
    <w:rsid w:val="298B3C4C"/>
    <w:rsid w:val="29F26D24"/>
    <w:rsid w:val="2A15033F"/>
    <w:rsid w:val="2A1662C1"/>
    <w:rsid w:val="2A1C7367"/>
    <w:rsid w:val="2A2815FA"/>
    <w:rsid w:val="2A6D6092"/>
    <w:rsid w:val="2A7D76B4"/>
    <w:rsid w:val="2A9D36CA"/>
    <w:rsid w:val="2B437463"/>
    <w:rsid w:val="2B7807EE"/>
    <w:rsid w:val="2BBF00EC"/>
    <w:rsid w:val="2BC33EED"/>
    <w:rsid w:val="2BC37CFD"/>
    <w:rsid w:val="2BD5237F"/>
    <w:rsid w:val="2BE536CE"/>
    <w:rsid w:val="2BE758D9"/>
    <w:rsid w:val="2C09049E"/>
    <w:rsid w:val="2C0A653C"/>
    <w:rsid w:val="2C191F85"/>
    <w:rsid w:val="2C2E2CC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AC4558"/>
    <w:rsid w:val="2EBB0FEE"/>
    <w:rsid w:val="2EC63002"/>
    <w:rsid w:val="2F0A6B38"/>
    <w:rsid w:val="2F1A353B"/>
    <w:rsid w:val="2F946CCB"/>
    <w:rsid w:val="2FD25781"/>
    <w:rsid w:val="2FFD7934"/>
    <w:rsid w:val="30733ACD"/>
    <w:rsid w:val="308C3862"/>
    <w:rsid w:val="309379D8"/>
    <w:rsid w:val="30A270F7"/>
    <w:rsid w:val="30DF1478"/>
    <w:rsid w:val="30EC586F"/>
    <w:rsid w:val="319C6071"/>
    <w:rsid w:val="31AC537E"/>
    <w:rsid w:val="31E3679B"/>
    <w:rsid w:val="31E732FD"/>
    <w:rsid w:val="320330D1"/>
    <w:rsid w:val="3214212F"/>
    <w:rsid w:val="32517576"/>
    <w:rsid w:val="32BE5C2C"/>
    <w:rsid w:val="32FB6478"/>
    <w:rsid w:val="33196747"/>
    <w:rsid w:val="33263B3F"/>
    <w:rsid w:val="336963EB"/>
    <w:rsid w:val="33757D46"/>
    <w:rsid w:val="33816EEB"/>
    <w:rsid w:val="33DE0FDB"/>
    <w:rsid w:val="33EB55CD"/>
    <w:rsid w:val="33EC4C02"/>
    <w:rsid w:val="340D2360"/>
    <w:rsid w:val="3410665D"/>
    <w:rsid w:val="34211214"/>
    <w:rsid w:val="342E63AB"/>
    <w:rsid w:val="34950E68"/>
    <w:rsid w:val="34986E94"/>
    <w:rsid w:val="34A064BE"/>
    <w:rsid w:val="34AF62C9"/>
    <w:rsid w:val="34CB4388"/>
    <w:rsid w:val="34FA6E12"/>
    <w:rsid w:val="352D293B"/>
    <w:rsid w:val="358D5588"/>
    <w:rsid w:val="35B305D2"/>
    <w:rsid w:val="363A3B40"/>
    <w:rsid w:val="365302AE"/>
    <w:rsid w:val="36607A0A"/>
    <w:rsid w:val="366E227C"/>
    <w:rsid w:val="366F2E0D"/>
    <w:rsid w:val="367B6A5C"/>
    <w:rsid w:val="36A74ADA"/>
    <w:rsid w:val="36AD60D5"/>
    <w:rsid w:val="36B224F9"/>
    <w:rsid w:val="36EC0CC9"/>
    <w:rsid w:val="37113475"/>
    <w:rsid w:val="373F410B"/>
    <w:rsid w:val="37EE7094"/>
    <w:rsid w:val="38120769"/>
    <w:rsid w:val="38296C89"/>
    <w:rsid w:val="383002EB"/>
    <w:rsid w:val="38586797"/>
    <w:rsid w:val="38BC0149"/>
    <w:rsid w:val="38BC34BF"/>
    <w:rsid w:val="38D87D1C"/>
    <w:rsid w:val="38EC33C3"/>
    <w:rsid w:val="39636459"/>
    <w:rsid w:val="396B7F6C"/>
    <w:rsid w:val="397800BB"/>
    <w:rsid w:val="398A029A"/>
    <w:rsid w:val="39B417A9"/>
    <w:rsid w:val="39FC5695"/>
    <w:rsid w:val="3A006D8E"/>
    <w:rsid w:val="3A23749D"/>
    <w:rsid w:val="3A2D05C6"/>
    <w:rsid w:val="3A3651E5"/>
    <w:rsid w:val="3A744481"/>
    <w:rsid w:val="3A8C7BEF"/>
    <w:rsid w:val="3A906246"/>
    <w:rsid w:val="3B2349B7"/>
    <w:rsid w:val="3B3D2948"/>
    <w:rsid w:val="3B616CFF"/>
    <w:rsid w:val="3B6259F6"/>
    <w:rsid w:val="3B686994"/>
    <w:rsid w:val="3B7364AD"/>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C0644"/>
    <w:rsid w:val="3F1D1096"/>
    <w:rsid w:val="3F2F0234"/>
    <w:rsid w:val="3F35117A"/>
    <w:rsid w:val="3F3E340B"/>
    <w:rsid w:val="3F6363FE"/>
    <w:rsid w:val="3F756B8F"/>
    <w:rsid w:val="3F95482B"/>
    <w:rsid w:val="3FE94CAB"/>
    <w:rsid w:val="4019356B"/>
    <w:rsid w:val="40592157"/>
    <w:rsid w:val="406E1CAE"/>
    <w:rsid w:val="40A0133A"/>
    <w:rsid w:val="40C31A53"/>
    <w:rsid w:val="40FF545D"/>
    <w:rsid w:val="410067C8"/>
    <w:rsid w:val="41586BC4"/>
    <w:rsid w:val="418F0D2A"/>
    <w:rsid w:val="41CF1D36"/>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450C02"/>
    <w:rsid w:val="449101DD"/>
    <w:rsid w:val="44DE1391"/>
    <w:rsid w:val="451B225C"/>
    <w:rsid w:val="452410C9"/>
    <w:rsid w:val="45317DFB"/>
    <w:rsid w:val="456D3CE4"/>
    <w:rsid w:val="4579042C"/>
    <w:rsid w:val="457F0571"/>
    <w:rsid w:val="45851176"/>
    <w:rsid w:val="45C63B94"/>
    <w:rsid w:val="45CF39F2"/>
    <w:rsid w:val="460E7DA5"/>
    <w:rsid w:val="46422483"/>
    <w:rsid w:val="4659254A"/>
    <w:rsid w:val="465B0637"/>
    <w:rsid w:val="465E3F0D"/>
    <w:rsid w:val="466A16E6"/>
    <w:rsid w:val="46893F2B"/>
    <w:rsid w:val="46C4686E"/>
    <w:rsid w:val="477B778F"/>
    <w:rsid w:val="477E4B57"/>
    <w:rsid w:val="478203EC"/>
    <w:rsid w:val="47B025FA"/>
    <w:rsid w:val="47D1045C"/>
    <w:rsid w:val="4809698F"/>
    <w:rsid w:val="4811697D"/>
    <w:rsid w:val="486F6CFB"/>
    <w:rsid w:val="487A3E25"/>
    <w:rsid w:val="488B5503"/>
    <w:rsid w:val="48937E21"/>
    <w:rsid w:val="489A0361"/>
    <w:rsid w:val="48B94FF3"/>
    <w:rsid w:val="48E1714C"/>
    <w:rsid w:val="48E37AAB"/>
    <w:rsid w:val="48FD4B4C"/>
    <w:rsid w:val="490A68E0"/>
    <w:rsid w:val="491055FE"/>
    <w:rsid w:val="495F5B3E"/>
    <w:rsid w:val="496F77D7"/>
    <w:rsid w:val="497654FD"/>
    <w:rsid w:val="49B02CBC"/>
    <w:rsid w:val="49B64211"/>
    <w:rsid w:val="49F6167F"/>
    <w:rsid w:val="49FE75CD"/>
    <w:rsid w:val="4A064FA0"/>
    <w:rsid w:val="4A16615C"/>
    <w:rsid w:val="4A4424D7"/>
    <w:rsid w:val="4A6F4C2B"/>
    <w:rsid w:val="4AB82D0F"/>
    <w:rsid w:val="4AE44CD1"/>
    <w:rsid w:val="4AEB7664"/>
    <w:rsid w:val="4AFD7C19"/>
    <w:rsid w:val="4B0567D1"/>
    <w:rsid w:val="4B236AAE"/>
    <w:rsid w:val="4B36447D"/>
    <w:rsid w:val="4B707271"/>
    <w:rsid w:val="4B9739F7"/>
    <w:rsid w:val="4BAB3767"/>
    <w:rsid w:val="4BEE2503"/>
    <w:rsid w:val="4C245A30"/>
    <w:rsid w:val="4CB6685F"/>
    <w:rsid w:val="4CC367FE"/>
    <w:rsid w:val="4D022FC0"/>
    <w:rsid w:val="4D077F3C"/>
    <w:rsid w:val="4D123355"/>
    <w:rsid w:val="4D2A3B31"/>
    <w:rsid w:val="4D312C52"/>
    <w:rsid w:val="4D8B58D8"/>
    <w:rsid w:val="4D905305"/>
    <w:rsid w:val="4D964A72"/>
    <w:rsid w:val="4D9C1254"/>
    <w:rsid w:val="4E793892"/>
    <w:rsid w:val="4E800872"/>
    <w:rsid w:val="4EC569ED"/>
    <w:rsid w:val="4ED50EA1"/>
    <w:rsid w:val="4EEC050C"/>
    <w:rsid w:val="4F104EC3"/>
    <w:rsid w:val="4F47354A"/>
    <w:rsid w:val="4F532425"/>
    <w:rsid w:val="4F911C54"/>
    <w:rsid w:val="4FE625E0"/>
    <w:rsid w:val="4FE65BDF"/>
    <w:rsid w:val="5021480F"/>
    <w:rsid w:val="50962ECB"/>
    <w:rsid w:val="50A42E38"/>
    <w:rsid w:val="50A4577F"/>
    <w:rsid w:val="50B73D1F"/>
    <w:rsid w:val="50BD5BC9"/>
    <w:rsid w:val="50C11EEE"/>
    <w:rsid w:val="50CD4459"/>
    <w:rsid w:val="50E97CFC"/>
    <w:rsid w:val="50FA4028"/>
    <w:rsid w:val="510D65B7"/>
    <w:rsid w:val="511157AB"/>
    <w:rsid w:val="5142540C"/>
    <w:rsid w:val="514574D8"/>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E022B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257E2E"/>
    <w:rsid w:val="572D7A00"/>
    <w:rsid w:val="575C02E5"/>
    <w:rsid w:val="575D12B5"/>
    <w:rsid w:val="57610A87"/>
    <w:rsid w:val="577B1140"/>
    <w:rsid w:val="577B7F21"/>
    <w:rsid w:val="577F181B"/>
    <w:rsid w:val="5783346A"/>
    <w:rsid w:val="57921984"/>
    <w:rsid w:val="579737F0"/>
    <w:rsid w:val="57AB7B30"/>
    <w:rsid w:val="57AF5251"/>
    <w:rsid w:val="57B26373"/>
    <w:rsid w:val="57B63F04"/>
    <w:rsid w:val="57CD20C2"/>
    <w:rsid w:val="57D675AB"/>
    <w:rsid w:val="57D95FDD"/>
    <w:rsid w:val="583A6DC9"/>
    <w:rsid w:val="58917D2F"/>
    <w:rsid w:val="5894085C"/>
    <w:rsid w:val="589A2E73"/>
    <w:rsid w:val="58AE4F0C"/>
    <w:rsid w:val="58B85899"/>
    <w:rsid w:val="58E363A9"/>
    <w:rsid w:val="58F87A10"/>
    <w:rsid w:val="59120131"/>
    <w:rsid w:val="595E1678"/>
    <w:rsid w:val="59686533"/>
    <w:rsid w:val="596D5BD4"/>
    <w:rsid w:val="597E3DD8"/>
    <w:rsid w:val="59AC5554"/>
    <w:rsid w:val="59F80043"/>
    <w:rsid w:val="5A09252F"/>
    <w:rsid w:val="5A0B2778"/>
    <w:rsid w:val="5A2A7C7B"/>
    <w:rsid w:val="5A3C0E89"/>
    <w:rsid w:val="5A3E2560"/>
    <w:rsid w:val="5A485DBB"/>
    <w:rsid w:val="5A5D3B6E"/>
    <w:rsid w:val="5A637A76"/>
    <w:rsid w:val="5A6D33BA"/>
    <w:rsid w:val="5A7449E7"/>
    <w:rsid w:val="5A792B1F"/>
    <w:rsid w:val="5A874767"/>
    <w:rsid w:val="5AA302F7"/>
    <w:rsid w:val="5AAA5E8D"/>
    <w:rsid w:val="5AAB0CDA"/>
    <w:rsid w:val="5AAD6F28"/>
    <w:rsid w:val="5AD63A24"/>
    <w:rsid w:val="5B024457"/>
    <w:rsid w:val="5B091AC4"/>
    <w:rsid w:val="5B2E1A1D"/>
    <w:rsid w:val="5B843A1C"/>
    <w:rsid w:val="5B873E3F"/>
    <w:rsid w:val="5C02690E"/>
    <w:rsid w:val="5C196DA7"/>
    <w:rsid w:val="5C2A048C"/>
    <w:rsid w:val="5C80234E"/>
    <w:rsid w:val="5C8A680C"/>
    <w:rsid w:val="5CBF40D0"/>
    <w:rsid w:val="5CEB0141"/>
    <w:rsid w:val="5D0C4701"/>
    <w:rsid w:val="5D0F0395"/>
    <w:rsid w:val="5D160B2B"/>
    <w:rsid w:val="5D221076"/>
    <w:rsid w:val="5D397964"/>
    <w:rsid w:val="5D5A391C"/>
    <w:rsid w:val="5D5F10C0"/>
    <w:rsid w:val="5D891B7B"/>
    <w:rsid w:val="5DAD38EE"/>
    <w:rsid w:val="5E006862"/>
    <w:rsid w:val="5E0207B9"/>
    <w:rsid w:val="5E1834A1"/>
    <w:rsid w:val="5E261785"/>
    <w:rsid w:val="5E4A7017"/>
    <w:rsid w:val="5E552BBA"/>
    <w:rsid w:val="5E611C10"/>
    <w:rsid w:val="5E7B7887"/>
    <w:rsid w:val="5E9E56B1"/>
    <w:rsid w:val="5EEB4428"/>
    <w:rsid w:val="5EFC7377"/>
    <w:rsid w:val="5F06174D"/>
    <w:rsid w:val="5F3A3602"/>
    <w:rsid w:val="5F4D50E3"/>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3FC70D8"/>
    <w:rsid w:val="64055776"/>
    <w:rsid w:val="64240056"/>
    <w:rsid w:val="643E143A"/>
    <w:rsid w:val="648B6EEF"/>
    <w:rsid w:val="64C158BF"/>
    <w:rsid w:val="64CE2EAA"/>
    <w:rsid w:val="6525440C"/>
    <w:rsid w:val="653C3090"/>
    <w:rsid w:val="65854376"/>
    <w:rsid w:val="658767BE"/>
    <w:rsid w:val="65892531"/>
    <w:rsid w:val="65E73470"/>
    <w:rsid w:val="66125E6A"/>
    <w:rsid w:val="66135091"/>
    <w:rsid w:val="66195831"/>
    <w:rsid w:val="662E75B1"/>
    <w:rsid w:val="66342C2E"/>
    <w:rsid w:val="663E784C"/>
    <w:rsid w:val="668B6A45"/>
    <w:rsid w:val="672F3F24"/>
    <w:rsid w:val="673E055F"/>
    <w:rsid w:val="67430B21"/>
    <w:rsid w:val="67551CE3"/>
    <w:rsid w:val="676736F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2B2545"/>
    <w:rsid w:val="6B573233"/>
    <w:rsid w:val="6B5B6274"/>
    <w:rsid w:val="6B730171"/>
    <w:rsid w:val="6B795CEF"/>
    <w:rsid w:val="6B8E6844"/>
    <w:rsid w:val="6B935D53"/>
    <w:rsid w:val="6BE96690"/>
    <w:rsid w:val="6C196F71"/>
    <w:rsid w:val="6C226FCB"/>
    <w:rsid w:val="6C31226F"/>
    <w:rsid w:val="6C406744"/>
    <w:rsid w:val="6C552F0B"/>
    <w:rsid w:val="6C5F420E"/>
    <w:rsid w:val="6C8C67B7"/>
    <w:rsid w:val="6C9D744C"/>
    <w:rsid w:val="6D167928"/>
    <w:rsid w:val="6D26299B"/>
    <w:rsid w:val="6D262C14"/>
    <w:rsid w:val="6D36297F"/>
    <w:rsid w:val="6D4772EC"/>
    <w:rsid w:val="6D9078AF"/>
    <w:rsid w:val="6D956F05"/>
    <w:rsid w:val="6DAA3FEF"/>
    <w:rsid w:val="6DC0172B"/>
    <w:rsid w:val="6DCB690C"/>
    <w:rsid w:val="6DD41A5B"/>
    <w:rsid w:val="6DF43C2E"/>
    <w:rsid w:val="6DF51CA3"/>
    <w:rsid w:val="6DF6214B"/>
    <w:rsid w:val="6E8335BD"/>
    <w:rsid w:val="6E8E12EF"/>
    <w:rsid w:val="6E972936"/>
    <w:rsid w:val="6ED446C5"/>
    <w:rsid w:val="6EFA5469"/>
    <w:rsid w:val="6F196D90"/>
    <w:rsid w:val="6F2A7D94"/>
    <w:rsid w:val="6F6E455E"/>
    <w:rsid w:val="6F8331F1"/>
    <w:rsid w:val="6FAD6D04"/>
    <w:rsid w:val="6FAE1A09"/>
    <w:rsid w:val="6FD75BF8"/>
    <w:rsid w:val="707723D0"/>
    <w:rsid w:val="70D51146"/>
    <w:rsid w:val="70F5661B"/>
    <w:rsid w:val="71360107"/>
    <w:rsid w:val="713B688E"/>
    <w:rsid w:val="71565065"/>
    <w:rsid w:val="71D43752"/>
    <w:rsid w:val="71F1796A"/>
    <w:rsid w:val="72154626"/>
    <w:rsid w:val="72262B5D"/>
    <w:rsid w:val="72283FF7"/>
    <w:rsid w:val="722E7212"/>
    <w:rsid w:val="723A0474"/>
    <w:rsid w:val="725923E4"/>
    <w:rsid w:val="72864BF7"/>
    <w:rsid w:val="729023FC"/>
    <w:rsid w:val="73612AB3"/>
    <w:rsid w:val="73C0646E"/>
    <w:rsid w:val="742222F5"/>
    <w:rsid w:val="74476126"/>
    <w:rsid w:val="74480233"/>
    <w:rsid w:val="74706664"/>
    <w:rsid w:val="747F3682"/>
    <w:rsid w:val="749C4185"/>
    <w:rsid w:val="75067759"/>
    <w:rsid w:val="752E6DCD"/>
    <w:rsid w:val="75342268"/>
    <w:rsid w:val="754A11EA"/>
    <w:rsid w:val="7551380D"/>
    <w:rsid w:val="75600BE5"/>
    <w:rsid w:val="7564475C"/>
    <w:rsid w:val="7583797F"/>
    <w:rsid w:val="75BD67D9"/>
    <w:rsid w:val="75D20F1D"/>
    <w:rsid w:val="75DA2C18"/>
    <w:rsid w:val="75F54412"/>
    <w:rsid w:val="761D08E0"/>
    <w:rsid w:val="765D347C"/>
    <w:rsid w:val="76826699"/>
    <w:rsid w:val="76A07D97"/>
    <w:rsid w:val="76C87133"/>
    <w:rsid w:val="76CD08D5"/>
    <w:rsid w:val="76CD3AE8"/>
    <w:rsid w:val="76DB4B92"/>
    <w:rsid w:val="77052AA4"/>
    <w:rsid w:val="77136511"/>
    <w:rsid w:val="77340A39"/>
    <w:rsid w:val="77351FD0"/>
    <w:rsid w:val="77472422"/>
    <w:rsid w:val="777F31F2"/>
    <w:rsid w:val="77D1700D"/>
    <w:rsid w:val="77EC04CC"/>
    <w:rsid w:val="78510AC5"/>
    <w:rsid w:val="78590B7C"/>
    <w:rsid w:val="78775729"/>
    <w:rsid w:val="788A7E9C"/>
    <w:rsid w:val="78A42DB0"/>
    <w:rsid w:val="78A656AB"/>
    <w:rsid w:val="78B2245C"/>
    <w:rsid w:val="78E172CC"/>
    <w:rsid w:val="78EA1D1F"/>
    <w:rsid w:val="7904172F"/>
    <w:rsid w:val="790F7E27"/>
    <w:rsid w:val="792A231A"/>
    <w:rsid w:val="79316829"/>
    <w:rsid w:val="797E66A9"/>
    <w:rsid w:val="799B4175"/>
    <w:rsid w:val="79A97383"/>
    <w:rsid w:val="79E27E8B"/>
    <w:rsid w:val="79F850CE"/>
    <w:rsid w:val="79F90271"/>
    <w:rsid w:val="79FD443C"/>
    <w:rsid w:val="7A061C82"/>
    <w:rsid w:val="7A1D1975"/>
    <w:rsid w:val="7A3E5150"/>
    <w:rsid w:val="7A4670D6"/>
    <w:rsid w:val="7A4D3D91"/>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65C01"/>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C1E82"/>
    <w:rsid w:val="7E9A4E1F"/>
    <w:rsid w:val="7EA7723A"/>
    <w:rsid w:val="7EF56FBB"/>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833"/>
    <w:qFormat/>
    <w:uiPriority w:val="0"/>
    <w:pPr>
      <w:ind w:firstLine="420"/>
    </w:pPr>
    <w:rPr>
      <w:rFonts w:hAnsi="Calibri" w:cs="Times New Roman"/>
      <w:szCs w:val="20"/>
    </w:rPr>
  </w:style>
  <w:style w:type="paragraph" w:styleId="7">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rPr>
      <w:rFonts w:hint="eastAsia"/>
    </w:r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2"/>
    <w:qFormat/>
    <w:uiPriority w:val="0"/>
    <w:pPr>
      <w:spacing w:line="480" w:lineRule="exact"/>
      <w:ind w:firstLine="480" w:firstLineChars="200"/>
    </w:pPr>
    <w:rPr>
      <w:rFonts w:ascii="宋体" w:hAnsi="宋体"/>
      <w:sz w:val="24"/>
    </w:rPr>
  </w:style>
  <w:style w:type="paragraph" w:styleId="26">
    <w:name w:val="Body Text First Indent 2"/>
    <w:basedOn w:val="25"/>
    <w:next w:val="1"/>
    <w:link w:val="654"/>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qFormat/>
    <w:uiPriority w:val="99"/>
    <w:pPr>
      <w:spacing w:line="200" w:lineRule="atLeast"/>
      <w:ind w:firstLine="420"/>
    </w:pPr>
    <w:rPr>
      <w:rFonts w:ascii="宋体" w:hAnsi="Courier New"/>
      <w:spacing w:val="-4"/>
      <w:sz w:val="18"/>
    </w:rPr>
  </w:style>
  <w:style w:type="paragraph" w:customStyle="1" w:styleId="80">
    <w:name w:val="Char Char Char Char Char Char Char Char Char Char Char Char Char"/>
    <w:basedOn w:val="1"/>
    <w:qFormat/>
    <w:uiPriority w:val="0"/>
    <w:rPr>
      <w:rFonts w:ascii="仿宋_GB2312" w:eastAsia="仿宋_GB2312"/>
      <w:b/>
      <w:sz w:val="32"/>
      <w:szCs w:val="32"/>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4"/>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6"/>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5"/>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3"/>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40780</Words>
  <Characters>42588</Characters>
  <Lines>4750</Lines>
  <Paragraphs>6345</Paragraphs>
  <TotalTime>10</TotalTime>
  <ScaleCrop>false</ScaleCrop>
  <LinksUpToDate>false</LinksUpToDate>
  <CharactersWithSpaces>49092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小涵</cp:lastModifiedBy>
  <cp:lastPrinted>2022-08-22T00:07:00Z</cp:lastPrinted>
  <dcterms:modified xsi:type="dcterms:W3CDTF">2022-09-20T05:42:59Z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