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adjustRightInd/>
        <w:spacing w:line="360" w:lineRule="auto"/>
        <w:jc w:val="center"/>
        <w:rPr>
          <w:rFonts w:ascii="仿宋_GB2312" w:hAnsi="仿宋" w:eastAsia="仿宋_GB2312" w:cs="仿宋_GB2312"/>
          <w:b/>
          <w:sz w:val="48"/>
          <w:szCs w:val="48"/>
        </w:rPr>
      </w:pPr>
    </w:p>
    <w:p>
      <w:pPr>
        <w:shd w:val="clear" w:color="auto" w:fill="FFFFFF"/>
        <w:tabs>
          <w:tab w:val="left" w:pos="4500"/>
        </w:tabs>
        <w:snapToGrid w:val="0"/>
        <w:spacing w:line="360" w:lineRule="auto"/>
        <w:jc w:val="center"/>
        <w:textAlignment w:val="bottom"/>
        <w:rPr>
          <w:rFonts w:hint="eastAsia" w:ascii="宋体" w:hAnsi="宋体" w:cs="宋体"/>
          <w:b/>
          <w:bCs/>
          <w:spacing w:val="6"/>
          <w:sz w:val="48"/>
          <w:szCs w:val="48"/>
        </w:rPr>
      </w:pPr>
      <w:r>
        <w:rPr>
          <w:rFonts w:hint="eastAsia" w:ascii="宋体" w:hAnsi="宋体" w:cs="宋体"/>
          <w:b/>
          <w:bCs/>
          <w:spacing w:val="6"/>
          <w:sz w:val="48"/>
          <w:szCs w:val="48"/>
        </w:rPr>
        <w:t>杭州市临平区教育局学校智安管理系统</w:t>
      </w:r>
    </w:p>
    <w:p>
      <w:pPr>
        <w:shd w:val="clear" w:color="auto" w:fill="FFFFFF"/>
        <w:tabs>
          <w:tab w:val="left" w:pos="4500"/>
        </w:tabs>
        <w:snapToGrid w:val="0"/>
        <w:spacing w:line="360" w:lineRule="auto"/>
        <w:jc w:val="center"/>
        <w:textAlignment w:val="bottom"/>
        <w:rPr>
          <w:rFonts w:hint="eastAsia" w:ascii="宋体" w:hAnsi="宋体" w:eastAsia="宋体" w:cs="宋体"/>
          <w:b/>
          <w:bCs/>
          <w:color w:val="auto"/>
          <w:spacing w:val="6"/>
          <w:sz w:val="48"/>
          <w:szCs w:val="48"/>
          <w:lang w:val="en-US" w:eastAsia="zh-CN"/>
        </w:rPr>
      </w:pPr>
      <w:r>
        <w:rPr>
          <w:rFonts w:hint="eastAsia" w:ascii="宋体" w:hAnsi="宋体" w:cs="宋体"/>
          <w:b/>
          <w:bCs/>
          <w:spacing w:val="6"/>
          <w:sz w:val="48"/>
          <w:szCs w:val="48"/>
        </w:rPr>
        <w:t>更新工程采购项目</w:t>
      </w:r>
      <w:r>
        <w:rPr>
          <w:rFonts w:hint="eastAsia" w:ascii="宋体" w:hAnsi="宋体" w:eastAsia="宋体" w:cs="宋体"/>
          <w:b/>
          <w:bCs/>
          <w:color w:val="auto"/>
          <w:spacing w:val="6"/>
          <w:sz w:val="48"/>
          <w:szCs w:val="48"/>
          <w:lang w:val="en-US" w:eastAsia="zh-CN"/>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hint="eastAsia" w:ascii="宋体" w:hAnsi="宋体" w:eastAsia="宋体" w:cs="宋体"/>
          <w:b/>
          <w:color w:val="000000"/>
          <w:sz w:val="36"/>
          <w:szCs w:val="36"/>
          <w:highlight w:val="none"/>
        </w:rPr>
      </w:pPr>
      <w:r>
        <w:rPr>
          <w:rFonts w:hint="eastAsia" w:ascii="宋体" w:hAnsi="宋体" w:cs="宋体"/>
          <w:b/>
          <w:color w:val="000000"/>
          <w:sz w:val="36"/>
          <w:szCs w:val="36"/>
          <w:highlight w:val="none"/>
        </w:rPr>
        <w:t>（项目编号：</w:t>
      </w:r>
      <w:r>
        <w:rPr>
          <w:rFonts w:hint="eastAsia" w:ascii="宋体" w:hAnsi="宋体" w:eastAsia="宋体" w:cs="宋体"/>
          <w:b/>
          <w:color w:val="000000"/>
          <w:sz w:val="36"/>
          <w:szCs w:val="36"/>
          <w:highlight w:val="none"/>
          <w:lang w:eastAsia="zh-CN"/>
        </w:rPr>
        <w:t>HZSYCG2022-0</w:t>
      </w:r>
      <w:r>
        <w:rPr>
          <w:rFonts w:hint="eastAsia" w:ascii="宋体" w:hAnsi="宋体" w:cs="宋体"/>
          <w:b/>
          <w:color w:val="000000"/>
          <w:sz w:val="36"/>
          <w:szCs w:val="36"/>
          <w:highlight w:val="none"/>
          <w:lang w:val="en-US" w:eastAsia="zh-CN"/>
        </w:rPr>
        <w:t>44</w:t>
      </w:r>
      <w:r>
        <w:rPr>
          <w:rFonts w:hint="eastAsia" w:ascii="宋体" w:hAnsi="宋体" w:eastAsia="宋体" w:cs="宋体"/>
          <w:b/>
          <w:color w:val="000000"/>
          <w:sz w:val="36"/>
          <w:szCs w:val="36"/>
          <w:highlight w:val="none"/>
        </w:rPr>
        <w:t>）</w:t>
      </w:r>
    </w:p>
    <w:p>
      <w:pPr>
        <w:snapToGrid w:val="0"/>
        <w:spacing w:line="360" w:lineRule="auto"/>
        <w:jc w:val="center"/>
        <w:rPr>
          <w:rFonts w:ascii="仿宋" w:hAnsi="仿宋" w:eastAsia="仿宋" w:cs="仿宋_GB2312"/>
          <w:sz w:val="30"/>
          <w:szCs w:val="30"/>
        </w:rPr>
      </w:pP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adjustRightInd w:val="0"/>
        <w:snapToGrid w:val="0"/>
        <w:spacing w:line="360" w:lineRule="auto"/>
        <w:jc w:val="center"/>
        <w:rPr>
          <w:rFonts w:hint="eastAsia" w:ascii="宋体" w:hAnsi="宋体" w:cs="宋体"/>
          <w:b/>
          <w:color w:val="000000"/>
          <w:sz w:val="36"/>
          <w:szCs w:val="36"/>
          <w:highlight w:val="none"/>
          <w:lang w:val="en-US" w:eastAsia="zh-CN"/>
        </w:rPr>
      </w:pPr>
      <w:r>
        <w:rPr>
          <w:rFonts w:hint="eastAsia" w:ascii="宋体" w:hAnsi="宋体" w:cs="宋体"/>
          <w:b/>
          <w:color w:val="000000"/>
          <w:sz w:val="36"/>
          <w:szCs w:val="36"/>
          <w:highlight w:val="none"/>
        </w:rPr>
        <w:t>采购人：</w:t>
      </w:r>
      <w:r>
        <w:rPr>
          <w:rFonts w:hint="eastAsia" w:ascii="宋体" w:hAnsi="宋体" w:cs="宋体"/>
          <w:b/>
          <w:color w:val="000000"/>
          <w:sz w:val="36"/>
          <w:szCs w:val="36"/>
          <w:highlight w:val="none"/>
          <w:lang w:eastAsia="zh-CN"/>
        </w:rPr>
        <w:t>杭州市临平</w:t>
      </w:r>
      <w:r>
        <w:rPr>
          <w:rFonts w:hint="eastAsia" w:ascii="宋体" w:hAnsi="宋体" w:cs="宋体"/>
          <w:b/>
          <w:color w:val="000000"/>
          <w:sz w:val="36"/>
          <w:szCs w:val="36"/>
          <w:highlight w:val="none"/>
          <w:lang w:val="en-US" w:eastAsia="zh-CN"/>
        </w:rPr>
        <w:t>区教育局</w:t>
      </w:r>
    </w:p>
    <w:p>
      <w:pPr>
        <w:adjustRightInd w:val="0"/>
        <w:snapToGrid w:val="0"/>
        <w:spacing w:line="360" w:lineRule="auto"/>
        <w:jc w:val="center"/>
        <w:rPr>
          <w:rFonts w:hint="default" w:ascii="宋体" w:hAnsi="宋体" w:eastAsia="宋体" w:cs="宋体"/>
          <w:bCs/>
          <w:color w:val="000000"/>
          <w:sz w:val="28"/>
          <w:szCs w:val="28"/>
          <w:highlight w:val="none"/>
          <w:lang w:val="en-US" w:eastAsia="zh-CN"/>
        </w:rPr>
      </w:pPr>
      <w:r>
        <w:rPr>
          <w:rFonts w:hint="eastAsia" w:ascii="宋体" w:hAnsi="宋体" w:cs="宋体"/>
          <w:b/>
          <w:color w:val="000000"/>
          <w:sz w:val="36"/>
          <w:szCs w:val="36"/>
          <w:highlight w:val="none"/>
        </w:rPr>
        <w:t>采购代理机构：杭州</w:t>
      </w:r>
      <w:r>
        <w:rPr>
          <w:rFonts w:hint="eastAsia" w:ascii="宋体" w:hAnsi="宋体" w:cs="宋体"/>
          <w:b/>
          <w:color w:val="000000"/>
          <w:sz w:val="36"/>
          <w:szCs w:val="36"/>
          <w:highlight w:val="none"/>
          <w:lang w:val="en-US" w:eastAsia="zh-CN"/>
        </w:rPr>
        <w:t>尚远招标代理有限公司</w:t>
      </w:r>
    </w:p>
    <w:p>
      <w:pPr>
        <w:snapToGrid w:val="0"/>
        <w:spacing w:line="360" w:lineRule="auto"/>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w:t>
      </w:r>
      <w:r>
        <w:rPr>
          <w:rFonts w:hint="eastAsia" w:ascii="宋体" w:hAnsi="宋体" w:cs="宋体"/>
          <w:bCs/>
          <w:sz w:val="32"/>
          <w:szCs w:val="32"/>
          <w:highlight w:val="none"/>
        </w:rPr>
        <w:t>〇</w:t>
      </w:r>
      <w:r>
        <w:rPr>
          <w:rFonts w:hint="eastAsia" w:ascii="仿宋_GB2312" w:hAnsi="仿宋_GB2312" w:eastAsia="仿宋_GB2312" w:cs="仿宋_GB2312"/>
          <w:bCs/>
          <w:sz w:val="32"/>
          <w:szCs w:val="32"/>
          <w:highlight w:val="none"/>
        </w:rPr>
        <w:t>二</w:t>
      </w:r>
      <w:r>
        <w:rPr>
          <w:rFonts w:hint="eastAsia" w:ascii="仿宋_GB2312" w:hAnsi="仿宋_GB2312" w:eastAsia="仿宋_GB2312" w:cs="仿宋_GB2312"/>
          <w:bCs/>
          <w:sz w:val="32"/>
          <w:szCs w:val="32"/>
          <w:highlight w:val="none"/>
          <w:lang w:val="en-US" w:eastAsia="zh-CN"/>
        </w:rPr>
        <w:t>二</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八</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八</w:t>
      </w:r>
      <w:r>
        <w:rPr>
          <w:rFonts w:hint="eastAsia" w:ascii="仿宋_GB2312" w:hAnsi="仿宋_GB2312" w:eastAsia="仿宋_GB2312" w:cs="仿宋_GB2312"/>
          <w:bCs/>
          <w:sz w:val="32"/>
          <w:szCs w:val="32"/>
          <w:highlight w:val="none"/>
        </w:rPr>
        <w:t>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bookmarkStart w:id="438" w:name="_GoBack"/>
      <w:bookmarkEnd w:id="438"/>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u w:val="single"/>
        </w:rPr>
      </w:pPr>
      <w:r>
        <w:rPr>
          <w:rFonts w:hint="eastAsia" w:ascii="仿宋_GB2312" w:hAnsi="仿宋" w:eastAsia="仿宋_GB2312" w:cs="仿宋_GB2312"/>
          <w:snapToGrid w:val="0"/>
          <w:color w:val="000000"/>
          <w:kern w:val="28"/>
          <w:sz w:val="24"/>
          <w:szCs w:val="20"/>
          <w:u w:val="single"/>
          <w:lang w:val="en-US" w:eastAsia="zh-CN" w:bidi="ar-SA"/>
        </w:rPr>
        <w:t>杭州市临平区教育局学校智安管理系统更新工程采购项目</w:t>
      </w:r>
      <w:r>
        <w:rPr>
          <w:rFonts w:hint="eastAsia" w:ascii="仿宋_GB2312" w:hAnsi="仿宋" w:eastAsia="仿宋_GB2312"/>
          <w:sz w:val="24"/>
        </w:rPr>
        <w:t>招标项目的</w:t>
      </w:r>
      <w:r>
        <w:rPr>
          <w:rFonts w:hint="eastAsia" w:ascii="仿宋_GB2312" w:hAnsi="仿宋" w:eastAsia="仿宋_GB2312"/>
          <w:sz w:val="24"/>
          <w:highlight w:val="none"/>
        </w:rPr>
        <w:t>潜在投标人应在政采云平台（</w:t>
      </w:r>
      <w:r>
        <w:rPr>
          <w:highlight w:val="none"/>
        </w:rPr>
        <w:fldChar w:fldCharType="begin"/>
      </w:r>
      <w:r>
        <w:rPr>
          <w:highlight w:val="none"/>
        </w:rPr>
        <w:instrText xml:space="preserve">HYPERLINK "https://www.zcygov.cn/）获取（下载）招标文件，并于2021年" </w:instrText>
      </w:r>
      <w:r>
        <w:rPr>
          <w:highlight w:val="none"/>
        </w:rPr>
        <w:fldChar w:fldCharType="separate"/>
      </w:r>
      <w:r>
        <w:rPr>
          <w:rStyle w:val="79"/>
          <w:rFonts w:ascii="仿宋_GB2312" w:hAnsi="仿宋" w:eastAsia="仿宋_GB2312" w:cs="Times New Roman"/>
          <w:color w:val="auto"/>
          <w:kern w:val="2"/>
          <w:sz w:val="24"/>
          <w:szCs w:val="24"/>
          <w:highlight w:val="none"/>
        </w:rPr>
        <w:t>https://www.zcygov.cn/）获取（下载）招标文件，并于</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8</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29</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 xml:space="preserve"> 点 分</w:t>
      </w:r>
      <w:r>
        <w:rPr>
          <w:rFonts w:hint="eastAsia" w:ascii="仿宋_GB2312" w:hAnsi="仿宋" w:eastAsia="仿宋_GB2312"/>
          <w:bCs/>
          <w:sz w:val="24"/>
          <w:highlight w:val="none"/>
          <w:u w:val="single"/>
        </w:rPr>
        <w:t>00秒</w:t>
      </w:r>
      <w:r>
        <w:rPr>
          <w:highlight w:val="none"/>
        </w:rPr>
        <w:fldChar w:fldCharType="end"/>
      </w:r>
      <w:r>
        <w:rPr>
          <w:rFonts w:hint="eastAsia" w:ascii="仿宋_GB2312" w:hAnsi="仿宋" w:eastAsia="仿宋_GB2312"/>
          <w:bCs/>
          <w:sz w:val="24"/>
          <w:highlight w:val="none"/>
        </w:rPr>
        <w:t>（北京时间）前</w:t>
      </w:r>
      <w:r>
        <w:rPr>
          <w:rFonts w:hint="eastAsia" w:ascii="仿宋_GB2312" w:hAnsi="仿宋" w:eastAsia="仿宋_GB2312"/>
          <w:sz w:val="24"/>
          <w:highlight w:val="none"/>
        </w:rPr>
        <w:t>递交（上传）投标文件。</w:t>
      </w:r>
    </w:p>
    <w:p>
      <w:pPr>
        <w:spacing w:line="360" w:lineRule="auto"/>
        <w:rPr>
          <w:rFonts w:ascii="仿宋_GB2312" w:hAnsi="仿宋" w:eastAsia="仿宋_GB2312"/>
          <w:b/>
          <w:sz w:val="24"/>
        </w:rPr>
      </w:pPr>
      <w:r>
        <w:rPr>
          <w:rFonts w:hint="eastAsia" w:ascii="仿宋_GB2312" w:hAnsi="仿宋" w:eastAsia="仿宋_GB2312"/>
          <w:b/>
          <w:sz w:val="24"/>
          <w:highlight w:val="none"/>
        </w:rPr>
        <w:t>一、项目基本情况</w:t>
      </w:r>
      <w:r>
        <w:rPr>
          <w:rFonts w:ascii="仿宋_GB2312" w:hAnsi="仿宋" w:eastAsia="仿宋_GB2312"/>
          <w:b/>
          <w:sz w:val="24"/>
          <w:highlight w:val="none"/>
        </w:rPr>
        <w:t xml:space="preserve">          </w:t>
      </w:r>
      <w:r>
        <w:rPr>
          <w:rFonts w:ascii="仿宋_GB2312" w:hAnsi="仿宋" w:eastAsia="仿宋_GB2312"/>
          <w:b/>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rPr>
        <w:t>（</w:t>
      </w:r>
      <w:r>
        <w:rPr>
          <w:rFonts w:hint="eastAsia" w:ascii="仿宋_GB2312" w:hAnsi="仿宋" w:eastAsia="仿宋_GB2312"/>
          <w:sz w:val="24"/>
          <w:lang w:eastAsia="zh-CN"/>
        </w:rPr>
        <w:t>HZSYCG2022-0</w:t>
      </w:r>
      <w:r>
        <w:rPr>
          <w:rFonts w:hint="eastAsia" w:ascii="仿宋_GB2312" w:hAnsi="仿宋" w:eastAsia="仿宋_GB2312"/>
          <w:sz w:val="24"/>
          <w:lang w:val="en-US" w:eastAsia="zh-CN"/>
        </w:rPr>
        <w:t>44</w:t>
      </w:r>
      <w:r>
        <w:rPr>
          <w:rFonts w:hint="eastAsia" w:ascii="仿宋_GB2312" w:hAnsi="仿宋" w:eastAsia="仿宋_GB2312"/>
          <w:sz w:val="24"/>
        </w:rPr>
        <w:t>）</w:t>
      </w:r>
    </w:p>
    <w:p>
      <w:pPr>
        <w:shd w:val="clear" w:color="auto" w:fill="FFFFFF"/>
        <w:tabs>
          <w:tab w:val="left" w:pos="4500"/>
        </w:tabs>
        <w:snapToGrid w:val="0"/>
        <w:spacing w:line="360" w:lineRule="auto"/>
        <w:ind w:firstLine="482" w:firstLineChars="200"/>
        <w:jc w:val="both"/>
        <w:textAlignment w:val="bottom"/>
        <w:rPr>
          <w:rFonts w:hint="eastAsia" w:ascii="仿宋_GB2312" w:hAnsi="仿宋" w:eastAsia="仿宋_GB2312" w:cs="仿宋_GB2312"/>
          <w:snapToGrid w:val="0"/>
          <w:color w:val="000000"/>
          <w:kern w:val="28"/>
          <w:sz w:val="24"/>
          <w:szCs w:val="20"/>
          <w:u w:val="single"/>
          <w:lang w:val="en-US" w:eastAsia="zh-CN" w:bidi="ar-SA"/>
        </w:rPr>
      </w:pPr>
      <w:r>
        <w:rPr>
          <w:rFonts w:ascii="仿宋_GB2312" w:hAnsi="仿宋" w:eastAsia="仿宋_GB2312"/>
          <w:b/>
          <w:sz w:val="24"/>
        </w:rPr>
        <w:t>项目名称：</w:t>
      </w:r>
      <w:r>
        <w:rPr>
          <w:rFonts w:hint="eastAsia" w:ascii="仿宋_GB2312" w:hAnsi="仿宋" w:eastAsia="仿宋_GB2312" w:cs="仿宋_GB2312"/>
          <w:snapToGrid w:val="0"/>
          <w:color w:val="000000"/>
          <w:kern w:val="28"/>
          <w:sz w:val="24"/>
          <w:szCs w:val="20"/>
          <w:u w:val="single"/>
          <w:lang w:val="en-US" w:eastAsia="zh-CN" w:bidi="ar-SA"/>
        </w:rPr>
        <w:t xml:space="preserve">杭州市临平区教育局学校智安管理系统更新工程采购项目  </w:t>
      </w:r>
    </w:p>
    <w:p>
      <w:pPr>
        <w:spacing w:line="360" w:lineRule="auto"/>
        <w:ind w:firstLine="482" w:firstLineChars="200"/>
        <w:rPr>
          <w:rFonts w:hint="default" w:ascii="仿宋_GB2312" w:hAnsi="仿宋" w:eastAsia="仿宋_GB2312" w:cs="仿宋_GB2312"/>
          <w:b/>
          <w:bCs/>
          <w:snapToGrid w:val="0"/>
          <w:color w:val="000000"/>
          <w:kern w:val="28"/>
          <w:sz w:val="24"/>
          <w:szCs w:val="20"/>
          <w:u w:val="none"/>
          <w:lang w:val="en-US" w:eastAsia="zh-CN" w:bidi="ar-SA"/>
        </w:rPr>
      </w:pPr>
      <w:r>
        <w:rPr>
          <w:rFonts w:hint="eastAsia" w:ascii="仿宋_GB2312" w:hAnsi="仿宋" w:eastAsia="仿宋_GB2312" w:cs="仿宋_GB2312"/>
          <w:b/>
          <w:bCs/>
          <w:snapToGrid w:val="0"/>
          <w:color w:val="000000"/>
          <w:kern w:val="28"/>
          <w:sz w:val="24"/>
          <w:szCs w:val="20"/>
          <w:u w:val="none"/>
          <w:lang w:val="en-US" w:eastAsia="zh-CN" w:bidi="ar-SA"/>
        </w:rPr>
        <w:t>预算金额（元）</w:t>
      </w:r>
      <w:r>
        <w:rPr>
          <w:rFonts w:hint="eastAsia" w:ascii="仿宋_GB2312" w:hAnsi="仿宋" w:eastAsia="仿宋_GB2312" w:cs="仿宋_GB2312"/>
          <w:snapToGrid w:val="0"/>
          <w:color w:val="000000"/>
          <w:kern w:val="28"/>
          <w:sz w:val="24"/>
          <w:szCs w:val="20"/>
          <w:u w:val="none"/>
          <w:lang w:val="en-US" w:eastAsia="zh-CN" w:bidi="ar-SA"/>
        </w:rPr>
        <w:t>：</w:t>
      </w:r>
      <w:r>
        <w:rPr>
          <w:rFonts w:hint="eastAsia" w:ascii="仿宋_GB2312" w:hAnsi="仿宋" w:eastAsia="仿宋_GB2312" w:cs="仿宋_GB2312"/>
          <w:b/>
          <w:bCs/>
          <w:snapToGrid w:val="0"/>
          <w:color w:val="000000"/>
          <w:kern w:val="28"/>
          <w:sz w:val="24"/>
          <w:szCs w:val="20"/>
          <w:u w:val="none"/>
          <w:lang w:val="en-US" w:eastAsia="zh-CN" w:bidi="ar-SA"/>
        </w:rPr>
        <w:t>7200000</w:t>
      </w:r>
    </w:p>
    <w:p>
      <w:pPr>
        <w:spacing w:line="360" w:lineRule="auto"/>
        <w:ind w:firstLine="480"/>
        <w:rPr>
          <w:rFonts w:hint="default" w:ascii="仿宋_GB2312" w:hAnsi="仿宋" w:eastAsia="仿宋_GB2312"/>
          <w:sz w:val="24"/>
          <w:lang w:val="en-US"/>
        </w:rPr>
      </w:pPr>
      <w:r>
        <w:rPr>
          <w:rFonts w:hint="eastAsia" w:ascii="仿宋_GB2312" w:hAnsi="仿宋" w:eastAsia="仿宋_GB2312"/>
          <w:b/>
          <w:sz w:val="24"/>
        </w:rPr>
        <w:t>最高限价（元）：</w:t>
      </w:r>
      <w:r>
        <w:rPr>
          <w:rFonts w:hint="eastAsia" w:ascii="仿宋_GB2312" w:hAnsi="仿宋" w:eastAsia="仿宋_GB2312"/>
          <w:b/>
          <w:sz w:val="24"/>
          <w:lang w:val="en-US" w:eastAsia="zh-CN"/>
        </w:rPr>
        <w:t xml:space="preserve"> 7200000</w:t>
      </w:r>
    </w:p>
    <w:p>
      <w:pPr>
        <w:pStyle w:val="15"/>
        <w:spacing w:line="360" w:lineRule="auto"/>
        <w:ind w:firstLine="480"/>
        <w:rPr>
          <w:rFonts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cs="仿宋_GB2312"/>
          <w:snapToGrid w:val="0"/>
          <w:color w:val="000000"/>
          <w:kern w:val="28"/>
          <w:sz w:val="24"/>
          <w:szCs w:val="20"/>
          <w:u w:val="single"/>
          <w:lang w:val="en-US" w:eastAsia="zh-CN" w:bidi="ar-SA"/>
        </w:rPr>
        <w:t>杭州市临平区教育局学校智安管理系统更新工程采购项目</w:t>
      </w:r>
      <w:r>
        <w:rPr>
          <w:rFonts w:hint="eastAsia" w:ascii="仿宋_GB2312" w:hAnsi="仿宋" w:eastAsia="仿宋_GB2312"/>
          <w:bCs/>
          <w:snapToGrid/>
          <w:color w:val="auto"/>
          <w:kern w:val="2"/>
          <w:sz w:val="24"/>
          <w:szCs w:val="24"/>
        </w:rPr>
        <w:t>主要内容：</w:t>
      </w:r>
      <w:r>
        <w:rPr>
          <w:rFonts w:hint="eastAsia" w:ascii="仿宋_GB2312" w:hAnsi="仿宋" w:eastAsia="仿宋_GB2312" w:cs="仿宋_GB2312"/>
          <w:snapToGrid w:val="0"/>
          <w:color w:val="000000"/>
          <w:kern w:val="28"/>
          <w:sz w:val="24"/>
          <w:szCs w:val="20"/>
          <w:u w:val="single"/>
          <w:lang w:val="en-US" w:eastAsia="zh-CN" w:bidi="ar-SA"/>
        </w:rPr>
        <w:t>杭州市临平区教育局学校智安管理系统更新工程采购项目</w:t>
      </w:r>
      <w:r>
        <w:rPr>
          <w:rFonts w:hint="eastAsia" w:ascii="仿宋_GB2312" w:hAnsi="仿宋" w:eastAsia="仿宋_GB2312" w:cs="Times New Roman"/>
          <w:bCs/>
          <w:snapToGrid/>
          <w:color w:val="auto"/>
          <w:kern w:val="2"/>
          <w:sz w:val="24"/>
          <w:szCs w:val="24"/>
          <w:u w:val="none"/>
        </w:rPr>
        <w:t>的采购、运输、安装、调试、培训和相关维护等</w:t>
      </w:r>
      <w:r>
        <w:rPr>
          <w:rFonts w:ascii="仿宋_GB2312" w:hAnsi="仿宋" w:eastAsia="仿宋_GB2312"/>
          <w:bCs/>
          <w:snapToGrid/>
          <w:color w:val="auto"/>
          <w:kern w:val="2"/>
          <w:sz w:val="24"/>
          <w:szCs w:val="24"/>
        </w:rPr>
        <w:t>。</w:t>
      </w:r>
      <w:r>
        <w:rPr>
          <w:rFonts w:hint="eastAsia" w:ascii="仿宋_GB2312" w:hAnsi="仿宋" w:eastAsia="仿宋_GB2312"/>
          <w:bCs/>
          <w:color w:val="auto"/>
          <w:kern w:val="2"/>
          <w:sz w:val="24"/>
          <w:szCs w:val="24"/>
        </w:rPr>
        <w:t>详见招标文件第三部分采购需求。</w:t>
      </w:r>
    </w:p>
    <w:p>
      <w:pPr>
        <w:snapToGrid w:val="0"/>
        <w:spacing w:line="360" w:lineRule="auto"/>
        <w:ind w:firstLine="482" w:firstLineChars="200"/>
        <w:rPr>
          <w:rFonts w:ascii="仿宋_GB2312" w:hAnsi="仿宋" w:eastAsia="仿宋_GB2312"/>
        </w:rPr>
      </w:pPr>
      <w:r>
        <w:rPr>
          <w:rFonts w:hint="eastAsia" w:ascii="仿宋_GB2312" w:hAnsi="仿宋" w:eastAsia="仿宋_GB2312"/>
          <w:b/>
          <w:sz w:val="24"/>
          <w:szCs w:val="24"/>
        </w:rPr>
        <w:t>合同履约期限：</w:t>
      </w:r>
      <w:r>
        <w:rPr>
          <w:rFonts w:hint="eastAsia" w:ascii="仿宋_GB2312" w:hAnsi="仿宋" w:eastAsia="仿宋_GB2312" w:cs="Times New Roman"/>
          <w:b w:val="0"/>
          <w:bCs/>
          <w:color w:val="auto"/>
          <w:sz w:val="24"/>
          <w:szCs w:val="24"/>
          <w:u w:val="none"/>
        </w:rPr>
        <w:t>签订合同后，</w:t>
      </w:r>
      <w:r>
        <w:rPr>
          <w:rFonts w:hint="eastAsia" w:ascii="仿宋_GB2312" w:hAnsi="仿宋" w:eastAsia="仿宋_GB2312" w:cs="Times New Roman"/>
          <w:b w:val="0"/>
          <w:bCs/>
          <w:color w:val="auto"/>
          <w:sz w:val="24"/>
          <w:szCs w:val="24"/>
          <w:u w:val="none"/>
          <w:lang w:val="en-US" w:eastAsia="zh-CN"/>
        </w:rPr>
        <w:t>60</w:t>
      </w:r>
      <w:r>
        <w:rPr>
          <w:rFonts w:hint="eastAsia" w:ascii="仿宋_GB2312" w:hAnsi="仿宋" w:eastAsia="仿宋_GB2312" w:cs="Times New Roman"/>
          <w:b w:val="0"/>
          <w:bCs/>
          <w:color w:val="auto"/>
          <w:sz w:val="24"/>
          <w:szCs w:val="24"/>
          <w:u w:val="none"/>
        </w:rPr>
        <w:t>日内完成供货安装</w:t>
      </w:r>
      <w:r>
        <w:rPr>
          <w:rFonts w:hint="eastAsia" w:ascii="仿宋_GB2312" w:hAnsi="仿宋" w:eastAsia="仿宋_GB2312" w:cs="Times New Roman"/>
          <w:b w:val="0"/>
          <w:bCs/>
          <w:color w:val="auto"/>
          <w:sz w:val="24"/>
          <w:szCs w:val="24"/>
          <w:u w:val="none"/>
          <w:lang w:eastAsia="zh-CN"/>
        </w:rPr>
        <w:t>，</w:t>
      </w:r>
      <w:r>
        <w:rPr>
          <w:rFonts w:hint="eastAsia" w:ascii="仿宋_GB2312" w:hAnsi="仿宋" w:eastAsia="仿宋_GB2312" w:cs="Times New Roman"/>
          <w:b w:val="0"/>
          <w:bCs/>
          <w:color w:val="auto"/>
          <w:sz w:val="24"/>
          <w:szCs w:val="24"/>
          <w:u w:val="none"/>
        </w:rPr>
        <w:t>并调试完成。</w:t>
      </w:r>
    </w:p>
    <w:p>
      <w:pPr>
        <w:pStyle w:val="15"/>
        <w:spacing w:line="360" w:lineRule="auto"/>
        <w:ind w:firstLine="480"/>
        <w:rPr>
          <w:rFonts w:hint="eastAsia" w:ascii="宋体" w:hAnsi="宋体" w:eastAsia="宋体" w:cs="Arial"/>
          <w:color w:val="auto"/>
          <w:kern w:val="0"/>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sym w:font="Wingdings" w:char="F0FE"/>
      </w:r>
      <w:r>
        <w:rPr>
          <w:rFonts w:hint="eastAsia" w:ascii="仿宋_GB2312" w:hAnsi="仿宋" w:eastAsia="仿宋_GB2312"/>
          <w:b/>
          <w:color w:val="auto"/>
          <w:sz w:val="24"/>
        </w:rPr>
        <w:t>是，</w:t>
      </w:r>
      <w:r>
        <w:rPr>
          <w:rFonts w:ascii="MS Gothic" w:hAnsi="MS Gothic" w:eastAsia="MS Gothic" w:cs="Arial"/>
          <w:color w:val="auto"/>
          <w:kern w:val="0"/>
          <w:sz w:val="24"/>
        </w:rPr>
        <w:t>☐</w:t>
      </w:r>
      <w:r>
        <w:rPr>
          <w:rFonts w:hint="eastAsia" w:ascii="仿宋_GB2312" w:hAnsi="仿宋" w:eastAsia="仿宋_GB2312"/>
          <w:b/>
          <w:color w:val="auto"/>
          <w:sz w:val="24"/>
        </w:rPr>
        <w:t>否</w:t>
      </w:r>
      <w:r>
        <w:rPr>
          <w:rFonts w:hint="eastAsia" w:ascii="宋体" w:hAnsi="宋体" w:eastAsia="宋体" w:cs="Arial"/>
          <w:color w:val="auto"/>
          <w:kern w:val="0"/>
          <w:sz w:val="24"/>
        </w:rPr>
        <w:t>。</w:t>
      </w:r>
    </w:p>
    <w:p>
      <w:pPr>
        <w:spacing w:line="360" w:lineRule="auto"/>
        <w:rPr>
          <w:rFonts w:ascii="仿宋_GB2312" w:hAnsi="仿宋" w:eastAsia="仿宋_GB2312"/>
          <w:b/>
          <w:sz w:val="24"/>
          <w:highlight w:val="none"/>
        </w:rPr>
      </w:pPr>
      <w:r>
        <w:rPr>
          <w:rFonts w:hint="eastAsia" w:ascii="仿宋_GB2312" w:hAnsi="仿宋" w:eastAsia="仿宋_GB2312"/>
          <w:b/>
          <w:sz w:val="24"/>
        </w:rPr>
        <w:t>二、</w:t>
      </w:r>
      <w:r>
        <w:rPr>
          <w:rFonts w:hint="eastAsia" w:ascii="仿宋_GB2312" w:hAnsi="仿宋" w:eastAsia="仿宋_GB2312"/>
          <w:b/>
          <w:sz w:val="24"/>
          <w:highlight w:val="none"/>
        </w:rPr>
        <w:t>申请人的资格要求：</w:t>
      </w:r>
    </w:p>
    <w:p>
      <w:pPr>
        <w:spacing w:line="360" w:lineRule="auto"/>
        <w:ind w:firstLine="480"/>
        <w:rPr>
          <w:rFonts w:hint="eastAsia"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F0FE"/>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w:t>
      </w:r>
      <w:r>
        <w:rPr>
          <w:rFonts w:hint="eastAsia" w:ascii="仿宋_GB2312" w:hAnsi="仿宋" w:eastAsia="仿宋_GB2312"/>
          <w:b w:val="0"/>
          <w:bCs w:val="0"/>
          <w:sz w:val="24"/>
          <w:lang w:val="en-US" w:eastAsia="zh-CN"/>
        </w:rPr>
        <w:t>无</w:t>
      </w:r>
      <w:r>
        <w:rPr>
          <w:rFonts w:hint="eastAsia" w:ascii="仿宋_GB2312" w:hAnsi="仿宋" w:eastAsia="仿宋_GB2312"/>
          <w:b w:val="0"/>
          <w:bCs w:val="0"/>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三、获取招标文件</w:t>
      </w:r>
      <w:r>
        <w:rPr>
          <w:rFonts w:ascii="仿宋_GB2312" w:hAnsi="仿宋" w:eastAsia="仿宋_GB2312"/>
          <w:b/>
          <w:sz w:val="24"/>
          <w:highlight w:val="non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8</w:t>
      </w:r>
      <w:r>
        <w:rPr>
          <w:rFonts w:ascii="仿宋_GB2312" w:hAnsi="仿宋" w:eastAsia="仿宋_GB2312"/>
          <w:sz w:val="24"/>
          <w:u w:val="single"/>
        </w:rPr>
        <w:t>月</w:t>
      </w:r>
      <w:r>
        <w:rPr>
          <w:rFonts w:hint="eastAsia" w:ascii="仿宋_GB2312" w:hAnsi="仿宋" w:eastAsia="仿宋_GB2312"/>
          <w:sz w:val="24"/>
          <w:u w:val="single"/>
          <w:lang w:val="en-US" w:eastAsia="zh-CN"/>
        </w:rPr>
        <w:t>29</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lang w:val="en-US" w:eastAsia="zh-CN"/>
        </w:rPr>
        <w:t>获取网址</w:t>
      </w:r>
      <w:r>
        <w:rPr>
          <w:rFonts w:hint="eastAsia" w:ascii="仿宋_GB2312" w:hAnsi="仿宋" w:eastAsia="仿宋_GB2312"/>
          <w:b/>
          <w:sz w:val="24"/>
        </w:rPr>
        <w:t>：</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hint="eastAsia" w:ascii="仿宋_GB2312" w:hAnsi="仿宋" w:eastAsia="仿宋_GB2312"/>
          <w:sz w:val="24"/>
          <w:u w:val="single"/>
        </w:rPr>
        <w:t xml:space="preserve"> </w:t>
      </w:r>
      <w:r>
        <w:rPr>
          <w:rFonts w:ascii="仿宋_GB2312" w:hAnsi="仿宋" w:eastAsia="仿宋_GB2312"/>
          <w:sz w:val="24"/>
          <w:u w:val="single"/>
        </w:rPr>
        <w:t>年</w:t>
      </w:r>
      <w:r>
        <w:rPr>
          <w:rFonts w:hint="eastAsia" w:ascii="仿宋_GB2312" w:hAnsi="仿宋" w:eastAsia="仿宋_GB2312"/>
          <w:sz w:val="24"/>
          <w:u w:val="single"/>
          <w:lang w:val="en-US" w:eastAsia="zh-CN"/>
        </w:rPr>
        <w:t>8</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29</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hint="default" w:ascii="仿宋_GB2312" w:hAnsi="仿宋" w:eastAsia="仿宋_GB2312" w:cs="Times New Roman"/>
          <w:b w:val="0"/>
          <w:color w:val="auto"/>
          <w:sz w:val="24"/>
          <w:highlight w:val="none"/>
          <w:lang w:val="en-US" w:eastAsia="zh-CN"/>
        </w:rPr>
      </w:pPr>
      <w:r>
        <w:rPr>
          <w:rFonts w:hint="eastAsia" w:ascii="仿宋_GB2312" w:hAnsi="仿宋" w:eastAsia="仿宋_GB2312"/>
          <w:b/>
          <w:sz w:val="24"/>
          <w:highlight w:val="none"/>
        </w:rPr>
        <w:t>投标地点：</w:t>
      </w:r>
      <w:r>
        <w:rPr>
          <w:rFonts w:hint="default" w:ascii="仿宋_GB2312" w:hAnsi="仿宋" w:eastAsia="仿宋_GB2312" w:cs="Times New Roman"/>
          <w:b w:val="0"/>
          <w:bCs w:val="0"/>
          <w:color w:val="auto"/>
          <w:sz w:val="24"/>
          <w:highlight w:val="none"/>
        </w:rPr>
        <w:t>杭州</w:t>
      </w:r>
      <w:r>
        <w:rPr>
          <w:rFonts w:hint="eastAsia" w:ascii="仿宋_GB2312" w:hAnsi="仿宋" w:eastAsia="仿宋_GB2312" w:cs="Times New Roman"/>
          <w:b w:val="0"/>
          <w:bCs w:val="0"/>
          <w:color w:val="auto"/>
          <w:sz w:val="24"/>
          <w:highlight w:val="none"/>
          <w:lang w:val="en-US" w:eastAsia="zh-CN"/>
        </w:rPr>
        <w:t>尚远招标代理有限公司（临平区星桥街道星星路7号1幢3楼306开标室）</w:t>
      </w:r>
    </w:p>
    <w:p>
      <w:pPr>
        <w:spacing w:line="360" w:lineRule="auto"/>
        <w:ind w:firstLine="480" w:firstLineChars="200"/>
        <w:rPr>
          <w:rFonts w:ascii="仿宋_GB2312" w:hAnsi="仿宋" w:eastAsia="仿宋_GB2312"/>
          <w:b/>
          <w:sz w:val="24"/>
          <w:highlight w:val="none"/>
        </w:rPr>
      </w:pPr>
      <w:r>
        <w:rPr>
          <w:rFonts w:hint="eastAsia" w:ascii="仿宋_GB2312" w:hAnsi="仿宋" w:eastAsia="仿宋_GB2312"/>
          <w:sz w:val="24"/>
          <w:highlight w:val="none"/>
          <w:lang w:val="en-US" w:eastAsia="zh-CN"/>
        </w:rPr>
        <w:t>投标网址：</w:t>
      </w:r>
      <w:r>
        <w:rPr>
          <w:rFonts w:hint="eastAsia" w:ascii="仿宋_GB2312" w:hAnsi="仿宋" w:eastAsia="仿宋_GB2312"/>
          <w:sz w:val="24"/>
          <w:highlight w:val="none"/>
          <w:lang w:val="en-US"/>
        </w:rPr>
        <w:t>政采云平台</w:t>
      </w:r>
      <w:r>
        <w:rPr>
          <w:rFonts w:hint="eastAsia" w:ascii="仿宋_GB2312" w:hAnsi="仿宋" w:eastAsia="仿宋_GB2312"/>
          <w:sz w:val="24"/>
          <w:highlight w:val="none"/>
        </w:rPr>
        <w:t>（</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ascii="仿宋_GB2312" w:hAnsi="仿宋" w:eastAsia="仿宋_GB2312"/>
          <w:sz w:val="24"/>
          <w:u w:val="single"/>
        </w:rPr>
        <w:t xml:space="preserve"> </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hint="eastAsia" w:ascii="仿宋_GB2312" w:hAnsi="仿宋" w:eastAsia="仿宋_GB2312"/>
          <w:sz w:val="24"/>
          <w:u w:val="single"/>
        </w:rPr>
        <w:t xml:space="preserve"> </w:t>
      </w:r>
      <w:r>
        <w:rPr>
          <w:rFonts w:ascii="仿宋_GB2312" w:hAnsi="仿宋" w:eastAsia="仿宋_GB2312"/>
          <w:sz w:val="24"/>
          <w:u w:val="single"/>
        </w:rPr>
        <w:t>年</w:t>
      </w:r>
      <w:r>
        <w:rPr>
          <w:rFonts w:hint="eastAsia" w:ascii="仿宋_GB2312" w:hAnsi="仿宋" w:eastAsia="仿宋_GB2312"/>
          <w:sz w:val="24"/>
          <w:u w:val="single"/>
          <w:lang w:val="en-US" w:eastAsia="zh-CN"/>
        </w:rPr>
        <w:t>8</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29</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p>
    <w:p>
      <w:pPr>
        <w:spacing w:line="360" w:lineRule="auto"/>
        <w:ind w:firstLine="482" w:firstLineChars="200"/>
        <w:rPr>
          <w:rFonts w:hint="eastAsia" w:ascii="仿宋_GB2312" w:hAnsi="仿宋" w:eastAsia="仿宋_GB2312" w:cs="Times New Roman"/>
          <w:b w:val="0"/>
          <w:color w:val="auto"/>
          <w:sz w:val="24"/>
          <w:highlight w:val="none"/>
          <w:lang w:eastAsia="zh-CN"/>
        </w:rPr>
      </w:pPr>
      <w:r>
        <w:rPr>
          <w:rFonts w:hint="eastAsia" w:ascii="仿宋_GB2312" w:hAnsi="仿宋" w:eastAsia="仿宋_GB2312"/>
          <w:b/>
          <w:sz w:val="24"/>
          <w:highlight w:val="none"/>
        </w:rPr>
        <w:t>开标地点：</w:t>
      </w:r>
      <w:r>
        <w:rPr>
          <w:rFonts w:hint="default" w:ascii="仿宋_GB2312" w:hAnsi="仿宋" w:eastAsia="仿宋_GB2312" w:cs="Times New Roman"/>
          <w:b w:val="0"/>
          <w:bCs w:val="0"/>
          <w:color w:val="auto"/>
          <w:sz w:val="24"/>
          <w:highlight w:val="none"/>
        </w:rPr>
        <w:t>杭州</w:t>
      </w:r>
      <w:r>
        <w:rPr>
          <w:rFonts w:hint="eastAsia" w:ascii="仿宋_GB2312" w:hAnsi="仿宋" w:eastAsia="仿宋_GB2312" w:cs="Times New Roman"/>
          <w:b w:val="0"/>
          <w:bCs w:val="0"/>
          <w:color w:val="auto"/>
          <w:sz w:val="24"/>
          <w:highlight w:val="none"/>
          <w:lang w:val="en-US" w:eastAsia="zh-CN"/>
        </w:rPr>
        <w:t>尚远招标代理有限公司（临平区星桥街道星星路7号1幢3楼314评</w:t>
      </w:r>
      <w:r>
        <w:rPr>
          <w:rFonts w:hint="default" w:ascii="仿宋_GB2312" w:hAnsi="仿宋" w:eastAsia="仿宋_GB2312" w:cs="Times New Roman"/>
          <w:b w:val="0"/>
          <w:color w:val="auto"/>
          <w:sz w:val="24"/>
          <w:highlight w:val="none"/>
        </w:rPr>
        <w:t>标室</w:t>
      </w:r>
      <w:r>
        <w:rPr>
          <w:rFonts w:hint="eastAsia" w:ascii="仿宋_GB2312" w:hAnsi="仿宋" w:eastAsia="仿宋_GB2312" w:cs="Times New Roman"/>
          <w:b w:val="0"/>
          <w:color w:val="auto"/>
          <w:sz w:val="24"/>
          <w:highlight w:val="none"/>
          <w:lang w:eastAsia="zh-CN"/>
        </w:rPr>
        <w:t>）</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lang w:val="en-US" w:eastAsia="zh-CN"/>
        </w:rPr>
        <w:t>开标网址：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p>
    <w:p>
      <w:pPr>
        <w:spacing w:line="360" w:lineRule="auto"/>
        <w:rPr>
          <w:rFonts w:ascii="仿宋_GB2312" w:hAnsi="仿宋" w:eastAsia="仿宋_GB2312"/>
          <w:sz w:val="24"/>
        </w:rPr>
      </w:pPr>
      <w:r>
        <w:rPr>
          <w:rFonts w:hint="eastAsia" w:ascii="仿宋_GB2312" w:hAnsi="仿宋" w:eastAsia="仿宋_GB2312"/>
          <w:b/>
          <w:sz w:val="24"/>
          <w:lang w:val="en-US" w:eastAsia="zh-CN"/>
        </w:rPr>
        <w:t xml:space="preserve">    </w:t>
      </w: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numPr>
          <w:ilvl w:val="0"/>
          <w:numId w:val="1"/>
        </w:numPr>
        <w:spacing w:line="360" w:lineRule="auto"/>
        <w:rPr>
          <w:rFonts w:hint="eastAsia" w:ascii="仿宋_GB2312" w:hAnsi="仿宋" w:eastAsia="仿宋_GB2312"/>
          <w:b/>
          <w:sz w:val="24"/>
        </w:rPr>
      </w:pPr>
      <w:r>
        <w:rPr>
          <w:rFonts w:hint="eastAsia" w:ascii="仿宋_GB2312" w:hAnsi="仿宋" w:eastAsia="仿宋_GB2312"/>
          <w:b/>
          <w:sz w:val="24"/>
        </w:rPr>
        <w:t>其他补充事宜</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七、对本次采购提出询问、质疑、投诉，请按以下方式联系</w:t>
      </w:r>
    </w:p>
    <w:p>
      <w:pPr>
        <w:spacing w:line="360" w:lineRule="auto"/>
        <w:rPr>
          <w:rFonts w:ascii="仿宋" w:hAnsi="仿宋" w:eastAsia="仿宋" w:cs="仿宋"/>
          <w:sz w:val="24"/>
        </w:rPr>
      </w:pPr>
      <w:r>
        <w:rPr>
          <w:rFonts w:ascii="仿宋_GB2312" w:hAnsi="仿宋" w:eastAsia="仿宋_GB2312"/>
          <w:sz w:val="24"/>
        </w:rPr>
        <w:t xml:space="preserve">    1.</w:t>
      </w:r>
      <w:r>
        <w:rPr>
          <w:rFonts w:hint="eastAsia" w:ascii="仿宋" w:hAnsi="仿宋" w:eastAsia="仿宋" w:cs="仿宋"/>
          <w:sz w:val="24"/>
        </w:rPr>
        <w:t xml:space="preserve">  1.采购人信息</w:t>
      </w:r>
    </w:p>
    <w:p>
      <w:pPr>
        <w:spacing w:line="360" w:lineRule="auto"/>
        <w:ind w:firstLine="480"/>
        <w:rPr>
          <w:rFonts w:hint="eastAsia" w:ascii="仿宋" w:hAnsi="仿宋" w:eastAsia="仿宋" w:cs="仿宋"/>
          <w:kern w:val="0"/>
          <w:sz w:val="24"/>
          <w:u w:val="none"/>
          <w:lang w:val="en-US" w:eastAsia="zh-CN"/>
        </w:rPr>
      </w:pPr>
      <w:r>
        <w:rPr>
          <w:rFonts w:hint="eastAsia" w:ascii="仿宋" w:hAnsi="仿宋" w:eastAsia="仿宋" w:cs="仿宋"/>
          <w:sz w:val="24"/>
        </w:rPr>
        <w:t>名    称：</w:t>
      </w:r>
      <w:r>
        <w:rPr>
          <w:rFonts w:hint="eastAsia" w:ascii="仿宋" w:hAnsi="仿宋" w:eastAsia="仿宋" w:cs="仿宋"/>
          <w:kern w:val="0"/>
          <w:sz w:val="24"/>
          <w:u w:val="none"/>
        </w:rPr>
        <w:t>杭州市临平</w:t>
      </w:r>
      <w:r>
        <w:rPr>
          <w:rFonts w:hint="eastAsia" w:ascii="仿宋" w:hAnsi="仿宋" w:eastAsia="仿宋" w:cs="仿宋"/>
          <w:kern w:val="0"/>
          <w:sz w:val="24"/>
          <w:u w:val="none"/>
          <w:lang w:val="en-US" w:eastAsia="zh-CN"/>
        </w:rPr>
        <w:t>区教育局</w:t>
      </w:r>
    </w:p>
    <w:p>
      <w:pPr>
        <w:spacing w:line="360" w:lineRule="auto"/>
        <w:ind w:firstLine="480"/>
        <w:rPr>
          <w:rFonts w:hint="default" w:ascii="仿宋" w:hAnsi="仿宋" w:eastAsia="仿宋" w:cs="仿宋"/>
          <w:sz w:val="24"/>
          <w:lang w:val="en-US" w:eastAsia="zh-CN"/>
        </w:rPr>
      </w:pPr>
      <w:r>
        <w:rPr>
          <w:rFonts w:hint="eastAsia" w:ascii="仿宋" w:hAnsi="仿宋" w:eastAsia="仿宋" w:cs="仿宋"/>
          <w:sz w:val="24"/>
        </w:rPr>
        <w:t>地    址：杭州市临平区</w:t>
      </w:r>
      <w:r>
        <w:rPr>
          <w:rFonts w:hint="eastAsia" w:ascii="仿宋" w:hAnsi="仿宋" w:eastAsia="仿宋" w:cs="仿宋"/>
          <w:sz w:val="24"/>
          <w:lang w:val="en-US" w:eastAsia="zh-CN"/>
        </w:rPr>
        <w:t>世纪大厦23楼</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
          <w:sz w:val="24"/>
        </w:rPr>
      </w:pPr>
      <w:r>
        <w:rPr>
          <w:rFonts w:hint="eastAsia" w:ascii="仿宋_GB2312" w:hAnsi="仿宋" w:eastAsia="仿宋_GB2312"/>
          <w:sz w:val="24"/>
        </w:rPr>
        <w:t>项目联系人（询问）：</w:t>
      </w:r>
      <w:r>
        <w:rPr>
          <w:rFonts w:hint="eastAsia" w:ascii="仿宋" w:hAnsi="仿宋" w:eastAsia="仿宋" w:cs="仿宋"/>
          <w:sz w:val="24"/>
          <w:lang w:val="en-US" w:eastAsia="zh-CN"/>
        </w:rPr>
        <w:t>徐萍</w:t>
      </w:r>
    </w:p>
    <w:p>
      <w:pPr>
        <w:spacing w:line="360" w:lineRule="auto"/>
        <w:ind w:firstLine="480"/>
        <w:rPr>
          <w:rFonts w:hint="eastAsia" w:ascii="仿宋" w:hAnsi="仿宋" w:eastAsia="仿宋" w:cs="仿宋"/>
          <w:sz w:val="24"/>
        </w:rPr>
      </w:pPr>
      <w:r>
        <w:rPr>
          <w:rFonts w:ascii="仿宋_GB2312" w:hAnsi="仿宋" w:eastAsia="仿宋_GB2312"/>
          <w:sz w:val="24"/>
        </w:rPr>
        <w:t>项目联系方式（询问）：</w:t>
      </w:r>
      <w:r>
        <w:rPr>
          <w:rFonts w:hint="eastAsia" w:ascii="仿宋" w:hAnsi="仿宋" w:eastAsia="仿宋" w:cs="仿宋"/>
          <w:sz w:val="24"/>
        </w:rPr>
        <w:t>0571-86223460</w:t>
      </w:r>
    </w:p>
    <w:p>
      <w:pPr>
        <w:spacing w:line="360" w:lineRule="auto"/>
        <w:ind w:firstLine="480"/>
        <w:rPr>
          <w:rFonts w:ascii="仿宋" w:hAnsi="仿宋" w:eastAsia="仿宋"/>
          <w:sz w:val="24"/>
        </w:rPr>
      </w:pPr>
      <w:r>
        <w:rPr>
          <w:rFonts w:ascii="仿宋_GB2312" w:hAnsi="仿宋" w:eastAsia="仿宋_GB2312"/>
          <w:sz w:val="24"/>
        </w:rPr>
        <w:t>质疑联系人：</w:t>
      </w:r>
      <w:r>
        <w:rPr>
          <w:rFonts w:hint="eastAsia" w:ascii="仿宋_GB2312" w:hAnsi="仿宋" w:eastAsia="仿宋_GB2312"/>
          <w:sz w:val="24"/>
        </w:rPr>
        <w:t>李郑</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质疑联系方式：</w:t>
      </w:r>
      <w:r>
        <w:rPr>
          <w:rFonts w:hint="eastAsia" w:ascii="仿宋_GB2312" w:hAnsi="仿宋" w:eastAsia="仿宋_GB2312"/>
          <w:sz w:val="24"/>
        </w:rPr>
        <w:t>0571-86223460</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firstLineChars="200"/>
        <w:rPr>
          <w:rFonts w:ascii="仿宋" w:hAnsi="仿宋" w:eastAsia="仿宋" w:cs="仿宋"/>
          <w:sz w:val="24"/>
        </w:rPr>
      </w:pPr>
      <w:r>
        <w:rPr>
          <w:rFonts w:hint="eastAsia" w:ascii="仿宋" w:hAnsi="仿宋" w:eastAsia="仿宋" w:cs="仿宋"/>
          <w:sz w:val="24"/>
        </w:rPr>
        <w:t>名    称：杭州尚远招标代理有限公司</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地    址：杭州市临平区星桥街道星星路7号1幢3楼306室 </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 w:hAnsi="仿宋" w:eastAsia="仿宋"/>
          <w:sz w:val="24"/>
        </w:rPr>
        <w:t xml:space="preserve"> </w:t>
      </w:r>
      <w:r>
        <w:rPr>
          <w:rFonts w:hint="eastAsia" w:ascii="仿宋" w:hAnsi="仿宋" w:eastAsia="仿宋" w:cs="仿宋"/>
          <w:sz w:val="24"/>
        </w:rPr>
        <w:t xml:space="preserve">陆月琴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 w:hAnsi="仿宋" w:eastAsia="仿宋" w:cs="仿宋"/>
          <w:sz w:val="24"/>
        </w:rPr>
        <w:t xml:space="preserve">15869183365 </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 w:hAnsi="仿宋" w:eastAsia="仿宋" w:cs="仿宋"/>
          <w:sz w:val="24"/>
        </w:rPr>
        <w:t>李竹军</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 w:hAnsi="仿宋" w:eastAsia="仿宋"/>
          <w:sz w:val="24"/>
        </w:rPr>
        <w:t xml:space="preserve"> </w:t>
      </w:r>
      <w:r>
        <w:rPr>
          <w:rFonts w:hint="eastAsia" w:ascii="仿宋" w:hAnsi="仿宋" w:eastAsia="仿宋" w:cs="仿宋"/>
          <w:sz w:val="24"/>
        </w:rPr>
        <w:t>18357015059</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 w:hAnsi="仿宋" w:eastAsia="仿宋" w:cs="仿宋"/>
          <w:sz w:val="24"/>
        </w:rPr>
        <w:t>临平区</w:t>
      </w:r>
      <w:r>
        <w:rPr>
          <w:rFonts w:hint="eastAsia" w:ascii="仿宋" w:hAnsi="仿宋" w:eastAsia="仿宋" w:cs="仿宋"/>
          <w:sz w:val="24"/>
          <w:lang w:val="en-US" w:eastAsia="zh-CN"/>
        </w:rPr>
        <w:t>财政局采购监管科</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 w:hAnsi="仿宋" w:eastAsia="仿宋" w:cs="仿宋"/>
          <w:color w:val="000000"/>
          <w:sz w:val="24"/>
        </w:rPr>
        <w:t>杭州市临平区东湖中路236号临平财税大楼</w:t>
      </w:r>
      <w:r>
        <w:rPr>
          <w:rFonts w:hint="eastAsia" w:ascii="仿宋" w:hAnsi="仿宋" w:eastAsia="仿宋" w:cs="仿宋"/>
          <w:sz w:val="24"/>
        </w:rPr>
        <w:t xml:space="preserve"> </w:t>
      </w:r>
      <w:r>
        <w:rPr>
          <w:rFonts w:hint="eastAsia" w:ascii="仿宋_GB2312" w:hAnsi="仿宋" w:eastAsia="仿宋_GB2312"/>
          <w:sz w:val="24"/>
        </w:rPr>
        <w:t xml:space="preserve"> </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 </w:t>
      </w:r>
      <w:r>
        <w:rPr>
          <w:rFonts w:hint="eastAsia" w:ascii="仿宋" w:hAnsi="仿宋" w:eastAsia="仿宋" w:cs="仿宋"/>
          <w:sz w:val="24"/>
        </w:rPr>
        <w:t xml:space="preserve">俞征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 w:hAnsi="仿宋" w:eastAsia="仿宋" w:cs="仿宋"/>
          <w:sz w:val="24"/>
        </w:rPr>
        <w:t xml:space="preserve">0571-89185312    </w:t>
      </w:r>
      <w:r>
        <w:rPr>
          <w:rFonts w:hint="eastAsia" w:ascii="仿宋_GB2312" w:hAnsi="仿宋" w:eastAsia="仿宋_GB2312"/>
          <w:sz w:val="24"/>
        </w:rPr>
        <w:t xml:space="preserve">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left"/>
              <w:rPr>
                <w:rFonts w:hint="eastAsia" w:ascii="仿宋_GB2312" w:hAnsi="仿宋" w:eastAsia="仿宋_GB2312" w:cs="仿宋_GB2312"/>
                <w:b/>
                <w:kern w:val="0"/>
                <w:sz w:val="24"/>
                <w:szCs w:val="20"/>
                <w:lang w:val="zh-CN"/>
              </w:rPr>
            </w:pPr>
            <w:r>
              <w:rPr>
                <w:rFonts w:hint="eastAsia" w:ascii="仿宋_GB2312" w:hAnsi="仿宋" w:eastAsia="仿宋_GB2312" w:cs="Times New Roman"/>
                <w:kern w:val="0"/>
                <w:sz w:val="24"/>
                <w:szCs w:val="20"/>
                <w:lang w:val="zh-CN"/>
              </w:rPr>
              <w:t>有关本项目实施所需的所有费用（含税费）均计入报价。</w:t>
            </w:r>
            <w:r>
              <w:rPr>
                <w:rFonts w:hint="eastAsia" w:ascii="仿宋_GB2312" w:hAnsi="仿宋" w:eastAsia="仿宋_GB2312" w:cs="仿宋_GB2312"/>
                <w:sz w:val="24"/>
                <w:szCs w:val="20"/>
              </w:rPr>
              <w:t>开标一览表（报价表）</w:t>
            </w:r>
            <w:r>
              <w:rPr>
                <w:rFonts w:hint="eastAsia" w:ascii="仿宋_GB2312" w:hAnsi="仿宋" w:eastAsia="仿宋_GB2312" w:cs="Times New Roman"/>
                <w:sz w:val="24"/>
                <w:szCs w:val="20"/>
              </w:rPr>
              <w:t>是报价的唯一载体</w:t>
            </w:r>
            <w:r>
              <w:rPr>
                <w:rFonts w:hint="eastAsia" w:ascii="仿宋_GB2312" w:hAnsi="仿宋" w:eastAsia="仿宋_GB2312" w:cs="仿宋_GB2312"/>
                <w:kern w:val="0"/>
                <w:sz w:val="24"/>
                <w:szCs w:val="20"/>
                <w:lang w:val="zh-CN"/>
              </w:rPr>
              <w:t>。投标文件中价格全部采用人民币报价。招标文件未列明，而投标人认为必需的费用也需列入报价。</w:t>
            </w:r>
            <w:r>
              <w:rPr>
                <w:rFonts w:hint="eastAsia" w:ascii="仿宋_GB2312" w:hAnsi="仿宋" w:eastAsia="仿宋_GB2312" w:cs="仿宋_GB2312"/>
                <w:b/>
                <w:kern w:val="0"/>
                <w:sz w:val="24"/>
                <w:szCs w:val="20"/>
                <w:lang w:val="zh-CN"/>
              </w:rPr>
              <w:t>提醒：验收时检测费用由采购人承担，不包含在投标总价中。</w:t>
            </w:r>
          </w:p>
          <w:p>
            <w:pPr>
              <w:snapToGrid w:val="0"/>
              <w:spacing w:before="0" w:beforeAutospacing="0" w:after="0" w:afterAutospacing="0" w:line="360" w:lineRule="auto"/>
              <w:ind w:left="0" w:right="0"/>
              <w:jc w:val="left"/>
              <w:rPr>
                <w:rFonts w:hint="eastAsia"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投标报价出现下列情形的，投标无效：</w:t>
            </w:r>
          </w:p>
          <w:p>
            <w:pPr>
              <w:snapToGrid w:val="0"/>
              <w:spacing w:before="0" w:beforeAutospacing="0" w:after="0" w:afterAutospacing="0" w:line="360" w:lineRule="auto"/>
              <w:ind w:left="0" w:right="0" w:firstLine="241" w:firstLineChars="100"/>
              <w:jc w:val="left"/>
              <w:rPr>
                <w:rFonts w:hint="eastAsia"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投标文件出现不是唯一的、有选择性投标报价的；</w:t>
            </w:r>
          </w:p>
          <w:p>
            <w:pPr>
              <w:snapToGrid w:val="0"/>
              <w:spacing w:before="0" w:beforeAutospacing="0" w:after="0" w:afterAutospacing="0" w:line="360" w:lineRule="auto"/>
              <w:ind w:left="0" w:right="0" w:firstLine="241" w:firstLineChars="100"/>
              <w:jc w:val="left"/>
              <w:rPr>
                <w:rFonts w:hint="eastAsia" w:ascii="仿宋_GB2312" w:hAnsi="仿宋" w:eastAsia="仿宋_GB2312" w:cs="Times New Roman"/>
                <w:kern w:val="0"/>
                <w:sz w:val="24"/>
                <w:szCs w:val="20"/>
                <w:lang w:val="zh-CN"/>
              </w:rPr>
            </w:pPr>
            <w:r>
              <w:rPr>
                <w:rFonts w:hint="eastAsia" w:ascii="仿宋_GB2312" w:hAnsi="仿宋" w:eastAsia="仿宋_GB2312" w:cs="仿宋_GB2312"/>
                <w:b/>
                <w:kern w:val="0"/>
                <w:sz w:val="24"/>
                <w:szCs w:val="20"/>
                <w:lang w:val="zh-CN"/>
              </w:rPr>
              <w:t>投标报价超过招标文件中规定的预算金额或者最高限价的</w:t>
            </w:r>
            <w:r>
              <w:rPr>
                <w:rFonts w:hint="eastAsia" w:ascii="仿宋_GB2312" w:hAnsi="仿宋" w:eastAsia="仿宋_GB2312" w:cs="Times New Roman"/>
                <w:b/>
                <w:kern w:val="0"/>
                <w:sz w:val="24"/>
                <w:szCs w:val="20"/>
                <w:lang w:val="zh-CN"/>
              </w:rPr>
              <w:t>;</w:t>
            </w:r>
          </w:p>
          <w:p>
            <w:pPr>
              <w:spacing w:before="0" w:beforeAutospacing="0" w:after="0" w:afterAutospacing="0" w:line="360" w:lineRule="auto"/>
              <w:ind w:left="0" w:right="0" w:firstLine="241" w:firstLineChars="100"/>
              <w:rPr>
                <w:rFonts w:hint="eastAsia" w:ascii="仿宋_GB2312" w:hAnsi="仿宋" w:eastAsia="仿宋_GB2312" w:cs="仿宋_GB2312"/>
                <w:b/>
                <w:sz w:val="24"/>
                <w:szCs w:val="20"/>
              </w:rPr>
            </w:pPr>
            <w:r>
              <w:rPr>
                <w:rFonts w:hint="eastAsia" w:ascii="仿宋_GB2312" w:hAnsi="仿宋" w:eastAsia="仿宋_GB2312" w:cs="Arial"/>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_GB2312"/>
                <w:b/>
                <w:sz w:val="24"/>
                <w:szCs w:val="21"/>
              </w:rPr>
              <w:t>;</w:t>
            </w:r>
          </w:p>
          <w:p>
            <w:pPr>
              <w:spacing w:before="0" w:beforeAutospacing="0" w:after="0" w:afterAutospacing="0" w:line="360" w:lineRule="auto"/>
              <w:ind w:left="0" w:right="0" w:firstLine="241" w:firstLineChars="100"/>
              <w:rPr>
                <w:rFonts w:hint="eastAsia" w:ascii="仿宋_GB2312" w:hAnsi="仿宋" w:eastAsia="仿宋_GB2312" w:cs="Times New Roman"/>
                <w:sz w:val="24"/>
                <w:szCs w:val="20"/>
              </w:rPr>
            </w:pPr>
            <w:r>
              <w:rPr>
                <w:rFonts w:hint="eastAsia" w:ascii="仿宋_GB2312" w:hAnsi="仿宋" w:eastAsia="仿宋_GB2312" w:cs="Arial"/>
                <w:b/>
                <w:kern w:val="0"/>
                <w:sz w:val="24"/>
                <w:szCs w:val="20"/>
              </w:rPr>
              <w:t>投标人对根据修正原则修正后的报价不确认的</w:t>
            </w:r>
            <w:r>
              <w:rPr>
                <w:rFonts w:hint="eastAsia" w:ascii="仿宋_GB2312" w:hAnsi="仿宋" w:eastAsia="仿宋_GB2312" w:cs="Times New Roman"/>
                <w:b/>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firstLine="482" w:firstLineChars="200"/>
              <w:rPr>
                <w:rFonts w:hint="eastAsia" w:ascii="仿宋_GB2312" w:hAnsi="仿宋" w:eastAsia="仿宋_GB2312" w:cs="仿宋_GB2312"/>
                <w:b/>
                <w:sz w:val="24"/>
                <w:szCs w:val="20"/>
              </w:rPr>
            </w:pPr>
            <w:r>
              <w:rPr>
                <w:rFonts w:hint="eastAsia" w:ascii="仿宋_GB2312" w:hAnsi="仿宋" w:eastAsia="仿宋_GB2312" w:cs="仿宋_GB2312"/>
                <w:b/>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MS Gothic" w:hAnsi="MS Gothic" w:eastAsia="MS Gothic" w:cs="Arial"/>
                <w:kern w:val="0"/>
                <w:sz w:val="24"/>
                <w:szCs w:val="20"/>
              </w:rPr>
              <w:t>☐</w:t>
            </w:r>
            <w:r>
              <w:rPr>
                <w:rFonts w:hint="eastAsia" w:ascii="仿宋_GB2312" w:hAnsi="仿宋" w:eastAsia="仿宋_GB2312" w:cs="Arial"/>
                <w:kern w:val="0"/>
                <w:sz w:val="24"/>
                <w:szCs w:val="20"/>
              </w:rPr>
              <w:t xml:space="preserve"> A</w:t>
            </w:r>
            <w:r>
              <w:rPr>
                <w:rFonts w:hint="eastAsia" w:ascii="仿宋_GB2312" w:hAnsi="仿宋" w:eastAsia="仿宋_GB2312" w:cs="Times New Roman"/>
                <w:sz w:val="24"/>
                <w:szCs w:val="20"/>
              </w:rPr>
              <w:t>同意将非主体、非关键性的</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工作分包。</w:t>
            </w: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 xml:space="preserve"> B</w:t>
            </w:r>
            <w:r>
              <w:rPr>
                <w:rFonts w:hint="eastAsia" w:ascii="仿宋_GB2312" w:hAnsi="仿宋" w:eastAsia="仿宋_GB2312" w:cs="Times New Roman"/>
                <w:sz w:val="24"/>
                <w:szCs w:val="20"/>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（1）资格证明文件：见招标文件第二部分11.1。</w:t>
            </w:r>
          </w:p>
          <w:p>
            <w:pPr>
              <w:spacing w:before="0" w:beforeAutospacing="0" w:after="0" w:afterAutospacing="0" w:line="360" w:lineRule="auto"/>
              <w:ind w:left="0" w:right="0"/>
              <w:rPr>
                <w:rFonts w:hint="eastAsia" w:ascii="Arial" w:hAnsi="Arial" w:eastAsia="黑体" w:cs="Arial"/>
                <w:snapToGrid w:val="0"/>
                <w:kern w:val="0"/>
                <w:sz w:val="20"/>
                <w:szCs w:val="21"/>
              </w:rPr>
            </w:pPr>
            <w:r>
              <w:rPr>
                <w:rFonts w:hint="eastAsia" w:ascii="仿宋_GB2312" w:hAnsi="仿宋" w:eastAsia="仿宋_GB2312" w:cs="Times New Roman"/>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A</w:t>
            </w:r>
            <w:r>
              <w:rPr>
                <w:rFonts w:hint="eastAsia" w:ascii="仿宋_GB2312" w:hAnsi="仿宋" w:eastAsia="仿宋_GB2312" w:cs="Times New Roman"/>
                <w:sz w:val="24"/>
                <w:szCs w:val="20"/>
              </w:rPr>
              <w:t>不组织。</w:t>
            </w:r>
          </w:p>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MS Gothic" w:hAnsi="MS Gothic" w:eastAsia="MS Gothic" w:cs="Arial"/>
                <w:kern w:val="0"/>
                <w:sz w:val="24"/>
                <w:szCs w:val="20"/>
              </w:rPr>
              <w:t>☐</w:t>
            </w:r>
            <w:r>
              <w:rPr>
                <w:rFonts w:hint="eastAsia" w:ascii="仿宋_GB2312" w:hAnsi="仿宋" w:eastAsia="仿宋_GB2312" w:cs="Times New Roman"/>
                <w:kern w:val="0"/>
                <w:sz w:val="24"/>
                <w:szCs w:val="20"/>
              </w:rPr>
              <w:t>B组织，</w:t>
            </w:r>
            <w:r>
              <w:rPr>
                <w:rFonts w:hint="eastAsia" w:ascii="仿宋_GB2312" w:hAnsi="仿宋" w:eastAsia="仿宋_GB2312" w:cs="Times New Roman"/>
                <w:sz w:val="24"/>
                <w:szCs w:val="20"/>
              </w:rPr>
              <w:t>时间：</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,地点：</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，联系人：</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，联系方式：</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仿宋_GB2312" w:hAnsi="仿宋" w:eastAsia="仿宋_GB2312" w:cs="Arial"/>
                <w:kern w:val="0"/>
                <w:sz w:val="24"/>
                <w:szCs w:val="20"/>
                <w:highlight w:val="none"/>
              </w:rPr>
              <w:sym w:font="Wingdings" w:char="F0FE"/>
            </w:r>
            <w:r>
              <w:rPr>
                <w:rFonts w:hint="eastAsia" w:ascii="仿宋_GB2312" w:hAnsi="仿宋" w:eastAsia="仿宋_GB2312" w:cs="Arial"/>
                <w:kern w:val="0"/>
                <w:sz w:val="24"/>
                <w:szCs w:val="20"/>
                <w:highlight w:val="none"/>
              </w:rPr>
              <w:t>A</w:t>
            </w:r>
            <w:r>
              <w:rPr>
                <w:rFonts w:hint="eastAsia" w:ascii="仿宋_GB2312" w:hAnsi="仿宋" w:eastAsia="仿宋_GB2312" w:cs="Times New Roman"/>
                <w:sz w:val="24"/>
                <w:szCs w:val="20"/>
                <w:highlight w:val="none"/>
              </w:rPr>
              <w:t>不要求提供。</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MS Gothic" w:hAnsi="MS Gothic" w:eastAsia="MS Gothic" w:cs="Arial"/>
                <w:kern w:val="0"/>
                <w:sz w:val="24"/>
                <w:szCs w:val="20"/>
                <w:highlight w:val="none"/>
              </w:rPr>
              <w:t>☐</w:t>
            </w:r>
            <w:r>
              <w:rPr>
                <w:rFonts w:hint="eastAsia" w:ascii="仿宋_GB2312" w:hAnsi="仿宋" w:eastAsia="仿宋_GB2312" w:cs="Times New Roman"/>
                <w:kern w:val="0"/>
                <w:sz w:val="24"/>
                <w:szCs w:val="20"/>
                <w:highlight w:val="none"/>
              </w:rPr>
              <w:t>B要求提供，</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（1）</w:t>
            </w:r>
            <w:r>
              <w:rPr>
                <w:rFonts w:hint="eastAsia" w:ascii="仿宋" w:hAnsi="仿宋" w:eastAsia="仿宋" w:cs="Times New Roman"/>
                <w:snapToGrid w:val="0"/>
                <w:kern w:val="28"/>
                <w:sz w:val="24"/>
                <w:szCs w:val="20"/>
                <w:highlight w:val="none"/>
              </w:rPr>
              <w:t>样品：</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（2）</w:t>
            </w:r>
            <w:r>
              <w:rPr>
                <w:rFonts w:hint="eastAsia" w:ascii="仿宋" w:hAnsi="仿宋" w:eastAsia="仿宋" w:cs="Times New Roman"/>
                <w:snapToGrid w:val="0"/>
                <w:kern w:val="28"/>
                <w:sz w:val="24"/>
                <w:szCs w:val="20"/>
                <w:highlight w:val="none"/>
              </w:rPr>
              <w:t>样品制作的标准和要求：</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（3）样品的评审方法以及评审标准</w:t>
            </w:r>
            <w:r>
              <w:rPr>
                <w:rFonts w:hint="eastAsia" w:ascii="仿宋" w:hAnsi="仿宋" w:eastAsia="仿宋" w:cs="Times New Roman"/>
                <w:snapToGrid w:val="0"/>
                <w:kern w:val="28"/>
                <w:sz w:val="24"/>
                <w:szCs w:val="20"/>
                <w:highlight w:val="none"/>
              </w:rPr>
              <w:t>：详见</w:t>
            </w:r>
            <w:r>
              <w:rPr>
                <w:rFonts w:hint="eastAsia" w:ascii="仿宋_GB2312" w:hAnsi="仿宋" w:eastAsia="仿宋_GB2312" w:cs="Times New Roman"/>
                <w:sz w:val="24"/>
                <w:szCs w:val="20"/>
                <w:highlight w:val="none"/>
                <w:u w:val="single"/>
              </w:rPr>
              <w:t>评标办法</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（4）是否需要随样品提交检测报告：</w:t>
            </w:r>
            <w:r>
              <w:rPr>
                <w:rFonts w:hint="eastAsia" w:ascii="MS Gothic" w:hAnsi="MS Gothic" w:eastAsia="仿宋_GB2312" w:cs="Arial"/>
                <w:kern w:val="0"/>
                <w:sz w:val="24"/>
                <w:szCs w:val="20"/>
                <w:highlight w:val="none"/>
              </w:rPr>
              <w:sym w:font="Wingdings" w:char="F0FE"/>
            </w:r>
            <w:r>
              <w:rPr>
                <w:rFonts w:hint="eastAsia" w:ascii="仿宋_GB2312" w:hAnsi="仿宋" w:eastAsia="仿宋_GB2312" w:cs="Times New Roman"/>
                <w:kern w:val="0"/>
                <w:sz w:val="24"/>
                <w:szCs w:val="20"/>
                <w:highlight w:val="none"/>
              </w:rPr>
              <w:t>否；</w:t>
            </w:r>
            <w:r>
              <w:rPr>
                <w:rFonts w:hint="eastAsia" w:ascii="MS Gothic" w:hAnsi="MS Gothic" w:eastAsia="仿宋_GB2312" w:cs="Arial"/>
                <w:kern w:val="0"/>
                <w:sz w:val="24"/>
                <w:szCs w:val="20"/>
                <w:highlight w:val="none"/>
              </w:rPr>
              <w:t>☐</w:t>
            </w:r>
            <w:r>
              <w:rPr>
                <w:rFonts w:hint="eastAsia" w:ascii="仿宋_GB2312" w:hAnsi="仿宋" w:eastAsia="仿宋_GB2312" w:cs="Times New Roman"/>
                <w:kern w:val="0"/>
                <w:sz w:val="24"/>
                <w:szCs w:val="20"/>
                <w:highlight w:val="none"/>
              </w:rPr>
              <w:t>是，检测机构的要求</w:t>
            </w: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；检测内容</w:t>
            </w: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仿宋_GB2312" w:hAnsi="仿宋" w:eastAsia="仿宋_GB2312" w:cs="Times New Roman"/>
                <w:sz w:val="24"/>
                <w:szCs w:val="20"/>
                <w:highlight w:val="none"/>
              </w:rPr>
              <w:t>（5）提供样品的时间：</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；地点：</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；联系人</w:t>
            </w: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rPr>
              <w:t>，</w:t>
            </w:r>
            <w:r>
              <w:rPr>
                <w:rFonts w:hint="eastAsia" w:ascii="仿宋_GB2312" w:hAnsi="仿宋" w:eastAsia="仿宋_GB2312" w:cs="Times New Roman"/>
                <w:kern w:val="28"/>
                <w:sz w:val="24"/>
                <w:szCs w:val="20"/>
                <w:highlight w:val="none"/>
              </w:rPr>
              <w:t>联系电话：</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rPr>
              <w:t>。请投标人在上述时间内提供样品并按规定位置安装完毕。超过截止时间的，采购人或采购代理机构将不予接收，并将清场并封闭样品现场。</w:t>
            </w:r>
          </w:p>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lang w:val="en-US" w:eastAsia="zh-CN"/>
              </w:rPr>
              <w:t>6</w:t>
            </w:r>
            <w:r>
              <w:rPr>
                <w:rFonts w:hint="eastAsia" w:ascii="仿宋_GB2312" w:hAnsi="仿宋" w:eastAsia="仿宋_GB2312" w:cs="Times New Roman"/>
                <w:sz w:val="24"/>
                <w:szCs w:val="20"/>
                <w:highlight w:val="none"/>
              </w:rPr>
              <w:t>）采购活动结束后，</w:t>
            </w:r>
            <w:r>
              <w:rPr>
                <w:rFonts w:hint="eastAsia" w:ascii="仿宋" w:hAnsi="仿宋" w:eastAsia="仿宋" w:cs="仿宋"/>
                <w:color w:val="auto"/>
                <w:sz w:val="24"/>
                <w:szCs w:val="20"/>
                <w:highlight w:val="none"/>
              </w:rPr>
              <w:t>未中标投标人的“样品”由投标人在中标公告结束后</w:t>
            </w:r>
            <w:r>
              <w:rPr>
                <w:rFonts w:hint="eastAsia" w:ascii="仿宋" w:hAnsi="仿宋" w:eastAsia="仿宋" w:cs="仿宋"/>
                <w:b/>
                <w:color w:val="auto"/>
                <w:sz w:val="24"/>
                <w:szCs w:val="20"/>
                <w:highlight w:val="none"/>
              </w:rPr>
              <w:t>三个工作日</w:t>
            </w:r>
            <w:r>
              <w:rPr>
                <w:rFonts w:hint="eastAsia" w:ascii="仿宋" w:hAnsi="仿宋" w:eastAsia="仿宋" w:cs="仿宋"/>
                <w:color w:val="auto"/>
                <w:sz w:val="24"/>
                <w:szCs w:val="20"/>
                <w:highlight w:val="none"/>
              </w:rPr>
              <w:t>内从采购人处自行领回，逾期采购人将不予保管</w:t>
            </w:r>
            <w:r>
              <w:rPr>
                <w:rFonts w:hint="eastAsia" w:ascii="仿宋" w:hAnsi="仿宋" w:eastAsia="仿宋" w:cs="仿宋"/>
                <w:sz w:val="24"/>
                <w:szCs w:val="20"/>
                <w:highlight w:val="none"/>
              </w:rPr>
              <w:t>；</w:t>
            </w:r>
            <w:r>
              <w:rPr>
                <w:rFonts w:hint="eastAsia" w:ascii="仿宋_GB2312" w:hAnsi="仿宋" w:eastAsia="仿宋_GB2312" w:cs="Times New Roman"/>
                <w:sz w:val="24"/>
                <w:szCs w:val="20"/>
                <w:highlight w:val="none"/>
              </w:rPr>
              <w:t>对于中标人提供的样品，采购人将进行保管、封存，并作为履约验收的参考。</w:t>
            </w:r>
          </w:p>
          <w:p>
            <w:pPr>
              <w:spacing w:before="0" w:beforeAutospacing="0" w:after="0" w:afterAutospacing="0" w:line="360" w:lineRule="auto"/>
              <w:ind w:left="0" w:right="0"/>
              <w:rPr>
                <w:rFonts w:hint="eastAsia" w:ascii="仿宋_GB2312" w:hAnsi="仿宋" w:eastAsia="仿宋_GB2312" w:cs="Times New Roman"/>
                <w:b/>
                <w:sz w:val="24"/>
                <w:szCs w:val="20"/>
                <w:highlight w:val="none"/>
              </w:rPr>
            </w:pPr>
            <w:r>
              <w:rPr>
                <w:rFonts w:hint="eastAsia" w:ascii="仿宋_GB2312" w:hAnsi="仿宋" w:eastAsia="仿宋_GB2312" w:cs="Times New Roman"/>
                <w:sz w:val="24"/>
                <w:szCs w:val="20"/>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Cs/>
                <w:sz w:val="24"/>
                <w:szCs w:val="20"/>
                <w:highlight w:val="none"/>
              </w:rPr>
            </w:pPr>
            <w:r>
              <w:rPr>
                <w:rFonts w:hint="eastAsia" w:ascii="仿宋_GB2312" w:hAnsi="仿宋" w:eastAsia="仿宋_GB2312" w:cs="仿宋_GB2312"/>
                <w:b/>
                <w:sz w:val="24"/>
                <w:szCs w:val="20"/>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MS Gothic" w:hAnsi="MS Gothic" w:eastAsia="MS Gothic" w:cs="Arial"/>
                <w:kern w:val="0"/>
                <w:sz w:val="24"/>
                <w:szCs w:val="20"/>
                <w:highlight w:val="none"/>
              </w:rPr>
              <w:sym w:font="Wingdings" w:char="00A8"/>
            </w:r>
            <w:r>
              <w:rPr>
                <w:rFonts w:hint="eastAsia" w:ascii="仿宋_GB2312" w:hAnsi="仿宋" w:eastAsia="仿宋_GB2312" w:cs="Arial"/>
                <w:kern w:val="0"/>
                <w:sz w:val="24"/>
                <w:szCs w:val="20"/>
                <w:highlight w:val="none"/>
              </w:rPr>
              <w:t>A</w:t>
            </w:r>
            <w:r>
              <w:rPr>
                <w:rFonts w:hint="eastAsia" w:ascii="仿宋_GB2312" w:hAnsi="仿宋" w:eastAsia="仿宋_GB2312" w:cs="Times New Roman"/>
                <w:sz w:val="24"/>
                <w:szCs w:val="20"/>
                <w:highlight w:val="none"/>
              </w:rPr>
              <w:t>不组织。</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Arial"/>
                <w:kern w:val="0"/>
                <w:sz w:val="24"/>
                <w:szCs w:val="20"/>
                <w:highlight w:val="none"/>
              </w:rPr>
              <w:sym w:font="Wingdings" w:char="F0FE"/>
            </w:r>
            <w:r>
              <w:rPr>
                <w:rFonts w:hint="eastAsia" w:ascii="仿宋_GB2312" w:hAnsi="仿宋" w:eastAsia="仿宋_GB2312" w:cs="Times New Roman"/>
                <w:kern w:val="0"/>
                <w:sz w:val="24"/>
                <w:szCs w:val="20"/>
                <w:highlight w:val="none"/>
              </w:rPr>
              <w:t>B组织。</w:t>
            </w:r>
          </w:p>
          <w:p>
            <w:pPr>
              <w:snapToGrid w:val="0"/>
              <w:spacing w:before="0" w:beforeAutospacing="0" w:after="0" w:afterAutospacing="0" w:line="360" w:lineRule="auto"/>
              <w:ind w:left="0" w:right="0"/>
              <w:rPr>
                <w:rFonts w:hint="eastAsia" w:ascii="仿宋_GB2312" w:hAnsi="仿宋" w:eastAsia="仿宋_GB2312" w:cs="Times New Roman"/>
                <w:b/>
                <w:bCs/>
                <w:kern w:val="0"/>
                <w:sz w:val="24"/>
                <w:szCs w:val="20"/>
                <w:highlight w:val="none"/>
              </w:rPr>
            </w:pPr>
            <w:r>
              <w:rPr>
                <w:rFonts w:hint="eastAsia" w:ascii="仿宋_GB2312" w:hAnsi="仿宋" w:eastAsia="仿宋_GB2312" w:cs="Times New Roman"/>
                <w:kern w:val="0"/>
                <w:sz w:val="24"/>
                <w:szCs w:val="20"/>
                <w:highlight w:val="none"/>
              </w:rPr>
              <w:t>（1）</w:t>
            </w:r>
            <w:r>
              <w:rPr>
                <w:rFonts w:hint="eastAsia" w:ascii="仿宋_GB2312" w:hAnsi="仿宋" w:eastAsia="仿宋_GB2312" w:cs="Times New Roman"/>
                <w:b/>
                <w:bCs/>
                <w:kern w:val="0"/>
                <w:sz w:val="24"/>
                <w:szCs w:val="20"/>
                <w:highlight w:val="none"/>
              </w:rPr>
              <w:t>在评标时安排每个投标人进行方案讲解演示。每个投标人时间不超过20分钟，讲解次序以</w:t>
            </w:r>
            <w:r>
              <w:rPr>
                <w:rFonts w:hint="eastAsia" w:ascii="仿宋_GB2312" w:hAnsi="仿宋" w:eastAsia="仿宋_GB2312" w:cs="Times New Roman"/>
                <w:b/>
                <w:bCs/>
                <w:kern w:val="0"/>
                <w:sz w:val="24"/>
                <w:szCs w:val="20"/>
                <w:highlight w:val="none"/>
                <w:lang w:val="en-US" w:eastAsia="zh-CN"/>
              </w:rPr>
              <w:t>投标人现场抽签</w:t>
            </w:r>
            <w:r>
              <w:rPr>
                <w:rFonts w:hint="eastAsia" w:ascii="仿宋_GB2312" w:hAnsi="仿宋" w:eastAsia="仿宋_GB2312" w:cs="Times New Roman"/>
                <w:b/>
                <w:bCs/>
                <w:kern w:val="0"/>
                <w:sz w:val="24"/>
                <w:szCs w:val="20"/>
                <w:highlight w:val="none"/>
              </w:rPr>
              <w:t>为准，讲解演示人员</w:t>
            </w:r>
            <w:r>
              <w:rPr>
                <w:rFonts w:hint="eastAsia" w:ascii="仿宋_GB2312" w:hAnsi="仿宋" w:eastAsia="仿宋_GB2312" w:cs="Times New Roman"/>
                <w:b/>
                <w:bCs/>
                <w:kern w:val="0"/>
                <w:sz w:val="24"/>
                <w:szCs w:val="20"/>
                <w:highlight w:val="none"/>
                <w:lang w:val="en-US" w:eastAsia="zh-CN"/>
              </w:rPr>
              <w:t>为1人</w:t>
            </w:r>
            <w:r>
              <w:rPr>
                <w:rFonts w:hint="eastAsia" w:ascii="仿宋_GB2312" w:hAnsi="仿宋" w:eastAsia="仿宋_GB2312" w:cs="Times New Roman"/>
                <w:b/>
                <w:bCs/>
                <w:kern w:val="0"/>
                <w:sz w:val="24"/>
                <w:szCs w:val="20"/>
                <w:highlight w:val="none"/>
              </w:rPr>
              <w:t>。讲解演示结束后按要求解答评标委员会提问。</w:t>
            </w:r>
          </w:p>
          <w:p>
            <w:pPr>
              <w:snapToGrid w:val="0"/>
              <w:spacing w:before="0" w:beforeAutospacing="0" w:after="0" w:afterAutospacing="0" w:line="360" w:lineRule="auto"/>
              <w:ind w:left="0" w:right="0"/>
              <w:rPr>
                <w:rFonts w:hint="eastAsia" w:ascii="仿宋_GB2312" w:hAnsi="仿宋" w:eastAsia="仿宋_GB2312" w:cs="Times New Roman"/>
                <w:b/>
                <w:bCs/>
                <w:kern w:val="0"/>
                <w:sz w:val="24"/>
                <w:szCs w:val="20"/>
                <w:highlight w:val="none"/>
              </w:rPr>
            </w:pPr>
            <w:r>
              <w:rPr>
                <w:rFonts w:hint="eastAsia" w:ascii="仿宋_GB2312" w:hAnsi="仿宋" w:eastAsia="仿宋_GB2312" w:cs="Times New Roman"/>
                <w:b/>
                <w:bCs/>
                <w:kern w:val="0"/>
                <w:sz w:val="24"/>
                <w:szCs w:val="20"/>
                <w:highlight w:val="none"/>
              </w:rPr>
              <w:t>（2）方案讲解演示方式：</w:t>
            </w:r>
          </w:p>
          <w:p>
            <w:pPr>
              <w:snapToGrid w:val="0"/>
              <w:spacing w:before="0" w:beforeAutospacing="0" w:after="0" w:afterAutospacing="0" w:line="360" w:lineRule="auto"/>
              <w:ind w:left="0" w:right="0"/>
              <w:rPr>
                <w:rFonts w:hint="eastAsia" w:ascii="仿宋_GB2312" w:hAnsi="仿宋" w:eastAsia="仿宋_GB2312" w:cs="Times New Roman"/>
                <w:b/>
                <w:bCs/>
                <w:kern w:val="0"/>
                <w:sz w:val="24"/>
                <w:szCs w:val="20"/>
                <w:highlight w:val="none"/>
              </w:rPr>
            </w:pPr>
            <w:r>
              <w:rPr>
                <w:rFonts w:hint="eastAsia" w:ascii="仿宋_GB2312" w:hAnsi="仿宋" w:eastAsia="仿宋_GB2312" w:cs="Times New Roman"/>
                <w:b/>
                <w:bCs/>
                <w:kern w:val="0"/>
                <w:sz w:val="24"/>
                <w:szCs w:val="20"/>
                <w:highlight w:val="none"/>
                <w:lang w:val="en-US" w:eastAsia="zh-CN"/>
              </w:rPr>
              <w:t xml:space="preserve">    </w:t>
            </w:r>
            <w:r>
              <w:rPr>
                <w:rFonts w:hint="eastAsia" w:ascii="仿宋_GB2312" w:hAnsi="仿宋" w:eastAsia="仿宋_GB2312" w:cs="Times New Roman"/>
                <w:b/>
                <w:bCs/>
                <w:color w:val="auto"/>
                <w:kern w:val="0"/>
                <w:sz w:val="24"/>
                <w:szCs w:val="20"/>
                <w:highlight w:val="none"/>
                <w:lang w:val="en-US" w:eastAsia="zh-CN"/>
              </w:rPr>
              <w:t>投标人</w:t>
            </w:r>
            <w:r>
              <w:rPr>
                <w:rFonts w:hint="eastAsia" w:ascii="仿宋_GB2312" w:hAnsi="仿宋" w:eastAsia="仿宋_GB2312" w:cs="Times New Roman"/>
                <w:b/>
                <w:bCs/>
                <w:kern w:val="0"/>
                <w:sz w:val="24"/>
                <w:szCs w:val="20"/>
                <w:highlight w:val="none"/>
              </w:rPr>
              <w:t>现场讲解演示。现场讲解地点为</w:t>
            </w:r>
            <w:r>
              <w:rPr>
                <w:rFonts w:hint="eastAsia" w:ascii="仿宋_GB2312" w:hAnsi="仿宋" w:eastAsia="仿宋_GB2312" w:cs="Times New Roman"/>
                <w:b/>
                <w:bCs/>
                <w:sz w:val="24"/>
                <w:szCs w:val="20"/>
                <w:highlight w:val="none"/>
                <w:u w:val="single"/>
              </w:rPr>
              <w:t xml:space="preserve"> </w:t>
            </w:r>
            <w:r>
              <w:rPr>
                <w:rFonts w:hint="eastAsia" w:ascii="仿宋_GB2312" w:hAnsi="仿宋" w:eastAsia="仿宋_GB2312" w:cs="Times New Roman"/>
                <w:b/>
                <w:bCs/>
                <w:sz w:val="24"/>
                <w:szCs w:val="20"/>
                <w:highlight w:val="none"/>
                <w:u w:val="single"/>
                <w:lang w:val="en-US" w:eastAsia="zh-CN"/>
              </w:rPr>
              <w:t>杭州市临平区星桥街道星星路7号1幢3楼302开标室</w:t>
            </w:r>
            <w:r>
              <w:rPr>
                <w:rFonts w:hint="eastAsia" w:ascii="仿宋_GB2312" w:hAnsi="仿宋" w:eastAsia="仿宋_GB2312" w:cs="Times New Roman"/>
                <w:b/>
                <w:bCs/>
                <w:kern w:val="0"/>
                <w:sz w:val="24"/>
                <w:szCs w:val="20"/>
                <w:highlight w:val="none"/>
              </w:rPr>
              <w:t>，讲解演示所用电脑等设备由投标人自备。现场讲解演示人员进场时提供讲解人员名单（加盖公章）及身份证明，否则不得讲解演示。</w:t>
            </w:r>
          </w:p>
          <w:p>
            <w:pPr>
              <w:snapToGrid w:val="0"/>
              <w:spacing w:before="0" w:beforeAutospacing="0" w:after="0" w:afterAutospacing="0" w:line="360" w:lineRule="auto"/>
              <w:ind w:left="0" w:right="0"/>
              <w:rPr>
                <w:rFonts w:hint="eastAsia" w:ascii="仿宋_GB2312" w:hAnsi="仿宋" w:eastAsia="仿宋_GB2312" w:cs="仿宋_GB2312"/>
                <w:b/>
                <w:kern w:val="0"/>
                <w:sz w:val="24"/>
                <w:szCs w:val="20"/>
                <w:highlight w:val="none"/>
                <w:lang w:val="zh-CN"/>
              </w:rPr>
            </w:pPr>
            <w:r>
              <w:rPr>
                <w:rFonts w:hint="eastAsia" w:ascii="仿宋_GB2312" w:hAnsi="仿宋" w:eastAsia="仿宋_GB2312" w:cs="Times New Roman"/>
                <w:kern w:val="0"/>
                <w:sz w:val="24"/>
                <w:szCs w:val="20"/>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Arial"/>
                <w:kern w:val="0"/>
                <w:sz w:val="24"/>
                <w:szCs w:val="20"/>
                <w:highlight w:val="none"/>
              </w:rPr>
            </w:pPr>
            <w:r>
              <w:rPr>
                <w:rFonts w:hint="eastAsia" w:ascii="仿宋_GB2312" w:hAnsi="仿宋" w:eastAsia="仿宋_GB2312" w:cs="Arial"/>
                <w:kern w:val="0"/>
                <w:sz w:val="24"/>
                <w:szCs w:val="20"/>
                <w:highlight w:val="none"/>
              </w:rPr>
              <w:sym w:font="Wingdings" w:char="F0FE"/>
            </w:r>
            <w:r>
              <w:rPr>
                <w:rFonts w:hint="eastAsia" w:ascii="仿宋_GB2312" w:hAnsi="仿宋" w:eastAsia="仿宋_GB2312" w:cs="Arial"/>
                <w:kern w:val="0"/>
                <w:sz w:val="24"/>
                <w:szCs w:val="20"/>
                <w:highlight w:val="none"/>
              </w:rPr>
              <w:t>本项目不允许采购进口产品。</w:t>
            </w:r>
          </w:p>
          <w:p>
            <w:pPr>
              <w:spacing w:before="0" w:beforeAutospacing="0" w:after="0" w:afterAutospacing="0" w:line="360" w:lineRule="auto"/>
              <w:ind w:left="0" w:right="0"/>
              <w:rPr>
                <w:rFonts w:hint="eastAsia" w:ascii="Times New Roman" w:hAnsi="Times New Roman" w:cs="Times New Roman"/>
                <w:b w:val="0"/>
                <w:bCs w:val="0"/>
                <w:sz w:val="20"/>
                <w:szCs w:val="20"/>
                <w:highlight w:val="none"/>
              </w:rPr>
            </w:pPr>
            <w:r>
              <w:rPr>
                <w:rFonts w:hint="eastAsia" w:ascii="宋体" w:hAnsi="宋体" w:cs="宋体"/>
                <w:kern w:val="0"/>
                <w:sz w:val="24"/>
                <w:szCs w:val="20"/>
                <w:highlight w:val="none"/>
              </w:rPr>
              <w:t>☐</w:t>
            </w:r>
            <w:r>
              <w:rPr>
                <w:rFonts w:hint="eastAsia" w:ascii="仿宋" w:hAnsi="仿宋" w:eastAsia="仿宋" w:cs="仿宋"/>
                <w:kern w:val="0"/>
                <w:sz w:val="24"/>
                <w:szCs w:val="20"/>
                <w:highlight w:val="none"/>
              </w:rPr>
              <w:t>可以就</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lang w:val="en-US" w:eastAsia="zh-CN"/>
              </w:rPr>
              <w:t xml:space="preserve"> </w:t>
            </w:r>
            <w:r>
              <w:rPr>
                <w:rFonts w:hint="eastAsia" w:ascii="仿宋_GB2312" w:hAnsi="仿宋" w:eastAsia="仿宋_GB2312" w:cs="仿宋_GB2312"/>
                <w:sz w:val="24"/>
                <w:szCs w:val="20"/>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MS Gothic" w:hAnsi="MS Gothic" w:eastAsia="MS Gothic" w:cs="Arial"/>
                <w:kern w:val="0"/>
                <w:sz w:val="24"/>
                <w:szCs w:val="20"/>
                <w:highlight w:val="none"/>
              </w:rPr>
              <w:sym w:font="Wingdings" w:char="F0FE"/>
            </w:r>
            <w:r>
              <w:rPr>
                <w:rFonts w:hint="eastAsia" w:ascii="仿宋_GB2312" w:hAnsi="仿宋" w:eastAsia="仿宋_GB2312" w:cs="Arial"/>
                <w:kern w:val="0"/>
                <w:sz w:val="24"/>
                <w:szCs w:val="20"/>
                <w:highlight w:val="none"/>
              </w:rPr>
              <w:t>A</w:t>
            </w:r>
            <w:r>
              <w:rPr>
                <w:rFonts w:hint="eastAsia" w:ascii="仿宋_GB2312" w:hAnsi="仿宋" w:eastAsia="仿宋_GB2312" w:cs="Times New Roman"/>
                <w:sz w:val="24"/>
                <w:szCs w:val="20"/>
                <w:highlight w:val="none"/>
              </w:rPr>
              <w:t>货物类，单一产品或</w:t>
            </w:r>
            <w:r>
              <w:rPr>
                <w:rFonts w:hint="eastAsia" w:ascii="仿宋_GB2312" w:hAnsi="仿宋" w:eastAsia="仿宋_GB2312" w:cs="Times New Roman"/>
                <w:kern w:val="0"/>
                <w:sz w:val="24"/>
                <w:szCs w:val="20"/>
                <w:highlight w:val="none"/>
              </w:rPr>
              <w:t>核心产品为：</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MS Gothic" w:hAnsi="MS Gothic" w:eastAsia="仿宋_GB2312" w:cs="Arial"/>
                <w:kern w:val="0"/>
                <w:sz w:val="24"/>
                <w:szCs w:val="20"/>
                <w:highlight w:val="none"/>
              </w:rPr>
              <w:t>☐</w:t>
            </w:r>
            <w:r>
              <w:rPr>
                <w:rFonts w:hint="eastAsia" w:ascii="仿宋_GB2312" w:hAnsi="仿宋" w:eastAsia="仿宋_GB2312" w:cs="Arial"/>
                <w:kern w:val="0"/>
                <w:sz w:val="24"/>
                <w:szCs w:val="20"/>
                <w:highlight w:val="none"/>
              </w:rPr>
              <w:t>B</w:t>
            </w:r>
            <w:r>
              <w:rPr>
                <w:rFonts w:hint="eastAsia" w:ascii="仿宋_GB2312" w:hAnsi="仿宋" w:eastAsia="仿宋_GB2312" w:cs="Times New Roman"/>
                <w:sz w:val="24"/>
                <w:szCs w:val="20"/>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firstLine="240" w:firstLineChars="100"/>
              <w:jc w:val="both"/>
              <w:rPr>
                <w:rFonts w:hint="eastAsia" w:ascii="仿宋_GB2312" w:hAnsi="仿宋" w:eastAsia="仿宋_GB2312" w:cs="仿宋_GB2312"/>
                <w:sz w:val="24"/>
                <w:szCs w:val="20"/>
              </w:rPr>
            </w:pPr>
            <w:r>
              <w:rPr>
                <w:rFonts w:hint="eastAsia" w:ascii="仿宋_GB2312" w:hAnsi="仿宋" w:eastAsia="仿宋_GB2312" w:cs="仿宋_GB2312"/>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仿宋_GB2312" w:hAnsi="仿宋" w:eastAsia="仿宋_GB2312" w:cs="Arial"/>
                <w:kern w:val="0"/>
                <w:sz w:val="24"/>
                <w:szCs w:val="20"/>
                <w:highlight w:val="none"/>
              </w:rPr>
            </w:pPr>
            <w:r>
              <w:rPr>
                <w:rFonts w:hint="eastAsia" w:ascii="仿宋_GB2312" w:hAnsi="仿宋" w:eastAsia="仿宋_GB2312" w:cs="Arial"/>
                <w:kern w:val="0"/>
                <w:sz w:val="24"/>
                <w:szCs w:val="20"/>
                <w:highlight w:val="none"/>
              </w:rPr>
              <w:t>（1）</w:t>
            </w:r>
            <w:r>
              <w:rPr>
                <w:rFonts w:hint="eastAsia" w:ascii="仿宋" w:eastAsia="仿宋" w:cs="仿宋"/>
                <w:sz w:val="24"/>
              </w:rPr>
              <w:t>标的：</w:t>
            </w:r>
            <w:r>
              <w:rPr>
                <w:rFonts w:hint="eastAsia" w:ascii="仿宋" w:eastAsia="仿宋" w:cs="仿宋"/>
                <w:sz w:val="24"/>
                <w:u w:val="single"/>
                <w:lang w:val="en-US"/>
              </w:rPr>
              <w:t>智能化设备</w:t>
            </w:r>
            <w:r>
              <w:rPr>
                <w:rFonts w:hint="eastAsia" w:ascii="仿宋" w:eastAsia="仿宋" w:cs="仿宋"/>
                <w:sz w:val="24"/>
              </w:rPr>
              <w:t xml:space="preserve"> ，属于</w:t>
            </w:r>
            <w:r>
              <w:rPr>
                <w:rFonts w:hint="eastAsia" w:ascii="仿宋" w:eastAsia="仿宋" w:cs="仿宋"/>
                <w:sz w:val="24"/>
                <w:lang w:val="en-US"/>
              </w:rPr>
              <w:t>其他</w:t>
            </w:r>
            <w:r>
              <w:rPr>
                <w:rFonts w:hint="eastAsia" w:ascii="仿宋" w:eastAsia="仿宋" w:cs="仿宋"/>
                <w:sz w:val="24"/>
                <w:u w:val="single"/>
                <w:lang w:val="en-US"/>
              </w:rPr>
              <w:t>未列明行业</w:t>
            </w:r>
          </w:p>
          <w:p>
            <w:pPr>
              <w:pStyle w:val="2"/>
              <w:spacing w:before="0" w:beforeAutospacing="0" w:after="0" w:afterAutospacing="0"/>
              <w:ind w:right="0"/>
              <w:rPr>
                <w:rFonts w:hint="eastAsia" w:ascii="Times New Roman" w:hAnsi="Times New Roman" w:cs="Times New Roman"/>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firstLine="240" w:firstLineChars="100"/>
              <w:jc w:val="both"/>
              <w:rPr>
                <w:rFonts w:hint="eastAsia" w:ascii="仿宋_GB2312" w:hAnsi="仿宋" w:eastAsia="仿宋_GB2312" w:cs="仿宋_GB2312"/>
                <w:sz w:val="24"/>
                <w:szCs w:val="20"/>
              </w:rPr>
            </w:pPr>
            <w:r>
              <w:rPr>
                <w:rFonts w:hint="eastAsia" w:ascii="仿宋_GB2312" w:hAnsi="仿宋" w:eastAsia="仿宋_GB2312" w:cs="仿宋_GB2312"/>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Times New Roman" w:hAnsi="Times New Roman" w:eastAsia="仿宋" w:cs="Times New Roman"/>
                <w:sz w:val="20"/>
                <w:szCs w:val="20"/>
                <w:highlight w:val="none"/>
              </w:rPr>
            </w:pPr>
            <w:r>
              <w:rPr>
                <w:rFonts w:hint="eastAsia" w:ascii="仿宋_GB2312" w:hAnsi="仿宋" w:eastAsia="仿宋_GB2312" w:cs="Arial"/>
                <w:kern w:val="0"/>
                <w:sz w:val="24"/>
                <w:szCs w:val="20"/>
                <w:highlight w:val="none"/>
                <w:lang w:val="en-US" w:eastAsia="zh-CN"/>
              </w:rPr>
              <w:t xml:space="preserve">    </w:t>
            </w:r>
            <w:r>
              <w:rPr>
                <w:rFonts w:hint="eastAsia" w:ascii="仿宋_GB2312" w:hAnsi="仿宋" w:eastAsia="仿宋_GB2312" w:cs="Arial"/>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_GB2312" w:hAnsi="仿宋" w:eastAsia="仿宋_GB2312" w:cs="Times New Roman"/>
                <w:sz w:val="24"/>
                <w:szCs w:val="20"/>
              </w:rPr>
            </w:pPr>
            <w:r>
              <w:rPr>
                <w:rFonts w:hint="eastAsia" w:ascii="仿宋_GB2312" w:hAnsi="仿宋" w:eastAsia="仿宋_GB2312" w:cs="Times New Roman"/>
                <w:snapToGrid w:val="0"/>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before="0" w:beforeAutospacing="0" w:after="0" w:afterAutospacing="0" w:line="360" w:lineRule="auto"/>
              <w:ind w:left="0" w:right="0" w:firstLine="420" w:firstLineChars="200"/>
              <w:rPr>
                <w:rFonts w:hint="eastAsia"/>
              </w:rPr>
            </w:pPr>
          </w:p>
        </w:tc>
        <w:tc>
          <w:tcPr>
            <w:tcW w:w="1843" w:type="dxa"/>
            <w:vMerge w:val="continue"/>
            <w:tcBorders>
              <w:left w:val="single" w:color="000000" w:sz="2" w:space="0"/>
              <w:right w:val="single" w:color="000000" w:sz="8" w:space="0"/>
            </w:tcBorders>
            <w:vAlign w:val="center"/>
          </w:tcPr>
          <w:p>
            <w:pPr>
              <w:spacing w:before="0" w:beforeAutospacing="0" w:after="0" w:afterAutospacing="0" w:line="360" w:lineRule="auto"/>
              <w:ind w:left="0" w:right="0" w:firstLine="420" w:firstLineChars="200"/>
              <w:rPr>
                <w:rFonts w:hint="eastAsia"/>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_GB2312" w:hAnsi="仿宋" w:eastAsia="仿宋_GB2312" w:cs="Times New Roman"/>
                <w:snapToGrid w:val="0"/>
                <w:kern w:val="28"/>
                <w:sz w:val="24"/>
                <w:szCs w:val="20"/>
              </w:rPr>
            </w:pPr>
            <w:r>
              <w:rPr>
                <w:rFonts w:hint="eastAsia" w:ascii="仿宋_GB2312" w:hAnsi="仿宋" w:eastAsia="仿宋_GB2312" w:cs="Times New Roman"/>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0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before="0" w:beforeAutospacing="0" w:after="0" w:afterAutospacing="0" w:line="360" w:lineRule="auto"/>
              <w:ind w:left="0" w:right="0"/>
              <w:rPr>
                <w:rFonts w:hint="eastAsia" w:ascii="仿宋_GB2312" w:hAnsi="仿宋" w:eastAsia="仿宋_GB2312" w:cs="仿宋_GB2312"/>
                <w:b/>
                <w:sz w:val="24"/>
                <w:szCs w:val="24"/>
              </w:rPr>
            </w:pPr>
            <w:r>
              <w:rPr>
                <w:rFonts w:hint="eastAsia" w:ascii="仿宋_GB2312" w:hAnsi="仿宋" w:eastAsia="仿宋_GB2312" w:cs="Times New Roman"/>
                <w:b/>
                <w:bCs/>
                <w:kern w:val="28"/>
                <w:sz w:val="24"/>
                <w:szCs w:val="24"/>
                <w:highlight w:val="none"/>
              </w:rPr>
              <w:t>备份投标文件送达地点：</w:t>
            </w:r>
            <w:r>
              <w:rPr>
                <w:rFonts w:hint="default" w:ascii="仿宋_GB2312" w:hAnsi="仿宋" w:eastAsia="仿宋_GB2312" w:cs="Times New Roman"/>
                <w:b/>
                <w:bCs/>
                <w:color w:val="auto"/>
                <w:sz w:val="24"/>
                <w:szCs w:val="20"/>
                <w:highlight w:val="none"/>
              </w:rPr>
              <w:t>杭州市</w:t>
            </w:r>
            <w:r>
              <w:rPr>
                <w:rFonts w:hint="eastAsia" w:ascii="仿宋_GB2312" w:hAnsi="仿宋" w:eastAsia="仿宋_GB2312" w:cs="Times New Roman"/>
                <w:b/>
                <w:bCs/>
                <w:color w:val="auto"/>
                <w:sz w:val="24"/>
                <w:szCs w:val="20"/>
                <w:highlight w:val="none"/>
                <w:lang w:val="en-US" w:eastAsia="zh-CN"/>
              </w:rPr>
              <w:t>星桥街道星星路7号1幢3楼306室，</w:t>
            </w:r>
            <w:r>
              <w:rPr>
                <w:rFonts w:hint="eastAsia" w:ascii="仿宋_GB2312" w:hAnsi="仿宋" w:eastAsia="仿宋_GB2312" w:cs="仿宋_GB2312"/>
                <w:b/>
                <w:bCs/>
                <w:sz w:val="24"/>
                <w:szCs w:val="24"/>
                <w:highlight w:val="none"/>
              </w:rPr>
              <w:t>采购人、采购机构不强制或变相强制投标人</w:t>
            </w:r>
            <w:r>
              <w:rPr>
                <w:rFonts w:hint="eastAsia" w:ascii="仿宋_GB2312" w:hAnsi="仿宋" w:eastAsia="仿宋_GB2312" w:cs="仿宋_GB2312"/>
                <w:b/>
                <w:sz w:val="24"/>
                <w:szCs w:val="24"/>
              </w:rPr>
              <w:t>提交备份投标文件。</w:t>
            </w:r>
          </w:p>
          <w:p>
            <w:pPr>
              <w:spacing w:before="0" w:beforeAutospacing="0" w:after="0" w:afterAutospacing="0" w:line="360" w:lineRule="auto"/>
              <w:ind w:left="0" w:right="0" w:firstLine="482" w:firstLineChars="20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投标人递交备份投标文件出现下列情况之一的，将被拒收：</w:t>
            </w:r>
          </w:p>
          <w:p>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1、未按规定密封或标记的投标文件；</w:t>
            </w:r>
          </w:p>
          <w:p>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2、由于包装不妥，在送交途中严重破损或失散的；</w:t>
            </w:r>
          </w:p>
          <w:p>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3、未成功获取招标文件的；</w:t>
            </w:r>
          </w:p>
          <w:p>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4、超过投标截止时间送达的；</w:t>
            </w:r>
          </w:p>
          <w:p>
            <w:pPr>
              <w:pStyle w:val="34"/>
              <w:spacing w:before="0" w:beforeAutospacing="0" w:after="0" w:afterAutospacing="0" w:line="360" w:lineRule="auto"/>
              <w:ind w:left="0" w:right="0"/>
              <w:rPr>
                <w:rFonts w:hint="eastAsia" w:ascii="仿宋_GB2312" w:hAnsi="仿宋" w:eastAsia="仿宋_GB2312" w:cs="仿宋_GB2312"/>
                <w:b/>
                <w:sz w:val="24"/>
                <w:szCs w:val="24"/>
              </w:rPr>
            </w:pPr>
            <w:r>
              <w:rPr>
                <w:rFonts w:hint="eastAsia" w:ascii="仿宋_GB2312" w:hAnsi="仿宋" w:eastAsia="仿宋_GB2312" w:cs="Times New Roman"/>
                <w:b/>
                <w:bCs/>
                <w:snapToGrid w:val="0"/>
                <w:color w:val="auto"/>
                <w:kern w:val="2"/>
                <w:sz w:val="24"/>
                <w:szCs w:val="20"/>
                <w:highlight w:val="none"/>
                <w:lang w:val="en-US" w:eastAsia="zh-CN" w:bidi="ar-SA"/>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9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kern w:val="2"/>
                <w:sz w:val="24"/>
                <w:szCs w:val="24"/>
                <w:lang w:val="en-US" w:eastAsia="zh-CN" w:bidi="ar-SA"/>
              </w:rPr>
            </w:pPr>
            <w:r>
              <w:rPr>
                <w:rFonts w:hint="eastAsia"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kern w:val="2"/>
                <w:sz w:val="24"/>
                <w:szCs w:val="24"/>
                <w:lang w:val="en-US" w:eastAsia="zh-CN" w:bidi="ar-SA"/>
              </w:rPr>
            </w:pPr>
            <w:r>
              <w:rPr>
                <w:rFonts w:hint="eastAsia" w:ascii="仿宋_GB2312" w:hAnsi="仿宋" w:eastAsia="仿宋_GB2312" w:cs="仿宋_GB2312"/>
                <w:b/>
                <w:sz w:val="24"/>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jc w:val="left"/>
              <w:rPr>
                <w:rFonts w:hint="eastAsia" w:ascii="仿宋_GB2312" w:hAnsi="仿宋" w:eastAsia="仿宋_GB2312"/>
                <w:snapToGrid w:val="0"/>
                <w:kern w:val="28"/>
                <w:sz w:val="24"/>
              </w:rPr>
            </w:pPr>
            <w:r>
              <w:rPr>
                <w:rFonts w:hint="eastAsia" w:ascii="仿宋_GB2312" w:hAnsi="仿宋" w:eastAsia="仿宋_GB2312"/>
                <w:snapToGrid w:val="0"/>
                <w:kern w:val="28"/>
                <w:sz w:val="24"/>
              </w:rPr>
              <w:t>本次代理服务费由</w:t>
            </w:r>
            <w:r>
              <w:rPr>
                <w:rFonts w:hint="eastAsia" w:ascii="仿宋_GB2312" w:hAnsi="仿宋" w:eastAsia="仿宋_GB2312"/>
                <w:snapToGrid w:val="0"/>
                <w:kern w:val="28"/>
                <w:sz w:val="24"/>
                <w:lang w:val="en-US" w:eastAsia="zh-CN"/>
              </w:rPr>
              <w:t>采购</w:t>
            </w:r>
            <w:r>
              <w:rPr>
                <w:rFonts w:hint="eastAsia" w:ascii="仿宋_GB2312" w:hAnsi="仿宋" w:eastAsia="仿宋_GB2312"/>
                <w:snapToGrid w:val="0"/>
                <w:kern w:val="28"/>
                <w:sz w:val="24"/>
              </w:rPr>
              <w:t>人支付，招标代理费为人民币</w:t>
            </w:r>
          </w:p>
          <w:p>
            <w:pPr>
              <w:spacing w:before="0" w:beforeAutospacing="0" w:after="0" w:afterAutospacing="0" w:line="360" w:lineRule="auto"/>
              <w:ind w:left="0" w:right="0" w:firstLine="0" w:firstLineChars="0"/>
              <w:jc w:val="left"/>
              <w:rPr>
                <w:rFonts w:hint="eastAsia" w:ascii="仿宋_GB2312" w:hAnsi="仿宋" w:eastAsia="仿宋_GB2312"/>
                <w:snapToGrid w:val="0"/>
                <w:kern w:val="28"/>
                <w:sz w:val="24"/>
              </w:rPr>
            </w:pPr>
            <w:r>
              <w:rPr>
                <w:rFonts w:hint="eastAsia" w:ascii="仿宋_GB2312" w:hAnsi="仿宋" w:eastAsia="仿宋_GB2312"/>
                <w:snapToGrid w:val="0"/>
                <w:kern w:val="28"/>
                <w:sz w:val="24"/>
                <w:lang w:val="en-US" w:eastAsia="zh-CN"/>
              </w:rPr>
              <w:t>76100</w:t>
            </w:r>
            <w:r>
              <w:rPr>
                <w:rFonts w:hint="eastAsia" w:ascii="仿宋_GB2312" w:hAnsi="仿宋" w:eastAsia="仿宋_GB2312"/>
                <w:snapToGrid w:val="0"/>
                <w:kern w:val="28"/>
                <w:sz w:val="24"/>
              </w:rPr>
              <w:t>元整。</w:t>
            </w:r>
          </w:p>
          <w:p>
            <w:pPr>
              <w:spacing w:before="0" w:beforeAutospacing="0" w:after="0" w:afterAutospacing="0" w:line="360" w:lineRule="auto"/>
              <w:ind w:left="0" w:right="0" w:firstLine="480" w:firstLineChars="200"/>
              <w:rPr>
                <w:rFonts w:hint="eastAsia" w:ascii="仿宋_GB2312" w:hAnsi="仿宋" w:eastAsia="仿宋_GB2312" w:cs="Times New Roman"/>
                <w:snapToGrid w:val="0"/>
                <w:kern w:val="28"/>
                <w:sz w:val="24"/>
                <w:szCs w:val="24"/>
                <w:lang w:val="en-US" w:eastAsia="zh-CN" w:bidi="ar-SA"/>
              </w:rPr>
            </w:pPr>
            <w:r>
              <w:rPr>
                <w:rFonts w:hint="eastAsia" w:ascii="仿宋_GB2312" w:hAnsi="仿宋" w:eastAsia="仿宋_GB2312"/>
                <w:snapToGrid w:val="0"/>
                <w:kern w:val="28"/>
                <w:sz w:val="24"/>
              </w:rPr>
              <w:t>中标服务费的交纳方式：以转帐或支票的形式支付；开户行名称：杭州余杭农村商业银行星桥支行；帐号：201000296228332；开户名：杭州尚远招标代理有限公司</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before="0" w:beforeAutospacing="0" w:after="0" w:afterAutospacing="0"/>
              <w:ind w:left="0" w:right="0"/>
              <w:jc w:val="center"/>
              <w:rPr>
                <w:rFonts w:hint="eastAsia" w:ascii="仿宋_GB2312" w:hAnsi="仿宋" w:eastAsia="宋体" w:cs="仿宋_GB2312"/>
                <w:sz w:val="24"/>
                <w:lang w:eastAsia="zh-CN"/>
              </w:rPr>
            </w:pPr>
            <w:r>
              <w:rPr>
                <w:rFonts w:hint="eastAsia"/>
                <w:sz w:val="24"/>
              </w:rPr>
              <w:t>1</w:t>
            </w:r>
            <w:r>
              <w:rPr>
                <w:rFonts w:hint="eastAsia"/>
                <w:sz w:val="24"/>
                <w:lang w:val="en-US" w:eastAsia="zh-CN"/>
              </w:rPr>
              <w:t>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jc w:val="left"/>
              <w:rPr>
                <w:rFonts w:hint="eastAsia" w:ascii="仿宋_GB2312" w:hAnsi="仿宋" w:eastAsia="仿宋_GB2312"/>
                <w:snapToGrid w:val="0"/>
                <w:kern w:val="28"/>
                <w:sz w:val="24"/>
              </w:rPr>
            </w:pPr>
            <w:r>
              <w:rPr>
                <w:rFonts w:hint="eastAsia" w:ascii="仿宋_GB2312" w:hAnsi="仿宋" w:eastAsia="仿宋_GB2312"/>
                <w:snapToGrid w:val="0"/>
                <w:kern w:val="28"/>
                <w:sz w:val="24"/>
              </w:rPr>
              <w:t>各中标单位在中标公示结束后再递交与电子加密投标文件内容一致的书面响应文件（正本一份，副本四份）。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before="0" w:beforeAutospacing="0" w:after="0" w:afterAutospacing="0"/>
              <w:ind w:left="0" w:right="0"/>
              <w:jc w:val="center"/>
              <w:rPr>
                <w:rFonts w:hint="default" w:ascii="仿宋_GB2312" w:hAnsi="仿宋" w:eastAsia="仿宋_GB2312" w:cs="仿宋_GB2312"/>
                <w:sz w:val="24"/>
                <w:lang w:val="en-US" w:eastAsia="zh-CN"/>
              </w:rPr>
            </w:pPr>
            <w:r>
              <w:rPr>
                <w:rFonts w:hint="eastAsia" w:eastAsia="仿宋_GB2312"/>
                <w:sz w:val="24"/>
                <w:lang w:val="en-US" w:eastAsia="zh-CN"/>
              </w:rPr>
              <w:t>15</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jc w:val="left"/>
              <w:rPr>
                <w:rFonts w:hint="eastAsia" w:ascii="仿宋_GB2312" w:hAnsi="仿宋" w:eastAsia="仿宋_GB2312"/>
                <w:snapToGrid w:val="0"/>
                <w:kern w:val="28"/>
                <w:sz w:val="24"/>
              </w:rPr>
            </w:pPr>
            <w:r>
              <w:rPr>
                <w:rFonts w:hint="eastAsia" w:ascii="仿宋_GB2312" w:hAnsi="仿宋" w:eastAsia="仿宋_GB2312"/>
                <w:snapToGrid w:val="0"/>
                <w:kern w:val="28"/>
                <w:sz w:val="24"/>
              </w:rPr>
              <w:t>采购文件中带“●”条款为招标文件要求的实质性内容，投标人须在投标文件中提供《符合性审查资料》（格式见第六部分  应提交的有关格式范例），如有任意一条未响应或不满足，将被视为无效。</w:t>
            </w:r>
          </w:p>
          <w:p>
            <w:pPr>
              <w:spacing w:before="0" w:beforeAutospacing="0" w:after="0" w:afterAutospacing="0" w:line="360" w:lineRule="auto"/>
              <w:ind w:left="0" w:right="0" w:firstLine="480" w:firstLineChars="200"/>
              <w:jc w:val="left"/>
              <w:rPr>
                <w:rFonts w:hint="eastAsia" w:ascii="仿宋_GB2312" w:hAnsi="仿宋" w:eastAsia="仿宋_GB2312"/>
                <w:snapToGrid w:val="0"/>
                <w:kern w:val="2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lang w:val="en-US" w:eastAsia="zh-CN"/>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lang w:val="en-US" w:eastAsia="zh-CN"/>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lang w:val="en-US" w:eastAsia="zh-CN"/>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lang w:val="en-US" w:eastAsia="zh-CN"/>
              </w:rPr>
            </w:pPr>
          </w:p>
          <w:p>
            <w:pPr>
              <w:snapToGrid w:val="0"/>
              <w:spacing w:before="0" w:beforeAutospacing="0" w:after="0" w:afterAutospacing="0" w:line="360" w:lineRule="auto"/>
              <w:ind w:left="0" w:right="0" w:firstLine="240" w:firstLineChars="100"/>
              <w:jc w:val="both"/>
              <w:rPr>
                <w:rFonts w:hint="default" w:ascii="仿宋_GB2312" w:hAnsi="仿宋" w:eastAsia="仿宋_GB2312" w:cs="仿宋_GB2312"/>
                <w:sz w:val="24"/>
                <w:szCs w:val="20"/>
                <w:lang w:val="en-US" w:eastAsia="zh-CN"/>
              </w:rPr>
            </w:pPr>
            <w:r>
              <w:rPr>
                <w:rFonts w:hint="eastAsia" w:ascii="仿宋_GB2312" w:hAnsi="仿宋" w:eastAsia="仿宋_GB2312" w:cs="仿宋_GB2312"/>
                <w:sz w:val="24"/>
                <w:szCs w:val="20"/>
                <w:lang w:val="en-US" w:eastAsia="zh-CN"/>
              </w:rPr>
              <w:t>16</w:t>
            </w:r>
          </w:p>
        </w:tc>
        <w:tc>
          <w:tcPr>
            <w:tcW w:w="1843"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continue"/>
            <w:tcBorders>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☐联合体投标的，联合体各方均需按招标文件第四部分评标标准要求提供资信证明文件，否则视为不符合要求。</w:t>
            </w:r>
          </w:p>
          <w:p>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sym w:font="Wingdings" w:char="F0FE"/>
            </w:r>
            <w:r>
              <w:rPr>
                <w:rFonts w:hint="eastAsia" w:ascii="仿宋_GB2312" w:hAnsi="仿宋" w:eastAsia="仿宋_GB2312" w:cs="Times New Roman"/>
                <w:snapToGrid w:val="0"/>
                <w:kern w:val="28"/>
                <w:sz w:val="24"/>
              </w:rPr>
              <w:t>联合体投标的，联合体中有一方或者联合体成员根据分工按招标文件第四部分评标标准要求提供资信证明文件</w:t>
            </w:r>
            <w:r>
              <w:rPr>
                <w:rFonts w:hint="eastAsia" w:ascii="仿宋_GB2312" w:hAnsi="仿宋" w:eastAsia="仿宋_GB2312" w:cs="Times New Roman"/>
                <w:snapToGrid w:val="0"/>
                <w:color w:val="auto"/>
                <w:kern w:val="28"/>
                <w:sz w:val="24"/>
              </w:rPr>
              <w:t>的，视为符合要求。</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hint="eastAsia" w:ascii="仿宋_GB2312" w:hAnsi="仿宋" w:eastAsia="仿宋_GB2312" w:cs="仿宋_GB2312"/>
          <w:b/>
          <w:sz w:val="32"/>
          <w:szCs w:val="20"/>
        </w:rPr>
      </w:pPr>
      <w:bookmarkStart w:id="11" w:name="第三部分"/>
      <w:bookmarkStart w:id="12" w:name="_Toc164416483"/>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highlight w:val="none"/>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hint="eastAsia" w:ascii="仿宋_GB2312" w:hAnsi="仿宋" w:eastAsia="仿宋_GB2312"/>
          <w:b/>
          <w:sz w:val="24"/>
          <w:lang w:val="en-US" w:eastAsia="zh-CN"/>
        </w:rPr>
        <w:t xml:space="preserve">  </w:t>
      </w: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highlight w:val="none"/>
        </w:rPr>
      </w:pPr>
      <w:r>
        <w:rPr>
          <w:rFonts w:hint="eastAsia" w:ascii="仿宋_GB2312" w:hAnsi="仿宋" w:eastAsia="仿宋_GB2312"/>
          <w:sz w:val="24"/>
          <w:lang w:val="en-US" w:eastAsia="zh-CN"/>
        </w:rPr>
        <w:t xml:space="preserve">  </w:t>
      </w: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_GB2312" w:hAnsi="仿宋" w:eastAsia="仿宋_GB2312"/>
          <w:sz w:val="24"/>
        </w:rPr>
      </w:pPr>
      <w:r>
        <w:rPr>
          <w:rFonts w:hint="eastAsia" w:ascii="仿宋_GB2312" w:hAnsi="仿宋" w:eastAsia="仿宋_GB2312"/>
          <w:sz w:val="24"/>
          <w:lang w:val="en-US" w:eastAsia="zh-CN"/>
        </w:rPr>
        <w:t xml:space="preserve"> </w:t>
      </w: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highlight w:val="none"/>
        </w:rPr>
      </w:pPr>
      <w:r>
        <w:rPr>
          <w:rFonts w:ascii="仿宋_GB2312" w:hAnsi="仿宋" w:eastAsia="仿宋_GB2312"/>
          <w:sz w:val="24"/>
        </w:rPr>
        <w:t>3.2.1</w:t>
      </w:r>
      <w:r>
        <w:rPr>
          <w:rFonts w:ascii="仿宋_GB2312" w:hAnsi="仿宋" w:eastAsia="仿宋_GB2312"/>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w:t>
      </w:r>
      <w:r>
        <w:rPr>
          <w:rFonts w:hint="eastAsia" w:ascii="仿宋_GB2312" w:hAnsi="仿宋" w:eastAsia="仿宋_GB2312"/>
          <w:sz w:val="24"/>
          <w:highlight w:val="none"/>
        </w:rPr>
        <w:t>未预留份</w:t>
      </w:r>
      <w:r>
        <w:rPr>
          <w:rFonts w:hint="eastAsia" w:ascii="仿宋_GB2312" w:hAnsi="仿宋" w:eastAsia="仿宋_GB2312"/>
          <w:sz w:val="24"/>
        </w:rPr>
        <w:t>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highlight w:val="none"/>
          <w:lang w:val="en-US" w:eastAsia="zh-CN"/>
        </w:rPr>
        <w:t>20</w:t>
      </w:r>
      <w:r>
        <w:rPr>
          <w:rFonts w:ascii="仿宋_GB2312" w:hAnsi="仿宋" w:eastAsia="仿宋_GB2312"/>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sz w:val="24"/>
          <w:highlight w:val="none"/>
        </w:rPr>
        <w:t>政府</w:t>
      </w:r>
      <w:r>
        <w:rPr>
          <w:rFonts w:ascii="仿宋_GB2312" w:hAnsi="仿宋" w:eastAsia="仿宋_GB2312"/>
          <w:sz w:val="24"/>
          <w:highlight w:val="none"/>
        </w:rPr>
        <w:t>采购</w:t>
      </w:r>
      <w:r>
        <w:rPr>
          <w:rFonts w:hint="eastAsia" w:ascii="仿宋_GB2312" w:hAnsi="仿宋" w:eastAsia="仿宋_GB2312"/>
          <w:sz w:val="24"/>
          <w:highlight w:val="none"/>
        </w:rPr>
        <w:t>货物或服务</w:t>
      </w:r>
      <w:r>
        <w:rPr>
          <w:rFonts w:ascii="仿宋_GB2312" w:hAnsi="仿宋" w:eastAsia="仿宋_GB2312"/>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sz w:val="24"/>
          <w:highlight w:val="none"/>
          <w:lang w:val="en-US" w:eastAsia="zh-CN"/>
        </w:rPr>
        <w:t>6</w:t>
      </w:r>
      <w:r>
        <w:rPr>
          <w:rFonts w:ascii="仿宋_GB2312" w:hAnsi="仿宋" w:eastAsia="仿宋_GB2312"/>
          <w:sz w:val="24"/>
          <w:highlight w:val="none"/>
        </w:rPr>
        <w:t>%的扣除，用扣除后的价格参加评审。组成联合体或者接受分包</w:t>
      </w:r>
      <w:r>
        <w:rPr>
          <w:rFonts w:ascii="仿宋_GB2312" w:hAnsi="仿宋" w:eastAsia="仿宋_GB2312"/>
          <w:sz w:val="24"/>
        </w:rPr>
        <w:t>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2" w:firstLineChars="200"/>
        <w:rPr>
          <w:rFonts w:ascii="仿宋_GB2312" w:hAnsi="仿宋" w:eastAsia="仿宋_GB2312"/>
          <w:b/>
          <w:bCs/>
          <w:sz w:val="24"/>
          <w:highlight w:val="none"/>
        </w:rPr>
      </w:pPr>
      <w:r>
        <w:rPr>
          <w:rFonts w:ascii="仿宋_GB2312" w:hAnsi="仿宋" w:eastAsia="仿宋_GB2312"/>
          <w:b/>
          <w:bCs/>
          <w:sz w:val="24"/>
          <w:highlight w:val="none"/>
        </w:rPr>
        <w:t>3.4.2首台套产品</w:t>
      </w:r>
      <w:r>
        <w:rPr>
          <w:rFonts w:hint="eastAsia" w:ascii="仿宋_GB2312" w:hAnsi="仿宋" w:eastAsia="仿宋_GB2312"/>
          <w:b/>
          <w:bCs/>
          <w:sz w:val="24"/>
          <w:highlight w:val="none"/>
        </w:rPr>
        <w:t>被纳入《首台套产品推广应用指导目录》之日起</w:t>
      </w:r>
      <w:r>
        <w:rPr>
          <w:rFonts w:ascii="仿宋_GB2312" w:hAnsi="仿宋" w:eastAsia="仿宋_GB2312"/>
          <w:b/>
          <w:bCs/>
          <w:sz w:val="24"/>
          <w:highlight w:val="none"/>
        </w:rPr>
        <w:t>2年内，以及产品核心技术高于国内领先水平，并具有明晰自主知识产权的“制造精品”产品，</w:t>
      </w:r>
      <w:r>
        <w:rPr>
          <w:rFonts w:hint="eastAsia" w:ascii="仿宋_GB2312" w:hAnsi="仿宋" w:eastAsia="仿宋_GB2312"/>
          <w:b/>
          <w:bCs/>
          <w:sz w:val="24"/>
          <w:highlight w:val="none"/>
        </w:rPr>
        <w:t>自认定之日起</w:t>
      </w:r>
      <w:r>
        <w:rPr>
          <w:rFonts w:ascii="仿宋_GB2312" w:hAnsi="仿宋" w:eastAsia="仿宋_GB2312"/>
          <w:b/>
          <w:bCs/>
          <w:sz w:val="24"/>
          <w:highlight w:val="none"/>
        </w:rPr>
        <w:t>2年内视同已具备相应销售业绩，参加政府采购活动</w:t>
      </w:r>
      <w:r>
        <w:rPr>
          <w:rFonts w:hint="eastAsia" w:ascii="仿宋_GB2312" w:hAnsi="仿宋" w:eastAsia="仿宋_GB2312"/>
          <w:b/>
          <w:bCs/>
          <w:sz w:val="24"/>
          <w:highlight w:val="none"/>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4"/>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lang w:val="en-US" w:eastAsia="zh-CN"/>
        </w:rPr>
        <w:t xml:space="preserve"> </w:t>
      </w: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lang w:val="en-US" w:eastAsia="zh-CN"/>
        </w:rPr>
        <w:t xml:space="preserve"> </w:t>
      </w: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5"/>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4.3.3供应</w:t>
      </w:r>
      <w:r>
        <w:rPr>
          <w:rFonts w:hint="eastAsia" w:ascii="仿宋_GB2312" w:hAnsi="仿宋" w:eastAsia="仿宋_GB2312"/>
        </w:rPr>
        <w:t>商投诉应当有明确的请求和必要的证明材料。</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w:t>
      </w:r>
      <w:r>
        <w:rPr>
          <w:rFonts w:hint="eastAsia" w:ascii="仿宋_GB2312" w:hAnsi="仿宋" w:eastAsia="仿宋_GB2312"/>
          <w:lang w:val="en-US" w:eastAsia="zh-CN"/>
        </w:rPr>
        <w:t>4</w:t>
      </w:r>
      <w:r>
        <w:rPr>
          <w:rFonts w:ascii="仿宋_GB2312" w:hAnsi="仿宋" w:eastAsia="仿宋_GB2312"/>
        </w:rPr>
        <w:t xml:space="preserve"> </w:t>
      </w:r>
      <w:r>
        <w:rPr>
          <w:rFonts w:hint="eastAsia" w:ascii="仿宋_GB2312" w:hAnsi="仿宋" w:eastAsia="仿宋_GB2312"/>
        </w:rPr>
        <w:t>以联合体形式参加政府采购活动的，其投诉应当由组成联合体的所有供应商共同提出。</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8"/>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8"/>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8"/>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4"/>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1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left="0" w:leftChars="0" w:firstLine="960" w:firstLineChars="400"/>
        <w:rPr>
          <w:rFonts w:hint="default" w:ascii="仿宋_GB2312" w:hAnsi="仿宋" w:eastAsia="仿宋_GB2312" w:cs="仿宋_GB2312"/>
          <w:sz w:val="24"/>
          <w:lang w:val="en-US" w:eastAsia="zh-CN"/>
        </w:rPr>
      </w:pPr>
      <w:r>
        <w:rPr>
          <w:rFonts w:hint="default" w:ascii="仿宋_GB2312" w:hAnsi="仿宋" w:eastAsia="仿宋_GB2312" w:cs="仿宋_GB2312"/>
          <w:color w:val="auto"/>
          <w:sz w:val="24"/>
          <w:highlight w:val="none"/>
        </w:rPr>
        <w:t>11.2.7投标标的清单；</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lang w:val="en-US" w:eastAsia="zh-CN"/>
        </w:rPr>
        <w:t>8</w:t>
      </w:r>
      <w:r>
        <w:rPr>
          <w:rFonts w:ascii="仿宋_GB2312" w:hAnsi="仿宋" w:eastAsia="仿宋_GB2312" w:cs="仿宋_GB2312"/>
          <w:sz w:val="24"/>
        </w:rPr>
        <w:t>商务技术偏离表；</w:t>
      </w:r>
    </w:p>
    <w:p>
      <w:pPr>
        <w:snapToGrid w:val="0"/>
        <w:spacing w:line="360" w:lineRule="auto"/>
        <w:ind w:firstLine="960" w:firstLineChars="400"/>
        <w:rPr>
          <w:rFonts w:hint="default"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9</w:t>
      </w:r>
      <w:r>
        <w:rPr>
          <w:rFonts w:hint="default" w:ascii="仿宋_GB2312" w:hAnsi="仿宋" w:eastAsia="仿宋_GB2312" w:cs="仿宋_GB2312"/>
          <w:sz w:val="24"/>
          <w:lang w:val="zh-CN"/>
        </w:rPr>
        <w:t>政府采购供应商廉洁自律承诺书；</w:t>
      </w:r>
    </w:p>
    <w:p>
      <w:pPr>
        <w:snapToGrid w:val="0"/>
        <w:spacing w:line="360" w:lineRule="auto"/>
        <w:ind w:firstLine="0" w:firstLineChars="0"/>
        <w:jc w:val="both"/>
        <w:rPr>
          <w:rFonts w:hint="default" w:ascii="仿宋_GB2312" w:hAnsi="仿宋" w:eastAsia="仿宋_GB2312" w:cs="仿宋_GB2312"/>
          <w:color w:val="auto"/>
          <w:sz w:val="24"/>
          <w:szCs w:val="20"/>
          <w:highlight w:val="none"/>
        </w:rPr>
      </w:pPr>
      <w:r>
        <w:rPr>
          <w:rFonts w:hint="eastAsia" w:ascii="仿宋_GB2312" w:hAnsi="仿宋" w:eastAsia="仿宋_GB2312" w:cs="仿宋_GB2312"/>
          <w:sz w:val="24"/>
          <w:lang w:val="en-US" w:eastAsia="zh-CN"/>
        </w:rPr>
        <w:t xml:space="preserve">       </w:t>
      </w:r>
      <w:r>
        <w:rPr>
          <w:rFonts w:hint="default" w:ascii="仿宋_GB2312" w:hAnsi="仿宋" w:eastAsia="仿宋_GB2312" w:cs="仿宋_GB2312"/>
          <w:sz w:val="24"/>
          <w:lang w:val="zh-CN" w:eastAsia="zh-CN"/>
        </w:rPr>
        <w:t xml:space="preserve"> 11.2.</w:t>
      </w:r>
      <w:r>
        <w:rPr>
          <w:rFonts w:hint="eastAsia" w:ascii="仿宋_GB2312" w:hAnsi="仿宋" w:eastAsia="仿宋_GB2312" w:cs="仿宋_GB2312"/>
          <w:sz w:val="24"/>
          <w:lang w:val="en-US" w:eastAsia="zh-CN"/>
        </w:rPr>
        <w:t>10</w:t>
      </w:r>
      <w:r>
        <w:rPr>
          <w:rFonts w:hint="default" w:ascii="仿宋_GB2312" w:hAnsi="仿宋" w:eastAsia="仿宋_GB2312" w:cs="仿宋_GB2312"/>
          <w:color w:val="auto"/>
          <w:sz w:val="24"/>
          <w:szCs w:val="20"/>
          <w:highlight w:val="none"/>
          <w:lang w:val="zh-CN"/>
        </w:rPr>
        <w:t>投标</w:t>
      </w:r>
      <w:r>
        <w:rPr>
          <w:rFonts w:hint="default" w:ascii="仿宋_GB2312" w:hAnsi="仿宋" w:eastAsia="仿宋_GB2312" w:cs="仿宋_GB2312"/>
          <w:color w:val="auto"/>
          <w:sz w:val="24"/>
          <w:szCs w:val="20"/>
          <w:highlight w:val="none"/>
          <w:lang w:val="en-US" w:eastAsia="zh-CN"/>
        </w:rPr>
        <w:t>人</w:t>
      </w:r>
      <w:r>
        <w:rPr>
          <w:rFonts w:hint="default" w:ascii="仿宋_GB2312" w:hAnsi="仿宋" w:eastAsia="仿宋_GB2312" w:cs="仿宋_GB2312"/>
          <w:color w:val="auto"/>
          <w:sz w:val="24"/>
          <w:szCs w:val="20"/>
          <w:highlight w:val="none"/>
          <w:lang w:val="zh-CN"/>
        </w:rPr>
        <w:t>认为需要的其他文件资料</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r>
        <w:rPr>
          <w:rFonts w:hint="eastAsia" w:ascii="仿宋_GB2312" w:hAnsi="仿宋" w:eastAsia="仿宋_GB2312" w:cs="仿宋_GB2312"/>
          <w:sz w:val="24"/>
          <w:lang w:eastAsia="zh-CN"/>
        </w:rPr>
        <w:t>；</w:t>
      </w:r>
    </w:p>
    <w:p>
      <w:pPr>
        <w:snapToGrid w:val="0"/>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11.3.3</w:t>
      </w:r>
      <w:r>
        <w:rPr>
          <w:rFonts w:hint="default" w:ascii="仿宋_GB2312" w:hAnsi="仿宋" w:eastAsia="仿宋_GB2312" w:cs="仿宋_GB2312"/>
          <w:sz w:val="24"/>
        </w:rPr>
        <w:t>投标人针对报价需要说明的其他文件和说明。</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8"/>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8"/>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8"/>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8"/>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8"/>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8"/>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8"/>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8"/>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4"/>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w:t>
      </w:r>
      <w:r>
        <w:rPr>
          <w:rFonts w:hint="eastAsia" w:ascii="宋体" w:hAnsi="宋体"/>
          <w:b/>
          <w:color w:val="000000"/>
          <w:sz w:val="24"/>
          <w:szCs w:val="24"/>
          <w:highlight w:val="none"/>
        </w:rPr>
        <w:t>在投标截止时间前半小时内</w:t>
      </w:r>
      <w:r>
        <w:rPr>
          <w:rFonts w:ascii="仿宋_GB2312" w:hAnsi="仿宋" w:eastAsia="仿宋_GB2312" w:cs="仿宋_GB2312"/>
          <w:sz w:val="24"/>
          <w:szCs w:val="24"/>
        </w:rPr>
        <w:t>递交备份投标文件1份</w:t>
      </w:r>
      <w:r>
        <w:rPr>
          <w:rFonts w:hint="eastAsia" w:ascii="仿宋_GB2312" w:hAnsi="仿宋" w:eastAsia="仿宋_GB2312" w:cs="仿宋_GB2312"/>
          <w:sz w:val="24"/>
          <w:szCs w:val="24"/>
          <w:lang w:val="en-US" w:eastAsia="zh-CN"/>
        </w:rPr>
        <w:t>至杭州尚远招标代理有限公司</w:t>
      </w:r>
      <w:r>
        <w:rPr>
          <w:rFonts w:ascii="仿宋_GB2312" w:hAnsi="仿宋" w:eastAsia="仿宋_GB2312" w:cs="仿宋_GB2312"/>
          <w:sz w:val="24"/>
          <w:szCs w:val="24"/>
        </w:rPr>
        <w:t>，</w:t>
      </w:r>
      <w:r>
        <w:rPr>
          <w:rFonts w:hint="eastAsia" w:ascii="仿宋_GB2312" w:hAnsi="仿宋" w:eastAsia="仿宋_GB2312" w:cs="仿宋_GB2312"/>
          <w:b/>
          <w:sz w:val="24"/>
          <w:szCs w:val="24"/>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hint="eastAsia" w:ascii="仿宋_GB2312" w:hAnsi="仿宋" w:eastAsia="仿宋_GB2312" w:cs="仿宋_GB2312"/>
          <w:sz w:val="24"/>
          <w:szCs w:val="24"/>
          <w:lang w:val="en-US" w:eastAsia="zh-CN"/>
        </w:rPr>
        <w:t>U</w:t>
      </w:r>
      <w:r>
        <w:rPr>
          <w:rFonts w:ascii="仿宋_GB2312" w:hAnsi="仿宋" w:eastAsia="仿宋_GB2312"/>
          <w:sz w:val="24"/>
        </w:rPr>
        <w:t>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lang w:val="en-US" w:eastAsia="zh-CN"/>
        </w:rPr>
        <w:t>4</w:t>
      </w:r>
      <w:r>
        <w:rPr>
          <w:rFonts w:ascii="仿宋_GB2312" w:hAnsi="仿宋" w:eastAsia="仿宋_GB2312" w:cs="仿宋_GB2312"/>
          <w:b/>
          <w:sz w:val="24"/>
          <w:szCs w:val="24"/>
        </w:rPr>
        <w:t>投标人仅提交备份投标文件，没有在电子交易平台传输递交投标文件的，投标无效。</w:t>
      </w:r>
    </w:p>
    <w:p>
      <w:pPr>
        <w:pStyle w:val="88"/>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5"/>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lang w:val="en-US" w:eastAsia="zh-CN"/>
        </w:rPr>
        <w:t>4.2</w:t>
      </w:r>
      <w:r>
        <w:rPr>
          <w:rFonts w:ascii="仿宋_GB2312" w:hAnsi="仿宋" w:eastAsia="仿宋_GB2312"/>
        </w:rPr>
        <w:t>规定</w:t>
      </w:r>
      <w:r>
        <w:rPr>
          <w:rFonts w:hint="eastAsia" w:ascii="仿宋_GB2312" w:hAnsi="仿宋" w:eastAsia="仿宋_GB2312" w:cs="仿宋_GB2312"/>
          <w:szCs w:val="21"/>
        </w:rPr>
        <w:t>的情形之一的，投标无效：</w:t>
      </w:r>
    </w:p>
    <w:p>
      <w:pPr>
        <w:pStyle w:val="88"/>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8"/>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8"/>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8"/>
        <w:spacing w:before="0"/>
        <w:ind w:firstLine="643"/>
        <w:rPr>
          <w:rFonts w:ascii="仿宋_GB2312" w:hAnsi="仿宋" w:eastAsia="仿宋_GB2312" w:cs="仿宋_GB2312"/>
          <w:b/>
          <w:sz w:val="32"/>
        </w:rPr>
      </w:pPr>
    </w:p>
    <w:p>
      <w:pPr>
        <w:pStyle w:val="88"/>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3"/>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243"/>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3"/>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3"/>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8"/>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8"/>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8"/>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8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8"/>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8"/>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8"/>
        <w:snapToGrid w:val="0"/>
        <w:spacing w:before="0"/>
        <w:ind w:firstLine="480"/>
        <w:rPr>
          <w:rFonts w:hint="eastAsia" w:ascii="仿宋_GB2312" w:hAnsi="仿宋" w:eastAsia="仿宋_GB2312" w:cs="仿宋_GB2312"/>
          <w:kern w:val="2"/>
          <w:sz w:val="24"/>
          <w:szCs w:val="24"/>
          <w:highlight w:val="none"/>
          <w:lang w:val="en-US" w:eastAsia="zh-CN" w:bidi="ar-SA"/>
        </w:rPr>
      </w:pPr>
      <w:r>
        <w:rPr>
          <w:rFonts w:hint="eastAsia" w:ascii="仿宋_GB2312" w:hAnsi="仿宋" w:eastAsia="仿宋_GB2312" w:cs="仿宋_GB2312"/>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8"/>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w:t>
      </w:r>
      <w:r>
        <w:rPr>
          <w:rFonts w:hint="eastAsia" w:ascii="仿宋_GB2312" w:hAnsi="仿宋" w:eastAsia="仿宋_GB2312" w:cs="仿宋_GB2312"/>
          <w:sz w:val="24"/>
          <w:highlight w:val="none"/>
        </w:rPr>
        <w:t>、资格审查情况、评审专家抽取规则、符合性审查情况、未中标情况说明、中标公告期限以及评审专家名单、评分汇总及明细。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highlight w:val="none"/>
        </w:rPr>
      </w:pPr>
      <w:r>
        <w:rPr>
          <w:rFonts w:ascii="仿宋_GB2312" w:hAnsi="仿宋" w:eastAsia="仿宋_GB2312" w:cs="仿宋_GB2312"/>
          <w:sz w:val="24"/>
          <w:highlight w:val="none"/>
        </w:rPr>
        <w:t>25.1</w:t>
      </w:r>
      <w:r>
        <w:rPr>
          <w:rFonts w:ascii="仿宋_GB2312" w:hAnsi="仿宋" w:eastAsia="仿宋_GB2312" w:cs="Arial"/>
          <w:kern w:val="0"/>
          <w:sz w:val="24"/>
          <w:highlight w:val="none"/>
        </w:rPr>
        <w:t xml:space="preserve"> 采购人与中标人应当通过电子交易平台在中标通知书发出之日起</w:t>
      </w:r>
      <w:r>
        <w:rPr>
          <w:rFonts w:hint="eastAsia" w:ascii="仿宋_GB2312" w:hAnsi="仿宋" w:eastAsia="仿宋_GB2312" w:cs="Arial"/>
          <w:kern w:val="0"/>
          <w:sz w:val="24"/>
          <w:highlight w:val="none"/>
          <w:lang w:eastAsia="zh-CN"/>
        </w:rPr>
        <w:t>十个工作日</w:t>
      </w:r>
      <w:r>
        <w:rPr>
          <w:rFonts w:ascii="仿宋_GB2312" w:hAnsi="仿宋" w:eastAsia="仿宋_GB2312" w:cs="Arial"/>
          <w:kern w:val="0"/>
          <w:sz w:val="24"/>
          <w:highlight w:val="none"/>
        </w:rPr>
        <w:t>内，按照招标文件确定的事项签订政府采购合同，并在</w:t>
      </w:r>
      <w:r>
        <w:rPr>
          <w:rFonts w:hint="eastAsia" w:ascii="仿宋_GB2312" w:hAnsi="仿宋" w:eastAsia="仿宋_GB2312" w:cs="Arial"/>
          <w:kern w:val="0"/>
          <w:sz w:val="24"/>
          <w:highlight w:val="none"/>
        </w:rPr>
        <w:t>合同签订之日起2个工作日</w:t>
      </w:r>
      <w:r>
        <w:rPr>
          <w:rFonts w:ascii="仿宋_GB2312" w:hAnsi="仿宋" w:eastAsia="仿宋_GB2312" w:cs="Arial"/>
          <w:kern w:val="0"/>
          <w:sz w:val="24"/>
          <w:highlight w:val="none"/>
        </w:rPr>
        <w:t>内依法发布合同公告。</w:t>
      </w:r>
    </w:p>
    <w:p>
      <w:pPr>
        <w:pStyle w:val="88"/>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8"/>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8"/>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8"/>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highlight w:val="none"/>
        </w:rPr>
        <w:t>。</w:t>
      </w:r>
      <w:r>
        <w:rPr>
          <w:rFonts w:hint="eastAsia" w:ascii="仿宋_GB2312" w:hAnsi="仿宋" w:eastAsia="仿宋_GB2312"/>
          <w:sz w:val="24"/>
          <w:highlight w:val="none"/>
          <w:lang w:eastAsia="zh-CN"/>
        </w:rPr>
        <w:t>杭州市政府采购网公布的供应商履约评价为满分的供应商，采购单位应当免收履约保证金。确需收履约保证金的，</w:t>
      </w:r>
      <w:r>
        <w:rPr>
          <w:rFonts w:hint="eastAsia" w:ascii="仿宋_GB2312" w:hAnsi="仿宋" w:eastAsia="仿宋_GB2312"/>
          <w:sz w:val="24"/>
          <w:highlight w:val="none"/>
        </w:rPr>
        <w:t>履约保证金的数额不得超过政府采购合同金额的</w:t>
      </w:r>
      <w:r>
        <w:rPr>
          <w:rFonts w:hint="eastAsia" w:ascii="仿宋_GB2312" w:hAnsi="仿宋" w:eastAsia="仿宋_GB2312"/>
          <w:sz w:val="24"/>
          <w:highlight w:val="none"/>
          <w:lang w:val="en-US" w:eastAsia="zh-CN"/>
        </w:rPr>
        <w:t>1</w:t>
      </w:r>
      <w:r>
        <w:rPr>
          <w:rFonts w:ascii="仿宋_GB2312" w:hAnsi="仿宋" w:eastAsia="仿宋_GB2312"/>
          <w:sz w:val="24"/>
          <w:highlight w:val="none"/>
        </w:rPr>
        <w:t>%。</w:t>
      </w:r>
      <w:r>
        <w:rPr>
          <w:rFonts w:hint="eastAsia" w:ascii="仿宋_GB2312" w:hAnsi="仿宋" w:eastAsia="仿宋_GB2312"/>
          <w:sz w:val="24"/>
          <w:highlight w:val="none"/>
        </w:rPr>
        <w:t>鼓励和支持供应商以银行、保险公</w:t>
      </w:r>
      <w:r>
        <w:rPr>
          <w:rFonts w:hint="eastAsia" w:ascii="仿宋_GB2312" w:hAnsi="仿宋" w:eastAsia="仿宋_GB2312"/>
          <w:sz w:val="24"/>
        </w:rPr>
        <w:t>司出具的保函形式提供履约保证金。</w:t>
      </w:r>
      <w:r>
        <w:rPr>
          <w:rFonts w:hint="eastAsia" w:ascii="仿宋_GB2312" w:hAnsi="仿宋" w:eastAsia="仿宋_GB2312"/>
          <w:b/>
          <w:sz w:val="24"/>
        </w:rPr>
        <w:t>采购人不得拒收履约保函。</w:t>
      </w:r>
    </w:p>
    <w:p>
      <w:pPr>
        <w:pStyle w:val="2"/>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highlight w:val="none"/>
        </w:rPr>
      </w:pPr>
      <w:r>
        <w:rPr>
          <w:rFonts w:hint="eastAsia" w:ascii="仿宋_GB2312" w:hAnsi="仿宋" w:eastAsia="仿宋_GB2312" w:cs="仿宋_GB2312"/>
          <w:b/>
          <w:sz w:val="32"/>
          <w:highlight w:val="none"/>
        </w:rPr>
        <w:t>八、电子交易活动的中止</w:t>
      </w:r>
    </w:p>
    <w:p>
      <w:pPr>
        <w:pStyle w:val="88"/>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2</w:t>
      </w:r>
      <w:r>
        <w:rPr>
          <w:rFonts w:ascii="仿宋_GB2312" w:hAnsi="仿宋" w:eastAsia="仿宋_GB2312" w:cs="仿宋_GB2312"/>
          <w:b/>
          <w:szCs w:val="24"/>
          <w:highlight w:val="none"/>
        </w:rPr>
        <w:t xml:space="preserve">7. </w:t>
      </w:r>
      <w:r>
        <w:rPr>
          <w:rFonts w:hint="eastAsia" w:ascii="仿宋_GB2312" w:hAnsi="仿宋" w:eastAsia="仿宋_GB2312" w:cs="仿宋_GB2312"/>
          <w:b/>
          <w:szCs w:val="24"/>
          <w:highlight w:val="none"/>
        </w:rPr>
        <w:t>电子交易活动的中止。</w:t>
      </w:r>
      <w:r>
        <w:rPr>
          <w:rFonts w:hint="eastAsia" w:ascii="仿宋_GB2312" w:hAnsi="仿宋" w:eastAsia="仿宋_GB2312" w:cs="仿宋_GB2312"/>
          <w:highlight w:val="none"/>
        </w:rPr>
        <w:t>采购过程中出现以下情形，导致电子交易平台无法正常运行，或者无法保证电子交易的公平、公正和安全时，采购机构可中止电子交易活动：</w:t>
      </w:r>
    </w:p>
    <w:p>
      <w:pPr>
        <w:pStyle w:val="8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27.1电子交易平台发生故障而无法登录访问的； </w:t>
      </w:r>
    </w:p>
    <w:p>
      <w:pPr>
        <w:pStyle w:val="8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27.2电子交易平台应用或数据库出现错误，不能进行正常操作的；</w:t>
      </w:r>
    </w:p>
    <w:p>
      <w:pPr>
        <w:pStyle w:val="8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27.3电子交易平台发现严重安全漏洞，有潜在泄密危险的；</w:t>
      </w:r>
    </w:p>
    <w:p>
      <w:pPr>
        <w:pStyle w:val="8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27.4病毒发作导致不能进行正常操作的； </w:t>
      </w:r>
    </w:p>
    <w:p>
      <w:pPr>
        <w:pStyle w:val="8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27.5其他无法保证电子交易的公平、公正和安全的情况。</w:t>
      </w:r>
    </w:p>
    <w:p>
      <w:pPr>
        <w:pStyle w:val="88"/>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5"/>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pPr>
      <w:bookmarkStart w:id="14" w:name="_Hlt74729768"/>
      <w:bookmarkEnd w:id="14"/>
      <w:bookmarkStart w:id="15" w:name="_Hlt74714665"/>
      <w:bookmarkEnd w:id="15"/>
      <w:bookmarkStart w:id="16" w:name="_Hlt68403820"/>
      <w:bookmarkEnd w:id="16"/>
      <w:bookmarkStart w:id="17" w:name="_Hlt74730295"/>
      <w:bookmarkEnd w:id="17"/>
      <w:bookmarkStart w:id="18" w:name="_Hlt68072990"/>
      <w:bookmarkEnd w:id="18"/>
      <w:bookmarkStart w:id="19" w:name="_Hlt68072998"/>
      <w:bookmarkEnd w:id="19"/>
      <w:bookmarkStart w:id="20" w:name="_Hlt75236290"/>
      <w:bookmarkEnd w:id="20"/>
      <w:bookmarkStart w:id="21" w:name="_Hlt75236101"/>
      <w:bookmarkEnd w:id="21"/>
      <w:bookmarkStart w:id="22" w:name="_Hlt75236011"/>
      <w:bookmarkEnd w:id="22"/>
      <w:bookmarkStart w:id="23" w:name="_Hlt68073093"/>
      <w:bookmarkEnd w:id="23"/>
      <w:bookmarkStart w:id="24" w:name="_Hlt68057669"/>
      <w:bookmarkEnd w:id="24"/>
      <w:bookmarkStart w:id="25" w:name="_Hlt74707468"/>
      <w:bookmarkEnd w:id="25"/>
    </w:p>
    <w:p>
      <w:pPr>
        <w:widowControl w:val="0"/>
        <w:adjustRightInd w:val="0"/>
        <w:snapToGrid w:val="0"/>
        <w:spacing w:before="0" w:beforeAutospacing="0" w:after="0" w:afterAutospacing="0" w:line="360" w:lineRule="auto"/>
        <w:ind w:left="120" w:leftChars="57" w:right="0" w:firstLine="482" w:firstLineChars="150"/>
        <w:jc w:val="center"/>
        <w:rPr>
          <w:rFonts w:hint="eastAsia" w:ascii="仿宋_GB2312" w:hAnsi="仿宋" w:eastAsia="仿宋_GB2312" w:cs="仿宋_GB2312"/>
          <w:b/>
          <w:sz w:val="32"/>
          <w:szCs w:val="20"/>
          <w:lang w:val="en-US"/>
        </w:rPr>
      </w:pPr>
      <w:r>
        <w:rPr>
          <w:rFonts w:hint="eastAsia" w:ascii="仿宋_GB2312" w:hAnsi="仿宋" w:eastAsia="仿宋_GB2312" w:cs="仿宋_GB2312"/>
          <w:b/>
          <w:kern w:val="0"/>
          <w:sz w:val="32"/>
          <w:szCs w:val="20"/>
          <w:lang w:val="en-US" w:eastAsia="zh-CN" w:bidi="ar-SA"/>
        </w:rPr>
        <w:t>十、货款支付</w:t>
      </w:r>
    </w:p>
    <w:p>
      <w:pPr>
        <w:pStyle w:val="2"/>
        <w:tabs>
          <w:tab w:val="left" w:pos="0"/>
          <w:tab w:val="clear" w:pos="432"/>
        </w:tabs>
        <w:ind w:left="12" w:hanging="12"/>
        <w:rPr>
          <w:rFonts w:ascii="仿宋" w:hAnsi="仿宋" w:eastAsia="仿宋"/>
          <w:sz w:val="24"/>
        </w:rPr>
      </w:pPr>
      <w:r>
        <w:rPr>
          <w:rFonts w:hint="eastAsia" w:ascii="仿宋" w:eastAsia="仿宋"/>
          <w:sz w:val="24"/>
          <w:lang w:val="en-US" w:eastAsia="zh-CN"/>
        </w:rPr>
        <w:t xml:space="preserve">    </w:t>
      </w:r>
      <w:r>
        <w:rPr>
          <w:rFonts w:hint="eastAsia" w:ascii="仿宋" w:hAnsi="仿宋" w:eastAsia="仿宋"/>
          <w:sz w:val="24"/>
          <w:lang w:val="en-US" w:eastAsia="zh-CN"/>
        </w:rPr>
        <w:t>30</w:t>
      </w:r>
      <w:r>
        <w:rPr>
          <w:rFonts w:ascii="仿宋" w:hAnsi="仿宋" w:eastAsia="仿宋"/>
          <w:sz w:val="24"/>
        </w:rPr>
        <w:t>.</w:t>
      </w:r>
      <w:r>
        <w:rPr>
          <w:rFonts w:hint="eastAsia" w:ascii="仿宋" w:hAnsi="仿宋" w:eastAsia="仿宋"/>
          <w:sz w:val="24"/>
          <w:lang w:val="en-US" w:eastAsia="zh-CN"/>
        </w:rPr>
        <w:t>1</w:t>
      </w:r>
      <w:r>
        <w:rPr>
          <w:rFonts w:hint="eastAsia" w:ascii="仿宋" w:hAnsi="仿宋" w:eastAsia="仿宋"/>
          <w:sz w:val="24"/>
          <w:lang w:eastAsia="zh-CN"/>
        </w:rPr>
        <w:t>应当</w:t>
      </w:r>
      <w:r>
        <w:rPr>
          <w:rFonts w:ascii="仿宋" w:hAnsi="仿宋" w:eastAsia="仿宋"/>
          <w:sz w:val="24"/>
        </w:rPr>
        <w:t>在政府采购合同中约定预付款，预付款比例</w:t>
      </w:r>
      <w:r>
        <w:rPr>
          <w:rFonts w:hint="eastAsia" w:ascii="仿宋" w:hAnsi="仿宋" w:eastAsia="仿宋"/>
          <w:sz w:val="24"/>
        </w:rPr>
        <w:t>为</w:t>
      </w:r>
      <w:r>
        <w:rPr>
          <w:rFonts w:ascii="仿宋" w:hAnsi="仿宋" w:eastAsia="仿宋"/>
          <w:sz w:val="24"/>
        </w:rPr>
        <w:t>合同金额的</w:t>
      </w:r>
      <w:r>
        <w:rPr>
          <w:rFonts w:hint="eastAsia" w:ascii="仿宋" w:hAnsi="仿宋" w:eastAsia="仿宋"/>
          <w:sz w:val="24"/>
          <w:lang w:val="en-US" w:eastAsia="zh-CN"/>
        </w:rPr>
        <w:t>40</w:t>
      </w:r>
      <w:r>
        <w:rPr>
          <w:rFonts w:ascii="仿宋" w:hAnsi="仿宋" w:eastAsia="仿宋"/>
          <w:sz w:val="24"/>
        </w:rPr>
        <w:t>％；项目分年安排预算的，每年预付款比例</w:t>
      </w:r>
      <w:r>
        <w:rPr>
          <w:rFonts w:hint="eastAsia" w:ascii="仿宋" w:hAnsi="仿宋" w:eastAsia="仿宋"/>
          <w:sz w:val="24"/>
        </w:rPr>
        <w:t>为</w:t>
      </w:r>
      <w:r>
        <w:rPr>
          <w:rFonts w:ascii="仿宋" w:hAnsi="仿宋" w:eastAsia="仿宋"/>
          <w:sz w:val="24"/>
        </w:rPr>
        <w:t>项目年度计划支付资金额的</w:t>
      </w:r>
      <w:r>
        <w:rPr>
          <w:rFonts w:hint="eastAsia" w:ascii="仿宋" w:hAnsi="仿宋" w:eastAsia="仿宋"/>
          <w:sz w:val="24"/>
          <w:lang w:val="en-US" w:eastAsia="zh-CN"/>
        </w:rPr>
        <w:t>40</w:t>
      </w:r>
      <w:r>
        <w:rPr>
          <w:rFonts w:ascii="仿宋" w:hAnsi="仿宋" w:eastAsia="仿宋"/>
          <w:sz w:val="24"/>
        </w:rPr>
        <w:t>％。采购项目实施以人工投入为主的，可适当降低预付款比例，但不低于</w:t>
      </w:r>
      <w:r>
        <w:rPr>
          <w:rFonts w:hint="eastAsia" w:ascii="仿宋" w:hAnsi="仿宋" w:eastAsia="仿宋"/>
          <w:sz w:val="24"/>
          <w:lang w:val="en-US" w:eastAsia="zh-CN"/>
        </w:rPr>
        <w:t>20</w:t>
      </w:r>
      <w:r>
        <w:rPr>
          <w:rFonts w:ascii="仿宋" w:hAnsi="仿宋" w:eastAsia="仿宋"/>
          <w:sz w:val="24"/>
        </w:rPr>
        <w:t>%。可以根据项目特点、</w:t>
      </w:r>
      <w:r>
        <w:rPr>
          <w:rFonts w:hint="eastAsia" w:ascii="仿宋" w:hAnsi="仿宋" w:eastAsia="仿宋"/>
          <w:sz w:val="24"/>
          <w:lang w:eastAsia="zh-CN"/>
        </w:rPr>
        <w:t>供应商</w:t>
      </w:r>
      <w:r>
        <w:rPr>
          <w:rFonts w:ascii="仿宋" w:hAnsi="仿宋" w:eastAsia="仿宋"/>
          <w:sz w:val="24"/>
        </w:rPr>
        <w:t>信用等实际情况提高预付款比例，最高预付比例可以达到</w:t>
      </w:r>
      <w:r>
        <w:rPr>
          <w:rFonts w:hint="eastAsia" w:ascii="仿宋" w:hAnsi="仿宋" w:eastAsia="仿宋"/>
          <w:sz w:val="24"/>
          <w:lang w:val="en-US" w:eastAsia="zh-CN"/>
        </w:rPr>
        <w:t>70</w:t>
      </w:r>
      <w:r>
        <w:rPr>
          <w:rFonts w:ascii="仿宋" w:hAnsi="仿宋" w:eastAsia="仿宋"/>
          <w:sz w:val="24"/>
        </w:rPr>
        <w:t>%。</w:t>
      </w:r>
    </w:p>
    <w:p>
      <w:pPr>
        <w:spacing w:line="560" w:lineRule="exact"/>
        <w:ind w:firstLine="480" w:firstLineChars="200"/>
        <w:rPr>
          <w:rFonts w:ascii="仿宋" w:hAnsi="仿宋" w:eastAsia="仿宋"/>
          <w:sz w:val="24"/>
        </w:rPr>
      </w:pPr>
      <w:r>
        <w:rPr>
          <w:rFonts w:hint="eastAsia" w:ascii="仿宋" w:hAnsi="仿宋" w:eastAsia="仿宋"/>
          <w:sz w:val="24"/>
          <w:lang w:val="en-US" w:eastAsia="zh-CN"/>
        </w:rPr>
        <w:t>30.2</w:t>
      </w:r>
      <w:r>
        <w:rPr>
          <w:rFonts w:hint="eastAsia" w:ascii="仿宋" w:hAnsi="仿宋" w:eastAsia="仿宋"/>
          <w:sz w:val="24"/>
          <w:lang w:eastAsia="zh-CN"/>
        </w:rPr>
        <w:t>供应商</w:t>
      </w:r>
      <w:r>
        <w:rPr>
          <w:rFonts w:hint="eastAsia" w:ascii="仿宋" w:hAnsi="仿宋" w:eastAsia="仿宋"/>
          <w:sz w:val="24"/>
        </w:rPr>
        <w:t>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outlineLvl w:val="0"/>
        <w:rPr>
          <w:rFonts w:ascii="仿宋" w:hAnsi="仿宋" w:eastAsia="仿宋"/>
          <w:sz w:val="24"/>
        </w:rPr>
      </w:pPr>
      <w:r>
        <w:rPr>
          <w:rFonts w:hint="eastAsia" w:ascii="仿宋" w:hAnsi="仿宋" w:eastAsia="仿宋"/>
          <w:sz w:val="24"/>
          <w:lang w:val="en-US" w:eastAsia="zh-CN"/>
        </w:rPr>
        <w:t>30.3</w:t>
      </w:r>
      <w:r>
        <w:rPr>
          <w:rFonts w:hint="eastAsia" w:ascii="仿宋" w:hAnsi="仿宋" w:eastAsia="仿宋"/>
          <w:sz w:val="24"/>
          <w:lang w:eastAsia="zh-CN"/>
        </w:rPr>
        <w:t>供应商</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rPr>
          <w:rFonts w:hint="eastAsia"/>
          <w:lang w:val="en-US" w:eastAsia="zh-CN"/>
        </w:rPr>
      </w:pPr>
    </w:p>
    <w:p>
      <w:pPr>
        <w:pStyle w:val="620"/>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lang w:val="en-US" w:eastAsia="zh-CN"/>
        </w:rPr>
        <w:t>30.4</w:t>
      </w:r>
      <w:r>
        <w:rPr>
          <w:rFonts w:hint="eastAsia" w:ascii="仿宋" w:hAnsi="仿宋" w:eastAsia="仿宋" w:cs="Times New Roman"/>
          <w:lang w:eastAsia="zh-CN"/>
        </w:rPr>
        <w:t>采购人</w:t>
      </w:r>
      <w:r>
        <w:rPr>
          <w:rFonts w:hint="eastAsia" w:ascii="仿宋" w:hAnsi="仿宋" w:eastAsia="仿宋" w:cs="Times New Roman"/>
        </w:rPr>
        <w:t>应严格履行合同，及时组织验收，验收合格后及时将合同款支付完毕。对于满足合同约定支付条件的，</w:t>
      </w:r>
      <w:r>
        <w:rPr>
          <w:rFonts w:hint="eastAsia" w:ascii="仿宋" w:hAnsi="仿宋" w:eastAsia="仿宋" w:cs="Times New Roman"/>
          <w:lang w:eastAsia="zh-CN"/>
        </w:rPr>
        <w:t>采购人</w:t>
      </w:r>
      <w:r>
        <w:rPr>
          <w:rFonts w:hint="eastAsia" w:ascii="仿宋" w:hAnsi="仿宋" w:eastAsia="仿宋" w:cs="Times New Roman"/>
        </w:rPr>
        <w:t>自收到发票后</w:t>
      </w:r>
      <w:r>
        <w:rPr>
          <w:rFonts w:hint="eastAsia" w:ascii="仿宋" w:hAnsi="仿宋" w:eastAsia="仿宋" w:cs="Times New Roman"/>
          <w:lang w:val="en-US" w:eastAsia="zh-CN"/>
        </w:rPr>
        <w:t>7</w:t>
      </w:r>
      <w:r>
        <w:rPr>
          <w:rFonts w:ascii="仿宋" w:hAnsi="仿宋" w:eastAsia="仿宋" w:cs="Times New Roman"/>
        </w:rPr>
        <w:t>个工作日内将资金支付到合同约定的乙方账户。</w:t>
      </w:r>
    </w:p>
    <w:p>
      <w:pPr>
        <w:pStyle w:val="2"/>
        <w:rPr>
          <w:rFonts w:hint="eastAsia"/>
          <w:lang w:val="en-US"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spacing w:line="360" w:lineRule="auto"/>
        <w:jc w:val="center"/>
        <w:outlineLvl w:val="0"/>
        <w:rPr>
          <w:rFonts w:hint="eastAsia" w:ascii="仿宋" w:hAnsi="仿宋" w:eastAsia="仿宋" w:cs="仿宋"/>
          <w:b/>
          <w:sz w:val="36"/>
          <w:szCs w:val="36"/>
        </w:rPr>
      </w:pPr>
      <w:bookmarkStart w:id="26" w:name="第四部分"/>
      <w:r>
        <w:rPr>
          <w:rFonts w:hint="eastAsia" w:ascii="仿宋" w:hAnsi="仿宋" w:eastAsia="仿宋" w:cs="仿宋"/>
          <w:b/>
          <w:sz w:val="36"/>
          <w:szCs w:val="36"/>
        </w:rPr>
        <w:t>第三部分   采购需求</w:t>
      </w:r>
    </w:p>
    <w:p>
      <w:pPr>
        <w:pStyle w:val="60"/>
        <w:spacing w:line="360" w:lineRule="auto"/>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8"/>
          <w:szCs w:val="28"/>
          <w:highlight w:val="none"/>
          <w:lang w:val="en-US" w:eastAsia="zh-CN"/>
        </w:rPr>
        <w:t xml:space="preserve"> 一、</w:t>
      </w:r>
      <w:r>
        <w:rPr>
          <w:rFonts w:hint="eastAsia" w:ascii="仿宋" w:hAnsi="仿宋" w:eastAsia="仿宋" w:cs="仿宋"/>
          <w:b/>
          <w:bCs/>
          <w:color w:val="auto"/>
          <w:sz w:val="28"/>
          <w:szCs w:val="28"/>
          <w:highlight w:val="none"/>
        </w:rPr>
        <w:t>项目概述：</w:t>
      </w:r>
    </w:p>
    <w:p>
      <w:pPr>
        <w:pStyle w:val="60"/>
        <w:spacing w:line="360" w:lineRule="auto"/>
        <w:ind w:firstLine="241" w:firstLineChars="1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一）项目采购的意义</w:t>
      </w:r>
    </w:p>
    <w:p>
      <w:pPr>
        <w:pStyle w:val="3"/>
        <w:pageBreakBefore w:val="0"/>
        <w:widowControl w:val="0"/>
        <w:numPr>
          <w:ilvl w:val="0"/>
          <w:numId w:val="2"/>
        </w:numPr>
        <w:kinsoku/>
        <w:wordWrap/>
        <w:overflowPunct/>
        <w:topLinePunct w:val="0"/>
        <w:autoSpaceDE/>
        <w:autoSpaceDN/>
        <w:bidi w:val="0"/>
        <w:adjustRightInd w:val="0"/>
        <w:snapToGrid/>
        <w:spacing w:line="240" w:lineRule="auto"/>
        <w:ind w:left="425" w:leftChars="0" w:hanging="425" w:firstLineChars="0"/>
        <w:textAlignment w:val="auto"/>
        <w:rPr>
          <w:rFonts w:hint="eastAsia" w:ascii="仿宋" w:hAnsi="仿宋" w:eastAsia="仿宋" w:cs="仿宋"/>
          <w:b w:val="0"/>
          <w:bCs/>
          <w:sz w:val="32"/>
          <w:szCs w:val="32"/>
        </w:rPr>
      </w:pPr>
      <w:bookmarkStart w:id="27" w:name="_Toc19845"/>
      <w:bookmarkStart w:id="28" w:name="_Toc2364"/>
      <w:r>
        <w:rPr>
          <w:rFonts w:hint="eastAsia" w:ascii="仿宋" w:hAnsi="仿宋" w:eastAsia="仿宋" w:cs="仿宋"/>
          <w:b w:val="0"/>
          <w:bCs/>
          <w:sz w:val="32"/>
          <w:szCs w:val="32"/>
          <w:lang w:val="en-US" w:eastAsia="zh-CN"/>
        </w:rPr>
        <w:t>平安校园需求</w:t>
      </w:r>
      <w:bookmarkEnd w:id="27"/>
      <w:bookmarkEnd w:id="28"/>
    </w:p>
    <w:p>
      <w:pPr>
        <w:pStyle w:val="23"/>
        <w:spacing w:line="388" w:lineRule="auto"/>
        <w:ind w:left="120" w:right="325" w:firstLine="600"/>
        <w:jc w:val="both"/>
        <w:rPr>
          <w:rFonts w:hint="eastAsia" w:ascii="仿宋" w:hAnsi="仿宋" w:eastAsia="仿宋" w:cs="仿宋"/>
          <w:sz w:val="24"/>
          <w:szCs w:val="24"/>
        </w:rPr>
      </w:pPr>
      <w:r>
        <w:rPr>
          <w:rFonts w:hint="eastAsia" w:ascii="仿宋" w:hAnsi="仿宋" w:eastAsia="仿宋" w:cs="仿宋"/>
          <w:spacing w:val="-5"/>
          <w:sz w:val="24"/>
          <w:szCs w:val="24"/>
        </w:rPr>
        <w:t>临平区平安校园平台要求运用先进的技术手段，在学校出入</w:t>
      </w:r>
      <w:r>
        <w:rPr>
          <w:rFonts w:hint="eastAsia" w:ascii="仿宋" w:hAnsi="仿宋" w:eastAsia="仿宋" w:cs="仿宋"/>
          <w:spacing w:val="-1"/>
          <w:sz w:val="24"/>
          <w:szCs w:val="24"/>
        </w:rPr>
        <w:t>口设置人脸核验访客机，精准控制进入校园区域内的人员情况；</w:t>
      </w:r>
      <w:r>
        <w:rPr>
          <w:rFonts w:hint="eastAsia" w:ascii="仿宋" w:hAnsi="仿宋" w:eastAsia="仿宋" w:cs="仿宋"/>
          <w:spacing w:val="-148"/>
          <w:sz w:val="24"/>
          <w:szCs w:val="24"/>
        </w:rPr>
        <w:t xml:space="preserve"> </w:t>
      </w:r>
      <w:r>
        <w:rPr>
          <w:rFonts w:hint="eastAsia" w:ascii="仿宋" w:hAnsi="仿宋" w:eastAsia="仿宋" w:cs="仿宋"/>
          <w:spacing w:val="-6"/>
          <w:sz w:val="24"/>
          <w:szCs w:val="24"/>
        </w:rPr>
        <w:t>在校园内外关键区域布设监控设备，实时接入教育局统一平台进</w:t>
      </w:r>
      <w:r>
        <w:rPr>
          <w:rFonts w:hint="eastAsia" w:ascii="仿宋" w:hAnsi="仿宋" w:eastAsia="仿宋" w:cs="仿宋"/>
          <w:spacing w:val="-1"/>
          <w:sz w:val="24"/>
          <w:szCs w:val="24"/>
        </w:rPr>
        <w:t>行管理；为在校师生提供安全、便捷、舒适的日常教学环境，为教育局、学校管理人员提供高效、优质的技术手段以有效地进行</w:t>
      </w:r>
      <w:r>
        <w:rPr>
          <w:rFonts w:hint="eastAsia" w:ascii="仿宋" w:hAnsi="仿宋" w:eastAsia="仿宋" w:cs="仿宋"/>
          <w:sz w:val="24"/>
          <w:szCs w:val="24"/>
        </w:rPr>
        <w:t>的校园管理。</w:t>
      </w:r>
    </w:p>
    <w:p>
      <w:pPr>
        <w:pStyle w:val="103"/>
        <w:numPr>
          <w:ilvl w:val="2"/>
          <w:numId w:val="3"/>
        </w:numPr>
        <w:tabs>
          <w:tab w:val="left" w:pos="1140"/>
        </w:tabs>
        <w:spacing w:before="58" w:after="0" w:line="388" w:lineRule="auto"/>
        <w:ind w:left="210" w:leftChars="0" w:right="325" w:firstLine="420" w:firstLineChars="0"/>
        <w:jc w:val="both"/>
        <w:rPr>
          <w:rFonts w:hint="eastAsia" w:ascii="仿宋" w:hAnsi="仿宋" w:eastAsia="仿宋" w:cs="仿宋"/>
          <w:sz w:val="24"/>
          <w:szCs w:val="24"/>
        </w:rPr>
      </w:pPr>
      <w:r>
        <w:rPr>
          <w:rFonts w:hint="eastAsia" w:ascii="仿宋" w:hAnsi="仿宋" w:eastAsia="仿宋" w:cs="仿宋"/>
          <w:sz w:val="24"/>
          <w:szCs w:val="24"/>
        </w:rPr>
        <w:t>该项目所有设备因对接平台，需要采购兼容平台设备，学校原有点位安装的设备拆解后可自行利用。</w:t>
      </w:r>
    </w:p>
    <w:p>
      <w:pPr>
        <w:pStyle w:val="103"/>
        <w:numPr>
          <w:ilvl w:val="2"/>
          <w:numId w:val="3"/>
        </w:numPr>
        <w:tabs>
          <w:tab w:val="left" w:pos="1140"/>
        </w:tabs>
        <w:spacing w:before="58" w:after="0" w:line="388" w:lineRule="auto"/>
        <w:ind w:left="210" w:leftChars="0" w:right="325" w:firstLine="420" w:firstLineChars="0"/>
        <w:jc w:val="both"/>
        <w:rPr>
          <w:rFonts w:hint="eastAsia" w:ascii="仿宋" w:hAnsi="仿宋" w:eastAsia="仿宋" w:cs="仿宋"/>
          <w:sz w:val="24"/>
          <w:szCs w:val="24"/>
        </w:rPr>
      </w:pPr>
      <w:r>
        <w:rPr>
          <w:rFonts w:hint="eastAsia" w:ascii="仿宋" w:hAnsi="仿宋" w:eastAsia="仿宋" w:cs="仿宋"/>
          <w:sz w:val="24"/>
          <w:szCs w:val="24"/>
        </w:rPr>
        <w:t>原学校视频监控系统由若干个厂商的监控系统和综合管</w:t>
      </w:r>
      <w:r>
        <w:rPr>
          <w:rFonts w:hint="eastAsia" w:ascii="仿宋" w:hAnsi="仿宋" w:eastAsia="仿宋" w:cs="仿宋"/>
          <w:spacing w:val="-1"/>
          <w:sz w:val="24"/>
          <w:szCs w:val="24"/>
        </w:rPr>
        <w:t>理平台组成。相关子系统应包括视频监控子系统、门禁管理子系统、在线巡查子系统、智能防范子系统、出入口管理子系统等。</w:t>
      </w:r>
      <w:r>
        <w:rPr>
          <w:rFonts w:hint="eastAsia" w:ascii="仿宋" w:hAnsi="仿宋" w:eastAsia="仿宋" w:cs="仿宋"/>
          <w:spacing w:val="-2"/>
          <w:sz w:val="24"/>
          <w:szCs w:val="24"/>
        </w:rPr>
        <w:t>新建系统应与原系统保持网络一致、平台一致、应用一致，便于</w:t>
      </w:r>
      <w:r>
        <w:rPr>
          <w:rFonts w:hint="eastAsia" w:ascii="仿宋" w:hAnsi="仿宋" w:eastAsia="仿宋" w:cs="仿宋"/>
          <w:spacing w:val="-1"/>
          <w:sz w:val="24"/>
          <w:szCs w:val="24"/>
        </w:rPr>
        <w:t>管理人员对于新系统的操作与维护，实现平台系统的无缝衔接。</w:t>
      </w:r>
    </w:p>
    <w:p>
      <w:pPr>
        <w:pStyle w:val="103"/>
        <w:numPr>
          <w:ilvl w:val="2"/>
          <w:numId w:val="3"/>
        </w:numPr>
        <w:tabs>
          <w:tab w:val="left" w:pos="1140"/>
        </w:tabs>
        <w:spacing w:before="6" w:after="0" w:line="388" w:lineRule="auto"/>
        <w:ind w:left="210" w:leftChars="0" w:right="505" w:firstLine="420" w:firstLineChars="0"/>
        <w:jc w:val="both"/>
        <w:rPr>
          <w:rFonts w:hint="eastAsia" w:ascii="仿宋" w:hAnsi="仿宋" w:eastAsia="仿宋" w:cs="仿宋"/>
          <w:sz w:val="24"/>
          <w:szCs w:val="24"/>
        </w:rPr>
      </w:pPr>
      <w:r>
        <w:rPr>
          <w:rFonts w:hint="eastAsia" w:ascii="仿宋" w:hAnsi="仿宋" w:eastAsia="仿宋" w:cs="仿宋"/>
          <w:spacing w:val="-1"/>
          <w:sz w:val="24"/>
          <w:szCs w:val="24"/>
        </w:rPr>
        <w:t>校园视频监控需要覆盖整个校园重点区域和周边区域，</w:t>
      </w:r>
      <w:r>
        <w:rPr>
          <w:rFonts w:hint="eastAsia" w:ascii="仿宋" w:hAnsi="仿宋" w:eastAsia="仿宋" w:cs="仿宋"/>
          <w:spacing w:val="-148"/>
          <w:sz w:val="24"/>
          <w:szCs w:val="24"/>
        </w:rPr>
        <w:t xml:space="preserve"> </w:t>
      </w:r>
      <w:r>
        <w:rPr>
          <w:rFonts w:hint="eastAsia" w:ascii="仿宋" w:hAnsi="仿宋" w:eastAsia="仿宋" w:cs="仿宋"/>
          <w:sz w:val="24"/>
          <w:szCs w:val="24"/>
        </w:rPr>
        <w:t>要求监控点覆盖精度高，图像清晰度要求高。</w:t>
      </w:r>
    </w:p>
    <w:p>
      <w:pPr>
        <w:pStyle w:val="103"/>
        <w:numPr>
          <w:ilvl w:val="2"/>
          <w:numId w:val="3"/>
        </w:numPr>
        <w:tabs>
          <w:tab w:val="left" w:pos="1140"/>
        </w:tabs>
        <w:spacing w:before="3" w:after="0" w:line="388" w:lineRule="auto"/>
        <w:ind w:left="210" w:leftChars="0" w:right="417" w:firstLine="420" w:firstLineChars="0"/>
        <w:jc w:val="both"/>
        <w:rPr>
          <w:rFonts w:hint="eastAsia" w:ascii="仿宋" w:hAnsi="仿宋" w:eastAsia="仿宋" w:cs="仿宋"/>
          <w:sz w:val="24"/>
          <w:szCs w:val="24"/>
        </w:rPr>
      </w:pPr>
      <w:r>
        <w:rPr>
          <w:rFonts w:hint="eastAsia" w:ascii="仿宋" w:hAnsi="仿宋" w:eastAsia="仿宋" w:cs="仿宋"/>
          <w:sz w:val="24"/>
          <w:szCs w:val="24"/>
        </w:rPr>
        <w:t>平安校园应能对重点地区及目标实施智能监控覆盖，对</w:t>
      </w:r>
      <w:r>
        <w:rPr>
          <w:rFonts w:hint="eastAsia" w:ascii="仿宋" w:hAnsi="仿宋" w:eastAsia="仿宋" w:cs="仿宋"/>
          <w:spacing w:val="-4"/>
          <w:sz w:val="24"/>
          <w:szCs w:val="24"/>
        </w:rPr>
        <w:t>于突发事件进行及时、准确地处理。当发生突发性事件时，系统能从大量的摄像头中迅速找到最佳的监控点位</w:t>
      </w:r>
      <w:r>
        <w:rPr>
          <w:rFonts w:hint="eastAsia" w:ascii="仿宋" w:hAnsi="仿宋" w:eastAsia="仿宋" w:cs="仿宋"/>
          <w:spacing w:val="-3"/>
          <w:sz w:val="24"/>
          <w:szCs w:val="24"/>
        </w:rPr>
        <w:t>（摄像机），同时</w:t>
      </w:r>
      <w:r>
        <w:rPr>
          <w:rFonts w:hint="eastAsia" w:ascii="仿宋" w:hAnsi="仿宋" w:eastAsia="仿宋" w:cs="仿宋"/>
          <w:spacing w:val="-4"/>
          <w:sz w:val="24"/>
          <w:szCs w:val="24"/>
        </w:rPr>
        <w:t>在电子地图上弹出实时图像，对事件现场进行观察，对目标进行</w:t>
      </w:r>
      <w:r>
        <w:rPr>
          <w:rFonts w:hint="eastAsia" w:ascii="仿宋" w:hAnsi="仿宋" w:eastAsia="仿宋" w:cs="仿宋"/>
          <w:sz w:val="24"/>
          <w:szCs w:val="24"/>
        </w:rPr>
        <w:t>跟踪和锁定，从而为应急处置提供最为直观的视频信息。</w:t>
      </w:r>
    </w:p>
    <w:p>
      <w:pPr>
        <w:pStyle w:val="103"/>
        <w:numPr>
          <w:ilvl w:val="2"/>
          <w:numId w:val="3"/>
        </w:numPr>
        <w:tabs>
          <w:tab w:val="left" w:pos="1140"/>
        </w:tabs>
        <w:spacing w:before="7" w:after="0" w:line="388" w:lineRule="auto"/>
        <w:ind w:left="210" w:leftChars="0" w:right="205" w:firstLine="420" w:firstLineChars="0"/>
        <w:jc w:val="left"/>
        <w:rPr>
          <w:rFonts w:hint="eastAsia" w:ascii="仿宋" w:hAnsi="仿宋" w:eastAsia="仿宋" w:cs="仿宋"/>
          <w:sz w:val="24"/>
          <w:szCs w:val="24"/>
        </w:rPr>
      </w:pPr>
      <w:r>
        <w:rPr>
          <w:rFonts w:hint="eastAsia" w:ascii="仿宋" w:hAnsi="仿宋" w:eastAsia="仿宋" w:cs="仿宋"/>
          <w:spacing w:val="-1"/>
          <w:sz w:val="24"/>
          <w:szCs w:val="24"/>
        </w:rPr>
        <w:t>当上级教育部门需要实时了解和掌握学校及周边情况时，</w:t>
      </w:r>
      <w:r>
        <w:rPr>
          <w:rFonts w:hint="eastAsia" w:ascii="仿宋" w:hAnsi="仿宋" w:eastAsia="仿宋" w:cs="仿宋"/>
          <w:spacing w:val="-147"/>
          <w:sz w:val="24"/>
          <w:szCs w:val="24"/>
        </w:rPr>
        <w:t xml:space="preserve"> </w:t>
      </w:r>
      <w:r>
        <w:rPr>
          <w:rFonts w:hint="eastAsia" w:ascii="仿宋" w:hAnsi="仿宋" w:eastAsia="仿宋" w:cs="仿宋"/>
          <w:sz w:val="24"/>
          <w:szCs w:val="24"/>
        </w:rPr>
        <w:t>需要调用视频录像资料。因此，平安校园平台应是一个标准、开放的平台，允许多系统对接以提供视频图像资源的共享，满足大量用户的并发访问要求，并能提供稳定的实时视频预览、历史图像下载和授权访问控制等服务。</w:t>
      </w:r>
    </w:p>
    <w:p>
      <w:pPr>
        <w:pStyle w:val="103"/>
        <w:numPr>
          <w:ilvl w:val="2"/>
          <w:numId w:val="3"/>
        </w:numPr>
        <w:tabs>
          <w:tab w:val="left" w:pos="1140"/>
        </w:tabs>
        <w:spacing w:before="6"/>
        <w:ind w:left="210" w:right="417" w:firstLine="420"/>
        <w:rPr>
          <w:rFonts w:hint="eastAsia" w:ascii="仿宋" w:hAnsi="仿宋" w:eastAsia="仿宋" w:cs="仿宋"/>
          <w:sz w:val="24"/>
          <w:szCs w:val="24"/>
        </w:rPr>
      </w:pPr>
      <w:r>
        <w:rPr>
          <w:rFonts w:hint="eastAsia" w:ascii="仿宋" w:hAnsi="仿宋" w:eastAsia="仿宋" w:cs="仿宋"/>
          <w:spacing w:val="-1"/>
          <w:sz w:val="24"/>
          <w:szCs w:val="24"/>
        </w:rPr>
        <w:t>通过统一的平安校园平台实现集成，以满足教育局、学校安防管理的实用功能，确保对各类系统监控信息资源的共享和优化管理。</w:t>
      </w:r>
    </w:p>
    <w:p>
      <w:pPr>
        <w:pStyle w:val="103"/>
        <w:numPr>
          <w:ilvl w:val="2"/>
          <w:numId w:val="3"/>
        </w:numPr>
        <w:tabs>
          <w:tab w:val="left" w:pos="991"/>
        </w:tabs>
        <w:spacing w:before="58" w:after="0" w:line="388" w:lineRule="auto"/>
        <w:ind w:left="210" w:leftChars="0" w:right="268" w:firstLine="420" w:firstLineChars="0"/>
        <w:jc w:val="left"/>
        <w:rPr>
          <w:rFonts w:hint="eastAsia" w:ascii="仿宋" w:hAnsi="仿宋" w:eastAsia="仿宋" w:cs="仿宋"/>
          <w:sz w:val="24"/>
          <w:szCs w:val="24"/>
        </w:rPr>
      </w:pPr>
      <w:r>
        <w:rPr>
          <w:rFonts w:hint="eastAsia" w:ascii="仿宋" w:hAnsi="仿宋" w:eastAsia="仿宋" w:cs="仿宋"/>
          <w:sz w:val="24"/>
          <w:szCs w:val="24"/>
        </w:rPr>
        <w:t>平安校园系统的设计应集系统、服务、管理及其优化组合</w:t>
      </w:r>
      <w:r>
        <w:rPr>
          <w:rFonts w:hint="eastAsia" w:ascii="仿宋" w:hAnsi="仿宋" w:eastAsia="仿宋" w:cs="仿宋"/>
          <w:spacing w:val="-19"/>
          <w:sz w:val="24"/>
          <w:szCs w:val="24"/>
        </w:rPr>
        <w:t>为一体，向用户提供安全、高效、便捷、健康、舒适的工作环境，</w:t>
      </w:r>
      <w:r>
        <w:rPr>
          <w:rFonts w:hint="eastAsia" w:ascii="仿宋" w:hAnsi="仿宋" w:eastAsia="仿宋" w:cs="仿宋"/>
          <w:spacing w:val="-147"/>
          <w:sz w:val="24"/>
          <w:szCs w:val="24"/>
        </w:rPr>
        <w:t xml:space="preserve"> </w:t>
      </w:r>
      <w:r>
        <w:rPr>
          <w:rFonts w:hint="eastAsia" w:ascii="仿宋" w:hAnsi="仿宋" w:eastAsia="仿宋" w:cs="仿宋"/>
          <w:sz w:val="24"/>
          <w:szCs w:val="24"/>
        </w:rPr>
        <w:t>具有可扩性、开放性和灵活性。</w:t>
      </w:r>
    </w:p>
    <w:p>
      <w:pPr>
        <w:pStyle w:val="25"/>
        <w:rPr>
          <w:rFonts w:hint="eastAsia" w:ascii="仿宋" w:hAnsi="仿宋" w:eastAsia="仿宋" w:cs="仿宋"/>
        </w:rPr>
        <w:sectPr>
          <w:pgSz w:w="11910" w:h="16840"/>
          <w:pgMar w:top="1500" w:right="1380" w:bottom="1280" w:left="1680" w:header="1108" w:footer="1089" w:gutter="0"/>
          <w:cols w:space="720" w:num="1"/>
        </w:sectPr>
      </w:pPr>
    </w:p>
    <w:p>
      <w:pPr>
        <w:pStyle w:val="23"/>
        <w:spacing w:before="8"/>
        <w:rPr>
          <w:rFonts w:hint="eastAsia" w:ascii="仿宋" w:hAnsi="仿宋" w:eastAsia="仿宋" w:cs="仿宋"/>
          <w:sz w:val="24"/>
          <w:szCs w:val="24"/>
        </w:rPr>
      </w:pPr>
    </w:p>
    <w:p>
      <w:pPr>
        <w:pStyle w:val="2"/>
        <w:numPr>
          <w:ilvl w:val="1"/>
          <w:numId w:val="4"/>
        </w:numPr>
        <w:bidi w:val="0"/>
        <w:ind w:left="567" w:leftChars="0" w:hanging="567" w:firstLineChars="0"/>
        <w:rPr>
          <w:rFonts w:hint="eastAsia" w:ascii="仿宋" w:hAnsi="仿宋" w:eastAsia="仿宋" w:cs="仿宋"/>
          <w:b w:val="0"/>
          <w:bCs/>
          <w:sz w:val="30"/>
          <w:szCs w:val="30"/>
        </w:rPr>
      </w:pPr>
      <w:bookmarkStart w:id="29" w:name="2.3.2.项目的服务对象和服务范围"/>
      <w:bookmarkEnd w:id="29"/>
      <w:bookmarkStart w:id="30" w:name="2.3.1.功能需求"/>
      <w:bookmarkEnd w:id="30"/>
      <w:bookmarkStart w:id="31" w:name="_Toc27799"/>
      <w:bookmarkStart w:id="32" w:name="_Toc30558"/>
      <w:r>
        <w:rPr>
          <w:rFonts w:hint="eastAsia" w:ascii="仿宋" w:hAnsi="仿宋" w:eastAsia="仿宋" w:cs="仿宋"/>
          <w:b w:val="0"/>
          <w:bCs/>
          <w:sz w:val="30"/>
          <w:szCs w:val="30"/>
        </w:rPr>
        <w:t>项目的服务对象和服务范围</w:t>
      </w:r>
      <w:bookmarkEnd w:id="31"/>
      <w:bookmarkEnd w:id="32"/>
    </w:p>
    <w:p>
      <w:pPr>
        <w:pStyle w:val="23"/>
        <w:spacing w:before="5"/>
        <w:rPr>
          <w:rFonts w:hint="eastAsia" w:ascii="仿宋" w:hAnsi="仿宋" w:eastAsia="仿宋" w:cs="仿宋"/>
          <w:sz w:val="24"/>
          <w:szCs w:val="24"/>
        </w:rPr>
      </w:pPr>
    </w:p>
    <w:p>
      <w:pPr>
        <w:pStyle w:val="23"/>
        <w:spacing w:before="8"/>
        <w:rPr>
          <w:rFonts w:hint="eastAsia" w:ascii="仿宋" w:hAnsi="仿宋" w:eastAsia="仿宋" w:cs="仿宋"/>
          <w:sz w:val="24"/>
          <w:szCs w:val="24"/>
        </w:rPr>
      </w:pPr>
      <w:r>
        <w:rPr>
          <w:rFonts w:hint="eastAsia" w:ascii="仿宋" w:hAnsi="仿宋" w:eastAsia="仿宋" w:cs="仿宋"/>
          <w:sz w:val="24"/>
          <w:szCs w:val="24"/>
        </w:rPr>
        <w:t>本项目服务于临平区教育局、各学校领导及工作人员。项目</w:t>
      </w:r>
      <w:r>
        <w:rPr>
          <w:rFonts w:hint="eastAsia" w:ascii="仿宋" w:hAnsi="仿宋" w:eastAsia="仿宋" w:cs="仿宋"/>
          <w:spacing w:val="-6"/>
          <w:sz w:val="24"/>
          <w:szCs w:val="24"/>
        </w:rPr>
        <w:t>所产生的数据经数据交换共享平台可与上级、其他部门共享使用，</w:t>
      </w:r>
      <w:r>
        <w:rPr>
          <w:rFonts w:hint="eastAsia" w:ascii="仿宋" w:hAnsi="仿宋" w:eastAsia="仿宋" w:cs="仿宋"/>
          <w:spacing w:val="-147"/>
          <w:sz w:val="24"/>
          <w:szCs w:val="24"/>
        </w:rPr>
        <w:t xml:space="preserve"> </w:t>
      </w:r>
      <w:r>
        <w:rPr>
          <w:rFonts w:hint="eastAsia" w:ascii="仿宋" w:hAnsi="仿宋" w:eastAsia="仿宋" w:cs="仿宋"/>
          <w:sz w:val="24"/>
          <w:szCs w:val="24"/>
        </w:rPr>
        <w:t>具体共享依情况决定。</w:t>
      </w:r>
    </w:p>
    <w:p>
      <w:pPr>
        <w:pStyle w:val="2"/>
        <w:numPr>
          <w:ilvl w:val="1"/>
          <w:numId w:val="4"/>
        </w:numPr>
        <w:bidi w:val="0"/>
        <w:ind w:left="567" w:leftChars="0" w:hanging="567" w:firstLineChars="0"/>
        <w:rPr>
          <w:rFonts w:hint="eastAsia" w:ascii="仿宋" w:hAnsi="仿宋" w:eastAsia="仿宋" w:cs="仿宋"/>
          <w:b w:val="0"/>
          <w:bCs/>
          <w:sz w:val="30"/>
          <w:szCs w:val="30"/>
        </w:rPr>
      </w:pPr>
      <w:bookmarkStart w:id="33" w:name="2.3.3.项目与已有系统的关系分析"/>
      <w:bookmarkEnd w:id="33"/>
      <w:bookmarkStart w:id="34" w:name="_Toc6387"/>
      <w:bookmarkStart w:id="35" w:name="_Toc16213"/>
      <w:r>
        <w:rPr>
          <w:rFonts w:hint="eastAsia" w:ascii="仿宋" w:hAnsi="仿宋" w:eastAsia="仿宋" w:cs="仿宋"/>
          <w:b w:val="0"/>
          <w:bCs/>
          <w:sz w:val="30"/>
          <w:szCs w:val="30"/>
        </w:rPr>
        <w:t>项目与已有系统的关系分析</w:t>
      </w:r>
      <w:bookmarkEnd w:id="34"/>
      <w:bookmarkEnd w:id="35"/>
    </w:p>
    <w:p>
      <w:pPr>
        <w:pStyle w:val="23"/>
        <w:spacing w:before="5"/>
        <w:rPr>
          <w:rFonts w:hint="eastAsia" w:ascii="仿宋" w:hAnsi="仿宋" w:eastAsia="仿宋" w:cs="仿宋"/>
          <w:sz w:val="24"/>
          <w:szCs w:val="24"/>
        </w:rPr>
      </w:pPr>
    </w:p>
    <w:p>
      <w:pPr>
        <w:pStyle w:val="23"/>
        <w:keepNext w:val="0"/>
        <w:keepLines w:val="0"/>
        <w:pageBreakBefore w:val="0"/>
        <w:widowControl w:val="0"/>
        <w:kinsoku/>
        <w:wordWrap/>
        <w:overflowPunct/>
        <w:topLinePunct w:val="0"/>
        <w:autoSpaceDE/>
        <w:autoSpaceDN/>
        <w:bidi w:val="0"/>
        <w:adjustRightInd w:val="0"/>
        <w:snapToGrid/>
        <w:spacing w:before="5"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当前临平区共有 202 个中小学，学校内部均已安装视频监控系统，功能方面较为基础，存储时长不少于 30 天。</w:t>
      </w:r>
    </w:p>
    <w:p>
      <w:pPr>
        <w:pStyle w:val="23"/>
        <w:keepNext w:val="0"/>
        <w:keepLines w:val="0"/>
        <w:pageBreakBefore w:val="0"/>
        <w:widowControl w:val="0"/>
        <w:kinsoku/>
        <w:wordWrap/>
        <w:overflowPunct/>
        <w:topLinePunct w:val="0"/>
        <w:autoSpaceDE/>
        <w:autoSpaceDN/>
        <w:bidi w:val="0"/>
        <w:adjustRightInd w:val="0"/>
        <w:snapToGrid/>
        <w:spacing w:before="5"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目的建设，结合当下主流视频监控技术、人工智能算法技术，除了弥补上述不足以外，支持对校园内部安防的数字化、信息化管理，支持通过数据交换平台将临平区校园安防相关数据进行聚合，让教育局、学校能够实时掌握校园安防的整体情况。</w:t>
      </w:r>
    </w:p>
    <w:p>
      <w:pPr>
        <w:pStyle w:val="3"/>
        <w:numPr>
          <w:ilvl w:val="0"/>
          <w:numId w:val="2"/>
        </w:numPr>
        <w:spacing w:line="240" w:lineRule="auto"/>
        <w:ind w:left="425" w:hanging="425"/>
        <w:rPr>
          <w:rFonts w:hint="eastAsia" w:ascii="仿宋" w:hAnsi="仿宋" w:eastAsia="仿宋" w:cs="仿宋"/>
          <w:b w:val="0"/>
          <w:bCs/>
          <w:sz w:val="32"/>
          <w:szCs w:val="32"/>
          <w:lang w:val="en-US" w:eastAsia="zh-CN"/>
        </w:rPr>
      </w:pPr>
      <w:bookmarkStart w:id="36" w:name="2.4.系统性能、安全、可靠性需求"/>
      <w:bookmarkEnd w:id="36"/>
      <w:bookmarkStart w:id="37" w:name="_Toc23053"/>
      <w:bookmarkStart w:id="38" w:name="_Toc710"/>
      <w:r>
        <w:rPr>
          <w:rFonts w:hint="eastAsia" w:ascii="仿宋" w:hAnsi="仿宋" w:eastAsia="仿宋" w:cs="仿宋"/>
          <w:b w:val="0"/>
          <w:bCs/>
          <w:sz w:val="32"/>
          <w:szCs w:val="32"/>
          <w:lang w:val="en-US" w:eastAsia="zh-CN"/>
        </w:rPr>
        <w:t>系统性能、安全、可靠性需求</w:t>
      </w:r>
      <w:bookmarkEnd w:id="37"/>
      <w:bookmarkEnd w:id="38"/>
    </w:p>
    <w:p>
      <w:pPr>
        <w:pStyle w:val="23"/>
        <w:spacing w:before="5"/>
        <w:rPr>
          <w:rFonts w:hint="eastAsia" w:ascii="仿宋" w:hAnsi="仿宋" w:eastAsia="仿宋" w:cs="仿宋"/>
          <w:sz w:val="24"/>
          <w:szCs w:val="24"/>
        </w:rPr>
      </w:pPr>
    </w:p>
    <w:p>
      <w:pPr>
        <w:pStyle w:val="2"/>
        <w:numPr>
          <w:ilvl w:val="1"/>
          <w:numId w:val="2"/>
        </w:numPr>
        <w:bidi w:val="0"/>
        <w:ind w:left="567" w:leftChars="0" w:hanging="567" w:firstLineChars="0"/>
        <w:rPr>
          <w:rFonts w:hint="eastAsia" w:ascii="仿宋" w:hAnsi="仿宋" w:eastAsia="仿宋" w:cs="仿宋"/>
          <w:b w:val="0"/>
          <w:bCs/>
          <w:sz w:val="30"/>
          <w:szCs w:val="30"/>
        </w:rPr>
      </w:pPr>
      <w:bookmarkStart w:id="39" w:name="2.4.1.总体性能要求"/>
      <w:bookmarkEnd w:id="39"/>
      <w:bookmarkStart w:id="40" w:name="_Toc14078"/>
      <w:bookmarkStart w:id="41" w:name="_Toc14282"/>
      <w:r>
        <w:rPr>
          <w:rFonts w:hint="eastAsia" w:ascii="仿宋" w:hAnsi="仿宋" w:eastAsia="仿宋" w:cs="仿宋"/>
          <w:b w:val="0"/>
          <w:bCs/>
          <w:sz w:val="30"/>
          <w:szCs w:val="30"/>
        </w:rPr>
        <w:t>总体性能要求</w:t>
      </w:r>
      <w:bookmarkEnd w:id="40"/>
      <w:bookmarkEnd w:id="41"/>
    </w:p>
    <w:p>
      <w:pPr>
        <w:pStyle w:val="23"/>
        <w:spacing w:before="3"/>
        <w:rPr>
          <w:rFonts w:hint="eastAsia" w:ascii="仿宋" w:hAnsi="仿宋" w:eastAsia="仿宋" w:cs="仿宋"/>
          <w:sz w:val="24"/>
          <w:szCs w:val="24"/>
        </w:rPr>
      </w:pPr>
    </w:p>
    <w:p>
      <w:pPr>
        <w:pStyle w:val="23"/>
        <w:spacing w:line="388" w:lineRule="auto"/>
        <w:ind w:right="30" w:rightChars="0" w:firstLine="476" w:firstLineChars="200"/>
        <w:jc w:val="both"/>
        <w:rPr>
          <w:rFonts w:hint="eastAsia" w:ascii="仿宋" w:hAnsi="仿宋" w:eastAsia="仿宋" w:cs="仿宋"/>
          <w:sz w:val="24"/>
          <w:szCs w:val="24"/>
        </w:rPr>
      </w:pPr>
      <w:r>
        <w:rPr>
          <w:rFonts w:hint="eastAsia" w:ascii="仿宋" w:hAnsi="仿宋" w:eastAsia="仿宋" w:cs="仿宋"/>
          <w:spacing w:val="-1"/>
          <w:sz w:val="24"/>
          <w:szCs w:val="24"/>
        </w:rPr>
        <w:t>在图像识别及软件方面，响应时间、更新处理时间、数据传送和转换时间、处理和解决问题时间，都比较迅速，能满足</w:t>
      </w:r>
      <w:r>
        <w:rPr>
          <w:rFonts w:hint="eastAsia" w:ascii="仿宋" w:hAnsi="仿宋" w:eastAsia="仿宋" w:cs="仿宋"/>
          <w:sz w:val="24"/>
          <w:szCs w:val="24"/>
        </w:rPr>
        <w:t>用户要求，整体响应时间需要保持：</w:t>
      </w:r>
    </w:p>
    <w:p>
      <w:pPr>
        <w:pStyle w:val="103"/>
        <w:numPr>
          <w:ilvl w:val="3"/>
          <w:numId w:val="5"/>
        </w:numPr>
        <w:tabs>
          <w:tab w:val="left" w:pos="1800"/>
        </w:tabs>
        <w:spacing w:before="0" w:after="0" w:line="321" w:lineRule="exact"/>
        <w:ind w:left="1800" w:right="0" w:hanging="840"/>
        <w:jc w:val="both"/>
        <w:rPr>
          <w:rFonts w:hint="eastAsia" w:ascii="仿宋" w:hAnsi="仿宋" w:eastAsia="仿宋" w:cs="仿宋"/>
          <w:sz w:val="24"/>
          <w:szCs w:val="24"/>
        </w:rPr>
      </w:pPr>
      <w:r>
        <w:rPr>
          <w:rFonts w:hint="eastAsia" w:ascii="仿宋" w:hAnsi="仿宋" w:eastAsia="仿宋" w:cs="仿宋"/>
          <w:sz w:val="24"/>
          <w:szCs w:val="24"/>
        </w:rPr>
        <w:t>用户并发数</w:t>
      </w:r>
    </w:p>
    <w:p>
      <w:pPr>
        <w:pStyle w:val="23"/>
        <w:spacing w:before="1"/>
        <w:rPr>
          <w:rFonts w:hint="eastAsia" w:ascii="仿宋" w:hAnsi="仿宋" w:eastAsia="仿宋" w:cs="仿宋"/>
          <w:sz w:val="24"/>
          <w:szCs w:val="24"/>
        </w:rPr>
      </w:pPr>
    </w:p>
    <w:p>
      <w:pPr>
        <w:pStyle w:val="23"/>
        <w:spacing w:line="388" w:lineRule="auto"/>
        <w:ind w:right="30" w:rightChars="0" w:firstLine="460" w:firstLineChars="200"/>
        <w:jc w:val="both"/>
        <w:rPr>
          <w:rFonts w:hint="eastAsia" w:ascii="仿宋" w:hAnsi="仿宋" w:eastAsia="仿宋" w:cs="仿宋"/>
          <w:sz w:val="24"/>
          <w:szCs w:val="24"/>
        </w:rPr>
      </w:pPr>
      <w:r>
        <w:rPr>
          <w:rFonts w:hint="eastAsia" w:ascii="仿宋" w:hAnsi="仿宋" w:eastAsia="仿宋" w:cs="仿宋"/>
          <w:spacing w:val="-5"/>
          <w:sz w:val="24"/>
          <w:szCs w:val="24"/>
        </w:rPr>
        <w:t xml:space="preserve">内部应用系统应当支持并发用户数不小于 </w:t>
      </w:r>
      <w:r>
        <w:rPr>
          <w:rFonts w:hint="eastAsia" w:ascii="仿宋" w:hAnsi="仿宋" w:eastAsia="仿宋" w:cs="仿宋"/>
          <w:sz w:val="24"/>
          <w:szCs w:val="24"/>
        </w:rPr>
        <w:t>10000</w:t>
      </w:r>
      <w:r>
        <w:rPr>
          <w:rFonts w:hint="eastAsia" w:ascii="仿宋" w:hAnsi="仿宋" w:eastAsia="仿宋" w:cs="仿宋"/>
          <w:spacing w:val="-16"/>
          <w:sz w:val="24"/>
          <w:szCs w:val="24"/>
        </w:rPr>
        <w:t xml:space="preserve"> 个。最大</w:t>
      </w:r>
      <w:r>
        <w:rPr>
          <w:rFonts w:hint="eastAsia" w:ascii="仿宋" w:hAnsi="仿宋" w:eastAsia="仿宋" w:cs="仿宋"/>
          <w:spacing w:val="-1"/>
          <w:sz w:val="24"/>
          <w:szCs w:val="24"/>
        </w:rPr>
        <w:t>并发用户数达到其系统设计要求时，各事务平均响应时间不应</w:t>
      </w:r>
      <w:r>
        <w:rPr>
          <w:rFonts w:hint="eastAsia" w:ascii="仿宋" w:hAnsi="仿宋" w:eastAsia="仿宋" w:cs="仿宋"/>
          <w:sz w:val="24"/>
          <w:szCs w:val="24"/>
        </w:rPr>
        <w:t>超过单用户平均响应时间的五倍。</w:t>
      </w:r>
    </w:p>
    <w:p>
      <w:pPr>
        <w:pStyle w:val="103"/>
        <w:numPr>
          <w:ilvl w:val="3"/>
          <w:numId w:val="5"/>
        </w:numPr>
        <w:tabs>
          <w:tab w:val="left" w:pos="1800"/>
        </w:tabs>
        <w:spacing w:before="0" w:after="0" w:line="324" w:lineRule="exact"/>
        <w:ind w:left="1800" w:right="0" w:hanging="840"/>
        <w:jc w:val="both"/>
        <w:rPr>
          <w:rFonts w:hint="eastAsia" w:ascii="仿宋" w:hAnsi="仿宋" w:eastAsia="仿宋" w:cs="仿宋"/>
          <w:sz w:val="24"/>
          <w:szCs w:val="24"/>
        </w:rPr>
      </w:pPr>
      <w:r>
        <w:rPr>
          <w:rFonts w:hint="eastAsia" w:ascii="仿宋" w:hAnsi="仿宋" w:eastAsia="仿宋" w:cs="仿宋"/>
          <w:sz w:val="24"/>
          <w:szCs w:val="24"/>
        </w:rPr>
        <w:t>安全稳定性</w:t>
      </w:r>
    </w:p>
    <w:p>
      <w:pPr>
        <w:pStyle w:val="23"/>
        <w:spacing w:before="1"/>
        <w:rPr>
          <w:rFonts w:hint="eastAsia" w:ascii="仿宋" w:hAnsi="仿宋" w:eastAsia="仿宋" w:cs="仿宋"/>
          <w:sz w:val="24"/>
          <w:szCs w:val="24"/>
        </w:rPr>
      </w:pPr>
    </w:p>
    <w:p>
      <w:pPr>
        <w:pStyle w:val="23"/>
        <w:spacing w:line="388" w:lineRule="auto"/>
        <w:ind w:right="30" w:rightChars="0" w:firstLine="428" w:firstLineChars="200"/>
        <w:rPr>
          <w:rFonts w:hint="eastAsia" w:ascii="仿宋" w:hAnsi="仿宋" w:eastAsia="仿宋" w:cs="仿宋"/>
          <w:sz w:val="24"/>
          <w:szCs w:val="24"/>
        </w:rPr>
      </w:pPr>
      <w:r>
        <w:rPr>
          <w:rFonts w:hint="eastAsia" w:ascii="仿宋" w:hAnsi="仿宋" w:eastAsia="仿宋" w:cs="仿宋"/>
          <w:spacing w:val="-13"/>
          <w:sz w:val="24"/>
          <w:szCs w:val="24"/>
        </w:rPr>
        <w:t xml:space="preserve">系统应提供 </w:t>
      </w:r>
      <w:r>
        <w:rPr>
          <w:rFonts w:hint="eastAsia" w:ascii="仿宋" w:hAnsi="仿宋" w:eastAsia="仿宋" w:cs="仿宋"/>
          <w:sz w:val="24"/>
          <w:szCs w:val="24"/>
        </w:rPr>
        <w:t>7</w:t>
      </w:r>
      <w:r>
        <w:rPr>
          <w:rFonts w:hint="eastAsia" w:ascii="仿宋" w:hAnsi="仿宋" w:eastAsia="仿宋" w:cs="仿宋"/>
          <w:spacing w:val="-26"/>
          <w:sz w:val="24"/>
          <w:szCs w:val="24"/>
        </w:rPr>
        <w:t xml:space="preserve"> 天×</w:t>
      </w:r>
      <w:r>
        <w:rPr>
          <w:rFonts w:hint="eastAsia" w:ascii="仿宋" w:hAnsi="仿宋" w:eastAsia="仿宋" w:cs="仿宋"/>
          <w:sz w:val="24"/>
          <w:szCs w:val="24"/>
        </w:rPr>
        <w:t>24</w:t>
      </w:r>
      <w:r>
        <w:rPr>
          <w:rFonts w:hint="eastAsia" w:ascii="仿宋" w:hAnsi="仿宋" w:eastAsia="仿宋" w:cs="仿宋"/>
          <w:spacing w:val="-9"/>
          <w:sz w:val="24"/>
          <w:szCs w:val="24"/>
        </w:rPr>
        <w:t xml:space="preserve"> 小时的连续运行，平均故障间隔时</w:t>
      </w:r>
      <w:r>
        <w:rPr>
          <w:rFonts w:hint="eastAsia" w:ascii="仿宋" w:hAnsi="仿宋" w:eastAsia="仿宋" w:cs="仿宋"/>
          <w:spacing w:val="-1"/>
          <w:sz w:val="24"/>
          <w:szCs w:val="24"/>
        </w:rPr>
        <w:t>间：&gt;7</w:t>
      </w:r>
      <w:r>
        <w:rPr>
          <w:rFonts w:hint="eastAsia" w:ascii="仿宋" w:hAnsi="仿宋" w:eastAsia="仿宋" w:cs="仿宋"/>
          <w:spacing w:val="-10"/>
          <w:sz w:val="24"/>
          <w:szCs w:val="24"/>
        </w:rPr>
        <w:t xml:space="preserve"> 天，平均故障修复时间：&lt;</w:t>
      </w:r>
      <w:r>
        <w:rPr>
          <w:rFonts w:hint="eastAsia" w:ascii="仿宋" w:hAnsi="仿宋" w:eastAsia="仿宋" w:cs="仿宋"/>
          <w:spacing w:val="-1"/>
          <w:sz w:val="24"/>
          <w:szCs w:val="24"/>
        </w:rPr>
        <w:t>30</w:t>
      </w:r>
      <w:r>
        <w:rPr>
          <w:rFonts w:hint="eastAsia" w:ascii="仿宋" w:hAnsi="仿宋" w:eastAsia="仿宋" w:cs="仿宋"/>
          <w:spacing w:val="-9"/>
          <w:sz w:val="24"/>
          <w:szCs w:val="24"/>
        </w:rPr>
        <w:t xml:space="preserve"> 分钟。系统应采用完善的</w:t>
      </w:r>
      <w:r>
        <w:rPr>
          <w:rFonts w:hint="eastAsia" w:ascii="仿宋" w:hAnsi="仿宋" w:eastAsia="仿宋" w:cs="仿宋"/>
          <w:sz w:val="24"/>
          <w:szCs w:val="24"/>
        </w:rPr>
        <w:t>安全管理，并能提供安全备份。</w:t>
      </w:r>
    </w:p>
    <w:p>
      <w:pPr>
        <w:spacing w:after="0" w:line="388" w:lineRule="auto"/>
        <w:rPr>
          <w:rFonts w:hint="eastAsia" w:ascii="仿宋" w:hAnsi="仿宋" w:eastAsia="仿宋" w:cs="仿宋"/>
          <w:sz w:val="24"/>
          <w:szCs w:val="24"/>
        </w:rPr>
        <w:sectPr>
          <w:pgSz w:w="11910" w:h="16840"/>
          <w:pgMar w:top="1500" w:right="1380" w:bottom="1280" w:left="1680" w:header="1108" w:footer="1089" w:gutter="0"/>
          <w:cols w:space="720" w:num="1"/>
        </w:sectPr>
      </w:pPr>
    </w:p>
    <w:p>
      <w:pPr>
        <w:pStyle w:val="23"/>
        <w:spacing w:before="8"/>
        <w:rPr>
          <w:rFonts w:hint="eastAsia" w:ascii="仿宋" w:hAnsi="仿宋" w:eastAsia="仿宋" w:cs="仿宋"/>
          <w:sz w:val="24"/>
          <w:szCs w:val="24"/>
        </w:rPr>
      </w:pPr>
    </w:p>
    <w:p>
      <w:pPr>
        <w:pStyle w:val="2"/>
        <w:numPr>
          <w:ilvl w:val="1"/>
          <w:numId w:val="2"/>
        </w:numPr>
        <w:bidi w:val="0"/>
        <w:ind w:left="567" w:leftChars="0" w:hanging="567" w:firstLineChars="0"/>
        <w:rPr>
          <w:rFonts w:hint="eastAsia" w:ascii="仿宋" w:hAnsi="仿宋" w:eastAsia="仿宋" w:cs="仿宋"/>
          <w:b w:val="0"/>
          <w:bCs/>
          <w:sz w:val="30"/>
          <w:szCs w:val="30"/>
        </w:rPr>
      </w:pPr>
      <w:bookmarkStart w:id="42" w:name="2.4.2.安全性需求"/>
      <w:bookmarkEnd w:id="42"/>
      <w:bookmarkStart w:id="43" w:name="_Toc17333"/>
      <w:bookmarkStart w:id="44" w:name="_Toc18956"/>
      <w:r>
        <w:rPr>
          <w:rFonts w:hint="eastAsia" w:ascii="仿宋" w:hAnsi="仿宋" w:eastAsia="仿宋" w:cs="仿宋"/>
          <w:b w:val="0"/>
          <w:bCs/>
          <w:sz w:val="30"/>
          <w:szCs w:val="30"/>
        </w:rPr>
        <w:t>安全性需求</w:t>
      </w:r>
      <w:bookmarkEnd w:id="43"/>
      <w:bookmarkEnd w:id="44"/>
    </w:p>
    <w:p>
      <w:pPr>
        <w:pStyle w:val="23"/>
        <w:spacing w:before="5"/>
        <w:rPr>
          <w:rFonts w:hint="eastAsia" w:ascii="仿宋" w:hAnsi="仿宋" w:eastAsia="仿宋" w:cs="仿宋"/>
          <w:sz w:val="24"/>
          <w:szCs w:val="24"/>
        </w:rPr>
      </w:pPr>
    </w:p>
    <w:p>
      <w:pPr>
        <w:pStyle w:val="103"/>
        <w:numPr>
          <w:ilvl w:val="0"/>
          <w:numId w:val="6"/>
        </w:numPr>
        <w:tabs>
          <w:tab w:val="left" w:pos="540"/>
        </w:tabs>
        <w:spacing w:before="0" w:after="0" w:line="240" w:lineRule="auto"/>
        <w:ind w:left="540" w:right="0" w:hanging="420"/>
        <w:jc w:val="left"/>
        <w:rPr>
          <w:rFonts w:hint="eastAsia" w:ascii="仿宋" w:hAnsi="仿宋" w:eastAsia="仿宋" w:cs="仿宋"/>
          <w:sz w:val="24"/>
          <w:szCs w:val="24"/>
        </w:rPr>
      </w:pPr>
      <w:r>
        <w:rPr>
          <w:rFonts w:hint="eastAsia" w:ascii="仿宋" w:hAnsi="仿宋" w:eastAsia="仿宋" w:cs="仿宋"/>
          <w:sz w:val="24"/>
          <w:szCs w:val="24"/>
        </w:rPr>
        <w:t>系统数据实时备份。</w:t>
      </w:r>
    </w:p>
    <w:p>
      <w:pPr>
        <w:pStyle w:val="103"/>
        <w:numPr>
          <w:ilvl w:val="0"/>
          <w:numId w:val="6"/>
        </w:numPr>
        <w:tabs>
          <w:tab w:val="left" w:pos="540"/>
        </w:tabs>
        <w:spacing w:before="239" w:after="0" w:line="240" w:lineRule="auto"/>
        <w:ind w:left="540" w:right="0" w:hanging="420"/>
        <w:jc w:val="left"/>
        <w:rPr>
          <w:rFonts w:hint="eastAsia" w:ascii="仿宋" w:hAnsi="仿宋" w:eastAsia="仿宋" w:cs="仿宋"/>
          <w:sz w:val="24"/>
          <w:szCs w:val="24"/>
        </w:rPr>
      </w:pPr>
      <w:r>
        <w:rPr>
          <w:rFonts w:hint="eastAsia" w:ascii="仿宋" w:hAnsi="仿宋" w:eastAsia="仿宋" w:cs="仿宋"/>
          <w:sz w:val="24"/>
          <w:szCs w:val="24"/>
        </w:rPr>
        <w:t>访问控制须到页面级，具备页面防篡改功能。</w:t>
      </w:r>
    </w:p>
    <w:p>
      <w:pPr>
        <w:pStyle w:val="103"/>
        <w:numPr>
          <w:ilvl w:val="0"/>
          <w:numId w:val="6"/>
        </w:numPr>
        <w:tabs>
          <w:tab w:val="left" w:pos="540"/>
        </w:tabs>
        <w:spacing w:before="240" w:after="0" w:line="240" w:lineRule="auto"/>
        <w:ind w:left="540" w:right="0" w:hanging="420"/>
        <w:jc w:val="left"/>
        <w:rPr>
          <w:rFonts w:hint="eastAsia" w:ascii="仿宋" w:hAnsi="仿宋" w:eastAsia="仿宋" w:cs="仿宋"/>
          <w:sz w:val="24"/>
          <w:szCs w:val="24"/>
        </w:rPr>
      </w:pPr>
      <w:r>
        <w:rPr>
          <w:rFonts w:hint="eastAsia" w:ascii="仿宋" w:hAnsi="仿宋" w:eastAsia="仿宋" w:cs="仿宋"/>
          <w:sz w:val="24"/>
          <w:szCs w:val="24"/>
        </w:rPr>
        <w:t>系统应具有较强灾难恢复能力。</w:t>
      </w:r>
    </w:p>
    <w:p>
      <w:pPr>
        <w:pStyle w:val="103"/>
        <w:numPr>
          <w:ilvl w:val="0"/>
          <w:numId w:val="6"/>
        </w:numPr>
        <w:tabs>
          <w:tab w:val="left" w:pos="540"/>
        </w:tabs>
        <w:spacing w:before="240" w:after="0" w:line="240" w:lineRule="auto"/>
        <w:ind w:left="540" w:right="0" w:hanging="420"/>
        <w:jc w:val="left"/>
        <w:rPr>
          <w:rFonts w:hint="eastAsia" w:ascii="仿宋" w:hAnsi="仿宋" w:eastAsia="仿宋" w:cs="仿宋"/>
          <w:sz w:val="24"/>
          <w:szCs w:val="24"/>
        </w:rPr>
      </w:pPr>
      <w:r>
        <w:rPr>
          <w:rFonts w:hint="eastAsia" w:ascii="仿宋" w:hAnsi="仿宋" w:eastAsia="仿宋" w:cs="仿宋"/>
          <w:sz w:val="24"/>
          <w:szCs w:val="24"/>
        </w:rPr>
        <w:t>所有的交互信息必须经过内容安全过滤。</w:t>
      </w:r>
    </w:p>
    <w:p>
      <w:pPr>
        <w:pStyle w:val="103"/>
        <w:numPr>
          <w:ilvl w:val="0"/>
          <w:numId w:val="6"/>
        </w:numPr>
        <w:tabs>
          <w:tab w:val="left" w:pos="540"/>
        </w:tabs>
        <w:spacing w:before="239" w:after="0" w:line="240" w:lineRule="auto"/>
        <w:ind w:left="540" w:right="0" w:hanging="420"/>
        <w:jc w:val="left"/>
        <w:rPr>
          <w:rFonts w:hint="eastAsia" w:ascii="仿宋" w:hAnsi="仿宋" w:eastAsia="仿宋" w:cs="仿宋"/>
          <w:sz w:val="24"/>
          <w:szCs w:val="24"/>
        </w:rPr>
      </w:pPr>
      <w:r>
        <w:rPr>
          <w:rFonts w:hint="eastAsia" w:ascii="仿宋" w:hAnsi="仿宋" w:eastAsia="仿宋" w:cs="仿宋"/>
          <w:sz w:val="24"/>
          <w:szCs w:val="24"/>
        </w:rPr>
        <w:t>系统应支持用户及用户组的设置。</w:t>
      </w:r>
    </w:p>
    <w:p>
      <w:pPr>
        <w:pStyle w:val="103"/>
        <w:numPr>
          <w:ilvl w:val="0"/>
          <w:numId w:val="6"/>
        </w:numPr>
        <w:tabs>
          <w:tab w:val="left" w:pos="540"/>
        </w:tabs>
        <w:spacing w:before="240" w:after="0" w:line="388" w:lineRule="auto"/>
        <w:ind w:left="540" w:right="655" w:hanging="420"/>
        <w:jc w:val="left"/>
        <w:rPr>
          <w:rFonts w:hint="eastAsia" w:ascii="仿宋" w:hAnsi="仿宋" w:eastAsia="仿宋" w:cs="仿宋"/>
          <w:sz w:val="24"/>
          <w:szCs w:val="24"/>
        </w:rPr>
      </w:pPr>
      <w:r>
        <w:rPr>
          <w:rFonts w:hint="eastAsia" w:ascii="仿宋" w:hAnsi="仿宋" w:eastAsia="仿宋" w:cs="仿宋"/>
          <w:spacing w:val="-1"/>
          <w:sz w:val="24"/>
          <w:szCs w:val="24"/>
        </w:rPr>
        <w:t xml:space="preserve">系统在登陆时应该输入密码，密码的位数不应小于 </w:t>
      </w:r>
      <w:r>
        <w:rPr>
          <w:rFonts w:hint="eastAsia" w:ascii="仿宋" w:hAnsi="仿宋" w:eastAsia="仿宋" w:cs="仿宋"/>
          <w:sz w:val="24"/>
          <w:szCs w:val="24"/>
        </w:rPr>
        <w:t>6</w:t>
      </w:r>
      <w:r>
        <w:rPr>
          <w:rFonts w:hint="eastAsia" w:ascii="仿宋" w:hAnsi="仿宋" w:eastAsia="仿宋" w:cs="仿宋"/>
          <w:spacing w:val="-3"/>
          <w:sz w:val="24"/>
          <w:szCs w:val="24"/>
        </w:rPr>
        <w:t xml:space="preserve"> 位，</w:t>
      </w:r>
      <w:r>
        <w:rPr>
          <w:rFonts w:hint="eastAsia" w:ascii="仿宋" w:hAnsi="仿宋" w:eastAsia="仿宋" w:cs="仿宋"/>
          <w:spacing w:val="-147"/>
          <w:sz w:val="24"/>
          <w:szCs w:val="24"/>
        </w:rPr>
        <w:t xml:space="preserve"> </w:t>
      </w:r>
      <w:r>
        <w:rPr>
          <w:rFonts w:hint="eastAsia" w:ascii="仿宋" w:hAnsi="仿宋" w:eastAsia="仿宋" w:cs="仿宋"/>
          <w:sz w:val="24"/>
          <w:szCs w:val="24"/>
        </w:rPr>
        <w:t>区分大小写。</w:t>
      </w:r>
    </w:p>
    <w:p>
      <w:pPr>
        <w:pStyle w:val="103"/>
        <w:numPr>
          <w:ilvl w:val="0"/>
          <w:numId w:val="6"/>
        </w:numPr>
        <w:tabs>
          <w:tab w:val="left" w:pos="540"/>
        </w:tabs>
        <w:spacing w:before="3" w:after="0" w:line="240" w:lineRule="auto"/>
        <w:ind w:left="540" w:right="0" w:hanging="420"/>
        <w:jc w:val="left"/>
        <w:rPr>
          <w:rFonts w:hint="eastAsia" w:ascii="仿宋" w:hAnsi="仿宋" w:eastAsia="仿宋" w:cs="仿宋"/>
          <w:sz w:val="24"/>
          <w:szCs w:val="24"/>
        </w:rPr>
      </w:pPr>
      <w:r>
        <w:rPr>
          <w:rFonts w:hint="eastAsia" w:ascii="仿宋" w:hAnsi="仿宋" w:eastAsia="仿宋" w:cs="仿宋"/>
          <w:sz w:val="24"/>
          <w:szCs w:val="24"/>
        </w:rPr>
        <w:t>系统应支持功能授权，即不同用户使用不同的功能。</w:t>
      </w:r>
    </w:p>
    <w:p>
      <w:pPr>
        <w:pStyle w:val="103"/>
        <w:numPr>
          <w:ilvl w:val="0"/>
          <w:numId w:val="6"/>
        </w:numPr>
        <w:tabs>
          <w:tab w:val="left" w:pos="540"/>
        </w:tabs>
        <w:spacing w:before="239" w:after="0" w:line="240" w:lineRule="auto"/>
        <w:ind w:left="540" w:right="0" w:hanging="420"/>
        <w:jc w:val="left"/>
        <w:rPr>
          <w:rFonts w:hint="eastAsia" w:ascii="仿宋" w:hAnsi="仿宋" w:eastAsia="仿宋" w:cs="仿宋"/>
          <w:sz w:val="24"/>
          <w:szCs w:val="24"/>
        </w:rPr>
      </w:pPr>
      <w:r>
        <w:rPr>
          <w:rFonts w:hint="eastAsia" w:ascii="仿宋" w:hAnsi="仿宋" w:eastAsia="仿宋" w:cs="仿宋"/>
          <w:sz w:val="24"/>
          <w:szCs w:val="24"/>
        </w:rPr>
        <w:t>系统应支持不同部门甚至不同用户之间数据查看的限制。</w:t>
      </w:r>
    </w:p>
    <w:p>
      <w:pPr>
        <w:pStyle w:val="103"/>
        <w:numPr>
          <w:ilvl w:val="0"/>
          <w:numId w:val="6"/>
        </w:numPr>
        <w:tabs>
          <w:tab w:val="left" w:pos="540"/>
        </w:tabs>
        <w:spacing w:before="240" w:after="0" w:line="240" w:lineRule="auto"/>
        <w:ind w:left="540" w:right="0" w:hanging="420"/>
        <w:jc w:val="left"/>
        <w:rPr>
          <w:rFonts w:hint="eastAsia" w:ascii="仿宋" w:hAnsi="仿宋" w:eastAsia="仿宋" w:cs="仿宋"/>
          <w:sz w:val="24"/>
          <w:szCs w:val="24"/>
        </w:rPr>
      </w:pPr>
      <w:r>
        <w:rPr>
          <w:rFonts w:hint="eastAsia" w:ascii="仿宋" w:hAnsi="仿宋" w:eastAsia="仿宋" w:cs="仿宋"/>
          <w:sz w:val="24"/>
          <w:szCs w:val="24"/>
        </w:rPr>
        <w:t>WEB</w:t>
      </w:r>
      <w:r>
        <w:rPr>
          <w:rFonts w:hint="eastAsia" w:ascii="仿宋" w:hAnsi="仿宋" w:eastAsia="仿宋" w:cs="仿宋"/>
          <w:spacing w:val="-1"/>
          <w:sz w:val="24"/>
          <w:szCs w:val="24"/>
        </w:rPr>
        <w:t xml:space="preserve"> 应用程序的数据在网络上传输时应该进行加密处理。</w:t>
      </w:r>
    </w:p>
    <w:p>
      <w:pPr>
        <w:pStyle w:val="103"/>
        <w:numPr>
          <w:ilvl w:val="0"/>
          <w:numId w:val="6"/>
        </w:numPr>
        <w:tabs>
          <w:tab w:val="left" w:pos="540"/>
        </w:tabs>
        <w:spacing w:before="239" w:after="0" w:line="388" w:lineRule="auto"/>
        <w:ind w:left="540" w:right="525" w:hanging="420"/>
        <w:jc w:val="left"/>
        <w:rPr>
          <w:rFonts w:hint="eastAsia" w:ascii="仿宋" w:hAnsi="仿宋" w:eastAsia="仿宋" w:cs="仿宋"/>
          <w:sz w:val="24"/>
          <w:szCs w:val="24"/>
        </w:rPr>
      </w:pPr>
      <w:r>
        <w:rPr>
          <w:rFonts w:hint="eastAsia" w:ascii="仿宋" w:hAnsi="仿宋" w:eastAsia="仿宋" w:cs="仿宋"/>
          <w:spacing w:val="-1"/>
          <w:sz w:val="24"/>
          <w:szCs w:val="24"/>
        </w:rPr>
        <w:t>需与系统层、网络层、数据层三方面安全软件进行良好的集</w:t>
      </w:r>
      <w:r>
        <w:rPr>
          <w:rFonts w:hint="eastAsia" w:ascii="仿宋" w:hAnsi="仿宋" w:eastAsia="仿宋" w:cs="仿宋"/>
          <w:sz w:val="24"/>
          <w:szCs w:val="24"/>
        </w:rPr>
        <w:t>成。</w:t>
      </w:r>
    </w:p>
    <w:p>
      <w:pPr>
        <w:pStyle w:val="2"/>
        <w:numPr>
          <w:ilvl w:val="1"/>
          <w:numId w:val="2"/>
        </w:numPr>
        <w:bidi w:val="0"/>
        <w:ind w:left="567" w:leftChars="0" w:hanging="567" w:firstLineChars="0"/>
        <w:rPr>
          <w:rFonts w:hint="eastAsia" w:ascii="仿宋" w:hAnsi="仿宋" w:eastAsia="仿宋" w:cs="仿宋"/>
          <w:b w:val="0"/>
          <w:bCs/>
          <w:sz w:val="30"/>
          <w:szCs w:val="30"/>
        </w:rPr>
      </w:pPr>
      <w:bookmarkStart w:id="45" w:name="2.4.3.可靠性需求"/>
      <w:bookmarkEnd w:id="45"/>
      <w:bookmarkStart w:id="46" w:name="_Toc22463"/>
      <w:bookmarkStart w:id="47" w:name="_Toc16306"/>
      <w:r>
        <w:rPr>
          <w:rFonts w:hint="eastAsia" w:ascii="仿宋" w:hAnsi="仿宋" w:eastAsia="仿宋" w:cs="仿宋"/>
          <w:b w:val="0"/>
          <w:bCs/>
          <w:sz w:val="30"/>
          <w:szCs w:val="30"/>
        </w:rPr>
        <w:t>可靠性需求</w:t>
      </w:r>
      <w:bookmarkEnd w:id="46"/>
      <w:bookmarkEnd w:id="47"/>
    </w:p>
    <w:p>
      <w:pPr>
        <w:pStyle w:val="23"/>
        <w:spacing w:before="5"/>
        <w:rPr>
          <w:rFonts w:hint="eastAsia" w:ascii="仿宋" w:hAnsi="仿宋" w:eastAsia="仿宋" w:cs="仿宋"/>
          <w:sz w:val="24"/>
          <w:szCs w:val="24"/>
        </w:rPr>
      </w:pPr>
    </w:p>
    <w:p>
      <w:pPr>
        <w:pStyle w:val="103"/>
        <w:numPr>
          <w:ilvl w:val="0"/>
          <w:numId w:val="6"/>
        </w:numPr>
        <w:tabs>
          <w:tab w:val="left" w:pos="540"/>
        </w:tabs>
        <w:spacing w:before="0" w:after="0" w:line="388" w:lineRule="auto"/>
        <w:ind w:left="540" w:right="525" w:hanging="420"/>
        <w:jc w:val="left"/>
        <w:rPr>
          <w:rFonts w:hint="eastAsia" w:ascii="仿宋" w:hAnsi="仿宋" w:eastAsia="仿宋" w:cs="仿宋"/>
          <w:sz w:val="24"/>
          <w:szCs w:val="24"/>
        </w:rPr>
      </w:pPr>
      <w:r>
        <w:rPr>
          <w:rFonts w:hint="eastAsia" w:ascii="仿宋" w:hAnsi="仿宋" w:eastAsia="仿宋" w:cs="仿宋"/>
          <w:spacing w:val="-12"/>
          <w:sz w:val="24"/>
          <w:szCs w:val="24"/>
        </w:rPr>
        <w:t xml:space="preserve">系统应支持一天 </w:t>
      </w:r>
      <w:r>
        <w:rPr>
          <w:rFonts w:hint="eastAsia" w:ascii="仿宋" w:hAnsi="仿宋" w:eastAsia="仿宋" w:cs="仿宋"/>
          <w:spacing w:val="-2"/>
          <w:sz w:val="24"/>
          <w:szCs w:val="24"/>
        </w:rPr>
        <w:t>24</w:t>
      </w:r>
      <w:r>
        <w:rPr>
          <w:rFonts w:hint="eastAsia" w:ascii="仿宋" w:hAnsi="仿宋" w:eastAsia="仿宋" w:cs="仿宋"/>
          <w:spacing w:val="-8"/>
          <w:sz w:val="24"/>
          <w:szCs w:val="24"/>
        </w:rPr>
        <w:t xml:space="preserve"> 小时，一周七天，一年 </w:t>
      </w:r>
      <w:r>
        <w:rPr>
          <w:rFonts w:hint="eastAsia" w:ascii="仿宋" w:hAnsi="仿宋" w:eastAsia="仿宋" w:cs="仿宋"/>
          <w:spacing w:val="-1"/>
          <w:sz w:val="24"/>
          <w:szCs w:val="24"/>
        </w:rPr>
        <w:t>365 天不间断运</w:t>
      </w:r>
      <w:r>
        <w:rPr>
          <w:rFonts w:hint="eastAsia" w:ascii="仿宋" w:hAnsi="仿宋" w:eastAsia="仿宋" w:cs="仿宋"/>
          <w:sz w:val="24"/>
          <w:szCs w:val="24"/>
        </w:rPr>
        <w:t>行。</w:t>
      </w:r>
    </w:p>
    <w:p>
      <w:pPr>
        <w:pStyle w:val="103"/>
        <w:numPr>
          <w:ilvl w:val="0"/>
          <w:numId w:val="6"/>
        </w:numPr>
        <w:tabs>
          <w:tab w:val="left" w:pos="540"/>
        </w:tabs>
        <w:spacing w:before="3" w:after="0" w:line="388" w:lineRule="auto"/>
        <w:ind w:left="540" w:right="805" w:hanging="420"/>
        <w:jc w:val="left"/>
        <w:rPr>
          <w:rFonts w:hint="eastAsia" w:ascii="仿宋" w:hAnsi="仿宋" w:eastAsia="仿宋" w:cs="仿宋"/>
          <w:sz w:val="24"/>
          <w:szCs w:val="24"/>
        </w:rPr>
      </w:pPr>
      <w:r>
        <w:rPr>
          <w:rFonts w:hint="eastAsia" w:ascii="仿宋" w:hAnsi="仿宋" w:eastAsia="仿宋" w:cs="仿宋"/>
          <w:spacing w:val="-1"/>
          <w:sz w:val="24"/>
          <w:szCs w:val="24"/>
        </w:rPr>
        <w:t>系统在连续一年的运行中因软件故障导致停机</w:t>
      </w:r>
      <w:r>
        <w:rPr>
          <w:rFonts w:hint="eastAsia" w:ascii="仿宋" w:hAnsi="仿宋" w:eastAsia="仿宋" w:cs="仿宋"/>
          <w:spacing w:val="-1"/>
          <w:kern w:val="2"/>
          <w:sz w:val="24"/>
          <w:szCs w:val="24"/>
          <w:lang w:val="en-US" w:eastAsia="zh-CN" w:bidi="ar-SA"/>
        </w:rPr>
        <w:t>的次数不得超过 5 次，单次系统修复时间不得超过 5 小时。</w:t>
      </w:r>
    </w:p>
    <w:p>
      <w:pPr>
        <w:pStyle w:val="103"/>
        <w:numPr>
          <w:ilvl w:val="0"/>
          <w:numId w:val="6"/>
        </w:numPr>
        <w:tabs>
          <w:tab w:val="left" w:pos="540"/>
        </w:tabs>
        <w:spacing w:before="2" w:after="0" w:line="240" w:lineRule="auto"/>
        <w:ind w:left="540" w:right="0" w:hanging="420"/>
        <w:jc w:val="left"/>
        <w:rPr>
          <w:rFonts w:hint="eastAsia" w:ascii="仿宋" w:hAnsi="仿宋" w:eastAsia="仿宋" w:cs="仿宋"/>
          <w:lang w:val="en-US" w:eastAsia="zh-CN"/>
        </w:rPr>
      </w:pPr>
      <w:r>
        <w:rPr>
          <w:rFonts w:hint="eastAsia" w:ascii="仿宋" w:hAnsi="仿宋" w:eastAsia="仿宋" w:cs="仿宋"/>
          <w:sz w:val="24"/>
          <w:szCs w:val="24"/>
        </w:rPr>
        <w:t>系统不能出现大的程序错误。</w:t>
      </w:r>
    </w:p>
    <w:p>
      <w:pPr>
        <w:pStyle w:val="103"/>
        <w:numPr>
          <w:ilvl w:val="0"/>
          <w:numId w:val="6"/>
        </w:numPr>
        <w:tabs>
          <w:tab w:val="left" w:pos="540"/>
        </w:tabs>
        <w:spacing w:before="240" w:after="0" w:line="240" w:lineRule="auto"/>
        <w:ind w:left="540" w:right="0" w:hanging="420"/>
        <w:jc w:val="left"/>
        <w:rPr>
          <w:rFonts w:hint="eastAsia" w:ascii="仿宋" w:hAnsi="仿宋" w:eastAsia="仿宋" w:cs="仿宋"/>
          <w:sz w:val="24"/>
          <w:szCs w:val="24"/>
        </w:rPr>
      </w:pPr>
      <w:r>
        <w:rPr>
          <w:rFonts w:hint="eastAsia" w:ascii="仿宋" w:hAnsi="仿宋" w:eastAsia="仿宋" w:cs="仿宋"/>
          <w:sz w:val="24"/>
          <w:szCs w:val="24"/>
        </w:rPr>
        <w:t>系统在瘫痪后能够在短时间内迅速恢复。</w:t>
      </w:r>
    </w:p>
    <w:p>
      <w:pPr>
        <w:pStyle w:val="103"/>
        <w:numPr>
          <w:ilvl w:val="0"/>
          <w:numId w:val="6"/>
        </w:numPr>
        <w:tabs>
          <w:tab w:val="left" w:pos="540"/>
        </w:tabs>
        <w:spacing w:before="239" w:after="0" w:line="240" w:lineRule="auto"/>
        <w:ind w:left="540" w:right="0" w:hanging="420"/>
        <w:jc w:val="left"/>
        <w:rPr>
          <w:rFonts w:hint="eastAsia" w:ascii="仿宋" w:hAnsi="仿宋" w:eastAsia="仿宋" w:cs="仿宋"/>
          <w:sz w:val="24"/>
          <w:szCs w:val="24"/>
        </w:rPr>
      </w:pPr>
      <w:r>
        <w:rPr>
          <w:rFonts w:hint="eastAsia" w:ascii="仿宋" w:hAnsi="仿宋" w:eastAsia="仿宋" w:cs="仿宋"/>
          <w:spacing w:val="-1"/>
          <w:sz w:val="24"/>
          <w:szCs w:val="24"/>
        </w:rPr>
        <w:t>系统在用户出现错误操作时能进行提示，并自动停止该操作。</w:t>
      </w:r>
    </w:p>
    <w:p>
      <w:pPr>
        <w:pStyle w:val="23"/>
        <w:rPr>
          <w:rFonts w:hint="eastAsia" w:ascii="仿宋" w:hAnsi="仿宋" w:eastAsia="仿宋" w:cs="仿宋"/>
          <w:lang w:val="en-US" w:eastAsia="zh-CN"/>
        </w:rPr>
        <w:sectPr>
          <w:pgSz w:w="11910" w:h="16840"/>
          <w:pgMar w:top="1500" w:right="1380" w:bottom="1280" w:left="1680" w:header="1108" w:footer="1089" w:gutter="0"/>
          <w:cols w:space="720" w:num="1"/>
        </w:sectPr>
      </w:pPr>
    </w:p>
    <w:p>
      <w:pPr>
        <w:pStyle w:val="23"/>
        <w:spacing w:before="3" w:line="388" w:lineRule="auto"/>
        <w:ind w:right="417"/>
        <w:jc w:val="both"/>
        <w:rPr>
          <w:rFonts w:hint="eastAsia" w:ascii="仿宋" w:hAnsi="仿宋" w:eastAsia="仿宋" w:cs="仿宋"/>
        </w:rPr>
      </w:pPr>
    </w:p>
    <w:p>
      <w:pPr>
        <w:pStyle w:val="3"/>
        <w:pageBreakBefore w:val="0"/>
        <w:widowControl w:val="0"/>
        <w:numPr>
          <w:ilvl w:val="0"/>
          <w:numId w:val="2"/>
        </w:numPr>
        <w:kinsoku/>
        <w:wordWrap/>
        <w:overflowPunct/>
        <w:topLinePunct w:val="0"/>
        <w:autoSpaceDE/>
        <w:autoSpaceDN/>
        <w:bidi w:val="0"/>
        <w:adjustRightInd w:val="0"/>
        <w:snapToGrid/>
        <w:spacing w:line="240" w:lineRule="auto"/>
        <w:ind w:left="425" w:leftChars="0" w:hanging="425" w:firstLineChars="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平台建设目标</w:t>
      </w:r>
    </w:p>
    <w:p>
      <w:pPr>
        <w:pStyle w:val="2"/>
        <w:numPr>
          <w:ilvl w:val="1"/>
          <w:numId w:val="2"/>
        </w:numPr>
        <w:bidi w:val="0"/>
        <w:ind w:left="567" w:leftChars="0" w:hanging="567" w:firstLineChars="0"/>
        <w:rPr>
          <w:rFonts w:hint="eastAsia" w:ascii="仿宋" w:hAnsi="仿宋" w:eastAsia="仿宋" w:cs="仿宋"/>
          <w:b w:val="0"/>
          <w:bCs/>
        </w:rPr>
      </w:pPr>
      <w:bookmarkStart w:id="48" w:name="3.1.建设目标"/>
      <w:bookmarkEnd w:id="48"/>
      <w:bookmarkStart w:id="49" w:name="_Toc10805"/>
      <w:bookmarkStart w:id="50" w:name="_Toc9592"/>
      <w:r>
        <w:rPr>
          <w:rFonts w:hint="eastAsia" w:ascii="仿宋" w:hAnsi="仿宋" w:eastAsia="仿宋" w:cs="仿宋"/>
          <w:b w:val="0"/>
          <w:bCs/>
        </w:rPr>
        <w:t>建设目标</w:t>
      </w:r>
      <w:bookmarkEnd w:id="49"/>
      <w:bookmarkEnd w:id="50"/>
    </w:p>
    <w:p>
      <w:pPr>
        <w:bidi w:val="0"/>
        <w:rPr>
          <w:rFonts w:hint="eastAsia" w:ascii="仿宋" w:hAnsi="仿宋" w:eastAsia="仿宋" w:cs="仿宋"/>
        </w:rPr>
      </w:pPr>
    </w:p>
    <w:p>
      <w:pPr>
        <w:pStyle w:val="4"/>
        <w:numPr>
          <w:ilvl w:val="2"/>
          <w:numId w:val="2"/>
        </w:numPr>
        <w:bidi w:val="0"/>
        <w:ind w:left="709" w:leftChars="0" w:hanging="709" w:firstLineChars="0"/>
        <w:rPr>
          <w:rFonts w:hint="eastAsia" w:ascii="仿宋" w:hAnsi="仿宋" w:eastAsia="仿宋" w:cs="仿宋"/>
          <w:b w:val="0"/>
          <w:bCs/>
        </w:rPr>
      </w:pPr>
      <w:bookmarkStart w:id="51" w:name="3.1.1.教育底座建设目标"/>
      <w:bookmarkEnd w:id="51"/>
      <w:bookmarkStart w:id="52" w:name="_Toc21341"/>
      <w:bookmarkStart w:id="53" w:name="_Toc332"/>
      <w:r>
        <w:rPr>
          <w:rFonts w:hint="eastAsia" w:ascii="仿宋" w:hAnsi="仿宋" w:eastAsia="仿宋" w:cs="仿宋"/>
          <w:b w:val="0"/>
          <w:bCs/>
        </w:rPr>
        <w:t>教育底座建设目标</w:t>
      </w:r>
      <w:bookmarkEnd w:id="52"/>
      <w:bookmarkEnd w:id="53"/>
    </w:p>
    <w:p>
      <w:pPr>
        <w:pStyle w:val="23"/>
        <w:spacing w:before="5"/>
        <w:rPr>
          <w:rFonts w:hint="eastAsia" w:ascii="仿宋" w:hAnsi="仿宋" w:eastAsia="仿宋" w:cs="仿宋"/>
          <w:sz w:val="23"/>
        </w:rPr>
      </w:pPr>
    </w:p>
    <w:p>
      <w:pPr>
        <w:pStyle w:val="23"/>
        <w:spacing w:line="388" w:lineRule="auto"/>
        <w:ind w:right="30" w:rightChars="0"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“教育底座”工程牢固树立“分析、综合、迭代”的逻辑思维，遵循“构建 2 大教育中心，9 大教育数智底座应用</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w:t>
      </w:r>
    </w:p>
    <w:p>
      <w:pPr>
        <w:pStyle w:val="23"/>
        <w:spacing w:line="388" w:lineRule="auto"/>
        <w:ind w:right="30" w:rightChars="0"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1.</w:t>
      </w:r>
      <w:r>
        <w:rPr>
          <w:rFonts w:hint="eastAsia" w:ascii="仿宋" w:hAnsi="仿宋" w:eastAsia="仿宋" w:cs="仿宋"/>
          <w:spacing w:val="-1"/>
          <w:sz w:val="24"/>
          <w:szCs w:val="24"/>
        </w:rPr>
        <w:t>构建 2 大中心</w:t>
      </w:r>
    </w:p>
    <w:p>
      <w:pPr>
        <w:pStyle w:val="23"/>
        <w:spacing w:line="388" w:lineRule="auto"/>
        <w:ind w:right="30" w:rightChars="0"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包含组织中心、数据中心，是整体平台建设的核心。</w:t>
      </w:r>
    </w:p>
    <w:p>
      <w:pPr>
        <w:pStyle w:val="23"/>
        <w:spacing w:line="388" w:lineRule="auto"/>
        <w:ind w:right="30" w:rightChars="0"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2．构建 9 大教育数智底座应用</w:t>
      </w:r>
    </w:p>
    <w:p>
      <w:pPr>
        <w:pStyle w:val="23"/>
        <w:spacing w:line="388" w:lineRule="auto"/>
        <w:ind w:right="30" w:rightChars="0"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用于满足教育局对教育数智化管理的基本功能,是其他创新应用、学校的个性化应用的基础，分别为：统一地图服务、统一消息中心、计划任务系统、内容管理系统、统一感知运维、AI 视觉计算服务、监控云可视化服务、信息分析中心、事件处置&amp; 风险控制中心。</w:t>
      </w:r>
    </w:p>
    <w:p>
      <w:pPr>
        <w:pStyle w:val="4"/>
        <w:numPr>
          <w:ilvl w:val="2"/>
          <w:numId w:val="2"/>
        </w:numPr>
        <w:bidi w:val="0"/>
        <w:ind w:left="709" w:leftChars="0" w:hanging="709" w:firstLineChars="0"/>
        <w:rPr>
          <w:rFonts w:hint="eastAsia" w:ascii="仿宋" w:hAnsi="仿宋" w:eastAsia="仿宋" w:cs="仿宋"/>
          <w:b w:val="0"/>
          <w:bCs/>
        </w:rPr>
      </w:pPr>
      <w:bookmarkStart w:id="54" w:name="3.1.2.平安校园建设目标"/>
      <w:bookmarkEnd w:id="54"/>
      <w:bookmarkStart w:id="55" w:name="_Toc25884"/>
      <w:bookmarkStart w:id="56" w:name="_Toc21590"/>
      <w:r>
        <w:rPr>
          <w:rFonts w:hint="eastAsia" w:ascii="仿宋" w:hAnsi="仿宋" w:eastAsia="仿宋" w:cs="仿宋"/>
          <w:b w:val="0"/>
          <w:bCs/>
        </w:rPr>
        <w:t>平安校园建设目标</w:t>
      </w:r>
      <w:bookmarkEnd w:id="55"/>
      <w:bookmarkEnd w:id="56"/>
    </w:p>
    <w:p>
      <w:pPr>
        <w:pStyle w:val="23"/>
        <w:spacing w:before="5"/>
        <w:rPr>
          <w:rFonts w:hint="eastAsia" w:ascii="仿宋" w:hAnsi="仿宋" w:eastAsia="仿宋" w:cs="仿宋"/>
          <w:sz w:val="23"/>
        </w:rPr>
      </w:pPr>
    </w:p>
    <w:p>
      <w:pPr>
        <w:rPr>
          <w:rFonts w:hint="eastAsia" w:ascii="仿宋" w:hAnsi="仿宋" w:eastAsia="仿宋" w:cs="仿宋"/>
          <w:lang w:eastAsia="zh-CN"/>
        </w:rPr>
      </w:pPr>
      <w:r>
        <w:rPr>
          <w:rFonts w:hint="eastAsia" w:ascii="仿宋" w:hAnsi="仿宋" w:eastAsia="仿宋" w:cs="仿宋"/>
          <w:lang w:eastAsia="zh-CN"/>
        </w:rPr>
        <w:tab/>
      </w:r>
    </w:p>
    <w:p>
      <w:pPr>
        <w:pStyle w:val="23"/>
        <w:spacing w:line="388" w:lineRule="auto"/>
        <w:ind w:right="30" w:rightChars="0"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1.</w:t>
      </w:r>
      <w:r>
        <w:rPr>
          <w:rFonts w:hint="eastAsia" w:ascii="仿宋" w:hAnsi="仿宋" w:eastAsia="仿宋" w:cs="仿宋"/>
          <w:spacing w:val="-1"/>
          <w:sz w:val="24"/>
          <w:szCs w:val="24"/>
        </w:rPr>
        <w:t>提升 6 项关键能力——“智能感知、主动服务、精准管理、科学决策、立体监督、高效协同”</w:t>
      </w:r>
    </w:p>
    <w:p>
      <w:pPr>
        <w:pStyle w:val="23"/>
        <w:spacing w:line="388" w:lineRule="auto"/>
        <w:ind w:right="30" w:rightChars="0"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提升感知、服务、管理、决策、监督、协同六个方面的数字化、智能化水平，实现治理业务全在线和治理数据全贯通，加快推动感知从“局部”到“全景”的转变，服务从“需求”到“供给”的转变，管理从“碎片”到“整体”的转变，决策从“经验” 到“模型”的转变，监督从“单一”到“多元”的转变，协同从“有界”到“无限”的转变。</w:t>
      </w:r>
    </w:p>
    <w:p>
      <w:pPr>
        <w:pStyle w:val="23"/>
        <w:numPr>
          <w:ilvl w:val="0"/>
          <w:numId w:val="7"/>
        </w:numPr>
        <w:spacing w:line="388" w:lineRule="auto"/>
        <w:ind w:right="30" w:rightChars="0"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 xml:space="preserve">基于三化管理方法在校园五维安全领域，创新 X 个应用 </w:t>
      </w:r>
    </w:p>
    <w:p>
      <w:pPr>
        <w:pStyle w:val="23"/>
        <w:spacing w:line="388" w:lineRule="auto"/>
        <w:ind w:right="30" w:rightChars="0"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面向校园安全领域核心业务，系统设计教育治理数字化场景，打造跨层级、跨地域、跨系统、跨部门、跨业务的典型应用，为教育数字化应用生态体系注入发展动能。搭建“1+5+X”的校园 安全管理信息化平台，实现重点部位可视化管理、进校人员和车辆信息核验监管、校园隐患治理督办闭环管理、校园风险预警管理、疫情防控五大功能，并通过强化校园安全管理数据与公安系统联动，重点部位监控系统与报警系统联网。对全区 206 个校（园） 点门口视频监控、外来访客管理以及校园周界报警、电子巡更等进行一系列安防硬件优化改造升级。依托校园监控云，通过云系统+AI 视觉方式，努力提升对校园、重点部位及周边突发事件的前端感知，并根据前端感知与学校实际情况进行安全风险预警赋 色，切实提升校园安全预判预防能力，全力保障校园安全稳定。</w:t>
      </w:r>
    </w:p>
    <w:p>
      <w:pPr>
        <w:pStyle w:val="23"/>
        <w:spacing w:line="388" w:lineRule="auto"/>
        <w:ind w:right="30" w:rightChars="0" w:firstLine="476" w:firstLineChars="200"/>
        <w:jc w:val="both"/>
        <w:rPr>
          <w:rFonts w:hint="eastAsia" w:ascii="仿宋" w:hAnsi="仿宋" w:eastAsia="仿宋" w:cs="仿宋"/>
        </w:rPr>
      </w:pPr>
      <w:r>
        <w:rPr>
          <w:rFonts w:hint="eastAsia" w:ascii="仿宋" w:hAnsi="仿宋" w:eastAsia="仿宋" w:cs="仿宋"/>
          <w:spacing w:val="-1"/>
          <w:sz w:val="24"/>
          <w:szCs w:val="24"/>
          <w:lang w:val="en-US" w:eastAsia="zh-CN"/>
        </w:rPr>
        <w:t>3.</w:t>
      </w:r>
      <w:r>
        <w:rPr>
          <w:rFonts w:hint="eastAsia" w:ascii="仿宋" w:hAnsi="仿宋" w:eastAsia="仿宋" w:cs="仿宋"/>
          <w:spacing w:val="-1"/>
          <w:sz w:val="24"/>
          <w:szCs w:val="24"/>
        </w:rPr>
        <w:t>建立三化管理方法在校园五维安全上的最佳智慧应用实践。</w:t>
      </w:r>
    </w:p>
    <w:p>
      <w:pPr>
        <w:pStyle w:val="103"/>
        <w:numPr>
          <w:ilvl w:val="4"/>
          <w:numId w:val="8"/>
        </w:numPr>
        <w:tabs>
          <w:tab w:val="left" w:pos="1800"/>
        </w:tabs>
        <w:spacing w:before="230" w:after="0" w:line="240" w:lineRule="auto"/>
        <w:ind w:left="1800" w:right="0" w:hanging="660"/>
        <w:jc w:val="left"/>
        <w:rPr>
          <w:rFonts w:hint="eastAsia" w:ascii="仿宋" w:hAnsi="仿宋" w:eastAsia="仿宋" w:cs="仿宋"/>
          <w:spacing w:val="-1"/>
          <w:kern w:val="2"/>
          <w:sz w:val="24"/>
          <w:szCs w:val="24"/>
          <w:lang w:val="en-US" w:eastAsia="zh-CN" w:bidi="ar-SA"/>
        </w:rPr>
      </w:pPr>
      <w:r>
        <w:rPr>
          <w:rFonts w:hint="eastAsia" w:ascii="仿宋" w:hAnsi="仿宋" w:eastAsia="仿宋" w:cs="仿宋"/>
          <w:spacing w:val="-1"/>
          <w:kern w:val="2"/>
          <w:sz w:val="24"/>
          <w:szCs w:val="24"/>
          <w:lang w:val="en-US" w:eastAsia="zh-CN" w:bidi="ar-SA"/>
        </w:rPr>
        <w:t>三化管理</w:t>
      </w:r>
    </w:p>
    <w:p>
      <w:pPr>
        <w:pStyle w:val="103"/>
        <w:numPr>
          <w:ilvl w:val="0"/>
          <w:numId w:val="0"/>
        </w:numPr>
        <w:tabs>
          <w:tab w:val="left" w:pos="540"/>
        </w:tabs>
        <w:spacing w:before="239" w:after="0" w:line="388" w:lineRule="auto"/>
        <w:ind w:leftChars="200" w:right="417" w:rightChars="0" w:firstLine="476" w:firstLineChars="200"/>
        <w:jc w:val="left"/>
        <w:rPr>
          <w:rFonts w:hint="eastAsia" w:ascii="仿宋" w:hAnsi="仿宋" w:eastAsia="仿宋" w:cs="仿宋"/>
          <w:spacing w:val="-1"/>
          <w:kern w:val="2"/>
          <w:sz w:val="24"/>
          <w:szCs w:val="24"/>
          <w:lang w:val="en-US" w:eastAsia="zh-CN" w:bidi="ar-SA"/>
        </w:rPr>
      </w:pPr>
      <w:r>
        <w:rPr>
          <w:rFonts w:hint="eastAsia" w:ascii="仿宋" w:hAnsi="仿宋" w:eastAsia="仿宋" w:cs="仿宋"/>
          <w:spacing w:val="-1"/>
          <w:kern w:val="2"/>
          <w:sz w:val="24"/>
          <w:szCs w:val="24"/>
          <w:lang w:val="en-US" w:eastAsia="zh-CN" w:bidi="ar-SA"/>
        </w:rPr>
        <w:t>清单化：以内容+职责。对所有校园安全相关工作清单化，做到管理内容、管理职责清晰。</w:t>
      </w:r>
    </w:p>
    <w:p>
      <w:pPr>
        <w:pStyle w:val="103"/>
        <w:numPr>
          <w:ilvl w:val="0"/>
          <w:numId w:val="0"/>
        </w:numPr>
        <w:tabs>
          <w:tab w:val="left" w:pos="540"/>
        </w:tabs>
        <w:spacing w:before="3" w:after="0" w:line="388" w:lineRule="auto"/>
        <w:ind w:leftChars="200" w:right="417" w:rightChars="0" w:firstLine="476" w:firstLineChars="200"/>
        <w:jc w:val="left"/>
        <w:rPr>
          <w:rFonts w:hint="eastAsia" w:ascii="仿宋" w:hAnsi="仿宋" w:eastAsia="仿宋" w:cs="仿宋"/>
          <w:spacing w:val="-1"/>
          <w:kern w:val="2"/>
          <w:sz w:val="24"/>
          <w:szCs w:val="24"/>
          <w:lang w:val="en-US" w:eastAsia="zh-CN" w:bidi="ar-SA"/>
        </w:rPr>
      </w:pPr>
      <w:r>
        <w:rPr>
          <w:rFonts w:hint="eastAsia" w:ascii="仿宋" w:hAnsi="仿宋" w:eastAsia="仿宋" w:cs="仿宋"/>
          <w:spacing w:val="-1"/>
          <w:kern w:val="2"/>
          <w:sz w:val="24"/>
          <w:szCs w:val="24"/>
          <w:lang w:val="en-US" w:eastAsia="zh-CN" w:bidi="ar-SA"/>
        </w:rPr>
        <w:t>网格化：以时间+空间。对管理对象进行空间维度、类型聚合等方式进行网格化招人划分，明确时间线的工作。</w:t>
      </w:r>
    </w:p>
    <w:p>
      <w:pPr>
        <w:pStyle w:val="103"/>
        <w:numPr>
          <w:ilvl w:val="0"/>
          <w:numId w:val="0"/>
        </w:numPr>
        <w:tabs>
          <w:tab w:val="left" w:pos="540"/>
        </w:tabs>
        <w:spacing w:before="3" w:after="0" w:line="388" w:lineRule="auto"/>
        <w:ind w:leftChars="200" w:right="505" w:rightChars="0" w:firstLine="476" w:firstLineChars="200"/>
        <w:jc w:val="left"/>
        <w:rPr>
          <w:rFonts w:hint="eastAsia" w:ascii="仿宋" w:hAnsi="仿宋" w:eastAsia="仿宋" w:cs="仿宋"/>
          <w:spacing w:val="-1"/>
          <w:kern w:val="2"/>
          <w:sz w:val="24"/>
          <w:szCs w:val="24"/>
          <w:lang w:val="en-US" w:eastAsia="zh-CN" w:bidi="ar-SA"/>
        </w:rPr>
      </w:pPr>
      <w:r>
        <w:rPr>
          <w:rFonts w:hint="eastAsia" w:ascii="仿宋" w:hAnsi="仿宋" w:eastAsia="仿宋" w:cs="仿宋"/>
          <w:spacing w:val="-1"/>
          <w:kern w:val="2"/>
          <w:sz w:val="24"/>
          <w:szCs w:val="24"/>
          <w:lang w:val="en-US" w:eastAsia="zh-CN" w:bidi="ar-SA"/>
        </w:rPr>
        <w:t>数字化：数据驱动。数智化让全区各校信息和事件可看、可控、可统计、可追溯。减负高效，数字赋能平安校园。</w:t>
      </w:r>
    </w:p>
    <w:p>
      <w:pPr>
        <w:pStyle w:val="103"/>
        <w:numPr>
          <w:ilvl w:val="4"/>
          <w:numId w:val="8"/>
        </w:numPr>
        <w:tabs>
          <w:tab w:val="left" w:pos="1800"/>
        </w:tabs>
        <w:spacing w:before="2" w:after="0" w:line="240" w:lineRule="auto"/>
        <w:ind w:left="1800" w:right="0" w:hanging="660"/>
        <w:jc w:val="left"/>
        <w:rPr>
          <w:rFonts w:hint="eastAsia" w:ascii="仿宋" w:hAnsi="仿宋" w:eastAsia="仿宋" w:cs="仿宋"/>
          <w:spacing w:val="-1"/>
          <w:kern w:val="2"/>
          <w:sz w:val="24"/>
          <w:szCs w:val="24"/>
          <w:lang w:val="en-US" w:eastAsia="zh-CN" w:bidi="ar-SA"/>
        </w:rPr>
      </w:pPr>
      <w:r>
        <w:rPr>
          <w:rFonts w:hint="eastAsia" w:ascii="仿宋" w:hAnsi="仿宋" w:eastAsia="仿宋" w:cs="仿宋"/>
          <w:spacing w:val="-1"/>
          <w:kern w:val="2"/>
          <w:sz w:val="24"/>
          <w:szCs w:val="24"/>
          <w:lang w:val="en-US" w:eastAsia="zh-CN" w:bidi="ar-SA"/>
        </w:rPr>
        <w:t>五维安全</w:t>
      </w:r>
    </w:p>
    <w:p>
      <w:pPr>
        <w:pStyle w:val="23"/>
        <w:spacing w:line="388" w:lineRule="auto"/>
        <w:ind w:right="30" w:rightChars="0" w:firstLine="476" w:firstLineChars="200"/>
        <w:jc w:val="both"/>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提升校园“三防”（人防、物防、技防)建设水平，将“三防” 内容具象化到：人员安全、安全事件、场所安全、设备安全（物防）、安全教育等五维。</w:t>
      </w:r>
    </w:p>
    <w:p>
      <w:pPr>
        <w:pStyle w:val="23"/>
        <w:spacing w:line="388" w:lineRule="auto"/>
        <w:ind w:right="30" w:rightChars="0" w:firstLine="476" w:firstLineChars="200"/>
        <w:jc w:val="both"/>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（一）人员安全管理目标：权责理清、齐抓共管</w:t>
      </w:r>
    </w:p>
    <w:p>
      <w:pPr>
        <w:pStyle w:val="23"/>
        <w:spacing w:line="388" w:lineRule="auto"/>
        <w:ind w:right="30" w:rightChars="0"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（二）安全事件管理目标：提前干预、事事闭环</w:t>
      </w:r>
    </w:p>
    <w:p>
      <w:pPr>
        <w:pStyle w:val="23"/>
        <w:spacing w:line="388" w:lineRule="auto"/>
        <w:ind w:right="30" w:rightChars="0"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（三）场所安全管理目标：责任清单化、任务网格化、处置数智化</w:t>
      </w:r>
    </w:p>
    <w:p>
      <w:pPr>
        <w:pStyle w:val="23"/>
        <w:spacing w:line="388" w:lineRule="auto"/>
        <w:ind w:right="30" w:rightChars="0"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（四）设备管理目标：管理有数，使用有账</w:t>
      </w:r>
    </w:p>
    <w:p>
      <w:pPr>
        <w:pStyle w:val="23"/>
        <w:spacing w:line="388" w:lineRule="auto"/>
        <w:ind w:right="30" w:rightChars="0" w:firstLine="476" w:firstLineChars="200"/>
        <w:jc w:val="both"/>
        <w:rPr>
          <w:rFonts w:hint="eastAsia" w:ascii="仿宋" w:hAnsi="仿宋" w:eastAsia="仿宋" w:cs="仿宋"/>
          <w:spacing w:val="-1"/>
          <w:sz w:val="24"/>
          <w:szCs w:val="24"/>
        </w:rPr>
      </w:pPr>
      <w:r>
        <w:rPr>
          <w:rFonts w:hint="eastAsia" w:ascii="仿宋" w:hAnsi="仿宋" w:eastAsia="仿宋" w:cs="仿宋"/>
          <w:spacing w:val="-1"/>
          <w:sz w:val="24"/>
          <w:szCs w:val="24"/>
        </w:rPr>
        <w:t>（五）安全教育管理目标：齐抓共管，掷地有声</w:t>
      </w:r>
    </w:p>
    <w:p>
      <w:pPr>
        <w:pStyle w:val="4"/>
        <w:numPr>
          <w:ilvl w:val="2"/>
          <w:numId w:val="2"/>
        </w:numPr>
        <w:bidi w:val="0"/>
        <w:ind w:left="709" w:leftChars="0" w:hanging="709" w:firstLineChars="0"/>
        <w:rPr>
          <w:rFonts w:hint="eastAsia" w:ascii="仿宋" w:hAnsi="仿宋" w:eastAsia="仿宋" w:cs="仿宋"/>
          <w:b w:val="0"/>
          <w:bCs/>
        </w:rPr>
      </w:pPr>
      <w:r>
        <w:rPr>
          <w:rFonts w:hint="eastAsia" w:ascii="仿宋" w:hAnsi="仿宋" w:eastAsia="仿宋" w:cs="仿宋"/>
          <w:b w:val="0"/>
          <w:bCs/>
          <w:lang w:val="en-US" w:eastAsia="zh-CN"/>
        </w:rPr>
        <w:t>学后托管建设目标</w:t>
      </w:r>
    </w:p>
    <w:p>
      <w:pPr>
        <w:pStyle w:val="24"/>
        <w:ind w:firstLine="0"/>
        <w:rPr>
          <w:rFonts w:hint="eastAsia" w:ascii="仿宋" w:hAnsi="仿宋" w:eastAsia="仿宋" w:cs="仿宋"/>
          <w:spacing w:val="-1"/>
          <w:sz w:val="24"/>
          <w:szCs w:val="24"/>
        </w:rPr>
      </w:pPr>
    </w:p>
    <w:p>
      <w:pPr>
        <w:pStyle w:val="23"/>
        <w:spacing w:line="388" w:lineRule="auto"/>
        <w:ind w:right="30" w:firstLine="476"/>
        <w:rPr>
          <w:rFonts w:hint="eastAsia" w:ascii="仿宋" w:hAnsi="仿宋" w:eastAsia="仿宋" w:cs="仿宋"/>
          <w:spacing w:val="-1"/>
          <w:sz w:val="24"/>
          <w:szCs w:val="24"/>
        </w:rPr>
      </w:pPr>
      <w:r>
        <w:rPr>
          <w:rFonts w:hint="eastAsia" w:ascii="仿宋" w:hAnsi="仿宋" w:eastAsia="仿宋" w:cs="仿宋"/>
          <w:spacing w:val="-1"/>
          <w:sz w:val="24"/>
          <w:szCs w:val="24"/>
          <w:lang w:eastAsia="zh-CN"/>
        </w:rPr>
        <w:t>学后托管平台</w:t>
      </w:r>
      <w:r>
        <w:rPr>
          <w:rFonts w:hint="eastAsia" w:ascii="仿宋" w:hAnsi="仿宋" w:eastAsia="仿宋" w:cs="仿宋"/>
          <w:spacing w:val="-1"/>
          <w:sz w:val="24"/>
          <w:szCs w:val="24"/>
        </w:rPr>
        <w:t>的建设，帮助家长解决工作等不能按时接送学生难题，解决小学“放学早、接送难”的矛盾。本系统建设目标通过局端统一的管控，强化区内放学后校内托管服务管理，建立健全弹性离校和托管服务规范，完善放学后校内托管服务工作措施，指导帮助辖区内学校解决实际困难，规范收费标准，确保各个学校托管工作公开、公平、公正，经得起社会人民群众的监督。系统具体目标如下：</w:t>
      </w:r>
    </w:p>
    <w:p>
      <w:pPr>
        <w:pStyle w:val="23"/>
        <w:spacing w:line="388" w:lineRule="auto"/>
        <w:ind w:right="30" w:firstLine="476"/>
        <w:rPr>
          <w:rFonts w:hint="eastAsia" w:ascii="仿宋" w:hAnsi="仿宋" w:eastAsia="仿宋" w:cs="仿宋"/>
          <w:spacing w:val="-1"/>
          <w:sz w:val="24"/>
          <w:szCs w:val="24"/>
        </w:rPr>
      </w:pPr>
      <w:r>
        <w:rPr>
          <w:rFonts w:hint="eastAsia" w:ascii="仿宋" w:hAnsi="仿宋" w:eastAsia="仿宋" w:cs="仿宋"/>
          <w:spacing w:val="-1"/>
          <w:sz w:val="24"/>
          <w:szCs w:val="24"/>
        </w:rPr>
        <w:t>建立教育局、校两级集中统一的数据管理中心，实现学生报名数据、家长支付数据、托管内容数据的集中存储。</w:t>
      </w:r>
    </w:p>
    <w:p>
      <w:pPr>
        <w:pStyle w:val="23"/>
        <w:spacing w:line="388" w:lineRule="auto"/>
        <w:ind w:right="30" w:firstLine="476"/>
        <w:rPr>
          <w:rFonts w:hint="eastAsia" w:ascii="仿宋" w:hAnsi="仿宋" w:eastAsia="仿宋" w:cs="仿宋"/>
          <w:spacing w:val="-1"/>
          <w:sz w:val="24"/>
          <w:szCs w:val="24"/>
        </w:rPr>
      </w:pPr>
      <w:r>
        <w:rPr>
          <w:rFonts w:hint="eastAsia" w:ascii="仿宋" w:hAnsi="仿宋" w:eastAsia="仿宋" w:cs="仿宋"/>
          <w:spacing w:val="-1"/>
          <w:sz w:val="24"/>
          <w:szCs w:val="24"/>
        </w:rPr>
        <w:t>破解教育部门监管难、学校班级管理难、家校互动难、托管质量保障难等问题。</w:t>
      </w:r>
    </w:p>
    <w:p>
      <w:pPr>
        <w:pStyle w:val="23"/>
        <w:spacing w:line="388" w:lineRule="auto"/>
        <w:ind w:right="30" w:firstLine="476"/>
        <w:rPr>
          <w:rFonts w:hint="eastAsia" w:ascii="仿宋" w:hAnsi="仿宋" w:eastAsia="仿宋" w:cs="仿宋"/>
          <w:spacing w:val="-1"/>
          <w:sz w:val="24"/>
          <w:szCs w:val="24"/>
        </w:rPr>
      </w:pPr>
      <w:r>
        <w:rPr>
          <w:rFonts w:hint="eastAsia" w:ascii="仿宋" w:hAnsi="仿宋" w:eastAsia="仿宋" w:cs="仿宋"/>
          <w:spacing w:val="-1"/>
          <w:sz w:val="24"/>
          <w:szCs w:val="24"/>
        </w:rPr>
        <w:t>建立强大的综合查询统计，全面推行托管服务的阳光化，自觉接受学校、社会监督。实现托管服务数据不同维度、不同指标的查询、统计。</w:t>
      </w:r>
    </w:p>
    <w:p>
      <w:pPr>
        <w:pStyle w:val="23"/>
        <w:spacing w:line="388" w:lineRule="auto"/>
        <w:ind w:right="30" w:firstLine="476" w:firstLineChars="200"/>
        <w:rPr>
          <w:rFonts w:hint="eastAsia" w:ascii="仿宋" w:hAnsi="仿宋" w:eastAsia="仿宋" w:cs="仿宋"/>
          <w:spacing w:val="-1"/>
          <w:sz w:val="24"/>
          <w:szCs w:val="24"/>
          <w:lang w:val="en-US" w:eastAsia="zh-CN"/>
        </w:rPr>
      </w:pPr>
      <w:r>
        <w:rPr>
          <w:rFonts w:hint="eastAsia" w:ascii="仿宋" w:hAnsi="仿宋" w:eastAsia="仿宋" w:cs="仿宋"/>
          <w:spacing w:val="-1"/>
          <w:kern w:val="2"/>
          <w:sz w:val="24"/>
          <w:szCs w:val="24"/>
          <w:lang w:val="en-US" w:eastAsia="zh-CN" w:bidi="ar-SA"/>
        </w:rPr>
        <w:t>接入省级市级要求的各类资源库和浙里问学的入口，实现门户统一认证，快速进行切换，提供更全面便捷的服务。</w:t>
      </w:r>
    </w:p>
    <w:p>
      <w:pPr>
        <w:pStyle w:val="24"/>
        <w:rPr>
          <w:rFonts w:hint="eastAsia" w:ascii="仿宋" w:hAnsi="仿宋" w:eastAsia="仿宋" w:cs="仿宋"/>
          <w:lang w:val="en-US" w:eastAsia="zh-CN"/>
        </w:rPr>
      </w:pPr>
    </w:p>
    <w:p>
      <w:pPr>
        <w:numPr>
          <w:ilvl w:val="0"/>
          <w:numId w:val="9"/>
        </w:numPr>
        <w:tabs>
          <w:tab w:val="left" w:pos="0"/>
        </w:tabs>
        <w:adjustRightInd/>
        <w:snapToGrid/>
        <w:spacing w:line="360" w:lineRule="auto"/>
        <w:ind w:firstLine="480" w:firstLineChars="0"/>
        <w:rPr>
          <w:rFonts w:hint="eastAsia" w:ascii="仿宋" w:hAnsi="仿宋" w:eastAsia="仿宋" w:cs="仿宋"/>
          <w:b/>
          <w:bCs/>
        </w:rPr>
      </w:pPr>
      <w:r>
        <w:rPr>
          <w:rFonts w:hint="eastAsia" w:ascii="仿宋" w:hAnsi="仿宋" w:eastAsia="仿宋" w:cs="仿宋"/>
          <w:b/>
          <w:bCs/>
          <w:kern w:val="0"/>
          <w:sz w:val="24"/>
          <w:szCs w:val="24"/>
          <w:lang w:val="en-US" w:eastAsia="zh-CN"/>
        </w:rPr>
        <w:t>、</w:t>
      </w:r>
      <w:r>
        <w:rPr>
          <w:rFonts w:hint="eastAsia" w:ascii="仿宋" w:hAnsi="仿宋" w:eastAsia="仿宋" w:cs="仿宋"/>
          <w:b/>
          <w:bCs/>
          <w:kern w:val="0"/>
          <w:sz w:val="24"/>
          <w:szCs w:val="24"/>
        </w:rPr>
        <w:t>本项目为“交钥匙”项目，采购内容包括采购清单中货物供货、安装调试、货物验收、培训、质保期内的售后服务等。投标报价包括货款、标准附件、样品费、备品备件、专用工具、包装、运输、装卸、保险、税金、货到就位以及安装、调试、保修等一切税金和费用及其他因本项目而产生的一切费用。</w:t>
      </w:r>
    </w:p>
    <w:p>
      <w:pPr>
        <w:keepNext w:val="0"/>
        <w:keepLines w:val="0"/>
        <w:pageBreakBefore w:val="0"/>
        <w:widowControl w:val="0"/>
        <w:numPr>
          <w:ilvl w:val="0"/>
          <w:numId w:val="10"/>
        </w:numPr>
        <w:tabs>
          <w:tab w:val="left" w:pos="4770"/>
        </w:tabs>
        <w:kinsoku/>
        <w:wordWrap/>
        <w:overflowPunct/>
        <w:topLinePunct w:val="0"/>
        <w:autoSpaceDE/>
        <w:autoSpaceDN/>
        <w:bidi w:val="0"/>
        <w:adjustRightInd/>
        <w:snapToGrid/>
        <w:spacing w:before="157" w:beforeLines="50" w:line="360" w:lineRule="auto"/>
        <w:jc w:val="both"/>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采购清单</w:t>
      </w:r>
    </w:p>
    <w:p>
      <w:pPr>
        <w:spacing w:before="54"/>
        <w:ind w:left="546" w:right="0" w:firstLine="0"/>
        <w:jc w:val="left"/>
        <w:rPr>
          <w:sz w:val="24"/>
          <w:szCs w:val="24"/>
        </w:rPr>
      </w:pPr>
      <w:r>
        <w:rPr>
          <w:rFonts w:hint="eastAsia"/>
          <w:sz w:val="24"/>
          <w:szCs w:val="24"/>
          <w:lang w:val="en-US" w:eastAsia="zh-CN"/>
        </w:rPr>
        <w:t>一、</w:t>
      </w:r>
      <w:r>
        <w:rPr>
          <w:sz w:val="24"/>
          <w:szCs w:val="24"/>
        </w:rPr>
        <w:t>硬件及工程</w:t>
      </w:r>
    </w:p>
    <w:p>
      <w:pPr>
        <w:pStyle w:val="23"/>
        <w:spacing w:before="6"/>
        <w:rPr>
          <w:sz w:val="5"/>
        </w:rPr>
      </w:pPr>
    </w:p>
    <w:tbl>
      <w:tblPr>
        <w:tblStyle w:val="64"/>
        <w:tblW w:w="502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8"/>
        <w:gridCol w:w="906"/>
        <w:gridCol w:w="6500"/>
        <w:gridCol w:w="615"/>
        <w:gridCol w:w="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55" w:type="pct"/>
            <w:noWrap w:val="0"/>
            <w:vAlign w:val="center"/>
          </w:tcPr>
          <w:p>
            <w:pPr>
              <w:bidi w:val="0"/>
              <w:spacing w:before="0" w:beforeAutospacing="0" w:after="0" w:afterAutospacing="0"/>
              <w:ind w:left="0" w:right="0"/>
              <w:rPr>
                <w:rFonts w:hint="eastAsia"/>
                <w:highlight w:val="none"/>
              </w:rPr>
            </w:pPr>
            <w:r>
              <w:rPr>
                <w:rFonts w:hint="eastAsia"/>
                <w:highlight w:val="none"/>
              </w:rPr>
              <w:t>序号</w:t>
            </w:r>
          </w:p>
        </w:tc>
        <w:tc>
          <w:tcPr>
            <w:tcW w:w="482" w:type="pct"/>
            <w:noWrap w:val="0"/>
            <w:vAlign w:val="center"/>
          </w:tcPr>
          <w:p>
            <w:pPr>
              <w:bidi w:val="0"/>
              <w:spacing w:before="0" w:beforeAutospacing="0" w:after="0" w:afterAutospacing="0"/>
              <w:ind w:left="0" w:right="0"/>
              <w:rPr>
                <w:rFonts w:hint="eastAsia"/>
                <w:highlight w:val="none"/>
                <w:lang w:val="en-US" w:eastAsia="zh-CN"/>
              </w:rPr>
            </w:pPr>
            <w:r>
              <w:rPr>
                <w:rFonts w:hint="eastAsia"/>
                <w:highlight w:val="none"/>
                <w:lang w:val="en-US" w:eastAsia="zh-CN"/>
              </w:rPr>
              <w:t>名称</w:t>
            </w:r>
          </w:p>
        </w:tc>
        <w:tc>
          <w:tcPr>
            <w:tcW w:w="3461" w:type="pct"/>
            <w:noWrap w:val="0"/>
            <w:vAlign w:val="center"/>
          </w:tcPr>
          <w:p>
            <w:pPr>
              <w:bidi w:val="0"/>
              <w:spacing w:before="0" w:beforeAutospacing="0" w:after="0" w:afterAutospacing="0"/>
              <w:ind w:left="0" w:right="0"/>
              <w:rPr>
                <w:rFonts w:hint="eastAsia"/>
                <w:highlight w:val="none"/>
              </w:rPr>
            </w:pPr>
            <w:r>
              <w:rPr>
                <w:rFonts w:hint="eastAsia"/>
                <w:highlight w:val="none"/>
              </w:rPr>
              <w:t>技术规格</w:t>
            </w:r>
          </w:p>
        </w:tc>
        <w:tc>
          <w:tcPr>
            <w:tcW w:w="327" w:type="pct"/>
            <w:noWrap w:val="0"/>
            <w:vAlign w:val="center"/>
          </w:tcPr>
          <w:p>
            <w:pPr>
              <w:bidi w:val="0"/>
              <w:spacing w:before="0" w:beforeAutospacing="0" w:after="0" w:afterAutospacing="0"/>
              <w:ind w:left="0" w:right="0"/>
              <w:rPr>
                <w:rFonts w:hint="eastAsia"/>
                <w:highlight w:val="none"/>
              </w:rPr>
            </w:pPr>
            <w:r>
              <w:rPr>
                <w:rFonts w:hint="eastAsia"/>
                <w:highlight w:val="none"/>
              </w:rPr>
              <w:t>单位</w:t>
            </w:r>
          </w:p>
        </w:tc>
        <w:tc>
          <w:tcPr>
            <w:tcW w:w="374" w:type="pct"/>
            <w:noWrap w:val="0"/>
            <w:vAlign w:val="center"/>
          </w:tcPr>
          <w:p>
            <w:pPr>
              <w:bidi w:val="0"/>
              <w:spacing w:before="0" w:beforeAutospacing="0" w:after="0" w:afterAutospacing="0"/>
              <w:ind w:left="0" w:right="0"/>
              <w:rPr>
                <w:rFonts w:hint="eastAsia"/>
                <w:highlight w:val="none"/>
              </w:rPr>
            </w:pPr>
            <w:r>
              <w:rPr>
                <w:rFonts w:hint="eastAsia"/>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355" w:type="pct"/>
            <w:noWrap w:val="0"/>
            <w:vAlign w:val="top"/>
          </w:tcPr>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firstLine="210" w:firstLineChars="100"/>
              <w:rPr>
                <w:rFonts w:hint="eastAsia"/>
                <w:highlight w:val="none"/>
              </w:rPr>
            </w:pPr>
            <w:r>
              <w:rPr>
                <w:rFonts w:hint="eastAsia"/>
                <w:highlight w:val="none"/>
              </w:rPr>
              <w:t>1</w:t>
            </w:r>
          </w:p>
        </w:tc>
        <w:tc>
          <w:tcPr>
            <w:tcW w:w="482" w:type="pct"/>
            <w:noWrap w:val="0"/>
            <w:vAlign w:val="top"/>
          </w:tcPr>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r>
              <w:rPr>
                <w:rFonts w:hint="eastAsia"/>
                <w:highlight w:val="none"/>
              </w:rPr>
              <w:t>球型鹰眼</w:t>
            </w:r>
          </w:p>
        </w:tc>
        <w:tc>
          <w:tcPr>
            <w:tcW w:w="3461" w:type="pct"/>
            <w:noWrap w:val="0"/>
            <w:vAlign w:val="top"/>
          </w:tcPr>
          <w:p>
            <w:pPr>
              <w:bidi w:val="0"/>
              <w:spacing w:before="0" w:beforeAutospacing="0" w:after="0" w:afterAutospacing="0"/>
              <w:ind w:left="0" w:right="0"/>
              <w:rPr>
                <w:rFonts w:hint="eastAsia"/>
                <w:highlight w:val="none"/>
              </w:rPr>
            </w:pPr>
            <w:r>
              <w:rPr>
                <w:rFonts w:hint="eastAsia"/>
                <w:highlight w:val="none"/>
              </w:rPr>
              <w:t>双400万32倍拼接猫头鹰枪球</w:t>
            </w:r>
          </w:p>
          <w:p>
            <w:pPr>
              <w:bidi w:val="0"/>
              <w:spacing w:before="0" w:beforeAutospacing="0" w:after="0" w:afterAutospacing="0"/>
              <w:ind w:left="0" w:right="0"/>
              <w:rPr>
                <w:rFonts w:hint="eastAsia"/>
                <w:highlight w:val="none"/>
              </w:rPr>
            </w:pPr>
            <w:r>
              <w:rPr>
                <w:rFonts w:hint="eastAsia"/>
                <w:highlight w:val="none"/>
              </w:rPr>
              <w:t>1、★摄像机内置不少于3个镜头，可输出至少一路全景视频和一路细节视频，其中全景路内置不少于2个镜头，细节路内置1个镜头。（以公安部检验报告为准）</w:t>
            </w:r>
          </w:p>
          <w:p>
            <w:pPr>
              <w:bidi w:val="0"/>
              <w:spacing w:before="0" w:beforeAutospacing="0" w:after="0" w:afterAutospacing="0"/>
              <w:ind w:left="0" w:right="0"/>
              <w:rPr>
                <w:rFonts w:hint="eastAsia"/>
                <w:highlight w:val="none"/>
              </w:rPr>
            </w:pPr>
            <w:r>
              <w:rPr>
                <w:rFonts w:hint="eastAsia"/>
                <w:highlight w:val="none"/>
              </w:rPr>
              <w:t>2、★全景通道内置2个镜头，光圈不小于F1.0，具有不小于1/1.8靶面尺寸，内置4颗补光灯。（以公安部检验报告为准）</w:t>
            </w:r>
          </w:p>
          <w:p>
            <w:pPr>
              <w:bidi w:val="0"/>
              <w:spacing w:before="0" w:beforeAutospacing="0" w:after="0" w:afterAutospacing="0"/>
              <w:ind w:left="0" w:right="0"/>
              <w:rPr>
                <w:rFonts w:hint="eastAsia"/>
                <w:highlight w:val="none"/>
              </w:rPr>
            </w:pPr>
            <w:r>
              <w:rPr>
                <w:rFonts w:hint="eastAsia"/>
                <w:highlight w:val="none"/>
              </w:rPr>
              <w:t>3、★细节通道内置镜头，具备不小于1/1.8靶面尺寸，内置10颗红外补光灯及1颗白光灯。（以公安部检验报告为准）</w:t>
            </w:r>
          </w:p>
          <w:p>
            <w:pPr>
              <w:bidi w:val="0"/>
              <w:spacing w:before="0" w:beforeAutospacing="0" w:after="0" w:afterAutospacing="0"/>
              <w:ind w:left="0" w:right="0"/>
              <w:rPr>
                <w:rFonts w:hint="eastAsia"/>
                <w:highlight w:val="none"/>
              </w:rPr>
            </w:pPr>
            <w:r>
              <w:rPr>
                <w:rFonts w:hint="eastAsia"/>
                <w:highlight w:val="none"/>
              </w:rPr>
              <w:t>4、★全景通道可输出两个镜头无缝拼接的全景图像，拼接偏差像素不大于4个像素，全景画面水平视场角不小于192°（以公安部检验报告为准）</w:t>
            </w:r>
          </w:p>
          <w:p>
            <w:pPr>
              <w:bidi w:val="0"/>
              <w:spacing w:before="0" w:beforeAutospacing="0" w:after="0" w:afterAutospacing="0"/>
              <w:ind w:left="0" w:right="0"/>
              <w:rPr>
                <w:rFonts w:hint="eastAsia"/>
                <w:highlight w:val="none"/>
              </w:rPr>
            </w:pPr>
            <w:r>
              <w:rPr>
                <w:rFonts w:hint="eastAsia"/>
                <w:highlight w:val="none"/>
              </w:rPr>
              <w:t>5、★全景通道可进行垂直旋转，旋转范围不低于10°可调。（以公安部检验报告为准）</w:t>
            </w:r>
          </w:p>
          <w:p>
            <w:pPr>
              <w:bidi w:val="0"/>
              <w:spacing w:before="0" w:beforeAutospacing="0" w:after="0" w:afterAutospacing="0"/>
              <w:ind w:left="0" w:right="0"/>
              <w:rPr>
                <w:rFonts w:hint="eastAsia"/>
                <w:highlight w:val="none"/>
              </w:rPr>
            </w:pPr>
            <w:r>
              <w:rPr>
                <w:rFonts w:hint="eastAsia"/>
                <w:highlight w:val="none"/>
              </w:rPr>
              <w:t>6、★支持同时检测监控场景内出现的不少于30张人脸，并可进行抓拍。（以公安部检验报告为准）</w:t>
            </w:r>
          </w:p>
          <w:p>
            <w:pPr>
              <w:bidi w:val="0"/>
              <w:spacing w:before="0" w:beforeAutospacing="0" w:after="0" w:afterAutospacing="0"/>
              <w:ind w:left="0" w:right="0"/>
              <w:rPr>
                <w:rFonts w:hint="eastAsia"/>
                <w:highlight w:val="none"/>
              </w:rPr>
            </w:pPr>
            <w:r>
              <w:rPr>
                <w:rFonts w:hint="eastAsia"/>
                <w:highlight w:val="none"/>
              </w:rPr>
              <w:t>7、★支持7路报警输入接口，2路报警输出接口，支持1路音频输入和输出接口。（以公安部检验报告为准）</w:t>
            </w:r>
          </w:p>
          <w:p>
            <w:pPr>
              <w:bidi w:val="0"/>
              <w:spacing w:before="0" w:beforeAutospacing="0" w:after="0" w:afterAutospacing="0"/>
              <w:ind w:left="0" w:right="0"/>
              <w:rPr>
                <w:rFonts w:hint="eastAsia"/>
                <w:highlight w:val="none"/>
              </w:rPr>
            </w:pPr>
            <w:r>
              <w:rPr>
                <w:rFonts w:hint="eastAsia"/>
                <w:highlight w:val="none"/>
              </w:rPr>
              <w:t>8、★支持数据感知功能，可同时支持3路web监听通道，设备响应web端发送的查询请求，并返回对应的感知数据；断网重连后，报警信息可继续上传。（以公安部检验报告为准）</w:t>
            </w:r>
          </w:p>
          <w:p>
            <w:pPr>
              <w:bidi w:val="0"/>
              <w:spacing w:before="0" w:beforeAutospacing="0" w:after="0" w:afterAutospacing="0"/>
              <w:ind w:left="0" w:right="0"/>
              <w:rPr>
                <w:rFonts w:hint="eastAsia"/>
                <w:highlight w:val="none"/>
              </w:rPr>
            </w:pPr>
            <w:r>
              <w:rPr>
                <w:rFonts w:hint="eastAsia"/>
                <w:highlight w:val="none"/>
              </w:rPr>
              <w:t>9、★支持硬件微引导程序、uboot、OS、应用软件逐级校验功能。非法篡改的uboot、OS、应用软件固件包，不能通过命令行、浏览器、客户端方式进行升级。 （以公安部检验报告为准）</w:t>
            </w:r>
          </w:p>
          <w:p>
            <w:pPr>
              <w:bidi w:val="0"/>
              <w:spacing w:before="0" w:beforeAutospacing="0" w:after="0" w:afterAutospacing="0"/>
              <w:ind w:left="0" w:right="0"/>
              <w:rPr>
                <w:rFonts w:hint="eastAsia"/>
                <w:highlight w:val="none"/>
              </w:rPr>
            </w:pPr>
            <w:r>
              <w:rPr>
                <w:rFonts w:hint="eastAsia"/>
                <w:highlight w:val="none"/>
              </w:rPr>
              <w:t>10、支持基于行业平台实现云图立体防控</w:t>
            </w:r>
          </w:p>
          <w:p>
            <w:pPr>
              <w:bidi w:val="0"/>
              <w:spacing w:before="0" w:beforeAutospacing="0" w:after="0" w:afterAutospacing="0"/>
              <w:ind w:left="0" w:right="0"/>
              <w:rPr>
                <w:rFonts w:hint="eastAsia"/>
                <w:highlight w:val="none"/>
              </w:rPr>
            </w:pPr>
            <w:r>
              <w:rPr>
                <w:rFonts w:hint="eastAsia"/>
                <w:highlight w:val="none"/>
              </w:rPr>
              <w:t>11、支持在摄像机的实时视频画面中添加最多500个AR标签，且可实现标签与标签联动的功能</w:t>
            </w:r>
          </w:p>
          <w:p>
            <w:pPr>
              <w:bidi w:val="0"/>
              <w:spacing w:before="0" w:beforeAutospacing="0" w:after="0" w:afterAutospacing="0"/>
              <w:ind w:left="0" w:right="0"/>
              <w:rPr>
                <w:rFonts w:hint="eastAsia"/>
                <w:highlight w:val="none"/>
              </w:rPr>
            </w:pPr>
            <w:r>
              <w:rPr>
                <w:rFonts w:hint="eastAsia"/>
                <w:highlight w:val="none"/>
              </w:rPr>
              <w:t>12、人脸抓拍：支持同时抓拍30张人脸，支持对运动人脸进行检测、跟踪、抓拍、评分、筛选，输出最优的人脸抓图</w:t>
            </w:r>
          </w:p>
          <w:p>
            <w:pPr>
              <w:bidi w:val="0"/>
              <w:spacing w:before="0" w:beforeAutospacing="0" w:after="0" w:afterAutospacing="0"/>
              <w:ind w:left="0" w:right="0"/>
              <w:rPr>
                <w:rFonts w:hint="eastAsia"/>
                <w:highlight w:val="none"/>
              </w:rPr>
            </w:pPr>
            <w:r>
              <w:rPr>
                <w:rFonts w:hint="eastAsia"/>
                <w:highlight w:val="none"/>
              </w:rPr>
              <w:t>13、道路监控：支持车辆检测（支持车牌识别，车型/车身颜色/车牌颜色识别）和混行检测，车牌捕获及检索、多场景巡航检测、云存储服务功能</w:t>
            </w:r>
          </w:p>
          <w:p>
            <w:pPr>
              <w:bidi w:val="0"/>
              <w:spacing w:before="0" w:beforeAutospacing="0" w:after="0" w:afterAutospacing="0"/>
              <w:ind w:left="0" w:right="0"/>
              <w:rPr>
                <w:rFonts w:hint="eastAsia"/>
                <w:highlight w:val="none"/>
              </w:rPr>
            </w:pPr>
            <w:r>
              <w:rPr>
                <w:rFonts w:hint="eastAsia"/>
                <w:highlight w:val="none"/>
              </w:rPr>
              <w:t>14、Smart事件：支持细节路对设定区域进行布防，当检测到目标时对目标进行跟踪及报警，实现周界布防</w:t>
            </w:r>
          </w:p>
          <w:p>
            <w:pPr>
              <w:bidi w:val="0"/>
              <w:spacing w:before="0" w:beforeAutospacing="0" w:after="0" w:afterAutospacing="0"/>
              <w:ind w:left="0" w:right="0"/>
              <w:rPr>
                <w:rFonts w:hint="eastAsia"/>
                <w:highlight w:val="none"/>
              </w:rPr>
            </w:pPr>
            <w:r>
              <w:rPr>
                <w:rFonts w:hint="eastAsia"/>
                <w:highlight w:val="none"/>
              </w:rPr>
              <w:t>15、支持声光警戒：报警联动白光闪烁报警和声音报警，声音内容可选</w:t>
            </w:r>
          </w:p>
          <w:p>
            <w:pPr>
              <w:bidi w:val="0"/>
              <w:spacing w:before="0" w:beforeAutospacing="0" w:after="0" w:afterAutospacing="0"/>
              <w:ind w:left="0" w:right="0"/>
              <w:rPr>
                <w:rFonts w:hint="eastAsia"/>
                <w:highlight w:val="none"/>
              </w:rPr>
            </w:pPr>
            <w:r>
              <w:rPr>
                <w:rFonts w:hint="eastAsia"/>
                <w:highlight w:val="none"/>
              </w:rPr>
              <w:t>16、支持点击全景画面联动特写镜头，手动跟踪运动目标</w:t>
            </w:r>
          </w:p>
          <w:p>
            <w:pPr>
              <w:bidi w:val="0"/>
              <w:spacing w:before="0" w:beforeAutospacing="0" w:after="0" w:afterAutospacing="0"/>
              <w:ind w:left="0" w:right="0"/>
              <w:rPr>
                <w:rFonts w:hint="eastAsia"/>
                <w:highlight w:val="none"/>
              </w:rPr>
            </w:pPr>
            <w:r>
              <w:rPr>
                <w:rFonts w:hint="eastAsia"/>
                <w:highlight w:val="none"/>
              </w:rPr>
              <w:t>17、支持全景路3840 × 1080 @25 fps高清画面输出，细节路最大2560 × 1440 @30 fps高清画面输出</w:t>
            </w:r>
          </w:p>
          <w:p>
            <w:pPr>
              <w:bidi w:val="0"/>
              <w:spacing w:before="0" w:beforeAutospacing="0" w:after="0" w:afterAutospacing="0"/>
              <w:ind w:left="0" w:right="0"/>
              <w:rPr>
                <w:rFonts w:hint="eastAsia"/>
                <w:highlight w:val="none"/>
              </w:rPr>
            </w:pPr>
            <w:r>
              <w:rPr>
                <w:rFonts w:hint="eastAsia"/>
                <w:highlight w:val="none"/>
              </w:rPr>
              <w:t>18、支持H.265高效压缩算法，可较大节省存储空间</w:t>
            </w:r>
          </w:p>
          <w:p>
            <w:pPr>
              <w:bidi w:val="0"/>
              <w:spacing w:before="0" w:beforeAutospacing="0" w:after="0" w:afterAutospacing="0"/>
              <w:ind w:left="0" w:right="0"/>
              <w:rPr>
                <w:rFonts w:hint="eastAsia"/>
                <w:highlight w:val="none"/>
              </w:rPr>
            </w:pPr>
            <w:r>
              <w:rPr>
                <w:rFonts w:hint="eastAsia"/>
                <w:highlight w:val="none"/>
              </w:rPr>
              <w:t>19、采用高效红外阵列，低功耗，照射距离最远可达200 m</w:t>
            </w:r>
          </w:p>
          <w:p>
            <w:pPr>
              <w:bidi w:val="0"/>
              <w:spacing w:before="0" w:beforeAutospacing="0" w:after="0" w:afterAutospacing="0"/>
              <w:ind w:left="0" w:right="0"/>
              <w:rPr>
                <w:rFonts w:hint="eastAsia"/>
                <w:highlight w:val="none"/>
              </w:rPr>
            </w:pPr>
            <w:r>
              <w:rPr>
                <w:rFonts w:hint="eastAsia"/>
                <w:highlight w:val="none"/>
              </w:rPr>
              <w:t>20、支持宽动态范围达120 dB，适合逆光环境监控</w:t>
            </w:r>
          </w:p>
          <w:p>
            <w:pPr>
              <w:bidi w:val="0"/>
              <w:spacing w:before="0" w:beforeAutospacing="0" w:after="0" w:afterAutospacing="0"/>
              <w:ind w:left="0" w:right="0"/>
              <w:rPr>
                <w:rFonts w:hint="eastAsia"/>
                <w:highlight w:val="none"/>
              </w:rPr>
            </w:pPr>
            <w:r>
              <w:rPr>
                <w:rFonts w:hint="eastAsia"/>
                <w:highlight w:val="none"/>
              </w:rPr>
              <w:t>21、支持3D数字降噪、强光抑制、电子防抖、SmartIR</w:t>
            </w:r>
          </w:p>
          <w:p>
            <w:pPr>
              <w:bidi w:val="0"/>
              <w:spacing w:before="0" w:beforeAutospacing="0" w:after="0" w:afterAutospacing="0"/>
              <w:ind w:left="0" w:right="0"/>
              <w:rPr>
                <w:rFonts w:hint="eastAsia"/>
                <w:highlight w:val="none"/>
              </w:rPr>
            </w:pPr>
            <w:r>
              <w:rPr>
                <w:rFonts w:hint="eastAsia"/>
                <w:highlight w:val="none"/>
              </w:rPr>
              <w:t>22、细节支持360°水平旋转，垂直方向-20°~90°（自动翻转）。全景支持垂直方向7°~17°可调</w:t>
            </w:r>
          </w:p>
          <w:p>
            <w:pPr>
              <w:bidi w:val="0"/>
              <w:spacing w:before="0" w:beforeAutospacing="0" w:after="0" w:afterAutospacing="0"/>
              <w:ind w:left="0" w:right="0"/>
              <w:rPr>
                <w:rFonts w:hint="eastAsia"/>
                <w:highlight w:val="none"/>
              </w:rPr>
            </w:pPr>
            <w:r>
              <w:rPr>
                <w:rFonts w:hint="eastAsia"/>
                <w:highlight w:val="none"/>
              </w:rPr>
              <w:t>23、支持1路音频输入和1路音频输出</w:t>
            </w:r>
          </w:p>
          <w:p>
            <w:pPr>
              <w:bidi w:val="0"/>
              <w:spacing w:before="0" w:beforeAutospacing="0" w:after="0" w:afterAutospacing="0"/>
              <w:ind w:left="0" w:right="0"/>
              <w:rPr>
                <w:rFonts w:hint="eastAsia"/>
                <w:highlight w:val="none"/>
              </w:rPr>
            </w:pPr>
            <w:r>
              <w:rPr>
                <w:rFonts w:hint="eastAsia"/>
                <w:highlight w:val="none"/>
              </w:rPr>
              <w:t>24、内置7路报警输入和2路报警输出，支持报警联动功能</w:t>
            </w:r>
          </w:p>
          <w:p>
            <w:pPr>
              <w:bidi w:val="0"/>
              <w:spacing w:before="0" w:beforeAutospacing="0" w:after="0" w:afterAutospacing="0"/>
              <w:ind w:left="0" w:right="0"/>
              <w:rPr>
                <w:rFonts w:hint="eastAsia"/>
                <w:highlight w:val="none"/>
              </w:rPr>
            </w:pPr>
            <w:r>
              <w:rPr>
                <w:rFonts w:hint="eastAsia"/>
                <w:highlight w:val="none"/>
              </w:rPr>
              <w:t>25、支持最大256 GB的MicroSD/MicroSDHC/MicroSDXC卡存储</w:t>
            </w:r>
          </w:p>
          <w:p>
            <w:pPr>
              <w:bidi w:val="0"/>
              <w:spacing w:before="0" w:beforeAutospacing="0" w:after="0" w:afterAutospacing="0"/>
              <w:ind w:left="0" w:right="0"/>
              <w:rPr>
                <w:rFonts w:hint="eastAsia"/>
                <w:highlight w:val="none"/>
              </w:rPr>
            </w:pPr>
            <w:r>
              <w:rPr>
                <w:rFonts w:hint="eastAsia"/>
                <w:highlight w:val="none"/>
              </w:rPr>
              <w:t>26、支持海康SDK、ISAPI、GB/T28181、E家协议、萤石接入和开放型网络视频接口</w:t>
            </w:r>
          </w:p>
          <w:p>
            <w:pPr>
              <w:bidi w:val="0"/>
              <w:spacing w:before="0" w:beforeAutospacing="0" w:after="0" w:afterAutospacing="0"/>
              <w:ind w:left="0" w:right="0"/>
              <w:rPr>
                <w:rFonts w:hint="eastAsia"/>
                <w:highlight w:val="none"/>
              </w:rPr>
            </w:pPr>
            <w:r>
              <w:rPr>
                <w:rFonts w:hint="eastAsia"/>
                <w:highlight w:val="none"/>
              </w:rPr>
              <w:t>27、支持GB35114安全加密。IP67；6000 V防雷、防浪涌、防突波，符合GB/T17626.2/3/4/5/6四级标准</w:t>
            </w:r>
          </w:p>
          <w:p>
            <w:pPr>
              <w:bidi w:val="0"/>
              <w:spacing w:before="0" w:beforeAutospacing="0" w:after="0" w:afterAutospacing="0"/>
              <w:ind w:left="0" w:right="0"/>
              <w:rPr>
                <w:rFonts w:hint="eastAsia"/>
                <w:highlight w:val="none"/>
              </w:rPr>
            </w:pPr>
            <w:r>
              <w:rPr>
                <w:rFonts w:hint="eastAsia"/>
                <w:highlight w:val="none"/>
              </w:rPr>
              <w:t>28、基础参数：</w:t>
            </w:r>
          </w:p>
          <w:p>
            <w:pPr>
              <w:bidi w:val="0"/>
              <w:spacing w:before="0" w:beforeAutospacing="0" w:after="0" w:afterAutospacing="0"/>
              <w:ind w:left="0" w:right="0"/>
              <w:rPr>
                <w:rFonts w:hint="eastAsia"/>
                <w:highlight w:val="none"/>
              </w:rPr>
            </w:pPr>
            <w:r>
              <w:rPr>
                <w:rFonts w:hint="eastAsia"/>
                <w:highlight w:val="none"/>
              </w:rPr>
              <w:t>传感器类型：【全景】1/1.8" Progressive Scan CMOS，【细节】1/1.8" Progressive Scan CMOS</w:t>
            </w:r>
          </w:p>
          <w:p>
            <w:pPr>
              <w:bidi w:val="0"/>
              <w:spacing w:before="0" w:beforeAutospacing="0" w:after="0" w:afterAutospacing="0"/>
              <w:ind w:left="0" w:right="0"/>
              <w:rPr>
                <w:rFonts w:hint="eastAsia"/>
                <w:highlight w:val="none"/>
              </w:rPr>
            </w:pPr>
            <w:r>
              <w:rPr>
                <w:rFonts w:hint="eastAsia"/>
                <w:highlight w:val="none"/>
              </w:rPr>
              <w:t xml:space="preserve"> 最低照度：【全景】彩色：0.0005 Lux @（F1.0，AGC ON），黑白：0.0001 Lux @（F1.0，AGC ON），0 Lux with Light；【细节】彩色：0.0005 Lux @（F1.5，AGC ON），黑白：0.0001 Lux @（F1.5，AGC ON），0 Lux with IR</w:t>
            </w:r>
          </w:p>
          <w:p>
            <w:pPr>
              <w:bidi w:val="0"/>
              <w:spacing w:before="0" w:beforeAutospacing="0" w:after="0" w:afterAutospacing="0"/>
              <w:ind w:left="0" w:right="0"/>
              <w:rPr>
                <w:rFonts w:hint="eastAsia"/>
                <w:highlight w:val="none"/>
              </w:rPr>
            </w:pPr>
            <w:r>
              <w:rPr>
                <w:rFonts w:hint="eastAsia"/>
                <w:highlight w:val="none"/>
              </w:rPr>
              <w:t xml:space="preserve"> 光学变倍：【细节】32倍</w:t>
            </w:r>
          </w:p>
          <w:p>
            <w:pPr>
              <w:bidi w:val="0"/>
              <w:spacing w:before="0" w:beforeAutospacing="0" w:after="0" w:afterAutospacing="0"/>
              <w:ind w:left="0" w:right="0"/>
              <w:rPr>
                <w:rFonts w:hint="eastAsia"/>
                <w:highlight w:val="none"/>
              </w:rPr>
            </w:pPr>
            <w:r>
              <w:rPr>
                <w:rFonts w:hint="eastAsia"/>
                <w:highlight w:val="none"/>
              </w:rPr>
              <w:t>29、镜头：</w:t>
            </w:r>
          </w:p>
          <w:p>
            <w:pPr>
              <w:bidi w:val="0"/>
              <w:spacing w:before="0" w:beforeAutospacing="0" w:after="0" w:afterAutospacing="0"/>
              <w:ind w:left="0" w:right="0"/>
              <w:rPr>
                <w:rFonts w:hint="eastAsia"/>
                <w:highlight w:val="none"/>
              </w:rPr>
            </w:pPr>
            <w:r>
              <w:rPr>
                <w:rFonts w:hint="eastAsia"/>
                <w:highlight w:val="none"/>
              </w:rPr>
              <w:t>焦距：【全景】2.8 mm；【细节】5.9~188.8 mm</w:t>
            </w:r>
          </w:p>
          <w:p>
            <w:pPr>
              <w:bidi w:val="0"/>
              <w:spacing w:before="0" w:beforeAutospacing="0" w:after="0" w:afterAutospacing="0"/>
              <w:ind w:left="0" w:right="0"/>
              <w:rPr>
                <w:rFonts w:hint="eastAsia"/>
                <w:highlight w:val="none"/>
              </w:rPr>
            </w:pPr>
            <w:r>
              <w:rPr>
                <w:rFonts w:hint="eastAsia"/>
                <w:highlight w:val="none"/>
              </w:rPr>
              <w:t xml:space="preserve"> 视场角：【全景】190° ± 5°；【细节】60.2°~2.3°</w:t>
            </w:r>
          </w:p>
          <w:p>
            <w:pPr>
              <w:bidi w:val="0"/>
              <w:spacing w:before="0" w:beforeAutospacing="0" w:after="0" w:afterAutospacing="0"/>
              <w:ind w:left="0" w:right="0"/>
              <w:rPr>
                <w:rFonts w:hint="eastAsia"/>
                <w:highlight w:val="none"/>
              </w:rPr>
            </w:pPr>
            <w:r>
              <w:rPr>
                <w:rFonts w:hint="eastAsia"/>
                <w:highlight w:val="none"/>
              </w:rPr>
              <w:t>30、补光：</w:t>
            </w:r>
          </w:p>
          <w:p>
            <w:pPr>
              <w:bidi w:val="0"/>
              <w:spacing w:before="0" w:beforeAutospacing="0" w:after="0" w:afterAutospacing="0"/>
              <w:ind w:left="0" w:right="0"/>
              <w:rPr>
                <w:rFonts w:hint="eastAsia"/>
                <w:highlight w:val="none"/>
              </w:rPr>
            </w:pPr>
            <w:r>
              <w:rPr>
                <w:rFonts w:hint="eastAsia"/>
                <w:highlight w:val="none"/>
              </w:rPr>
              <w:t>白光照射距离：30 m</w:t>
            </w:r>
          </w:p>
          <w:p>
            <w:pPr>
              <w:bidi w:val="0"/>
              <w:spacing w:before="0" w:beforeAutospacing="0" w:after="0" w:afterAutospacing="0"/>
              <w:ind w:left="0" w:right="0"/>
              <w:rPr>
                <w:rFonts w:hint="eastAsia"/>
                <w:highlight w:val="none"/>
              </w:rPr>
            </w:pPr>
            <w:r>
              <w:rPr>
                <w:rFonts w:hint="eastAsia"/>
                <w:highlight w:val="none"/>
              </w:rPr>
              <w:t xml:space="preserve"> 补光灯距离：【全景】30 m；【细节】200 m</w:t>
            </w:r>
          </w:p>
          <w:p>
            <w:pPr>
              <w:bidi w:val="0"/>
              <w:spacing w:before="0" w:beforeAutospacing="0" w:after="0" w:afterAutospacing="0"/>
              <w:ind w:left="0" w:right="0"/>
              <w:rPr>
                <w:rFonts w:hint="eastAsia"/>
                <w:highlight w:val="none"/>
              </w:rPr>
            </w:pPr>
            <w:r>
              <w:rPr>
                <w:rFonts w:hint="eastAsia"/>
                <w:highlight w:val="none"/>
              </w:rPr>
              <w:t>31、一般规范：</w:t>
            </w:r>
          </w:p>
          <w:p>
            <w:pPr>
              <w:bidi w:val="0"/>
              <w:spacing w:before="0" w:beforeAutospacing="0" w:after="0" w:afterAutospacing="0"/>
              <w:ind w:left="0" w:right="0"/>
              <w:rPr>
                <w:rFonts w:hint="eastAsia"/>
                <w:highlight w:val="none"/>
              </w:rPr>
            </w:pPr>
            <w:r>
              <w:rPr>
                <w:rFonts w:hint="eastAsia"/>
                <w:highlight w:val="none"/>
              </w:rPr>
              <w:t>电源：DC：36 V/1.67 A</w:t>
            </w:r>
          </w:p>
          <w:p>
            <w:pPr>
              <w:bidi w:val="0"/>
              <w:spacing w:before="0" w:beforeAutospacing="0" w:after="0" w:afterAutospacing="0"/>
              <w:ind w:left="0" w:right="0"/>
              <w:rPr>
                <w:rFonts w:hint="eastAsia"/>
                <w:highlight w:val="none"/>
              </w:rPr>
            </w:pPr>
            <w:r>
              <w:rPr>
                <w:rFonts w:hint="eastAsia"/>
                <w:highlight w:val="none"/>
              </w:rPr>
              <w:t>电源接口类型：直流供电</w:t>
            </w:r>
          </w:p>
          <w:p>
            <w:pPr>
              <w:bidi w:val="0"/>
              <w:spacing w:before="0" w:beforeAutospacing="0" w:after="0" w:afterAutospacing="0"/>
              <w:ind w:left="0" w:right="0"/>
              <w:rPr>
                <w:rFonts w:hint="eastAsia"/>
                <w:highlight w:val="none"/>
              </w:rPr>
            </w:pPr>
            <w:r>
              <w:rPr>
                <w:rFonts w:hint="eastAsia"/>
                <w:highlight w:val="none"/>
              </w:rPr>
              <w:t>工作温湿度：-30 °C~65 °C；湿度小于95%</w:t>
            </w:r>
          </w:p>
          <w:p>
            <w:pPr>
              <w:bidi w:val="0"/>
              <w:spacing w:before="0" w:beforeAutospacing="0" w:after="0" w:afterAutospacing="0"/>
              <w:ind w:left="0" w:right="0"/>
              <w:rPr>
                <w:rFonts w:hint="eastAsia"/>
                <w:highlight w:val="none"/>
              </w:rPr>
            </w:pPr>
            <w:r>
              <w:rPr>
                <w:rFonts w:hint="eastAsia"/>
                <w:highlight w:val="none"/>
              </w:rPr>
              <w:t>喇叭温度-30 °C~55 °C</w:t>
            </w:r>
          </w:p>
          <w:p>
            <w:pPr>
              <w:bidi w:val="0"/>
              <w:spacing w:before="0" w:beforeAutospacing="0" w:after="0" w:afterAutospacing="0"/>
              <w:ind w:left="0" w:right="0"/>
              <w:rPr>
                <w:rFonts w:hint="eastAsia"/>
                <w:highlight w:val="none"/>
              </w:rPr>
            </w:pPr>
            <w:r>
              <w:rPr>
                <w:rFonts w:hint="eastAsia"/>
                <w:highlight w:val="none"/>
              </w:rPr>
              <w:t>功耗：最大功耗：54 W（其中【全景】补光灯3.6 W；【细节】补光灯8.8 W）</w:t>
            </w:r>
          </w:p>
        </w:tc>
        <w:tc>
          <w:tcPr>
            <w:tcW w:w="327" w:type="pct"/>
            <w:noWrap w:val="0"/>
            <w:vAlign w:val="top"/>
          </w:tcPr>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firstLine="210" w:firstLineChars="100"/>
              <w:rPr>
                <w:rFonts w:hint="eastAsia"/>
                <w:highlight w:val="none"/>
              </w:rPr>
            </w:pPr>
            <w:r>
              <w:rPr>
                <w:rFonts w:hint="eastAsia"/>
                <w:highlight w:val="none"/>
              </w:rPr>
              <w:t>台</w:t>
            </w:r>
          </w:p>
        </w:tc>
        <w:tc>
          <w:tcPr>
            <w:tcW w:w="374" w:type="pct"/>
            <w:noWrap w:val="0"/>
            <w:vAlign w:val="top"/>
          </w:tcPr>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firstLine="210" w:firstLineChars="100"/>
              <w:rPr>
                <w:rFonts w:hint="eastAsia"/>
                <w:highlight w:val="none"/>
              </w:rPr>
            </w:pPr>
            <w:r>
              <w:rPr>
                <w:rFonts w:hint="eastAsia"/>
                <w:highlight w:val="none"/>
              </w:rPr>
              <w:t>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5" w:type="pct"/>
            <w:noWrap w:val="0"/>
            <w:vAlign w:val="top"/>
          </w:tcPr>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firstLine="210" w:firstLineChars="100"/>
              <w:rPr>
                <w:rFonts w:hint="eastAsia"/>
                <w:highlight w:val="none"/>
              </w:rPr>
            </w:pPr>
            <w:r>
              <w:rPr>
                <w:rFonts w:hint="eastAsia"/>
                <w:highlight w:val="none"/>
              </w:rPr>
              <w:t>2</w:t>
            </w:r>
          </w:p>
        </w:tc>
        <w:tc>
          <w:tcPr>
            <w:tcW w:w="482" w:type="pct"/>
            <w:noWrap w:val="0"/>
            <w:vAlign w:val="top"/>
          </w:tcPr>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firstLine="210" w:firstLineChars="100"/>
              <w:rPr>
                <w:rFonts w:hint="eastAsia"/>
                <w:highlight w:val="none"/>
              </w:rPr>
            </w:pPr>
            <w:r>
              <w:rPr>
                <w:rFonts w:hint="eastAsia"/>
                <w:highlight w:val="none"/>
              </w:rPr>
              <w:t>球机</w:t>
            </w:r>
          </w:p>
        </w:tc>
        <w:tc>
          <w:tcPr>
            <w:tcW w:w="3461" w:type="pct"/>
            <w:noWrap w:val="0"/>
            <w:vAlign w:val="top"/>
          </w:tcPr>
          <w:p>
            <w:pPr>
              <w:bidi w:val="0"/>
              <w:spacing w:before="0" w:beforeAutospacing="0" w:after="0" w:afterAutospacing="0"/>
              <w:ind w:left="0" w:right="0"/>
              <w:rPr>
                <w:rFonts w:hint="eastAsia"/>
                <w:highlight w:val="none"/>
              </w:rPr>
            </w:pPr>
            <w:r>
              <w:rPr>
                <w:rFonts w:hint="eastAsia"/>
                <w:highlight w:val="none"/>
              </w:rPr>
              <w:t>400万4寸23倍红外网络球机</w:t>
            </w:r>
          </w:p>
          <w:p>
            <w:pPr>
              <w:bidi w:val="0"/>
              <w:spacing w:before="0" w:beforeAutospacing="0" w:after="0" w:afterAutospacing="0"/>
              <w:ind w:left="0" w:right="0"/>
              <w:rPr>
                <w:rFonts w:hint="eastAsia"/>
                <w:highlight w:val="none"/>
              </w:rPr>
            </w:pPr>
            <w:r>
              <w:rPr>
                <w:rFonts w:hint="eastAsia"/>
                <w:highlight w:val="none"/>
              </w:rPr>
              <w:t>1、支持300个预置位，可按照所设置的预置位完成不小于8条巡航路径，支持不小于4条模式路径设置，支持预置位冻结功能；可实现RS485接口优先或RJ45网络接口优先控制功能</w:t>
            </w:r>
          </w:p>
          <w:p>
            <w:pPr>
              <w:bidi w:val="0"/>
              <w:spacing w:before="0" w:beforeAutospacing="0" w:after="0" w:afterAutospacing="0"/>
              <w:ind w:left="0" w:right="0"/>
              <w:rPr>
                <w:rFonts w:hint="eastAsia"/>
                <w:highlight w:val="none"/>
              </w:rPr>
            </w:pPr>
            <w:r>
              <w:rPr>
                <w:rFonts w:hint="eastAsia"/>
                <w:highlight w:val="none"/>
              </w:rPr>
              <w:t>2、信噪比≥60dB，网络延时不大于120ms</w:t>
            </w:r>
          </w:p>
          <w:p>
            <w:pPr>
              <w:bidi w:val="0"/>
              <w:spacing w:before="0" w:beforeAutospacing="0" w:after="0" w:afterAutospacing="0"/>
              <w:ind w:left="0" w:right="0"/>
              <w:rPr>
                <w:rFonts w:hint="eastAsia"/>
                <w:highlight w:val="none"/>
              </w:rPr>
            </w:pPr>
            <w:r>
              <w:rPr>
                <w:rFonts w:hint="eastAsia"/>
                <w:highlight w:val="none"/>
              </w:rPr>
              <w:t>3、动态范围不小于106dB，照度适应范围不小于135dB，宽动态能力综合得分不小于135（以公安部检验报告为准）</w:t>
            </w:r>
          </w:p>
          <w:p>
            <w:pPr>
              <w:bidi w:val="0"/>
              <w:spacing w:before="0" w:beforeAutospacing="0" w:after="0" w:afterAutospacing="0"/>
              <w:ind w:left="0" w:right="0"/>
              <w:rPr>
                <w:rFonts w:hint="eastAsia"/>
                <w:highlight w:val="none"/>
              </w:rPr>
            </w:pPr>
            <w:r>
              <w:rPr>
                <w:rFonts w:hint="eastAsia"/>
                <w:highlight w:val="none"/>
              </w:rPr>
              <w:t>4、样机与客户端之间用150m五类非屏蔽网线直接连接，网络传输能力满足发送1500个数据包，重复测试3次，每次丢包数不大于1个</w:t>
            </w:r>
          </w:p>
          <w:p>
            <w:pPr>
              <w:bidi w:val="0"/>
              <w:spacing w:before="0" w:beforeAutospacing="0" w:after="0" w:afterAutospacing="0"/>
              <w:ind w:left="0" w:right="0"/>
              <w:rPr>
                <w:rFonts w:hint="eastAsia"/>
                <w:highlight w:val="none"/>
              </w:rPr>
            </w:pPr>
            <w:r>
              <w:rPr>
                <w:rFonts w:hint="eastAsia"/>
                <w:highlight w:val="none"/>
              </w:rPr>
              <w:t>5、支持区域入侵侦测，越界侦测，进入区域侦测和离开区域侦等智能侦测</w:t>
            </w:r>
          </w:p>
          <w:p>
            <w:pPr>
              <w:bidi w:val="0"/>
              <w:spacing w:before="0" w:beforeAutospacing="0" w:after="0" w:afterAutospacing="0"/>
              <w:ind w:left="0" w:right="0"/>
              <w:rPr>
                <w:rFonts w:hint="eastAsia"/>
                <w:highlight w:val="none"/>
              </w:rPr>
            </w:pPr>
            <w:r>
              <w:rPr>
                <w:rFonts w:hint="eastAsia"/>
                <w:highlight w:val="none"/>
              </w:rPr>
              <w:t>6、传感器类型: 1/2.8＂ progressive scan CMOS；最低照度: 彩色：0.005 Lux @（F1.6，AGC ON）；黑白：0.001 Lux @（F1.6，AGC ON）；0 Lux with IR</w:t>
            </w:r>
          </w:p>
          <w:p>
            <w:pPr>
              <w:bidi w:val="0"/>
              <w:spacing w:before="0" w:beforeAutospacing="0" w:after="0" w:afterAutospacing="0"/>
              <w:ind w:left="0" w:right="0"/>
              <w:rPr>
                <w:rFonts w:hint="eastAsia"/>
                <w:highlight w:val="none"/>
              </w:rPr>
            </w:pPr>
            <w:r>
              <w:rPr>
                <w:rFonts w:hint="eastAsia"/>
                <w:highlight w:val="none"/>
              </w:rPr>
              <w:t>7、宽动态: 120 dB超宽动态；焦距: 4.8 mm~110 mm，23倍光学变倍；视场角: 55°~2.7°（广角~望远）；红外照射距离: 100 m；水平范围: 360°；垂直范围: -15°~90°（自动翻转）；水平速度: 水平键控速度：0.1°~80°/s，速度可设；水平预置点速度：80°/s；垂直速度: 垂直键控速度：0.1°~80°/s，速度可设；垂直预置点速度：80°/s</w:t>
            </w:r>
          </w:p>
          <w:p>
            <w:pPr>
              <w:bidi w:val="0"/>
              <w:spacing w:before="0" w:beforeAutospacing="0" w:after="0" w:afterAutospacing="0"/>
              <w:ind w:left="0" w:right="0"/>
              <w:rPr>
                <w:rFonts w:hint="eastAsia"/>
                <w:highlight w:val="none"/>
              </w:rPr>
            </w:pPr>
            <w:r>
              <w:rPr>
                <w:rFonts w:hint="eastAsia"/>
                <w:highlight w:val="none"/>
              </w:rPr>
              <w:t xml:space="preserve">8、主码流帧率分辨率: 50 Hz：25 fps（2560 × 1440）；60 Hz：30 fps（2560 × 1440）   </w:t>
            </w:r>
          </w:p>
          <w:p>
            <w:pPr>
              <w:bidi w:val="0"/>
              <w:spacing w:before="0" w:beforeAutospacing="0" w:after="0" w:afterAutospacing="0"/>
              <w:ind w:left="0" w:right="0"/>
              <w:rPr>
                <w:rFonts w:hint="eastAsia"/>
                <w:highlight w:val="none"/>
              </w:rPr>
            </w:pPr>
            <w:r>
              <w:rPr>
                <w:rFonts w:hint="eastAsia"/>
                <w:highlight w:val="none"/>
              </w:rPr>
              <w:t>9、视频压缩标准: H.265，H.264，MJPEG；网络存储: NAS（NFS，SMB/CIFS）；支持萤石接入；网络接口: RJ45网口，自适应10 M/100 M网络数据；SD卡扩展: 支持MicroSD(即TF卡)/MicroSDHC/MicroSDXC卡，最大支持256 GB</w:t>
            </w:r>
          </w:p>
          <w:p>
            <w:pPr>
              <w:bidi w:val="0"/>
              <w:spacing w:before="0" w:beforeAutospacing="0" w:after="0" w:afterAutospacing="0"/>
              <w:ind w:left="0" w:right="0"/>
              <w:rPr>
                <w:rFonts w:hint="eastAsia"/>
                <w:highlight w:val="none"/>
              </w:rPr>
            </w:pPr>
            <w:r>
              <w:rPr>
                <w:rFonts w:hint="eastAsia"/>
                <w:highlight w:val="none"/>
              </w:rPr>
              <w:t>10、音频输入: 1路音频输入；音频输出: 1路音频输出；供电方式: DC：12 V，PoE+（802.3at）；电源接口类型: 两线式</w:t>
            </w:r>
          </w:p>
          <w:p>
            <w:pPr>
              <w:bidi w:val="0"/>
              <w:spacing w:before="0" w:beforeAutospacing="0" w:after="0" w:afterAutospacing="0"/>
              <w:ind w:left="0" w:right="0"/>
              <w:rPr>
                <w:rFonts w:hint="eastAsia"/>
                <w:highlight w:val="none"/>
              </w:rPr>
            </w:pPr>
            <w:r>
              <w:rPr>
                <w:rFonts w:hint="eastAsia"/>
                <w:highlight w:val="none"/>
              </w:rPr>
              <w:t>电流及功耗: 最大功耗：18 W（其中除雾加热1.6 W，补光灯9 W）</w:t>
            </w:r>
          </w:p>
          <w:p>
            <w:pPr>
              <w:bidi w:val="0"/>
              <w:spacing w:before="0" w:beforeAutospacing="0" w:after="0" w:afterAutospacing="0"/>
              <w:ind w:left="0" w:right="0"/>
              <w:rPr>
                <w:rFonts w:hint="eastAsia"/>
                <w:highlight w:val="none"/>
              </w:rPr>
            </w:pPr>
            <w:r>
              <w:rPr>
                <w:rFonts w:hint="eastAsia"/>
                <w:highlight w:val="none"/>
              </w:rPr>
              <w:t>11、工作温湿度: -30 ℃~65 ℃，湿度小于90%；恢复出厂设置: 支持；除雾: 加热玻璃除雾；防护: IP66</w:t>
            </w:r>
          </w:p>
        </w:tc>
        <w:tc>
          <w:tcPr>
            <w:tcW w:w="327" w:type="pct"/>
            <w:noWrap w:val="0"/>
            <w:vAlign w:val="top"/>
          </w:tcPr>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firstLine="210" w:firstLineChars="100"/>
              <w:rPr>
                <w:rFonts w:hint="eastAsia"/>
                <w:highlight w:val="none"/>
              </w:rPr>
            </w:pPr>
            <w:r>
              <w:rPr>
                <w:rFonts w:hint="eastAsia"/>
                <w:highlight w:val="none"/>
              </w:rPr>
              <w:t>台</w:t>
            </w:r>
          </w:p>
        </w:tc>
        <w:tc>
          <w:tcPr>
            <w:tcW w:w="374" w:type="pct"/>
            <w:noWrap w:val="0"/>
            <w:vAlign w:val="top"/>
          </w:tcPr>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firstLine="210" w:firstLineChars="100"/>
              <w:rPr>
                <w:rFonts w:hint="eastAsia"/>
                <w:highlight w:val="none"/>
              </w:rPr>
            </w:pPr>
            <w:r>
              <w:rPr>
                <w:rFonts w:hint="eastAsia"/>
                <w:highlight w:val="none"/>
              </w:rPr>
              <w:t>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5" w:type="pct"/>
            <w:noWrap w:val="0"/>
            <w:vAlign w:val="top"/>
          </w:tcPr>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firstLine="210" w:firstLineChars="1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p>
        </w:tc>
        <w:tc>
          <w:tcPr>
            <w:tcW w:w="482" w:type="pct"/>
            <w:noWrap w:val="0"/>
            <w:vAlign w:val="top"/>
          </w:tcPr>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星光网络摄像机</w:t>
            </w:r>
          </w:p>
        </w:tc>
        <w:tc>
          <w:tcPr>
            <w:tcW w:w="3461" w:type="pct"/>
            <w:noWrap w:val="0"/>
            <w:vAlign w:val="top"/>
          </w:tcPr>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200万 1/2.7" CMOS 白光全彩筒型网络摄像机</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1、智能侦测：支持越界侦测，区域入侵侦测</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2、最低照度: 彩色：0.01 Lux @（F1.2，AGC ON），0 Lux with IR；宽动态: 120 dB；焦距&amp;视场角: 4 mm，水平视场角：87.6°【6 mm（53.9°），8 mm（40.9°），12 mm（25.4°）可选】</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3、补光距离: 红外光最远可达50 m，白光最远可达30 m；防补光过曝: 支持；红外波长范围: 850 nm；补光灯类型: 默认白光，可切换红外补光</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4、最大图像尺寸: 1920 × 1080；；视频压缩标准: 主码流：H.265/H.264；网络存储: NAS（NFS，SMB/CIFS均支持）</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5、音频: 1个内置麦克风；</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6、网络: 1个RJ45 10 M/100 M自适应以太网口</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7、启动和工作温湿度: -30 ℃~60 ℃，湿度小于95%（无凝结）</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8、供电方式: DC：12 V ± 25%，支持防反接保护</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9、电流及功耗: DC：12 V，0.75 A，最大功耗：9.0 W</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10、电源接口类型: Ø5.5 mm圆口</w:t>
            </w:r>
          </w:p>
          <w:p>
            <w:pPr>
              <w:bidi w:val="0"/>
              <w:spacing w:before="0" w:beforeAutospacing="0" w:after="0" w:afterAutospacing="0"/>
              <w:ind w:left="0" w:right="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11、防护: IP66</w:t>
            </w:r>
          </w:p>
        </w:tc>
        <w:tc>
          <w:tcPr>
            <w:tcW w:w="327" w:type="pct"/>
            <w:noWrap w:val="0"/>
            <w:vAlign w:val="top"/>
          </w:tcPr>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firstLine="210" w:firstLineChars="1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台</w:t>
            </w:r>
          </w:p>
        </w:tc>
        <w:tc>
          <w:tcPr>
            <w:tcW w:w="374" w:type="pct"/>
            <w:noWrap w:val="0"/>
            <w:vAlign w:val="top"/>
          </w:tcPr>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firstLine="210" w:firstLineChars="1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404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5" w:type="pct"/>
            <w:noWrap w:val="0"/>
            <w:vAlign w:val="top"/>
          </w:tcPr>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firstLine="210" w:firstLineChars="1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4</w:t>
            </w:r>
          </w:p>
        </w:tc>
        <w:tc>
          <w:tcPr>
            <w:tcW w:w="482" w:type="pct"/>
            <w:noWrap w:val="0"/>
            <w:vAlign w:val="top"/>
          </w:tcPr>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巡更记录仪</w:t>
            </w:r>
          </w:p>
          <w:p>
            <w:pPr>
              <w:bidi w:val="0"/>
              <w:spacing w:before="0" w:beforeAutospacing="0" w:after="0" w:afterAutospacing="0"/>
              <w:ind w:left="0" w:right="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（手机操作版）</w:t>
            </w:r>
          </w:p>
        </w:tc>
        <w:tc>
          <w:tcPr>
            <w:tcW w:w="3461" w:type="pct"/>
            <w:noWrap w:val="0"/>
            <w:vAlign w:val="top"/>
          </w:tcPr>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巡更手持机</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1、电池容量≥4900mAh，连续录像时间≥8h，待机时间≥120h</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2、支持群组语音对讲，群组文字消息；单对单语音对讲3、支持1080P无线相机接入</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4、支持设备批量远程升级、WiFi蓝牙白名单权限、USB权限、应用更新等</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5、支持二维码巡更方案；支持NFC读卡巡更方案；支持室外GPS定位+电子地图巡更方案；支持远程巡更任务接收，巡更任务管理</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6、支持巡更人员登录注册，进行权限管理；支持巡更任务查询，巡更任务提醒等协助巡更的功能</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7、有网络环境下支持巡更记录实时上传；无网络环境下支持巡更记录断点续传；</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8、输出模式：焦点、覆盖、广播、剪贴板</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9、支持NFC协议；支持ISO15693、ISO14443A/B、ISO14443A</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10、图像采集：前置摄像头500万像素；后置摄像头1300万像素；</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11、5.5英寸高清触摸屏，1440*720分辨率；四核2.0GHz处理器，2GB RAM，32GB ROM；内置高灵敏度卫星定位模块，支持北斗，GPS，Glonass定位；</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12、防水、防尘、防摔（IP68）,支持1.5米防摔，适合全天候野外作业</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13、4G全网通</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14、性能参数：</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操作系统 Android 10.0 ；CPU：4核 2.0GHz；存储 2GB+32GB；SIM接口 Nano SIM*2（双卡双待）；存储扩展 TF卡，最大支持512GB；电池容量 4900mAh；待机时间大于500小时；NFC 支持定位 内置高灵敏度卫星定位模块，支持北斗、GPS、Glonass定位</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15、物理参数：</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显示屏 5.5英寸显示屏，电容式触摸，支持手套模式，720（H）× 1440（W）；键盘 音量+、- 键、开关机键、2个侧扫描键；接口/通信 防水Type C USB接口，支持Type C耳机；支持USB HighSpeed ；支持OTG；支持快充；通知方式 声音、振动器、LED灯指示；音频： 内置单扬声器（2W）；内置双麦克风（具有降噪功能）；传感器 光线传感器、距离传感器</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16、网络和连接：</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网络类型 GSM 900/1800；TD-SCDMA B34/B39；WCDMA B1/B8；TDD-LTE B38/B39/B40/B41；FDD -LTE B1/B3/B5/B8；无线局域网 IEEE 802.11 a/b/g/n/ac</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定位 GPS,北斗,Glonass；蓝牙 5.0；NFC 支持NFC协议；支持ISO15693、ISO14443A/B、ISO14443A；</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17、环境参数：工作温度 -10 ~ 55℃；工作湿度 ＜95%；存储温度 -30 ~ 60℃；抗跌落能力 1.5m防摔；抗滚落能力 300次；50cm范围内滚落；防护等级 IP68</w:t>
            </w:r>
          </w:p>
        </w:tc>
        <w:tc>
          <w:tcPr>
            <w:tcW w:w="327" w:type="pct"/>
            <w:noWrap w:val="0"/>
            <w:vAlign w:val="top"/>
          </w:tcPr>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firstLine="210" w:firstLineChars="1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台</w:t>
            </w:r>
          </w:p>
        </w:tc>
        <w:tc>
          <w:tcPr>
            <w:tcW w:w="374" w:type="pct"/>
            <w:noWrap w:val="0"/>
            <w:vAlign w:val="top"/>
          </w:tcPr>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firstLine="210" w:firstLineChars="1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5" w:type="pct"/>
            <w:noWrap w:val="0"/>
            <w:vAlign w:val="top"/>
          </w:tcPr>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firstLine="210" w:firstLineChars="1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5</w:t>
            </w:r>
          </w:p>
        </w:tc>
        <w:tc>
          <w:tcPr>
            <w:tcW w:w="482" w:type="pct"/>
            <w:noWrap w:val="0"/>
            <w:vAlign w:val="top"/>
          </w:tcPr>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一键对讲呼叫系统</w:t>
            </w:r>
          </w:p>
        </w:tc>
        <w:tc>
          <w:tcPr>
            <w:tcW w:w="3461" w:type="pct"/>
            <w:noWrap w:val="0"/>
            <w:vAlign w:val="top"/>
          </w:tcPr>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双键针孔式紧急求助报警盒</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1、支持紧急呼叫、业务咨询双按键</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2、200w像素视频采集，支持红外补光，支持语音对讲、广播</w:t>
            </w:r>
          </w:p>
          <w:p>
            <w:pPr>
              <w:bidi w:val="0"/>
              <w:spacing w:before="0" w:beforeAutospacing="0" w:after="0" w:afterAutospacing="0"/>
              <w:ind w:left="0" w:right="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3、支持公网传输ehome；1个10M/100Mbps自适应TCP/IP网络接口</w:t>
            </w:r>
          </w:p>
        </w:tc>
        <w:tc>
          <w:tcPr>
            <w:tcW w:w="327" w:type="pct"/>
            <w:noWrap w:val="0"/>
            <w:vAlign w:val="top"/>
          </w:tcPr>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firstLine="210" w:firstLineChars="1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台</w:t>
            </w:r>
          </w:p>
        </w:tc>
        <w:tc>
          <w:tcPr>
            <w:tcW w:w="374" w:type="pct"/>
            <w:noWrap w:val="0"/>
            <w:vAlign w:val="top"/>
          </w:tcPr>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firstLine="210" w:firstLineChars="1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5" w:type="pct"/>
            <w:noWrap w:val="0"/>
            <w:vAlign w:val="top"/>
          </w:tcPr>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firstLine="210" w:firstLineChars="1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6</w:t>
            </w:r>
          </w:p>
        </w:tc>
        <w:tc>
          <w:tcPr>
            <w:tcW w:w="482" w:type="pct"/>
            <w:noWrap w:val="0"/>
            <w:vAlign w:val="top"/>
          </w:tcPr>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访客自助产品</w:t>
            </w:r>
          </w:p>
        </w:tc>
        <w:tc>
          <w:tcPr>
            <w:tcW w:w="3461" w:type="pct"/>
            <w:noWrap w:val="0"/>
            <w:vAlign w:val="top"/>
          </w:tcPr>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1、设备外观：采用10.1英寸双屏（管理员方向为触摸屏，访客方向为显示屏），200万像素双目摄像头，面部识别距离0.5m-1.5m，人证比对时间≤1s/人；</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2、操作系统：设备采用Android7.1.2操作系统；</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3、设备容量：内存2G,存储16G；</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4、访客登记：人证比对通过后完成身份信息填充，或手动输入身份证号码完成访客登记；</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5、凭条打印：支持外接WG-PRINT-58H-USB打印机，实现访客凭条打印；</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6、通讯方式：有线网络、WiFi；</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7、设备接口：LAN*1、RS485*1、RS232*1、USB*2、I/O*2（预留）；</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8、工作电压：DC12V/3A (标配电源适配器）；</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9、使用环境：室内；</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10、安装方式：桌面安装；</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设备采用安卓系统，版本7.1以上，内存≥2G，闪存≥16G，双LCD屏，屏幕尺寸10.1英寸，分辨率1280*800，采用双目相机，1路可见光摄像头，1路红外摄像头，支持摄像头人脸监测，唤醒设备。</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 设备支持以太网和WiFi双网络，且支持同时连接；支持1个RS-485接口；支持1个RS232接口；支持2个USB接口；支持1个喇叭扬声器；支持1路门锁I/O输出接口；支持1路报警I/O输出接口；支持1个SIM卡接口；支持红绿双色LED指示灯；支持1个开关机按键；</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设备支持本地保存的访客记录≥15万条，支持本地保存的抓拍照片≥1万张，支持本地导入黑名单，导出黑名单模板功能；设备最大支持10万个黑名单。</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 设备支持通过身份证内照片与现场抓拍人员照片比对进行身份核验，支持低照度且无外部补光环境下可以完成人证比对，人脸识别距离：0.2m-1m，人证比对时间＜1s。</w:t>
            </w:r>
          </w:p>
        </w:tc>
        <w:tc>
          <w:tcPr>
            <w:tcW w:w="327" w:type="pct"/>
            <w:noWrap w:val="0"/>
            <w:vAlign w:val="top"/>
          </w:tcPr>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firstLine="210" w:firstLineChars="1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台</w:t>
            </w:r>
          </w:p>
        </w:tc>
        <w:tc>
          <w:tcPr>
            <w:tcW w:w="374" w:type="pct"/>
            <w:noWrap w:val="0"/>
            <w:vAlign w:val="top"/>
          </w:tcPr>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firstLine="210" w:firstLineChars="1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5" w:type="pct"/>
            <w:noWrap w:val="0"/>
            <w:vAlign w:val="top"/>
          </w:tcPr>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firstLine="210" w:firstLineChars="1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7</w:t>
            </w:r>
          </w:p>
        </w:tc>
        <w:tc>
          <w:tcPr>
            <w:tcW w:w="482" w:type="pct"/>
            <w:noWrap w:val="0"/>
            <w:vAlign w:val="top"/>
          </w:tcPr>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在离岗检测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保安室</w:t>
            </w:r>
            <w:r>
              <w:rPr>
                <w:rFonts w:hint="eastAsia" w:ascii="宋体" w:hAnsi="宋体" w:eastAsia="宋体" w:cs="宋体"/>
                <w:sz w:val="21"/>
                <w:szCs w:val="21"/>
                <w:highlight w:val="none"/>
                <w:lang w:eastAsia="zh-CN"/>
              </w:rPr>
              <w:t>）</w:t>
            </w:r>
          </w:p>
        </w:tc>
        <w:tc>
          <w:tcPr>
            <w:tcW w:w="3461" w:type="pct"/>
            <w:noWrap w:val="0"/>
            <w:vAlign w:val="top"/>
          </w:tcPr>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400万 星光级1/1.8" CMOS AI智能人员统计半球型网络摄像机</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1、AI智能人员检测半球型摄像机内嵌深度学习算法，以海量图片及视频资源为路基，实现对客流统计、区域关注度、人员密度等功能的准确统计</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2、支持3种智能切换：倾斜客流、人员密度、人数统计</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人数统计：支持同时运行人员统计、区域关注度、在离岗检测、热度图功能，除热度图为1个识别区域外，其他功能至多支持8个识别区域，128个目标；</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倾斜客流：基于行人轨迹分析，统计指定场景内目标人员进入和离开的情况，至多支持3个识别区域；</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人员密度：可检测指定场景内人员的拥挤情况，根据人数和占空比配置密度等级，至多支持8个识别区域</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3、最低照度: 彩色：0.0005 Lux @（F1.2，AGC ON）；黑白：0.0001 Lux @（F1.2，AGC ON），0 Lux with IR</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4、调节角度: 水平：0~355°，垂直：0~75°；宽动态: 120 dB；焦距＆视场角: 2.8 mm；水平视场角：98.4°，垂直视场角：53.2°，对角视场角：115.4°</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5、补光灯类型: 红外灯；补光距离: 普通监控：最远可达30 m；防补光过曝: 支持；红外波长范围: 850 nm；</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6、最大图像尺寸: 2560 × 1440；视频压缩标准: 主码流：H.265/H.264；</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7、网络存储: 支持MicroSD(即TF卡)/MicroSDHC/MicroSDXC卡（最大256 GB）断网本地存储及断网续传，NAS（NFS，SMB/CIFS均支持），配合海康黑卡支持SD卡加密及SD卡状态检测</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8、Wi-Fi:</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Wi-Fi协议: IEEE802.11b，802.11g，802.11n；频率范围: 2.4~2.4835 GHz；信道带宽: 20/40 MHz；调制方式: 802.11b: CCK，QPSK，BPSK；802.11g/n：OFDM；传输速率: 最远50 m（空旷环境下）</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9、网络: 1个RJ45 10 M/100 M自适应以太网口</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10、音频: 1路输入（Line in），1路输出（Line out），1个内置麦克风</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11、报警: 1路输入，1路输出（报警输入支持开关量，报警输出最大支持DC12 V，30 mA）</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12、复位: 支持</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13、接口类型: 外甩线；</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14、存储温湿度: -30 ℃~60 ℃，湿度小于95%（无凝结）；启动和工作温湿度: -30 ℃~60 ℃，湿度小于95%（无凝结）</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15、电流及功耗: DC：12 V，0.81 A，最大功耗：9.7 W；供电方式 DC：12 V ± 20%；电源接口类型: 3芯接口；线缆长度: 25 cm</w:t>
            </w:r>
          </w:p>
          <w:p>
            <w:pPr>
              <w:bidi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16、防护: IP67</w:t>
            </w:r>
          </w:p>
        </w:tc>
        <w:tc>
          <w:tcPr>
            <w:tcW w:w="327" w:type="pct"/>
            <w:noWrap w:val="0"/>
            <w:vAlign w:val="top"/>
          </w:tcPr>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firstLine="210" w:firstLineChars="1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台</w:t>
            </w:r>
          </w:p>
        </w:tc>
        <w:tc>
          <w:tcPr>
            <w:tcW w:w="374" w:type="pct"/>
            <w:noWrap w:val="0"/>
            <w:vAlign w:val="top"/>
          </w:tcPr>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jc w:val="both"/>
              <w:rPr>
                <w:rFonts w:hint="eastAsia" w:ascii="宋体" w:hAnsi="宋体" w:eastAsia="宋体" w:cs="宋体"/>
                <w:sz w:val="21"/>
                <w:szCs w:val="21"/>
                <w:highlight w:val="none"/>
              </w:rPr>
            </w:pPr>
          </w:p>
          <w:p>
            <w:pPr>
              <w:bidi w:val="0"/>
              <w:spacing w:before="0" w:beforeAutospacing="0" w:after="0" w:afterAutospacing="0"/>
              <w:ind w:left="0" w:right="0" w:firstLine="210" w:firstLineChars="1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5" w:type="pct"/>
            <w:noWrap w:val="0"/>
            <w:vAlign w:val="top"/>
          </w:tcPr>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firstLine="210" w:firstLineChars="1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8</w:t>
            </w:r>
          </w:p>
        </w:tc>
        <w:tc>
          <w:tcPr>
            <w:tcW w:w="482" w:type="pct"/>
            <w:noWrap w:val="0"/>
            <w:vAlign w:val="top"/>
          </w:tcPr>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话筒（教育局管理使用）</w:t>
            </w:r>
          </w:p>
        </w:tc>
        <w:tc>
          <w:tcPr>
            <w:tcW w:w="3461" w:type="pct"/>
            <w:noWrap w:val="0"/>
            <w:vAlign w:val="top"/>
          </w:tcPr>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技术参数</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1.网络接口：标准RJ45输入</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2.支持协议：TCP/IP，UDP</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3.音频格式：MP3</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4.采样率：8KHz~48KHz</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5.传输速率：100Mbps</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6.音频模式：16位CD音质</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7.显示屏尺寸：7英寸</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8.屏幕分辨率：800 x 480 像素</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9.屏幕类型：65K色DGUS屏</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10.键盘类型：虚拟QWERTY键盘</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11.键盘输入方式：触控</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12.内接扬声器阻抗及额定功率：4Ω，2W</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13.总偕波失真：≤1%</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14.频率响应：80Hz~16KHz  +1/-3dB</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15.信噪比：&gt;65dB</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16.PHONE OUT输出阻抗及额定功率：32Ω，2mW</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17.LINE OUT 输出电平：1000mV 工业标准压线接线端子</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18.LINE OUT 输出阻抗：470Ω</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19.LINE IN输入灵敏度：350mV  工业标准压线接线端子</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20.MIC输入灵敏度（非平衡）：10mV</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21.工作温度：5℃～40℃</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22.工作湿度：20%～80%相对湿度，无结露</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23.整机功耗：≤6W</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24.输入电源：～190V-240V 50Hz-60Hz（电源适配器）；DC24V/1.5A</w:t>
            </w:r>
          </w:p>
          <w:p>
            <w:pPr>
              <w:bidi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25.尺寸：200 x 158 x 163 mm</w:t>
            </w:r>
          </w:p>
          <w:p>
            <w:pPr>
              <w:bidi w:val="0"/>
              <w:spacing w:before="0" w:beforeAutospacing="0" w:after="0" w:afterAutospacing="0"/>
              <w:ind w:left="0" w:right="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26.净重：1.2kg</w:t>
            </w:r>
          </w:p>
        </w:tc>
        <w:tc>
          <w:tcPr>
            <w:tcW w:w="327" w:type="pct"/>
            <w:noWrap w:val="0"/>
            <w:vAlign w:val="top"/>
          </w:tcPr>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firstLine="210" w:firstLineChars="1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台</w:t>
            </w:r>
          </w:p>
        </w:tc>
        <w:tc>
          <w:tcPr>
            <w:tcW w:w="374" w:type="pct"/>
            <w:noWrap w:val="0"/>
            <w:vAlign w:val="top"/>
          </w:tcPr>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rPr>
                <w:rFonts w:hint="eastAsia" w:ascii="宋体" w:hAnsi="宋体" w:eastAsia="宋体" w:cs="宋体"/>
                <w:sz w:val="21"/>
                <w:szCs w:val="21"/>
                <w:highlight w:val="none"/>
              </w:rPr>
            </w:pPr>
          </w:p>
          <w:p>
            <w:pPr>
              <w:bidi w:val="0"/>
              <w:spacing w:before="0" w:beforeAutospacing="0" w:after="0" w:afterAutospacing="0"/>
              <w:ind w:left="0" w:right="0"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5" w:type="pct"/>
            <w:noWrap w:val="0"/>
            <w:vAlign w:val="top"/>
          </w:tcPr>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firstLine="210" w:firstLineChars="100"/>
              <w:rPr>
                <w:rFonts w:hint="eastAsia" w:ascii="Times New Roman" w:hAnsi="Times New Roman" w:eastAsia="宋体" w:cs="Times New Roman"/>
                <w:kern w:val="2"/>
                <w:sz w:val="21"/>
                <w:szCs w:val="24"/>
                <w:highlight w:val="none"/>
                <w:lang w:val="en-US" w:eastAsia="zh-CN" w:bidi="ar-SA"/>
              </w:rPr>
            </w:pPr>
            <w:r>
              <w:rPr>
                <w:rFonts w:hint="eastAsia"/>
                <w:highlight w:val="none"/>
              </w:rPr>
              <w:t>9</w:t>
            </w:r>
          </w:p>
        </w:tc>
        <w:tc>
          <w:tcPr>
            <w:tcW w:w="482" w:type="pct"/>
            <w:noWrap w:val="0"/>
            <w:vAlign w:val="top"/>
          </w:tcPr>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rPr>
              <w:t>广播设备</w:t>
            </w:r>
          </w:p>
        </w:tc>
        <w:tc>
          <w:tcPr>
            <w:tcW w:w="3461" w:type="pct"/>
            <w:noWrap w:val="0"/>
            <w:vAlign w:val="top"/>
          </w:tcPr>
          <w:p>
            <w:pPr>
              <w:bidi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60W 智慧音柱</w:t>
            </w:r>
          </w:p>
          <w:p>
            <w:pPr>
              <w:bidi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智慧声柱额定功率60W,有效频率范围100Hz-17KHz,灵敏度90dB(±3db）</w:t>
            </w:r>
          </w:p>
          <w:p>
            <w:pPr>
              <w:bidi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 xml:space="preserve">内置 16M 音频存储空间，可以通过外置 USB 接口擦除拷贝 6 首音乐，通过拨码开关选择预设音乐信 号，通过触发播放预设语音节目。 </w:t>
            </w:r>
          </w:p>
          <w:p>
            <w:pPr>
              <w:bidi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 xml:space="preserve">该产品外置一路线路输入接口，可以播放外部音源。 </w:t>
            </w:r>
          </w:p>
          <w:p>
            <w:pPr>
              <w:bidi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 xml:space="preserve">该产品具有本地音乐和线路音乐设置有音量调节旋钮。 </w:t>
            </w:r>
          </w:p>
          <w:p>
            <w:pPr>
              <w:bidi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 xml:space="preserve">该产品使用直流电源供电，内置 D 类数字功放，效率可达 90%以上。 </w:t>
            </w:r>
          </w:p>
          <w:p>
            <w:pPr>
              <w:bidi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该产品使用高质量的扬声器，清晰的还原声音。</w:t>
            </w:r>
          </w:p>
          <w:p>
            <w:pPr>
              <w:bidi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额定功率: 60W</w:t>
            </w:r>
          </w:p>
          <w:p>
            <w:pPr>
              <w:bidi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待机功率＜1W</w:t>
            </w:r>
          </w:p>
          <w:p>
            <w:pPr>
              <w:bidi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频率响应: 100Hz~17KHz （±3db）</w:t>
            </w:r>
          </w:p>
          <w:p>
            <w:pPr>
              <w:bidi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谐波失真≤0.5%</w:t>
            </w:r>
          </w:p>
          <w:p>
            <w:pPr>
              <w:bidi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电源: DC 24V/5A</w:t>
            </w:r>
          </w:p>
          <w:p>
            <w:pPr>
              <w:bidi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信噪比≥80db</w:t>
            </w:r>
          </w:p>
        </w:tc>
        <w:tc>
          <w:tcPr>
            <w:tcW w:w="327" w:type="pct"/>
            <w:noWrap w:val="0"/>
            <w:vAlign w:val="top"/>
          </w:tcPr>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firstLine="210" w:firstLineChars="100"/>
              <w:rPr>
                <w:rFonts w:hint="eastAsia" w:ascii="Times New Roman" w:hAnsi="Times New Roman" w:eastAsia="宋体" w:cs="Times New Roman"/>
                <w:kern w:val="2"/>
                <w:sz w:val="21"/>
                <w:szCs w:val="24"/>
                <w:highlight w:val="none"/>
                <w:lang w:val="en-US" w:eastAsia="zh-CN" w:bidi="ar-SA"/>
              </w:rPr>
            </w:pPr>
            <w:r>
              <w:rPr>
                <w:rFonts w:hint="eastAsia"/>
                <w:highlight w:val="none"/>
              </w:rPr>
              <w:t>台</w:t>
            </w:r>
          </w:p>
        </w:tc>
        <w:tc>
          <w:tcPr>
            <w:tcW w:w="374" w:type="pct"/>
            <w:noWrap w:val="0"/>
            <w:vAlign w:val="top"/>
          </w:tcPr>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firstLine="210" w:firstLineChars="100"/>
              <w:rPr>
                <w:rFonts w:hint="eastAsia" w:ascii="Times New Roman" w:hAnsi="Times New Roman" w:eastAsia="宋体" w:cs="Times New Roman"/>
                <w:kern w:val="2"/>
                <w:sz w:val="21"/>
                <w:szCs w:val="24"/>
                <w:highlight w:val="none"/>
                <w:lang w:val="en-US" w:eastAsia="zh-CN" w:bidi="ar-SA"/>
              </w:rPr>
            </w:pPr>
            <w:r>
              <w:rPr>
                <w:rFonts w:hint="eastAsia"/>
                <w:highlight w:val="none"/>
              </w:rPr>
              <w:t>202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5" w:type="pct"/>
            <w:noWrap w:val="0"/>
            <w:vAlign w:val="top"/>
          </w:tcPr>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firstLine="210" w:firstLineChars="100"/>
              <w:rPr>
                <w:rFonts w:hint="eastAsia" w:ascii="Times New Roman" w:hAnsi="Times New Roman" w:eastAsia="宋体" w:cs="Times New Roman"/>
                <w:kern w:val="2"/>
                <w:sz w:val="21"/>
                <w:szCs w:val="24"/>
                <w:highlight w:val="none"/>
                <w:lang w:val="en-US" w:eastAsia="zh-CN" w:bidi="ar-SA"/>
              </w:rPr>
            </w:pPr>
            <w:r>
              <w:rPr>
                <w:rFonts w:hint="eastAsia"/>
                <w:highlight w:val="none"/>
              </w:rPr>
              <w:t>10</w:t>
            </w:r>
          </w:p>
        </w:tc>
        <w:tc>
          <w:tcPr>
            <w:tcW w:w="482" w:type="pct"/>
            <w:noWrap w:val="0"/>
            <w:vAlign w:val="top"/>
          </w:tcPr>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rPr>
              <w:t>通用CVR(RAID)</w:t>
            </w:r>
          </w:p>
        </w:tc>
        <w:tc>
          <w:tcPr>
            <w:tcW w:w="3461" w:type="pct"/>
            <w:noWrap w:val="0"/>
            <w:vAlign w:val="top"/>
          </w:tcPr>
          <w:p>
            <w:pPr>
              <w:bidi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1、机架式/8U 48盘位/2048Mbps接入带宽（1024路2M）/SATA硬盘/双颗64位多核处理器/8GB缓存（可扩展至256GB）/4个千兆数据网口/1个千兆管理网口/冗余电源/VRAID2.0/网络协议：RTSP/ONVIF/PSIA/（GB/T28181）</w:t>
            </w:r>
          </w:p>
          <w:p>
            <w:pPr>
              <w:bidi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2、★单设备应配置≥2颗64位多核处理器，≥8GB内存，内存支持扩展到≥256GB，需配置冗余金牌电源（以公安部检测报告为准，其中电源仅以照片证明即可）</w:t>
            </w:r>
          </w:p>
          <w:p>
            <w:pPr>
              <w:bidi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3、★具有48块硬盘热插拔插槽（以公安部检测报告为准）</w:t>
            </w:r>
          </w:p>
          <w:p>
            <w:pPr>
              <w:bidi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4、★可接入2T/3T/4T/6T/8T/10T/12T/14T/16T/18T/20T SATA/SAS硬盘（以公安部检测报告为准）</w:t>
            </w:r>
          </w:p>
          <w:p>
            <w:pPr>
              <w:bidi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5、★支持网络raid纠删码技术，多台存储设备组建网络RAID，设置为负载均衡；单台或多台存储设备组建网络RAID，允许每组RAID中任意任意1-12个磁盘发生故障，数据不丢失，存储服务不中断。允许每组RAID中任意12块硬盘发生故障，业务不中断。（以公安部检测报告为准）</w:t>
            </w:r>
          </w:p>
        </w:tc>
        <w:tc>
          <w:tcPr>
            <w:tcW w:w="327" w:type="pct"/>
            <w:noWrap w:val="0"/>
            <w:vAlign w:val="top"/>
          </w:tcPr>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firstLine="210" w:firstLineChars="100"/>
              <w:rPr>
                <w:rFonts w:hint="eastAsia" w:ascii="Times New Roman" w:hAnsi="Times New Roman" w:eastAsia="宋体" w:cs="Times New Roman"/>
                <w:kern w:val="2"/>
                <w:sz w:val="21"/>
                <w:szCs w:val="24"/>
                <w:highlight w:val="none"/>
                <w:lang w:val="en-US" w:eastAsia="zh-CN" w:bidi="ar-SA"/>
              </w:rPr>
            </w:pPr>
            <w:r>
              <w:rPr>
                <w:rFonts w:hint="eastAsia"/>
                <w:highlight w:val="none"/>
              </w:rPr>
              <w:t>台</w:t>
            </w:r>
          </w:p>
        </w:tc>
        <w:tc>
          <w:tcPr>
            <w:tcW w:w="374" w:type="pct"/>
            <w:noWrap w:val="0"/>
            <w:vAlign w:val="top"/>
          </w:tcPr>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firstLine="420" w:firstLineChars="200"/>
              <w:rPr>
                <w:rFonts w:hint="eastAsia" w:ascii="Times New Roman" w:hAnsi="Times New Roman" w:eastAsia="宋体" w:cs="Times New Roman"/>
                <w:kern w:val="2"/>
                <w:sz w:val="21"/>
                <w:szCs w:val="24"/>
                <w:highlight w:val="none"/>
                <w:lang w:val="en-US" w:eastAsia="zh-CN" w:bidi="ar-SA"/>
              </w:rPr>
            </w:pPr>
            <w:r>
              <w:rPr>
                <w:rFonts w:hint="eastAsia"/>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5" w:type="pct"/>
            <w:noWrap w:val="0"/>
            <w:vAlign w:val="top"/>
          </w:tcPr>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firstLine="210" w:firstLineChars="100"/>
              <w:rPr>
                <w:rFonts w:hint="eastAsia" w:ascii="Times New Roman" w:hAnsi="Times New Roman" w:eastAsia="宋体" w:cs="Times New Roman"/>
                <w:kern w:val="2"/>
                <w:sz w:val="21"/>
                <w:szCs w:val="24"/>
                <w:highlight w:val="none"/>
                <w:lang w:val="en-US" w:eastAsia="zh-CN" w:bidi="ar-SA"/>
              </w:rPr>
            </w:pPr>
            <w:r>
              <w:rPr>
                <w:rFonts w:hint="eastAsia"/>
                <w:highlight w:val="none"/>
              </w:rPr>
              <w:t>11</w:t>
            </w:r>
          </w:p>
        </w:tc>
        <w:tc>
          <w:tcPr>
            <w:tcW w:w="482" w:type="pct"/>
            <w:noWrap w:val="0"/>
            <w:vAlign w:val="top"/>
          </w:tcPr>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rPr>
              <w:t>单路通用服务器</w:t>
            </w:r>
          </w:p>
        </w:tc>
        <w:tc>
          <w:tcPr>
            <w:tcW w:w="3461" w:type="pct"/>
            <w:noWrap w:val="0"/>
            <w:vAlign w:val="top"/>
          </w:tcPr>
          <w:p>
            <w:pPr>
              <w:bidi w:val="0"/>
              <w:spacing w:before="0" w:beforeAutospacing="0" w:after="0" w:afterAutospacing="0"/>
              <w:ind w:left="0" w:right="0"/>
              <w:rPr>
                <w:rFonts w:hint="eastAsia"/>
                <w:highlight w:val="none"/>
              </w:rPr>
            </w:pPr>
            <w:r>
              <w:rPr>
                <w:rFonts w:hint="eastAsia"/>
                <w:highlight w:val="none"/>
              </w:rPr>
              <w:t>1、HG7163(16核2.4GHz)×1/32GB DDR4/600GB SAS*2/SAS_HBA/1GbE*2/550W(1+1)/2U/16DIMM</w:t>
            </w:r>
          </w:p>
          <w:p>
            <w:pPr>
              <w:bidi w:val="0"/>
              <w:spacing w:before="0" w:beforeAutospacing="0" w:after="0" w:afterAutospacing="0"/>
              <w:ind w:left="0" w:right="0"/>
              <w:rPr>
                <w:rFonts w:hint="eastAsia"/>
                <w:highlight w:val="none"/>
              </w:rPr>
            </w:pPr>
            <w:r>
              <w:rPr>
                <w:rFonts w:hint="eastAsia"/>
                <w:highlight w:val="none"/>
              </w:rPr>
              <w:t>CPU：1颗 x86架构HYGON处理器，核数≥16核，频率≥2.4GHz</w:t>
            </w:r>
          </w:p>
          <w:p>
            <w:pPr>
              <w:bidi w:val="0"/>
              <w:spacing w:before="0" w:beforeAutospacing="0" w:after="0" w:afterAutospacing="0"/>
              <w:ind w:left="0" w:right="0"/>
              <w:rPr>
                <w:rFonts w:hint="eastAsia"/>
                <w:highlight w:val="none"/>
              </w:rPr>
            </w:pPr>
            <w:r>
              <w:rPr>
                <w:rFonts w:hint="eastAsia"/>
                <w:highlight w:val="none"/>
              </w:rPr>
              <w:t>2、内存：32GB DDR4，16根内存插槽，最大支持扩展至2TB内存</w:t>
            </w:r>
          </w:p>
          <w:p>
            <w:pPr>
              <w:bidi w:val="0"/>
              <w:spacing w:before="0" w:beforeAutospacing="0" w:after="0" w:afterAutospacing="0"/>
              <w:ind w:left="0" w:right="0"/>
              <w:rPr>
                <w:rFonts w:hint="eastAsia"/>
                <w:highlight w:val="none"/>
              </w:rPr>
            </w:pPr>
            <w:r>
              <w:rPr>
                <w:rFonts w:hint="eastAsia"/>
                <w:highlight w:val="none"/>
              </w:rPr>
              <w:t>3、硬盘：2块600G 10K 2.5英寸SAS盘，最高可支持12块3.5寸(兼容2.5寸)热插拔SAS/SATA硬盘；可选支持2块后置2.5寸热插拔SAS/SATA硬盘；可选支持4块NVME U.2热插拔硬盘；支持1个M.2插槽；支持1个TF插槽"</w:t>
            </w:r>
          </w:p>
          <w:p>
            <w:pPr>
              <w:bidi w:val="0"/>
              <w:spacing w:before="0" w:beforeAutospacing="0" w:after="0" w:afterAutospacing="0"/>
              <w:ind w:left="0" w:right="0"/>
              <w:rPr>
                <w:rFonts w:hint="eastAsia"/>
                <w:highlight w:val="none"/>
              </w:rPr>
            </w:pPr>
            <w:r>
              <w:rPr>
                <w:rFonts w:hint="eastAsia"/>
                <w:highlight w:val="none"/>
              </w:rPr>
              <w:t>4、阵列卡：标配SAS_HBA卡，支持RAID0/1/10；可选RAID_2G卡，支持0/1/5/6/10/50/60，可选支持断电保护</w:t>
            </w:r>
          </w:p>
          <w:p>
            <w:pPr>
              <w:bidi w:val="0"/>
              <w:spacing w:before="0" w:beforeAutospacing="0" w:after="0" w:afterAutospacing="0"/>
              <w:ind w:left="0" w:right="0"/>
              <w:rPr>
                <w:rFonts w:hint="eastAsia"/>
                <w:highlight w:val="none"/>
              </w:rPr>
            </w:pPr>
            <w:r>
              <w:rPr>
                <w:rFonts w:hint="eastAsia"/>
                <w:highlight w:val="none"/>
              </w:rPr>
              <w:t>5、PCIE扩展：最大可支持6个PCIe扩展插槽</w:t>
            </w:r>
          </w:p>
          <w:p>
            <w:pPr>
              <w:bidi w:val="0"/>
              <w:spacing w:before="0" w:beforeAutospacing="0" w:after="0" w:afterAutospacing="0"/>
              <w:ind w:left="0" w:right="0"/>
              <w:rPr>
                <w:rFonts w:hint="eastAsia"/>
                <w:highlight w:val="none"/>
              </w:rPr>
            </w:pPr>
            <w:r>
              <w:rPr>
                <w:rFonts w:hint="eastAsia"/>
                <w:highlight w:val="none"/>
              </w:rPr>
              <w:t>6、网口：2个千兆电口</w:t>
            </w:r>
          </w:p>
          <w:p>
            <w:pPr>
              <w:bidi w:val="0"/>
              <w:spacing w:before="0" w:beforeAutospacing="0" w:after="0" w:afterAutospacing="0"/>
              <w:ind w:left="0" w:right="0"/>
              <w:rPr>
                <w:rFonts w:hint="eastAsia"/>
                <w:highlight w:val="none"/>
              </w:rPr>
            </w:pPr>
            <w:r>
              <w:rPr>
                <w:rFonts w:hint="eastAsia"/>
                <w:highlight w:val="none"/>
              </w:rPr>
              <w:t>7、其他接口：1个千兆RJ-45管理接口，4个USB 3.0接口，2个位于机箱后部，2个位于机箱前部；1个VGA口，位于机箱后部</w:t>
            </w:r>
          </w:p>
          <w:p>
            <w:pPr>
              <w:bidi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rPr>
              <w:t xml:space="preserve">8、电源：标配550W（1+1）白金冗余电源 </w:t>
            </w:r>
          </w:p>
        </w:tc>
        <w:tc>
          <w:tcPr>
            <w:tcW w:w="327" w:type="pct"/>
            <w:noWrap w:val="0"/>
            <w:vAlign w:val="top"/>
          </w:tcPr>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firstLine="210" w:firstLineChars="100"/>
              <w:rPr>
                <w:rFonts w:hint="eastAsia" w:ascii="Times New Roman" w:hAnsi="Times New Roman" w:eastAsia="宋体" w:cs="Times New Roman"/>
                <w:kern w:val="2"/>
                <w:sz w:val="21"/>
                <w:szCs w:val="24"/>
                <w:highlight w:val="none"/>
                <w:lang w:val="en-US" w:eastAsia="zh-CN" w:bidi="ar-SA"/>
              </w:rPr>
            </w:pPr>
            <w:r>
              <w:rPr>
                <w:rFonts w:hint="eastAsia"/>
                <w:highlight w:val="none"/>
              </w:rPr>
              <w:t>台</w:t>
            </w:r>
          </w:p>
        </w:tc>
        <w:tc>
          <w:tcPr>
            <w:tcW w:w="374" w:type="pct"/>
            <w:noWrap w:val="0"/>
            <w:vAlign w:val="top"/>
          </w:tcPr>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firstLine="420" w:firstLineChars="200"/>
              <w:rPr>
                <w:rFonts w:hint="eastAsia" w:ascii="Times New Roman" w:hAnsi="Times New Roman" w:eastAsia="宋体" w:cs="Times New Roman"/>
                <w:kern w:val="2"/>
                <w:sz w:val="21"/>
                <w:szCs w:val="24"/>
                <w:highlight w:val="none"/>
                <w:lang w:val="en-US" w:eastAsia="zh-CN" w:bidi="ar-SA"/>
              </w:rPr>
            </w:pPr>
            <w:r>
              <w:rPr>
                <w:rFonts w:hint="eastAsia"/>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5" w:type="pct"/>
            <w:noWrap w:val="0"/>
            <w:vAlign w:val="top"/>
          </w:tcPr>
          <w:p>
            <w:pPr>
              <w:bidi w:val="0"/>
              <w:spacing w:before="0" w:beforeAutospacing="0" w:after="0" w:afterAutospacing="0"/>
              <w:ind w:left="0" w:right="0" w:firstLine="210" w:firstLineChars="100"/>
              <w:rPr>
                <w:rFonts w:hint="eastAsia" w:ascii="Times New Roman" w:hAnsi="Times New Roman" w:eastAsia="宋体" w:cs="Times New Roman"/>
                <w:kern w:val="2"/>
                <w:sz w:val="21"/>
                <w:szCs w:val="24"/>
                <w:highlight w:val="none"/>
                <w:lang w:val="en-US" w:eastAsia="zh-CN" w:bidi="ar-SA"/>
              </w:rPr>
            </w:pPr>
            <w:r>
              <w:rPr>
                <w:rFonts w:hint="eastAsia"/>
                <w:highlight w:val="none"/>
              </w:rPr>
              <w:t>12</w:t>
            </w:r>
          </w:p>
        </w:tc>
        <w:tc>
          <w:tcPr>
            <w:tcW w:w="482" w:type="pct"/>
            <w:noWrap w:val="0"/>
            <w:vAlign w:val="top"/>
          </w:tcPr>
          <w:p>
            <w:pPr>
              <w:bidi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rPr>
              <w:t>IoT 硬盘</w:t>
            </w:r>
          </w:p>
        </w:tc>
        <w:tc>
          <w:tcPr>
            <w:tcW w:w="3461" w:type="pct"/>
            <w:noWrap w:val="0"/>
            <w:vAlign w:val="top"/>
          </w:tcPr>
          <w:p>
            <w:pPr>
              <w:bidi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rPr>
              <w:t>6T,7200RPM,3.5 寸,SATA</w:t>
            </w:r>
          </w:p>
        </w:tc>
        <w:tc>
          <w:tcPr>
            <w:tcW w:w="327" w:type="pct"/>
            <w:noWrap w:val="0"/>
            <w:vAlign w:val="top"/>
          </w:tcPr>
          <w:p>
            <w:pPr>
              <w:bidi w:val="0"/>
              <w:spacing w:before="0" w:beforeAutospacing="0" w:after="0" w:afterAutospacing="0"/>
              <w:ind w:left="0" w:right="0" w:firstLine="210" w:firstLineChars="100"/>
              <w:rPr>
                <w:rFonts w:hint="eastAsia" w:ascii="Times New Roman" w:hAnsi="Times New Roman" w:eastAsia="宋体" w:cs="Times New Roman"/>
                <w:kern w:val="2"/>
                <w:sz w:val="21"/>
                <w:szCs w:val="24"/>
                <w:highlight w:val="none"/>
                <w:lang w:val="en-US" w:eastAsia="zh-CN" w:bidi="ar-SA"/>
              </w:rPr>
            </w:pPr>
            <w:r>
              <w:rPr>
                <w:rFonts w:hint="eastAsia"/>
                <w:highlight w:val="none"/>
              </w:rPr>
              <w:t>片</w:t>
            </w:r>
          </w:p>
        </w:tc>
        <w:tc>
          <w:tcPr>
            <w:tcW w:w="374" w:type="pct"/>
            <w:noWrap w:val="0"/>
            <w:vAlign w:val="top"/>
          </w:tcPr>
          <w:p>
            <w:pPr>
              <w:bidi w:val="0"/>
              <w:spacing w:before="0" w:beforeAutospacing="0" w:after="0" w:afterAutospacing="0"/>
              <w:ind w:left="0" w:right="0" w:firstLine="210" w:firstLineChars="100"/>
              <w:rPr>
                <w:rFonts w:hint="eastAsia" w:ascii="Times New Roman" w:hAnsi="Times New Roman" w:eastAsia="宋体" w:cs="Times New Roman"/>
                <w:kern w:val="2"/>
                <w:sz w:val="21"/>
                <w:szCs w:val="24"/>
                <w:highlight w:val="none"/>
                <w:lang w:val="en-US" w:eastAsia="zh-CN" w:bidi="ar-SA"/>
              </w:rPr>
            </w:pPr>
            <w:r>
              <w:rPr>
                <w:rFonts w:hint="eastAsia"/>
                <w:highlight w:val="none"/>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5" w:type="pct"/>
            <w:noWrap w:val="0"/>
            <w:vAlign w:val="top"/>
          </w:tcPr>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firstLine="210" w:firstLineChars="100"/>
              <w:rPr>
                <w:rFonts w:hint="eastAsia" w:ascii="Times New Roman" w:hAnsi="Times New Roman" w:eastAsia="宋体" w:cs="Times New Roman"/>
                <w:kern w:val="2"/>
                <w:sz w:val="21"/>
                <w:szCs w:val="24"/>
                <w:highlight w:val="none"/>
                <w:lang w:val="en-US" w:eastAsia="zh-CN" w:bidi="ar-SA"/>
              </w:rPr>
            </w:pPr>
            <w:r>
              <w:rPr>
                <w:rFonts w:hint="eastAsia"/>
                <w:highlight w:val="none"/>
              </w:rPr>
              <w:t>13</w:t>
            </w:r>
          </w:p>
        </w:tc>
        <w:tc>
          <w:tcPr>
            <w:tcW w:w="482" w:type="pct"/>
            <w:noWrap w:val="0"/>
            <w:vAlign w:val="top"/>
          </w:tcPr>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rPr>
              <w:t>设备接入管理平台</w:t>
            </w:r>
          </w:p>
        </w:tc>
        <w:tc>
          <w:tcPr>
            <w:tcW w:w="3461" w:type="pct"/>
            <w:noWrap w:val="0"/>
            <w:vAlign w:val="top"/>
          </w:tcPr>
          <w:p>
            <w:pPr>
              <w:bidi w:val="0"/>
              <w:spacing w:before="0" w:beforeAutospacing="0" w:after="0" w:afterAutospacing="0"/>
              <w:ind w:left="0" w:right="0"/>
              <w:rPr>
                <w:rFonts w:hint="eastAsia"/>
                <w:highlight w:val="none"/>
              </w:rPr>
            </w:pPr>
            <w:r>
              <w:rPr>
                <w:rFonts w:hint="eastAsia"/>
                <w:highlight w:val="none"/>
              </w:rPr>
              <w:t>1、支持管理最大组织数2000个，组织层级最大10级；</w:t>
            </w:r>
          </w:p>
          <w:p>
            <w:pPr>
              <w:bidi w:val="0"/>
              <w:spacing w:before="0" w:beforeAutospacing="0" w:after="0" w:afterAutospacing="0"/>
              <w:ind w:left="0" w:right="0"/>
              <w:rPr>
                <w:rFonts w:hint="eastAsia"/>
                <w:highlight w:val="none"/>
              </w:rPr>
            </w:pPr>
            <w:r>
              <w:rPr>
                <w:rFonts w:hint="eastAsia"/>
                <w:highlight w:val="none"/>
              </w:rPr>
              <w:t>2、支持管理最大区域数2000个，区域层级最大10级。；</w:t>
            </w:r>
          </w:p>
          <w:p>
            <w:pPr>
              <w:bidi w:val="0"/>
              <w:spacing w:before="0" w:beforeAutospacing="0" w:after="0" w:afterAutospacing="0"/>
              <w:ind w:left="0" w:right="0"/>
              <w:rPr>
                <w:rFonts w:hint="eastAsia"/>
                <w:highlight w:val="none"/>
              </w:rPr>
            </w:pPr>
            <w:r>
              <w:rPr>
                <w:rFonts w:hint="eastAsia"/>
                <w:highlight w:val="none"/>
              </w:rPr>
              <w:t>3、支持管理最大人员数量5万；</w:t>
            </w:r>
          </w:p>
          <w:p>
            <w:pPr>
              <w:bidi w:val="0"/>
              <w:spacing w:before="0" w:beforeAutospacing="0" w:after="0" w:afterAutospacing="0"/>
              <w:ind w:left="0" w:right="0"/>
              <w:rPr>
                <w:rFonts w:hint="eastAsia"/>
                <w:highlight w:val="none"/>
              </w:rPr>
            </w:pPr>
            <w:r>
              <w:rPr>
                <w:rFonts w:hint="eastAsia"/>
                <w:highlight w:val="none"/>
              </w:rPr>
              <w:t>4、支持管理最大卡片数量5万；</w:t>
            </w:r>
          </w:p>
          <w:p>
            <w:pPr>
              <w:bidi w:val="0"/>
              <w:spacing w:before="0" w:beforeAutospacing="0" w:after="0" w:afterAutospacing="0"/>
              <w:ind w:left="0" w:right="0"/>
              <w:rPr>
                <w:rFonts w:hint="eastAsia"/>
                <w:highlight w:val="none"/>
              </w:rPr>
            </w:pPr>
            <w:r>
              <w:rPr>
                <w:rFonts w:hint="eastAsia"/>
                <w:highlight w:val="none"/>
              </w:rPr>
              <w:t>5、支持管理最大车辆数量3万；</w:t>
            </w:r>
          </w:p>
          <w:p>
            <w:pPr>
              <w:bidi w:val="0"/>
              <w:spacing w:before="0" w:beforeAutospacing="0" w:after="0" w:afterAutospacing="0"/>
              <w:ind w:left="0" w:right="0"/>
              <w:rPr>
                <w:rFonts w:hint="eastAsia"/>
                <w:highlight w:val="none"/>
              </w:rPr>
            </w:pPr>
            <w:r>
              <w:rPr>
                <w:rFonts w:hint="eastAsia"/>
                <w:highlight w:val="none"/>
              </w:rPr>
              <w:t>6、支持最大的在线用户数1000个，并发登录用户数50个。</w:t>
            </w:r>
          </w:p>
          <w:p>
            <w:pPr>
              <w:bidi w:val="0"/>
              <w:spacing w:before="0" w:beforeAutospacing="0" w:after="0" w:afterAutospacing="0"/>
              <w:ind w:left="0" w:right="0"/>
              <w:rPr>
                <w:rFonts w:hint="eastAsia"/>
                <w:highlight w:val="none"/>
              </w:rPr>
            </w:pPr>
            <w:r>
              <w:rPr>
                <w:rFonts w:hint="eastAsia"/>
                <w:highlight w:val="none"/>
              </w:rPr>
              <w:t>7、支持最大事件并发处理500条/秒（不带图片）；</w:t>
            </w:r>
          </w:p>
          <w:p>
            <w:pPr>
              <w:bidi w:val="0"/>
              <w:spacing w:before="0" w:beforeAutospacing="0" w:after="0" w:afterAutospacing="0"/>
              <w:ind w:left="0" w:right="0"/>
              <w:rPr>
                <w:rFonts w:hint="eastAsia"/>
                <w:highlight w:val="none"/>
              </w:rPr>
            </w:pPr>
            <w:r>
              <w:rPr>
                <w:rFonts w:hint="eastAsia"/>
                <w:highlight w:val="none"/>
              </w:rPr>
              <w:t>8、支持联动上墙并发1次/秒；</w:t>
            </w:r>
          </w:p>
          <w:p>
            <w:pPr>
              <w:bidi w:val="0"/>
              <w:spacing w:before="0" w:beforeAutospacing="0" w:after="0" w:afterAutospacing="0"/>
              <w:ind w:left="0" w:right="0"/>
              <w:rPr>
                <w:rFonts w:hint="eastAsia"/>
                <w:highlight w:val="none"/>
              </w:rPr>
            </w:pPr>
            <w:r>
              <w:rPr>
                <w:rFonts w:hint="eastAsia"/>
                <w:highlight w:val="none"/>
              </w:rPr>
              <w:t>9、支持最大每秒联动100个不同的视频点位进行抓图；</w:t>
            </w:r>
          </w:p>
          <w:p>
            <w:pPr>
              <w:bidi w:val="0"/>
              <w:spacing w:before="0" w:beforeAutospacing="0" w:after="0" w:afterAutospacing="0"/>
              <w:ind w:left="0" w:right="0"/>
              <w:rPr>
                <w:rFonts w:hint="eastAsia"/>
                <w:highlight w:val="none"/>
              </w:rPr>
            </w:pPr>
            <w:r>
              <w:rPr>
                <w:rFonts w:hint="eastAsia"/>
                <w:highlight w:val="none"/>
              </w:rPr>
              <w:t>10、支持最大每秒联动100个不同的视频点位进行录像；</w:t>
            </w:r>
          </w:p>
          <w:p>
            <w:pPr>
              <w:bidi w:val="0"/>
              <w:spacing w:before="0" w:beforeAutospacing="0" w:after="0" w:afterAutospacing="0"/>
              <w:ind w:left="0" w:right="0"/>
              <w:rPr>
                <w:rFonts w:hint="eastAsia"/>
                <w:highlight w:val="none"/>
              </w:rPr>
            </w:pPr>
            <w:r>
              <w:rPr>
                <w:rFonts w:hint="eastAsia"/>
                <w:highlight w:val="none"/>
              </w:rPr>
              <w:t>11、支持联动并发发邮件2封/秒；</w:t>
            </w:r>
          </w:p>
          <w:p>
            <w:pPr>
              <w:bidi w:val="0"/>
              <w:spacing w:before="0" w:beforeAutospacing="0" w:after="0" w:afterAutospacing="0"/>
              <w:ind w:left="0" w:right="0"/>
              <w:rPr>
                <w:rFonts w:hint="eastAsia"/>
                <w:highlight w:val="none"/>
              </w:rPr>
            </w:pPr>
            <w:r>
              <w:rPr>
                <w:rFonts w:hint="eastAsia"/>
                <w:highlight w:val="none"/>
              </w:rPr>
              <w:t>12、支持短信联动（云信留客短信网关：1-2秒/条；</w:t>
            </w:r>
          </w:p>
          <w:p>
            <w:pPr>
              <w:bidi w:val="0"/>
              <w:spacing w:before="0" w:beforeAutospacing="0" w:after="0" w:afterAutospacing="0"/>
              <w:ind w:left="0" w:right="0"/>
              <w:rPr>
                <w:rFonts w:hint="eastAsia"/>
                <w:highlight w:val="none"/>
              </w:rPr>
            </w:pPr>
            <w:r>
              <w:rPr>
                <w:rFonts w:hint="eastAsia"/>
                <w:highlight w:val="none"/>
              </w:rPr>
              <w:t>短信猫：70字符以下，10秒/条；</w:t>
            </w:r>
          </w:p>
          <w:p>
            <w:pPr>
              <w:bidi w:val="0"/>
              <w:spacing w:before="0" w:beforeAutospacing="0" w:after="0" w:afterAutospacing="0"/>
              <w:ind w:left="0" w:right="0"/>
              <w:rPr>
                <w:rFonts w:hint="eastAsia"/>
                <w:highlight w:val="none"/>
              </w:rPr>
            </w:pPr>
            <w:r>
              <w:rPr>
                <w:rFonts w:hint="eastAsia"/>
                <w:highlight w:val="none"/>
              </w:rPr>
              <w:t>70字符以上分条发送，20秒/条；）</w:t>
            </w:r>
          </w:p>
          <w:p>
            <w:pPr>
              <w:bidi w:val="0"/>
              <w:spacing w:before="0" w:beforeAutospacing="0" w:after="0" w:afterAutospacing="0"/>
              <w:ind w:left="0" w:right="0"/>
              <w:rPr>
                <w:rFonts w:hint="eastAsia"/>
                <w:highlight w:val="none"/>
              </w:rPr>
            </w:pPr>
            <w:r>
              <w:rPr>
                <w:rFonts w:hint="eastAsia"/>
                <w:highlight w:val="none"/>
              </w:rPr>
              <w:t>13、支持最大事件存储7200万条；</w:t>
            </w:r>
          </w:p>
          <w:p>
            <w:pPr>
              <w:bidi w:val="0"/>
              <w:spacing w:before="0" w:beforeAutospacing="0" w:after="0" w:afterAutospacing="0"/>
              <w:ind w:left="0" w:right="0"/>
              <w:rPr>
                <w:rFonts w:hint="eastAsia"/>
                <w:highlight w:val="none"/>
              </w:rPr>
            </w:pPr>
            <w:r>
              <w:rPr>
                <w:rFonts w:hint="eastAsia"/>
                <w:highlight w:val="none"/>
              </w:rPr>
              <w:t>14、支持管理资源上图数量2万个。</w:t>
            </w:r>
          </w:p>
          <w:p>
            <w:pPr>
              <w:bidi w:val="0"/>
              <w:spacing w:before="0" w:beforeAutospacing="0" w:after="0" w:afterAutospacing="0"/>
              <w:ind w:left="0" w:right="0"/>
              <w:rPr>
                <w:rFonts w:hint="eastAsia"/>
                <w:highlight w:val="none"/>
              </w:rPr>
            </w:pPr>
            <w:r>
              <w:rPr>
                <w:rFonts w:hint="eastAsia"/>
                <w:highlight w:val="none"/>
              </w:rPr>
              <w:t>备注：以上是单台服务器部署系统基础规格，超出规格需考虑分布式部署。</w:t>
            </w:r>
          </w:p>
          <w:p>
            <w:pPr>
              <w:bidi w:val="0"/>
              <w:spacing w:before="0" w:beforeAutospacing="0" w:after="0" w:afterAutospacing="0"/>
              <w:ind w:left="0" w:right="0"/>
              <w:rPr>
                <w:rFonts w:hint="eastAsia"/>
                <w:highlight w:val="none"/>
              </w:rPr>
            </w:pPr>
            <w:r>
              <w:rPr>
                <w:rFonts w:hint="eastAsia"/>
                <w:highlight w:val="none"/>
              </w:rPr>
              <w:t>15. 支持AD域</w:t>
            </w:r>
          </w:p>
          <w:p>
            <w:pPr>
              <w:bidi w:val="0"/>
              <w:spacing w:before="0" w:beforeAutospacing="0" w:after="0" w:afterAutospacing="0"/>
              <w:ind w:left="0" w:right="0"/>
              <w:rPr>
                <w:rFonts w:hint="eastAsia"/>
                <w:highlight w:val="none"/>
              </w:rPr>
            </w:pPr>
            <w:r>
              <w:rPr>
                <w:rFonts w:hint="eastAsia"/>
                <w:highlight w:val="none"/>
              </w:rPr>
              <w:t>16. 要求监控点最多管理容量为1000000路</w:t>
            </w:r>
          </w:p>
          <w:p>
            <w:pPr>
              <w:bidi w:val="0"/>
              <w:spacing w:before="0" w:beforeAutospacing="0" w:after="0" w:afterAutospacing="0"/>
              <w:ind w:left="0" w:right="0"/>
              <w:rPr>
                <w:rFonts w:hint="eastAsia"/>
                <w:highlight w:val="none"/>
              </w:rPr>
            </w:pPr>
            <w:r>
              <w:rPr>
                <w:rFonts w:hint="eastAsia"/>
                <w:highlight w:val="none"/>
              </w:rPr>
              <w:t>17. 支持电视墙管理数量100个，监控点上墙出图像耗时小于3秒</w:t>
            </w:r>
          </w:p>
          <w:p>
            <w:pPr>
              <w:bidi w:val="0"/>
              <w:spacing w:before="0" w:beforeAutospacing="0" w:after="0" w:afterAutospacing="0"/>
              <w:ind w:left="0" w:right="0"/>
              <w:rPr>
                <w:rFonts w:hint="eastAsia"/>
                <w:highlight w:val="none"/>
              </w:rPr>
            </w:pPr>
            <w:r>
              <w:rPr>
                <w:rFonts w:hint="eastAsia"/>
                <w:highlight w:val="none"/>
              </w:rPr>
              <w:t>18. 支持防区数量不少于10000个</w:t>
            </w:r>
          </w:p>
          <w:p>
            <w:pPr>
              <w:bidi w:val="0"/>
              <w:spacing w:before="0" w:beforeAutospacing="0" w:after="0" w:afterAutospacing="0"/>
              <w:ind w:left="0" w:right="0"/>
              <w:rPr>
                <w:rFonts w:hint="eastAsia"/>
                <w:highlight w:val="none"/>
              </w:rPr>
            </w:pPr>
            <w:r>
              <w:rPr>
                <w:rFonts w:hint="eastAsia"/>
                <w:highlight w:val="none"/>
              </w:rPr>
              <w:t>19. 支持管理门禁点100000个，门禁权限数量1亿条，门禁事件数量1亿条以上</w:t>
            </w:r>
          </w:p>
          <w:p>
            <w:pPr>
              <w:bidi w:val="0"/>
              <w:spacing w:before="0" w:beforeAutospacing="0" w:after="0" w:afterAutospacing="0"/>
              <w:ind w:left="0" w:right="0"/>
              <w:rPr>
                <w:rFonts w:hint="eastAsia"/>
                <w:highlight w:val="none"/>
              </w:rPr>
            </w:pPr>
            <w:r>
              <w:rPr>
                <w:rFonts w:hint="eastAsia"/>
                <w:highlight w:val="none"/>
              </w:rPr>
              <w:t>20. 支持上图资源总数不低于100000个</w:t>
            </w:r>
          </w:p>
          <w:p>
            <w:pPr>
              <w:bidi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rPr>
              <w:t>21. 支持人脸库管理人脸数量1000000个</w:t>
            </w:r>
          </w:p>
        </w:tc>
        <w:tc>
          <w:tcPr>
            <w:tcW w:w="327" w:type="pct"/>
            <w:noWrap w:val="0"/>
            <w:vAlign w:val="top"/>
          </w:tcPr>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firstLine="210" w:firstLineChars="100"/>
              <w:rPr>
                <w:rFonts w:hint="eastAsia" w:ascii="Times New Roman" w:hAnsi="Times New Roman" w:eastAsia="宋体" w:cs="Times New Roman"/>
                <w:kern w:val="2"/>
                <w:sz w:val="21"/>
                <w:szCs w:val="24"/>
                <w:highlight w:val="none"/>
                <w:lang w:val="en-US" w:eastAsia="zh-CN" w:bidi="ar-SA"/>
              </w:rPr>
            </w:pPr>
            <w:r>
              <w:rPr>
                <w:rFonts w:hint="eastAsia"/>
                <w:highlight w:val="none"/>
              </w:rPr>
              <w:t>套</w:t>
            </w:r>
          </w:p>
        </w:tc>
        <w:tc>
          <w:tcPr>
            <w:tcW w:w="374" w:type="pct"/>
            <w:noWrap w:val="0"/>
            <w:vAlign w:val="top"/>
          </w:tcPr>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rPr>
                <w:rFonts w:hint="eastAsia"/>
                <w:highlight w:val="none"/>
              </w:rPr>
            </w:pPr>
          </w:p>
          <w:p>
            <w:pPr>
              <w:bidi w:val="0"/>
              <w:spacing w:before="0" w:beforeAutospacing="0" w:after="0" w:afterAutospacing="0"/>
              <w:ind w:left="0" w:right="0" w:firstLine="420" w:firstLineChars="200"/>
              <w:rPr>
                <w:rFonts w:hint="eastAsia" w:ascii="Times New Roman" w:hAnsi="Times New Roman" w:eastAsia="宋体" w:cs="Times New Roman"/>
                <w:kern w:val="2"/>
                <w:sz w:val="21"/>
                <w:szCs w:val="24"/>
                <w:highlight w:val="none"/>
                <w:lang w:val="en-US" w:eastAsia="zh-CN" w:bidi="ar-SA"/>
              </w:rPr>
            </w:pPr>
            <w:r>
              <w:rPr>
                <w:rFonts w:hint="eastAsia"/>
                <w:highlight w:val="none"/>
              </w:rPr>
              <w:t>1</w:t>
            </w:r>
          </w:p>
        </w:tc>
      </w:tr>
    </w:tbl>
    <w:p>
      <w:pPr>
        <w:spacing w:after="0"/>
        <w:jc w:val="center"/>
        <w:rPr>
          <w:rFonts w:ascii="微软雅黑"/>
          <w:sz w:val="16"/>
        </w:rPr>
        <w:sectPr>
          <w:headerReference r:id="rId8" w:type="default"/>
          <w:footerReference r:id="rId9" w:type="default"/>
          <w:pgSz w:w="11910" w:h="16840"/>
          <w:pgMar w:top="440" w:right="1280" w:bottom="440" w:left="1300" w:header="1108" w:footer="1089" w:gutter="0"/>
          <w:cols w:space="720" w:num="1"/>
        </w:sectPr>
      </w:pPr>
    </w:p>
    <w:p>
      <w:pPr>
        <w:pStyle w:val="23"/>
        <w:rPr>
          <w:sz w:val="20"/>
        </w:rPr>
      </w:pPr>
    </w:p>
    <w:p>
      <w:pPr>
        <w:pStyle w:val="23"/>
        <w:rPr>
          <w:sz w:val="18"/>
        </w:rPr>
      </w:pPr>
    </w:p>
    <w:p>
      <w:pPr>
        <w:pStyle w:val="23"/>
        <w:rPr>
          <w:sz w:val="20"/>
        </w:rPr>
      </w:pPr>
    </w:p>
    <w:tbl>
      <w:tblPr>
        <w:tblStyle w:val="64"/>
        <w:tblpPr w:leftFromText="180" w:rightFromText="180" w:vertAnchor="text" w:horzAnchor="page" w:tblpX="1298" w:tblpY="213"/>
        <w:tblOverlap w:val="never"/>
        <w:tblW w:w="504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68"/>
        <w:gridCol w:w="1102"/>
        <w:gridCol w:w="6075"/>
        <w:gridCol w:w="728"/>
        <w:gridCol w:w="8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trPr>
        <w:tc>
          <w:tcPr>
            <w:tcW w:w="354" w:type="pct"/>
            <w:noWrap w:val="0"/>
            <w:vAlign w:val="top"/>
          </w:tcPr>
          <w:p>
            <w:pPr>
              <w:bidi w:val="0"/>
              <w:spacing w:before="0" w:beforeAutospacing="0" w:after="0" w:afterAutospacing="0"/>
              <w:ind w:left="0" w:right="0"/>
              <w:rPr>
                <w:rFonts w:hint="eastAsia"/>
              </w:rPr>
            </w:pPr>
          </w:p>
          <w:p>
            <w:pPr>
              <w:bidi w:val="0"/>
              <w:spacing w:before="0" w:beforeAutospacing="0" w:after="0" w:afterAutospacing="0"/>
              <w:ind w:left="0" w:right="0"/>
              <w:rPr>
                <w:rFonts w:hint="eastAsia"/>
              </w:rPr>
            </w:pPr>
          </w:p>
          <w:p>
            <w:pPr>
              <w:bidi w:val="0"/>
              <w:spacing w:before="0" w:beforeAutospacing="0" w:after="0" w:afterAutospacing="0"/>
              <w:ind w:left="0" w:right="0"/>
              <w:rPr>
                <w:rFonts w:hint="eastAsia"/>
              </w:rPr>
            </w:pPr>
          </w:p>
          <w:p>
            <w:pPr>
              <w:bidi w:val="0"/>
              <w:spacing w:before="0" w:beforeAutospacing="0" w:after="0" w:afterAutospacing="0"/>
              <w:ind w:left="0" w:right="0"/>
              <w:rPr>
                <w:rFonts w:hint="eastAsia"/>
              </w:rPr>
            </w:pPr>
          </w:p>
          <w:p>
            <w:pPr>
              <w:bidi w:val="0"/>
              <w:spacing w:before="0" w:beforeAutospacing="0" w:after="0" w:afterAutospacing="0"/>
              <w:ind w:left="0" w:right="0" w:firstLine="210" w:firstLineChars="100"/>
              <w:rPr>
                <w:rFonts w:hint="eastAsia"/>
              </w:rPr>
            </w:pPr>
            <w:r>
              <w:rPr>
                <w:rFonts w:hint="eastAsia"/>
              </w:rPr>
              <w:t>14</w:t>
            </w:r>
          </w:p>
        </w:tc>
        <w:tc>
          <w:tcPr>
            <w:tcW w:w="584" w:type="pct"/>
            <w:noWrap w:val="0"/>
            <w:vAlign w:val="top"/>
          </w:tcPr>
          <w:p>
            <w:pPr>
              <w:bidi w:val="0"/>
              <w:spacing w:before="0" w:beforeAutospacing="0" w:after="0" w:afterAutospacing="0"/>
              <w:ind w:left="0" w:right="0"/>
              <w:rPr>
                <w:rFonts w:hint="eastAsia"/>
              </w:rPr>
            </w:pPr>
          </w:p>
          <w:p>
            <w:pPr>
              <w:bidi w:val="0"/>
              <w:spacing w:before="0" w:beforeAutospacing="0" w:after="0" w:afterAutospacing="0"/>
              <w:ind w:left="0" w:right="0"/>
              <w:rPr>
                <w:rFonts w:hint="eastAsia"/>
              </w:rPr>
            </w:pPr>
          </w:p>
          <w:p>
            <w:pPr>
              <w:bidi w:val="0"/>
              <w:spacing w:before="0" w:beforeAutospacing="0" w:after="0" w:afterAutospacing="0"/>
              <w:ind w:left="0" w:right="0"/>
              <w:rPr>
                <w:rFonts w:hint="eastAsia"/>
              </w:rPr>
            </w:pPr>
          </w:p>
          <w:p>
            <w:pPr>
              <w:bidi w:val="0"/>
              <w:spacing w:before="0" w:beforeAutospacing="0" w:after="0" w:afterAutospacing="0"/>
              <w:ind w:left="0" w:right="0"/>
              <w:rPr>
                <w:rFonts w:hint="eastAsia"/>
              </w:rPr>
            </w:pPr>
            <w:r>
              <w:rPr>
                <w:rFonts w:hint="eastAsia"/>
              </w:rPr>
              <w:t>设备管理推送软件</w:t>
            </w:r>
          </w:p>
        </w:tc>
        <w:tc>
          <w:tcPr>
            <w:tcW w:w="3220" w:type="pct"/>
            <w:noWrap w:val="0"/>
            <w:vAlign w:val="top"/>
          </w:tcPr>
          <w:p>
            <w:pPr>
              <w:bidi w:val="0"/>
              <w:spacing w:before="0" w:beforeAutospacing="0" w:after="0" w:afterAutospacing="0"/>
              <w:ind w:left="0" w:right="0"/>
              <w:rPr>
                <w:rFonts w:hint="eastAsia"/>
              </w:rPr>
            </w:pPr>
            <w:r>
              <w:rPr>
                <w:rFonts w:hint="eastAsia"/>
              </w:rPr>
              <w:t>单台网关在千兆网络环境下支持并发处理100条/秒大图+小图（大图500K，小图30K）；小图1000条/秒；无图8000条/秒；支持多节点扩容。</w:t>
            </w:r>
          </w:p>
          <w:p>
            <w:pPr>
              <w:bidi w:val="0"/>
              <w:spacing w:before="0" w:beforeAutospacing="0" w:after="0" w:afterAutospacing="0"/>
              <w:ind w:left="0" w:right="0"/>
              <w:rPr>
                <w:rFonts w:hint="eastAsia"/>
              </w:rPr>
            </w:pPr>
            <w:r>
              <w:rPr>
                <w:rFonts w:hint="eastAsia"/>
              </w:rPr>
              <w:t>1、支持基于视图库标准协议（GA/T 1400）进行人脸、车辆、人体数据的采集、级联和共享</w:t>
            </w:r>
          </w:p>
          <w:p>
            <w:pPr>
              <w:bidi w:val="0"/>
              <w:spacing w:before="0" w:beforeAutospacing="0" w:after="0" w:afterAutospacing="0"/>
              <w:ind w:left="0" w:right="0"/>
              <w:rPr>
                <w:rFonts w:hint="eastAsia"/>
              </w:rPr>
            </w:pPr>
            <w:r>
              <w:rPr>
                <w:rFonts w:hint="eastAsia"/>
              </w:rPr>
              <w:t>2、支持人脸、人体、车辆等结构化数据、图片的跨网摆渡；</w:t>
            </w:r>
          </w:p>
        </w:tc>
        <w:tc>
          <w:tcPr>
            <w:tcW w:w="386" w:type="pct"/>
            <w:noWrap w:val="0"/>
            <w:vAlign w:val="top"/>
          </w:tcPr>
          <w:p>
            <w:pPr>
              <w:bidi w:val="0"/>
              <w:spacing w:before="0" w:beforeAutospacing="0" w:after="0" w:afterAutospacing="0"/>
              <w:ind w:left="0" w:right="0"/>
              <w:rPr>
                <w:rFonts w:hint="eastAsia"/>
              </w:rPr>
            </w:pPr>
          </w:p>
          <w:p>
            <w:pPr>
              <w:bidi w:val="0"/>
              <w:spacing w:before="0" w:beforeAutospacing="0" w:after="0" w:afterAutospacing="0"/>
              <w:ind w:left="0" w:right="0"/>
              <w:rPr>
                <w:rFonts w:hint="eastAsia"/>
              </w:rPr>
            </w:pPr>
          </w:p>
          <w:p>
            <w:pPr>
              <w:bidi w:val="0"/>
              <w:spacing w:before="0" w:beforeAutospacing="0" w:after="0" w:afterAutospacing="0"/>
              <w:ind w:left="0" w:right="0"/>
              <w:rPr>
                <w:rFonts w:hint="eastAsia"/>
              </w:rPr>
            </w:pPr>
          </w:p>
          <w:p>
            <w:pPr>
              <w:bidi w:val="0"/>
              <w:spacing w:before="0" w:beforeAutospacing="0" w:after="0" w:afterAutospacing="0"/>
              <w:ind w:left="0" w:right="0"/>
              <w:rPr>
                <w:rFonts w:hint="eastAsia"/>
              </w:rPr>
            </w:pPr>
          </w:p>
          <w:p>
            <w:pPr>
              <w:bidi w:val="0"/>
              <w:spacing w:before="0" w:beforeAutospacing="0" w:after="0" w:afterAutospacing="0"/>
              <w:ind w:left="0" w:right="0" w:firstLine="210" w:firstLineChars="100"/>
              <w:rPr>
                <w:rFonts w:hint="eastAsia"/>
              </w:rPr>
            </w:pPr>
            <w:r>
              <w:rPr>
                <w:rFonts w:hint="eastAsia"/>
              </w:rPr>
              <w:t>套</w:t>
            </w:r>
          </w:p>
        </w:tc>
        <w:tc>
          <w:tcPr>
            <w:tcW w:w="454" w:type="pct"/>
            <w:noWrap w:val="0"/>
            <w:vAlign w:val="top"/>
          </w:tcPr>
          <w:p>
            <w:pPr>
              <w:bidi w:val="0"/>
              <w:spacing w:before="0" w:beforeAutospacing="0" w:after="0" w:afterAutospacing="0"/>
              <w:ind w:left="0" w:right="0"/>
              <w:rPr>
                <w:rFonts w:hint="eastAsia"/>
              </w:rPr>
            </w:pPr>
          </w:p>
          <w:p>
            <w:pPr>
              <w:bidi w:val="0"/>
              <w:spacing w:before="0" w:beforeAutospacing="0" w:after="0" w:afterAutospacing="0"/>
              <w:ind w:left="0" w:right="0"/>
              <w:rPr>
                <w:rFonts w:hint="eastAsia"/>
              </w:rPr>
            </w:pPr>
          </w:p>
          <w:p>
            <w:pPr>
              <w:bidi w:val="0"/>
              <w:spacing w:before="0" w:beforeAutospacing="0" w:after="0" w:afterAutospacing="0"/>
              <w:ind w:left="0" w:right="0"/>
              <w:rPr>
                <w:rFonts w:hint="eastAsia"/>
              </w:rPr>
            </w:pPr>
          </w:p>
          <w:p>
            <w:pPr>
              <w:bidi w:val="0"/>
              <w:spacing w:before="0" w:beforeAutospacing="0" w:after="0" w:afterAutospacing="0"/>
              <w:ind w:left="0" w:right="0"/>
              <w:rPr>
                <w:rFonts w:hint="eastAsia"/>
              </w:rPr>
            </w:pPr>
          </w:p>
          <w:p>
            <w:pPr>
              <w:bidi w:val="0"/>
              <w:spacing w:before="0" w:beforeAutospacing="0" w:after="0" w:afterAutospacing="0"/>
              <w:ind w:left="0" w:right="0" w:firstLine="210" w:firstLineChars="100"/>
              <w:rPr>
                <w:rFonts w:hint="eastAsia"/>
              </w:rPr>
            </w:pPr>
            <w:r>
              <w:rPr>
                <w:rFonts w:hint="eastAsi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354" w:type="pct"/>
            <w:noWrap w:val="0"/>
            <w:vAlign w:val="top"/>
          </w:tcPr>
          <w:p>
            <w:pPr>
              <w:bidi w:val="0"/>
              <w:spacing w:before="0" w:beforeAutospacing="0" w:after="0" w:afterAutospacing="0"/>
              <w:ind w:left="210" w:right="0" w:hanging="210" w:hangingChars="100"/>
              <w:rPr>
                <w:rFonts w:hint="eastAsia"/>
              </w:rPr>
            </w:pPr>
            <w:r>
              <w:rPr>
                <w:rFonts w:hint="eastAsia"/>
                <w:lang w:val="en-US" w:eastAsia="zh-CN"/>
              </w:rPr>
              <w:t xml:space="preserve">  15</w:t>
            </w:r>
          </w:p>
        </w:tc>
        <w:tc>
          <w:tcPr>
            <w:tcW w:w="584" w:type="pct"/>
            <w:noWrap w:val="0"/>
            <w:vAlign w:val="top"/>
          </w:tcPr>
          <w:p>
            <w:pPr>
              <w:bidi w:val="0"/>
              <w:spacing w:before="0" w:beforeAutospacing="0" w:after="0" w:afterAutospacing="0"/>
              <w:ind w:left="0" w:right="0" w:firstLine="210" w:firstLineChars="100"/>
              <w:rPr>
                <w:rFonts w:hint="eastAsia"/>
              </w:rPr>
            </w:pPr>
            <w:r>
              <w:rPr>
                <w:rFonts w:hint="eastAsia"/>
                <w:lang w:val="en-US" w:eastAsia="zh-CN"/>
              </w:rPr>
              <w:t>交换机</w:t>
            </w:r>
          </w:p>
        </w:tc>
        <w:tc>
          <w:tcPr>
            <w:tcW w:w="3220" w:type="pct"/>
            <w:noWrap w:val="0"/>
            <w:vAlign w:val="top"/>
          </w:tcPr>
          <w:p>
            <w:pPr>
              <w:bidi w:val="0"/>
              <w:spacing w:before="0" w:beforeAutospacing="0" w:after="0" w:afterAutospacing="0"/>
              <w:ind w:left="0" w:right="0"/>
              <w:rPr>
                <w:rFonts w:hint="eastAsia"/>
              </w:rPr>
            </w:pPr>
            <w:r>
              <w:rPr>
                <w:rFonts w:hint="eastAsia"/>
                <w:lang w:val="en-US" w:eastAsia="zh-CN"/>
              </w:rPr>
              <w:t>8口交换机</w:t>
            </w:r>
          </w:p>
        </w:tc>
        <w:tc>
          <w:tcPr>
            <w:tcW w:w="386" w:type="pct"/>
            <w:noWrap w:val="0"/>
            <w:vAlign w:val="top"/>
          </w:tcPr>
          <w:p>
            <w:pPr>
              <w:bidi w:val="0"/>
              <w:spacing w:before="0" w:beforeAutospacing="0" w:after="0" w:afterAutospacing="0"/>
              <w:ind w:left="0" w:right="0" w:firstLine="210" w:firstLineChars="100"/>
              <w:rPr>
                <w:rFonts w:hint="eastAsia"/>
              </w:rPr>
            </w:pPr>
            <w:r>
              <w:rPr>
                <w:rFonts w:hint="eastAsia"/>
                <w:lang w:val="en-US" w:eastAsia="zh-CN"/>
              </w:rPr>
              <w:t>套</w:t>
            </w:r>
          </w:p>
        </w:tc>
        <w:tc>
          <w:tcPr>
            <w:tcW w:w="454" w:type="pct"/>
            <w:noWrap w:val="0"/>
            <w:vAlign w:val="top"/>
          </w:tcPr>
          <w:p>
            <w:pPr>
              <w:bidi w:val="0"/>
              <w:spacing w:before="0" w:beforeAutospacing="0" w:after="0" w:afterAutospacing="0"/>
              <w:ind w:left="0" w:right="0" w:firstLine="210" w:firstLineChars="100"/>
              <w:rPr>
                <w:rFonts w:hint="eastAsia"/>
              </w:rPr>
            </w:pPr>
            <w:r>
              <w:rPr>
                <w:rFonts w:hint="eastAsia"/>
                <w:lang w:val="en-US" w:eastAsia="zh-CN"/>
              </w:rPr>
              <w:t>202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354" w:type="pct"/>
            <w:noWrap w:val="0"/>
            <w:vAlign w:val="center"/>
          </w:tcPr>
          <w:p>
            <w:pPr>
              <w:bidi w:val="0"/>
              <w:spacing w:before="0" w:beforeAutospacing="0" w:after="0" w:afterAutospacing="0"/>
              <w:ind w:left="0" w:right="0" w:firstLine="210" w:firstLineChars="100"/>
              <w:rPr>
                <w:rFonts w:hint="eastAsia"/>
              </w:rPr>
            </w:pPr>
            <w:r>
              <w:rPr>
                <w:rFonts w:hint="eastAsia"/>
                <w:lang w:val="en-US" w:eastAsia="zh-CN"/>
              </w:rPr>
              <w:t>16</w:t>
            </w:r>
          </w:p>
        </w:tc>
        <w:tc>
          <w:tcPr>
            <w:tcW w:w="584" w:type="pct"/>
            <w:noWrap w:val="0"/>
            <w:vAlign w:val="center"/>
          </w:tcPr>
          <w:p>
            <w:pPr>
              <w:bidi w:val="0"/>
              <w:spacing w:before="0" w:beforeAutospacing="0" w:after="0" w:afterAutospacing="0"/>
              <w:ind w:left="0" w:right="0"/>
              <w:rPr>
                <w:rFonts w:hint="eastAsia"/>
              </w:rPr>
            </w:pPr>
            <w:r>
              <w:rPr>
                <w:rFonts w:hint="eastAsia"/>
                <w:lang w:val="en-US" w:eastAsia="zh-CN"/>
              </w:rPr>
              <w:t>系统集成</w:t>
            </w:r>
          </w:p>
        </w:tc>
        <w:tc>
          <w:tcPr>
            <w:tcW w:w="3220" w:type="pct"/>
            <w:noWrap w:val="0"/>
            <w:vAlign w:val="top"/>
          </w:tcPr>
          <w:p>
            <w:pPr>
              <w:bidi w:val="0"/>
              <w:spacing w:before="0" w:beforeAutospacing="0" w:after="0" w:afterAutospacing="0"/>
              <w:ind w:left="0" w:right="0"/>
              <w:rPr>
                <w:rFonts w:hint="eastAsia"/>
              </w:rPr>
            </w:pPr>
            <w:r>
              <w:rPr>
                <w:rFonts w:hint="eastAsia"/>
                <w:lang w:val="en-US" w:eastAsia="zh-CN"/>
              </w:rPr>
              <w:t>设备施工安装+辅材+一次性设备调试和平台对</w:t>
            </w:r>
          </w:p>
        </w:tc>
        <w:tc>
          <w:tcPr>
            <w:tcW w:w="386" w:type="pct"/>
            <w:noWrap w:val="0"/>
            <w:vAlign w:val="top"/>
          </w:tcPr>
          <w:p>
            <w:pPr>
              <w:bidi w:val="0"/>
              <w:spacing w:before="0" w:beforeAutospacing="0" w:after="0" w:afterAutospacing="0"/>
              <w:ind w:left="0" w:right="0" w:firstLine="210" w:firstLineChars="100"/>
              <w:rPr>
                <w:rFonts w:hint="eastAsia"/>
              </w:rPr>
            </w:pPr>
            <w:r>
              <w:rPr>
                <w:rFonts w:hint="eastAsia"/>
                <w:lang w:val="en-US" w:eastAsia="zh-CN"/>
              </w:rPr>
              <w:t>项</w:t>
            </w:r>
          </w:p>
        </w:tc>
        <w:tc>
          <w:tcPr>
            <w:tcW w:w="454" w:type="pct"/>
            <w:noWrap w:val="0"/>
            <w:vAlign w:val="top"/>
          </w:tcPr>
          <w:p>
            <w:pPr>
              <w:bidi w:val="0"/>
              <w:spacing w:before="0" w:beforeAutospacing="0" w:after="0" w:afterAutospacing="0"/>
              <w:ind w:left="0" w:right="0" w:firstLine="210" w:firstLineChars="100"/>
              <w:rPr>
                <w:rFonts w:hint="eastAsia"/>
              </w:rPr>
            </w:pPr>
            <w:r>
              <w:rPr>
                <w:rFonts w:hint="eastAsia"/>
                <w:lang w:val="en-US" w:eastAsia="zh-CN"/>
              </w:rPr>
              <w:t>1</w:t>
            </w:r>
          </w:p>
        </w:tc>
      </w:tr>
    </w:tbl>
    <w:p>
      <w:pPr>
        <w:pStyle w:val="23"/>
        <w:rPr>
          <w:sz w:val="18"/>
        </w:rPr>
      </w:pPr>
    </w:p>
    <w:p>
      <w:pPr>
        <w:spacing w:after="0"/>
        <w:jc w:val="center"/>
        <w:rPr>
          <w:rFonts w:ascii="微软雅黑"/>
          <w:sz w:val="16"/>
        </w:rPr>
        <w:sectPr>
          <w:pgSz w:w="11910" w:h="16840"/>
          <w:pgMar w:top="440" w:right="1280" w:bottom="440" w:left="1300" w:header="1108" w:footer="1089" w:gutter="0"/>
          <w:cols w:space="720" w:num="1"/>
        </w:sectPr>
      </w:pPr>
    </w:p>
    <w:p>
      <w:pPr>
        <w:numPr>
          <w:ilvl w:val="0"/>
          <w:numId w:val="11"/>
        </w:numPr>
        <w:rPr>
          <w:rFonts w:hint="eastAsia"/>
          <w:lang w:val="en-US" w:eastAsia="zh-CN"/>
        </w:rPr>
      </w:pPr>
      <w:r>
        <w:rPr>
          <w:rFonts w:hint="eastAsia"/>
          <w:lang w:val="en-US" w:eastAsia="zh-CN"/>
        </w:rPr>
        <w:t>、软件开发</w:t>
      </w:r>
    </w:p>
    <w:tbl>
      <w:tblPr>
        <w:tblStyle w:val="64"/>
        <w:tblW w:w="531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899"/>
        <w:gridCol w:w="1005"/>
        <w:gridCol w:w="1352"/>
        <w:gridCol w:w="5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04" w:type="pct"/>
            <w:tcBorders>
              <w:top w:val="single" w:color="86A3A1" w:sz="8" w:space="0"/>
              <w:left w:val="single" w:color="86A3A1" w:sz="8" w:space="0"/>
              <w:bottom w:val="single" w:color="86A3A1" w:sz="8" w:space="0"/>
              <w:right w:val="single" w:color="86A3A1" w:sz="8" w:space="0"/>
            </w:tcBorders>
            <w:shd w:val="clear" w:color="auto" w:fill="9BC2E6"/>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404040"/>
                <w:sz w:val="21"/>
                <w:szCs w:val="21"/>
                <w:u w:val="none"/>
              </w:rPr>
            </w:pPr>
            <w:r>
              <w:rPr>
                <w:rFonts w:hint="eastAsia" w:ascii="微软雅黑" w:hAnsi="微软雅黑" w:eastAsia="微软雅黑" w:cs="微软雅黑"/>
                <w:b/>
                <w:bCs/>
                <w:i w:val="0"/>
                <w:iCs w:val="0"/>
                <w:color w:val="404040"/>
                <w:kern w:val="0"/>
                <w:sz w:val="21"/>
                <w:szCs w:val="21"/>
                <w:u w:val="none"/>
                <w:lang w:val="en-US" w:eastAsia="zh-CN" w:bidi="ar"/>
              </w:rPr>
              <w:t>序号</w:t>
            </w:r>
          </w:p>
        </w:tc>
        <w:tc>
          <w:tcPr>
            <w:tcW w:w="497" w:type="pct"/>
            <w:tcBorders>
              <w:top w:val="single" w:color="86A3A1" w:sz="8" w:space="0"/>
              <w:left w:val="single" w:color="86A3A1" w:sz="8" w:space="0"/>
              <w:bottom w:val="single" w:color="86A3A1" w:sz="8" w:space="0"/>
              <w:right w:val="single" w:color="86A3A1" w:sz="8" w:space="0"/>
            </w:tcBorders>
            <w:shd w:val="clear" w:color="auto" w:fill="9BC2E6"/>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404040"/>
                <w:kern w:val="0"/>
                <w:sz w:val="21"/>
                <w:szCs w:val="21"/>
                <w:u w:val="none"/>
                <w:lang w:val="en-US" w:eastAsia="zh-CN" w:bidi="ar"/>
              </w:rPr>
            </w:pPr>
            <w:r>
              <w:rPr>
                <w:rFonts w:hint="eastAsia" w:ascii="微软雅黑" w:hAnsi="微软雅黑" w:eastAsia="微软雅黑" w:cs="微软雅黑"/>
                <w:b/>
                <w:bCs/>
                <w:i w:val="0"/>
                <w:iCs w:val="0"/>
                <w:color w:val="404040"/>
                <w:kern w:val="0"/>
                <w:sz w:val="21"/>
                <w:szCs w:val="21"/>
                <w:u w:val="none"/>
                <w:lang w:val="en-US" w:eastAsia="zh-CN" w:bidi="ar"/>
              </w:rPr>
              <w:t>一级</w:t>
            </w:r>
          </w:p>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404040"/>
                <w:sz w:val="21"/>
                <w:szCs w:val="21"/>
                <w:u w:val="none"/>
              </w:rPr>
            </w:pPr>
            <w:r>
              <w:rPr>
                <w:rFonts w:hint="eastAsia" w:ascii="微软雅黑" w:hAnsi="微软雅黑" w:eastAsia="微软雅黑" w:cs="微软雅黑"/>
                <w:b/>
                <w:bCs/>
                <w:i w:val="0"/>
                <w:iCs w:val="0"/>
                <w:color w:val="404040"/>
                <w:kern w:val="0"/>
                <w:sz w:val="21"/>
                <w:szCs w:val="21"/>
                <w:u w:val="none"/>
                <w:lang w:val="en-US" w:eastAsia="zh-CN" w:bidi="ar"/>
              </w:rPr>
              <w:t>功能点</w:t>
            </w:r>
          </w:p>
        </w:tc>
        <w:tc>
          <w:tcPr>
            <w:tcW w:w="556" w:type="pct"/>
            <w:tcBorders>
              <w:top w:val="single" w:color="86A3A1" w:sz="8" w:space="0"/>
              <w:left w:val="single" w:color="86A3A1" w:sz="8" w:space="0"/>
              <w:bottom w:val="single" w:color="86A3A1" w:sz="8" w:space="0"/>
              <w:right w:val="single" w:color="86A3A1" w:sz="8" w:space="0"/>
            </w:tcBorders>
            <w:shd w:val="clear" w:color="auto" w:fill="9BC2E6"/>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404040"/>
                <w:kern w:val="0"/>
                <w:sz w:val="21"/>
                <w:szCs w:val="21"/>
                <w:u w:val="none"/>
                <w:lang w:val="en-US" w:eastAsia="zh-CN" w:bidi="ar"/>
              </w:rPr>
            </w:pPr>
            <w:r>
              <w:rPr>
                <w:rFonts w:hint="eastAsia" w:ascii="微软雅黑" w:hAnsi="微软雅黑" w:eastAsia="微软雅黑" w:cs="微软雅黑"/>
                <w:b/>
                <w:bCs/>
                <w:i w:val="0"/>
                <w:iCs w:val="0"/>
                <w:color w:val="404040"/>
                <w:kern w:val="0"/>
                <w:sz w:val="21"/>
                <w:szCs w:val="21"/>
                <w:u w:val="none"/>
                <w:lang w:val="en-US" w:eastAsia="zh-CN" w:bidi="ar"/>
              </w:rPr>
              <w:t>二级</w:t>
            </w:r>
          </w:p>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404040"/>
                <w:sz w:val="21"/>
                <w:szCs w:val="21"/>
                <w:u w:val="none"/>
              </w:rPr>
            </w:pPr>
            <w:r>
              <w:rPr>
                <w:rFonts w:hint="eastAsia" w:ascii="微软雅黑" w:hAnsi="微软雅黑" w:eastAsia="微软雅黑" w:cs="微软雅黑"/>
                <w:b/>
                <w:bCs/>
                <w:i w:val="0"/>
                <w:iCs w:val="0"/>
                <w:color w:val="404040"/>
                <w:kern w:val="0"/>
                <w:sz w:val="21"/>
                <w:szCs w:val="21"/>
                <w:u w:val="none"/>
                <w:lang w:val="en-US" w:eastAsia="zh-CN" w:bidi="ar"/>
              </w:rPr>
              <w:t>功能点</w:t>
            </w:r>
          </w:p>
        </w:tc>
        <w:tc>
          <w:tcPr>
            <w:tcW w:w="748" w:type="pct"/>
            <w:tcBorders>
              <w:top w:val="single" w:color="86A3A1" w:sz="8" w:space="0"/>
              <w:left w:val="single" w:color="86A3A1" w:sz="8" w:space="0"/>
              <w:bottom w:val="single" w:color="86A3A1" w:sz="8" w:space="0"/>
              <w:right w:val="single" w:color="86A3A1" w:sz="8" w:space="0"/>
            </w:tcBorders>
            <w:shd w:val="clear" w:color="auto" w:fill="9BC2E6"/>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404040"/>
                <w:kern w:val="0"/>
                <w:sz w:val="21"/>
                <w:szCs w:val="21"/>
                <w:u w:val="none"/>
                <w:lang w:val="en-US" w:eastAsia="zh-CN" w:bidi="ar"/>
              </w:rPr>
            </w:pPr>
            <w:r>
              <w:rPr>
                <w:rFonts w:hint="eastAsia" w:ascii="微软雅黑" w:hAnsi="微软雅黑" w:eastAsia="微软雅黑" w:cs="微软雅黑"/>
                <w:b/>
                <w:bCs/>
                <w:i w:val="0"/>
                <w:iCs w:val="0"/>
                <w:color w:val="404040"/>
                <w:kern w:val="0"/>
                <w:sz w:val="21"/>
                <w:szCs w:val="21"/>
                <w:u w:val="none"/>
                <w:lang w:val="en-US" w:eastAsia="zh-CN" w:bidi="ar"/>
              </w:rPr>
              <w:t>三级</w:t>
            </w:r>
          </w:p>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404040"/>
                <w:sz w:val="21"/>
                <w:szCs w:val="21"/>
                <w:u w:val="none"/>
              </w:rPr>
            </w:pPr>
            <w:r>
              <w:rPr>
                <w:rFonts w:hint="eastAsia" w:ascii="微软雅黑" w:hAnsi="微软雅黑" w:eastAsia="微软雅黑" w:cs="微软雅黑"/>
                <w:b/>
                <w:bCs/>
                <w:i w:val="0"/>
                <w:iCs w:val="0"/>
                <w:color w:val="404040"/>
                <w:kern w:val="0"/>
                <w:sz w:val="21"/>
                <w:szCs w:val="21"/>
                <w:u w:val="none"/>
                <w:lang w:val="en-US" w:eastAsia="zh-CN" w:bidi="ar"/>
              </w:rPr>
              <w:t>功能点</w:t>
            </w:r>
          </w:p>
        </w:tc>
        <w:tc>
          <w:tcPr>
            <w:tcW w:w="2893" w:type="pct"/>
            <w:tcBorders>
              <w:top w:val="single" w:color="86A3A1" w:sz="8" w:space="0"/>
              <w:left w:val="single" w:color="86A3A1" w:sz="8" w:space="0"/>
              <w:bottom w:val="single" w:color="86A3A1" w:sz="8" w:space="0"/>
              <w:right w:val="single" w:color="86A3A1" w:sz="8" w:space="0"/>
            </w:tcBorders>
            <w:shd w:val="clear" w:color="auto" w:fill="9BC2E6"/>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404040"/>
                <w:sz w:val="21"/>
                <w:szCs w:val="21"/>
                <w:u w:val="none"/>
              </w:rPr>
            </w:pPr>
            <w:r>
              <w:rPr>
                <w:rFonts w:hint="eastAsia" w:ascii="微软雅黑" w:hAnsi="微软雅黑" w:eastAsia="微软雅黑" w:cs="微软雅黑"/>
                <w:i w:val="0"/>
                <w:iCs w:val="0"/>
                <w:color w:val="404040"/>
                <w:kern w:val="0"/>
                <w:sz w:val="21"/>
                <w:szCs w:val="21"/>
                <w:u w:val="none"/>
                <w:lang w:val="en-US" w:eastAsia="zh-CN" w:bidi="ar"/>
              </w:rPr>
              <w:t>功能简介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7" w:type="pct"/>
            <w:vMerge w:val="restar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组织中心</w:t>
            </w:r>
          </w:p>
        </w:tc>
        <w:tc>
          <w:tcPr>
            <w:tcW w:w="556"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组织管理</w:t>
            </w: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组织树管理</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新建下级组织、激活组织、组织信息维护、组织信息变更审核、组织树查看与查找。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校区班级管理</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校区管理、网格管理、班级匹配与数据初始化服务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网格管理</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系统支持每个学校可按自己管理习惯划分管理网格，如以“区域” 划分的“食堂网格”；以“管理对象”划分的“消防安全网格”；系统支持每个学校按照自己的情况，设定网格负责人、网格人员等。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服务（安保、后勤）机构管理</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以安保机构、后勤机构为管理对象与数据初始化服务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人员管理</w:t>
            </w: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组织成员</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教师、教工、安保、</w:t>
            </w:r>
            <w:r>
              <w:rPr>
                <w:rFonts w:hint="eastAsia" w:cs="宋体"/>
                <w:i w:val="0"/>
                <w:iCs w:val="0"/>
                <w:color w:val="000000"/>
                <w:kern w:val="0"/>
                <w:sz w:val="22"/>
                <w:szCs w:val="22"/>
                <w:u w:val="none"/>
                <w:lang w:val="en-US" w:eastAsia="zh-CN" w:bidi="ar"/>
              </w:rPr>
              <w:t>后勤人员</w:t>
            </w:r>
            <w:r>
              <w:rPr>
                <w:rFonts w:hint="eastAsia" w:ascii="宋体" w:hAnsi="宋体" w:eastAsia="宋体" w:cs="宋体"/>
                <w:i w:val="0"/>
                <w:iCs w:val="0"/>
                <w:color w:val="000000"/>
                <w:kern w:val="0"/>
                <w:sz w:val="22"/>
                <w:szCs w:val="22"/>
                <w:u w:val="none"/>
                <w:lang w:val="en-US" w:eastAsia="zh-CN" w:bidi="ar"/>
              </w:rPr>
              <w:t>花名册、实名认证、认证问题修复及数据初始化服务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学生管理</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学生花名册回写及数据人工服务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用户中心</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用户管理中心（用户分类、用户分校、用户分网格、用户增删改查）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统一用户</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覆盖教育行政人员、学校、老师、学生、家长、保安、后勤等所有成员的统一用户中心，用户模型符合教育数据标准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统一登录</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提供跨平台的单点登录能力，各类业务应用集成后，用户登录一次就可以访问所有相互信任的应用（PC、浙政钉、钉钉）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组织协同</w:t>
            </w: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条线角色</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管理业务分配角色成员、角色建群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管理员工具</w:t>
            </w: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指标看板</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提供管理员数字指标看板，展示下级组织数、激活组织数、组织成员数、成员认证率各项指标等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权限管理</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提供权限管理功能，支持设置不同的管理员赋予不同的管理权限协同对组织进行管理。（支持通用的权限管理21）。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审批中心</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管理员审批下级组织信息变更、组织成员认证状态的操作中心.（审批列表、查询、详情查看等）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97" w:type="pct"/>
            <w:vMerge w:val="restar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数据中心</w:t>
            </w:r>
          </w:p>
        </w:tc>
        <w:tc>
          <w:tcPr>
            <w:tcW w:w="556"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数据仓</w:t>
            </w: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基础仓</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数据基础仓集中存放教育数据规范所涵盖的各类数据，包括不限于：教师数据仓、学生数据仓、学生家庭人口数据仓、安保教工数据仓、地址库的对接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主题仓</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题仓包含多个主题域数据，是标准基础数据整合完成后，通过各类数据引擎对数据深层次的加工，建立不同维度、不同指标、主题多样的数据，包括但不限于：人员安全数据库、场所安全数据库、设备设施安全数据库、安全事件数据库、教育安全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数据服务</w:t>
            </w: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数据汇聚接口</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对不同来源的数据，统一采取前置交换系统进行数据交换，采取不同的桥接和传输策略，统一输入输出接口标准规范.（人、场、物、事等11个应用接口，每个接口5个人日）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数据共享与开放</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构建统一数据服务能力，将标准数据仓、主题数据仓的标准化数据，通过公共服务接口提供给业务系统、下属机构、其他协同部门，支持查询。（基础仓(人、组织、地址)+（人、场、物、事、学）等8个数据仓，平均每仓3个接口，每个接口4个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97" w:type="pct"/>
            <w:vMerge w:val="restart"/>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统一地图服务</w:t>
            </w: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坐标定位服务</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支持提交经纬度、地名两种方式，快速定位能力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定点信息冒泡</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支持在地图上多点标定并展示信息能力，信息支持H5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热力图</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支持在地图上以热力图等形式展示数据分析能力。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统一消息中心</w:t>
            </w: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用户管理</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支持多用户、多应用的接入；支持每个用户单独配置发送信息渠道。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消息接收服务</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提供应用方消息发送接口，支持单个或批量发送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消息调度服务</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支持即可、定时发送消息能力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消息发送服务（短信）</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支持多用户通过自己的SMS接口发送消息；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消息发送服务（钉钉）</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支持多用户通过自己的钉钉接口发送消息；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消息发送服务（浙政钉）</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支持多用户通过自己的浙政钉接口发送端消息；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消息发送服务（智能语音）</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支持多用户通过自己的智能语音接口发送端消息；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消息发送结果反馈</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支持将每条消息发送接口反馈用户。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计划任务系统</w:t>
            </w: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新增计划</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提供全类型任务计划管理功能，可针对不同类型、不同学校管理或服务对象、制定周期性任务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自动派发</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派发规则设定功能及初始化模板。任务激活后，可根据任务的类型，自动向该任务相关学校及网格负责人发出提醒（若第一责任网格员没有在规定时间内响应（根据任务类型及紧急程度，响应时间不同），则自动向第二责任网格员发出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指派任务</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管理员可将特定任务指派给特定人员、特定网格、特定学校等。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调度模板</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提供模板化自动派发规则服务，支持教育局、学校、网格等定制模板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任务调度服务</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支持任务的即使、计划调度及向特定人员发送任务的调度服务。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内容管理系统</w:t>
            </w: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内容分类管理</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支持用户自定义内容分类（新闻、政策、通知），分类支持多级管理（教育局、学校级）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内容发布（修改、删除）</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支持富文本的文档在线便编辑、附件上传等功能。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内容审核</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支持内容审核后方可发布功能，提升信息发布安全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内容中心（查询、统计）</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支持对所有内容的查询级分类、分级、分用户统计功能更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统一感知运维</w:t>
            </w: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感知类型管理</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提供感知设备类型管理，每个类型可配置不同的感知参数；本期支持设备有摄像头、消防、访客机等。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感知设备管理</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提供感知设备中统一平台登记管理功能，包括设备类型、设备型号、设备管理方、设备地址、设备状态等及感知设备添加工作（数据初始化）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感知设备状态接口</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提供设备状态接口、设备状态查询服务</w:t>
            </w:r>
            <w:r>
              <w:rPr>
                <w:rFonts w:hint="eastAsia" w:cs="宋体"/>
                <w:i w:val="0"/>
                <w:iCs w:val="0"/>
                <w:color w:val="000000"/>
                <w:kern w:val="0"/>
                <w:sz w:val="22"/>
                <w:szCs w:val="22"/>
                <w:u w:val="none"/>
                <w:lang w:val="en-US" w:eastAsia="zh-CN" w:bidi="ar"/>
              </w:rPr>
              <w:t>两种</w:t>
            </w:r>
            <w:r>
              <w:rPr>
                <w:rFonts w:hint="eastAsia" w:ascii="宋体" w:hAnsi="宋体" w:eastAsia="宋体" w:cs="宋体"/>
                <w:i w:val="0"/>
                <w:iCs w:val="0"/>
                <w:color w:val="000000"/>
                <w:kern w:val="0"/>
                <w:sz w:val="22"/>
                <w:szCs w:val="22"/>
                <w:u w:val="none"/>
                <w:lang w:val="en-US" w:eastAsia="zh-CN" w:bidi="ar"/>
              </w:rPr>
              <w:t>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感知设备告警接口</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提供设备状态告警信息接收、告警信息查询两种模式。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设备维保、检修</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支持联动计划任务系统提供设备定期维保、检修功能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设备运维记录</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支持对设备维保、检修、告警等记录查询统计。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AI视觉计算服务</w:t>
            </w: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接口服务</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算法服务的基本输入输出服务接口(第一期提供人脸识别种算法接口)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人脸识别</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提供视觉的人脸识别算法及相关服务（报价单位：每算法）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监控云可视化服务</w:t>
            </w: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视频解码服务</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视频解码服务（随服务器赠送）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视频流媒体服务</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提供视频流媒体服务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视频管理</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支持对视频按学校、位置等查询、统计管理、视频存储30天。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信息分析中心</w:t>
            </w: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数据看板</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数据库设计开发、数据看板设计，7大类统计接口开发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人车出入查询、统计</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人车出入查询、统计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安防巡逻查询、统计</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安防巡逻查询、统计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设备维保、检修记录查询、统计</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设备维保、检修记录查询、统计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安全事件查询、统计</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安全事件查询、统计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安全教育记录查询、统计</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安全教育记录查询、统计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97"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事件处置&amp;</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风险控制中心</w:t>
            </w:r>
          </w:p>
        </w:tc>
        <w:tc>
          <w:tcPr>
            <w:tcW w:w="556"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事件归集</w:t>
            </w: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事处风控工作台</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事处风控工作台展示辖区内队伍建设、事件管理、三个档案（一事一档、一校一档、一格（网格）一档、一期一档）的指标和基本概况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97"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队伍建设</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队伍建设可根据实际需要展示辖区平安校园队伍相关数据，如工勤、老师、共治力量、学校数量、网格数量等，可点击查看队伍管理中的详细人员、辖区信息，实时掌握辖区校园安全队伍资源，实现队伍底数清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497"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事件管理</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事件管理模块主要展示平台归集事件的总告警数、已完成告警总数、有效流转率以及共治率。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497"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对接基层治理四平台</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对接基层治理四平台,实现事件上下自动流转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497"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一事一档</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一事一档模块简要展示一事一档图表，展示以事件为维度的业务数据情况，辅助决策；可通过该模块跳转查看一事一档详情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97"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一校一档</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一校一档模块简要展示一校一档图表，展示以学校为维度的校园安全数据情况，辅助决策；可通过该模块跳转查看一校一档详情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497"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一格一档</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系统支持每个学校可按自己管理习惯划分网格，如以“区域”划分的“食堂网格”；以“管理对象”划分的“消防安全网格”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497"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一期一档</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展示一期一档图表，展示以周期为维度的校园安全数据情况，辅助决策；可通过该模块跳转查看一期一档详情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497"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风险研判</w:t>
            </w: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事件解析</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提供多种对单个事件的解析工具，如事件信息、关联人员信息查看、关联场所信息查看、周边视频调阅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497"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事件研判</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事件研判对事件进行中心处理，将事件分类分级分流处置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497"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4" w:type="pct"/>
            <w:gridSpan w:val="2"/>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指挥调度</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支持那个以下功能：事件列表、预警筛选、自动分派、人工指派、人工改派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497"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4" w:type="pct"/>
            <w:gridSpan w:val="2"/>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调度模板：事件自动流转调度模板,人、场、物、事件4大类8</w:t>
            </w:r>
            <w:r>
              <w:rPr>
                <w:rFonts w:hint="eastAsia" w:cs="宋体"/>
                <w:i w:val="0"/>
                <w:iCs w:val="0"/>
                <w:color w:val="000000"/>
                <w:kern w:val="0"/>
                <w:sz w:val="22"/>
                <w:szCs w:val="22"/>
                <w:u w:val="none"/>
                <w:lang w:val="en-US" w:eastAsia="zh-CN" w:bidi="ar"/>
              </w:rPr>
              <w:t>种</w:t>
            </w:r>
            <w:r>
              <w:rPr>
                <w:rFonts w:hint="eastAsia" w:ascii="宋体" w:hAnsi="宋体" w:eastAsia="宋体" w:cs="宋体"/>
                <w:i w:val="0"/>
                <w:iCs w:val="0"/>
                <w:color w:val="000000"/>
                <w:kern w:val="0"/>
                <w:sz w:val="22"/>
                <w:szCs w:val="22"/>
                <w:u w:val="none"/>
                <w:lang w:val="en-US" w:eastAsia="zh-CN" w:bidi="ar"/>
              </w:rPr>
              <w:t>事件自动流程，每模板3人日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497"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4" w:type="pct"/>
            <w:gridSpan w:val="2"/>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事件督办</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督办操作、督办跟踪、督办统计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497"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4" w:type="pct"/>
            <w:gridSpan w:val="2"/>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事件处置</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移动处置反馈、待处理事件提醒、逾期工作提醒、提醒事项统计、处置结果、事件报表、任务预警、事态升级、处置分析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497"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4" w:type="pct"/>
            <w:gridSpan w:val="2"/>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应急指挥</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事件提醒、联动指挥、集成以下功能：重点部位可视化管理、一键对讲呼叫、远程喊话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497"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4" w:type="pct"/>
            <w:gridSpan w:val="2"/>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处置后评估</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对于事件，除正常的处置评价环节，每个事件都需要事件责任方上传事件</w:t>
            </w:r>
            <w:r>
              <w:rPr>
                <w:rFonts w:hint="eastAsia" w:cs="宋体"/>
                <w:i w:val="0"/>
                <w:iCs w:val="0"/>
                <w:color w:val="000000"/>
                <w:kern w:val="0"/>
                <w:sz w:val="22"/>
                <w:szCs w:val="22"/>
                <w:u w:val="none"/>
                <w:lang w:val="en-US" w:eastAsia="zh-CN" w:bidi="ar"/>
              </w:rPr>
              <w:t>调查报告</w:t>
            </w:r>
            <w:r>
              <w:rPr>
                <w:rFonts w:hint="eastAsia" w:ascii="宋体" w:hAnsi="宋体" w:eastAsia="宋体" w:cs="宋体"/>
                <w:i w:val="0"/>
                <w:iCs w:val="0"/>
                <w:color w:val="000000"/>
                <w:kern w:val="0"/>
                <w:sz w:val="22"/>
                <w:szCs w:val="22"/>
                <w:u w:val="none"/>
                <w:lang w:val="en-US" w:eastAsia="zh-CN" w:bidi="ar"/>
              </w:rPr>
              <w:t>或处置报告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497"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4" w:type="pct"/>
            <w:gridSpan w:val="2"/>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事件中台</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以千人千面原则，建立个人事件中台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497" w:type="pct"/>
            <w:vMerge w:val="restar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疫情防控</w:t>
            </w:r>
          </w:p>
        </w:tc>
        <w:tc>
          <w:tcPr>
            <w:tcW w:w="556"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信息填报（钉钉端）</w:t>
            </w:r>
          </w:p>
        </w:tc>
        <w:tc>
          <w:tcPr>
            <w:tcW w:w="748"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任务要求填报信息</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根据需要填报的任务要求，填写该任务的基本信息；内容设定，节目设计，排版布局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根据局端要求的信息，必须填写其身份证，行政区划，家庭住址和地址经纬度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同时支持学生家长填写其共同居住人信息，信息填报内容与学生填写信息内容基本一致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人员信息同步</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创建层级关系，以局--中心学校--街道--学校的组织层级关系创建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分享钉钉小程序应用，每个学校钉钉组织的管理员扫码添加应用赋予权限，获取钉钉组织内信息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根据每个学校的应用编码同步其家校通讯录和内部通讯录，并与平台上手动创建的组织架构进行关联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根据每个学校的钉钉的组织架构，同步组织，学生，家长，老师和其对应的关系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信息推送</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所有填报消息根据学校名称为标题，以工作通知的形式下发给组织内的所有人员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推送消息根据学校组织内添加的钉钉小程序渠道进行消息推送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根据任务需要添加信息的范围，可选择性的对全部/部分组织，全部/部分人员通过钉钉进行消息推送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设置的消息推送内容根据必填项和选填项进行下发，供消息接收者进行填写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推送的信息中会带有其孩子的姓名和对应学校的组织关系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填报信息数据收集汇总</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根据老师在钉钉组织内的管理权限，可以实时查看全校/班级的数据的填写情况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管理权限老师可以根据实际情况对填报人员进行无需填报设置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老师也可把无需填报人员进行切换，使其设置为需要填写状态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没有及时填报信息的家长，老师可以在手机端直接进行提醒功能，催促家长进行信息填写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待家长填报信息填写完成后，老师可以把家长填写完的信息汇总上报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学校管理员可以查看，提醒催促，汇总统计整个学校的信息填报情况并向上级上报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无疫校园（钉钉端）</w:t>
            </w:r>
          </w:p>
        </w:tc>
        <w:tc>
          <w:tcPr>
            <w:tcW w:w="748"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界面数据信息显示</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从后台将信息推送到钉钉小程序，提供全区人员当前健康码颜色数据展示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健康码数据分片区/街道/学校/校区/班级展示，展示数据内容根据个人身份、权限不同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核酸数据分片区/街道/学校/校区/班级展示，展示数据内容根据个人身份、权限不同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疫苗接种数据分片区/街道/学校/校区/班级展示，展示数据内容根据个人身份、权限不同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人员涉疫三区结果数据分片区/街道/学校/校区/班级展示，展示数据内容根据个人身份、权限不同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进出学校消息推送</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消息推送设置开关，可随时开启和关闭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学生进出学校时，消息推送到对应的家长钉钉上显示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数据对接</w:t>
            </w: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健康码数据对接</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根据人员详细信息，将其与IRS平台浙江省健康码大数据对接后，获取每个人员的健康码颜色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核酸检测结果数据对接</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根据人员详细信息，将其与IRS平台全省核酸大数据对接后，获取每个人员做核酸的结果，做核酸的时间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疫苗接种情况数据对接</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根据人员详细信息，将其与IRS平台全省疫苗接种数据对接后，获取每个人员接种疫苗针数和对应针的接种时间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涉疫三区数据对接</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根据人员详细信息，将其与IRS平台涉疫三区数据对接后，获取到每个人员是否在三区内的结果数据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数据展示（网页端）</w:t>
            </w:r>
          </w:p>
        </w:tc>
        <w:tc>
          <w:tcPr>
            <w:tcW w:w="748"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任务建设</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新增功能：可以根据需采集的信息设定字段，进行字段添加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修改功能：可以修改字段的内容，名称等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删除功能：支持平台上多余任务的删除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组织关联</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根据需要采集或填报的人员进行与任务的关联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数据推送</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根据需求推送给已经绑定任务的人员填报信息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进度管理</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汇总任务推送的数据和对应人员的采集状态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支持根据任务，组织，状态和关键字查询任务进度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支持多条件查询结果的表格导出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数据统计</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显示采集上来的数据的详细信息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支持根据任务名称，组织，关键字，人员类型等多条件查询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支持多条件查询结果的表格导出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数据大屏</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根据任务，人员类型，统计结果等汇总在数据大屏进行采集数据的显示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restar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数据整合</w:t>
            </w: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学校组织认证</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未认证学校钉钉组织进行高级认证；已认证组织进行组织内部人员数量扩容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学校组织整改</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以学校实际组织架构，对建设在钉钉上的组织架构进行整改，完全按照实际情况修正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人员批量操作</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已毕业的学生班级进行批量毕业；未添加在组织内的人员进行批量导入；批量修改有误人员信息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8"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采集维护服务</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信息采集填报期间以钉钉群内消息解答和客服24小时人工热线提供帮助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497" w:type="pct"/>
            <w:vMerge w:val="restar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人员安全</w:t>
            </w:r>
          </w:p>
        </w:tc>
        <w:tc>
          <w:tcPr>
            <w:tcW w:w="556"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一人一档</w:t>
            </w: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人员档案信息将归集</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基层治理四平台的人口信息；教育大脑(拟建)人员关联信息（2）；学习系统等业务系统信息；人员在校情况等所有相关信息。及数据初始化工作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人员信息维护</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1、打通学生、教师信息管理系统与平安校园平台，实现用户信息的同步；2、新建安保、工勤等人员管理系统，实现人员基本信息、上岗</w:t>
            </w:r>
            <w:r>
              <w:rPr>
                <w:rFonts w:hint="eastAsia" w:cs="宋体"/>
                <w:i w:val="0"/>
                <w:iCs w:val="0"/>
                <w:color w:val="000000"/>
                <w:kern w:val="0"/>
                <w:sz w:val="22"/>
                <w:szCs w:val="22"/>
                <w:u w:val="none"/>
                <w:lang w:val="en-US" w:eastAsia="zh-CN" w:bidi="ar"/>
              </w:rPr>
              <w:t>信息</w:t>
            </w:r>
            <w:r>
              <w:rPr>
                <w:rFonts w:hint="eastAsia" w:ascii="宋体" w:hAnsi="宋体" w:eastAsia="宋体" w:cs="宋体"/>
                <w:i w:val="0"/>
                <w:iCs w:val="0"/>
                <w:color w:val="000000"/>
                <w:kern w:val="0"/>
                <w:sz w:val="22"/>
                <w:szCs w:val="22"/>
                <w:u w:val="none"/>
                <w:lang w:val="en-US" w:eastAsia="zh-CN" w:bidi="ar"/>
              </w:rPr>
              <w:t>的管理工作，该系统由校方维护。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人员信息库</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人员数据库（教师、学生、学生家庭、教工（生活指导</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、物业、安保...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人员数据看板</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建立学校、教育局两级人员数据看板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访客系统</w:t>
            </w: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证件识读</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可识读一、二代身份证，驾驶证、护照、居住证等多种自定义类型证件。（设备随赠）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人证比对</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对来访人拍照并于现场拍照进行比对核验（设备随赠）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访客登记</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对来访人员进行登记填写必要信息，对与案件相关的人员进行关联。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重点人群管理</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点人群管理包括重点人群登记和查询两个方面，用户可以将重点关注人员录入到重点人群数据库中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访客查询</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可以根据来访登记中的来访时间段、来访人姓名、证件号码、案件等信息查询访客历史记录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人员关联信息</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实时获取人员相关信息，包括：健康码状态等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497" w:type="pct"/>
            <w:vMerge w:val="restar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安全事件</w:t>
            </w:r>
          </w:p>
        </w:tc>
        <w:tc>
          <w:tcPr>
            <w:tcW w:w="556"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安全隐患/事件上报</w:t>
            </w: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安全隐患排查</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在钉钉端，面向所有校园安全参与人提供安全风险</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安全事件上报功能，可随时随地记录、拍摄、定位安全隐患或安全事件的情况，并上报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接入“事件处置&amp;风险控制中心”</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接入“事件处置&amp;风险控制中心”接口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一键对讲呼叫系统</w:t>
            </w: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数据对接</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一键对讲呼叫设备安装与学校消控中心内，汇聚中心可直接进行点对点呼叫联系；实现人员、组织、位置信息基层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497" w:type="pct"/>
            <w:vMerge w:val="restar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场所安全</w:t>
            </w:r>
          </w:p>
        </w:tc>
        <w:tc>
          <w:tcPr>
            <w:tcW w:w="556"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重点部位可视化</w:t>
            </w: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点位管理</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对可视点为进行管理，管理设备、学校、坐标等信息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可视基本功能</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视频列表、搜索、播放等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AI安全风险发现</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调用AI算法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接入“事件处置&amp;风险控制中心”</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接入“事件处置&amp;风险控制中心”接口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restart"/>
            <w:tcBorders>
              <w:top w:val="single" w:color="86A3A1" w:sz="8" w:space="0"/>
              <w:left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消控室AI云监管</w:t>
            </w: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AI安全风险发现</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调用AI算法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接入“事件处置&amp;风险控制中心”</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接入“事件处置&amp;风险控制中心”接口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保安实到人数监管</w:t>
            </w: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记录查询</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w:t>
            </w:r>
            <w:r>
              <w:rPr>
                <w:rFonts w:hint="eastAsia" w:cs="宋体"/>
                <w:i w:val="0"/>
                <w:iCs w:val="0"/>
                <w:color w:val="000000"/>
                <w:kern w:val="0"/>
                <w:sz w:val="22"/>
                <w:szCs w:val="22"/>
                <w:u w:val="none"/>
                <w:lang w:val="en-US" w:eastAsia="zh-CN" w:bidi="ar"/>
              </w:rPr>
              <w:t>摄像头或访客机等设备实现监测保安上班记录</w:t>
            </w: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保安实到人数分析</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1、按校、按保安公司统计月均、日均保安实到人数；2、根据安保合同或其他相关规定结合保安打卡数据生成保安风险报告（包括但不限于：日均/月均安保人员不足、保安年龄结构不合理等）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restart"/>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default" w:ascii="宋体" w:hAnsi="宋体" w:eastAsia="宋体" w:cs="宋体"/>
                <w:i w:val="0"/>
                <w:iCs w:val="0"/>
                <w:color w:val="000000"/>
                <w:sz w:val="22"/>
                <w:szCs w:val="22"/>
                <w:u w:val="none"/>
                <w:lang w:val="en-US" w:eastAsia="zh-CN"/>
              </w:rPr>
            </w:pPr>
            <w:r>
              <w:rPr>
                <w:rFonts w:hint="eastAsia" w:cs="宋体"/>
                <w:i w:val="0"/>
                <w:iCs w:val="0"/>
                <w:color w:val="000000"/>
                <w:sz w:val="22"/>
                <w:szCs w:val="22"/>
                <w:u w:val="none"/>
                <w:lang w:val="en-US" w:eastAsia="zh-CN"/>
              </w:rPr>
              <w:t>安保巡更</w:t>
            </w: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打卡点管理</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学校都可对自己的巡更打卡点进行管理，包括点为配置，二维码关联等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巡更排班</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提供了日计划、周计划、月计划、班次排班计划、24小时无计划五种计划设置方式；提供了即将开始、未按时开始、漏检提醒三种消息提醒功能。可满足任意工作场景的需要，并准确的将工作信息送达提醒人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140</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巡更打卡</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通过手机APP到巡更点扫描“巡更点二维码”方式实现定点“打卡”功能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141</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事件上报</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通过手机拍摄现场，填写记录的方式上报安全风险等，安全风险进入“事处风控中心”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巡更考核</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可视化展示巡更人员的实时点位，以及他们巡更的路线，统计行走的距离，存档，可供每月考核以及复查使用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143</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巡更数据看板</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建立学校、教育局两级人员数据看板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w:t>
            </w:r>
          </w:p>
        </w:tc>
        <w:tc>
          <w:tcPr>
            <w:tcW w:w="497" w:type="pct"/>
            <w:vMerge w:val="restar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设备安全</w:t>
            </w:r>
          </w:p>
        </w:tc>
        <w:tc>
          <w:tcPr>
            <w:tcW w:w="556"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设备一张表</w:t>
            </w: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设备设施登记</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新设备登记、注册（含：设备信息、保管人信息、使用/存放场所信息等）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145</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危险（重要）设施设备领用</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危险（重要）设施设备领用、借用登记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设备设施报废</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设施设备的报废登记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147</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设备设施查询</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设备设施查询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148</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设备设施维保记录</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设备设施维保记录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149</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设备设施巡检记录</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设备设施巡检记录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设备设施使用记录</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设备设施使用记录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151</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设备数据看板</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建立学校、教育局两级人员数据看板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设备一张图</w:t>
            </w: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设备驾驶舱</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设备一张图看板设计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感知设备</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设备位置、设备状态、状态告警、感知告警等在图上展示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非感知设备</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设备位置、设备类型、设备状态等在图上分类展示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155</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设备记录</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设备维保记录、使用记录等在图上展示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156</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设备、设施巡检</w:t>
            </w: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设备设施管理</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设施设计的登记、报废、移交等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157</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巡检排班</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任务中心（局端）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158</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巡检打卡</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通过手机APP到巡更点扫描“巡更点二维码”方式实现定点“打卡”功能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事件上报</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通过手机拍摄现场，填写记录的方式上报安全风险等，安全风险进入“事处风控中心”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160</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巡更考核</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可视化展示巡更人员的实时点位，以及他们巡更的路线，统计行走的距离，存档，可供每月考核以及复查使用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161</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巡更数据看板</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建立学校、教育局两级人员数据看板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162</w:t>
            </w:r>
          </w:p>
        </w:tc>
        <w:tc>
          <w:tcPr>
            <w:tcW w:w="497"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安全教育</w:t>
            </w:r>
          </w:p>
        </w:tc>
        <w:tc>
          <w:tcPr>
            <w:tcW w:w="556"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各教育平台数据对接</w:t>
            </w: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接口开发与调试</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消防安全、禁毒等共15个（报价单位，每接口）单位为每接口，数量为接口数。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163</w:t>
            </w:r>
          </w:p>
        </w:tc>
        <w:tc>
          <w:tcPr>
            <w:tcW w:w="497" w:type="pct"/>
            <w:vMerge w:val="restart"/>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PC端</w:t>
            </w: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日志</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实现用户所有操作记录，提供管理员事件、学校、网格、管理对象、操作类型等多维度日产查询、统计、导出功能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164</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提供全参数的系统配置、系统管理功能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165</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数据看板</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提供全数据的数据看板功能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166</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其他业务管理功能</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提供所有相关功能的管理功能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167</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数据驾驶舱</w:t>
            </w: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局端驾驶舱(深度3层)</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教育局平安校园、人、场、事、物、学（报价单位：页）的专题数据驾驶舱；单位为每页，数量为大屏数量。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168</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restar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移动端</w:t>
            </w: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局端看板（浙政钉）</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局端移动端数据看板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局端任务中心（浙政钉）</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任务中心以千人千面原则实现任务提醒，代办任务列表、已经办任务列表、任务统计等功能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170</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学校端看板（钉钉）</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学校移动端数据看板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171</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学校端任务中心（钉钉）</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钉钉端，任务中心以千人千面原则实现任务提醒，代办任务列表、已经办任务列表、任务统计等功能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消息中心（对接）</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钉钉端，消息以千人千面原则消息提醒，通知、提醒、告警等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w:t>
            </w:r>
          </w:p>
        </w:tc>
        <w:tc>
          <w:tcPr>
            <w:tcW w:w="497" w:type="pct"/>
            <w:vMerge w:val="continue"/>
            <w:tcBorders>
              <w:top w:val="single" w:color="86A3A1" w:sz="8" w:space="0"/>
              <w:left w:val="single" w:color="86A3A1" w:sz="8" w:space="0"/>
              <w:bottom w:val="single" w:color="86A3A1" w:sz="8"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86A3A1" w:sz="8" w:space="0"/>
              <w:left w:val="single" w:color="86A3A1" w:sz="8" w:space="0"/>
              <w:bottom w:val="single" w:color="86A3A1" w:sz="8"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8"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家长端（钉钉）</w:t>
            </w:r>
          </w:p>
        </w:tc>
        <w:tc>
          <w:tcPr>
            <w:tcW w:w="2893" w:type="pct"/>
            <w:tcBorders>
              <w:top w:val="single" w:color="86A3A1" w:sz="8" w:space="0"/>
              <w:left w:val="single" w:color="86A3A1" w:sz="8" w:space="0"/>
              <w:bottom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钉钉端，基层安全教育、记录查看、家校互动等功能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174</w:t>
            </w:r>
          </w:p>
        </w:tc>
        <w:tc>
          <w:tcPr>
            <w:tcW w:w="497" w:type="pct"/>
            <w:vMerge w:val="restart"/>
            <w:tcBorders>
              <w:top w:val="single" w:color="86A3A1" w:sz="8" w:space="0"/>
              <w:left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学后托管平台</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556" w:type="pct"/>
            <w:vMerge w:val="restart"/>
            <w:tcBorders>
              <w:top w:val="single" w:color="86A3A1" w:sz="8" w:space="0"/>
              <w:left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教育局用户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3641" w:type="pct"/>
            <w:gridSpan w:val="2"/>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学生信息数据导入配置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4" w:type="pct"/>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175</w:t>
            </w:r>
          </w:p>
        </w:tc>
        <w:tc>
          <w:tcPr>
            <w:tcW w:w="497" w:type="pct"/>
            <w:vMerge w:val="continue"/>
            <w:tcBorders>
              <w:left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556" w:type="pct"/>
            <w:vMerge w:val="continue"/>
            <w:tcBorders>
              <w:left w:val="single" w:color="86A3A1" w:sz="8" w:space="0"/>
              <w:right w:val="single" w:color="86A3A1"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3641" w:type="pct"/>
            <w:gridSpan w:val="2"/>
            <w:tcBorders>
              <w:top w:val="single" w:color="86A3A1" w:sz="8" w:space="0"/>
              <w:left w:val="single" w:color="86A3A1" w:sz="8" w:space="0"/>
              <w:bottom w:val="single" w:color="86A3A1" w:sz="8"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查看报名学生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4" w:type="pct"/>
            <w:tcBorders>
              <w:top w:val="single" w:color="86A3A1" w:sz="8" w:space="0"/>
              <w:left w:val="single" w:color="86A3A1" w:sz="8" w:space="0"/>
              <w:bottom w:val="single" w:color="auto" w:sz="4"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w:t>
            </w:r>
          </w:p>
        </w:tc>
        <w:tc>
          <w:tcPr>
            <w:tcW w:w="497" w:type="pct"/>
            <w:vMerge w:val="continue"/>
            <w:tcBorders>
              <w:left w:val="single" w:color="86A3A1" w:sz="8" w:space="0"/>
              <w:bottom w:val="single" w:color="auto" w:sz="4" w:space="0"/>
              <w:right w:val="single" w:color="86A3A1" w:sz="8" w:space="0"/>
            </w:tcBorders>
            <w:noWrap/>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left w:val="single" w:color="86A3A1" w:sz="8" w:space="0"/>
              <w:bottom w:val="single" w:color="auto" w:sz="4" w:space="0"/>
              <w:right w:val="single" w:color="86A3A1" w:sz="8"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41" w:type="pct"/>
            <w:gridSpan w:val="2"/>
            <w:tcBorders>
              <w:top w:val="single" w:color="86A3A1" w:sz="8" w:space="0"/>
              <w:left w:val="single" w:color="86A3A1" w:sz="8" w:space="0"/>
              <w:bottom w:val="single" w:color="auto" w:sz="4" w:space="0"/>
              <w:right w:val="single" w:color="86A3A1"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报名数量统计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177</w:t>
            </w:r>
          </w:p>
        </w:tc>
        <w:tc>
          <w:tcPr>
            <w:tcW w:w="497"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4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区预报名情况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178</w:t>
            </w:r>
          </w:p>
        </w:tc>
        <w:tc>
          <w:tcPr>
            <w:tcW w:w="497"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4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托管项目管理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179</w:t>
            </w:r>
          </w:p>
        </w:tc>
        <w:tc>
          <w:tcPr>
            <w:tcW w:w="497"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4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缴费计划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w:t>
            </w:r>
          </w:p>
        </w:tc>
        <w:tc>
          <w:tcPr>
            <w:tcW w:w="497"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restart"/>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学校管理员</w:t>
            </w:r>
          </w:p>
        </w:tc>
        <w:tc>
          <w:tcPr>
            <w:tcW w:w="364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课程老师管理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181</w:t>
            </w:r>
          </w:p>
        </w:tc>
        <w:tc>
          <w:tcPr>
            <w:tcW w:w="497"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4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课程老师管理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182</w:t>
            </w:r>
          </w:p>
        </w:tc>
        <w:tc>
          <w:tcPr>
            <w:tcW w:w="497"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4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学生数据导入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183</w:t>
            </w:r>
          </w:p>
        </w:tc>
        <w:tc>
          <w:tcPr>
            <w:tcW w:w="497"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4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查看导入学生信息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184</w:t>
            </w:r>
          </w:p>
        </w:tc>
        <w:tc>
          <w:tcPr>
            <w:tcW w:w="497"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4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学生信息审核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185</w:t>
            </w:r>
          </w:p>
        </w:tc>
        <w:tc>
          <w:tcPr>
            <w:tcW w:w="497"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4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学生信息审核情况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186</w:t>
            </w:r>
          </w:p>
        </w:tc>
        <w:tc>
          <w:tcPr>
            <w:tcW w:w="497"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4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查看报名学生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187</w:t>
            </w:r>
          </w:p>
        </w:tc>
        <w:tc>
          <w:tcPr>
            <w:tcW w:w="497"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4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报名数量统计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188</w:t>
            </w:r>
          </w:p>
        </w:tc>
        <w:tc>
          <w:tcPr>
            <w:tcW w:w="497"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家长用户</w:t>
            </w:r>
          </w:p>
        </w:tc>
        <w:tc>
          <w:tcPr>
            <w:tcW w:w="364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登录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189</w:t>
            </w:r>
          </w:p>
        </w:tc>
        <w:tc>
          <w:tcPr>
            <w:tcW w:w="497"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4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报名前阅读知情同意书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190</w:t>
            </w:r>
          </w:p>
        </w:tc>
        <w:tc>
          <w:tcPr>
            <w:tcW w:w="497"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4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报名信息填写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191</w:t>
            </w:r>
          </w:p>
        </w:tc>
        <w:tc>
          <w:tcPr>
            <w:tcW w:w="497"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日志管理</w:t>
            </w:r>
          </w:p>
        </w:tc>
        <w:tc>
          <w:tcPr>
            <w:tcW w:w="364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学生日志管理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192</w:t>
            </w:r>
          </w:p>
        </w:tc>
        <w:tc>
          <w:tcPr>
            <w:tcW w:w="497"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4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管理员日志管理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193</w:t>
            </w:r>
          </w:p>
        </w:tc>
        <w:tc>
          <w:tcPr>
            <w:tcW w:w="497"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4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短信日志管理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194</w:t>
            </w:r>
          </w:p>
        </w:tc>
        <w:tc>
          <w:tcPr>
            <w:tcW w:w="497"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资源库</w:t>
            </w:r>
          </w:p>
        </w:tc>
        <w:tc>
          <w:tcPr>
            <w:tcW w:w="364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资源库接入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195</w:t>
            </w:r>
          </w:p>
        </w:tc>
        <w:tc>
          <w:tcPr>
            <w:tcW w:w="497"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名师问学（浙里问学）</w:t>
            </w:r>
          </w:p>
        </w:tc>
        <w:tc>
          <w:tcPr>
            <w:tcW w:w="364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接入浙里问学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196</w:t>
            </w:r>
          </w:p>
        </w:tc>
        <w:tc>
          <w:tcPr>
            <w:tcW w:w="497"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ind w:left="0" w:right="0"/>
              <w:jc w:val="center"/>
              <w:rPr>
                <w:rFonts w:hint="eastAsia" w:ascii="宋体" w:hAnsi="宋体" w:eastAsia="宋体" w:cs="宋体"/>
                <w:i w:val="0"/>
                <w:iCs w:val="0"/>
                <w:color w:val="000000"/>
                <w:kern w:val="2"/>
                <w:sz w:val="22"/>
                <w:szCs w:val="22"/>
                <w:u w:val="none"/>
                <w:lang w:val="en-US" w:eastAsia="zh-CN" w:bidi="ar-SA"/>
              </w:rPr>
            </w:pPr>
          </w:p>
        </w:tc>
        <w:tc>
          <w:tcPr>
            <w:tcW w:w="5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浙里办适老化改造</w:t>
            </w:r>
          </w:p>
        </w:tc>
        <w:tc>
          <w:tcPr>
            <w:tcW w:w="364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浙里办适老化改造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197</w:t>
            </w:r>
          </w:p>
        </w:tc>
        <w:tc>
          <w:tcPr>
            <w:tcW w:w="49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w:t>
            </w:r>
          </w:p>
        </w:tc>
        <w:tc>
          <w:tcPr>
            <w:tcW w:w="55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需求和设计</w:t>
            </w:r>
          </w:p>
        </w:tc>
        <w:tc>
          <w:tcPr>
            <w:tcW w:w="364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需求调研与产品设计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198</w:t>
            </w:r>
          </w:p>
        </w:tc>
        <w:tc>
          <w:tcPr>
            <w:tcW w:w="497"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6" w:type="pct"/>
            <w:vMerge w:val="continue"/>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4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系统架构及数据库设计</w:t>
            </w:r>
          </w:p>
        </w:tc>
      </w:tr>
    </w:tbl>
    <w:p>
      <w:pPr>
        <w:numPr>
          <w:ilvl w:val="0"/>
          <w:numId w:val="0"/>
        </w:numPr>
        <w:rPr>
          <w:rFonts w:hint="default"/>
          <w:lang w:val="en-US" w:eastAsia="zh-CN"/>
        </w:rPr>
      </w:pPr>
    </w:p>
    <w:p>
      <w:pPr>
        <w:adjustRightInd w:val="0"/>
        <w:snapToGrid w:val="0"/>
        <w:spacing w:line="360" w:lineRule="auto"/>
        <w:ind w:firstLine="354" w:firstLineChars="147"/>
        <w:rPr>
          <w:rFonts w:hint="eastAsia" w:ascii="仿宋" w:hAnsi="仿宋" w:eastAsia="仿宋" w:cs="仿宋"/>
          <w:b/>
          <w:bCs/>
          <w:color w:val="auto"/>
          <w:sz w:val="24"/>
          <w:szCs w:val="24"/>
          <w:highlight w:val="none"/>
          <w:lang w:val="en-US" w:eastAsia="zh-CN"/>
        </w:rPr>
      </w:pPr>
    </w:p>
    <w:p>
      <w:pPr>
        <w:pStyle w:val="5"/>
        <w:spacing w:before="120" w:beforeLines="50" w:after="120" w:afterLines="50" w:line="360" w:lineRule="auto"/>
        <w:ind w:left="879" w:leftChars="62" w:hanging="749" w:hangingChars="311"/>
        <w:jc w:val="left"/>
        <w:rPr>
          <w:rFonts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、供货要求：</w:t>
      </w:r>
    </w:p>
    <w:p>
      <w:pPr>
        <w:adjustRightInd w:val="0"/>
        <w:snapToGrid w:val="0"/>
        <w:spacing w:line="360" w:lineRule="auto"/>
        <w:ind w:firstLine="352" w:firstLineChars="147"/>
        <w:rPr>
          <w:rFonts w:ascii="宋体" w:hAnsi="宋体"/>
          <w:bCs/>
          <w:color w:val="000000"/>
          <w:sz w:val="24"/>
        </w:rPr>
      </w:pPr>
      <w:r>
        <w:rPr>
          <w:rFonts w:hint="eastAsia" w:ascii="宋体" w:hAnsi="宋体"/>
          <w:bCs/>
          <w:color w:val="000000"/>
          <w:sz w:val="24"/>
        </w:rPr>
        <w:t>1、供方所供的货物必须为全新的，符合国家标准的合格产品；</w:t>
      </w:r>
    </w:p>
    <w:p>
      <w:pPr>
        <w:adjustRightInd w:val="0"/>
        <w:snapToGrid w:val="0"/>
        <w:spacing w:line="360" w:lineRule="auto"/>
        <w:ind w:firstLine="352" w:firstLineChars="147"/>
        <w:rPr>
          <w:rFonts w:ascii="宋体" w:hAnsi="宋体"/>
          <w:bCs/>
          <w:color w:val="000000"/>
          <w:sz w:val="24"/>
        </w:rPr>
      </w:pPr>
      <w:r>
        <w:rPr>
          <w:rFonts w:hint="eastAsia" w:ascii="宋体" w:hAnsi="宋体"/>
          <w:bCs/>
          <w:color w:val="000000"/>
          <w:sz w:val="24"/>
        </w:rPr>
        <w:t>2、所供货物不会侵犯任何第三方知识产权；</w:t>
      </w:r>
    </w:p>
    <w:p>
      <w:pPr>
        <w:adjustRightInd w:val="0"/>
        <w:snapToGrid w:val="0"/>
        <w:spacing w:line="360" w:lineRule="auto"/>
        <w:ind w:firstLine="352" w:firstLineChars="147"/>
        <w:rPr>
          <w:rFonts w:ascii="宋体" w:hAnsi="宋体"/>
          <w:color w:val="000000"/>
          <w:sz w:val="24"/>
        </w:rPr>
      </w:pPr>
      <w:r>
        <w:rPr>
          <w:rFonts w:hint="eastAsia" w:ascii="宋体" w:hAnsi="宋体"/>
          <w:bCs/>
          <w:color w:val="000000"/>
          <w:sz w:val="24"/>
        </w:rPr>
        <w:t>3、送货地址：采购人指定地点</w:t>
      </w:r>
      <w:r>
        <w:rPr>
          <w:rFonts w:hint="eastAsia" w:ascii="宋体" w:hAnsi="宋体"/>
          <w:color w:val="000000"/>
          <w:sz w:val="24"/>
        </w:rPr>
        <w:t>。</w:t>
      </w:r>
    </w:p>
    <w:p>
      <w:pPr>
        <w:pStyle w:val="5"/>
        <w:spacing w:before="120" w:beforeLines="50" w:after="120" w:afterLines="50" w:line="360" w:lineRule="auto"/>
        <w:jc w:val="left"/>
        <w:rPr>
          <w:rFonts w:ascii="宋体" w:hAnsi="宋体" w:eastAsia="宋体" w:cs="宋体"/>
          <w:sz w:val="24"/>
          <w:szCs w:val="24"/>
        </w:rPr>
      </w:pPr>
      <w:r>
        <w:rPr>
          <w:rFonts w:hint="eastAsia" w:ascii="仿宋" w:hAnsi="仿宋" w:eastAsia="仿宋" w:cs="仿宋"/>
          <w:sz w:val="24"/>
          <w:szCs w:val="20"/>
        </w:rPr>
        <w:t>▲</w:t>
      </w:r>
      <w:r>
        <w:rPr>
          <w:rFonts w:hint="eastAsia" w:ascii="宋体" w:hAnsi="宋体" w:eastAsia="宋体" w:cs="宋体"/>
          <w:sz w:val="24"/>
          <w:szCs w:val="24"/>
          <w:lang w:val="en-US" w:eastAsia="zh-CN"/>
        </w:rPr>
        <w:t>四</w:t>
      </w:r>
      <w:r>
        <w:rPr>
          <w:rFonts w:hint="eastAsia" w:ascii="宋体" w:hAnsi="宋体" w:eastAsia="宋体" w:cs="宋体"/>
          <w:sz w:val="24"/>
          <w:szCs w:val="24"/>
        </w:rPr>
        <w:t>、售后服务要求：</w:t>
      </w:r>
    </w:p>
    <w:p>
      <w:pPr>
        <w:adjustRightInd w:val="0"/>
        <w:snapToGrid w:val="0"/>
        <w:spacing w:line="360" w:lineRule="auto"/>
        <w:ind w:firstLine="352" w:firstLineChars="147"/>
        <w:rPr>
          <w:rFonts w:ascii="宋体" w:hAnsi="宋体"/>
          <w:color w:val="auto"/>
          <w:sz w:val="24"/>
          <w:highlight w:val="none"/>
        </w:rPr>
      </w:pPr>
      <w:r>
        <w:rPr>
          <w:rFonts w:hint="eastAsia" w:ascii="宋体" w:hAnsi="宋体"/>
          <w:bCs/>
          <w:color w:val="000000"/>
          <w:sz w:val="24"/>
          <w:highlight w:val="none"/>
        </w:rPr>
        <w:t>1、质保期要求</w:t>
      </w:r>
      <w:r>
        <w:rPr>
          <w:rFonts w:hint="eastAsia" w:ascii="宋体" w:hAnsi="宋体"/>
          <w:bCs/>
          <w:color w:val="auto"/>
          <w:sz w:val="24"/>
          <w:highlight w:val="none"/>
        </w:rPr>
        <w:t>：</w:t>
      </w:r>
      <w:r>
        <w:rPr>
          <w:rFonts w:hint="eastAsia" w:ascii="宋体" w:hAnsi="宋体"/>
          <w:bCs/>
          <w:color w:val="auto"/>
          <w:sz w:val="24"/>
          <w:highlight w:val="none"/>
          <w:lang w:val="en-US" w:eastAsia="zh-CN"/>
        </w:rPr>
        <w:t>运维服务一年，硬件质保3年</w:t>
      </w:r>
      <w:r>
        <w:rPr>
          <w:rFonts w:hint="eastAsia" w:ascii="宋体" w:hAnsi="宋体"/>
          <w:color w:val="auto"/>
          <w:sz w:val="24"/>
          <w:highlight w:val="none"/>
        </w:rPr>
        <w:t>。</w:t>
      </w:r>
    </w:p>
    <w:p>
      <w:pPr>
        <w:adjustRightInd w:val="0"/>
        <w:snapToGrid w:val="0"/>
        <w:spacing w:line="360" w:lineRule="auto"/>
        <w:ind w:firstLine="352" w:firstLineChars="147"/>
        <w:rPr>
          <w:rFonts w:ascii="宋体" w:hAnsi="宋体"/>
          <w:bCs/>
          <w:color w:val="000000"/>
          <w:sz w:val="24"/>
        </w:rPr>
      </w:pPr>
      <w:r>
        <w:rPr>
          <w:rFonts w:hint="eastAsia" w:ascii="宋体" w:hAnsi="宋体"/>
          <w:bCs/>
          <w:color w:val="000000"/>
          <w:sz w:val="24"/>
        </w:rPr>
        <w:t>2、技术支持要求：质保期内出现问题，2小时内响应，4小时内到达现场，8小时内解决问题，现场解决不了的采取免费提供同型号替代产品措施。</w:t>
      </w:r>
    </w:p>
    <w:p>
      <w:pPr>
        <w:pStyle w:val="5"/>
        <w:spacing w:before="120" w:beforeLines="50" w:after="120" w:afterLines="50" w:line="360" w:lineRule="auto"/>
        <w:jc w:val="left"/>
        <w:rPr>
          <w:rFonts w:ascii="宋体" w:hAnsi="宋体" w:eastAsia="宋体" w:cs="宋体"/>
          <w:sz w:val="24"/>
          <w:szCs w:val="24"/>
        </w:rPr>
      </w:pPr>
      <w:r>
        <w:rPr>
          <w:rFonts w:hint="eastAsia" w:ascii="仿宋" w:hAnsi="仿宋" w:eastAsia="仿宋" w:cs="仿宋"/>
          <w:sz w:val="24"/>
          <w:szCs w:val="20"/>
        </w:rPr>
        <w:t>▲</w:t>
      </w:r>
      <w:r>
        <w:rPr>
          <w:rFonts w:hint="eastAsia" w:ascii="宋体" w:hAnsi="宋体" w:eastAsia="宋体" w:cs="宋体"/>
          <w:sz w:val="24"/>
          <w:szCs w:val="24"/>
          <w:lang w:val="en-US" w:eastAsia="zh-CN"/>
        </w:rPr>
        <w:t>五</w:t>
      </w:r>
      <w:r>
        <w:rPr>
          <w:rFonts w:hint="eastAsia" w:ascii="宋体" w:hAnsi="宋体" w:eastAsia="宋体" w:cs="宋体"/>
          <w:sz w:val="24"/>
          <w:szCs w:val="24"/>
        </w:rPr>
        <w:t>、培训要求：</w:t>
      </w:r>
    </w:p>
    <w:p>
      <w:pPr>
        <w:adjustRightInd w:val="0"/>
        <w:snapToGrid w:val="0"/>
        <w:spacing w:line="360" w:lineRule="auto"/>
        <w:ind w:firstLine="283" w:firstLineChars="118"/>
        <w:rPr>
          <w:color w:val="000000"/>
          <w:sz w:val="24"/>
        </w:rPr>
      </w:pPr>
      <w:r>
        <w:rPr>
          <w:color w:val="000000"/>
          <w:sz w:val="24"/>
        </w:rPr>
        <w:t>免费培训等</w:t>
      </w:r>
      <w:r>
        <w:rPr>
          <w:rFonts w:hint="eastAsia"/>
          <w:color w:val="000000"/>
          <w:sz w:val="24"/>
        </w:rPr>
        <w:t>。</w:t>
      </w:r>
    </w:p>
    <w:p>
      <w:pPr>
        <w:adjustRightInd w:val="0"/>
        <w:snapToGrid w:val="0"/>
        <w:spacing w:line="360" w:lineRule="auto"/>
        <w:ind w:firstLine="283" w:firstLineChars="118"/>
        <w:rPr>
          <w:color w:val="000000"/>
          <w:sz w:val="24"/>
        </w:rPr>
      </w:pPr>
      <w:r>
        <w:rPr>
          <w:rFonts w:hint="eastAsia"/>
          <w:color w:val="000000"/>
          <w:sz w:val="24"/>
        </w:rPr>
        <w:t>具体培训内容：</w:t>
      </w:r>
    </w:p>
    <w:p>
      <w:pPr>
        <w:adjustRightInd w:val="0"/>
        <w:snapToGrid w:val="0"/>
        <w:spacing w:line="360" w:lineRule="auto"/>
        <w:ind w:firstLine="283" w:firstLineChars="118"/>
        <w:rPr>
          <w:rFonts w:hint="eastAsia" w:ascii="宋体" w:hAnsi="宋体" w:eastAsia="宋体" w:cs="宋体"/>
          <w:b w:val="0"/>
          <w:bCs w:val="0"/>
          <w:sz w:val="24"/>
        </w:rPr>
      </w:pPr>
      <w:r>
        <w:rPr>
          <w:rFonts w:hint="eastAsia" w:ascii="宋体" w:hAnsi="宋体" w:eastAsia="宋体" w:cs="宋体"/>
          <w:b w:val="0"/>
          <w:bCs w:val="0"/>
          <w:sz w:val="24"/>
        </w:rPr>
        <w:t>在系统上线之前，投标人向采购人提供至少一人、两次的系统安装、使用培训： </w:t>
      </w:r>
    </w:p>
    <w:p>
      <w:pPr>
        <w:adjustRightInd w:val="0"/>
        <w:spacing w:line="360" w:lineRule="auto"/>
        <w:rPr>
          <w:rFonts w:hint="eastAsia" w:ascii="宋体" w:hAnsi="宋体" w:eastAsia="宋体" w:cs="宋体"/>
          <w:b w:val="0"/>
          <w:bCs w:val="0"/>
          <w:sz w:val="24"/>
        </w:rPr>
      </w:pPr>
      <w:r>
        <w:rPr>
          <w:rFonts w:hint="eastAsia" w:ascii="宋体" w:hAnsi="宋体" w:eastAsia="宋体" w:cs="宋体"/>
          <w:b w:val="0"/>
          <w:bCs w:val="0"/>
          <w:sz w:val="24"/>
        </w:rPr>
        <w:t>1、用户培训：对系统普通用户，进行具体功能操作的讲解和练习培训，培训以分批组织用户，由培训讲师现场讲解为主，以培训手册为辅； </w:t>
      </w:r>
    </w:p>
    <w:p>
      <w:pPr>
        <w:adjustRightInd w:val="0"/>
        <w:spacing w:line="360" w:lineRule="auto"/>
        <w:rPr>
          <w:rFonts w:hint="eastAsia" w:ascii="宋体" w:hAnsi="宋体" w:eastAsia="宋体" w:cs="宋体"/>
          <w:b w:val="0"/>
          <w:bCs w:val="0"/>
          <w:sz w:val="24"/>
        </w:rPr>
      </w:pPr>
      <w:r>
        <w:rPr>
          <w:rFonts w:hint="eastAsia" w:ascii="宋体" w:hAnsi="宋体" w:eastAsia="宋体" w:cs="宋体"/>
          <w:b w:val="0"/>
          <w:bCs w:val="0"/>
          <w:sz w:val="24"/>
        </w:rPr>
        <w:t>2、系统管理员培训：对于负责系统日后运行维护的管理人员，进行系统管理功能、系统安装部署、系统日常运维的讲解和培训，培训采取面对系统管理员一对一培训的方式。</w:t>
      </w:r>
    </w:p>
    <w:p>
      <w:pPr>
        <w:adjustRightInd w:val="0"/>
        <w:snapToGrid w:val="0"/>
        <w:spacing w:line="360" w:lineRule="auto"/>
        <w:rPr>
          <w:color w:val="000000"/>
          <w:sz w:val="24"/>
        </w:rPr>
      </w:pPr>
      <w:r>
        <w:rPr>
          <w:rFonts w:hint="eastAsia"/>
          <w:color w:val="000000"/>
          <w:sz w:val="24"/>
          <w:lang w:val="en-US" w:eastAsia="zh-CN"/>
        </w:rPr>
        <w:t>3、</w:t>
      </w:r>
      <w:r>
        <w:rPr>
          <w:rFonts w:hint="eastAsia"/>
          <w:color w:val="000000"/>
          <w:sz w:val="24"/>
        </w:rPr>
        <w:t>中标单位应对用户的维修人员提供培训，使其能对系统进行日常的维护保养及能对一般故障进行维修。</w:t>
      </w:r>
    </w:p>
    <w:p>
      <w:pPr>
        <w:snapToGrid w:val="0"/>
        <w:spacing w:line="360" w:lineRule="auto"/>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lang w:val="en-US" w:eastAsia="zh-CN"/>
        </w:rPr>
        <w:t>4、中标单位应对用户的操作人员提供操作培训，并使其能熟练应用系统。</w:t>
      </w:r>
    </w:p>
    <w:p>
      <w:pPr>
        <w:pStyle w:val="5"/>
        <w:spacing w:before="120" w:beforeLines="50" w:after="120" w:afterLines="50" w:line="360" w:lineRule="auto"/>
        <w:jc w:val="left"/>
        <w:rPr>
          <w:rFonts w:ascii="宋体" w:hAnsi="宋体" w:eastAsia="宋体" w:cs="宋体"/>
          <w:sz w:val="24"/>
          <w:szCs w:val="24"/>
          <w:highlight w:val="none"/>
        </w:rPr>
      </w:pPr>
      <w:r>
        <w:rPr>
          <w:rFonts w:hint="eastAsia" w:ascii="仿宋" w:hAnsi="仿宋" w:eastAsia="仿宋" w:cs="仿宋"/>
          <w:sz w:val="24"/>
          <w:szCs w:val="20"/>
        </w:rPr>
        <w:t>▲</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、工期要求</w:t>
      </w:r>
      <w:r>
        <w:rPr>
          <w:rFonts w:hint="eastAsia" w:ascii="宋体" w:hAnsi="宋体" w:eastAsia="宋体" w:cs="宋体"/>
          <w:sz w:val="24"/>
          <w:szCs w:val="24"/>
          <w:highlight w:val="none"/>
          <w:lang w:val="en-US" w:eastAsia="zh-CN"/>
        </w:rPr>
        <w:t>及地点</w:t>
      </w:r>
      <w:r>
        <w:rPr>
          <w:rFonts w:hint="eastAsia" w:ascii="宋体" w:hAnsi="宋体" w:eastAsia="宋体" w:cs="宋体"/>
          <w:sz w:val="24"/>
          <w:szCs w:val="24"/>
          <w:highlight w:val="none"/>
        </w:rPr>
        <w:t>：</w:t>
      </w:r>
    </w:p>
    <w:p>
      <w:pPr>
        <w:spacing w:line="360" w:lineRule="auto"/>
        <w:ind w:firstLine="283" w:firstLineChars="118"/>
        <w:rPr>
          <w:rFonts w:ascii="宋体" w:hAnsi="宋体" w:cs="宋体"/>
          <w:color w:val="auto"/>
          <w:sz w:val="24"/>
          <w:highlight w:val="none"/>
          <w:u w:val="none"/>
        </w:rPr>
      </w:pPr>
      <w:r>
        <w:rPr>
          <w:rFonts w:hint="eastAsia" w:ascii="宋体" w:hAnsi="宋体" w:cs="宋体"/>
          <w:color w:val="000000"/>
          <w:sz w:val="24"/>
          <w:highlight w:val="none"/>
        </w:rPr>
        <w:t>1.合同签订后</w:t>
      </w:r>
      <w:r>
        <w:rPr>
          <w:rFonts w:hint="eastAsia" w:ascii="宋体" w:hAnsi="宋体" w:cs="宋体"/>
          <w:color w:val="000000"/>
          <w:sz w:val="24"/>
          <w:highlight w:val="none"/>
          <w:lang w:val="en-US" w:eastAsia="zh-CN"/>
        </w:rPr>
        <w:t>60</w:t>
      </w:r>
      <w:r>
        <w:rPr>
          <w:rFonts w:hint="eastAsia" w:ascii="宋体" w:hAnsi="宋体" w:cs="宋体"/>
          <w:color w:val="000000"/>
          <w:sz w:val="24"/>
          <w:highlight w:val="none"/>
        </w:rPr>
        <w:t>日历天内安装调试完毕</w:t>
      </w:r>
      <w:r>
        <w:rPr>
          <w:rFonts w:hint="eastAsia" w:ascii="宋体" w:hAnsi="宋体" w:cs="宋体"/>
          <w:color w:val="000000"/>
          <w:sz w:val="24"/>
          <w:highlight w:val="none"/>
          <w:lang w:eastAsia="zh-CN"/>
        </w:rPr>
        <w:t>。</w:t>
      </w:r>
    </w:p>
    <w:p>
      <w:pPr>
        <w:pStyle w:val="5"/>
        <w:spacing w:before="120" w:beforeLines="50" w:after="120" w:afterLines="50" w:line="360" w:lineRule="auto"/>
        <w:ind w:left="879" w:leftChars="62" w:hanging="749" w:hangingChars="311"/>
        <w:jc w:val="left"/>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、履约保证金和质量保证金：</w:t>
      </w:r>
    </w:p>
    <w:p>
      <w:pPr>
        <w:adjustRightInd w:val="0"/>
        <w:snapToGrid w:val="0"/>
        <w:spacing w:line="360" w:lineRule="auto"/>
        <w:ind w:firstLine="352" w:firstLineChars="147"/>
        <w:rPr>
          <w:rFonts w:ascii="宋体" w:hAnsi="宋体"/>
          <w:bCs/>
          <w:color w:val="000000"/>
          <w:sz w:val="24"/>
        </w:rPr>
      </w:pPr>
      <w:r>
        <w:rPr>
          <w:rFonts w:hint="eastAsia" w:ascii="宋体" w:hAnsi="宋体"/>
          <w:bCs/>
          <w:color w:val="000000"/>
          <w:sz w:val="24"/>
        </w:rPr>
        <w:t>在合同签订以前供应商向采购人缴纳中标总额</w:t>
      </w:r>
      <w:r>
        <w:rPr>
          <w:rFonts w:hint="eastAsia" w:ascii="宋体" w:hAnsi="宋体"/>
          <w:bCs/>
          <w:color w:val="000000"/>
          <w:sz w:val="24"/>
          <w:lang w:val="en-US" w:eastAsia="zh-CN"/>
        </w:rPr>
        <w:t>1</w:t>
      </w:r>
      <w:r>
        <w:rPr>
          <w:rFonts w:hint="eastAsia" w:ascii="宋体" w:hAnsi="宋体"/>
          <w:bCs/>
          <w:color w:val="000000"/>
          <w:sz w:val="24"/>
        </w:rPr>
        <w:t>%的履约保证金</w:t>
      </w:r>
      <w:r>
        <w:rPr>
          <w:rFonts w:hint="eastAsia" w:ascii="宋体" w:hAnsi="宋体" w:cs="宋体"/>
          <w:color w:val="000000"/>
          <w:sz w:val="24"/>
          <w:highlight w:val="none"/>
        </w:rPr>
        <w:t>（以支票、汇票、本票或者金融机构、担保机构出具的保函等非现金形式提交）</w:t>
      </w:r>
      <w:r>
        <w:rPr>
          <w:rFonts w:hint="eastAsia" w:ascii="宋体" w:hAnsi="宋体"/>
          <w:bCs/>
          <w:color w:val="000000"/>
          <w:sz w:val="24"/>
        </w:rPr>
        <w:t>。</w:t>
      </w:r>
      <w:r>
        <w:rPr>
          <w:rFonts w:hint="eastAsia" w:ascii="宋体" w:hAnsi="宋体" w:cs="宋体"/>
          <w:color w:val="000000"/>
          <w:sz w:val="24"/>
          <w:highlight w:val="none"/>
        </w:rPr>
        <w:t>验收合格后无息退还。</w:t>
      </w:r>
    </w:p>
    <w:p>
      <w:pPr>
        <w:pStyle w:val="5"/>
        <w:spacing w:before="120" w:beforeLines="50" w:after="120" w:afterLines="50" w:line="360" w:lineRule="auto"/>
        <w:ind w:left="879" w:leftChars="62" w:hanging="749" w:hangingChars="311"/>
        <w:jc w:val="left"/>
        <w:rPr>
          <w:rFonts w:ascii="宋体" w:hAnsi="宋体" w:eastAsia="宋体" w:cs="宋体"/>
          <w:b w:val="0"/>
          <w:bCs w:val="0"/>
          <w:color w:val="auto"/>
          <w:sz w:val="24"/>
          <w:szCs w:val="24"/>
        </w:rPr>
      </w:pPr>
      <w:r>
        <w:rPr>
          <w:rFonts w:hint="eastAsia" w:ascii="宋体" w:hAnsi="宋体" w:eastAsia="宋体" w:cs="宋体"/>
          <w:sz w:val="24"/>
          <w:szCs w:val="24"/>
          <w:lang w:val="en-US" w:eastAsia="zh-CN"/>
        </w:rPr>
        <w:t>八</w:t>
      </w:r>
      <w:r>
        <w:rPr>
          <w:rFonts w:hint="eastAsia" w:ascii="宋体" w:hAnsi="宋体" w:eastAsia="宋体" w:cs="宋体"/>
          <w:sz w:val="24"/>
          <w:szCs w:val="24"/>
        </w:rPr>
        <w:t>、货款支付：</w:t>
      </w:r>
    </w:p>
    <w:p>
      <w:pPr>
        <w:pStyle w:val="19"/>
        <w:spacing w:line="360" w:lineRule="auto"/>
        <w:ind w:firstLine="283" w:firstLineChars="118"/>
        <w:rPr>
          <w:rFonts w:hint="eastAsia" w:ascii="宋体" w:hAnsi="宋体" w:cs="Times New Roman"/>
          <w:bCs/>
          <w:color w:val="auto"/>
          <w:sz w:val="24"/>
          <w:szCs w:val="24"/>
          <w:highlight w:val="none"/>
        </w:rPr>
      </w:pPr>
      <w:r>
        <w:rPr>
          <w:rFonts w:ascii="宋体" w:hAnsi="宋体" w:cs="宋体"/>
          <w:color w:val="auto"/>
          <w:sz w:val="24"/>
          <w:highlight w:val="none"/>
        </w:rPr>
        <w:t>1 、付款方式 ：</w:t>
      </w:r>
      <w:r>
        <w:rPr>
          <w:rFonts w:hint="eastAsia" w:ascii="宋体" w:hAnsi="宋体" w:cs="Times New Roman"/>
          <w:bCs/>
          <w:color w:val="auto"/>
          <w:sz w:val="24"/>
          <w:szCs w:val="24"/>
          <w:highlight w:val="none"/>
        </w:rPr>
        <w:t>合同签订</w:t>
      </w:r>
      <w:r>
        <w:rPr>
          <w:rFonts w:hint="eastAsia" w:ascii="宋体" w:hAnsi="宋体" w:cs="Times New Roman"/>
          <w:bCs/>
          <w:color w:val="auto"/>
          <w:sz w:val="24"/>
          <w:szCs w:val="24"/>
          <w:highlight w:val="none"/>
          <w:lang w:val="en-US" w:eastAsia="zh-CN"/>
        </w:rPr>
        <w:t>后7个工作日支付中标金额的</w:t>
      </w:r>
      <w:r>
        <w:rPr>
          <w:rFonts w:hint="eastAsia" w:ascii="宋体" w:hAnsi="宋体" w:cs="Times New Roman"/>
          <w:bCs/>
          <w:color w:val="auto"/>
          <w:sz w:val="24"/>
          <w:szCs w:val="24"/>
          <w:highlight w:val="none"/>
        </w:rPr>
        <w:t>50%，初验</w:t>
      </w:r>
      <w:r>
        <w:rPr>
          <w:rFonts w:hint="eastAsia" w:ascii="宋体" w:hAnsi="宋体" w:cs="Times New Roman"/>
          <w:bCs/>
          <w:color w:val="auto"/>
          <w:sz w:val="24"/>
          <w:szCs w:val="24"/>
          <w:highlight w:val="none"/>
          <w:lang w:val="en-US" w:eastAsia="zh-CN"/>
        </w:rPr>
        <w:t>合格后7个工作日支付</w:t>
      </w:r>
      <w:r>
        <w:rPr>
          <w:rFonts w:hint="eastAsia" w:ascii="宋体" w:hAnsi="宋体" w:cs="Times New Roman"/>
          <w:bCs/>
          <w:color w:val="auto"/>
          <w:sz w:val="24"/>
          <w:szCs w:val="24"/>
          <w:highlight w:val="none"/>
        </w:rPr>
        <w:t>30%，终验</w:t>
      </w:r>
      <w:r>
        <w:rPr>
          <w:rFonts w:hint="eastAsia" w:ascii="宋体" w:hAnsi="宋体" w:cs="Times New Roman"/>
          <w:bCs/>
          <w:color w:val="auto"/>
          <w:sz w:val="24"/>
          <w:szCs w:val="24"/>
          <w:highlight w:val="none"/>
          <w:lang w:val="en-US" w:eastAsia="zh-CN"/>
        </w:rPr>
        <w:t>通过后支付剩余</w:t>
      </w:r>
      <w:r>
        <w:rPr>
          <w:rFonts w:hint="eastAsia" w:ascii="宋体" w:hAnsi="宋体" w:cs="Times New Roman"/>
          <w:bCs/>
          <w:color w:val="auto"/>
          <w:sz w:val="24"/>
          <w:szCs w:val="24"/>
          <w:highlight w:val="none"/>
        </w:rPr>
        <w:t>20%</w:t>
      </w:r>
    </w:p>
    <w:p>
      <w:pPr>
        <w:pStyle w:val="19"/>
        <w:spacing w:line="360" w:lineRule="auto"/>
        <w:ind w:firstLine="283" w:firstLineChars="118"/>
        <w:rPr>
          <w:rFonts w:ascii="宋体" w:hAnsi="宋体"/>
          <w:bCs/>
          <w:color w:val="000000"/>
          <w:sz w:val="24"/>
          <w:highlight w:val="yellow"/>
        </w:rPr>
      </w:pPr>
    </w:p>
    <w:p>
      <w:pPr>
        <w:pStyle w:val="5"/>
        <w:spacing w:before="120" w:beforeLines="50" w:after="120" w:afterLines="50"/>
        <w:jc w:val="left"/>
        <w:rPr>
          <w:rFonts w:hint="eastAsia" w:ascii="宋体" w:hAnsi="宋体" w:eastAsia="宋体" w:cs="宋体"/>
          <w:b/>
          <w:bCs w:val="0"/>
          <w:sz w:val="24"/>
          <w:highlight w:val="none"/>
        </w:rPr>
      </w:pPr>
      <w:r>
        <w:rPr>
          <w:rFonts w:hint="eastAsia" w:ascii="仿宋" w:hAnsi="仿宋" w:eastAsia="仿宋" w:cs="仿宋"/>
          <w:sz w:val="24"/>
          <w:szCs w:val="20"/>
        </w:rPr>
        <w:t>▲</w:t>
      </w:r>
      <w:r>
        <w:rPr>
          <w:rFonts w:hint="eastAsia" w:ascii="宋体" w:hAnsi="宋体" w:eastAsia="宋体" w:cs="宋体"/>
          <w:sz w:val="24"/>
          <w:szCs w:val="24"/>
          <w:lang w:val="en-US" w:eastAsia="zh-CN"/>
        </w:rPr>
        <w:t>九、</w:t>
      </w:r>
      <w:r>
        <w:rPr>
          <w:rFonts w:hint="eastAsia" w:ascii="宋体" w:hAnsi="宋体" w:eastAsia="宋体" w:cs="宋体"/>
          <w:b/>
          <w:bCs w:val="0"/>
          <w:sz w:val="24"/>
          <w:highlight w:val="none"/>
        </w:rPr>
        <w:t>验收要求：</w:t>
      </w:r>
    </w:p>
    <w:p>
      <w:pPr>
        <w:pStyle w:val="36"/>
        <w:rPr>
          <w:highlight w:val="none"/>
        </w:rPr>
      </w:pP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lang w:val="en-US" w:eastAsia="zh-CN"/>
        </w:rPr>
        <w:t>1</w:t>
      </w:r>
      <w:r>
        <w:rPr>
          <w:rFonts w:hint="eastAsia" w:ascii="宋体" w:hAnsi="宋体" w:cs="宋体"/>
          <w:color w:val="000000"/>
          <w:sz w:val="24"/>
          <w:highlight w:val="none"/>
        </w:rPr>
        <w:t>. 采购人对中标单位提供的货物在使用前进行调试时，中标单位需负责安装并培训采购方的使用操作人员，并协助采购方一起调试，直到符合技术要求。</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.设备安装到位后各系统试运行1个月，如系统运行正常达到招标需求，采购人进行验收。</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 验收时中标单位必须在现场，验收完毕后出具验收结果书面依据，作为中标人项目结算凭据，验收费用由中标方负责。</w:t>
      </w:r>
    </w:p>
    <w:p>
      <w:pPr>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十、采购人认为必须说明的其他内容：</w:t>
      </w:r>
    </w:p>
    <w:p>
      <w:pPr>
        <w:pStyle w:val="621"/>
        <w:ind w:firstLine="0" w:firstLineChars="0"/>
        <w:outlineLvl w:val="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带“</w:t>
      </w:r>
      <w:r>
        <w:rPr>
          <w:rFonts w:hint="eastAsia" w:ascii="仿宋" w:hAnsi="仿宋" w:eastAsia="仿宋" w:cs="仿宋"/>
          <w:sz w:val="24"/>
          <w:szCs w:val="20"/>
        </w:rPr>
        <w:t>▲</w:t>
      </w:r>
      <w:r>
        <w:rPr>
          <w:rFonts w:hint="eastAsia" w:ascii="仿宋" w:hAnsi="仿宋" w:eastAsia="仿宋" w:cs="仿宋"/>
          <w:b/>
          <w:bCs/>
          <w:color w:val="auto"/>
          <w:sz w:val="24"/>
          <w:szCs w:val="24"/>
          <w:highlight w:val="none"/>
        </w:rPr>
        <w:t>”条款为实质性条款，投标人须</w:t>
      </w:r>
      <w:r>
        <w:rPr>
          <w:rFonts w:hint="eastAsia" w:ascii="仿宋" w:hAnsi="仿宋" w:eastAsia="仿宋" w:cs="仿宋"/>
          <w:b/>
          <w:bCs/>
          <w:color w:val="auto"/>
          <w:sz w:val="24"/>
          <w:szCs w:val="24"/>
          <w:highlight w:val="none"/>
          <w:lang w:val="en-US" w:eastAsia="zh-CN"/>
        </w:rPr>
        <w:t>将相应内容填写至</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符合性审查资料</w:t>
      </w:r>
      <w:r>
        <w:rPr>
          <w:rFonts w:hint="eastAsia" w:ascii="仿宋" w:hAnsi="仿宋" w:eastAsia="仿宋" w:cs="仿宋"/>
          <w:b/>
          <w:bCs/>
          <w:color w:val="auto"/>
          <w:sz w:val="24"/>
          <w:szCs w:val="24"/>
          <w:highlight w:val="none"/>
        </w:rPr>
        <w:t>》，如有任意一条未响应或不满足，将被视为</w:t>
      </w:r>
      <w:r>
        <w:rPr>
          <w:rFonts w:hint="eastAsia" w:ascii="仿宋" w:hAnsi="仿宋" w:eastAsia="仿宋" w:cs="仿宋"/>
          <w:b/>
          <w:bCs/>
          <w:color w:val="auto"/>
          <w:sz w:val="24"/>
          <w:szCs w:val="24"/>
          <w:highlight w:val="none"/>
          <w:lang w:eastAsia="zh-CN"/>
        </w:rPr>
        <w:t>投标</w:t>
      </w:r>
      <w:r>
        <w:rPr>
          <w:rFonts w:hint="eastAsia" w:ascii="仿宋" w:hAnsi="仿宋" w:eastAsia="仿宋" w:cs="仿宋"/>
          <w:b/>
          <w:bCs/>
          <w:color w:val="auto"/>
          <w:sz w:val="24"/>
          <w:szCs w:val="24"/>
          <w:highlight w:val="none"/>
        </w:rPr>
        <w:t>无效</w:t>
      </w:r>
      <w:r>
        <w:rPr>
          <w:rFonts w:hint="eastAsia" w:ascii="仿宋" w:hAnsi="仿宋" w:eastAsia="仿宋" w:cs="仿宋"/>
          <w:b/>
          <w:bCs/>
          <w:color w:val="auto"/>
          <w:sz w:val="24"/>
          <w:szCs w:val="24"/>
          <w:highlight w:val="none"/>
          <w:lang w:eastAsia="zh-CN"/>
        </w:rPr>
        <w:t>。</w:t>
      </w:r>
    </w:p>
    <w:p>
      <w:pPr>
        <w:spacing w:line="360" w:lineRule="auto"/>
        <w:ind w:firstLine="181" w:firstLineChars="50"/>
        <w:rPr>
          <w:rFonts w:hint="eastAsia" w:ascii="仿宋" w:hAnsi="仿宋" w:eastAsia="仿宋" w:cs="仿宋"/>
          <w:b/>
          <w:sz w:val="36"/>
          <w:szCs w:val="36"/>
        </w:rPr>
      </w:pPr>
    </w:p>
    <w:p>
      <w:pPr>
        <w:spacing w:line="360" w:lineRule="auto"/>
        <w:rPr>
          <w:rFonts w:hint="eastAsia" w:ascii="仿宋" w:hAnsi="仿宋" w:eastAsia="仿宋" w:cs="仿宋"/>
          <w:sz w:val="24"/>
        </w:rPr>
      </w:pPr>
    </w:p>
    <w:p>
      <w:pPr>
        <w:widowControl/>
        <w:ind w:firstLine="720" w:firstLineChars="300"/>
        <w:jc w:val="left"/>
        <w:rPr>
          <w:rFonts w:hint="eastAsia" w:ascii="仿宋" w:hAnsi="仿宋" w:eastAsia="仿宋" w:cs="仿宋"/>
          <w:bCs/>
          <w:sz w:val="24"/>
        </w:rPr>
      </w:pPr>
    </w:p>
    <w:p>
      <w:pPr>
        <w:rPr>
          <w:rFonts w:hint="eastAsia" w:ascii="仿宋" w:hAnsi="仿宋" w:eastAsia="仿宋" w:cs="仿宋"/>
          <w:snapToGrid w:val="0"/>
          <w:kern w:val="0"/>
          <w:sz w:val="24"/>
        </w:rPr>
      </w:pPr>
    </w:p>
    <w:p>
      <w:pPr>
        <w:snapToGrid w:val="0"/>
        <w:spacing w:line="360" w:lineRule="auto"/>
        <w:jc w:val="center"/>
        <w:rPr>
          <w:rFonts w:ascii="仿宋" w:hAnsi="仿宋" w:eastAsia="仿宋" w:cs="仿宋_GB2312"/>
          <w:b/>
          <w:sz w:val="36"/>
          <w:szCs w:val="36"/>
        </w:rPr>
      </w:pPr>
      <w:r>
        <w:rPr>
          <w:rFonts w:hint="eastAsia" w:ascii="仿宋" w:hAnsi="仿宋" w:eastAsia="仿宋" w:cs="仿宋"/>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57" w:name="_Toc184312097"/>
      <w:bookmarkEnd w:id="57"/>
      <w:bookmarkStart w:id="58" w:name="_Toc184312137"/>
      <w:bookmarkEnd w:id="58"/>
      <w:bookmarkStart w:id="59" w:name="_Toc184313286"/>
      <w:bookmarkEnd w:id="59"/>
      <w:bookmarkStart w:id="60" w:name="_Toc184310303"/>
      <w:bookmarkEnd w:id="60"/>
      <w:bookmarkStart w:id="61" w:name="_Toc184314467"/>
      <w:bookmarkEnd w:id="61"/>
      <w:bookmarkStart w:id="62" w:name="_Toc184308107"/>
      <w:bookmarkEnd w:id="62"/>
      <w:bookmarkStart w:id="63" w:name="_Toc184308093"/>
      <w:bookmarkEnd w:id="63"/>
      <w:bookmarkStart w:id="64" w:name="_Toc184314461"/>
      <w:bookmarkEnd w:id="64"/>
      <w:bookmarkStart w:id="65" w:name="_Toc184313274"/>
      <w:bookmarkEnd w:id="65"/>
      <w:bookmarkStart w:id="66" w:name="_Toc184312105"/>
      <w:bookmarkEnd w:id="66"/>
      <w:bookmarkStart w:id="67" w:name="_Toc184312119"/>
      <w:bookmarkEnd w:id="67"/>
      <w:bookmarkStart w:id="68" w:name="_Toc184312134"/>
      <w:bookmarkEnd w:id="68"/>
      <w:bookmarkStart w:id="69" w:name="_Toc184313249"/>
      <w:bookmarkEnd w:id="69"/>
      <w:bookmarkStart w:id="70" w:name="_Toc184314465"/>
      <w:bookmarkEnd w:id="70"/>
      <w:bookmarkStart w:id="71" w:name="_Toc184314460"/>
      <w:bookmarkEnd w:id="71"/>
      <w:bookmarkStart w:id="72" w:name="_Toc184310324"/>
      <w:bookmarkEnd w:id="72"/>
      <w:bookmarkStart w:id="73" w:name="_Toc184308066"/>
      <w:bookmarkEnd w:id="73"/>
      <w:bookmarkStart w:id="74" w:name="_Toc184313270"/>
      <w:bookmarkEnd w:id="74"/>
      <w:bookmarkStart w:id="75" w:name="_Toc184312093"/>
      <w:bookmarkEnd w:id="75"/>
      <w:bookmarkStart w:id="76" w:name="_Toc184313273"/>
      <w:bookmarkEnd w:id="76"/>
      <w:bookmarkStart w:id="77" w:name="_Toc184312138"/>
      <w:bookmarkEnd w:id="77"/>
      <w:bookmarkStart w:id="78" w:name="_Toc184312102"/>
      <w:bookmarkEnd w:id="78"/>
      <w:bookmarkStart w:id="79" w:name="_Toc184313305"/>
      <w:bookmarkEnd w:id="79"/>
      <w:bookmarkStart w:id="80" w:name="_Toc184310300"/>
      <w:bookmarkEnd w:id="80"/>
      <w:bookmarkStart w:id="81" w:name="_Toc184308089"/>
      <w:bookmarkEnd w:id="81"/>
      <w:bookmarkStart w:id="82" w:name="_Toc184314473"/>
      <w:bookmarkEnd w:id="82"/>
      <w:bookmarkStart w:id="83" w:name="_Toc184313255"/>
      <w:bookmarkEnd w:id="83"/>
      <w:bookmarkStart w:id="84" w:name="_Toc184310314"/>
      <w:bookmarkEnd w:id="84"/>
      <w:bookmarkStart w:id="85" w:name="_Toc184308078"/>
      <w:bookmarkEnd w:id="85"/>
      <w:bookmarkStart w:id="86" w:name="_Toc184310306"/>
      <w:bookmarkEnd w:id="86"/>
      <w:bookmarkStart w:id="87" w:name="_Toc184308051"/>
      <w:bookmarkEnd w:id="87"/>
      <w:bookmarkStart w:id="88" w:name="_Toc184313297"/>
      <w:bookmarkEnd w:id="88"/>
      <w:bookmarkStart w:id="89" w:name="_Toc184308084"/>
      <w:bookmarkEnd w:id="89"/>
      <w:bookmarkStart w:id="90" w:name="_Toc184308086"/>
      <w:bookmarkEnd w:id="90"/>
      <w:bookmarkStart w:id="91" w:name="_Toc184310323"/>
      <w:bookmarkEnd w:id="91"/>
      <w:bookmarkStart w:id="92" w:name="_Toc184314441"/>
      <w:bookmarkEnd w:id="92"/>
      <w:bookmarkStart w:id="93" w:name="_Toc184313238"/>
      <w:bookmarkEnd w:id="93"/>
      <w:bookmarkStart w:id="94" w:name="_Toc184310275"/>
      <w:bookmarkEnd w:id="94"/>
      <w:bookmarkStart w:id="95" w:name="_Toc184314421"/>
      <w:bookmarkEnd w:id="95"/>
      <w:bookmarkStart w:id="96" w:name="_Toc184314459"/>
      <w:bookmarkEnd w:id="96"/>
      <w:bookmarkStart w:id="97" w:name="_Toc184313241"/>
      <w:bookmarkEnd w:id="97"/>
      <w:bookmarkStart w:id="98" w:name="_Toc184314476"/>
      <w:bookmarkEnd w:id="98"/>
      <w:bookmarkStart w:id="99" w:name="_Toc184312099"/>
      <w:bookmarkEnd w:id="99"/>
      <w:bookmarkStart w:id="100" w:name="_Toc184313307"/>
      <w:bookmarkEnd w:id="100"/>
      <w:bookmarkStart w:id="101" w:name="_Toc184308052"/>
      <w:bookmarkEnd w:id="101"/>
      <w:bookmarkStart w:id="102" w:name="_Toc184313242"/>
      <w:bookmarkEnd w:id="102"/>
      <w:bookmarkStart w:id="103" w:name="_Toc184314436"/>
      <w:bookmarkEnd w:id="103"/>
      <w:bookmarkStart w:id="104" w:name="_Toc184313281"/>
      <w:bookmarkEnd w:id="104"/>
      <w:bookmarkStart w:id="105" w:name="_Toc184314412"/>
      <w:bookmarkEnd w:id="105"/>
      <w:bookmarkStart w:id="106" w:name="_Toc184312103"/>
      <w:bookmarkEnd w:id="106"/>
      <w:bookmarkStart w:id="107" w:name="_Toc184308063"/>
      <w:bookmarkEnd w:id="107"/>
      <w:bookmarkStart w:id="108" w:name="_Toc184310302"/>
      <w:bookmarkEnd w:id="108"/>
      <w:bookmarkStart w:id="109" w:name="_Toc184310315"/>
      <w:bookmarkEnd w:id="109"/>
      <w:bookmarkStart w:id="110" w:name="_Toc184310317"/>
      <w:bookmarkEnd w:id="110"/>
      <w:bookmarkStart w:id="111" w:name="_Toc184314455"/>
      <w:bookmarkEnd w:id="111"/>
      <w:bookmarkStart w:id="112" w:name="_Toc184313275"/>
      <w:bookmarkEnd w:id="112"/>
      <w:bookmarkStart w:id="113" w:name="_Toc184310336"/>
      <w:bookmarkEnd w:id="113"/>
      <w:bookmarkStart w:id="114" w:name="_Toc184312127"/>
      <w:bookmarkEnd w:id="114"/>
      <w:bookmarkStart w:id="115" w:name="_Toc184312126"/>
      <w:bookmarkEnd w:id="115"/>
      <w:bookmarkStart w:id="116" w:name="_Toc184312116"/>
      <w:bookmarkEnd w:id="116"/>
      <w:bookmarkStart w:id="117" w:name="_Toc184308055"/>
      <w:bookmarkEnd w:id="117"/>
      <w:bookmarkStart w:id="118" w:name="_Toc184308088"/>
      <w:bookmarkEnd w:id="118"/>
      <w:bookmarkStart w:id="119" w:name="_Toc184308056"/>
      <w:bookmarkEnd w:id="119"/>
      <w:bookmarkStart w:id="120" w:name="_Toc184313287"/>
      <w:bookmarkEnd w:id="120"/>
      <w:bookmarkStart w:id="121" w:name="_Toc184314475"/>
      <w:bookmarkEnd w:id="121"/>
      <w:bookmarkStart w:id="122" w:name="_Toc184310328"/>
      <w:bookmarkEnd w:id="122"/>
      <w:bookmarkStart w:id="123" w:name="_Toc184308072"/>
      <w:bookmarkEnd w:id="123"/>
      <w:bookmarkStart w:id="124" w:name="_Toc184308047"/>
      <w:bookmarkEnd w:id="124"/>
      <w:bookmarkStart w:id="125" w:name="_Toc184314429"/>
      <w:bookmarkEnd w:id="125"/>
      <w:bookmarkStart w:id="126" w:name="_Toc184314422"/>
      <w:bookmarkEnd w:id="126"/>
      <w:bookmarkStart w:id="127" w:name="_Toc184314443"/>
      <w:bookmarkEnd w:id="127"/>
      <w:bookmarkStart w:id="128" w:name="_Toc184310291"/>
      <w:bookmarkEnd w:id="128"/>
      <w:bookmarkStart w:id="129" w:name="_Toc184313243"/>
      <w:bookmarkEnd w:id="129"/>
      <w:bookmarkStart w:id="130" w:name="_Toc184313262"/>
      <w:bookmarkEnd w:id="130"/>
      <w:bookmarkStart w:id="131" w:name="_Toc184308064"/>
      <w:bookmarkEnd w:id="131"/>
      <w:bookmarkStart w:id="132" w:name="_Toc184312080"/>
      <w:bookmarkEnd w:id="132"/>
      <w:bookmarkStart w:id="133" w:name="_Toc184312084"/>
      <w:bookmarkEnd w:id="133"/>
      <w:bookmarkStart w:id="134" w:name="_Toc184308048"/>
      <w:bookmarkEnd w:id="134"/>
      <w:bookmarkStart w:id="135" w:name="_Toc184314440"/>
      <w:bookmarkEnd w:id="135"/>
      <w:bookmarkStart w:id="136" w:name="_Toc184312104"/>
      <w:bookmarkEnd w:id="136"/>
      <w:bookmarkStart w:id="137" w:name="_Toc184313245"/>
      <w:bookmarkEnd w:id="137"/>
      <w:bookmarkStart w:id="138" w:name="_Toc184314449"/>
      <w:bookmarkEnd w:id="138"/>
      <w:bookmarkStart w:id="139" w:name="_Toc184313251"/>
      <w:bookmarkEnd w:id="139"/>
      <w:bookmarkStart w:id="140" w:name="_Toc184313259"/>
      <w:bookmarkEnd w:id="140"/>
      <w:bookmarkStart w:id="141" w:name="_Toc184310341"/>
      <w:bookmarkEnd w:id="141"/>
      <w:bookmarkStart w:id="142" w:name="_Toc184312120"/>
      <w:bookmarkEnd w:id="142"/>
      <w:bookmarkStart w:id="143" w:name="_Toc184313292"/>
      <w:bookmarkEnd w:id="143"/>
      <w:bookmarkStart w:id="144" w:name="_Toc184308074"/>
      <w:bookmarkEnd w:id="144"/>
      <w:bookmarkStart w:id="145" w:name="_Toc184314454"/>
      <w:bookmarkEnd w:id="145"/>
      <w:bookmarkStart w:id="146" w:name="_Toc184312135"/>
      <w:bookmarkEnd w:id="146"/>
      <w:bookmarkStart w:id="147" w:name="_Toc184310288"/>
      <w:bookmarkEnd w:id="147"/>
      <w:bookmarkStart w:id="148" w:name="_Toc184308054"/>
      <w:bookmarkEnd w:id="148"/>
      <w:bookmarkStart w:id="149" w:name="_Toc184310283"/>
      <w:bookmarkEnd w:id="149"/>
      <w:bookmarkStart w:id="150" w:name="_Toc184308061"/>
      <w:bookmarkEnd w:id="150"/>
      <w:bookmarkStart w:id="151" w:name="_Toc184310296"/>
      <w:bookmarkEnd w:id="151"/>
      <w:bookmarkStart w:id="152" w:name="_Toc184308057"/>
      <w:bookmarkEnd w:id="152"/>
      <w:bookmarkStart w:id="153" w:name="_Toc184313283"/>
      <w:bookmarkEnd w:id="153"/>
      <w:bookmarkStart w:id="154" w:name="_Toc184312085"/>
      <w:bookmarkEnd w:id="154"/>
      <w:bookmarkStart w:id="155" w:name="_Toc184314427"/>
      <w:bookmarkEnd w:id="155"/>
      <w:bookmarkStart w:id="156" w:name="_Toc184312086"/>
      <w:bookmarkEnd w:id="156"/>
      <w:bookmarkStart w:id="157" w:name="_Toc184314432"/>
      <w:bookmarkEnd w:id="157"/>
      <w:bookmarkStart w:id="158" w:name="_Toc184308058"/>
      <w:bookmarkEnd w:id="158"/>
      <w:bookmarkStart w:id="159" w:name="_Toc184314453"/>
      <w:bookmarkEnd w:id="159"/>
      <w:bookmarkStart w:id="160" w:name="_Toc184314444"/>
      <w:bookmarkEnd w:id="160"/>
      <w:bookmarkStart w:id="161" w:name="_Toc184308053"/>
      <w:bookmarkEnd w:id="161"/>
      <w:bookmarkStart w:id="162" w:name="_Toc184313253"/>
      <w:bookmarkEnd w:id="162"/>
      <w:bookmarkStart w:id="163" w:name="_Toc184313278"/>
      <w:bookmarkEnd w:id="163"/>
      <w:bookmarkStart w:id="164" w:name="_Toc184313306"/>
      <w:bookmarkEnd w:id="164"/>
      <w:bookmarkStart w:id="165" w:name="_Toc184313295"/>
      <w:bookmarkEnd w:id="165"/>
      <w:bookmarkStart w:id="166" w:name="_Toc184310305"/>
      <w:bookmarkEnd w:id="166"/>
      <w:bookmarkStart w:id="167" w:name="_Toc184313266"/>
      <w:bookmarkEnd w:id="167"/>
      <w:bookmarkStart w:id="168" w:name="_Toc184314413"/>
      <w:bookmarkEnd w:id="168"/>
      <w:bookmarkStart w:id="169" w:name="_Toc184314434"/>
      <w:bookmarkEnd w:id="169"/>
      <w:bookmarkStart w:id="170" w:name="_Toc184310298"/>
      <w:bookmarkEnd w:id="170"/>
      <w:bookmarkStart w:id="171" w:name="_Toc184308049"/>
      <w:bookmarkEnd w:id="171"/>
      <w:bookmarkStart w:id="172" w:name="_Toc184310308"/>
      <w:bookmarkEnd w:id="172"/>
      <w:bookmarkStart w:id="173" w:name="_Toc184312094"/>
      <w:bookmarkEnd w:id="173"/>
      <w:bookmarkStart w:id="174" w:name="_Toc184313247"/>
      <w:bookmarkEnd w:id="174"/>
      <w:bookmarkStart w:id="175" w:name="_Toc184308101"/>
      <w:bookmarkEnd w:id="175"/>
      <w:bookmarkStart w:id="176" w:name="_Toc184312069"/>
      <w:bookmarkEnd w:id="176"/>
      <w:bookmarkStart w:id="177" w:name="_Toc184313244"/>
      <w:bookmarkEnd w:id="177"/>
      <w:bookmarkStart w:id="178" w:name="_Toc184314438"/>
      <w:bookmarkEnd w:id="178"/>
      <w:bookmarkStart w:id="179" w:name="_Toc184313277"/>
      <w:bookmarkEnd w:id="179"/>
      <w:bookmarkStart w:id="180" w:name="_Toc184313257"/>
      <w:bookmarkEnd w:id="180"/>
      <w:bookmarkStart w:id="181" w:name="_Toc184310299"/>
      <w:bookmarkEnd w:id="181"/>
      <w:bookmarkStart w:id="182" w:name="_Toc184314442"/>
      <w:bookmarkEnd w:id="182"/>
      <w:bookmarkStart w:id="183" w:name="_Toc184310289"/>
      <w:bookmarkEnd w:id="183"/>
      <w:bookmarkStart w:id="184" w:name="_Toc184312068"/>
      <w:bookmarkEnd w:id="184"/>
      <w:bookmarkStart w:id="185" w:name="_Toc184310282"/>
      <w:bookmarkEnd w:id="185"/>
      <w:bookmarkStart w:id="186" w:name="_Toc184310297"/>
      <w:bookmarkEnd w:id="186"/>
      <w:bookmarkStart w:id="187" w:name="_Toc184313280"/>
      <w:bookmarkEnd w:id="187"/>
      <w:bookmarkStart w:id="188" w:name="_Toc184314478"/>
      <w:bookmarkEnd w:id="188"/>
      <w:bookmarkStart w:id="189" w:name="_Toc184314480"/>
      <w:bookmarkEnd w:id="189"/>
      <w:bookmarkStart w:id="190" w:name="_Toc184314416"/>
      <w:bookmarkEnd w:id="190"/>
      <w:bookmarkStart w:id="191" w:name="_Toc184313296"/>
      <w:bookmarkEnd w:id="191"/>
      <w:bookmarkStart w:id="192" w:name="_Toc184310274"/>
      <w:bookmarkEnd w:id="192"/>
      <w:bookmarkStart w:id="193" w:name="_Toc184308041"/>
      <w:bookmarkEnd w:id="193"/>
      <w:bookmarkStart w:id="194" w:name="_Toc184314425"/>
      <w:bookmarkEnd w:id="194"/>
      <w:bookmarkStart w:id="195" w:name="_Toc184310281"/>
      <w:bookmarkEnd w:id="195"/>
      <w:bookmarkStart w:id="196" w:name="_Toc184308067"/>
      <w:bookmarkEnd w:id="196"/>
      <w:bookmarkStart w:id="197" w:name="_Toc184313263"/>
      <w:bookmarkEnd w:id="197"/>
      <w:bookmarkStart w:id="198" w:name="_Toc184312111"/>
      <w:bookmarkEnd w:id="198"/>
      <w:bookmarkStart w:id="199" w:name="_Toc184314435"/>
      <w:bookmarkEnd w:id="199"/>
      <w:bookmarkStart w:id="200" w:name="_Toc184310292"/>
      <w:bookmarkEnd w:id="200"/>
      <w:bookmarkStart w:id="201" w:name="_Toc184312073"/>
      <w:bookmarkEnd w:id="201"/>
      <w:bookmarkStart w:id="202" w:name="_Toc184310287"/>
      <w:bookmarkEnd w:id="202"/>
      <w:bookmarkStart w:id="203" w:name="_Toc184314447"/>
      <w:bookmarkEnd w:id="203"/>
      <w:bookmarkStart w:id="204" w:name="_Toc184310301"/>
      <w:bookmarkEnd w:id="204"/>
      <w:bookmarkStart w:id="205" w:name="_Toc184310310"/>
      <w:bookmarkEnd w:id="205"/>
      <w:bookmarkStart w:id="206" w:name="_Toc184314417"/>
      <w:bookmarkEnd w:id="206"/>
      <w:bookmarkStart w:id="207" w:name="_Toc184308106"/>
      <w:bookmarkEnd w:id="207"/>
      <w:bookmarkStart w:id="208" w:name="_Toc184310342"/>
      <w:bookmarkEnd w:id="208"/>
      <w:bookmarkStart w:id="209" w:name="_Toc184312112"/>
      <w:bookmarkEnd w:id="209"/>
      <w:bookmarkStart w:id="210" w:name="_Toc184314477"/>
      <w:bookmarkEnd w:id="210"/>
      <w:bookmarkStart w:id="211" w:name="_Toc184314450"/>
      <w:bookmarkEnd w:id="211"/>
      <w:bookmarkStart w:id="212" w:name="_Toc184310272"/>
      <w:bookmarkEnd w:id="212"/>
      <w:bookmarkStart w:id="213" w:name="_Toc184308099"/>
      <w:bookmarkEnd w:id="213"/>
      <w:bookmarkStart w:id="214" w:name="_Toc184313268"/>
      <w:bookmarkEnd w:id="214"/>
      <w:bookmarkStart w:id="215" w:name="_Toc184308038"/>
      <w:bookmarkEnd w:id="215"/>
      <w:bookmarkStart w:id="216" w:name="_Toc184314430"/>
      <w:bookmarkEnd w:id="216"/>
      <w:bookmarkStart w:id="217" w:name="_Toc184308092"/>
      <w:bookmarkEnd w:id="217"/>
      <w:bookmarkStart w:id="218" w:name="_Toc184312129"/>
      <w:bookmarkEnd w:id="218"/>
      <w:bookmarkStart w:id="219" w:name="_Toc184313260"/>
      <w:bookmarkEnd w:id="219"/>
      <w:bookmarkStart w:id="220" w:name="_Toc184308062"/>
      <w:bookmarkEnd w:id="220"/>
      <w:bookmarkStart w:id="221" w:name="_Toc184310277"/>
      <w:bookmarkEnd w:id="221"/>
      <w:bookmarkStart w:id="222" w:name="_Toc184314415"/>
      <w:bookmarkEnd w:id="222"/>
      <w:bookmarkStart w:id="223" w:name="_Toc184310344"/>
      <w:bookmarkEnd w:id="223"/>
      <w:bookmarkStart w:id="224" w:name="_Toc184308043"/>
      <w:bookmarkEnd w:id="224"/>
      <w:bookmarkStart w:id="225" w:name="_Toc184312089"/>
      <w:bookmarkEnd w:id="225"/>
      <w:bookmarkStart w:id="226" w:name="_Toc184310322"/>
      <w:bookmarkEnd w:id="226"/>
      <w:bookmarkStart w:id="227" w:name="_Toc184314411"/>
      <w:bookmarkEnd w:id="227"/>
      <w:bookmarkStart w:id="228" w:name="_Toc184314428"/>
      <w:bookmarkEnd w:id="228"/>
      <w:bookmarkStart w:id="229" w:name="_Toc184310279"/>
      <w:bookmarkEnd w:id="229"/>
      <w:bookmarkStart w:id="230" w:name="_Toc184312076"/>
      <w:bookmarkEnd w:id="230"/>
      <w:bookmarkStart w:id="231" w:name="_Toc184312092"/>
      <w:bookmarkEnd w:id="231"/>
      <w:bookmarkStart w:id="232" w:name="_Toc184308081"/>
      <w:bookmarkEnd w:id="232"/>
      <w:bookmarkStart w:id="233" w:name="_Toc184308096"/>
      <w:bookmarkEnd w:id="233"/>
      <w:bookmarkStart w:id="234" w:name="_Toc184308036"/>
      <w:bookmarkEnd w:id="234"/>
      <w:bookmarkStart w:id="235" w:name="_Toc184308039"/>
      <w:bookmarkEnd w:id="235"/>
      <w:bookmarkStart w:id="236" w:name="_Toc184312075"/>
      <w:bookmarkEnd w:id="236"/>
      <w:bookmarkStart w:id="237" w:name="_Toc184310335"/>
      <w:bookmarkEnd w:id="237"/>
      <w:bookmarkStart w:id="238" w:name="_Toc184310295"/>
      <w:bookmarkEnd w:id="238"/>
      <w:bookmarkStart w:id="239" w:name="_Toc184312077"/>
      <w:bookmarkEnd w:id="239"/>
      <w:bookmarkStart w:id="240" w:name="_Toc184313285"/>
      <w:bookmarkEnd w:id="240"/>
      <w:bookmarkStart w:id="241" w:name="_Toc184308059"/>
      <w:bookmarkEnd w:id="241"/>
      <w:bookmarkStart w:id="242" w:name="_Toc184308090"/>
      <w:bookmarkEnd w:id="242"/>
      <w:bookmarkStart w:id="243" w:name="_Toc184310280"/>
      <w:bookmarkEnd w:id="243"/>
      <w:bookmarkStart w:id="244" w:name="_Toc184308045"/>
      <w:bookmarkEnd w:id="244"/>
      <w:bookmarkStart w:id="245" w:name="_Toc184308105"/>
      <w:bookmarkEnd w:id="245"/>
      <w:bookmarkStart w:id="246" w:name="_Toc184313254"/>
      <w:bookmarkEnd w:id="246"/>
      <w:bookmarkStart w:id="247" w:name="_Toc184310333"/>
      <w:bookmarkEnd w:id="247"/>
      <w:bookmarkStart w:id="248" w:name="_Toc184308042"/>
      <w:bookmarkEnd w:id="248"/>
      <w:bookmarkStart w:id="249" w:name="_Toc184310294"/>
      <w:bookmarkEnd w:id="249"/>
      <w:bookmarkStart w:id="250" w:name="_Toc184312109"/>
      <w:bookmarkEnd w:id="250"/>
      <w:bookmarkStart w:id="251" w:name="_Toc184312067"/>
      <w:bookmarkEnd w:id="251"/>
      <w:bookmarkStart w:id="252" w:name="_Toc184314418"/>
      <w:bookmarkEnd w:id="252"/>
      <w:bookmarkStart w:id="253" w:name="_Toc184310312"/>
      <w:bookmarkEnd w:id="253"/>
      <w:bookmarkStart w:id="254" w:name="_Toc184312130"/>
      <w:bookmarkEnd w:id="254"/>
      <w:bookmarkStart w:id="255" w:name="_Toc184310334"/>
      <w:bookmarkEnd w:id="255"/>
      <w:bookmarkStart w:id="256" w:name="_Toc184312107"/>
      <w:bookmarkEnd w:id="256"/>
      <w:bookmarkStart w:id="257" w:name="_Toc184308073"/>
      <w:bookmarkEnd w:id="257"/>
      <w:bookmarkStart w:id="258" w:name="_Toc184310316"/>
      <w:bookmarkEnd w:id="258"/>
      <w:bookmarkStart w:id="259" w:name="_Toc184312098"/>
      <w:bookmarkEnd w:id="259"/>
      <w:bookmarkStart w:id="260" w:name="_Toc184310339"/>
      <w:bookmarkEnd w:id="260"/>
      <w:bookmarkStart w:id="261" w:name="_Toc184314437"/>
      <w:bookmarkEnd w:id="261"/>
      <w:bookmarkStart w:id="262" w:name="_Toc184312125"/>
      <w:bookmarkEnd w:id="262"/>
      <w:bookmarkStart w:id="263" w:name="_Toc184314414"/>
      <w:bookmarkEnd w:id="263"/>
      <w:bookmarkStart w:id="264" w:name="_Toc184312117"/>
      <w:bookmarkEnd w:id="264"/>
      <w:bookmarkStart w:id="265" w:name="_Toc184313276"/>
      <w:bookmarkEnd w:id="265"/>
      <w:bookmarkStart w:id="266" w:name="_Toc184310325"/>
      <w:bookmarkEnd w:id="266"/>
      <w:bookmarkStart w:id="267" w:name="_Toc184312133"/>
      <w:bookmarkEnd w:id="267"/>
      <w:bookmarkStart w:id="268" w:name="_Toc184310304"/>
      <w:bookmarkEnd w:id="268"/>
      <w:bookmarkStart w:id="269" w:name="_Toc184308075"/>
      <w:bookmarkEnd w:id="269"/>
      <w:bookmarkStart w:id="270" w:name="_Toc184313261"/>
      <w:bookmarkEnd w:id="270"/>
      <w:bookmarkStart w:id="271" w:name="_Toc184312072"/>
      <w:bookmarkEnd w:id="271"/>
      <w:bookmarkStart w:id="272" w:name="_Toc184313284"/>
      <w:bookmarkEnd w:id="272"/>
      <w:bookmarkStart w:id="273" w:name="_Toc184308082"/>
      <w:bookmarkEnd w:id="273"/>
      <w:bookmarkStart w:id="274" w:name="_Toc184310321"/>
      <w:bookmarkEnd w:id="274"/>
      <w:bookmarkStart w:id="275" w:name="_Toc184313294"/>
      <w:bookmarkEnd w:id="275"/>
      <w:bookmarkStart w:id="276" w:name="_Toc184308103"/>
      <w:bookmarkEnd w:id="276"/>
      <w:bookmarkStart w:id="277" w:name="_Toc184308044"/>
      <w:bookmarkEnd w:id="277"/>
      <w:bookmarkStart w:id="278" w:name="_Toc184314468"/>
      <w:bookmarkEnd w:id="278"/>
      <w:bookmarkStart w:id="279" w:name="_Toc184314458"/>
      <w:bookmarkEnd w:id="279"/>
      <w:bookmarkStart w:id="280" w:name="_Toc184310331"/>
      <w:bookmarkEnd w:id="280"/>
      <w:bookmarkStart w:id="281" w:name="_Toc184308037"/>
      <w:bookmarkEnd w:id="281"/>
      <w:bookmarkStart w:id="282" w:name="_Toc184310326"/>
      <w:bookmarkEnd w:id="282"/>
      <w:bookmarkStart w:id="283" w:name="_Toc184314463"/>
      <w:bookmarkEnd w:id="283"/>
      <w:bookmarkStart w:id="284" w:name="_Toc184308068"/>
      <w:bookmarkEnd w:id="284"/>
      <w:bookmarkStart w:id="285" w:name="_Toc184313288"/>
      <w:bookmarkEnd w:id="285"/>
      <w:bookmarkStart w:id="286" w:name="_Toc184310318"/>
      <w:bookmarkEnd w:id="286"/>
      <w:bookmarkStart w:id="287" w:name="_Toc184314474"/>
      <w:bookmarkEnd w:id="287"/>
      <w:bookmarkStart w:id="288" w:name="_Toc184308050"/>
      <w:bookmarkEnd w:id="288"/>
      <w:bookmarkStart w:id="289" w:name="_Toc184310290"/>
      <w:bookmarkEnd w:id="289"/>
      <w:bookmarkStart w:id="290" w:name="_Toc184312110"/>
      <w:bookmarkEnd w:id="290"/>
      <w:bookmarkStart w:id="291" w:name="_Toc184312132"/>
      <w:bookmarkEnd w:id="291"/>
      <w:bookmarkStart w:id="292" w:name="_Toc184310276"/>
      <w:bookmarkEnd w:id="292"/>
      <w:bookmarkStart w:id="293" w:name="_Toc184308046"/>
      <w:bookmarkEnd w:id="293"/>
      <w:bookmarkStart w:id="294" w:name="_Toc184314448"/>
      <w:bookmarkEnd w:id="294"/>
      <w:bookmarkStart w:id="295" w:name="_Toc184313300"/>
      <w:bookmarkEnd w:id="295"/>
      <w:bookmarkStart w:id="296" w:name="_Toc184312108"/>
      <w:bookmarkEnd w:id="296"/>
      <w:bookmarkStart w:id="297" w:name="_Toc184308102"/>
      <w:bookmarkEnd w:id="297"/>
      <w:bookmarkStart w:id="298" w:name="_Toc184312091"/>
      <w:bookmarkEnd w:id="298"/>
      <w:bookmarkStart w:id="299" w:name="_Toc184308060"/>
      <w:bookmarkEnd w:id="299"/>
      <w:bookmarkStart w:id="300" w:name="_Toc184312071"/>
      <w:bookmarkEnd w:id="300"/>
      <w:bookmarkStart w:id="301" w:name="_Toc184312082"/>
      <w:bookmarkEnd w:id="301"/>
      <w:bookmarkStart w:id="302" w:name="_Toc184312074"/>
      <w:bookmarkEnd w:id="302"/>
      <w:bookmarkStart w:id="303" w:name="_Toc184314469"/>
      <w:bookmarkEnd w:id="303"/>
      <w:bookmarkStart w:id="304" w:name="_Toc184313303"/>
      <w:bookmarkEnd w:id="304"/>
      <w:bookmarkStart w:id="305" w:name="_Toc184310338"/>
      <w:bookmarkEnd w:id="305"/>
      <w:bookmarkStart w:id="306" w:name="_Toc184313269"/>
      <w:bookmarkEnd w:id="306"/>
      <w:bookmarkStart w:id="307" w:name="_Toc184310278"/>
      <w:bookmarkEnd w:id="307"/>
      <w:bookmarkStart w:id="308" w:name="_Toc184313290"/>
      <w:bookmarkEnd w:id="308"/>
      <w:bookmarkStart w:id="309" w:name="_Toc184313304"/>
      <w:bookmarkEnd w:id="309"/>
      <w:bookmarkStart w:id="310" w:name="_Toc184314452"/>
      <w:bookmarkEnd w:id="310"/>
      <w:bookmarkStart w:id="311" w:name="_Toc184312123"/>
      <w:bookmarkEnd w:id="311"/>
      <w:bookmarkStart w:id="312" w:name="_Toc184314471"/>
      <w:bookmarkEnd w:id="312"/>
      <w:bookmarkStart w:id="313" w:name="_Toc184314433"/>
      <w:bookmarkEnd w:id="313"/>
      <w:bookmarkStart w:id="314" w:name="_Toc184313265"/>
      <w:bookmarkEnd w:id="314"/>
      <w:bookmarkStart w:id="315" w:name="_Toc184314424"/>
      <w:bookmarkEnd w:id="315"/>
      <w:bookmarkStart w:id="316" w:name="_Toc184308080"/>
      <w:bookmarkEnd w:id="316"/>
      <w:bookmarkStart w:id="317" w:name="_Toc184314472"/>
      <w:bookmarkEnd w:id="317"/>
      <w:bookmarkStart w:id="318" w:name="_Toc184312121"/>
      <w:bookmarkEnd w:id="318"/>
      <w:bookmarkStart w:id="319" w:name="_Toc184310332"/>
      <w:bookmarkEnd w:id="319"/>
      <w:bookmarkStart w:id="320" w:name="_Toc184313302"/>
      <w:bookmarkEnd w:id="320"/>
      <w:bookmarkStart w:id="321" w:name="_Toc184313282"/>
      <w:bookmarkEnd w:id="321"/>
      <w:bookmarkStart w:id="322" w:name="_Toc184312087"/>
      <w:bookmarkEnd w:id="322"/>
      <w:bookmarkStart w:id="323" w:name="_Toc184313298"/>
      <w:bookmarkEnd w:id="323"/>
      <w:bookmarkStart w:id="324" w:name="_Toc184313301"/>
      <w:bookmarkEnd w:id="324"/>
      <w:bookmarkStart w:id="325" w:name="_Toc184313246"/>
      <w:bookmarkEnd w:id="325"/>
      <w:bookmarkStart w:id="326" w:name="_Toc184308077"/>
      <w:bookmarkEnd w:id="326"/>
      <w:bookmarkStart w:id="327" w:name="_Toc184313248"/>
      <w:bookmarkEnd w:id="327"/>
      <w:bookmarkStart w:id="328" w:name="_Toc184310320"/>
      <w:bookmarkEnd w:id="328"/>
      <w:bookmarkStart w:id="329" w:name="_Toc184310284"/>
      <w:bookmarkEnd w:id="329"/>
      <w:bookmarkStart w:id="330" w:name="_Toc184314479"/>
      <w:bookmarkEnd w:id="330"/>
      <w:bookmarkStart w:id="331" w:name="_Toc184312122"/>
      <w:bookmarkEnd w:id="331"/>
      <w:bookmarkStart w:id="332" w:name="_Toc184312090"/>
      <w:bookmarkEnd w:id="332"/>
      <w:bookmarkStart w:id="333" w:name="_Toc184313250"/>
      <w:bookmarkEnd w:id="333"/>
      <w:bookmarkStart w:id="334" w:name="_Toc184313272"/>
      <w:bookmarkEnd w:id="334"/>
      <w:bookmarkStart w:id="335" w:name="_Toc184308085"/>
      <w:bookmarkEnd w:id="335"/>
      <w:bookmarkStart w:id="336" w:name="_Toc184312096"/>
      <w:bookmarkEnd w:id="336"/>
      <w:bookmarkStart w:id="337" w:name="_Toc184313289"/>
      <w:bookmarkEnd w:id="337"/>
      <w:bookmarkStart w:id="338" w:name="_Toc184308098"/>
      <w:bookmarkEnd w:id="338"/>
      <w:bookmarkStart w:id="339" w:name="_Toc184310319"/>
      <w:bookmarkEnd w:id="339"/>
      <w:bookmarkStart w:id="340" w:name="_Toc184314470"/>
      <w:bookmarkEnd w:id="340"/>
      <w:bookmarkStart w:id="341" w:name="_Toc184310330"/>
      <w:bookmarkEnd w:id="341"/>
      <w:bookmarkStart w:id="342" w:name="_Toc184314456"/>
      <w:bookmarkEnd w:id="342"/>
      <w:bookmarkStart w:id="343" w:name="_Toc184313267"/>
      <w:bookmarkEnd w:id="343"/>
      <w:bookmarkStart w:id="344" w:name="_Toc184314439"/>
      <w:bookmarkEnd w:id="344"/>
      <w:bookmarkStart w:id="345" w:name="_Toc184308097"/>
      <w:bookmarkEnd w:id="345"/>
      <w:bookmarkStart w:id="346" w:name="_Toc184313309"/>
      <w:bookmarkEnd w:id="346"/>
      <w:bookmarkStart w:id="347" w:name="_Toc184312079"/>
      <w:bookmarkEnd w:id="347"/>
      <w:bookmarkStart w:id="348" w:name="_Toc184310340"/>
      <w:bookmarkEnd w:id="348"/>
      <w:bookmarkStart w:id="349" w:name="_Toc184314482"/>
      <w:bookmarkEnd w:id="349"/>
      <w:bookmarkStart w:id="350" w:name="_Toc184313293"/>
      <w:bookmarkEnd w:id="350"/>
      <w:bookmarkStart w:id="351" w:name="_Toc184312118"/>
      <w:bookmarkEnd w:id="351"/>
      <w:bookmarkStart w:id="352" w:name="_Toc184312128"/>
      <w:bookmarkEnd w:id="352"/>
      <w:bookmarkStart w:id="353" w:name="_Toc184310313"/>
      <w:bookmarkEnd w:id="353"/>
      <w:bookmarkStart w:id="354" w:name="_Toc184308076"/>
      <w:bookmarkEnd w:id="354"/>
      <w:bookmarkStart w:id="355" w:name="_Toc184313291"/>
      <w:bookmarkEnd w:id="355"/>
      <w:bookmarkStart w:id="356" w:name="_Toc184314464"/>
      <w:bookmarkEnd w:id="356"/>
      <w:bookmarkStart w:id="357" w:name="_Toc184314445"/>
      <w:bookmarkEnd w:id="357"/>
      <w:bookmarkStart w:id="358" w:name="_Toc184314462"/>
      <w:bookmarkEnd w:id="358"/>
      <w:bookmarkStart w:id="359" w:name="_Toc184308091"/>
      <w:bookmarkEnd w:id="359"/>
      <w:bookmarkStart w:id="360" w:name="_Toc184308095"/>
      <w:bookmarkEnd w:id="360"/>
      <w:bookmarkStart w:id="361" w:name="_Toc184313240"/>
      <w:bookmarkEnd w:id="361"/>
      <w:bookmarkStart w:id="362" w:name="_Toc184308087"/>
      <w:bookmarkEnd w:id="362"/>
      <w:bookmarkStart w:id="363" w:name="_Toc184310293"/>
      <w:bookmarkEnd w:id="363"/>
      <w:bookmarkStart w:id="364" w:name="_Toc184312136"/>
      <w:bookmarkEnd w:id="364"/>
      <w:bookmarkStart w:id="365" w:name="_Toc184310309"/>
      <w:bookmarkEnd w:id="365"/>
      <w:bookmarkStart w:id="366" w:name="_Toc184314446"/>
      <w:bookmarkEnd w:id="366"/>
      <w:bookmarkStart w:id="367" w:name="_Toc184313264"/>
      <w:bookmarkEnd w:id="367"/>
      <w:bookmarkStart w:id="368" w:name="_Toc184308040"/>
      <w:bookmarkEnd w:id="368"/>
      <w:bookmarkStart w:id="369" w:name="_Toc184312088"/>
      <w:bookmarkEnd w:id="369"/>
      <w:bookmarkStart w:id="370" w:name="_Toc184313256"/>
      <w:bookmarkEnd w:id="370"/>
      <w:bookmarkStart w:id="371" w:name="_Toc184312131"/>
      <w:bookmarkEnd w:id="371"/>
      <w:bookmarkStart w:id="372" w:name="_Toc184308079"/>
      <w:bookmarkEnd w:id="372"/>
      <w:bookmarkStart w:id="373" w:name="_Toc184313258"/>
      <w:bookmarkEnd w:id="373"/>
      <w:bookmarkStart w:id="374" w:name="_Toc184312124"/>
      <w:bookmarkEnd w:id="374"/>
      <w:bookmarkStart w:id="375" w:name="_Toc184308083"/>
      <w:bookmarkEnd w:id="375"/>
      <w:bookmarkStart w:id="376" w:name="_Toc184312115"/>
      <w:bookmarkEnd w:id="376"/>
      <w:bookmarkStart w:id="377" w:name="_Toc184313252"/>
      <w:bookmarkEnd w:id="377"/>
      <w:bookmarkStart w:id="378" w:name="_Toc184314481"/>
      <w:bookmarkEnd w:id="378"/>
      <w:bookmarkStart w:id="379" w:name="_Toc184312078"/>
      <w:bookmarkEnd w:id="379"/>
      <w:bookmarkStart w:id="380" w:name="_Toc184314423"/>
      <w:bookmarkEnd w:id="380"/>
      <w:bookmarkStart w:id="381" w:name="_Toc184313271"/>
      <w:bookmarkEnd w:id="381"/>
      <w:bookmarkStart w:id="382" w:name="_Toc184310327"/>
      <w:bookmarkEnd w:id="382"/>
      <w:bookmarkStart w:id="383" w:name="_Toc184310307"/>
      <w:bookmarkEnd w:id="383"/>
      <w:bookmarkStart w:id="384" w:name="_Toc184314431"/>
      <w:bookmarkEnd w:id="384"/>
      <w:bookmarkStart w:id="385" w:name="_Toc184308104"/>
      <w:bookmarkEnd w:id="385"/>
      <w:bookmarkStart w:id="386" w:name="_Toc184313308"/>
      <w:bookmarkEnd w:id="386"/>
      <w:bookmarkStart w:id="387" w:name="_Toc184312139"/>
      <w:bookmarkEnd w:id="387"/>
      <w:bookmarkStart w:id="388" w:name="_Toc184313299"/>
      <w:bookmarkEnd w:id="388"/>
      <w:bookmarkStart w:id="389" w:name="_Toc184314457"/>
      <w:bookmarkEnd w:id="389"/>
      <w:bookmarkStart w:id="390" w:name="_Toc184308065"/>
      <w:bookmarkEnd w:id="390"/>
      <w:bookmarkStart w:id="391" w:name="_Toc184312100"/>
      <w:bookmarkEnd w:id="391"/>
      <w:bookmarkStart w:id="392" w:name="_Toc184312106"/>
      <w:bookmarkEnd w:id="392"/>
      <w:bookmarkStart w:id="393" w:name="_Toc184313279"/>
      <w:bookmarkEnd w:id="393"/>
      <w:bookmarkStart w:id="394" w:name="_Toc184310285"/>
      <w:bookmarkEnd w:id="394"/>
      <w:bookmarkStart w:id="395" w:name="_Toc184313310"/>
      <w:bookmarkEnd w:id="395"/>
      <w:bookmarkStart w:id="396" w:name="_Toc184308108"/>
      <w:bookmarkEnd w:id="396"/>
      <w:bookmarkStart w:id="397" w:name="_Toc184312095"/>
      <w:bookmarkEnd w:id="397"/>
      <w:bookmarkStart w:id="398" w:name="_Toc184310337"/>
      <w:bookmarkEnd w:id="398"/>
      <w:bookmarkStart w:id="399" w:name="_Toc184308100"/>
      <w:bookmarkEnd w:id="399"/>
      <w:bookmarkStart w:id="400" w:name="_Toc184308070"/>
      <w:bookmarkEnd w:id="400"/>
      <w:bookmarkStart w:id="401" w:name="_Toc184312113"/>
      <w:bookmarkEnd w:id="401"/>
      <w:bookmarkStart w:id="402" w:name="_Toc184312083"/>
      <w:bookmarkEnd w:id="402"/>
      <w:bookmarkStart w:id="403" w:name="_Toc184314410"/>
      <w:bookmarkEnd w:id="403"/>
      <w:bookmarkStart w:id="404" w:name="_Toc184308071"/>
      <w:bookmarkEnd w:id="404"/>
      <w:bookmarkStart w:id="405" w:name="_Toc184312070"/>
      <w:bookmarkEnd w:id="405"/>
      <w:bookmarkStart w:id="406" w:name="_Toc184310273"/>
      <w:bookmarkEnd w:id="406"/>
      <w:bookmarkStart w:id="407" w:name="_Toc184310329"/>
      <w:bookmarkEnd w:id="407"/>
      <w:bookmarkStart w:id="408" w:name="_Toc184314420"/>
      <w:bookmarkEnd w:id="408"/>
      <w:bookmarkStart w:id="409" w:name="_Toc184308069"/>
      <w:bookmarkEnd w:id="409"/>
      <w:bookmarkStart w:id="410" w:name="_Toc184308094"/>
      <w:bookmarkEnd w:id="410"/>
      <w:bookmarkStart w:id="411" w:name="_Toc184313239"/>
      <w:bookmarkEnd w:id="411"/>
      <w:bookmarkStart w:id="412" w:name="_Toc184310343"/>
      <w:bookmarkEnd w:id="412"/>
      <w:bookmarkStart w:id="413" w:name="_Toc184314426"/>
      <w:bookmarkEnd w:id="413"/>
      <w:bookmarkStart w:id="414" w:name="_Toc184310311"/>
      <w:bookmarkEnd w:id="414"/>
      <w:bookmarkStart w:id="415" w:name="_Toc184314466"/>
      <w:bookmarkEnd w:id="415"/>
      <w:bookmarkStart w:id="416" w:name="_Toc184314451"/>
      <w:bookmarkEnd w:id="416"/>
      <w:bookmarkStart w:id="417" w:name="_Toc184312081"/>
      <w:bookmarkEnd w:id="417"/>
      <w:bookmarkStart w:id="418" w:name="_Toc184312101"/>
      <w:bookmarkEnd w:id="418"/>
      <w:bookmarkStart w:id="419" w:name="_Toc184310286"/>
      <w:bookmarkEnd w:id="419"/>
      <w:bookmarkStart w:id="420" w:name="_Toc184312114"/>
      <w:bookmarkEnd w:id="420"/>
      <w:bookmarkStart w:id="421" w:name="_Toc184314419"/>
      <w:bookmarkEnd w:id="421"/>
      <w:r>
        <w:rPr>
          <w:rFonts w:hint="eastAsia" w:ascii="仿宋" w:hAnsi="仿宋" w:eastAsia="仿宋" w:cs="仿宋_GB2312"/>
          <w:b/>
          <w:sz w:val="36"/>
          <w:szCs w:val="36"/>
        </w:rPr>
        <w:t>评标办法</w:t>
      </w:r>
    </w:p>
    <w:p>
      <w:pPr>
        <w:snapToGrid w:val="0"/>
        <w:spacing w:line="360" w:lineRule="auto"/>
        <w:jc w:val="center"/>
        <w:rPr>
          <w:rFonts w:hint="eastAsia" w:ascii="仿宋" w:hAnsi="仿宋" w:eastAsia="仿宋" w:cs="仿宋_GB2312"/>
          <w:b/>
          <w:color w:val="000000"/>
          <w:sz w:val="32"/>
          <w:szCs w:val="20"/>
        </w:rPr>
      </w:pPr>
      <w:r>
        <w:rPr>
          <w:rFonts w:hint="eastAsia" w:ascii="仿宋" w:hAnsi="仿宋" w:eastAsia="仿宋" w:cs="仿宋_GB2312"/>
          <w:b/>
          <w:color w:val="000000"/>
          <w:sz w:val="32"/>
          <w:szCs w:val="20"/>
        </w:rPr>
        <w:t>评标办法前附表</w:t>
      </w:r>
    </w:p>
    <w:p>
      <w:pPr>
        <w:snapToGrid w:val="0"/>
        <w:spacing w:line="360" w:lineRule="auto"/>
        <w:jc w:val="center"/>
        <w:rPr>
          <w:rFonts w:ascii="仿宋" w:hAnsi="仿宋" w:eastAsia="仿宋" w:cs="仿宋_GB2312"/>
          <w:b/>
          <w:sz w:val="32"/>
          <w:szCs w:val="20"/>
        </w:rPr>
      </w:pPr>
      <w:r>
        <w:rPr>
          <w:rFonts w:hint="eastAsia" w:ascii="仿宋_GB2312" w:hAnsi="仿宋" w:eastAsia="仿宋_GB2312"/>
          <w:color w:val="auto"/>
          <w:sz w:val="24"/>
          <w:szCs w:val="20"/>
          <w:lang w:val="en-US" w:eastAsia="zh-CN"/>
        </w:rPr>
        <w:t xml:space="preserve">    </w:t>
      </w:r>
      <w:r>
        <w:rPr>
          <w:rFonts w:hint="eastAsia" w:ascii="仿宋_GB2312" w:hAnsi="仿宋" w:eastAsia="仿宋_GB2312"/>
          <w:color w:val="auto"/>
          <w:sz w:val="24"/>
          <w:szCs w:val="2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w:t>
      </w:r>
    </w:p>
    <w:p>
      <w:pPr>
        <w:snapToGrid w:val="0"/>
        <w:spacing w:line="360" w:lineRule="auto"/>
        <w:rPr>
          <w:rFonts w:hint="eastAsia" w:ascii="仿宋" w:hAnsi="仿宋" w:eastAsia="仿宋" w:cs="仿宋_GB2312"/>
          <w:b w:val="0"/>
          <w:sz w:val="24"/>
        </w:rPr>
      </w:pPr>
      <w:r>
        <w:rPr>
          <w:rFonts w:hint="eastAsia" w:ascii="仿宋" w:hAnsi="仿宋" w:eastAsia="仿宋" w:cs="仿宋_GB2312"/>
          <w:b w:val="0"/>
          <w:sz w:val="24"/>
        </w:rPr>
        <w:t>价格分（30分）</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评标基准价／投标报价)×价格权值×100（精确到小数点后二位）。</w:t>
      </w:r>
    </w:p>
    <w:p>
      <w:pPr>
        <w:snapToGrid w:val="0"/>
        <w:spacing w:line="360" w:lineRule="auto"/>
        <w:rPr>
          <w:rFonts w:hint="eastAsia" w:ascii="仿宋" w:hAnsi="仿宋" w:eastAsia="仿宋" w:cs="仿宋_GB2312"/>
          <w:b w:val="0"/>
          <w:sz w:val="24"/>
        </w:rPr>
      </w:pPr>
      <w:r>
        <w:rPr>
          <w:rFonts w:hint="eastAsia" w:ascii="仿宋" w:hAnsi="仿宋" w:eastAsia="仿宋" w:cs="仿宋_GB2312"/>
          <w:b w:val="0"/>
          <w:sz w:val="24"/>
        </w:rPr>
        <w:t>技术、商务分（70分）</w:t>
      </w:r>
    </w:p>
    <w:p>
      <w:pPr>
        <w:snapToGrid w:val="0"/>
        <w:spacing w:line="360" w:lineRule="auto"/>
        <w:ind w:firstLine="480" w:firstLineChars="200"/>
        <w:rPr>
          <w:rFonts w:hint="eastAsia" w:ascii="仿宋" w:hAnsi="仿宋" w:eastAsia="仿宋" w:cs="仿宋_GB2312"/>
          <w:b w:val="0"/>
          <w:sz w:val="24"/>
        </w:rPr>
      </w:pPr>
      <w:r>
        <w:rPr>
          <w:rFonts w:hint="eastAsia" w:ascii="仿宋" w:hAnsi="仿宋" w:eastAsia="仿宋" w:cs="仿宋_GB2312"/>
          <w:b w:val="0"/>
          <w:sz w:val="24"/>
        </w:rPr>
        <w:t>技术、商务分的计算：</w:t>
      </w:r>
    </w:p>
    <w:p>
      <w:pPr>
        <w:snapToGrid w:val="0"/>
        <w:spacing w:line="360" w:lineRule="auto"/>
        <w:rPr>
          <w:rFonts w:hint="eastAsia" w:ascii="仿宋" w:hAnsi="仿宋" w:eastAsia="仿宋" w:cs="仿宋_GB2312"/>
          <w:sz w:val="24"/>
        </w:rPr>
      </w:pPr>
      <w:r>
        <w:rPr>
          <w:rFonts w:hint="eastAsia" w:ascii="仿宋" w:hAnsi="仿宋" w:eastAsia="仿宋" w:cs="仿宋_GB2312"/>
          <w:sz w:val="24"/>
        </w:rPr>
        <w:t>技术、商务分按照评标委员会成员的独立评分结果汇总数的算术平均分计算，计算公式为：</w:t>
      </w:r>
    </w:p>
    <w:p>
      <w:pPr>
        <w:snapToGrid w:val="0"/>
        <w:spacing w:line="360" w:lineRule="auto"/>
        <w:rPr>
          <w:rFonts w:hint="eastAsia" w:ascii="仿宋" w:hAnsi="仿宋" w:eastAsia="仿宋" w:cs="仿宋_GB2312"/>
          <w:sz w:val="24"/>
        </w:rPr>
      </w:pPr>
      <w:r>
        <w:rPr>
          <w:rFonts w:hint="eastAsia" w:ascii="仿宋" w:hAnsi="仿宋" w:eastAsia="仿宋" w:cs="仿宋_GB2312"/>
          <w:sz w:val="24"/>
        </w:rPr>
        <w:t>技术、商务分=评标委员会所有成员评分合计数/评标委员会组成人员数</w:t>
      </w:r>
    </w:p>
    <w:p>
      <w:pPr>
        <w:snapToGrid w:val="0"/>
        <w:spacing w:line="360" w:lineRule="auto"/>
        <w:rPr>
          <w:rFonts w:hint="eastAsia"/>
        </w:rPr>
      </w:pPr>
      <w:r>
        <w:rPr>
          <w:rFonts w:hint="eastAsia" w:ascii="仿宋" w:hAnsi="仿宋" w:eastAsia="仿宋" w:cs="仿宋_GB2312"/>
          <w:b w:val="0"/>
          <w:sz w:val="24"/>
        </w:rPr>
        <w:t>、评分细则如下：</w:t>
      </w:r>
    </w:p>
    <w:p>
      <w:pPr>
        <w:adjustRightInd/>
        <w:spacing w:line="440" w:lineRule="exact"/>
        <w:rPr>
          <w:rFonts w:hint="eastAsia" w:ascii="仿宋" w:hAnsi="仿宋" w:eastAsia="仿宋"/>
          <w:b/>
          <w:bCs/>
          <w:color w:val="000000"/>
          <w:sz w:val="24"/>
        </w:rPr>
      </w:pPr>
      <w:r>
        <w:rPr>
          <w:rFonts w:hint="eastAsia" w:ascii="仿宋" w:hAnsi="仿宋" w:eastAsia="仿宋"/>
          <w:b/>
          <w:bCs/>
          <w:color w:val="000000"/>
          <w:sz w:val="24"/>
          <w:lang w:val="en-US" w:eastAsia="zh-CN"/>
        </w:rPr>
        <w:t>1）、价格分</w:t>
      </w:r>
      <w:r>
        <w:rPr>
          <w:rFonts w:hint="eastAsia" w:ascii="仿宋" w:hAnsi="仿宋" w:eastAsia="仿宋"/>
          <w:b/>
          <w:bCs/>
          <w:color w:val="000000"/>
          <w:sz w:val="24"/>
        </w:rPr>
        <w:t>（</w:t>
      </w:r>
      <w:r>
        <w:rPr>
          <w:rFonts w:hint="eastAsia" w:ascii="仿宋" w:hAnsi="仿宋" w:eastAsia="仿宋"/>
          <w:b/>
          <w:bCs/>
          <w:color w:val="000000"/>
          <w:sz w:val="24"/>
          <w:lang w:val="en-US" w:eastAsia="zh-CN"/>
        </w:rPr>
        <w:t xml:space="preserve"> 30  </w:t>
      </w:r>
      <w:r>
        <w:rPr>
          <w:rFonts w:hint="eastAsia" w:ascii="仿宋" w:hAnsi="仿宋" w:eastAsia="仿宋"/>
          <w:b/>
          <w:bCs/>
          <w:color w:val="000000"/>
          <w:sz w:val="24"/>
        </w:rPr>
        <w:t>分）：</w:t>
      </w:r>
    </w:p>
    <w:tbl>
      <w:tblPr>
        <w:tblStyle w:val="64"/>
        <w:tblpPr w:leftFromText="180" w:rightFromText="180" w:vertAnchor="text" w:horzAnchor="margin" w:tblpXSpec="left" w:tblpY="276"/>
        <w:tblW w:w="8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754"/>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384" w:type="dxa"/>
            <w:vAlign w:val="center"/>
          </w:tcPr>
          <w:p>
            <w:pPr>
              <w:spacing w:before="0" w:beforeAutospacing="0" w:after="0" w:afterAutospacing="0" w:line="360" w:lineRule="auto"/>
              <w:ind w:left="0" w:right="0" w:firstLine="240" w:firstLineChars="100"/>
              <w:outlineLvl w:val="0"/>
              <w:rPr>
                <w:rFonts w:hint="eastAsia" w:ascii="仿宋" w:hAnsi="仿宋" w:eastAsia="仿宋" w:cs="仿宋_GB2312"/>
                <w:color w:val="000000"/>
                <w:sz w:val="24"/>
                <w:szCs w:val="20"/>
              </w:rPr>
            </w:pPr>
            <w:r>
              <w:rPr>
                <w:rFonts w:hint="eastAsia" w:ascii="仿宋" w:hAnsi="仿宋" w:eastAsia="仿宋" w:cs="仿宋_GB2312"/>
                <w:color w:val="000000"/>
                <w:sz w:val="24"/>
                <w:szCs w:val="20"/>
              </w:rPr>
              <w:t>价格分</w:t>
            </w:r>
          </w:p>
        </w:tc>
        <w:tc>
          <w:tcPr>
            <w:tcW w:w="5754" w:type="dxa"/>
            <w:vAlign w:val="top"/>
          </w:tcPr>
          <w:p>
            <w:pPr>
              <w:spacing w:before="0" w:beforeAutospacing="0" w:after="0" w:afterAutospacing="0" w:line="360" w:lineRule="auto"/>
              <w:ind w:left="0" w:right="0"/>
              <w:outlineLvl w:val="0"/>
              <w:rPr>
                <w:rFonts w:hint="eastAsia" w:ascii="仿宋" w:hAnsi="仿宋" w:eastAsia="仿宋" w:cs="仿宋_GB2312"/>
                <w:color w:val="000000"/>
                <w:sz w:val="24"/>
                <w:szCs w:val="20"/>
              </w:rPr>
            </w:pPr>
            <w:r>
              <w:rPr>
                <w:rFonts w:hint="eastAsia" w:ascii="仿宋" w:hAnsi="仿宋" w:eastAsia="仿宋" w:cs="仿宋_GB2312"/>
                <w:color w:val="000000"/>
                <w:sz w:val="24"/>
                <w:szCs w:val="20"/>
              </w:rPr>
              <w:t>有效投标报价的最低价作为评标基准价，其最低报价为满分；按［投标报价得分=（评标基准价/投标报价）*30］的计算公式计算。</w:t>
            </w:r>
          </w:p>
          <w:p>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_GB2312"/>
                <w:color w:val="000000"/>
                <w:sz w:val="24"/>
                <w:szCs w:val="20"/>
              </w:rPr>
            </w:pPr>
            <w:r>
              <w:rPr>
                <w:rFonts w:hint="eastAsia" w:ascii="仿宋" w:hAnsi="仿宋" w:eastAsia="仿宋" w:cs="仿宋_GB2312"/>
                <w:color w:val="000000"/>
                <w:sz w:val="24"/>
                <w:szCs w:val="20"/>
              </w:rPr>
              <w:t>评标过程中，不得去掉报价中的最高报价和最低报价。</w:t>
            </w:r>
          </w:p>
          <w:p>
            <w:pPr>
              <w:widowControl/>
              <w:shd w:val="clear" w:color="auto" w:fill="FFFFFF"/>
              <w:adjustRightInd/>
              <w:spacing w:before="0" w:beforeAutospacing="0" w:after="225" w:afterAutospacing="0" w:line="315" w:lineRule="atLeast"/>
              <w:ind w:left="0" w:right="0" w:firstLine="420"/>
              <w:jc w:val="left"/>
              <w:rPr>
                <w:rFonts w:hint="eastAsia" w:ascii="仿宋" w:hAnsi="Times New Roman" w:eastAsia="仿宋" w:cs="Times New Roman"/>
                <w:color w:val="000000"/>
                <w:sz w:val="24"/>
                <w:szCs w:val="20"/>
              </w:rPr>
            </w:pPr>
            <w:r>
              <w:rPr>
                <w:rFonts w:hint="eastAsia" w:ascii="仿宋" w:hAnsi="仿宋" w:eastAsia="仿宋" w:cs="仿宋_GB2312"/>
                <w:color w:val="000000"/>
                <w:sz w:val="24"/>
                <w:szCs w:val="20"/>
              </w:rPr>
              <w:t>因落实政府采购政策需要进行价格调整的，以调整后的价格计算评标基准价和投标报价。</w:t>
            </w:r>
          </w:p>
        </w:tc>
        <w:tc>
          <w:tcPr>
            <w:tcW w:w="1065" w:type="dxa"/>
            <w:vAlign w:val="center"/>
          </w:tcPr>
          <w:p>
            <w:pPr>
              <w:spacing w:before="0" w:beforeAutospacing="0" w:after="0" w:afterAutospacing="0" w:line="360" w:lineRule="auto"/>
              <w:ind w:left="0" w:right="0" w:firstLine="120" w:firstLineChars="50"/>
              <w:outlineLvl w:val="0"/>
              <w:rPr>
                <w:rFonts w:hint="eastAsia" w:ascii="仿宋" w:hAnsi="仿宋" w:eastAsia="仿宋" w:cs="仿宋_GB2312"/>
                <w:color w:val="000000"/>
                <w:sz w:val="24"/>
                <w:szCs w:val="20"/>
              </w:rPr>
            </w:pPr>
            <w:r>
              <w:rPr>
                <w:rFonts w:hint="eastAsia" w:ascii="仿宋" w:hAnsi="仿宋" w:eastAsia="仿宋" w:cs="仿宋_GB2312"/>
                <w:color w:val="000000"/>
                <w:sz w:val="24"/>
                <w:szCs w:val="20"/>
              </w:rPr>
              <w:t>30分</w:t>
            </w:r>
          </w:p>
        </w:tc>
      </w:tr>
    </w:tbl>
    <w:p>
      <w:pPr>
        <w:rPr>
          <w:lang w:val="en-US"/>
        </w:rPr>
      </w:pPr>
    </w:p>
    <w:p>
      <w:pPr>
        <w:adjustRightInd/>
        <w:spacing w:line="440" w:lineRule="exact"/>
        <w:ind w:firstLine="602" w:firstLineChars="250"/>
        <w:rPr>
          <w:rFonts w:hint="eastAsia" w:ascii="仿宋" w:hAnsi="仿宋" w:eastAsia="仿宋"/>
          <w:b/>
          <w:bCs/>
          <w:color w:val="000000"/>
          <w:sz w:val="24"/>
        </w:rPr>
      </w:pPr>
    </w:p>
    <w:p>
      <w:pPr>
        <w:pStyle w:val="25"/>
        <w:ind w:firstLine="0" w:firstLineChars="0"/>
        <w:rPr>
          <w:rFonts w:eastAsia="仿宋_GB2312"/>
          <w:highlight w:val="yellow"/>
        </w:rPr>
      </w:pPr>
      <w:r>
        <w:rPr>
          <w:rFonts w:hint="eastAsia" w:ascii="仿宋" w:hAnsi="仿宋" w:eastAsia="仿宋" w:cs="仿宋"/>
          <w:b/>
          <w:bCs/>
          <w:color w:val="000000"/>
          <w:sz w:val="24"/>
          <w:lang w:val="en-US" w:eastAsia="zh-CN"/>
        </w:rPr>
        <w:t>2）、</w:t>
      </w:r>
      <w:r>
        <w:rPr>
          <w:rFonts w:hint="eastAsia" w:ascii="仿宋_GB2312" w:hAnsi="仿宋_GB2312" w:eastAsia="仿宋_GB2312" w:cs="仿宋_GB2312"/>
          <w:b/>
          <w:bCs/>
          <w:highlight w:val="none"/>
        </w:rPr>
        <w:t xml:space="preserve">技术分（ </w:t>
      </w:r>
      <w:r>
        <w:rPr>
          <w:rFonts w:hint="eastAsia" w:ascii="仿宋_GB2312" w:hAnsi="仿宋_GB2312" w:eastAsia="仿宋_GB2312" w:cs="仿宋_GB2312"/>
          <w:b/>
          <w:bCs/>
          <w:highlight w:val="none"/>
          <w:lang w:val="en-US" w:eastAsia="zh-CN"/>
        </w:rPr>
        <w:t>56</w:t>
      </w:r>
      <w:r>
        <w:rPr>
          <w:rFonts w:hint="eastAsia" w:ascii="仿宋_GB2312" w:hAnsi="仿宋_GB2312" w:eastAsia="仿宋_GB2312" w:cs="仿宋_GB2312"/>
          <w:b/>
          <w:bCs/>
          <w:highlight w:val="none"/>
        </w:rPr>
        <w:t xml:space="preserve"> 分）</w:t>
      </w:r>
    </w:p>
    <w:tbl>
      <w:tblPr>
        <w:tblStyle w:val="64"/>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12"/>
        <w:gridCol w:w="5968"/>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blHeader/>
        </w:trPr>
        <w:tc>
          <w:tcPr>
            <w:tcW w:w="723" w:type="dxa"/>
            <w:noWrap w:val="0"/>
            <w:vAlign w:val="center"/>
          </w:tcPr>
          <w:p>
            <w:pPr>
              <w:snapToGrid w:val="0"/>
              <w:spacing w:before="0" w:beforeAutospacing="0" w:after="0" w:afterAutospacing="0"/>
              <w:ind w:left="0" w:right="0"/>
              <w:jc w:val="center"/>
              <w:rPr>
                <w:rFonts w:hint="eastAsia" w:ascii="宋体" w:hAnsi="宋体"/>
                <w:b/>
                <w:color w:val="000000"/>
                <w:sz w:val="24"/>
              </w:rPr>
            </w:pPr>
            <w:r>
              <w:rPr>
                <w:rFonts w:hint="eastAsia" w:ascii="宋体" w:hAnsi="宋体"/>
                <w:b/>
                <w:color w:val="000000"/>
                <w:sz w:val="24"/>
              </w:rPr>
              <w:t>序号</w:t>
            </w:r>
          </w:p>
        </w:tc>
        <w:tc>
          <w:tcPr>
            <w:tcW w:w="1312" w:type="dxa"/>
            <w:noWrap w:val="0"/>
            <w:vAlign w:val="center"/>
          </w:tcPr>
          <w:p>
            <w:pPr>
              <w:snapToGrid w:val="0"/>
              <w:spacing w:before="0" w:beforeAutospacing="0" w:after="0" w:afterAutospacing="0"/>
              <w:ind w:left="0" w:right="0"/>
              <w:jc w:val="center"/>
              <w:rPr>
                <w:rFonts w:hint="eastAsia" w:ascii="宋体" w:hAnsi="宋体"/>
                <w:b/>
                <w:color w:val="000000"/>
                <w:sz w:val="24"/>
              </w:rPr>
            </w:pPr>
            <w:r>
              <w:rPr>
                <w:rFonts w:hint="eastAsia" w:ascii="宋体" w:hAnsi="宋体"/>
                <w:b/>
                <w:color w:val="000000"/>
                <w:sz w:val="24"/>
              </w:rPr>
              <w:t>评分项目</w:t>
            </w:r>
          </w:p>
        </w:tc>
        <w:tc>
          <w:tcPr>
            <w:tcW w:w="5968" w:type="dxa"/>
            <w:noWrap w:val="0"/>
            <w:vAlign w:val="center"/>
          </w:tcPr>
          <w:p>
            <w:pPr>
              <w:snapToGrid w:val="0"/>
              <w:spacing w:before="0" w:beforeAutospacing="0" w:after="0" w:afterAutospacing="0"/>
              <w:ind w:left="0" w:right="0"/>
              <w:jc w:val="center"/>
              <w:rPr>
                <w:rFonts w:hint="eastAsia" w:ascii="宋体" w:hAnsi="宋体"/>
                <w:b/>
                <w:color w:val="000000"/>
                <w:sz w:val="24"/>
              </w:rPr>
            </w:pPr>
            <w:r>
              <w:rPr>
                <w:rFonts w:hint="eastAsia" w:ascii="宋体" w:hAnsi="宋体"/>
                <w:b/>
                <w:color w:val="000000"/>
                <w:sz w:val="24"/>
              </w:rPr>
              <w:t>评分说明</w:t>
            </w:r>
          </w:p>
        </w:tc>
        <w:tc>
          <w:tcPr>
            <w:tcW w:w="875" w:type="dxa"/>
            <w:noWrap w:val="0"/>
            <w:vAlign w:val="center"/>
          </w:tcPr>
          <w:p>
            <w:pPr>
              <w:snapToGrid w:val="0"/>
              <w:spacing w:before="0" w:beforeAutospacing="0" w:after="0" w:afterAutospacing="0"/>
              <w:ind w:left="0" w:right="0"/>
              <w:jc w:val="center"/>
              <w:rPr>
                <w:rFonts w:hint="eastAsia" w:ascii="宋体" w:hAnsi="宋体"/>
                <w:b/>
                <w:color w:val="000000"/>
                <w:sz w:val="24"/>
              </w:rPr>
            </w:pPr>
            <w:r>
              <w:rPr>
                <w:rFonts w:hint="eastAsia" w:ascii="宋体" w:hAnsi="宋体"/>
                <w:b/>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3" w:type="dxa"/>
            <w:noWrap w:val="0"/>
            <w:vAlign w:val="center"/>
          </w:tcPr>
          <w:p>
            <w:pP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312" w:type="dxa"/>
            <w:vMerge w:val="restart"/>
            <w:noWrap w:val="0"/>
            <w:vAlign w:val="center"/>
          </w:tcPr>
          <w:p>
            <w:pP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技术要求（</w:t>
            </w:r>
            <w:r>
              <w:rPr>
                <w:rFonts w:hint="eastAsia" w:ascii="仿宋" w:hAnsi="仿宋" w:eastAsia="仿宋" w:cs="仿宋"/>
                <w:color w:val="auto"/>
                <w:sz w:val="24"/>
                <w:szCs w:val="24"/>
                <w:highlight w:val="none"/>
                <w:lang w:val="en-US" w:eastAsia="zh-CN"/>
              </w:rPr>
              <w:t>56</w:t>
            </w:r>
            <w:r>
              <w:rPr>
                <w:rFonts w:hint="eastAsia" w:ascii="仿宋" w:hAnsi="仿宋" w:eastAsia="仿宋" w:cs="仿宋"/>
                <w:color w:val="auto"/>
                <w:sz w:val="24"/>
                <w:szCs w:val="24"/>
                <w:highlight w:val="none"/>
              </w:rPr>
              <w:t>分）</w:t>
            </w:r>
          </w:p>
        </w:tc>
        <w:tc>
          <w:tcPr>
            <w:tcW w:w="5968" w:type="dxa"/>
            <w:noWrap w:val="0"/>
            <w:vAlign w:val="center"/>
          </w:tcPr>
          <w:p>
            <w:pPr>
              <w:pStyle w:val="88"/>
              <w:spacing w:beforeAutospacing="0" w:after="0" w:afterAutospacing="0" w:line="240" w:lineRule="auto"/>
              <w:ind w:left="0" w:right="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满足招标货物的性能及技术指标要求，所有指标均满足采购文件技术参数等要求的，得基本分</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rPr>
              <w:t>分；带“★”号指标如有一项不满足的，扣2分，扣完为止；其它指标负偏离或未响应的，每项扣2分,扣完为止</w:t>
            </w:r>
            <w:r>
              <w:rPr>
                <w:rFonts w:hint="eastAsia" w:ascii="仿宋" w:hAnsi="仿宋" w:eastAsia="仿宋" w:cs="仿宋"/>
                <w:color w:val="auto"/>
                <w:sz w:val="24"/>
                <w:szCs w:val="24"/>
                <w:lang w:val="en-US" w:eastAsia="zh-CN"/>
              </w:rPr>
              <w:t>。</w:t>
            </w:r>
          </w:p>
        </w:tc>
        <w:tc>
          <w:tcPr>
            <w:tcW w:w="875" w:type="dxa"/>
            <w:noWrap w:val="0"/>
            <w:vAlign w:val="center"/>
          </w:tcPr>
          <w:p>
            <w:pPr>
              <w:spacing w:before="0" w:beforeAutospacing="0" w:after="0" w:afterAutospacing="0"/>
              <w:ind w:left="0" w:right="0"/>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723" w:type="dxa"/>
            <w:noWrap w:val="0"/>
            <w:vAlign w:val="center"/>
          </w:tcPr>
          <w:p>
            <w:pP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312" w:type="dxa"/>
            <w:vMerge w:val="continue"/>
            <w:noWrap w:val="0"/>
            <w:vAlign w:val="center"/>
          </w:tcPr>
          <w:p>
            <w:pPr>
              <w:spacing w:before="0" w:beforeAutospacing="0" w:after="0" w:afterAutospacing="0"/>
              <w:ind w:left="0" w:right="0"/>
              <w:jc w:val="center"/>
              <w:rPr>
                <w:rFonts w:hint="eastAsia" w:ascii="仿宋" w:hAnsi="仿宋" w:eastAsia="仿宋" w:cs="仿宋"/>
                <w:color w:val="auto"/>
                <w:sz w:val="24"/>
                <w:szCs w:val="24"/>
              </w:rPr>
            </w:pPr>
          </w:p>
        </w:tc>
        <w:tc>
          <w:tcPr>
            <w:tcW w:w="5968" w:type="dxa"/>
            <w:noWrap w:val="0"/>
            <w:vAlign w:val="center"/>
          </w:tcPr>
          <w:p>
            <w:pPr>
              <w:widowControl/>
              <w:numPr>
                <w:ilvl w:val="0"/>
                <w:numId w:val="12"/>
              </w:numPr>
              <w:kinsoku w:val="0"/>
              <w:autoSpaceDE w:val="0"/>
              <w:autoSpaceDN w:val="0"/>
              <w:adjustRightInd w:val="0"/>
              <w:snapToGrid w:val="0"/>
              <w:spacing w:before="0" w:beforeAutospacing="0" w:after="0" w:afterAutospacing="0" w:line="240" w:lineRule="auto"/>
              <w:ind w:left="0" w:right="0"/>
              <w:jc w:val="left"/>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对项目有较详细和针对性的解读包括</w:t>
            </w:r>
            <w:r>
              <w:rPr>
                <w:rFonts w:hint="eastAsia" w:ascii="仿宋" w:hAnsi="仿宋" w:eastAsia="仿宋" w:cs="仿宋"/>
                <w:color w:val="auto"/>
                <w:kern w:val="2"/>
                <w:sz w:val="24"/>
                <w:szCs w:val="24"/>
                <w:lang w:val="en-GB" w:eastAsia="zh-CN" w:bidi="ar-SA"/>
              </w:rPr>
              <w:t>项目建设背景、建设目标、项目需求等</w:t>
            </w:r>
            <w:r>
              <w:rPr>
                <w:rFonts w:hint="eastAsia" w:ascii="仿宋" w:hAnsi="仿宋" w:eastAsia="仿宋" w:cs="仿宋"/>
                <w:color w:val="auto"/>
                <w:kern w:val="2"/>
                <w:sz w:val="24"/>
                <w:szCs w:val="24"/>
                <w:lang w:val="en-US" w:eastAsia="zh-CN" w:bidi="ar-SA"/>
              </w:rPr>
              <w:t>，对本项目投标人的整体工作思路清晰性及投标方案深度介绍包括</w:t>
            </w:r>
            <w:r>
              <w:rPr>
                <w:rFonts w:hint="eastAsia" w:ascii="仿宋" w:hAnsi="仿宋" w:eastAsia="仿宋" w:cs="仿宋"/>
                <w:color w:val="auto"/>
                <w:kern w:val="2"/>
                <w:sz w:val="24"/>
                <w:szCs w:val="24"/>
                <w:lang w:val="en-GB" w:eastAsia="zh-CN" w:bidi="ar-SA"/>
              </w:rPr>
              <w:t>项目建设思路、原则、技术要求</w:t>
            </w:r>
            <w:r>
              <w:rPr>
                <w:rFonts w:hint="eastAsia" w:ascii="仿宋" w:hAnsi="仿宋" w:eastAsia="仿宋" w:cs="仿宋"/>
                <w:color w:val="auto"/>
                <w:kern w:val="2"/>
                <w:sz w:val="24"/>
                <w:szCs w:val="24"/>
                <w:lang w:val="en-US" w:eastAsia="zh-CN" w:bidi="ar-SA"/>
              </w:rPr>
              <w:t>，进行综合打分（0-2分）；</w:t>
            </w:r>
          </w:p>
          <w:p>
            <w:pPr>
              <w:widowControl/>
              <w:numPr>
                <w:ilvl w:val="0"/>
                <w:numId w:val="12"/>
              </w:numPr>
              <w:kinsoku w:val="0"/>
              <w:autoSpaceDE w:val="0"/>
              <w:autoSpaceDN w:val="0"/>
              <w:adjustRightInd w:val="0"/>
              <w:snapToGrid w:val="0"/>
              <w:spacing w:before="0" w:beforeAutospacing="0" w:after="0" w:afterAutospacing="0" w:line="240" w:lineRule="auto"/>
              <w:ind w:left="0" w:right="0"/>
              <w:jc w:val="left"/>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与本项目需求的吻合程度，评估投标项目实施方案是否与招标人的定位、管理需求等相契合，对相关介绍情况进行综合打分（0-1分）；</w:t>
            </w:r>
          </w:p>
          <w:p>
            <w:pPr>
              <w:widowControl/>
              <w:numPr>
                <w:ilvl w:val="0"/>
                <w:numId w:val="12"/>
              </w:numPr>
              <w:kinsoku w:val="0"/>
              <w:autoSpaceDE w:val="0"/>
              <w:autoSpaceDN w:val="0"/>
              <w:adjustRightInd w:val="0"/>
              <w:snapToGrid w:val="0"/>
              <w:spacing w:before="0" w:beforeAutospacing="0" w:after="0" w:afterAutospacing="0" w:line="240" w:lineRule="auto"/>
              <w:ind w:left="0" w:right="0"/>
              <w:jc w:val="left"/>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总体设计：包括管理系统需求、总体设计、建设方案和产品选型等，详细阐述系统的体系架构、功能模块、实现思路和关键技术，以及对功能设计和实施计划的建议（0-1分）。</w:t>
            </w:r>
          </w:p>
        </w:tc>
        <w:tc>
          <w:tcPr>
            <w:tcW w:w="875" w:type="dxa"/>
            <w:noWrap w:val="0"/>
            <w:vAlign w:val="center"/>
          </w:tcPr>
          <w:p>
            <w:pPr>
              <w:spacing w:before="0" w:beforeAutospacing="0" w:after="0" w:afterAutospacing="0"/>
              <w:ind w:left="0" w:right="0"/>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3" w:type="dxa"/>
            <w:noWrap w:val="0"/>
            <w:vAlign w:val="center"/>
          </w:tcPr>
          <w:p>
            <w:pP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312" w:type="dxa"/>
            <w:vMerge w:val="continue"/>
            <w:noWrap w:val="0"/>
            <w:vAlign w:val="center"/>
          </w:tcPr>
          <w:p>
            <w:pPr>
              <w:spacing w:before="0" w:beforeAutospacing="0" w:after="0" w:afterAutospacing="0"/>
              <w:ind w:left="0" w:right="0"/>
              <w:jc w:val="center"/>
              <w:rPr>
                <w:rFonts w:hint="eastAsia" w:ascii="仿宋" w:hAnsi="仿宋" w:eastAsia="仿宋" w:cs="仿宋"/>
                <w:color w:val="auto"/>
                <w:sz w:val="24"/>
                <w:szCs w:val="24"/>
              </w:rPr>
            </w:pPr>
          </w:p>
        </w:tc>
        <w:tc>
          <w:tcPr>
            <w:tcW w:w="5968" w:type="dxa"/>
            <w:noWrap w:val="0"/>
            <w:vAlign w:val="center"/>
          </w:tcPr>
          <w:p>
            <w:pPr>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投标人项目组织实施方案的科学性（</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分）、合理性（1分）、规范性（1分）和可操作性（1分），项目实施内容包括软件设计开发、系统安装调试、系统测试、试运行、系统调优、项目验收。上面得分内容有欠缺的不得分。</w:t>
            </w:r>
          </w:p>
        </w:tc>
        <w:tc>
          <w:tcPr>
            <w:tcW w:w="875" w:type="dxa"/>
            <w:noWrap w:val="0"/>
            <w:vAlign w:val="center"/>
          </w:tcPr>
          <w:p>
            <w:pPr>
              <w:spacing w:before="0" w:beforeAutospacing="0" w:after="0" w:afterAutospacing="0"/>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3" w:type="dxa"/>
            <w:noWrap w:val="0"/>
            <w:vAlign w:val="center"/>
          </w:tcPr>
          <w:p>
            <w:pPr>
              <w:spacing w:before="0" w:beforeAutospacing="0" w:after="0" w:afterAutospacing="0"/>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1312" w:type="dxa"/>
            <w:vMerge w:val="continue"/>
            <w:noWrap w:val="0"/>
            <w:vAlign w:val="center"/>
          </w:tcPr>
          <w:p>
            <w:pPr>
              <w:spacing w:before="0" w:beforeAutospacing="0" w:after="0" w:afterAutospacing="0"/>
              <w:ind w:left="0" w:right="0"/>
              <w:jc w:val="center"/>
              <w:rPr>
                <w:rFonts w:hint="eastAsia" w:ascii="仿宋" w:hAnsi="仿宋" w:eastAsia="仿宋" w:cs="仿宋"/>
                <w:color w:val="auto"/>
                <w:sz w:val="24"/>
                <w:szCs w:val="24"/>
              </w:rPr>
            </w:pPr>
          </w:p>
        </w:tc>
        <w:tc>
          <w:tcPr>
            <w:tcW w:w="5968" w:type="dxa"/>
            <w:noWrap w:val="0"/>
            <w:vAlign w:val="center"/>
          </w:tcPr>
          <w:p>
            <w:pPr>
              <w:shd w:val="clear" w:color="auto" w:fill="FFFFFF"/>
              <w:snapToGrid w:val="0"/>
              <w:spacing w:before="0" w:beforeAutospacing="0" w:after="0" w:afterAutospacing="0"/>
              <w:ind w:left="0" w:right="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（1）项目组成员具备高级信息系统项目管理认证的，每名得1分，最高2分；</w:t>
            </w:r>
          </w:p>
          <w:p>
            <w:pPr>
              <w:shd w:val="clear" w:color="auto" w:fill="FFFFFF"/>
              <w:snapToGrid w:val="0"/>
              <w:spacing w:before="0" w:beforeAutospacing="0" w:after="0" w:afterAutospacing="0"/>
              <w:ind w:left="0" w:right="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（2）项目组成员具有4名及以上高级工程师，得</w:t>
            </w: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rPr>
              <w:t>分，否则不得分；</w:t>
            </w:r>
          </w:p>
          <w:p>
            <w:pPr>
              <w:shd w:val="clear" w:color="auto" w:fill="FFFFFF"/>
              <w:snapToGrid w:val="0"/>
              <w:spacing w:before="0" w:beforeAutospacing="0" w:after="0" w:afterAutospacing="0"/>
              <w:ind w:left="0" w:right="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（3）项目技术负责人需同时具有高级工程师职称和网络技术认证资质得2分；</w:t>
            </w:r>
          </w:p>
          <w:p>
            <w:pPr>
              <w:shd w:val="clear" w:color="auto" w:fill="FFFFFF"/>
              <w:snapToGrid w:val="0"/>
              <w:spacing w:before="0" w:beforeAutospacing="0" w:after="0" w:afterAutospacing="0"/>
              <w:ind w:left="0" w:right="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（4）项目团队中，除技术负责人外，有2名及以上人员具有网络技术认证资格证书的得</w:t>
            </w: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分；</w:t>
            </w:r>
          </w:p>
          <w:p>
            <w:pPr>
              <w:shd w:val="clear" w:color="auto" w:fill="FFFFFF"/>
              <w:snapToGrid w:val="0"/>
              <w:spacing w:before="0" w:beforeAutospacing="0" w:after="0" w:afterAutospacing="0"/>
              <w:ind w:left="0" w:right="0"/>
              <w:jc w:val="left"/>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（5）项目团队中，除技术负责人外，有2名及以上人员具有数据库技术认证资格证书的得</w:t>
            </w: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分；</w:t>
            </w:r>
          </w:p>
          <w:p>
            <w:pPr>
              <w:spacing w:before="0" w:beforeAutospacing="0" w:after="0" w:afterAutospacing="0"/>
              <w:ind w:left="0" w:right="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（6）项目经理具有高级信息系统项目管理师得1分，PMP证书的得1分；</w:t>
            </w:r>
          </w:p>
          <w:p>
            <w:pPr>
              <w:pStyle w:val="88"/>
              <w:spacing w:beforeAutospacing="0" w:after="0" w:afterAutospacing="0" w:line="240" w:lineRule="auto"/>
              <w:ind w:left="0" w:right="0"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注：项目组人员应为投标人在职人员，提供近3个月的社保证明和证书进行评分，未提供或不符合以上条件不得分。</w:t>
            </w:r>
          </w:p>
        </w:tc>
        <w:tc>
          <w:tcPr>
            <w:tcW w:w="875" w:type="dxa"/>
            <w:noWrap w:val="0"/>
            <w:vAlign w:val="center"/>
          </w:tcPr>
          <w:p>
            <w:pPr>
              <w:spacing w:before="0" w:beforeAutospacing="0" w:after="0" w:afterAutospacing="0"/>
              <w:ind w:left="0" w:right="0"/>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3" w:type="dxa"/>
            <w:noWrap w:val="0"/>
            <w:vAlign w:val="center"/>
          </w:tcPr>
          <w:p>
            <w:pPr>
              <w:spacing w:before="0" w:beforeAutospacing="0" w:after="0" w:afterAutospacing="0"/>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1312" w:type="dxa"/>
            <w:vMerge w:val="continue"/>
            <w:noWrap w:val="0"/>
            <w:vAlign w:val="center"/>
          </w:tcPr>
          <w:p>
            <w:pPr>
              <w:spacing w:before="0" w:beforeAutospacing="0" w:after="0" w:afterAutospacing="0"/>
              <w:ind w:left="0" w:right="0"/>
              <w:jc w:val="center"/>
              <w:rPr>
                <w:rFonts w:hint="eastAsia" w:ascii="仿宋" w:hAnsi="仿宋" w:eastAsia="仿宋" w:cs="仿宋"/>
                <w:color w:val="auto"/>
                <w:sz w:val="24"/>
                <w:szCs w:val="24"/>
              </w:rPr>
            </w:pPr>
          </w:p>
        </w:tc>
        <w:tc>
          <w:tcPr>
            <w:tcW w:w="5968" w:type="dxa"/>
            <w:noWrap w:val="0"/>
            <w:vAlign w:val="center"/>
          </w:tcPr>
          <w:p>
            <w:pPr>
              <w:pStyle w:val="88"/>
              <w:spacing w:beforeAutospacing="0" w:after="0" w:afterAutospacing="0" w:line="240" w:lineRule="auto"/>
              <w:ind w:left="0" w:right="0" w:firstLine="0" w:firstLineChars="0"/>
              <w:rPr>
                <w:rFonts w:hint="eastAsia" w:ascii="仿宋" w:hAnsi="仿宋" w:eastAsia="仿宋" w:cs="仿宋"/>
                <w:color w:val="auto"/>
                <w:sz w:val="24"/>
                <w:szCs w:val="24"/>
              </w:rPr>
            </w:pPr>
            <w:r>
              <w:rPr>
                <w:rFonts w:hint="eastAsia" w:ascii="仿宋" w:hAnsi="仿宋" w:eastAsia="仿宋" w:cs="仿宋"/>
                <w:color w:val="auto"/>
                <w:spacing w:val="-7"/>
                <w:sz w:val="24"/>
                <w:szCs w:val="24"/>
              </w:rPr>
              <w:t>提供投标人的售后维护机构注册证明，根据售后服务网点的数量及分布情况打分。0-2分；</w:t>
            </w:r>
          </w:p>
        </w:tc>
        <w:tc>
          <w:tcPr>
            <w:tcW w:w="875" w:type="dxa"/>
            <w:noWrap w:val="0"/>
            <w:vAlign w:val="center"/>
          </w:tcPr>
          <w:p>
            <w:pPr>
              <w:spacing w:before="0" w:beforeAutospacing="0" w:after="0" w:afterAutospacing="0"/>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3" w:type="dxa"/>
            <w:noWrap w:val="0"/>
            <w:vAlign w:val="center"/>
          </w:tcPr>
          <w:p>
            <w:pPr>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312" w:type="dxa"/>
            <w:vMerge w:val="continue"/>
            <w:noWrap w:val="0"/>
            <w:vAlign w:val="center"/>
          </w:tcPr>
          <w:p>
            <w:pPr>
              <w:spacing w:before="0" w:beforeAutospacing="0" w:after="0" w:afterAutospacing="0"/>
              <w:ind w:left="0" w:right="0"/>
              <w:jc w:val="center"/>
              <w:rPr>
                <w:rFonts w:hint="eastAsia" w:ascii="仿宋" w:hAnsi="仿宋" w:eastAsia="仿宋" w:cs="仿宋"/>
                <w:color w:val="auto"/>
                <w:sz w:val="24"/>
                <w:szCs w:val="24"/>
              </w:rPr>
            </w:pPr>
          </w:p>
        </w:tc>
        <w:tc>
          <w:tcPr>
            <w:tcW w:w="5968" w:type="dxa"/>
            <w:noWrap w:val="0"/>
            <w:vAlign w:val="center"/>
          </w:tcPr>
          <w:p>
            <w:pPr>
              <w:pStyle w:val="88"/>
              <w:spacing w:beforeAutospacing="0" w:after="0" w:afterAutospacing="0" w:line="240" w:lineRule="auto"/>
              <w:ind w:left="0" w:right="0" w:firstLine="0" w:firstLineChars="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1、投标人提供核心设备制造商厂家针对本项目提供的授权函的得1分，没有不得分；投标文件中提供授权函加盖厂商公章。</w:t>
            </w:r>
          </w:p>
          <w:p>
            <w:pPr>
              <w:pStyle w:val="88"/>
              <w:spacing w:beforeAutospacing="0" w:after="0" w:afterAutospacing="0" w:line="240" w:lineRule="auto"/>
              <w:ind w:left="0" w:right="0" w:firstLine="0" w:firstLineChars="0"/>
              <w:rPr>
                <w:rFonts w:hint="eastAsia" w:ascii="仿宋" w:hAnsi="仿宋" w:eastAsia="仿宋" w:cs="仿宋"/>
                <w:color w:val="auto"/>
                <w:spacing w:val="-7"/>
                <w:sz w:val="24"/>
                <w:szCs w:val="24"/>
              </w:rPr>
            </w:pPr>
            <w:r>
              <w:rPr>
                <w:rFonts w:hint="eastAsia" w:ascii="仿宋" w:hAnsi="仿宋" w:eastAsia="仿宋" w:cs="仿宋"/>
                <w:b w:val="0"/>
                <w:bCs w:val="0"/>
                <w:color w:val="auto"/>
                <w:kern w:val="2"/>
                <w:sz w:val="24"/>
                <w:szCs w:val="24"/>
                <w:lang w:val="en-US" w:eastAsia="zh-CN" w:bidi="ar-SA"/>
              </w:rPr>
              <w:t>2、投标人提供核心设备制造商厂家针对本项目的售后服务承诺函的得1分，没有不得分；投标文件中提供授权函加盖厂商公章。</w:t>
            </w:r>
          </w:p>
        </w:tc>
        <w:tc>
          <w:tcPr>
            <w:tcW w:w="875" w:type="dxa"/>
            <w:noWrap w:val="0"/>
            <w:vAlign w:val="center"/>
          </w:tcPr>
          <w:p>
            <w:pPr>
              <w:spacing w:before="0" w:beforeAutospacing="0" w:after="0" w:afterAutospacing="0"/>
              <w:ind w:left="0" w:right="0"/>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3" w:type="dxa"/>
            <w:noWrap w:val="0"/>
            <w:vAlign w:val="center"/>
          </w:tcPr>
          <w:p>
            <w:pPr>
              <w:spacing w:before="0" w:beforeAutospacing="0" w:after="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1312" w:type="dxa"/>
            <w:vMerge w:val="continue"/>
            <w:noWrap w:val="0"/>
            <w:vAlign w:val="center"/>
          </w:tcPr>
          <w:p>
            <w:pPr>
              <w:spacing w:before="0" w:beforeAutospacing="0" w:after="0" w:afterAutospacing="0"/>
              <w:ind w:left="0" w:right="0"/>
              <w:jc w:val="center"/>
              <w:rPr>
                <w:rFonts w:hint="eastAsia" w:ascii="仿宋" w:hAnsi="仿宋" w:eastAsia="仿宋" w:cs="仿宋"/>
                <w:color w:val="auto"/>
                <w:sz w:val="24"/>
                <w:szCs w:val="24"/>
                <w:highlight w:val="none"/>
              </w:rPr>
            </w:pPr>
          </w:p>
        </w:tc>
        <w:tc>
          <w:tcPr>
            <w:tcW w:w="5968" w:type="dxa"/>
            <w:noWrap w:val="0"/>
            <w:vAlign w:val="center"/>
          </w:tcPr>
          <w:p>
            <w:pPr>
              <w:pStyle w:val="88"/>
              <w:spacing w:beforeAutospacing="0" w:after="0" w:afterAutospacing="0" w:line="24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现场提供演示</w:t>
            </w:r>
          </w:p>
          <w:p>
            <w:pPr>
              <w:widowControl/>
              <w:numPr>
                <w:ilvl w:val="0"/>
                <w:numId w:val="13"/>
              </w:numPr>
              <w:kinsoku w:val="0"/>
              <w:autoSpaceDE w:val="0"/>
              <w:autoSpaceDN w:val="0"/>
              <w:adjustRightInd w:val="0"/>
              <w:snapToGrid w:val="0"/>
              <w:spacing w:before="0" w:beforeAutospacing="0" w:after="0" w:afterAutospacing="0" w:line="240" w:lineRule="auto"/>
              <w:ind w:left="0" w:right="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演示事处风控中心：包括事件归集、风险研判、指挥调度、事件处置、应急指挥、处置后评估功能；（</w:t>
            </w:r>
            <w:r>
              <w:rPr>
                <w:rFonts w:hint="eastAsia" w:ascii="仿宋" w:hAnsi="仿宋" w:eastAsia="仿宋" w:cs="仿宋"/>
                <w:color w:val="auto"/>
                <w:sz w:val="24"/>
                <w:szCs w:val="24"/>
                <w:highlight w:val="none"/>
              </w:rPr>
              <w:t>全部演示得</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rPr>
              <w:t>，仅演示部分功能不得分</w:t>
            </w:r>
            <w:r>
              <w:rPr>
                <w:rFonts w:hint="eastAsia" w:ascii="仿宋" w:hAnsi="仿宋" w:eastAsia="仿宋" w:cs="仿宋"/>
                <w:color w:val="auto"/>
                <w:sz w:val="24"/>
                <w:szCs w:val="24"/>
                <w:highlight w:val="none"/>
                <w:lang w:val="en-US" w:eastAsia="zh-CN"/>
              </w:rPr>
              <w:t>）</w:t>
            </w:r>
          </w:p>
          <w:p>
            <w:pPr>
              <w:widowControl/>
              <w:numPr>
                <w:ilvl w:val="0"/>
                <w:numId w:val="13"/>
              </w:numPr>
              <w:kinsoku w:val="0"/>
              <w:autoSpaceDE w:val="0"/>
              <w:autoSpaceDN w:val="0"/>
              <w:adjustRightInd w:val="0"/>
              <w:snapToGrid w:val="0"/>
              <w:spacing w:before="0" w:beforeAutospacing="0" w:after="0" w:afterAutospacing="0" w:line="240" w:lineRule="auto"/>
              <w:ind w:left="0" w:right="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演示消控室AI云监管：支持查看临平区内校园消控室的视频监控点位实时信息；实现对消控室人员脱岗、在岗不尽职的情况AI发现、自动预警及风险事件闭环处置功能；（</w:t>
            </w:r>
            <w:r>
              <w:rPr>
                <w:rFonts w:hint="eastAsia" w:ascii="仿宋" w:hAnsi="仿宋" w:eastAsia="仿宋" w:cs="仿宋"/>
                <w:color w:val="auto"/>
                <w:sz w:val="24"/>
                <w:szCs w:val="24"/>
                <w:highlight w:val="none"/>
              </w:rPr>
              <w:t>全部演示得</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演示不足</w:t>
            </w:r>
            <w:r>
              <w:rPr>
                <w:rFonts w:hint="eastAsia" w:ascii="仿宋" w:hAnsi="仿宋" w:eastAsia="仿宋" w:cs="仿宋"/>
                <w:color w:val="auto"/>
                <w:sz w:val="24"/>
                <w:szCs w:val="24"/>
                <w:highlight w:val="none"/>
              </w:rPr>
              <w:t>不得分</w:t>
            </w:r>
            <w:r>
              <w:rPr>
                <w:rFonts w:hint="eastAsia" w:ascii="仿宋" w:hAnsi="仿宋" w:eastAsia="仿宋" w:cs="仿宋"/>
                <w:color w:val="auto"/>
                <w:sz w:val="24"/>
                <w:szCs w:val="24"/>
                <w:highlight w:val="none"/>
                <w:lang w:val="en-US" w:eastAsia="zh-CN"/>
              </w:rPr>
              <w:t>）</w:t>
            </w:r>
          </w:p>
          <w:p>
            <w:pPr>
              <w:widowControl/>
              <w:numPr>
                <w:ilvl w:val="0"/>
                <w:numId w:val="13"/>
              </w:numPr>
              <w:kinsoku w:val="0"/>
              <w:autoSpaceDE w:val="0"/>
              <w:autoSpaceDN w:val="0"/>
              <w:adjustRightInd w:val="0"/>
              <w:snapToGrid w:val="0"/>
              <w:spacing w:before="0" w:beforeAutospacing="0" w:after="0" w:afterAutospacing="0" w:line="240" w:lineRule="auto"/>
              <w:ind w:left="0" w:right="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演示计划任务系统：包括新增计划、自动派发、指派任务功能；（</w:t>
            </w:r>
            <w:r>
              <w:rPr>
                <w:rFonts w:hint="eastAsia" w:ascii="仿宋" w:hAnsi="仿宋" w:eastAsia="仿宋" w:cs="仿宋"/>
                <w:color w:val="auto"/>
                <w:sz w:val="24"/>
                <w:szCs w:val="24"/>
                <w:highlight w:val="none"/>
              </w:rPr>
              <w:t>全部演示得</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rPr>
              <w:t>，仅演示部分功能不得分</w:t>
            </w:r>
            <w:r>
              <w:rPr>
                <w:rFonts w:hint="eastAsia" w:ascii="仿宋" w:hAnsi="仿宋" w:eastAsia="仿宋" w:cs="仿宋"/>
                <w:color w:val="auto"/>
                <w:sz w:val="24"/>
                <w:szCs w:val="24"/>
                <w:highlight w:val="none"/>
                <w:lang w:val="en-US" w:eastAsia="zh-CN"/>
              </w:rPr>
              <w:t>）</w:t>
            </w:r>
          </w:p>
          <w:p>
            <w:pPr>
              <w:widowControl/>
              <w:numPr>
                <w:ilvl w:val="0"/>
                <w:numId w:val="13"/>
              </w:numPr>
              <w:kinsoku w:val="0"/>
              <w:autoSpaceDE w:val="0"/>
              <w:autoSpaceDN w:val="0"/>
              <w:adjustRightInd w:val="0"/>
              <w:snapToGrid w:val="0"/>
              <w:spacing w:before="0" w:beforeAutospacing="0" w:after="0" w:afterAutospacing="0" w:line="240" w:lineRule="auto"/>
              <w:ind w:left="0" w:right="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演示统一消息中心：支持全平台所有应用，提供实时、定时等多种消息发送机制，发送渠道支持包括系统消息、钉钉消息、钉钉群短信、智能语音消息；（</w:t>
            </w:r>
            <w:r>
              <w:rPr>
                <w:rFonts w:hint="eastAsia" w:ascii="仿宋" w:hAnsi="仿宋" w:eastAsia="仿宋" w:cs="仿宋"/>
                <w:color w:val="auto"/>
                <w:sz w:val="24"/>
                <w:szCs w:val="24"/>
                <w:highlight w:val="none"/>
              </w:rPr>
              <w:t>全部演示得</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演示不足</w:t>
            </w:r>
            <w:r>
              <w:rPr>
                <w:rFonts w:hint="eastAsia" w:ascii="仿宋" w:hAnsi="仿宋" w:eastAsia="仿宋" w:cs="仿宋"/>
                <w:color w:val="auto"/>
                <w:sz w:val="24"/>
                <w:szCs w:val="24"/>
                <w:highlight w:val="none"/>
              </w:rPr>
              <w:t>不得分</w:t>
            </w:r>
            <w:r>
              <w:rPr>
                <w:rFonts w:hint="eastAsia" w:ascii="仿宋" w:hAnsi="仿宋" w:eastAsia="仿宋" w:cs="仿宋"/>
                <w:color w:val="auto"/>
                <w:sz w:val="24"/>
                <w:szCs w:val="24"/>
                <w:highlight w:val="none"/>
                <w:lang w:val="en-US" w:eastAsia="zh-CN"/>
              </w:rPr>
              <w:t>）</w:t>
            </w:r>
          </w:p>
          <w:p>
            <w:pPr>
              <w:widowControl/>
              <w:numPr>
                <w:ilvl w:val="0"/>
                <w:numId w:val="13"/>
              </w:numPr>
              <w:kinsoku w:val="0"/>
              <w:autoSpaceDE w:val="0"/>
              <w:autoSpaceDN w:val="0"/>
              <w:adjustRightInd w:val="0"/>
              <w:snapToGrid w:val="0"/>
              <w:spacing w:before="0" w:beforeAutospacing="0" w:after="0" w:afterAutospacing="0" w:line="240" w:lineRule="auto"/>
              <w:ind w:left="0" w:right="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演示平安校园工作台局端移动端：包括统计分析、任务中心、消息中心功能；（</w:t>
            </w:r>
            <w:r>
              <w:rPr>
                <w:rFonts w:hint="eastAsia" w:ascii="仿宋" w:hAnsi="仿宋" w:eastAsia="仿宋" w:cs="仿宋"/>
                <w:color w:val="auto"/>
                <w:sz w:val="24"/>
                <w:szCs w:val="24"/>
                <w:highlight w:val="none"/>
              </w:rPr>
              <w:t>全部演示得</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rPr>
              <w:t>，仅演示部分功能不得分</w:t>
            </w:r>
            <w:r>
              <w:rPr>
                <w:rFonts w:hint="eastAsia" w:ascii="仿宋" w:hAnsi="仿宋" w:eastAsia="仿宋" w:cs="仿宋"/>
                <w:color w:val="auto"/>
                <w:sz w:val="24"/>
                <w:szCs w:val="24"/>
                <w:highlight w:val="none"/>
                <w:lang w:val="en-US" w:eastAsia="zh-CN"/>
              </w:rPr>
              <w:t>）</w:t>
            </w:r>
          </w:p>
          <w:p>
            <w:pPr>
              <w:widowControl/>
              <w:numPr>
                <w:ilvl w:val="0"/>
                <w:numId w:val="13"/>
              </w:numPr>
              <w:kinsoku w:val="0"/>
              <w:autoSpaceDE w:val="0"/>
              <w:autoSpaceDN w:val="0"/>
              <w:adjustRightInd w:val="0"/>
              <w:snapToGrid w:val="0"/>
              <w:spacing w:before="0" w:beforeAutospacing="0" w:after="0" w:afterAutospacing="0" w:line="240" w:lineRule="auto"/>
              <w:ind w:left="0" w:right="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演示设备安全功能：包括</w:t>
            </w:r>
            <w:r>
              <w:rPr>
                <w:rFonts w:hint="eastAsia" w:ascii="仿宋" w:hAnsi="仿宋" w:eastAsia="仿宋" w:cs="仿宋"/>
                <w:i w:val="0"/>
                <w:iCs w:val="0"/>
                <w:color w:val="auto"/>
                <w:kern w:val="0"/>
                <w:sz w:val="24"/>
                <w:szCs w:val="24"/>
                <w:highlight w:val="none"/>
                <w:u w:val="none"/>
                <w:lang w:val="en-US" w:eastAsia="zh-CN" w:bidi="ar"/>
              </w:rPr>
              <w:t>设备设施登记、危险（重要）设施设备领用、设备设施报废、设备数据看板、设备驾驶舱</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全部演示得</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rPr>
              <w:t>，仅演示部分功能不得分</w:t>
            </w:r>
            <w:r>
              <w:rPr>
                <w:rFonts w:hint="eastAsia" w:ascii="仿宋" w:hAnsi="仿宋" w:eastAsia="仿宋" w:cs="仿宋"/>
                <w:color w:val="auto"/>
                <w:sz w:val="24"/>
                <w:szCs w:val="24"/>
                <w:highlight w:val="none"/>
                <w:lang w:val="en-US" w:eastAsia="zh-CN"/>
              </w:rPr>
              <w:t>）</w:t>
            </w:r>
          </w:p>
        </w:tc>
        <w:tc>
          <w:tcPr>
            <w:tcW w:w="875" w:type="dxa"/>
            <w:noWrap w:val="0"/>
            <w:vAlign w:val="center"/>
          </w:tcPr>
          <w:p>
            <w:pPr>
              <w:spacing w:before="0" w:beforeAutospacing="0" w:after="0" w:afterAutospacing="0"/>
              <w:ind w:left="0" w:right="0"/>
              <w:jc w:val="center"/>
              <w:rPr>
                <w:rFonts w:hint="eastAsia" w:ascii="仿宋" w:hAnsi="仿宋" w:eastAsia="仿宋" w:cs="仿宋"/>
                <w:b/>
                <w:color w:val="auto"/>
                <w:sz w:val="24"/>
                <w:szCs w:val="24"/>
                <w:highlight w:val="yellow"/>
                <w:lang w:val="en-US" w:eastAsia="zh-CN"/>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8</w:t>
            </w:r>
          </w:p>
        </w:tc>
      </w:tr>
    </w:tbl>
    <w:p>
      <w:pPr>
        <w:pStyle w:val="966"/>
        <w:rPr>
          <w:rFonts w:hint="eastAsia" w:ascii="仿宋" w:hAnsi="仿宋" w:eastAsia="仿宋" w:cs="仿宋"/>
          <w:color w:val="auto"/>
          <w:sz w:val="24"/>
          <w:szCs w:val="24"/>
        </w:rPr>
      </w:pPr>
    </w:p>
    <w:p>
      <w:pPr>
        <w:pStyle w:val="25"/>
        <w:ind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商务分（1</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 xml:space="preserve"> 分）</w:t>
      </w:r>
    </w:p>
    <w:tbl>
      <w:tblPr>
        <w:tblStyle w:val="64"/>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12"/>
        <w:gridCol w:w="5968"/>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blHeader/>
        </w:trPr>
        <w:tc>
          <w:tcPr>
            <w:tcW w:w="723" w:type="dxa"/>
            <w:noWrap w:val="0"/>
            <w:vAlign w:val="center"/>
          </w:tcPr>
          <w:p>
            <w:pPr>
              <w:snapToGrid w:val="0"/>
              <w:spacing w:before="0" w:beforeAutospacing="0" w:after="0" w:afterAutospacing="0"/>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312" w:type="dxa"/>
            <w:noWrap w:val="0"/>
            <w:vAlign w:val="center"/>
          </w:tcPr>
          <w:p>
            <w:pPr>
              <w:snapToGrid w:val="0"/>
              <w:spacing w:before="0" w:beforeAutospacing="0" w:after="0" w:afterAutospacing="0"/>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评分项目</w:t>
            </w:r>
          </w:p>
        </w:tc>
        <w:tc>
          <w:tcPr>
            <w:tcW w:w="5968" w:type="dxa"/>
            <w:noWrap w:val="0"/>
            <w:vAlign w:val="center"/>
          </w:tcPr>
          <w:p>
            <w:pPr>
              <w:snapToGrid w:val="0"/>
              <w:spacing w:before="0" w:beforeAutospacing="0" w:after="0" w:afterAutospacing="0"/>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评分说明</w:t>
            </w:r>
          </w:p>
        </w:tc>
        <w:tc>
          <w:tcPr>
            <w:tcW w:w="875" w:type="dxa"/>
            <w:noWrap w:val="0"/>
            <w:vAlign w:val="center"/>
          </w:tcPr>
          <w:p>
            <w:pPr>
              <w:snapToGrid w:val="0"/>
              <w:spacing w:before="0" w:beforeAutospacing="0" w:after="0" w:afterAutospacing="0"/>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3" w:type="dxa"/>
            <w:noWrap w:val="0"/>
            <w:vAlign w:val="center"/>
          </w:tcPr>
          <w:p>
            <w:pP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312" w:type="dxa"/>
            <w:vMerge w:val="restart"/>
            <w:noWrap w:val="0"/>
            <w:vAlign w:val="center"/>
          </w:tcPr>
          <w:p>
            <w:pPr>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商务评分  （1</w:t>
            </w: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分）</w:t>
            </w:r>
          </w:p>
        </w:tc>
        <w:tc>
          <w:tcPr>
            <w:tcW w:w="5968" w:type="dxa"/>
            <w:noWrap w:val="0"/>
            <w:vAlign w:val="top"/>
          </w:tcPr>
          <w:p>
            <w:pPr>
              <w:spacing w:before="0" w:beforeAutospacing="0" w:after="0" w:afterAutospacing="0"/>
              <w:ind w:left="0" w:right="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投标供应商具有有效的质量管理体系认证(ISO9001)（1分）；具备环境管理认证（ISO14001）（1分)；</w:t>
            </w:r>
          </w:p>
          <w:p>
            <w:pPr>
              <w:spacing w:before="0" w:beforeAutospacing="0" w:after="0" w:afterAutospacing="0"/>
              <w:ind w:left="0" w:right="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具备信息技术服务管理体系认证(ISO20000)（2分）；</w:t>
            </w:r>
          </w:p>
          <w:p>
            <w:pPr>
              <w:spacing w:before="0" w:beforeAutospacing="0" w:after="0" w:afterAutospacing="0"/>
              <w:ind w:left="0" w:right="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具备信息安全管理体系认证(ISO27001)（2分）；</w:t>
            </w:r>
          </w:p>
          <w:p>
            <w:pPr>
              <w:spacing w:before="0" w:beforeAutospacing="0" w:after="0" w:afterAutospacing="0"/>
              <w:ind w:left="0" w:right="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具备ITSS运行维护符合性证书（2分）。</w:t>
            </w:r>
          </w:p>
          <w:p>
            <w:pPr>
              <w:spacing w:before="0" w:beforeAutospacing="0" w:after="0" w:afterAutospacing="0"/>
              <w:ind w:left="0" w:right="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提供有效期内证书复印件加盖公章。</w:t>
            </w:r>
          </w:p>
        </w:tc>
        <w:tc>
          <w:tcPr>
            <w:tcW w:w="875" w:type="dxa"/>
            <w:noWrap w:val="0"/>
            <w:vAlign w:val="center"/>
          </w:tcPr>
          <w:p>
            <w:pPr>
              <w:spacing w:before="0" w:beforeAutospacing="0" w:after="0" w:afterAutospacing="0"/>
              <w:ind w:left="0" w:right="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3" w:type="dxa"/>
            <w:noWrap w:val="0"/>
            <w:vAlign w:val="center"/>
          </w:tcPr>
          <w:p>
            <w:pP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312" w:type="dxa"/>
            <w:vMerge w:val="continue"/>
            <w:noWrap w:val="0"/>
            <w:vAlign w:val="center"/>
          </w:tcPr>
          <w:p>
            <w:pPr>
              <w:spacing w:before="0" w:beforeAutospacing="0" w:after="0" w:afterAutospacing="0"/>
              <w:ind w:left="0" w:right="0"/>
              <w:jc w:val="center"/>
              <w:rPr>
                <w:rFonts w:hint="eastAsia" w:ascii="仿宋" w:hAnsi="仿宋" w:eastAsia="仿宋" w:cs="仿宋"/>
                <w:color w:val="auto"/>
                <w:sz w:val="24"/>
                <w:szCs w:val="24"/>
              </w:rPr>
            </w:pPr>
          </w:p>
        </w:tc>
        <w:tc>
          <w:tcPr>
            <w:tcW w:w="5968" w:type="dxa"/>
            <w:noWrap w:val="0"/>
            <w:vAlign w:val="center"/>
          </w:tcPr>
          <w:p>
            <w:pPr>
              <w:spacing w:before="0" w:beforeAutospacing="0" w:after="0" w:afterAutospacing="0"/>
              <w:ind w:left="0" w:right="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2019年1月1日以来，投标人具有类似项目</w:t>
            </w:r>
            <w:r>
              <w:rPr>
                <w:rFonts w:hint="eastAsia" w:ascii="仿宋" w:hAnsi="仿宋" w:eastAsia="仿宋" w:cs="仿宋"/>
                <w:b w:val="0"/>
                <w:bCs w:val="0"/>
                <w:color w:val="auto"/>
                <w:sz w:val="24"/>
                <w:szCs w:val="24"/>
                <w:lang w:val="en-US" w:eastAsia="zh-CN"/>
              </w:rPr>
              <w:t>实施</w:t>
            </w:r>
            <w:r>
              <w:rPr>
                <w:rFonts w:hint="eastAsia" w:ascii="仿宋" w:hAnsi="仿宋" w:eastAsia="仿宋" w:cs="仿宋"/>
                <w:b w:val="0"/>
                <w:bCs w:val="0"/>
                <w:color w:val="auto"/>
                <w:sz w:val="24"/>
                <w:szCs w:val="24"/>
              </w:rPr>
              <w:t>案例，每个合同得1分，最高分得</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分。</w:t>
            </w:r>
          </w:p>
          <w:p>
            <w:pPr>
              <w:spacing w:before="0" w:beforeAutospacing="0" w:after="0" w:afterAutospacing="0"/>
              <w:ind w:left="0" w:right="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证明材料：合同复印件并加盖公章，原件备查。</w:t>
            </w:r>
          </w:p>
        </w:tc>
        <w:tc>
          <w:tcPr>
            <w:tcW w:w="875" w:type="dxa"/>
            <w:noWrap w:val="0"/>
            <w:vAlign w:val="center"/>
          </w:tcPr>
          <w:p>
            <w:pPr>
              <w:spacing w:before="0" w:beforeAutospacing="0" w:after="0" w:afterAutospacing="0"/>
              <w:ind w:left="0" w:right="0"/>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3" w:type="dxa"/>
            <w:noWrap w:val="0"/>
            <w:vAlign w:val="center"/>
          </w:tcPr>
          <w:p>
            <w:pP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312" w:type="dxa"/>
            <w:vMerge w:val="continue"/>
            <w:noWrap w:val="0"/>
            <w:vAlign w:val="center"/>
          </w:tcPr>
          <w:p>
            <w:pPr>
              <w:spacing w:before="0" w:beforeAutospacing="0" w:after="0" w:afterAutospacing="0"/>
              <w:ind w:left="0" w:right="0"/>
              <w:jc w:val="center"/>
              <w:rPr>
                <w:rFonts w:hint="eastAsia" w:ascii="仿宋" w:hAnsi="仿宋" w:eastAsia="仿宋" w:cs="仿宋"/>
                <w:color w:val="auto"/>
                <w:sz w:val="24"/>
                <w:szCs w:val="24"/>
              </w:rPr>
            </w:pPr>
          </w:p>
        </w:tc>
        <w:tc>
          <w:tcPr>
            <w:tcW w:w="5968" w:type="dxa"/>
            <w:noWrap w:val="0"/>
            <w:vAlign w:val="center"/>
          </w:tcPr>
          <w:p>
            <w:pPr>
              <w:spacing w:before="0" w:beforeAutospacing="0" w:after="0" w:afterAutospacing="0"/>
              <w:ind w:left="0" w:right="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投标人具有《中华人民共和国增值电信业务经营许可证》、《中华人民共和国基础电信业务经营许可证》，每提供一个得</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分，本项最高得</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分（提供证书复印件）。</w:t>
            </w:r>
          </w:p>
        </w:tc>
        <w:tc>
          <w:tcPr>
            <w:tcW w:w="875" w:type="dxa"/>
            <w:noWrap w:val="0"/>
            <w:vAlign w:val="center"/>
          </w:tcPr>
          <w:p>
            <w:pPr>
              <w:spacing w:before="0" w:beforeAutospacing="0" w:after="0" w:afterAutospacing="0"/>
              <w:ind w:left="0" w:right="0"/>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r>
    </w:tbl>
    <w:p>
      <w:pPr>
        <w:snapToGrid w:val="0"/>
        <w:spacing w:line="360" w:lineRule="auto"/>
        <w:rPr>
          <w:rFonts w:ascii="仿宋" w:hAnsi="仿宋" w:eastAsia="仿宋" w:cs="仿宋_GB2312"/>
          <w:b/>
          <w:sz w:val="24"/>
        </w:rPr>
      </w:pPr>
      <w:r>
        <w:rPr>
          <w:rFonts w:hint="eastAsia" w:ascii="仿宋" w:hAnsi="仿宋" w:eastAsia="仿宋" w:cs="仿宋"/>
          <w:color w:val="auto"/>
          <w:sz w:val="24"/>
          <w:szCs w:val="24"/>
          <w:shd w:val="clear" w:color="auto" w:fill="FFFFFF"/>
        </w:rPr>
        <w:t> *</w:t>
      </w:r>
      <w:r>
        <w:rPr>
          <w:rFonts w:hint="eastAsia" w:ascii="仿宋" w:hAnsi="仿宋" w:eastAsia="仿宋" w:cs="仿宋"/>
          <w:b/>
          <w:color w:val="auto"/>
          <w:sz w:val="24"/>
          <w:szCs w:val="24"/>
        </w:rPr>
        <w:t>备注：</w:t>
      </w:r>
      <w:r>
        <w:rPr>
          <w:rFonts w:hint="eastAsia" w:ascii="仿宋" w:hAnsi="仿宋" w:eastAsia="仿宋" w:cs="仿宋"/>
          <w:color w:val="auto"/>
          <w:sz w:val="24"/>
          <w:szCs w:val="24"/>
        </w:rPr>
        <w:t>投标人编制投标文件（商务技术文件部分）时，建议按</w:t>
      </w:r>
      <w:r>
        <w:rPr>
          <w:rFonts w:hint="eastAsia" w:ascii="仿宋" w:hAnsi="仿宋" w:eastAsia="仿宋" w:cs="仿宋"/>
          <w:color w:val="auto"/>
          <w:sz w:val="24"/>
        </w:rPr>
        <w:t>此目录（序号和</w:t>
      </w:r>
      <w:r>
        <w:rPr>
          <w:rFonts w:hint="eastAsia" w:ascii="仿宋" w:hAnsi="仿宋" w:eastAsia="仿宋" w:cs="仿宋_GB2312"/>
          <w:sz w:val="24"/>
        </w:rPr>
        <w:t>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88"/>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8"/>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8"/>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8"/>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8"/>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8"/>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8"/>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88"/>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w:t>
      </w:r>
      <w:r>
        <w:rPr>
          <w:rFonts w:hint="eastAsia" w:ascii="仿宋" w:hAnsi="仿宋" w:eastAsia="仿宋" w:cs="仿宋"/>
          <w:kern w:val="0"/>
          <w:szCs w:val="24"/>
          <w:highlight w:val="none"/>
        </w:rPr>
        <w:t>预留份额政府采购货物或服务项目中的非预留部分标项，对小型和微型企业的投标报价给予</w:t>
      </w:r>
      <w:r>
        <w:rPr>
          <w:rFonts w:hint="eastAsia" w:ascii="仿宋" w:hAnsi="仿宋" w:eastAsia="仿宋" w:cs="仿宋"/>
          <w:kern w:val="0"/>
          <w:szCs w:val="24"/>
          <w:highlight w:val="none"/>
          <w:lang w:val="en-US" w:eastAsia="zh-CN"/>
        </w:rPr>
        <w:t>20</w:t>
      </w:r>
      <w:r>
        <w:rPr>
          <w:rFonts w:ascii="仿宋" w:hAnsi="仿宋" w:eastAsia="仿宋" w:cs="仿宋"/>
          <w:kern w:val="0"/>
          <w:szCs w:val="24"/>
          <w:highlight w:val="none"/>
        </w:rPr>
        <w:t>%的扣除，用扣除后的价格参与评审。接受大中型企业与小</w:t>
      </w:r>
      <w:r>
        <w:rPr>
          <w:rFonts w:hint="eastAsia" w:ascii="仿宋" w:hAnsi="仿宋" w:eastAsia="仿宋" w:cs="仿宋"/>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highlight w:val="none"/>
        </w:rPr>
        <w:t>30%以上的，对联合体或者大中型企业的报价给予</w:t>
      </w:r>
      <w:r>
        <w:rPr>
          <w:rFonts w:hint="eastAsia" w:ascii="仿宋" w:hAnsi="仿宋" w:eastAsia="仿宋" w:cs="仿宋"/>
          <w:kern w:val="0"/>
          <w:szCs w:val="24"/>
          <w:highlight w:val="none"/>
          <w:lang w:val="en-US" w:eastAsia="zh-CN"/>
        </w:rPr>
        <w:t>6</w:t>
      </w:r>
      <w:r>
        <w:rPr>
          <w:rFonts w:ascii="仿宋" w:hAnsi="仿宋" w:eastAsia="仿宋" w:cs="仿宋"/>
          <w:kern w:val="0"/>
          <w:szCs w:val="24"/>
          <w:highlight w:val="none"/>
        </w:rPr>
        <w:t>%的扣除，用扣除后的价格参加评审。组成联合体或者接受分包的小</w:t>
      </w:r>
      <w:r>
        <w:rPr>
          <w:rFonts w:hint="eastAsia" w:ascii="仿宋" w:hAnsi="仿宋" w:eastAsia="仿宋" w:cs="仿宋"/>
          <w:kern w:val="0"/>
          <w:szCs w:val="24"/>
          <w:highlight w:val="none"/>
        </w:rPr>
        <w:t>微企业与联合体内其他企</w:t>
      </w:r>
      <w:r>
        <w:rPr>
          <w:rFonts w:hint="eastAsia" w:ascii="仿宋" w:hAnsi="仿宋" w:eastAsia="仿宋" w:cs="仿宋"/>
          <w:kern w:val="0"/>
          <w:szCs w:val="24"/>
        </w:rPr>
        <w:t>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8"/>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w:t>
      </w:r>
      <w:r>
        <w:rPr>
          <w:rFonts w:hint="eastAsia" w:ascii="仿宋_GB2312" w:hAnsi="仿宋" w:eastAsia="仿宋_GB2312" w:cs="Arial"/>
          <w:kern w:val="0"/>
          <w:sz w:val="24"/>
          <w:lang w:val="en-US" w:eastAsia="zh-CN"/>
        </w:rPr>
        <w:t>未</w:t>
      </w:r>
      <w:r>
        <w:rPr>
          <w:rFonts w:ascii="仿宋_GB2312" w:hAnsi="仿宋" w:eastAsia="仿宋_GB2312" w:cs="Arial"/>
          <w:kern w:val="0"/>
          <w:sz w:val="24"/>
        </w:rPr>
        <w:t>在电子交易平台传输递交投标文件的，投标无效；</w:t>
      </w:r>
    </w:p>
    <w:p>
      <w:pPr>
        <w:pStyle w:val="2"/>
        <w:ind w:left="862" w:leftChars="205"/>
        <w:rPr>
          <w:rFonts w:cs="Arial"/>
          <w:b w:val="0"/>
          <w:bCs w:val="0"/>
          <w:kern w:val="0"/>
          <w:sz w:val="24"/>
          <w:szCs w:val="24"/>
          <w:highlight w:val="none"/>
          <w:lang w:val="en-US"/>
        </w:rPr>
      </w:pPr>
      <w:r>
        <w:rPr>
          <w:rFonts w:cs="Arial"/>
          <w:b w:val="0"/>
          <w:bCs w:val="0"/>
          <w:kern w:val="0"/>
          <w:sz w:val="24"/>
          <w:szCs w:val="24"/>
          <w:highlight w:val="none"/>
          <w:lang w:val="en-US"/>
        </w:rPr>
        <w:t xml:space="preserve">4.2.13 </w:t>
      </w:r>
      <w:r>
        <w:rPr>
          <w:rFonts w:hint="eastAsia" w:cs="Arial"/>
          <w:b w:val="0"/>
          <w:bCs w:val="0"/>
          <w:kern w:val="0"/>
          <w:sz w:val="24"/>
          <w:szCs w:val="24"/>
          <w:highlight w:val="none"/>
          <w:lang w:val="en-US"/>
        </w:rPr>
        <w:t>投标文件不满足招标文件的带“▲”</w:t>
      </w:r>
      <w:r>
        <w:rPr>
          <w:rFonts w:hint="eastAsia" w:cs="Arial"/>
          <w:b w:val="0"/>
          <w:bCs w:val="0"/>
          <w:kern w:val="0"/>
          <w:sz w:val="24"/>
          <w:szCs w:val="24"/>
          <w:highlight w:val="none"/>
          <w:lang w:val="en-US" w:eastAsia="zh-CN"/>
        </w:rPr>
        <w:t>号</w:t>
      </w:r>
      <w:r>
        <w:rPr>
          <w:rFonts w:hint="eastAsia" w:cs="Arial"/>
          <w:b w:val="0"/>
          <w:bCs w:val="0"/>
          <w:kern w:val="0"/>
          <w:sz w:val="24"/>
          <w:szCs w:val="24"/>
          <w:highlight w:val="none"/>
          <w:lang w:val="en-US"/>
        </w:rPr>
        <w:t>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5"/>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5"/>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5"/>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422" w:name="第五部分"/>
      <w:bookmarkStart w:id="423"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p>
    <w:p>
      <w:pPr>
        <w:pStyle w:val="388"/>
        <w:rPr>
          <w:rFonts w:ascii="仿宋" w:hAnsi="仿宋" w:eastAsia="仿宋"/>
          <w:szCs w:val="24"/>
        </w:rPr>
      </w:pPr>
    </w:p>
    <w:p>
      <w:pPr>
        <w:pStyle w:val="388"/>
        <w:jc w:val="center"/>
        <w:rPr>
          <w:rFonts w:ascii="仿宋" w:hAnsi="仿宋" w:eastAsia="仿宋"/>
          <w:szCs w:val="24"/>
        </w:rPr>
      </w:pPr>
    </w:p>
    <w:p>
      <w:pPr>
        <w:pStyle w:val="388"/>
        <w:rPr>
          <w:rFonts w:ascii="仿宋" w:hAnsi="仿宋" w:eastAsia="仿宋"/>
          <w:szCs w:val="24"/>
        </w:rPr>
      </w:pPr>
    </w:p>
    <w:p>
      <w:pPr>
        <w:pStyle w:val="388"/>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285"/>
        <w:spacing w:before="120" w:line="22" w:lineRule="atLeast"/>
        <w:rPr>
          <w:rFonts w:ascii="仿宋" w:hAnsi="仿宋" w:eastAsia="仿宋"/>
          <w:szCs w:val="24"/>
        </w:rPr>
      </w:pPr>
    </w:p>
    <w:p>
      <w:pPr>
        <w:pStyle w:val="285"/>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34"/>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甲方：（买方）</w:t>
      </w:r>
    </w:p>
    <w:p>
      <w:pPr>
        <w:pStyle w:val="34"/>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乙方：（卖方）</w:t>
      </w:r>
    </w:p>
    <w:p>
      <w:pPr>
        <w:pStyle w:val="34"/>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甲、乙双方根据                  项目（项目编号：</w:t>
      </w:r>
      <w:r>
        <w:rPr>
          <w:rFonts w:hint="eastAsia"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）公开招标的结果，签署本合同。</w:t>
      </w:r>
    </w:p>
    <w:p>
      <w:pPr>
        <w:spacing w:line="560" w:lineRule="exact"/>
        <w:ind w:firstLine="482" w:firstLineChars="200"/>
        <w:outlineLvl w:val="0"/>
        <w:rPr>
          <w:rFonts w:ascii="仿宋" w:hAnsi="仿宋" w:eastAsia="仿宋"/>
          <w:b/>
          <w:sz w:val="24"/>
          <w:highlight w:val="none"/>
        </w:rPr>
      </w:pPr>
      <w:r>
        <w:rPr>
          <w:rFonts w:hint="eastAsia" w:ascii="仿宋" w:hAnsi="仿宋" w:eastAsia="仿宋"/>
          <w:b/>
          <w:sz w:val="24"/>
          <w:highlight w:val="none"/>
          <w:lang w:val="en-US" w:eastAsia="zh-CN"/>
        </w:rPr>
        <w:t>1、</w:t>
      </w:r>
      <w:r>
        <w:rPr>
          <w:rFonts w:hint="eastAsia" w:ascii="仿宋" w:hAnsi="仿宋" w:eastAsia="仿宋"/>
          <w:b/>
          <w:sz w:val="24"/>
          <w:highlight w:val="none"/>
        </w:rPr>
        <w:t>货物</w:t>
      </w:r>
    </w:p>
    <w:p>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 xml:space="preserve">1.1 </w:t>
      </w:r>
      <w:r>
        <w:rPr>
          <w:rFonts w:hint="eastAsia" w:ascii="仿宋" w:hAnsi="仿宋" w:eastAsia="仿宋"/>
          <w:sz w:val="24"/>
          <w:highlight w:val="none"/>
        </w:rPr>
        <w:t>货物名称：</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 xml:space="preserve">1.2 </w:t>
      </w:r>
      <w:r>
        <w:rPr>
          <w:rFonts w:hint="eastAsia" w:ascii="仿宋" w:hAnsi="仿宋" w:eastAsia="仿宋"/>
          <w:sz w:val="24"/>
          <w:highlight w:val="none"/>
        </w:rPr>
        <w:t>货物数量：</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1.3 </w:t>
      </w:r>
      <w:r>
        <w:rPr>
          <w:rFonts w:hint="eastAsia" w:ascii="仿宋" w:hAnsi="仿宋" w:eastAsia="仿宋"/>
          <w:sz w:val="24"/>
          <w:highlight w:val="none"/>
        </w:rPr>
        <w:t>货物质量：</w:t>
      </w:r>
      <w:r>
        <w:rPr>
          <w:rFonts w:hint="eastAsia" w:ascii="仿宋" w:hAnsi="仿宋" w:eastAsia="仿宋"/>
          <w:sz w:val="24"/>
          <w:highlight w:val="none"/>
          <w:u w:val="single"/>
        </w:rPr>
        <w:t>　　　　　　　　　</w:t>
      </w:r>
      <w:r>
        <w:rPr>
          <w:rFonts w:ascii="仿宋" w:hAnsi="仿宋" w:eastAsia="仿宋"/>
          <w:sz w:val="24"/>
          <w:highlight w:val="none"/>
          <w:u w:val="single"/>
        </w:rPr>
        <w:t xml:space="preserve">                      　      </w:t>
      </w:r>
      <w:r>
        <w:rPr>
          <w:rFonts w:hint="eastAsia" w:ascii="仿宋" w:hAnsi="仿宋" w:eastAsia="仿宋"/>
          <w:sz w:val="24"/>
          <w:highlight w:val="none"/>
        </w:rPr>
        <w:t>。</w:t>
      </w:r>
    </w:p>
    <w:p>
      <w:pPr>
        <w:pStyle w:val="34"/>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p>
    <w:p>
      <w:pPr>
        <w:pStyle w:val="34"/>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仿宋" w:hAnsi="仿宋" w:eastAsia="仿宋"/>
          <w:b/>
          <w:sz w:val="24"/>
          <w:highlight w:val="none"/>
          <w:lang w:val="en-US" w:eastAsia="zh-CN"/>
        </w:rPr>
        <w:t>2、</w:t>
      </w:r>
      <w:r>
        <w:rPr>
          <w:rFonts w:hint="eastAsia" w:ascii="仿宋" w:hAnsi="仿宋" w:eastAsia="仿宋"/>
          <w:b/>
          <w:sz w:val="24"/>
          <w:highlight w:val="none"/>
        </w:rPr>
        <w:t>价款</w:t>
      </w:r>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本合同总价为：￥</w:t>
      </w:r>
      <w:r>
        <w:rPr>
          <w:rFonts w:ascii="仿宋" w:hAnsi="仿宋" w:eastAsia="仿宋"/>
          <w:sz w:val="24"/>
          <w:highlight w:val="none"/>
          <w:u w:val="single"/>
        </w:rPr>
        <w:t xml:space="preserve">           </w:t>
      </w:r>
      <w:r>
        <w:rPr>
          <w:rFonts w:hint="eastAsia" w:ascii="仿宋" w:hAnsi="仿宋" w:eastAsia="仿宋"/>
          <w:sz w:val="24"/>
          <w:highlight w:val="none"/>
        </w:rPr>
        <w:t>元（大写：</w:t>
      </w:r>
      <w:r>
        <w:rPr>
          <w:rFonts w:ascii="仿宋" w:hAnsi="仿宋" w:eastAsia="仿宋"/>
          <w:sz w:val="24"/>
          <w:highlight w:val="none"/>
          <w:u w:val="single"/>
        </w:rPr>
        <w:t xml:space="preserve">                 </w:t>
      </w:r>
      <w:r>
        <w:rPr>
          <w:rFonts w:hint="eastAsia" w:ascii="仿宋" w:hAnsi="仿宋" w:eastAsia="仿宋"/>
          <w:sz w:val="24"/>
          <w:highlight w:val="none"/>
        </w:rPr>
        <w:t>元人民币）。</w:t>
      </w:r>
    </w:p>
    <w:p>
      <w:pPr>
        <w:spacing w:line="560" w:lineRule="exact"/>
        <w:ind w:firstLine="480" w:firstLineChars="200"/>
        <w:rPr>
          <w:rFonts w:ascii="仿宋" w:hAnsi="仿宋" w:eastAsia="仿宋"/>
          <w:sz w:val="24"/>
          <w:highlight w:val="none"/>
          <w:u w:val="single"/>
        </w:rPr>
      </w:pPr>
      <w:r>
        <w:rPr>
          <w:rFonts w:hint="eastAsia" w:ascii="仿宋" w:hAnsi="仿宋" w:eastAsia="仿宋"/>
          <w:sz w:val="24"/>
          <w:highlight w:val="none"/>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bl>
    <w:p>
      <w:pPr>
        <w:spacing w:line="360" w:lineRule="auto"/>
        <w:ind w:firstLine="480" w:firstLineChars="200"/>
        <w:rPr>
          <w:rFonts w:hint="eastAsia" w:ascii="仿宋" w:hAnsi="仿宋" w:eastAsia="仿宋" w:cs="Times New Roman"/>
          <w:kern w:val="0"/>
          <w:sz w:val="24"/>
          <w:szCs w:val="20"/>
        </w:rPr>
      </w:pPr>
    </w:p>
    <w:p>
      <w:pPr>
        <w:pStyle w:val="34"/>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pPr>
        <w:pStyle w:val="34"/>
        <w:adjustRightInd w:val="0"/>
        <w:snapToGrid w:val="0"/>
        <w:spacing w:line="360" w:lineRule="auto"/>
        <w:ind w:left="0" w:leftChars="0" w:right="0"/>
        <w:outlineLvl w:val="9"/>
        <w:rPr>
          <w:rFonts w:hint="eastAsia" w:ascii="仿宋" w:hAnsi="仿宋" w:eastAsia="仿宋" w:cs="Times New Roman"/>
          <w:bCs w:val="0"/>
          <w:color w:val="auto"/>
          <w:kern w:val="0"/>
          <w:sz w:val="24"/>
          <w:szCs w:val="20"/>
          <w:highlight w:val="none"/>
          <w:lang w:val="en-US" w:eastAsia="zh-CN" w:bidi="ar-SA"/>
        </w:rPr>
      </w:pPr>
      <w:r>
        <w:rPr>
          <w:rFonts w:hint="eastAsia" w:ascii="宋体" w:hAnsi="宋体" w:eastAsia="宋体" w:cs="宋体"/>
          <w:bCs/>
          <w:color w:val="auto"/>
          <w:sz w:val="24"/>
          <w:szCs w:val="24"/>
          <w:highlight w:val="none"/>
        </w:rPr>
        <w:t xml:space="preserve">  </w:t>
      </w:r>
      <w:r>
        <w:rPr>
          <w:rFonts w:hint="eastAsia" w:ascii="仿宋" w:hAnsi="仿宋" w:eastAsia="仿宋" w:cs="Times New Roman"/>
          <w:bCs w:val="0"/>
          <w:color w:val="auto"/>
          <w:kern w:val="0"/>
          <w:sz w:val="24"/>
          <w:szCs w:val="20"/>
          <w:highlight w:val="none"/>
          <w:lang w:val="en-US" w:eastAsia="zh-CN" w:bidi="ar-SA"/>
        </w:rPr>
        <w:t xml:space="preserve">  3.1乙方应按招标文件规定的时间向甲方提供使用货物的有关技术资料。</w:t>
      </w:r>
    </w:p>
    <w:p>
      <w:pPr>
        <w:adjustRightInd w:val="0"/>
        <w:snapToGrid/>
        <w:spacing w:line="360" w:lineRule="auto"/>
        <w:ind w:left="0" w:leftChars="0" w:right="0" w:firstLine="480" w:firstLineChars="200"/>
        <w:outlineLvl w:val="9"/>
        <w:rPr>
          <w:rFonts w:hint="eastAsia" w:ascii="仿宋" w:hAnsi="仿宋" w:eastAsia="仿宋" w:cs="Times New Roman"/>
          <w:b w:val="0"/>
          <w:color w:val="auto"/>
          <w:sz w:val="24"/>
          <w:szCs w:val="20"/>
          <w:highlight w:val="none"/>
        </w:rPr>
      </w:pPr>
      <w:r>
        <w:rPr>
          <w:rFonts w:hint="eastAsia" w:ascii="仿宋" w:hAnsi="仿宋" w:eastAsia="仿宋" w:cs="Times New Roman"/>
          <w:bCs w:val="0"/>
          <w:color w:val="auto"/>
          <w:kern w:val="0"/>
          <w:sz w:val="24"/>
          <w:szCs w:val="20"/>
          <w:highlight w:val="none"/>
          <w:lang w:val="en-US" w:eastAsia="zh-CN"/>
        </w:rPr>
        <w:t>3.2</w:t>
      </w:r>
      <w:r>
        <w:rPr>
          <w:rFonts w:hint="eastAsia" w:ascii="仿宋" w:hAnsi="仿宋" w:eastAsia="仿宋" w:cs="Times New Roman"/>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Times New Roman"/>
          <w:bCs w:val="0"/>
          <w:color w:val="auto"/>
          <w:sz w:val="24"/>
          <w:szCs w:val="20"/>
          <w:highlight w:val="none"/>
        </w:rPr>
        <w:t>。</w:t>
      </w:r>
    </w:p>
    <w:p>
      <w:pPr>
        <w:adjustRightInd w:val="0"/>
        <w:snapToGrid w:val="0"/>
        <w:spacing w:line="360" w:lineRule="auto"/>
        <w:ind w:left="0" w:leftChars="0" w:right="0" w:firstLine="354" w:firstLineChars="147"/>
        <w:outlineLvl w:val="9"/>
        <w:rPr>
          <w:rFonts w:hint="eastAsia" w:ascii="宋体" w:hAnsi="宋体" w:eastAsia="宋体" w:cs="宋体"/>
          <w:b/>
          <w:bCs w:val="0"/>
          <w:color w:val="auto"/>
          <w:sz w:val="24"/>
          <w:szCs w:val="24"/>
          <w:highlight w:val="none"/>
        </w:rPr>
      </w:pPr>
      <w:r>
        <w:rPr>
          <w:rFonts w:hint="eastAsia" w:ascii="宋体" w:hAnsi="宋体" w:cs="宋体"/>
          <w:b/>
          <w:color w:val="auto"/>
          <w:sz w:val="24"/>
          <w:szCs w:val="24"/>
          <w:highlight w:val="none"/>
          <w:lang w:val="en-US" w:eastAsia="zh-CN"/>
        </w:rPr>
        <w:t xml:space="preserve"> 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权利担保</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4.1</w:t>
      </w:r>
      <w:r>
        <w:rPr>
          <w:rFonts w:hint="eastAsia" w:ascii="仿宋" w:hAnsi="仿宋" w:eastAsia="仿宋" w:cs="Times New Roman"/>
          <w:bCs w:val="0"/>
          <w:color w:val="auto"/>
          <w:sz w:val="24"/>
          <w:szCs w:val="20"/>
          <w:highlight w:val="none"/>
        </w:rPr>
        <w:t>乙方应保证所提供的货物或其任何一部分均不会侵犯任何第三方的知识产权。</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4.2</w:t>
      </w:r>
      <w:r>
        <w:rPr>
          <w:rFonts w:hint="eastAsia" w:ascii="仿宋" w:hAnsi="仿宋" w:eastAsia="仿宋" w:cs="Times New Roman"/>
          <w:bCs w:val="0"/>
          <w:color w:val="auto"/>
          <w:sz w:val="24"/>
          <w:szCs w:val="20"/>
          <w:highlight w:val="none"/>
        </w:rPr>
        <w:t>乙方保证所交付的货物的所有权完全属于乙方且无任何抵押、查封等产权瑕疵。</w:t>
      </w:r>
    </w:p>
    <w:p>
      <w:pPr>
        <w:adjustRightInd w:val="0"/>
        <w:snapToGrid w:val="0"/>
        <w:spacing w:line="360" w:lineRule="auto"/>
        <w:ind w:left="0" w:leftChars="0" w:right="0" w:firstLine="354" w:firstLineChars="147"/>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履约保证金</w:t>
      </w:r>
    </w:p>
    <w:p>
      <w:pPr>
        <w:pStyle w:val="620"/>
        <w:spacing w:before="0" w:beforeAutospacing="0" w:after="0" w:afterAutospacing="0" w:line="360" w:lineRule="auto"/>
        <w:ind w:firstLine="420"/>
        <w:rPr>
          <w:rFonts w:ascii="仿宋" w:hAnsi="仿宋" w:eastAsia="仿宋"/>
          <w:highlight w:val="none"/>
        </w:rPr>
      </w:pPr>
      <w:r>
        <w:rPr>
          <w:rFonts w:hint="eastAsia" w:ascii="仿宋" w:hAnsi="仿宋" w:eastAsia="仿宋"/>
          <w:highlight w:val="none"/>
          <w:lang w:val="en-US" w:eastAsia="zh-CN"/>
        </w:rPr>
        <w:t xml:space="preserve"> 5.</w:t>
      </w:r>
      <w:r>
        <w:rPr>
          <w:rFonts w:ascii="仿宋" w:hAnsi="仿宋" w:eastAsia="仿宋"/>
          <w:highlight w:val="none"/>
        </w:rPr>
        <w:t xml:space="preserve">1 </w:t>
      </w:r>
      <w:r>
        <w:rPr>
          <w:rFonts w:hint="eastAsia" w:ascii="仿宋" w:hAnsi="仿宋" w:eastAsia="仿宋"/>
          <w:highlight w:val="none"/>
        </w:rPr>
        <w:t>采购文件要求乙方提交履约保证金的，乙方应按</w:t>
      </w:r>
      <w:r>
        <w:rPr>
          <w:rFonts w:hint="eastAsia" w:ascii="仿宋" w:hAnsi="仿宋" w:eastAsia="仿宋"/>
          <w:highlight w:val="none"/>
          <w:u w:val="single"/>
          <w:lang w:val="en-US" w:eastAsia="zh-CN"/>
        </w:rPr>
        <w:t xml:space="preserve">               </w:t>
      </w:r>
      <w:r>
        <w:rPr>
          <w:rFonts w:hint="eastAsia" w:ascii="仿宋" w:hAnsi="仿宋" w:eastAsia="仿宋"/>
          <w:highlight w:val="none"/>
        </w:rPr>
        <w:t>的方式，以支票、汇票、本票或者金融机构、担保机构出具的保函等非现金形式，提交不超过合同金额</w:t>
      </w:r>
      <w:r>
        <w:rPr>
          <w:rFonts w:hint="eastAsia" w:ascii="仿宋" w:hAnsi="仿宋" w:eastAsia="仿宋"/>
          <w:highlight w:val="none"/>
          <w:lang w:val="en-US" w:eastAsia="zh-CN"/>
        </w:rPr>
        <w:t>1</w:t>
      </w:r>
      <w:r>
        <w:rPr>
          <w:rFonts w:ascii="仿宋" w:hAnsi="仿宋" w:eastAsia="仿宋"/>
          <w:highlight w:val="none"/>
        </w:rPr>
        <w:t>%的履约保证金；鼓励和支持乙方以银行、保险公司出具的保函形式提供履约保证。</w:t>
      </w:r>
    </w:p>
    <w:p>
      <w:pPr>
        <w:spacing w:line="360" w:lineRule="auto"/>
        <w:ind w:firstLine="480" w:firstLineChars="200"/>
        <w:rPr>
          <w:rFonts w:ascii="仿宋" w:hAnsi="仿宋" w:eastAsia="仿宋"/>
          <w:sz w:val="24"/>
        </w:rPr>
      </w:pPr>
      <w:r>
        <w:rPr>
          <w:rFonts w:hint="eastAsia" w:ascii="仿宋" w:hAnsi="仿宋" w:eastAsia="仿宋"/>
          <w:sz w:val="24"/>
          <w:highlight w:val="none"/>
          <w:lang w:val="en-US" w:eastAsia="zh-CN"/>
        </w:rPr>
        <w:t>5</w:t>
      </w:r>
      <w:r>
        <w:rPr>
          <w:rFonts w:ascii="仿宋" w:hAnsi="仿宋" w:eastAsia="仿宋"/>
          <w:sz w:val="24"/>
          <w:highlight w:val="none"/>
        </w:rPr>
        <w:t xml:space="preserve">.2  </w:t>
      </w:r>
      <w:r>
        <w:rPr>
          <w:rFonts w:hint="eastAsia" w:ascii="仿宋" w:hAnsi="仿宋" w:eastAsia="仿宋"/>
          <w:sz w:val="24"/>
          <w:highlight w:val="none"/>
        </w:rPr>
        <w:t>履约保证金在</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期间内不予退还。乙方在前述约定期间届满前能履行完合同约定义务事项的，甲方在前述约定期间届满之日起</w:t>
      </w:r>
      <w:r>
        <w:rPr>
          <w:rFonts w:ascii="仿宋" w:hAnsi="仿宋" w:eastAsia="仿宋"/>
          <w:sz w:val="24"/>
          <w:highlight w:val="none"/>
          <w:u w:val="single"/>
        </w:rPr>
        <w:t xml:space="preserve"> </w:t>
      </w:r>
      <w:r>
        <w:rPr>
          <w:rFonts w:hint="eastAsia" w:ascii="仿宋" w:hAnsi="仿宋" w:eastAsia="仿宋"/>
          <w:sz w:val="24"/>
          <w:highlight w:val="none"/>
          <w:u w:val="single"/>
        </w:rPr>
        <w:t>5</w:t>
      </w:r>
      <w:r>
        <w:rPr>
          <w:rFonts w:ascii="仿宋" w:hAnsi="仿宋" w:eastAsia="仿宋"/>
          <w:sz w:val="24"/>
          <w:highlight w:val="none"/>
          <w:u w:val="single"/>
        </w:rPr>
        <w:t xml:space="preserve"> </w:t>
      </w:r>
      <w:r>
        <w:rPr>
          <w:rFonts w:hint="eastAsia" w:ascii="仿宋" w:hAnsi="仿宋" w:eastAsia="仿宋"/>
          <w:sz w:val="24"/>
          <w:highlight w:val="none"/>
        </w:rPr>
        <w:t>个工作</w:t>
      </w:r>
      <w:r>
        <w:rPr>
          <w:rFonts w:hint="eastAsia" w:ascii="仿宋" w:hAnsi="仿宋" w:eastAsia="仿宋"/>
          <w:sz w:val="24"/>
        </w:rPr>
        <w:t>日内，</w:t>
      </w:r>
      <w:r>
        <w:rPr>
          <w:rFonts w:hint="eastAsia" w:ascii="仿宋" w:hAnsi="仿宋" w:eastAsia="仿宋"/>
          <w:sz w:val="24"/>
          <w:lang w:val="en-US" w:eastAsia="zh-CN"/>
        </w:rPr>
        <w:t>以</w:t>
      </w:r>
      <w:r>
        <w:rPr>
          <w:rFonts w:hint="eastAsia" w:ascii="仿宋" w:hAnsi="仿宋" w:eastAsia="仿宋"/>
          <w:sz w:val="24"/>
          <w:u w:val="single"/>
          <w:lang w:val="en-US" w:eastAsia="zh-CN"/>
        </w:rPr>
        <w:t xml:space="preserve">                      </w:t>
      </w:r>
      <w:r>
        <w:rPr>
          <w:rFonts w:hint="eastAsia" w:ascii="仿宋" w:hAnsi="仿宋" w:eastAsia="仿宋"/>
          <w:sz w:val="24"/>
        </w:rPr>
        <w:t>方式将履约保证金退还乙方，逾期退还的，乙方可要求甲方支付违约金，违约金按每迟延退还一日的应退还而未退还金额的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%计算，最高限额为本合同履约保证金的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5.</w:t>
      </w:r>
      <w:r>
        <w:rPr>
          <w:rFonts w:ascii="仿宋" w:hAnsi="仿宋" w:eastAsia="仿宋"/>
          <w:sz w:val="24"/>
        </w:rPr>
        <w:t xml:space="preserve">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pPr>
      <w:r>
        <w:rPr>
          <w:rFonts w:hint="eastAsia" w:ascii="仿宋" w:hAnsi="仿宋" w:eastAsia="仿宋"/>
          <w:sz w:val="24"/>
          <w:lang w:val="en-US" w:eastAsia="zh-CN"/>
        </w:rPr>
        <w:t>5</w:t>
      </w:r>
      <w:r>
        <w:rPr>
          <w:rFonts w:ascii="仿宋" w:hAnsi="仿宋" w:eastAsia="仿宋"/>
          <w:sz w:val="24"/>
        </w:rPr>
        <w:t>.</w:t>
      </w:r>
      <w:r>
        <w:rPr>
          <w:rFonts w:hint="eastAsia" w:ascii="仿宋" w:hAnsi="仿宋" w:eastAsia="仿宋"/>
          <w:sz w:val="24"/>
          <w:lang w:val="en-US" w:eastAsia="zh-CN"/>
        </w:rPr>
        <w:t>4</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5.5</w:t>
      </w:r>
      <w:r>
        <w:rPr>
          <w:rFonts w:ascii="仿宋" w:hAnsi="仿宋" w:eastAsia="仿宋"/>
          <w:sz w:val="24"/>
        </w:rPr>
        <w:t>对于因甲方原因导致变更、中止或者终止政府采购合同的，甲方应当依照合同约定对供应商受到的损失予以赔偿或者补偿。</w:t>
      </w:r>
    </w:p>
    <w:p>
      <w:pPr>
        <w:adjustRightInd w:val="0"/>
        <w:snapToGrid w:val="0"/>
        <w:spacing w:line="360" w:lineRule="auto"/>
        <w:ind w:left="0" w:leftChars="0" w:right="0" w:firstLine="352" w:firstLineChars="147"/>
        <w:outlineLvl w:val="9"/>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转包</w:t>
      </w:r>
      <w:r>
        <w:rPr>
          <w:rFonts w:hint="eastAsia" w:ascii="宋体" w:hAnsi="宋体" w:eastAsia="宋体" w:cs="宋体"/>
          <w:b/>
          <w:color w:val="auto"/>
          <w:sz w:val="24"/>
          <w:szCs w:val="24"/>
          <w:highlight w:val="none"/>
        </w:rPr>
        <w:t>或分包</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6</w:t>
      </w:r>
      <w:r>
        <w:rPr>
          <w:rFonts w:ascii="仿宋" w:hAnsi="仿宋" w:eastAsia="仿宋"/>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6</w:t>
      </w:r>
      <w:r>
        <w:rPr>
          <w:rFonts w:ascii="仿宋" w:hAnsi="仿宋" w:eastAsia="仿宋"/>
          <w:sz w:val="24"/>
        </w:rPr>
        <w:t>.2乙方采取分包方式履行合同的，甲方可直接向分包供应商支付款项。</w:t>
      </w:r>
    </w:p>
    <w:p>
      <w:pPr>
        <w:adjustRightInd w:val="0"/>
        <w:snapToGrid w:val="0"/>
        <w:spacing w:line="360" w:lineRule="auto"/>
        <w:ind w:left="0" w:leftChars="0" w:right="0" w:firstLine="354" w:firstLineChars="147"/>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交货期、交货方式、交货地点及供货要求</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8.1</w:t>
      </w:r>
      <w:r>
        <w:rPr>
          <w:rFonts w:hint="eastAsia" w:ascii="仿宋" w:hAnsi="仿宋" w:eastAsia="仿宋" w:cs="仿宋"/>
          <w:bCs/>
          <w:color w:val="auto"/>
          <w:sz w:val="24"/>
          <w:szCs w:val="24"/>
          <w:highlight w:val="none"/>
        </w:rPr>
        <w:t>交货期：</w:t>
      </w:r>
      <w:r>
        <w:rPr>
          <w:rFonts w:hint="eastAsia" w:ascii="仿宋" w:hAnsi="仿宋" w:eastAsia="仿宋" w:cs="仿宋"/>
          <w:color w:val="auto"/>
          <w:sz w:val="24"/>
          <w:szCs w:val="24"/>
          <w:highlight w:val="none"/>
        </w:rPr>
        <w:t>签订合同后，供应商须于</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color w:val="auto"/>
          <w:sz w:val="24"/>
          <w:szCs w:val="24"/>
          <w:highlight w:val="none"/>
        </w:rPr>
        <w:t>前完成供货、安装</w:t>
      </w:r>
      <w:r>
        <w:rPr>
          <w:rFonts w:hint="eastAsia" w:ascii="仿宋" w:hAnsi="仿宋" w:eastAsia="仿宋" w:cs="仿宋"/>
          <w:color w:val="auto"/>
          <w:kern w:val="0"/>
          <w:sz w:val="24"/>
          <w:szCs w:val="24"/>
          <w:highlight w:val="none"/>
        </w:rPr>
        <w:t>调试</w:t>
      </w:r>
      <w:r>
        <w:rPr>
          <w:rFonts w:hint="eastAsia" w:ascii="仿宋" w:hAnsi="仿宋" w:eastAsia="仿宋" w:cs="仿宋"/>
          <w:color w:val="auto"/>
          <w:sz w:val="24"/>
          <w:szCs w:val="24"/>
          <w:highlight w:val="none"/>
        </w:rPr>
        <w:t>及使用方初步验收。</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8.2</w:t>
      </w:r>
      <w:r>
        <w:rPr>
          <w:rFonts w:hint="eastAsia" w:ascii="仿宋" w:hAnsi="仿宋" w:eastAsia="仿宋" w:cs="仿宋"/>
          <w:bCs/>
          <w:color w:val="auto"/>
          <w:sz w:val="24"/>
          <w:szCs w:val="24"/>
          <w:highlight w:val="none"/>
        </w:rPr>
        <w:t>交货方式：由乙方负责运输至指定地点现场交货，并安装调试完毕。安装调试完毕交付甲方前发生的风险均由乙方负责。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8.3</w:t>
      </w:r>
      <w:r>
        <w:rPr>
          <w:rFonts w:hint="eastAsia" w:ascii="仿宋" w:hAnsi="仿宋" w:eastAsia="仿宋" w:cs="仿宋"/>
          <w:bCs/>
          <w:color w:val="auto"/>
          <w:sz w:val="24"/>
          <w:szCs w:val="24"/>
          <w:highlight w:val="none"/>
        </w:rPr>
        <w:t xml:space="preserve"> 交货地点：</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val="en-US" w:eastAsia="zh-CN"/>
        </w:rPr>
        <w:t>8.4</w:t>
      </w:r>
      <w:r>
        <w:rPr>
          <w:rFonts w:hint="eastAsia" w:ascii="仿宋" w:hAnsi="仿宋" w:eastAsia="仿宋" w:cs="仿宋"/>
          <w:color w:val="auto"/>
          <w:kern w:val="0"/>
          <w:sz w:val="24"/>
          <w:szCs w:val="24"/>
          <w:highlight w:val="none"/>
        </w:rPr>
        <w:t>供货要求：乙方所供的货物必须为全新的，符合国家标准的合格产品。凡需国家强制保证或认可的产品、需提供相应的</w:t>
      </w:r>
      <w:r>
        <w:rPr>
          <w:rFonts w:hint="eastAsia" w:ascii="仿宋" w:hAnsi="仿宋" w:eastAsia="仿宋" w:cs="仿宋"/>
          <w:color w:val="auto"/>
          <w:sz w:val="24"/>
          <w:szCs w:val="24"/>
          <w:highlight w:val="none"/>
        </w:rPr>
        <w:t>证书和认可的标志。</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8.5</w:t>
      </w:r>
      <w:r>
        <w:rPr>
          <w:rFonts w:hint="eastAsia" w:ascii="仿宋" w:hAnsi="仿宋" w:eastAsia="仿宋" w:cs="仿宋"/>
          <w:bCs/>
          <w:color w:val="auto"/>
          <w:sz w:val="24"/>
          <w:szCs w:val="24"/>
          <w:highlight w:val="none"/>
        </w:rPr>
        <w:t>乙方应先派有经验的技术人员对安装现场进行实地勘察，对各种设备采购、制造、运输（到现场安装）、安装、工期、安全、文明施工进行总承包，一切费用均由乙方负责。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8.6</w:t>
      </w:r>
      <w:r>
        <w:rPr>
          <w:rFonts w:hint="eastAsia" w:ascii="仿宋" w:hAnsi="仿宋" w:eastAsia="仿宋" w:cs="仿宋"/>
          <w:bCs/>
          <w:color w:val="auto"/>
          <w:sz w:val="24"/>
          <w:szCs w:val="24"/>
          <w:highlight w:val="none"/>
        </w:rPr>
        <w:t>乙方在设备在安装、调试时不得损坏墙体、门窗等，如有损坏要予以赔偿。</w:t>
      </w:r>
    </w:p>
    <w:p>
      <w:pPr>
        <w:adjustRightInd w:val="0"/>
        <w:snapToGrid w:val="0"/>
        <w:spacing w:line="360" w:lineRule="auto"/>
        <w:ind w:right="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8.7</w:t>
      </w:r>
      <w:r>
        <w:rPr>
          <w:rFonts w:hint="eastAsia" w:ascii="仿宋" w:hAnsi="仿宋" w:eastAsia="仿宋" w:cs="仿宋"/>
          <w:color w:val="auto"/>
          <w:sz w:val="24"/>
          <w:szCs w:val="24"/>
          <w:highlight w:val="none"/>
        </w:rPr>
        <w:t>培训要求：安装调试后，供应商须向使用方人员做好所供产品日常保养、使用、管理的现场实地培训，直至会熟练使用。</w:t>
      </w:r>
    </w:p>
    <w:p>
      <w:pPr>
        <w:spacing w:line="360" w:lineRule="auto"/>
        <w:ind w:firstLine="482" w:firstLineChars="200"/>
        <w:outlineLvl w:val="0"/>
        <w:rPr>
          <w:rFonts w:ascii="仿宋" w:hAnsi="仿宋" w:eastAsia="仿宋"/>
          <w:b/>
          <w:sz w:val="24"/>
        </w:rPr>
      </w:pPr>
      <w:r>
        <w:rPr>
          <w:rFonts w:hint="eastAsia" w:ascii="宋体" w:hAnsi="宋体" w:cs="宋体"/>
          <w:b/>
          <w:bCs w:val="0"/>
          <w:color w:val="auto"/>
          <w:sz w:val="24"/>
          <w:szCs w:val="24"/>
          <w:highlight w:val="none"/>
          <w:lang w:val="en-US" w:eastAsia="zh-CN"/>
        </w:rPr>
        <w:t>9.</w:t>
      </w:r>
      <w:r>
        <w:rPr>
          <w:rFonts w:hint="eastAsia" w:ascii="宋体" w:hAnsi="宋体" w:eastAsia="宋体" w:cs="宋体"/>
          <w:b/>
          <w:sz w:val="24"/>
          <w:highlight w:val="none"/>
        </w:rPr>
        <w:t>付款方式、时间和条件</w:t>
      </w:r>
    </w:p>
    <w:p>
      <w:pPr>
        <w:pStyle w:val="620"/>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lang w:val="en-US" w:eastAsia="zh-CN"/>
        </w:rPr>
        <w:t>9.</w:t>
      </w:r>
      <w:r>
        <w:rPr>
          <w:rFonts w:ascii="仿宋" w:hAnsi="仿宋" w:eastAsia="仿宋" w:cs="Times New Roman"/>
        </w:rPr>
        <w:t>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hint="eastAsia" w:ascii="仿宋" w:hAnsi="仿宋" w:eastAsia="仿宋" w:cs="Times New Roman"/>
          <w:lang w:val="en-US" w:eastAsia="zh-CN"/>
        </w:rPr>
        <w:t>7</w:t>
      </w:r>
      <w:r>
        <w:rPr>
          <w:rFonts w:ascii="仿宋" w:hAnsi="仿宋" w:eastAsia="仿宋" w:cs="Times New Roman"/>
        </w:rPr>
        <w:t>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9</w:t>
      </w:r>
      <w:r>
        <w:rPr>
          <w:rFonts w:ascii="仿宋" w:hAnsi="仿宋" w:eastAsia="仿宋"/>
          <w:sz w:val="24"/>
        </w:rPr>
        <w:t>.2甲方在政府采购合同中约定预付款，预付款比例</w:t>
      </w:r>
      <w:r>
        <w:rPr>
          <w:rFonts w:hint="eastAsia" w:ascii="仿宋" w:hAnsi="仿宋" w:eastAsia="仿宋"/>
          <w:sz w:val="24"/>
        </w:rPr>
        <w:t>为</w:t>
      </w:r>
      <w:r>
        <w:rPr>
          <w:rFonts w:ascii="仿宋" w:hAnsi="仿宋" w:eastAsia="仿宋"/>
          <w:sz w:val="24"/>
        </w:rPr>
        <w:t>合同金额的</w:t>
      </w:r>
      <w:r>
        <w:rPr>
          <w:rFonts w:hint="eastAsia" w:ascii="仿宋" w:hAnsi="仿宋" w:eastAsia="仿宋"/>
          <w:sz w:val="24"/>
          <w:lang w:val="en-US" w:eastAsia="zh-CN"/>
        </w:rPr>
        <w:t>40</w:t>
      </w:r>
      <w:r>
        <w:rPr>
          <w:rFonts w:ascii="仿宋" w:hAnsi="仿宋" w:eastAsia="仿宋"/>
          <w:sz w:val="24"/>
        </w:rPr>
        <w:t>％；项目分年安排预算的，每年预付款比例</w:t>
      </w:r>
      <w:r>
        <w:rPr>
          <w:rFonts w:hint="eastAsia" w:ascii="仿宋" w:hAnsi="仿宋" w:eastAsia="仿宋"/>
          <w:sz w:val="24"/>
        </w:rPr>
        <w:t>为</w:t>
      </w:r>
      <w:r>
        <w:rPr>
          <w:rFonts w:ascii="仿宋" w:hAnsi="仿宋" w:eastAsia="仿宋"/>
          <w:sz w:val="24"/>
        </w:rPr>
        <w:t>项目年度计划支付资金额的</w:t>
      </w:r>
      <w:r>
        <w:rPr>
          <w:rFonts w:hint="eastAsia" w:ascii="仿宋" w:hAnsi="仿宋" w:eastAsia="仿宋"/>
          <w:sz w:val="24"/>
          <w:lang w:val="en-US" w:eastAsia="zh-CN"/>
        </w:rPr>
        <w:t>40</w:t>
      </w:r>
      <w:r>
        <w:rPr>
          <w:rFonts w:ascii="仿宋" w:hAnsi="仿宋" w:eastAsia="仿宋"/>
          <w:sz w:val="24"/>
        </w:rPr>
        <w:t>％。采购项目实施以人工投入为主的，可适当降低预付款比例，但不低于</w:t>
      </w:r>
      <w:r>
        <w:rPr>
          <w:rFonts w:hint="eastAsia" w:ascii="仿宋" w:hAnsi="仿宋" w:eastAsia="仿宋"/>
          <w:sz w:val="24"/>
          <w:lang w:val="en-US" w:eastAsia="zh-CN"/>
        </w:rPr>
        <w:t>20</w:t>
      </w:r>
      <w:r>
        <w:rPr>
          <w:rFonts w:ascii="仿宋" w:hAnsi="仿宋" w:eastAsia="仿宋"/>
          <w:sz w:val="24"/>
        </w:rPr>
        <w:t>%。甲方可以根据项目特点、乙方信用等实际情况提高预付款比例，最高预付比例可以达到</w:t>
      </w:r>
      <w:r>
        <w:rPr>
          <w:rFonts w:hint="eastAsia" w:ascii="仿宋" w:hAnsi="仿宋" w:eastAsia="仿宋"/>
          <w:sz w:val="24"/>
          <w:lang w:val="en-US" w:eastAsia="zh-CN"/>
        </w:rPr>
        <w:t>70</w:t>
      </w:r>
      <w:r>
        <w:rPr>
          <w:rFonts w:ascii="仿宋" w:hAnsi="仿宋" w:eastAsia="仿宋"/>
          <w:sz w:val="24"/>
        </w:rPr>
        <w:t>%。</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9</w:t>
      </w:r>
      <w:r>
        <w:rPr>
          <w:rFonts w:ascii="仿宋" w:hAnsi="仿宋" w:eastAsia="仿宋"/>
          <w:sz w:val="24"/>
        </w:rPr>
        <w:t>.3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360" w:lineRule="auto"/>
        <w:ind w:firstLine="480" w:firstLineChars="200"/>
        <w:outlineLvl w:val="0"/>
        <w:rPr>
          <w:rFonts w:ascii="仿宋" w:hAnsi="仿宋" w:eastAsia="仿宋"/>
          <w:sz w:val="24"/>
        </w:rPr>
      </w:pPr>
      <w:r>
        <w:rPr>
          <w:rFonts w:hint="eastAsia" w:ascii="仿宋" w:hAnsi="仿宋" w:eastAsia="仿宋"/>
          <w:sz w:val="24"/>
          <w:lang w:val="en-US" w:eastAsia="zh-CN"/>
        </w:rPr>
        <w:t>9</w:t>
      </w:r>
      <w:r>
        <w:rPr>
          <w:rFonts w:ascii="仿宋" w:hAnsi="仿宋" w:eastAsia="仿宋"/>
          <w:sz w:val="24"/>
          <w:highlight w:val="none"/>
        </w:rPr>
        <w:t>.4资金支付的方式、时间和条</w:t>
      </w:r>
      <w:r>
        <w:rPr>
          <w:rFonts w:hint="eastAsia" w:ascii="仿宋" w:hAnsi="仿宋" w:eastAsia="仿宋"/>
          <w:sz w:val="24"/>
          <w:highlight w:val="none"/>
          <w:lang w:val="en-US" w:eastAsia="zh-CN"/>
        </w:rPr>
        <w:t>件：</w:t>
      </w:r>
      <w:r>
        <w:rPr>
          <w:rFonts w:hint="eastAsia" w:ascii="仿宋" w:hAnsi="仿宋" w:eastAsia="仿宋"/>
          <w:sz w:val="24"/>
          <w:highlight w:val="none"/>
          <w:u w:val="single" w:color="auto"/>
          <w:lang w:val="en-US" w:eastAsia="zh-CN"/>
        </w:rPr>
        <w:t xml:space="preserve">                            </w:t>
      </w:r>
      <w:r>
        <w:rPr>
          <w:rFonts w:hint="eastAsia" w:ascii="仿宋" w:hAnsi="仿宋" w:eastAsia="仿宋"/>
          <w:sz w:val="24"/>
          <w:highlight w:val="none"/>
        </w:rPr>
        <w:t>。</w:t>
      </w:r>
    </w:p>
    <w:p>
      <w:pPr>
        <w:spacing w:line="360" w:lineRule="auto"/>
        <w:ind w:firstLine="480" w:firstLineChars="200"/>
        <w:outlineLvl w:val="0"/>
        <w:rPr>
          <w:rFonts w:ascii="仿宋" w:hAnsi="仿宋" w:eastAsia="仿宋"/>
          <w:sz w:val="24"/>
        </w:rPr>
      </w:pPr>
      <w:r>
        <w:rPr>
          <w:rFonts w:hint="eastAsia" w:ascii="仿宋" w:hAnsi="仿宋" w:eastAsia="仿宋"/>
          <w:sz w:val="24"/>
          <w:lang w:val="en-US" w:eastAsia="zh-CN"/>
        </w:rPr>
        <w:t>9</w:t>
      </w:r>
      <w:r>
        <w:rPr>
          <w:rFonts w:ascii="仿宋" w:hAnsi="仿宋" w:eastAsia="仿宋"/>
          <w:sz w:val="24"/>
        </w:rPr>
        <w:t>.5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宋体" w:hAnsi="宋体" w:cs="宋体"/>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pPr>
        <w:adjustRightInd w:val="0"/>
        <w:snapToGrid/>
        <w:spacing w:line="360" w:lineRule="auto"/>
        <w:ind w:left="0" w:leftChars="0" w:right="0"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pPr>
        <w:adjustRightInd w:val="0"/>
        <w:snapToGrid w:val="0"/>
        <w:spacing w:line="360" w:lineRule="auto"/>
        <w:ind w:left="0" w:leftChars="0" w:right="0" w:firstLine="352" w:firstLineChars="147"/>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pPr>
        <w:adjustRightInd w:val="0"/>
        <w:snapToGrid w:val="0"/>
        <w:spacing w:line="360" w:lineRule="auto"/>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乙方在货物发运手续办理完毕后24小时内或货到甲方48小时前通知甲方，以准备接货。</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pPr>
        <w:adjustRightInd w:val="0"/>
        <w:snapToGrid w:val="0"/>
        <w:spacing w:line="360" w:lineRule="auto"/>
        <w:ind w:left="0" w:leftChars="0" w:right="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pPr>
        <w:adjustRightInd w:val="0"/>
        <w:snapToGrid/>
        <w:spacing w:line="360" w:lineRule="auto"/>
        <w:ind w:left="0" w:leftChars="0" w:right="0"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sz w:val="24"/>
          <w:lang w:val="en-US" w:eastAsia="zh-CN"/>
        </w:rPr>
        <w:t>13.1</w:t>
      </w:r>
      <w:r>
        <w:rPr>
          <w:rFonts w:hint="eastAsia" w:ascii="仿宋" w:hAnsi="仿宋" w:eastAsia="仿宋"/>
          <w:sz w:val="24"/>
          <w:highlight w:val="none"/>
          <w:u w:val="single" w:color="auto"/>
          <w:lang w:val="en-US" w:eastAsia="zh-CN"/>
        </w:rPr>
        <w:t xml:space="preserve">                                                             </w:t>
      </w:r>
      <w:r>
        <w:rPr>
          <w:rFonts w:hint="eastAsia" w:ascii="仿宋" w:hAnsi="仿宋" w:eastAsia="仿宋"/>
          <w:sz w:val="24"/>
          <w:highlight w:val="none"/>
        </w:rPr>
        <w:t>。</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pPr>
      <w:r>
        <w:rPr>
          <w:rFonts w:hint="eastAsia" w:ascii="仿宋" w:hAnsi="仿宋" w:eastAsia="仿宋"/>
          <w:sz w:val="24"/>
          <w:lang w:val="en-US" w:eastAsia="zh-CN"/>
        </w:rPr>
        <w:t>14</w:t>
      </w:r>
      <w:r>
        <w:rPr>
          <w:rFonts w:hint="eastAsia" w:ascii="仿宋" w:hAnsi="仿宋" w:eastAsia="仿宋"/>
          <w:sz w:val="24"/>
        </w:rPr>
        <w:t>.7违约责任</w:t>
      </w:r>
      <w:r>
        <w:rPr>
          <w:rFonts w:hint="eastAsia" w:ascii="仿宋" w:hAnsi="仿宋" w:eastAsia="仿宋"/>
          <w:sz w:val="24"/>
          <w:lang w:val="en-US" w:eastAsia="zh-CN"/>
        </w:rPr>
        <w:t>采购人</w:t>
      </w:r>
      <w:r>
        <w:rPr>
          <w:rFonts w:hint="eastAsia" w:ascii="仿宋" w:hAnsi="仿宋" w:eastAsia="仿宋"/>
          <w:sz w:val="24"/>
        </w:rPr>
        <w:t>另有约定的</w:t>
      </w:r>
      <w:r>
        <w:rPr>
          <w:rFonts w:hint="eastAsia" w:ascii="仿宋" w:hAnsi="仿宋" w:eastAsia="仿宋"/>
          <w:sz w:val="24"/>
          <w:lang w:eastAsia="zh-CN"/>
        </w:rPr>
        <w:t>：</w:t>
      </w:r>
      <w:r>
        <w:rPr>
          <w:rFonts w:hint="eastAsia" w:ascii="仿宋" w:hAnsi="仿宋" w:eastAsia="仿宋"/>
          <w:sz w:val="24"/>
          <w:highlight w:val="none"/>
          <w:u w:val="single" w:color="auto"/>
          <w:lang w:val="en-US" w:eastAsia="zh-CN"/>
        </w:rPr>
        <w:t xml:space="preserve">                         </w:t>
      </w:r>
      <w:r>
        <w:rPr>
          <w:rFonts w:hint="eastAsia" w:ascii="仿宋" w:hAnsi="仿宋" w:eastAsia="仿宋"/>
          <w:sz w:val="24"/>
        </w:rPr>
        <w:t>从其约定。</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15.</w:t>
      </w:r>
      <w:r>
        <w:rPr>
          <w:rFonts w:hint="eastAsia" w:ascii="仿宋" w:hAnsi="仿宋" w:eastAsia="仿宋" w:cs="仿宋"/>
          <w:b/>
          <w:bCs/>
          <w:sz w:val="24"/>
        </w:rPr>
        <w:t>不可抗力事件处理</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15.1</w:t>
      </w:r>
      <w:r>
        <w:rPr>
          <w:rFonts w:hint="eastAsia" w:ascii="仿宋" w:hAnsi="仿宋" w:eastAsia="仿宋" w:cs="仿宋"/>
          <w:sz w:val="24"/>
        </w:rPr>
        <w:t>在合同有效期内，任何一方因不可抗力事件导致不能履行合同，则合同履行期可延长，其延长期与不可抗力影响期相同。</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15.2</w:t>
      </w:r>
      <w:r>
        <w:rPr>
          <w:rFonts w:hint="eastAsia" w:ascii="仿宋" w:hAnsi="仿宋" w:eastAsia="仿宋" w:cs="仿宋"/>
          <w:sz w:val="24"/>
        </w:rPr>
        <w:t>不可抗力事件发生后，应立即通知对方，并寄送有关权威机构出具的证明。</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15.3</w:t>
      </w:r>
      <w:r>
        <w:rPr>
          <w:rFonts w:hint="eastAsia" w:ascii="仿宋" w:hAnsi="仿宋" w:eastAsia="仿宋" w:cs="仿宋"/>
          <w:sz w:val="24"/>
        </w:rPr>
        <w:t>不可抗力事件延续120天以上，双方应通过友好协商，确定是否继续履行合同。</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16.</w:t>
      </w:r>
      <w:r>
        <w:rPr>
          <w:rFonts w:hint="eastAsia" w:ascii="仿宋" w:hAnsi="仿宋" w:eastAsia="仿宋" w:cs="仿宋"/>
          <w:b/>
          <w:bCs/>
          <w:sz w:val="24"/>
        </w:rPr>
        <w:t>诉讼</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双方在执行合同中所发生的一切争议，应通过协商解决。如协商不成，可向甲方所在地法院起诉。</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17.</w:t>
      </w:r>
      <w:r>
        <w:rPr>
          <w:rFonts w:hint="eastAsia" w:ascii="仿宋" w:hAnsi="仿宋" w:eastAsia="仿宋" w:cs="仿宋"/>
          <w:b/>
          <w:bCs/>
          <w:sz w:val="24"/>
        </w:rPr>
        <w:t>合同生效及其它</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17.1</w:t>
      </w:r>
      <w:r>
        <w:rPr>
          <w:rFonts w:hint="eastAsia" w:ascii="仿宋" w:hAnsi="仿宋" w:eastAsia="仿宋" w:cs="仿宋"/>
          <w:sz w:val="24"/>
        </w:rPr>
        <w:t>招标文件、投标文件、更正公告、中标通知书、承诺函等均作为本合同组成部分，具有同等效力。</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17.2</w:t>
      </w:r>
      <w:r>
        <w:rPr>
          <w:rFonts w:hint="eastAsia" w:ascii="仿宋" w:hAnsi="仿宋" w:eastAsia="仿宋" w:cs="仿宋"/>
          <w:sz w:val="24"/>
        </w:rPr>
        <w:t>合同经双方法定代表人或其授权代表签字并加盖单位公章后方可生效。</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17.3</w:t>
      </w:r>
      <w:r>
        <w:rPr>
          <w:rFonts w:hint="eastAsia" w:ascii="仿宋" w:hAnsi="仿宋" w:eastAsia="仿宋" w:cs="仿宋"/>
          <w:sz w:val="24"/>
        </w:rPr>
        <w:t>合同执行中涉及采购资金和采购内容修改或补充的，须经财政部门审批，并签书面补充协议报政府采购监督管理部门备案，作为主合同不可分割的一部分。</w:t>
      </w:r>
    </w:p>
    <w:p>
      <w:pPr>
        <w:snapToGrid/>
        <w:spacing w:line="360" w:lineRule="auto"/>
        <w:ind w:firstLine="0" w:firstLineChars="0"/>
        <w:rPr>
          <w:rFonts w:hint="eastAsia" w:ascii="仿宋" w:hAnsi="仿宋" w:eastAsia="仿宋" w:cs="仿宋"/>
          <w:b/>
          <w:bCs/>
          <w:sz w:val="24"/>
        </w:rPr>
      </w:pPr>
      <w:r>
        <w:rPr>
          <w:rFonts w:hint="eastAsia" w:ascii="仿宋" w:hAnsi="仿宋" w:eastAsia="仿宋" w:cs="仿宋"/>
          <w:sz w:val="24"/>
          <w:lang w:val="en-US" w:eastAsia="zh-CN"/>
        </w:rPr>
        <w:t xml:space="preserve">    </w:t>
      </w:r>
      <w:r>
        <w:rPr>
          <w:rFonts w:hint="eastAsia" w:ascii="仿宋" w:hAnsi="仿宋" w:eastAsia="仿宋" w:cs="仿宋"/>
          <w:b/>
          <w:bCs/>
          <w:sz w:val="24"/>
          <w:lang w:eastAsia="zh-CN"/>
        </w:rPr>
        <w:t>1</w:t>
      </w:r>
      <w:r>
        <w:rPr>
          <w:rFonts w:hint="eastAsia" w:ascii="仿宋" w:hAnsi="仿宋" w:eastAsia="仿宋" w:cs="仿宋"/>
          <w:b/>
          <w:bCs/>
          <w:sz w:val="24"/>
          <w:lang w:val="en-US" w:eastAsia="zh-CN"/>
        </w:rPr>
        <w:t>7.4</w:t>
      </w:r>
      <w:r>
        <w:rPr>
          <w:rFonts w:hint="eastAsia" w:ascii="仿宋" w:hAnsi="仿宋" w:eastAsia="仿宋" w:cs="仿宋"/>
          <w:b/>
          <w:bCs/>
          <w:sz w:val="24"/>
          <w:lang w:val="zh-CN"/>
        </w:rPr>
        <w:t>本合同</w:t>
      </w:r>
      <w:r>
        <w:rPr>
          <w:rFonts w:hint="eastAsia" w:ascii="仿宋" w:hAnsi="仿宋" w:eastAsia="仿宋" w:cs="仿宋"/>
          <w:b/>
          <w:bCs/>
          <w:sz w:val="24"/>
        </w:rPr>
        <w:t>（□是  □</w:t>
      </w:r>
      <w:r>
        <w:rPr>
          <w:rFonts w:hint="eastAsia" w:ascii="仿宋" w:hAnsi="仿宋" w:eastAsia="仿宋" w:cs="仿宋"/>
          <w:b/>
          <w:bCs/>
          <w:sz w:val="24"/>
          <w:lang w:val="zh-CN"/>
        </w:rPr>
        <w:t>否</w:t>
      </w:r>
      <w:r>
        <w:rPr>
          <w:rFonts w:hint="eastAsia" w:ascii="仿宋" w:hAnsi="仿宋" w:eastAsia="仿宋" w:cs="仿宋"/>
          <w:b/>
          <w:bCs/>
          <w:sz w:val="24"/>
        </w:rPr>
        <w:t>）</w:t>
      </w:r>
      <w:r>
        <w:rPr>
          <w:rFonts w:hint="eastAsia" w:ascii="仿宋" w:hAnsi="仿宋" w:eastAsia="仿宋" w:cs="仿宋"/>
          <w:b/>
          <w:bCs/>
          <w:sz w:val="24"/>
          <w:lang w:val="zh-CN"/>
        </w:rPr>
        <w:t>为可融资合同</w:t>
      </w:r>
      <w:r>
        <w:rPr>
          <w:rFonts w:hint="eastAsia" w:ascii="仿宋" w:hAnsi="仿宋" w:eastAsia="仿宋" w:cs="仿宋"/>
          <w:b/>
          <w:bCs/>
          <w:sz w:val="24"/>
        </w:rPr>
        <w:t>，</w:t>
      </w:r>
      <w:r>
        <w:rPr>
          <w:rFonts w:hint="eastAsia" w:ascii="仿宋" w:hAnsi="仿宋" w:eastAsia="仿宋" w:cs="仿宋"/>
          <w:b/>
          <w:bCs/>
          <w:sz w:val="24"/>
          <w:lang w:val="zh-CN"/>
        </w:rPr>
        <w:t>关于中小企业信用融资事项</w:t>
      </w:r>
      <w:r>
        <w:rPr>
          <w:rFonts w:hint="eastAsia" w:ascii="仿宋" w:hAnsi="仿宋" w:eastAsia="仿宋" w:cs="仿宋"/>
          <w:b/>
          <w:bCs/>
          <w:sz w:val="24"/>
        </w:rPr>
        <w:t>详见《政府采购支持中小企业信用融资相关事项通知》，或登录杭州市政府采购网“中小企业信用融资”模块，查看信用融资政策文件及各相关银行服务方案。</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17.5</w:t>
      </w:r>
      <w:r>
        <w:rPr>
          <w:rFonts w:hint="eastAsia" w:ascii="仿宋" w:hAnsi="仿宋" w:eastAsia="仿宋" w:cs="仿宋"/>
          <w:sz w:val="24"/>
        </w:rPr>
        <w:t>本合同未尽事宜，</w:t>
      </w:r>
      <w:r>
        <w:rPr>
          <w:rFonts w:hint="eastAsia" w:ascii="仿宋" w:hAnsi="仿宋" w:eastAsia="仿宋" w:cs="仿宋"/>
          <w:sz w:val="24"/>
          <w:highlight w:val="none"/>
        </w:rPr>
        <w:t>遵照《</w:t>
      </w:r>
      <w:r>
        <w:rPr>
          <w:rFonts w:hint="eastAsia" w:ascii="仿宋" w:hAnsi="仿宋" w:eastAsia="仿宋" w:cs="仿宋"/>
          <w:sz w:val="24"/>
          <w:highlight w:val="none"/>
          <w:lang w:val="en-US" w:eastAsia="zh-CN"/>
        </w:rPr>
        <w:t>民法典</w:t>
      </w:r>
      <w:r>
        <w:rPr>
          <w:rFonts w:hint="eastAsia" w:ascii="仿宋" w:hAnsi="仿宋" w:eastAsia="仿宋" w:cs="仿宋"/>
          <w:sz w:val="24"/>
          <w:highlight w:val="none"/>
        </w:rPr>
        <w:t>》有</w:t>
      </w:r>
      <w:r>
        <w:rPr>
          <w:rFonts w:hint="eastAsia" w:ascii="仿宋" w:hAnsi="仿宋" w:eastAsia="仿宋" w:cs="仿宋"/>
          <w:sz w:val="24"/>
        </w:rPr>
        <w:t>关条文执行。</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17.6</w:t>
      </w:r>
      <w:r>
        <w:rPr>
          <w:rFonts w:hint="eastAsia" w:ascii="仿宋" w:hAnsi="仿宋" w:eastAsia="仿宋" w:cs="仿宋"/>
          <w:sz w:val="24"/>
        </w:rPr>
        <w:t xml:space="preserve">本合同一式多份，具有同等法律效力，甲乙双方、区财政局采购监管科、验收单位，各执一份。 </w:t>
      </w: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甲方（盖章）：                         乙方（盖章）：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法定代表人：                          法定代表人：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或授权代表（签字）：                   或授权代表（签字）：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地址：                                地址：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邮编：                                邮编：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电话：                                电话：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传真：                                传真：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开户银行：                            开户银行：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帐号：                                帐号：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                                         </w:t>
      </w: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jc w:val="center"/>
        <w:outlineLvl w:val="9"/>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签约时间：      年    月   日</w:t>
      </w:r>
    </w:p>
    <w:p>
      <w:pPr>
        <w:wordWrap/>
        <w:spacing w:line="360" w:lineRule="auto"/>
        <w:jc w:val="both"/>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签约地点： </w:t>
      </w:r>
    </w:p>
    <w:p>
      <w:pPr>
        <w:wordWrap/>
        <w:spacing w:line="360" w:lineRule="auto"/>
        <w:jc w:val="both"/>
        <w:rPr>
          <w:rFonts w:hint="eastAsia" w:ascii="仿宋" w:hAnsi="仿宋" w:eastAsia="仿宋" w:cs="仿宋"/>
          <w:sz w:val="24"/>
        </w:rPr>
      </w:pPr>
    </w:p>
    <w:p>
      <w:pPr>
        <w:wordWrap/>
        <w:spacing w:line="360" w:lineRule="auto"/>
        <w:jc w:val="both"/>
        <w:rPr>
          <w:rFonts w:hint="eastAsia" w:ascii="仿宋" w:hAnsi="仿宋" w:eastAsia="仿宋" w:cs="仿宋"/>
          <w:sz w:val="24"/>
        </w:rPr>
      </w:pPr>
      <w:r>
        <w:rPr>
          <w:rFonts w:hint="eastAsia" w:ascii="仿宋" w:hAnsi="仿宋" w:eastAsia="仿宋" w:cs="仿宋"/>
          <w:sz w:val="24"/>
        </w:rPr>
        <w:t xml:space="preserve">                             </w:t>
      </w:r>
    </w:p>
    <w:p>
      <w:pPr>
        <w:spacing w:line="360" w:lineRule="auto"/>
        <w:rPr>
          <w:rFonts w:hint="eastAsia" w:ascii="仿宋" w:hAnsi="仿宋" w:eastAsia="仿宋" w:cs="仿宋"/>
          <w:b/>
          <w:bCs/>
          <w:sz w:val="24"/>
        </w:rPr>
      </w:pPr>
      <w:bookmarkStart w:id="424" w:name="_Toc350327365"/>
      <w:bookmarkStart w:id="425" w:name="_Toc349721554"/>
      <w:bookmarkStart w:id="426" w:name="_Toc868"/>
      <w:bookmarkStart w:id="427" w:name="_Toc326765771"/>
      <w:bookmarkStart w:id="428" w:name="_Toc328381300"/>
      <w:bookmarkStart w:id="429" w:name="_Toc339872468"/>
      <w:r>
        <w:rPr>
          <w:rFonts w:hint="eastAsia" w:ascii="仿宋" w:hAnsi="仿宋" w:eastAsia="仿宋" w:cs="仿宋"/>
          <w:b/>
          <w:bCs/>
          <w:sz w:val="24"/>
        </w:rPr>
        <w:t xml:space="preserve"> 此仅为合同书样本，中标单位需根据实际情况和采购人签订相应的合同！</w:t>
      </w:r>
      <w:bookmarkEnd w:id="424"/>
      <w:bookmarkEnd w:id="425"/>
      <w:bookmarkEnd w:id="426"/>
      <w:bookmarkEnd w:id="427"/>
      <w:bookmarkEnd w:id="428"/>
      <w:bookmarkEnd w:id="429"/>
    </w:p>
    <w:p>
      <w:pPr>
        <w:snapToGrid/>
        <w:spacing w:before="0" w:beforeLines="0" w:after="0" w:line="360" w:lineRule="auto"/>
        <w:rPr>
          <w:rFonts w:hint="eastAsia" w:ascii="仿宋" w:hAnsi="仿宋" w:eastAsia="仿宋" w:cs="仿宋"/>
          <w:b/>
          <w:bCs/>
          <w:sz w:val="24"/>
        </w:rPr>
        <w:sectPr>
          <w:pgSz w:w="11906" w:h="16838"/>
          <w:pgMar w:top="1558" w:right="1531" w:bottom="468" w:left="1531" w:header="851" w:footer="851" w:gutter="0"/>
          <w:cols w:space="720" w:num="1"/>
          <w:titlePg/>
          <w:docGrid w:type="lines" w:linePitch="312" w:charSpace="0"/>
        </w:sectPr>
      </w:pPr>
      <w:bookmarkStart w:id="430" w:name="_Toc194217895"/>
    </w:p>
    <w:bookmarkEnd w:id="430"/>
    <w:p>
      <w:pPr>
        <w:pStyle w:val="2"/>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22"/>
      <w:r>
        <w:rPr>
          <w:rFonts w:ascii="仿宋" w:hAnsi="仿宋" w:eastAsia="仿宋" w:cs="仿宋_GB2312"/>
          <w:b/>
          <w:sz w:val="36"/>
          <w:szCs w:val="20"/>
        </w:rPr>
        <w:t xml:space="preserve"> </w:t>
      </w:r>
      <w:bookmarkEnd w:id="42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w:t>
      </w:r>
      <w:r>
        <w:rPr>
          <w:rFonts w:ascii="仿宋_GB2312" w:hAnsi="仿宋" w:eastAsia="仿宋_GB2312" w:cs="仿宋_GB2312"/>
          <w:sz w:val="24"/>
          <w:highlight w:val="none"/>
        </w:rPr>
        <w:t>符合参加政府采购活动应当具备的一般条件的承诺函……</w:t>
      </w:r>
      <w:r>
        <w:rPr>
          <w:rFonts w:hint="eastAsia" w:ascii="仿宋_GB2312" w:hAnsi="仿宋" w:eastAsia="仿宋_GB2312" w:cs="仿宋_GB2312"/>
          <w:sz w:val="24"/>
          <w:highlight w:val="none"/>
        </w:rPr>
        <w:t>…</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w:t>
      </w:r>
      <w:r>
        <w:rPr>
          <w:rFonts w:hint="eastAsia" w:ascii="仿宋_GB2312" w:hAnsi="仿宋" w:eastAsia="仿宋_GB2312" w:cs="仿宋_GB2312"/>
          <w:sz w:val="24"/>
          <w:lang w:val="en-US" w:eastAsia="zh-CN"/>
        </w:rPr>
        <w:t>项目编号</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_GB2312" w:hAnsi="仿宋" w:eastAsia="仿宋_GB2312" w:cs="仿宋_GB2312"/>
          <w:sz w:val="24"/>
        </w:rPr>
        <w:t>】政府采购活动，郑重承诺：</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cs="Times New Roman"/>
          <w:sz w:val="24"/>
        </w:rPr>
        <w:t>（一）</w:t>
      </w:r>
      <w:r>
        <w:rPr>
          <w:rFonts w:hint="eastAsia" w:ascii="仿宋_GB2312" w:hAnsi="仿宋" w:eastAsia="仿宋_GB2312"/>
          <w:color w:val="auto"/>
          <w:sz w:val="24"/>
          <w:szCs w:val="24"/>
          <w:highlight w:val="none"/>
        </w:rPr>
        <w:t>符合参与政府采购活动的资格条件并且没有税收缴纳、社会保障等方面的失信记录的承诺函</w:t>
      </w:r>
      <w:r>
        <w:rPr>
          <w:rFonts w:hint="eastAsia" w:ascii="仿宋_GB2312" w:hAnsi="仿宋" w:eastAsia="仿宋_GB2312"/>
          <w:color w:val="auto"/>
          <w:sz w:val="24"/>
          <w:szCs w:val="24"/>
          <w:highlight w:val="none"/>
          <w:lang w:val="en-US" w:eastAsia="zh-CN"/>
        </w:rPr>
        <w:t>;</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lang w:eastAsia="zh-CN"/>
        </w:rPr>
        <w:t>（</w:t>
      </w:r>
      <w:r>
        <w:rPr>
          <w:rFonts w:hint="eastAsia" w:ascii="仿宋_GB2312" w:hAnsi="仿宋" w:eastAsia="仿宋_GB2312"/>
          <w:sz w:val="24"/>
          <w:lang w:val="en-US" w:eastAsia="zh-CN"/>
        </w:rPr>
        <w:t>二</w:t>
      </w:r>
      <w:r>
        <w:rPr>
          <w:rFonts w:hint="eastAsia" w:ascii="仿宋_GB2312" w:hAnsi="仿宋" w:eastAsia="仿宋_GB2312"/>
          <w:sz w:val="24"/>
          <w:lang w:eastAsia="zh-CN"/>
        </w:rPr>
        <w:t>）</w:t>
      </w:r>
      <w:r>
        <w:rPr>
          <w:rFonts w:hint="eastAsia" w:ascii="仿宋_GB2312" w:hAnsi="仿宋" w:eastAsia="仿宋_GB2312"/>
          <w:sz w:val="24"/>
        </w:rPr>
        <w:t>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2"/>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r>
        <w:rPr>
          <w:rFonts w:ascii="仿宋_GB2312" w:hAnsi="仿宋" w:eastAsia="仿宋_GB2312" w:cs="仿宋_GB2312"/>
          <w:b/>
          <w:kern w:val="0"/>
          <w:sz w:val="36"/>
          <w:szCs w:val="36"/>
        </w:rPr>
        <w:br w:type="page"/>
      </w:r>
    </w:p>
    <w:p>
      <w:pPr>
        <w:pStyle w:val="2"/>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hint="eastAsia"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7</w:t>
      </w:r>
      <w:r>
        <w:rPr>
          <w:rFonts w:ascii="仿宋_GB2312" w:hAnsi="仿宋" w:eastAsia="仿宋_GB2312" w:cs="仿宋_GB2312"/>
          <w:sz w:val="24"/>
        </w:rPr>
        <w:t>）</w:t>
      </w:r>
      <w:r>
        <w:rPr>
          <w:rFonts w:hint="eastAsia" w:ascii="仿宋_GB2312" w:hAnsi="仿宋" w:eastAsia="仿宋_GB2312" w:cs="仿宋_GB2312"/>
          <w:sz w:val="24"/>
          <w:lang w:val="en-US" w:eastAsia="zh-CN"/>
        </w:rPr>
        <w:t>投标标的清单</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8</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9</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both"/>
        <w:rPr>
          <w:rFonts w:ascii="仿宋_GB2312" w:hAnsi="仿宋" w:eastAsia="仿宋_GB2312" w:cs="仿宋_GB2312"/>
          <w:b/>
          <w:kern w:val="0"/>
          <w:sz w:val="32"/>
          <w:szCs w:val="32"/>
          <w:lang w:val="zh-CN"/>
        </w:rPr>
      </w:pP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lang w:val="zh-CN" w:eastAsia="zh-CN"/>
        </w:rPr>
        <w:t>（</w:t>
      </w:r>
      <w:r>
        <w:rPr>
          <w:rFonts w:hint="eastAsia" w:ascii="仿宋_GB2312" w:hAnsi="仿宋" w:eastAsia="仿宋_GB2312" w:cs="仿宋_GB2312"/>
          <w:sz w:val="24"/>
          <w:lang w:val="en-US" w:eastAsia="zh-CN"/>
        </w:rPr>
        <w:t>10</w:t>
      </w:r>
      <w:r>
        <w:rPr>
          <w:rFonts w:hint="eastAsia" w:ascii="仿宋_GB2312" w:hAnsi="仿宋" w:eastAsia="仿宋_GB2312" w:cs="仿宋_GB2312"/>
          <w:sz w:val="24"/>
          <w:lang w:val="zh-CN" w:eastAsia="zh-CN"/>
        </w:rPr>
        <w:t>）</w:t>
      </w:r>
      <w:r>
        <w:rPr>
          <w:rFonts w:hint="eastAsia" w:ascii="仿宋_GB2312" w:hAnsi="仿宋" w:eastAsia="仿宋_GB2312" w:cs="仿宋_GB2312"/>
          <w:color w:val="auto"/>
          <w:sz w:val="24"/>
          <w:szCs w:val="24"/>
          <w:highlight w:val="none"/>
          <w:lang w:val="zh-CN"/>
        </w:rPr>
        <w:t>投标</w:t>
      </w:r>
      <w:r>
        <w:rPr>
          <w:rFonts w:hint="eastAsia" w:ascii="仿宋_GB2312" w:hAnsi="仿宋" w:eastAsia="仿宋_GB2312" w:cs="仿宋_GB2312"/>
          <w:color w:val="auto"/>
          <w:sz w:val="24"/>
          <w:szCs w:val="24"/>
          <w:highlight w:val="none"/>
          <w:lang w:val="en-US" w:eastAsia="zh-CN"/>
        </w:rPr>
        <w:t>人</w:t>
      </w:r>
      <w:r>
        <w:rPr>
          <w:rFonts w:hint="eastAsia" w:ascii="仿宋_GB2312" w:hAnsi="仿宋" w:eastAsia="仿宋_GB2312" w:cs="仿宋_GB2312"/>
          <w:color w:val="auto"/>
          <w:sz w:val="24"/>
          <w:szCs w:val="24"/>
          <w:highlight w:val="none"/>
          <w:lang w:val="zh-CN"/>
        </w:rPr>
        <w:t>认为需要的其他文件资料</w:t>
      </w:r>
      <w:r>
        <w:rPr>
          <w:rFonts w:hint="eastAsia" w:ascii="仿宋_GB2312" w:hAnsi="仿宋" w:eastAsia="仿宋_GB2312" w:cs="仿宋_GB2312"/>
          <w:color w:val="auto"/>
          <w:sz w:val="24"/>
          <w:szCs w:val="24"/>
          <w:highlight w:val="none"/>
          <w:lang w:val="zh-CN" w:eastAsia="zh-CN"/>
        </w:rPr>
        <w:t>（如有）</w:t>
      </w:r>
      <w:r>
        <w:rPr>
          <w:rFonts w:hint="eastAsia" w:cs="仿宋_GB2312"/>
        </w:rPr>
        <w:t>…………………………………</w:t>
      </w:r>
      <w:r>
        <w:rPr>
          <w:rFonts w:hint="eastAsia" w:cs="仿宋_GB2312"/>
          <w:lang w:val="en-US" w:eastAsia="zh-CN"/>
        </w:rPr>
        <w:t xml:space="preserve"> </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2"/>
        <w:rPr>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90"/>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0"/>
              <w:adjustRightInd w:val="0"/>
              <w:spacing w:before="0" w:beforeAutospacing="0" w:after="0" w:afterAutospacing="0" w:line="360" w:lineRule="auto"/>
              <w:ind w:left="0" w:right="0"/>
              <w:rPr>
                <w:rFonts w:hint="eastAsia" w:ascii="仿宋_GB2312" w:hAnsi="仿宋" w:eastAsia="仿宋_GB2312" w:cs="Times New Roman"/>
                <w:bCs/>
                <w:sz w:val="24"/>
                <w:szCs w:val="20"/>
              </w:rPr>
            </w:pPr>
            <w:r>
              <w:rPr>
                <w:rFonts w:hint="eastAsia" w:ascii="仿宋_GB2312" w:hAnsi="仿宋" w:eastAsia="仿宋_GB2312" w:cs="Times New Roman"/>
                <w:bCs/>
                <w:sz w:val="24"/>
                <w:szCs w:val="20"/>
              </w:rPr>
              <w:t>正面：                                 反面：</w:t>
            </w:r>
          </w:p>
          <w:p>
            <w:pPr>
              <w:pStyle w:val="90"/>
              <w:adjustRightInd w:val="0"/>
              <w:spacing w:before="0" w:beforeAutospacing="0" w:after="0" w:afterAutospacing="0" w:line="360" w:lineRule="auto"/>
              <w:ind w:left="0" w:right="0"/>
              <w:rPr>
                <w:rFonts w:hint="eastAsia" w:ascii="仿宋_GB2312" w:hAnsi="仿宋" w:eastAsia="仿宋_GB2312" w:cs="Times New Roman"/>
                <w:bCs/>
                <w:sz w:val="24"/>
                <w:szCs w:val="20"/>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highlight w:val="none"/>
          <w:lang w:val="zh-CN"/>
        </w:rPr>
        <w:t>，对联合体报价给予</w:t>
      </w:r>
      <w:r>
        <w:rPr>
          <w:rFonts w:hint="eastAsia" w:ascii="仿宋_GB2312" w:hAnsi="仿宋" w:eastAsia="仿宋_GB2312" w:cs="仿宋_GB2312"/>
          <w:b/>
          <w:kern w:val="0"/>
          <w:sz w:val="24"/>
          <w:highlight w:val="none"/>
          <w:lang w:val="en-US" w:eastAsia="zh-CN"/>
        </w:rPr>
        <w:t>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w:t>
      </w:r>
      <w:r>
        <w:rPr>
          <w:rFonts w:hint="eastAsia" w:ascii="仿宋_GB2312" w:hAnsi="仿宋" w:eastAsia="仿宋_GB2312" w:cs="仿宋_GB2312"/>
          <w:b/>
          <w:kern w:val="0"/>
          <w:sz w:val="24"/>
          <w:highlight w:val="none"/>
          <w:lang w:val="zh-CN"/>
        </w:rPr>
        <w:t>予</w:t>
      </w:r>
      <w:r>
        <w:rPr>
          <w:rFonts w:hint="eastAsia" w:ascii="仿宋_GB2312" w:hAnsi="仿宋" w:eastAsia="仿宋_GB2312" w:cs="仿宋_GB2312"/>
          <w:b/>
          <w:kern w:val="0"/>
          <w:sz w:val="24"/>
          <w:highlight w:val="none"/>
          <w:lang w:val="en-US" w:eastAsia="zh-CN"/>
        </w:rPr>
        <w:t>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hint="eastAsia"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序号</w:t>
            </w:r>
          </w:p>
        </w:tc>
        <w:tc>
          <w:tcPr>
            <w:tcW w:w="4991"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实质性要求</w:t>
            </w:r>
          </w:p>
        </w:tc>
        <w:tc>
          <w:tcPr>
            <w:tcW w:w="2551"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需要提供的符合性审查资料</w:t>
            </w:r>
          </w:p>
        </w:tc>
        <w:tc>
          <w:tcPr>
            <w:tcW w:w="1418"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投标文件中的</w:t>
            </w:r>
          </w:p>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1</w:t>
            </w:r>
          </w:p>
        </w:tc>
        <w:tc>
          <w:tcPr>
            <w:tcW w:w="4991" w:type="dxa"/>
            <w:vAlign w:val="top"/>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仿宋_GB2312"/>
                <w:sz w:val="24"/>
                <w:szCs w:val="20"/>
              </w:rPr>
              <w:t>投标文件按照招标文件要求签署、盖章。</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需要使用电子签名或者签字盖章的投标文件的组成部分</w:t>
            </w:r>
          </w:p>
        </w:tc>
        <w:tc>
          <w:tcPr>
            <w:tcW w:w="1418" w:type="dxa"/>
            <w:vAlign w:val="top"/>
          </w:tcPr>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r>
              <w:rPr>
                <w:rFonts w:hint="eastAsia" w:ascii="仿宋" w:hAnsi="仿宋" w:eastAsia="仿宋" w:cs="仿宋_GB2312"/>
                <w:sz w:val="24"/>
                <w:szCs w:val="20"/>
              </w:rPr>
              <w:t>见投标文件</w:t>
            </w:r>
          </w:p>
          <w:p>
            <w:pPr>
              <w:spacing w:before="0" w:beforeAutospacing="0" w:after="0" w:afterAutospacing="0"/>
              <w:ind w:left="0" w:right="0"/>
              <w:rPr>
                <w:rFonts w:hint="eastAsia" w:ascii="Times New Roman" w:hAnsi="Times New Roman" w:cs="Times New Roman"/>
                <w:sz w:val="20"/>
                <w:szCs w:val="20"/>
              </w:rPr>
            </w:pPr>
            <w:r>
              <w:rPr>
                <w:rFonts w:hint="eastAsia" w:ascii="仿宋" w:hAnsi="Times New Roman" w:eastAsia="仿宋" w:cs="仿宋_GB2312"/>
                <w:sz w:val="24"/>
                <w:szCs w:val="20"/>
              </w:rPr>
              <w:t>第</w:t>
            </w:r>
            <w:r>
              <w:rPr>
                <w:rFonts w:hint="eastAsia" w:ascii="仿宋" w:hAnsi="Times New Roman" w:eastAsia="仿宋" w:cs="仿宋_GB2312"/>
                <w:sz w:val="24"/>
                <w:szCs w:val="20"/>
                <w:u w:val="single"/>
              </w:rPr>
              <w:t xml:space="preserve">  </w:t>
            </w:r>
            <w:r>
              <w:rPr>
                <w:rFonts w:hint="eastAsia" w:ascii="仿宋" w:hAnsi="Times New Roman" w:eastAsia="仿宋"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2</w:t>
            </w:r>
          </w:p>
        </w:tc>
        <w:tc>
          <w:tcPr>
            <w:tcW w:w="4991" w:type="dxa"/>
            <w:vAlign w:val="top"/>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_GB2312" w:hAnsi="仿宋" w:eastAsia="仿宋_GB2312" w:cs="仿宋_GB2312"/>
                <w:sz w:val="24"/>
                <w:szCs w:val="20"/>
              </w:rPr>
              <w:t>节能产品认证证书（本项目</w:t>
            </w:r>
            <w:r>
              <w:rPr>
                <w:rFonts w:hint="eastAsia" w:ascii="仿宋_GB2312" w:hAnsi="仿宋" w:eastAsia="仿宋_GB2312" w:cs="Times New Roman"/>
                <w:sz w:val="24"/>
                <w:szCs w:val="20"/>
              </w:rPr>
              <w:t>拟采购的产品不属于政府强制采购的节能产品品目清单范围的</w:t>
            </w:r>
            <w:r>
              <w:rPr>
                <w:rFonts w:hint="eastAsia" w:ascii="仿宋_GB2312" w:hAnsi="仿宋" w:eastAsia="仿宋_GB2312" w:cs="仿宋_GB2312"/>
                <w:sz w:val="24"/>
                <w:szCs w:val="20"/>
              </w:rPr>
              <w:t>，无需提供）</w:t>
            </w:r>
          </w:p>
        </w:tc>
        <w:tc>
          <w:tcPr>
            <w:tcW w:w="1418" w:type="dxa"/>
            <w:vAlign w:val="top"/>
          </w:tcPr>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r>
              <w:rPr>
                <w:rFonts w:hint="eastAsia" w:ascii="仿宋" w:hAnsi="仿宋" w:eastAsia="仿宋" w:cs="仿宋_GB2312"/>
                <w:sz w:val="24"/>
                <w:szCs w:val="20"/>
              </w:rPr>
              <w:t>见投标文件</w:t>
            </w:r>
          </w:p>
          <w:p>
            <w:pPr>
              <w:pStyle w:val="2"/>
              <w:spacing w:before="0" w:beforeAutospacing="0" w:after="0" w:afterAutospacing="0"/>
              <w:ind w:right="0"/>
              <w:rPr>
                <w:rFonts w:hint="eastAsia" w:ascii="Times New Roman" w:hAnsi="Times New Roman" w:cs="Times New Roman"/>
                <w:sz w:val="20"/>
                <w:szCs w:val="20"/>
                <w:lang w:val="en-US"/>
              </w:rPr>
            </w:pPr>
            <w:r>
              <w:rPr>
                <w:rFonts w:hint="eastAsia" w:ascii="仿宋" w:hAnsi="Times New Roman" w:eastAsia="仿宋" w:cs="仿宋_GB2312"/>
                <w:b w:val="0"/>
                <w:bCs w:val="0"/>
                <w:sz w:val="24"/>
                <w:szCs w:val="24"/>
                <w:lang w:val="en-US"/>
              </w:rPr>
              <w:t>第</w:t>
            </w:r>
            <w:r>
              <w:rPr>
                <w:rFonts w:hint="eastAsia" w:ascii="仿宋" w:hAnsi="Times New Roman" w:eastAsia="仿宋" w:cs="仿宋_GB2312"/>
                <w:b w:val="0"/>
                <w:bCs w:val="0"/>
                <w:sz w:val="24"/>
                <w:szCs w:val="24"/>
                <w:u w:val="single"/>
                <w:lang w:val="en-US"/>
              </w:rPr>
              <w:t xml:space="preserve">  </w:t>
            </w:r>
            <w:r>
              <w:rPr>
                <w:rFonts w:hint="eastAsia" w:ascii="仿宋" w:hAnsi="Times New Roman"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3</w:t>
            </w:r>
          </w:p>
        </w:tc>
        <w:tc>
          <w:tcPr>
            <w:tcW w:w="4991" w:type="dxa"/>
            <w:vAlign w:val="top"/>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Times New Roman"/>
                <w:sz w:val="24"/>
                <w:szCs w:val="20"/>
              </w:rPr>
              <w:t>投标文件中承诺的投标有效期不少于招标文件中载明的投标有效期。</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投标函</w:t>
            </w:r>
          </w:p>
        </w:tc>
        <w:tc>
          <w:tcPr>
            <w:tcW w:w="1418" w:type="dxa"/>
            <w:vAlign w:val="top"/>
          </w:tcPr>
          <w:p>
            <w:pPr>
              <w:spacing w:before="0" w:beforeAutospacing="0" w:after="0" w:afterAutospacing="0"/>
              <w:ind w:left="0" w:right="0"/>
              <w:rPr>
                <w:rFonts w:hint="eastAsia" w:ascii="Times New Roman" w:hAnsi="Times New Roman" w:cs="Times New Roman"/>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4</w:t>
            </w:r>
          </w:p>
        </w:tc>
        <w:tc>
          <w:tcPr>
            <w:tcW w:w="4991" w:type="dxa"/>
            <w:vAlign w:val="top"/>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投标文件满足招标文件的其它实质性要求。</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_GB2312" w:hAnsi="仿宋" w:eastAsia="仿宋_GB2312" w:cs="仿宋_GB2312"/>
                <w:kern w:val="0"/>
                <w:sz w:val="24"/>
                <w:szCs w:val="20"/>
              </w:rPr>
              <w:t>招标文件其它实质性要求相应的材料（“▲” 系指实质性要求条款，招标文件无其它实质性要求的，无需提供）</w:t>
            </w:r>
          </w:p>
        </w:tc>
        <w:tc>
          <w:tcPr>
            <w:tcW w:w="1418" w:type="dxa"/>
            <w:vAlign w:val="top"/>
          </w:tcPr>
          <w:p>
            <w:pPr>
              <w:spacing w:before="0" w:beforeAutospacing="0" w:after="0" w:afterAutospacing="0"/>
              <w:ind w:left="0" w:right="0"/>
              <w:rPr>
                <w:rFonts w:hint="eastAsia" w:ascii="Times New Roman" w:hAnsi="Times New Roman" w:cs="Times New Roman"/>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pPr>
        <w:spacing w:before="0" w:beforeAutospacing="0" w:after="0" w:afterAutospacing="0" w:line="360" w:lineRule="auto"/>
        <w:ind w:left="0" w:right="0"/>
        <w:jc w:val="both"/>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注：</w:t>
      </w:r>
      <w:r>
        <w:rPr>
          <w:rFonts w:hint="eastAsia" w:ascii="宋体" w:hAnsi="宋体" w:eastAsia="宋体" w:cs="宋体"/>
          <w:b/>
          <w:color w:val="auto"/>
          <w:sz w:val="24"/>
          <w:szCs w:val="20"/>
          <w:highlight w:val="none"/>
          <w:lang w:val="en-US" w:eastAsia="zh-CN"/>
        </w:rPr>
        <w:t>货物类</w:t>
      </w:r>
      <w:r>
        <w:rPr>
          <w:rFonts w:hint="eastAsia" w:ascii="宋体" w:hAnsi="宋体" w:eastAsia="宋体" w:cs="宋体"/>
          <w:b/>
          <w:color w:val="auto"/>
          <w:sz w:val="24"/>
          <w:szCs w:val="20"/>
          <w:highlight w:val="none"/>
        </w:rPr>
        <w:t>按本格式和要求提供。</w:t>
      </w:r>
    </w:p>
    <w:p>
      <w:pPr>
        <w:jc w:val="center"/>
        <w:rPr>
          <w:rFonts w:hint="eastAsia" w:ascii="仿宋_GB2312" w:hAnsi="仿宋" w:eastAsia="仿宋_GB2312" w:cs="仿宋_GB2312"/>
          <w:b/>
          <w:kern w:val="0"/>
          <w:sz w:val="32"/>
          <w:szCs w:val="32"/>
          <w:highlight w:val="none"/>
        </w:rPr>
      </w:pPr>
    </w:p>
    <w:p>
      <w:pPr>
        <w:jc w:val="center"/>
        <w:rPr>
          <w:rFonts w:hint="eastAsia" w:ascii="仿宋_GB2312" w:hAnsi="仿宋" w:eastAsia="仿宋_GB2312" w:cs="仿宋_GB2312"/>
          <w:b/>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cs="宋体"/>
                <w:b/>
                <w:color w:val="auto"/>
                <w:sz w:val="24"/>
                <w:szCs w:val="20"/>
                <w:highlight w:val="none"/>
              </w:rPr>
            </w:pPr>
          </w:p>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p>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pPr>
        <w:pStyle w:val="2"/>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注：服务类按本格式和要求提供。</w:t>
      </w:r>
    </w:p>
    <w:p>
      <w:pPr>
        <w:rPr>
          <w:rFonts w:hint="eastAsia" w:ascii="仿宋_GB2312" w:hAnsi="仿宋" w:eastAsia="仿宋_GB2312" w:cs="仿宋_GB2312"/>
          <w:b/>
          <w:kern w:val="0"/>
          <w:sz w:val="32"/>
          <w:szCs w:val="32"/>
        </w:rPr>
      </w:pPr>
    </w:p>
    <w:p>
      <w:pPr>
        <w:pStyle w:val="2"/>
        <w:rPr>
          <w:rFonts w:hint="eastAsia" w:ascii="仿宋_GB2312" w:hAnsi="仿宋" w:eastAsia="仿宋_GB2312" w:cs="仿宋_GB2312"/>
          <w:b/>
          <w:kern w:val="0"/>
          <w:sz w:val="32"/>
          <w:szCs w:val="32"/>
        </w:rPr>
      </w:pPr>
    </w:p>
    <w:p>
      <w:pPr>
        <w:rPr>
          <w:rFonts w:hint="eastAsia"/>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八</w:t>
      </w:r>
      <w:r>
        <w:rPr>
          <w:rFonts w:hint="eastAsia" w:ascii="仿宋_GB2312" w:hAnsi="仿宋" w:eastAsia="仿宋_GB2312" w:cs="仿宋_GB2312"/>
          <w:b/>
          <w:kern w:val="0"/>
          <w:sz w:val="32"/>
          <w:szCs w:val="32"/>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序号</w:t>
            </w:r>
          </w:p>
        </w:tc>
        <w:tc>
          <w:tcPr>
            <w:tcW w:w="3683"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1</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2</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九</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both"/>
        <w:rPr>
          <w:rFonts w:ascii="仿宋_GB2312" w:hAnsi="仿宋" w:eastAsia="仿宋_GB2312" w:cs="仿宋_GB2312"/>
          <w:b/>
          <w:kern w:val="0"/>
          <w:sz w:val="32"/>
          <w:szCs w:val="32"/>
        </w:rPr>
      </w:pP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3</w:t>
      </w:r>
      <w:r>
        <w:rPr>
          <w:rFonts w:hint="eastAsia" w:ascii="仿宋_GB2312" w:hAnsi="仿宋" w:eastAsia="仿宋_GB2312" w:cs="仿宋_GB2312"/>
          <w:sz w:val="24"/>
          <w:lang w:eastAsia="zh-CN"/>
        </w:rPr>
        <w:t>）</w:t>
      </w:r>
      <w:r>
        <w:rPr>
          <w:rFonts w:hint="default" w:ascii="仿宋_GB2312" w:hAnsi="仿宋" w:eastAsia="仿宋_GB2312" w:cs="仿宋_GB2312"/>
          <w:sz w:val="24"/>
        </w:rPr>
        <w:t>投标人针对报价需要说明的其他文件和说明</w:t>
      </w:r>
      <w:r>
        <w:rPr>
          <w:rFonts w:hint="default" w:ascii="仿宋_GB2312" w:hAnsi="仿宋" w:eastAsia="仿宋_GB2312" w:cs="仿宋_GB2312"/>
          <w:sz w:val="24"/>
          <w:lang w:eastAsia="zh-CN"/>
        </w:rPr>
        <w:t>（如有）</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79"/>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pStyle w:val="379"/>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lang w:val="en-US" w:eastAsia="zh-CN"/>
        </w:rPr>
        <w:t>项目编号</w:t>
      </w:r>
      <w:r>
        <w:rPr>
          <w:rFonts w:hint="eastAsia" w:ascii="仿宋_GB2312" w:hAnsi="仿宋" w:eastAsia="仿宋_GB2312" w:cs="仿宋_GB2312"/>
          <w:kern w:val="0"/>
          <w:sz w:val="24"/>
          <w:lang w:val="zh-CN"/>
        </w:rPr>
        <w:t>：</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序号</w:t>
            </w:r>
          </w:p>
        </w:tc>
        <w:tc>
          <w:tcPr>
            <w:tcW w:w="1417"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名称</w:t>
            </w:r>
          </w:p>
        </w:tc>
        <w:tc>
          <w:tcPr>
            <w:tcW w:w="1843" w:type="dxa"/>
            <w:vAlign w:val="top"/>
          </w:tcPr>
          <w:p>
            <w:pPr>
              <w:spacing w:before="0" w:beforeAutospacing="0" w:after="0" w:afterAutospacing="0" w:line="360" w:lineRule="auto"/>
              <w:ind w:left="0" w:right="0"/>
              <w:jc w:val="center"/>
              <w:rPr>
                <w:rFonts w:hint="eastAsia" w:ascii="宋体" w:hAnsi="宋体" w:cs="宋体"/>
                <w:b/>
                <w:sz w:val="24"/>
                <w:szCs w:val="20"/>
                <w:highlight w:val="none"/>
              </w:rPr>
            </w:pPr>
          </w:p>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品牌（如果有）</w:t>
            </w:r>
          </w:p>
        </w:tc>
        <w:tc>
          <w:tcPr>
            <w:tcW w:w="3118"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规格型号</w:t>
            </w:r>
          </w:p>
        </w:tc>
        <w:tc>
          <w:tcPr>
            <w:tcW w:w="993"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数量</w:t>
            </w:r>
          </w:p>
        </w:tc>
        <w:tc>
          <w:tcPr>
            <w:tcW w:w="1559"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单价</w:t>
            </w:r>
          </w:p>
        </w:tc>
        <w:tc>
          <w:tcPr>
            <w:tcW w:w="1984"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合计</w:t>
            </w:r>
          </w:p>
        </w:tc>
        <w:tc>
          <w:tcPr>
            <w:tcW w:w="3119"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p>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备注（如果有）</w:t>
            </w:r>
          </w:p>
          <w:p>
            <w:pPr>
              <w:spacing w:before="0" w:beforeAutospacing="0" w:after="0" w:afterAutospacing="0" w:line="360" w:lineRule="auto"/>
              <w:ind w:left="0" w:right="0"/>
              <w:jc w:val="center"/>
              <w:rPr>
                <w:rFonts w:hint="eastAsia" w:ascii="宋体" w:hAnsi="宋体" w:cs="宋体"/>
                <w:b/>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1</w:t>
            </w:r>
          </w:p>
        </w:tc>
        <w:tc>
          <w:tcPr>
            <w:tcW w:w="1417"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XX</w:t>
            </w:r>
          </w:p>
        </w:tc>
        <w:tc>
          <w:tcPr>
            <w:tcW w:w="184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311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99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155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198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311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2</w:t>
            </w:r>
          </w:p>
        </w:tc>
        <w:tc>
          <w:tcPr>
            <w:tcW w:w="1417"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XX</w:t>
            </w:r>
          </w:p>
        </w:tc>
        <w:tc>
          <w:tcPr>
            <w:tcW w:w="184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311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99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155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198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311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w:t>
            </w:r>
          </w:p>
        </w:tc>
        <w:tc>
          <w:tcPr>
            <w:tcW w:w="1417"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184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311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99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155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198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311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1417"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184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311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99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155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198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311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1417"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184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311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99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155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198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311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投标报价（小写）</w:t>
            </w:r>
          </w:p>
        </w:tc>
        <w:tc>
          <w:tcPr>
            <w:tcW w:w="7655" w:type="dxa"/>
            <w:gridSpan w:val="4"/>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投标报价（大写）</w:t>
            </w:r>
          </w:p>
        </w:tc>
        <w:tc>
          <w:tcPr>
            <w:tcW w:w="7655" w:type="dxa"/>
            <w:gridSpan w:val="4"/>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bl>
    <w:p>
      <w:pPr>
        <w:spacing w:before="0" w:beforeAutospacing="0" w:after="0" w:afterAutospacing="0" w:line="360" w:lineRule="auto"/>
        <w:ind w:left="0" w:right="0"/>
        <w:jc w:val="both"/>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注：</w:t>
      </w:r>
      <w:r>
        <w:rPr>
          <w:rFonts w:hint="eastAsia" w:ascii="宋体" w:hAnsi="宋体" w:eastAsia="宋体" w:cs="宋体"/>
          <w:b/>
          <w:color w:val="auto"/>
          <w:sz w:val="24"/>
          <w:szCs w:val="20"/>
          <w:highlight w:val="none"/>
          <w:lang w:val="en-US" w:eastAsia="zh-CN"/>
        </w:rPr>
        <w:t>货物类</w:t>
      </w:r>
      <w:r>
        <w:rPr>
          <w:rFonts w:hint="eastAsia" w:ascii="宋体" w:hAnsi="宋体" w:eastAsia="宋体" w:cs="宋体"/>
          <w:b/>
          <w:color w:val="auto"/>
          <w:sz w:val="24"/>
          <w:szCs w:val="20"/>
          <w:highlight w:val="none"/>
        </w:rPr>
        <w:t>按本格式和要求提供。</w:t>
      </w:r>
    </w:p>
    <w:p>
      <w:pPr>
        <w:snapToGrid w:val="0"/>
        <w:spacing w:line="360" w:lineRule="auto"/>
        <w:ind w:left="480"/>
        <w:rPr>
          <w:rFonts w:hint="eastAsia" w:ascii="仿宋_GB2312" w:hAnsi="仿宋" w:eastAsia="仿宋_GB2312" w:cs="仿宋_GB2312"/>
          <w:b/>
          <w:kern w:val="0"/>
          <w:sz w:val="24"/>
          <w:highlight w:val="green"/>
          <w:lang w:val="zh-CN"/>
        </w:rPr>
      </w:pPr>
    </w:p>
    <w:p>
      <w:pPr>
        <w:pStyle w:val="2"/>
        <w:rPr>
          <w:rFonts w:hint="eastAsia"/>
          <w:highlight w:val="none"/>
          <w:lang w:val="zh-CN"/>
        </w:rPr>
      </w:pPr>
    </w:p>
    <w:p>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序号</w:t>
            </w:r>
          </w:p>
        </w:tc>
        <w:tc>
          <w:tcPr>
            <w:tcW w:w="992"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名称</w:t>
            </w:r>
          </w:p>
        </w:tc>
        <w:tc>
          <w:tcPr>
            <w:tcW w:w="2268" w:type="dxa"/>
            <w:vAlign w:val="top"/>
          </w:tcPr>
          <w:p>
            <w:pPr>
              <w:spacing w:before="0" w:beforeAutospacing="0" w:after="0" w:afterAutospacing="0" w:line="360" w:lineRule="auto"/>
              <w:ind w:left="0" w:right="0"/>
              <w:jc w:val="center"/>
              <w:rPr>
                <w:rFonts w:hint="eastAsia" w:ascii="宋体" w:hAnsi="宋体" w:cs="宋体"/>
                <w:b/>
                <w:sz w:val="24"/>
                <w:szCs w:val="20"/>
                <w:highlight w:val="none"/>
              </w:rPr>
            </w:pPr>
          </w:p>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服务范围</w:t>
            </w:r>
          </w:p>
        </w:tc>
        <w:tc>
          <w:tcPr>
            <w:tcW w:w="2410"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服务要求</w:t>
            </w:r>
          </w:p>
        </w:tc>
        <w:tc>
          <w:tcPr>
            <w:tcW w:w="2268"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服务时间</w:t>
            </w:r>
          </w:p>
        </w:tc>
        <w:tc>
          <w:tcPr>
            <w:tcW w:w="2126"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服务标准</w:t>
            </w:r>
          </w:p>
        </w:tc>
        <w:tc>
          <w:tcPr>
            <w:tcW w:w="2127" w:type="dxa"/>
            <w:vAlign w:val="top"/>
          </w:tcPr>
          <w:p>
            <w:pPr>
              <w:spacing w:before="0" w:beforeAutospacing="0" w:after="0" w:afterAutospacing="0" w:line="360" w:lineRule="auto"/>
              <w:ind w:left="0" w:right="0"/>
              <w:jc w:val="center"/>
              <w:rPr>
                <w:rFonts w:hint="eastAsia" w:ascii="宋体" w:hAnsi="宋体" w:cs="宋体"/>
                <w:b/>
                <w:sz w:val="24"/>
                <w:szCs w:val="20"/>
                <w:highlight w:val="none"/>
              </w:rPr>
            </w:pPr>
          </w:p>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服务人数</w:t>
            </w:r>
          </w:p>
        </w:tc>
        <w:tc>
          <w:tcPr>
            <w:tcW w:w="2126"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p>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备注（如果有）</w:t>
            </w:r>
          </w:p>
          <w:p>
            <w:pPr>
              <w:spacing w:before="0" w:beforeAutospacing="0" w:after="0" w:afterAutospacing="0" w:line="360" w:lineRule="auto"/>
              <w:ind w:left="0" w:right="0"/>
              <w:jc w:val="center"/>
              <w:rPr>
                <w:rFonts w:hint="eastAsia" w:ascii="宋体" w:hAnsi="宋体" w:cs="宋体"/>
                <w:b/>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1</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XX</w:t>
            </w: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2</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XX</w:t>
            </w: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投标报价（小写）</w:t>
            </w:r>
          </w:p>
        </w:tc>
        <w:tc>
          <w:tcPr>
            <w:tcW w:w="8647" w:type="dxa"/>
            <w:gridSpan w:val="4"/>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投标报价（大写）</w:t>
            </w:r>
          </w:p>
        </w:tc>
        <w:tc>
          <w:tcPr>
            <w:tcW w:w="8647" w:type="dxa"/>
            <w:gridSpan w:val="4"/>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r>
    </w:tbl>
    <w:p>
      <w:pPr>
        <w:pStyle w:val="2"/>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注：服务类按本格式和要求提供。</w:t>
      </w:r>
    </w:p>
    <w:p>
      <w:pPr>
        <w:pStyle w:val="2"/>
        <w:rPr>
          <w:rFonts w:hint="eastAsia"/>
          <w:highlight w:val="none"/>
          <w:lang w:val="zh-CN"/>
        </w:rPr>
      </w:pPr>
    </w:p>
    <w:p>
      <w:pPr>
        <w:snapToGrid w:val="0"/>
        <w:spacing w:line="360" w:lineRule="auto"/>
        <w:ind w:left="480"/>
        <w:rPr>
          <w:rFonts w:hint="eastAsia"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注：</w:t>
      </w:r>
    </w:p>
    <w:p>
      <w:pPr>
        <w:spacing w:line="360" w:lineRule="auto"/>
        <w:ind w:left="-2" w:firstLine="480" w:firstLineChars="200"/>
        <w:rPr>
          <w:color w:val="auto"/>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仿宋_GB2312" w:hAnsi="仿宋" w:eastAsia="仿宋_GB2312" w:cs="仿宋_GB2312"/>
          <w:kern w:val="0"/>
          <w:sz w:val="24"/>
          <w:highlight w:val="none"/>
          <w:lang w:val="en-US" w:eastAsia="zh-CN"/>
        </w:rPr>
        <w:t>2</w:t>
      </w:r>
      <w:r>
        <w:rPr>
          <w:rFonts w:ascii="仿宋_GB2312" w:hAnsi="仿宋" w:eastAsia="仿宋_GB2312" w:cs="仿宋_GB2312"/>
          <w:kern w:val="0"/>
          <w:sz w:val="24"/>
          <w:highlight w:val="none"/>
          <w:lang w:val="zh-CN"/>
        </w:rPr>
        <w:t>、有关本项目实施所涉及的一切费用均计入报价。</w:t>
      </w:r>
      <w:r>
        <w:rPr>
          <w:rFonts w:hint="eastAsia" w:ascii="仿宋_GB2312" w:hAnsi="仿宋" w:eastAsia="仿宋_GB2312" w:cs="仿宋_GB2312"/>
          <w:b/>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不得出现“</w:t>
      </w:r>
      <w:r>
        <w:rPr>
          <w:rFonts w:ascii="仿宋_GB2312" w:hAnsi="仿宋" w:eastAsia="仿宋_GB2312" w:cs="仿宋_GB2312"/>
          <w:b/>
          <w:kern w:val="0"/>
          <w:sz w:val="24"/>
          <w:highlight w:val="none"/>
          <w:lang w:val="zh-CN"/>
        </w:rPr>
        <w:t>0元”“免费赠送”等形式的无偿报价</w:t>
      </w:r>
      <w:r>
        <w:rPr>
          <w:rFonts w:hint="eastAsia" w:ascii="仿宋_GB2312" w:hAnsi="仿宋" w:eastAsia="仿宋_GB2312" w:cs="仿宋_GB2312"/>
          <w:b/>
          <w:kern w:val="0"/>
          <w:sz w:val="24"/>
          <w:highlight w:val="none"/>
          <w:lang w:val="zh-CN"/>
        </w:rPr>
        <w:t>，</w:t>
      </w:r>
      <w:r>
        <w:rPr>
          <w:rFonts w:hint="eastAsia" w:ascii="仿宋_GB2312" w:hAnsi="仿宋" w:eastAsia="仿宋_GB2312" w:cs="仿宋_GB2312"/>
          <w:b/>
          <w:kern w:val="0"/>
          <w:sz w:val="24"/>
          <w:highlight w:val="none"/>
        </w:rPr>
        <w:t>否则视为</w:t>
      </w:r>
      <w:r>
        <w:rPr>
          <w:rFonts w:hint="eastAsia" w:ascii="仿宋_GB2312" w:hAnsi="仿宋" w:eastAsia="仿宋_GB2312"/>
          <w:b/>
          <w:sz w:val="24"/>
          <w:highlight w:val="none"/>
        </w:rPr>
        <w:t>投标文件含有采购人不能接受的附加条件的，投标无效</w:t>
      </w:r>
      <w:r>
        <w:rPr>
          <w:rFonts w:hint="eastAsia" w:ascii="仿宋_GB2312" w:hAnsi="仿宋" w:eastAsia="仿宋_GB2312" w:cs="仿宋_GB2312"/>
          <w:b/>
          <w:kern w:val="0"/>
          <w:sz w:val="24"/>
          <w:highlight w:val="none"/>
          <w:lang w:val="zh-CN"/>
        </w:rPr>
        <w:t>；采购内容未包含在《开标一览表（报价表）》名称栏中，投标人不能作出合理解释的，视为投标文件含有采购人不能接受的附加条件的，投标无效。</w:t>
      </w:r>
    </w:p>
    <w:p>
      <w:pPr>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szCs w:val="22"/>
          <w:highlight w:val="none"/>
          <w:lang w:val="en-US" w:eastAsia="zh-CN"/>
        </w:rPr>
        <w:t>3</w:t>
      </w:r>
      <w:r>
        <w:rPr>
          <w:rFonts w:ascii="仿宋_GB2312" w:hAnsi="仿宋" w:eastAsia="仿宋_GB2312" w:cs="仿宋_GB2312"/>
          <w:kern w:val="0"/>
          <w:sz w:val="24"/>
          <w:szCs w:val="22"/>
          <w:highlight w:val="none"/>
          <w:lang w:val="zh-CN"/>
        </w:rPr>
        <w:t>、</w:t>
      </w:r>
      <w:r>
        <w:rPr>
          <w:rFonts w:hint="eastAsia" w:ascii="仿宋_GB2312" w:hAnsi="仿宋" w:eastAsia="仿宋_GB2312" w:cs="仿宋_GB2312"/>
          <w:kern w:val="0"/>
          <w:sz w:val="24"/>
          <w:highlight w:val="none"/>
          <w:lang w:val="zh-CN"/>
        </w:rPr>
        <w:t>符合招标文件中列明的可享受中小企业扶持政策的投标人，请填写中小企业声明函。注：投标人</w:t>
      </w:r>
      <w:r>
        <w:rPr>
          <w:rFonts w:ascii="仿宋_GB2312" w:hAnsi="仿宋" w:eastAsia="仿宋_GB2312" w:cs="仿宋_GB2312"/>
          <w:kern w:val="0"/>
          <w:sz w:val="24"/>
          <w:highlight w:val="none"/>
          <w:lang w:val="zh-CN"/>
        </w:rPr>
        <w:t>提供</w:t>
      </w:r>
      <w:r>
        <w:rPr>
          <w:rFonts w:hint="eastAsia" w:ascii="仿宋_GB2312" w:hAnsi="仿宋" w:eastAsia="仿宋_GB2312" w:cs="仿宋_GB2312"/>
          <w:kern w:val="0"/>
          <w:sz w:val="24"/>
          <w:highlight w:val="none"/>
          <w:lang w:val="zh-CN"/>
        </w:rPr>
        <w:t>的中小企业</w:t>
      </w:r>
      <w:r>
        <w:rPr>
          <w:rFonts w:ascii="仿宋_GB2312" w:hAnsi="仿宋" w:eastAsia="仿宋_GB2312" w:cs="仿宋_GB2312"/>
          <w:kern w:val="0"/>
          <w:sz w:val="24"/>
          <w:highlight w:val="none"/>
          <w:lang w:val="zh-CN"/>
        </w:rPr>
        <w:t>声明函内容不实的，属于提供虚假材料谋取中标、成交，依照《中华人民共和国政府采购法》等国家有关规定追究相应责任。</w:t>
      </w:r>
    </w:p>
    <w:p>
      <w:pPr>
        <w:pStyle w:val="2"/>
        <w:rPr>
          <w:rFonts w:hint="eastAsia" w:cs="仿宋_GB2312"/>
          <w:kern w:val="0"/>
          <w:sz w:val="24"/>
          <w:highlight w:val="none"/>
          <w:lang w:val="en-US" w:eastAsia="zh-CN"/>
        </w:rPr>
      </w:pPr>
      <w:r>
        <w:rPr>
          <w:rFonts w:hint="eastAsia" w:cs="仿宋_GB2312"/>
          <w:kern w:val="0"/>
          <w:sz w:val="24"/>
          <w:highlight w:val="none"/>
          <w:lang w:val="en-US" w:eastAsia="zh-CN"/>
        </w:rPr>
        <w:t xml:space="preserve">    </w:t>
      </w:r>
    </w:p>
    <w:p>
      <w:pPr>
        <w:rPr>
          <w:rFonts w:hint="eastAsia" w:ascii="宋体" w:hAnsi="宋体" w:cs="宋体"/>
          <w:kern w:val="0"/>
          <w:sz w:val="24"/>
          <w:highlight w:val="none"/>
          <w:lang w:val="zh-CN"/>
        </w:rPr>
      </w:pPr>
      <w:r>
        <w:rPr>
          <w:rFonts w:hint="eastAsia" w:ascii="宋体" w:hAnsi="宋体" w:cs="宋体"/>
          <w:kern w:val="0"/>
          <w:sz w:val="24"/>
          <w:highlight w:val="none"/>
          <w:lang w:val="en-US" w:eastAsia="zh-CN"/>
        </w:rPr>
        <w:t xml:space="preserve">    4</w:t>
      </w:r>
      <w:r>
        <w:rPr>
          <w:rFonts w:hint="eastAsia" w:ascii="宋体" w:hAnsi="宋体" w:cs="宋体"/>
          <w:kern w:val="0"/>
          <w:sz w:val="24"/>
          <w:highlight w:val="none"/>
          <w:lang w:val="zh-CN"/>
        </w:rPr>
        <w:t>、特别提示：采购机构将对项目名称和项目编号，中标供应商名称、地址和中标金额，主要中标标的名称、品牌（如果有）、规格型号、数量、单价等予以公示。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en-US" w:eastAsia="zh-CN"/>
        </w:rPr>
        <w:t>4</w:t>
      </w:r>
      <w:r>
        <w:rPr>
          <w:rFonts w:hint="eastAsia" w:ascii="宋体" w:hAnsi="宋体" w:cs="宋体"/>
          <w:kern w:val="0"/>
          <w:sz w:val="24"/>
          <w:highlight w:val="none"/>
          <w:lang w:val="zh-CN"/>
        </w:rPr>
        <w:t>、特别提示：采购机构将对项目名称和项目编号，中标供应商名称、地址和中标金额，主要中标标的名称、服务范围、服务要求、服务时间、服务标准等予以公示。</w:t>
      </w:r>
    </w:p>
    <w:p>
      <w:pPr>
        <w:pStyle w:val="2"/>
        <w:rPr>
          <w:rFonts w:hint="eastAsia"/>
          <w:highlight w:val="none"/>
          <w:lang w:val="en-US" w:eastAsia="zh-CN"/>
        </w:rPr>
      </w:pPr>
    </w:p>
    <w:p>
      <w:pPr>
        <w:rPr>
          <w:rFonts w:ascii="仿宋_GB2312" w:hAnsi="仿宋" w:eastAsia="仿宋_GB2312" w:cs="仿宋_GB2312"/>
          <w:kern w:val="0"/>
          <w:sz w:val="24"/>
          <w:highlight w:val="none"/>
          <w:lang w:val="zh-CN"/>
        </w:rPr>
      </w:pPr>
    </w:p>
    <w:p>
      <w:pPr>
        <w:pStyle w:val="2"/>
        <w:rPr>
          <w:highlight w:val="none"/>
        </w:rPr>
        <w:sectPr>
          <w:pgSz w:w="16838" w:h="11906" w:orient="landscape"/>
          <w:pgMar w:top="1418" w:right="1247" w:bottom="1418" w:left="1276" w:header="851" w:footer="992" w:gutter="0"/>
          <w:cols w:space="720" w:num="1"/>
          <w:titlePg/>
          <w:docGrid w:linePitch="312" w:charSpace="0"/>
        </w:sectPr>
      </w:pPr>
    </w:p>
    <w:p>
      <w:pPr>
        <w:pStyle w:val="379"/>
        <w:tabs>
          <w:tab w:val="clear" w:pos="720"/>
        </w:tabs>
        <w:snapToGrid w:val="0"/>
        <w:spacing w:before="120" w:after="120"/>
        <w:ind w:firstLine="643"/>
        <w:outlineLvl w:val="9"/>
        <w:rPr>
          <w:rFonts w:ascii="仿宋_GB2312" w:hAnsi="宋体" w:eastAsia="仿宋_GB2312"/>
          <w:sz w:val="32"/>
          <w:szCs w:val="32"/>
          <w:highlight w:val="none"/>
        </w:rPr>
      </w:pPr>
      <w:r>
        <w:rPr>
          <w:rFonts w:hint="eastAsia" w:ascii="仿宋_GB2312" w:hAnsi="仿宋" w:eastAsia="仿宋_GB2312" w:cs="仿宋_GB2312"/>
          <w:kern w:val="2"/>
          <w:sz w:val="32"/>
          <w:szCs w:val="32"/>
          <w:highlight w:val="none"/>
        </w:rPr>
        <w:t>二、</w:t>
      </w:r>
      <w:r>
        <w:rPr>
          <w:rFonts w:hint="eastAsia" w:ascii="仿宋_GB2312" w:hAnsi="宋体" w:eastAsia="仿宋_GB2312"/>
          <w:sz w:val="32"/>
          <w:szCs w:val="32"/>
          <w:highlight w:val="none"/>
        </w:rPr>
        <w:t>中小企业声明函</w:t>
      </w:r>
    </w:p>
    <w:p>
      <w:pPr>
        <w:widowControl/>
        <w:spacing w:line="360" w:lineRule="auto"/>
        <w:ind w:firstLine="120" w:firstLineChars="50"/>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highlight w:val="none"/>
        </w:rPr>
        <w:t>5）。</w:t>
      </w:r>
      <w:r>
        <w:rPr>
          <w:rFonts w:hint="eastAsia" w:ascii="仿宋_GB2312" w:hAnsi="仿宋" w:eastAsia="仿宋_GB2312" w:cs="仿宋_GB2312"/>
          <w:b/>
          <w:sz w:val="24"/>
          <w:highlight w:val="none"/>
        </w:rPr>
        <w:t>]</w:t>
      </w: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r>
        <w:rPr>
          <w:rFonts w:hint="eastAsia" w:ascii="仿宋_GB2312" w:hAnsi="仿宋" w:eastAsia="仿宋_GB2312" w:cs="仿宋_GB2312"/>
          <w:b/>
          <w:sz w:val="32"/>
          <w:szCs w:val="32"/>
          <w:highlight w:val="none"/>
        </w:rPr>
        <w:br w:type="page"/>
      </w:r>
    </w:p>
    <w:p>
      <w:pPr>
        <w:tabs>
          <w:tab w:val="left" w:pos="8085"/>
        </w:tabs>
        <w:spacing w:line="360" w:lineRule="auto"/>
        <w:ind w:firstLine="1285" w:firstLineChars="400"/>
        <w:jc w:val="left"/>
        <w:rPr>
          <w:rFonts w:ascii="仿宋_GB2312" w:hAnsi="仿宋" w:eastAsia="仿宋_GB2312" w:cs="仿宋_GB2312"/>
          <w:b/>
          <w:sz w:val="32"/>
          <w:szCs w:val="32"/>
          <w:highlight w:val="none"/>
        </w:rPr>
      </w:pPr>
      <w:r>
        <w:rPr>
          <w:rFonts w:hint="eastAsia" w:ascii="仿宋_GB2312" w:hAnsi="仿宋" w:eastAsia="仿宋_GB2312" w:cs="仿宋_GB2312"/>
          <w:b/>
          <w:sz w:val="32"/>
          <w:szCs w:val="32"/>
          <w:highlight w:val="none"/>
        </w:rPr>
        <w:t>政府采购支持中小企业信用融资相关事项通知</w:t>
      </w:r>
    </w:p>
    <w:p>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2"/>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431" w:name="_Toc465665161"/>
      <w:r>
        <w:rPr>
          <w:rFonts w:hint="eastAsia" w:ascii="仿宋_GB2312" w:hAnsi="仿宋" w:eastAsia="仿宋_GB2312"/>
        </w:rPr>
        <w:t>附件</w:t>
      </w:r>
      <w:bookmarkEnd w:id="431"/>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32" w:name="OLE_LINK13"/>
      <w:bookmarkStart w:id="433" w:name="OLE_LINK14"/>
      <w:r>
        <w:rPr>
          <w:rFonts w:hint="eastAsia" w:ascii="仿宋_GB2312" w:hAnsi="仿宋" w:eastAsia="仿宋_GB2312"/>
          <w:b/>
          <w:spacing w:val="6"/>
          <w:sz w:val="32"/>
          <w:szCs w:val="32"/>
        </w:rPr>
        <w:t>残疾人福利性单位声明函</w:t>
      </w:r>
    </w:p>
    <w:bookmarkEnd w:id="432"/>
    <w:bookmarkEnd w:id="433"/>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r>
        <w:br w:type="page"/>
      </w:r>
    </w:p>
    <w:p>
      <w:pPr>
        <w:pStyle w:val="2"/>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仿宋" w:hAnsi="仿宋" w:eastAsia="仿宋" w:cs="Times New Roman"/>
          <w:b/>
          <w:bCs/>
          <w:kern w:val="2"/>
          <w:sz w:val="24"/>
          <w:szCs w:val="24"/>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r>
        <w:rPr>
          <w:rFonts w:hint="eastAsia" w:ascii="仿宋" w:hAnsi="仿宋" w:eastAsia="仿宋"/>
          <w:b/>
          <w:spacing w:val="6"/>
          <w:sz w:val="32"/>
          <w:szCs w:val="32"/>
        </w:rPr>
        <w:br w:type="page"/>
      </w: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r>
        <w:rPr>
          <w:rFonts w:hint="eastAsia" w:ascii="仿宋_GB2312" w:hAnsi="仿宋"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lang w:val="en-US"/>
        </w:rPr>
      </w:pPr>
    </w:p>
    <w:p>
      <w:pPr>
        <w:spacing w:line="360" w:lineRule="auto"/>
        <w:ind w:right="420"/>
      </w:pPr>
    </w:p>
    <w:p>
      <w:pPr>
        <w:spacing w:line="360" w:lineRule="auto"/>
        <w:rPr>
          <w:rFonts w:ascii="仿宋" w:hAnsi="仿宋" w:eastAsia="仿宋"/>
          <w:bCs/>
          <w:sz w:val="24"/>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5"/>
      </w:rPr>
    </w:pPr>
    <w:r>
      <w:fldChar w:fldCharType="begin"/>
    </w:r>
    <w:r>
      <w:rPr>
        <w:rStyle w:val="75"/>
      </w:rPr>
      <w:instrText xml:space="preserve">PAGE  </w:instrText>
    </w:r>
    <w:r>
      <w:fldChar w:fldCharType="separate"/>
    </w:r>
    <w:r>
      <w:rPr>
        <w:rStyle w:val="75"/>
      </w:rPr>
      <w:t>8</w:t>
    </w:r>
    <w:r>
      <w:fldChar w:fldCharType="end"/>
    </w:r>
  </w:p>
  <w:p>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34" w:name="_Toc36110187"/>
    <w:bookmarkStart w:id="435" w:name="_Toc164085800"/>
    <w:bookmarkStart w:id="436" w:name="_Toc131845147"/>
    <w:bookmarkStart w:id="437" w:name="_Toc91899912"/>
    <w:r>
      <w:rPr>
        <w:rFonts w:hint="eastAsia" w:ascii="仿宋_GB2312" w:eastAsia="仿宋_GB2312"/>
        <w:kern w:val="0"/>
        <w:szCs w:val="21"/>
      </w:rPr>
      <w:t xml:space="preserve"> 页</w:t>
    </w:r>
    <w:bookmarkEnd w:id="434"/>
    <w:bookmarkEnd w:id="435"/>
    <w:bookmarkEnd w:id="436"/>
    <w:bookmarkEnd w:id="43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5"/>
      </w:rPr>
    </w:pPr>
    <w:r>
      <w:fldChar w:fldCharType="begin"/>
    </w:r>
    <w:r>
      <w:rPr>
        <w:rStyle w:val="75"/>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rPr>
        <w:rFonts w:hint="eastAsia"/>
        <w:lang w:val="en-US" w:eastAsia="zh-CN"/>
      </w:rPr>
      <w:t>临平区</w:t>
    </w: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64D2D"/>
    <w:multiLevelType w:val="multilevel"/>
    <w:tmpl w:val="8D564D2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ascii="宋体" w:hAnsi="宋体" w:eastAsia="宋体" w:cs="宋体"/>
        <w:sz w:val="32"/>
        <w:szCs w:val="32"/>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165019B"/>
    <w:multiLevelType w:val="singleLevel"/>
    <w:tmpl w:val="9165019B"/>
    <w:lvl w:ilvl="0" w:tentative="0">
      <w:start w:val="2"/>
      <w:numFmt w:val="chineseCounting"/>
      <w:suff w:val="nothing"/>
      <w:lvlText w:val="%1、"/>
      <w:lvlJc w:val="left"/>
      <w:rPr>
        <w:rFonts w:hint="eastAsia"/>
      </w:rPr>
    </w:lvl>
  </w:abstractNum>
  <w:abstractNum w:abstractNumId="2">
    <w:nsid w:val="9C8AC8EF"/>
    <w:multiLevelType w:val="multilevel"/>
    <w:tmpl w:val="9C8AC8EF"/>
    <w:lvl w:ilvl="0" w:tentative="0">
      <w:start w:val="3"/>
      <w:numFmt w:val="decimal"/>
      <w:lvlText w:val="%1"/>
      <w:lvlJc w:val="left"/>
      <w:pPr>
        <w:ind w:left="960" w:hanging="840"/>
        <w:jc w:val="left"/>
      </w:pPr>
      <w:rPr>
        <w:rFonts w:hint="default"/>
        <w:lang w:val="en-US" w:eastAsia="zh-CN" w:bidi="ar-SA"/>
      </w:rPr>
    </w:lvl>
    <w:lvl w:ilvl="1" w:tentative="0">
      <w:start w:val="1"/>
      <w:numFmt w:val="decimal"/>
      <w:lvlText w:val="%1.%2."/>
      <w:lvlJc w:val="left"/>
      <w:pPr>
        <w:ind w:left="960" w:hanging="840"/>
        <w:jc w:val="left"/>
      </w:pPr>
      <w:rPr>
        <w:rFonts w:hint="default" w:ascii="宋体" w:hAnsi="宋体" w:eastAsia="宋体" w:cs="宋体"/>
        <w:spacing w:val="0"/>
        <w:w w:val="100"/>
        <w:sz w:val="30"/>
        <w:szCs w:val="30"/>
        <w:lang w:val="en-US" w:eastAsia="zh-CN" w:bidi="ar-SA"/>
      </w:rPr>
    </w:lvl>
    <w:lvl w:ilvl="2" w:tentative="0">
      <w:start w:val="1"/>
      <w:numFmt w:val="decimal"/>
      <w:lvlText w:val="%1.%2.%3."/>
      <w:lvlJc w:val="left"/>
      <w:pPr>
        <w:ind w:left="1380" w:hanging="1260"/>
        <w:jc w:val="left"/>
      </w:pPr>
      <w:rPr>
        <w:rFonts w:hint="default" w:ascii="宋体" w:hAnsi="宋体" w:eastAsia="宋体" w:cs="宋体"/>
        <w:spacing w:val="0"/>
        <w:w w:val="100"/>
        <w:sz w:val="30"/>
        <w:szCs w:val="30"/>
        <w:lang w:val="en-US" w:eastAsia="zh-CN" w:bidi="ar-SA"/>
      </w:rPr>
    </w:lvl>
    <w:lvl w:ilvl="3" w:tentative="0">
      <w:start w:val="1"/>
      <w:numFmt w:val="decimal"/>
      <w:lvlText w:val="%4."/>
      <w:lvlJc w:val="left"/>
      <w:pPr>
        <w:ind w:left="1169" w:hanging="450"/>
        <w:jc w:val="left"/>
      </w:pPr>
      <w:rPr>
        <w:rFonts w:hint="default" w:ascii="宋体" w:hAnsi="宋体" w:eastAsia="宋体" w:cs="宋体"/>
        <w:spacing w:val="-2"/>
        <w:w w:val="100"/>
        <w:sz w:val="28"/>
        <w:szCs w:val="28"/>
        <w:lang w:val="en-US" w:eastAsia="zh-CN" w:bidi="ar-SA"/>
      </w:rPr>
    </w:lvl>
    <w:lvl w:ilvl="4" w:tentative="0">
      <w:start w:val="1"/>
      <w:numFmt w:val="decimal"/>
      <w:lvlText w:val="(%5)"/>
      <w:lvlJc w:val="left"/>
      <w:pPr>
        <w:ind w:left="1800" w:hanging="660"/>
        <w:jc w:val="left"/>
      </w:pPr>
      <w:rPr>
        <w:rFonts w:hint="default" w:ascii="宋体" w:hAnsi="宋体" w:eastAsia="宋体" w:cs="宋体"/>
        <w:spacing w:val="-2"/>
        <w:w w:val="100"/>
        <w:sz w:val="30"/>
        <w:szCs w:val="30"/>
        <w:lang w:val="en-US" w:eastAsia="zh-CN" w:bidi="ar-SA"/>
      </w:rPr>
    </w:lvl>
    <w:lvl w:ilvl="5" w:tentative="0">
      <w:start w:val="0"/>
      <w:numFmt w:val="bullet"/>
      <w:lvlText w:val="•"/>
      <w:lvlJc w:val="left"/>
      <w:pPr>
        <w:ind w:left="2974" w:hanging="660"/>
      </w:pPr>
      <w:rPr>
        <w:rFonts w:hint="default"/>
        <w:lang w:val="en-US" w:eastAsia="zh-CN" w:bidi="ar-SA"/>
      </w:rPr>
    </w:lvl>
    <w:lvl w:ilvl="6" w:tentative="0">
      <w:start w:val="0"/>
      <w:numFmt w:val="bullet"/>
      <w:lvlText w:val="•"/>
      <w:lvlJc w:val="left"/>
      <w:pPr>
        <w:ind w:left="4148" w:hanging="660"/>
      </w:pPr>
      <w:rPr>
        <w:rFonts w:hint="default"/>
        <w:lang w:val="en-US" w:eastAsia="zh-CN" w:bidi="ar-SA"/>
      </w:rPr>
    </w:lvl>
    <w:lvl w:ilvl="7" w:tentative="0">
      <w:start w:val="0"/>
      <w:numFmt w:val="bullet"/>
      <w:lvlText w:val="•"/>
      <w:lvlJc w:val="left"/>
      <w:pPr>
        <w:ind w:left="5323" w:hanging="660"/>
      </w:pPr>
      <w:rPr>
        <w:rFonts w:hint="default"/>
        <w:lang w:val="en-US" w:eastAsia="zh-CN" w:bidi="ar-SA"/>
      </w:rPr>
    </w:lvl>
    <w:lvl w:ilvl="8" w:tentative="0">
      <w:start w:val="0"/>
      <w:numFmt w:val="bullet"/>
      <w:lvlText w:val="•"/>
      <w:lvlJc w:val="left"/>
      <w:pPr>
        <w:ind w:left="6497" w:hanging="660"/>
      </w:pPr>
      <w:rPr>
        <w:rFonts w:hint="default"/>
        <w:lang w:val="en-US" w:eastAsia="zh-CN" w:bidi="ar-SA"/>
      </w:rPr>
    </w:lvl>
  </w:abstractNum>
  <w:abstractNum w:abstractNumId="3">
    <w:nsid w:val="CF9CA51C"/>
    <w:multiLevelType w:val="singleLevel"/>
    <w:tmpl w:val="CF9CA51C"/>
    <w:lvl w:ilvl="0" w:tentative="0">
      <w:start w:val="1"/>
      <w:numFmt w:val="decimal"/>
      <w:suff w:val="nothing"/>
      <w:lvlText w:val="（%1）"/>
      <w:lvlJc w:val="left"/>
    </w:lvl>
  </w:abstractNum>
  <w:abstractNum w:abstractNumId="4">
    <w:nsid w:val="D420F825"/>
    <w:multiLevelType w:val="singleLevel"/>
    <w:tmpl w:val="D420F825"/>
    <w:lvl w:ilvl="0" w:tentative="0">
      <w:start w:val="2"/>
      <w:numFmt w:val="chineseCounting"/>
      <w:suff w:val="nothing"/>
      <w:lvlText w:val="%1）"/>
      <w:lvlJc w:val="left"/>
      <w:rPr>
        <w:rFonts w:hint="eastAsia"/>
      </w:rPr>
    </w:lvl>
  </w:abstractNum>
  <w:abstractNum w:abstractNumId="5">
    <w:nsid w:val="D707F04A"/>
    <w:multiLevelType w:val="singleLevel"/>
    <w:tmpl w:val="D707F04A"/>
    <w:lvl w:ilvl="0" w:tentative="0">
      <w:start w:val="2"/>
      <w:numFmt w:val="decimal"/>
      <w:lvlText w:val="%1."/>
      <w:lvlJc w:val="left"/>
      <w:pPr>
        <w:tabs>
          <w:tab w:val="left" w:pos="312"/>
        </w:tabs>
      </w:pPr>
    </w:lvl>
  </w:abstractNum>
  <w:abstractNum w:abstractNumId="6">
    <w:nsid w:val="D7F9FE59"/>
    <w:multiLevelType w:val="multilevel"/>
    <w:tmpl w:val="D7F9FE59"/>
    <w:lvl w:ilvl="0" w:tentative="0">
      <w:start w:val="0"/>
      <w:numFmt w:val="bullet"/>
      <w:lvlText w:val=""/>
      <w:lvlJc w:val="left"/>
      <w:pPr>
        <w:ind w:left="540" w:hanging="420"/>
      </w:pPr>
      <w:rPr>
        <w:rFonts w:hint="default" w:ascii="Wingdings" w:hAnsi="Wingdings" w:eastAsia="Wingdings" w:cs="Wingdings"/>
        <w:w w:val="100"/>
        <w:sz w:val="30"/>
        <w:szCs w:val="30"/>
        <w:lang w:val="en-US" w:eastAsia="zh-CN" w:bidi="ar-SA"/>
      </w:rPr>
    </w:lvl>
    <w:lvl w:ilvl="1" w:tentative="0">
      <w:start w:val="0"/>
      <w:numFmt w:val="bullet"/>
      <w:lvlText w:val="•"/>
      <w:lvlJc w:val="left"/>
      <w:pPr>
        <w:ind w:left="1370" w:hanging="420"/>
      </w:pPr>
      <w:rPr>
        <w:rFonts w:hint="default"/>
        <w:lang w:val="en-US" w:eastAsia="zh-CN" w:bidi="ar-SA"/>
      </w:rPr>
    </w:lvl>
    <w:lvl w:ilvl="2" w:tentative="0">
      <w:start w:val="0"/>
      <w:numFmt w:val="bullet"/>
      <w:lvlText w:val="•"/>
      <w:lvlJc w:val="left"/>
      <w:pPr>
        <w:ind w:left="2201" w:hanging="420"/>
      </w:pPr>
      <w:rPr>
        <w:rFonts w:hint="default"/>
        <w:lang w:val="en-US" w:eastAsia="zh-CN" w:bidi="ar-SA"/>
      </w:rPr>
    </w:lvl>
    <w:lvl w:ilvl="3" w:tentative="0">
      <w:start w:val="0"/>
      <w:numFmt w:val="bullet"/>
      <w:lvlText w:val="•"/>
      <w:lvlJc w:val="left"/>
      <w:pPr>
        <w:ind w:left="3031" w:hanging="420"/>
      </w:pPr>
      <w:rPr>
        <w:rFonts w:hint="default"/>
        <w:lang w:val="en-US" w:eastAsia="zh-CN" w:bidi="ar-SA"/>
      </w:rPr>
    </w:lvl>
    <w:lvl w:ilvl="4" w:tentative="0">
      <w:start w:val="0"/>
      <w:numFmt w:val="bullet"/>
      <w:lvlText w:val="•"/>
      <w:lvlJc w:val="left"/>
      <w:pPr>
        <w:ind w:left="3862" w:hanging="420"/>
      </w:pPr>
      <w:rPr>
        <w:rFonts w:hint="default"/>
        <w:lang w:val="en-US" w:eastAsia="zh-CN" w:bidi="ar-SA"/>
      </w:rPr>
    </w:lvl>
    <w:lvl w:ilvl="5" w:tentative="0">
      <w:start w:val="0"/>
      <w:numFmt w:val="bullet"/>
      <w:lvlText w:val="•"/>
      <w:lvlJc w:val="left"/>
      <w:pPr>
        <w:ind w:left="4693" w:hanging="420"/>
      </w:pPr>
      <w:rPr>
        <w:rFonts w:hint="default"/>
        <w:lang w:val="en-US" w:eastAsia="zh-CN" w:bidi="ar-SA"/>
      </w:rPr>
    </w:lvl>
    <w:lvl w:ilvl="6" w:tentative="0">
      <w:start w:val="0"/>
      <w:numFmt w:val="bullet"/>
      <w:lvlText w:val="•"/>
      <w:lvlJc w:val="left"/>
      <w:pPr>
        <w:ind w:left="5523" w:hanging="420"/>
      </w:pPr>
      <w:rPr>
        <w:rFonts w:hint="default"/>
        <w:lang w:val="en-US" w:eastAsia="zh-CN" w:bidi="ar-SA"/>
      </w:rPr>
    </w:lvl>
    <w:lvl w:ilvl="7" w:tentative="0">
      <w:start w:val="0"/>
      <w:numFmt w:val="bullet"/>
      <w:lvlText w:val="•"/>
      <w:lvlJc w:val="left"/>
      <w:pPr>
        <w:ind w:left="6354" w:hanging="420"/>
      </w:pPr>
      <w:rPr>
        <w:rFonts w:hint="default"/>
        <w:lang w:val="en-US" w:eastAsia="zh-CN" w:bidi="ar-SA"/>
      </w:rPr>
    </w:lvl>
    <w:lvl w:ilvl="8" w:tentative="0">
      <w:start w:val="0"/>
      <w:numFmt w:val="bullet"/>
      <w:lvlText w:val="•"/>
      <w:lvlJc w:val="left"/>
      <w:pPr>
        <w:ind w:left="7184" w:hanging="420"/>
      </w:pPr>
      <w:rPr>
        <w:rFonts w:hint="default"/>
        <w:lang w:val="en-US" w:eastAsia="zh-CN" w:bidi="ar-SA"/>
      </w:rPr>
    </w:lvl>
  </w:abstractNum>
  <w:abstractNum w:abstractNumId="7">
    <w:nsid w:val="DCBA6B53"/>
    <w:multiLevelType w:val="multilevel"/>
    <w:tmpl w:val="DCBA6B53"/>
    <w:lvl w:ilvl="0" w:tentative="0">
      <w:start w:val="2"/>
      <w:numFmt w:val="decimal"/>
      <w:lvlText w:val="%1"/>
      <w:lvlJc w:val="left"/>
      <w:pPr>
        <w:ind w:left="1380" w:hanging="1260"/>
        <w:jc w:val="left"/>
      </w:pPr>
      <w:rPr>
        <w:rFonts w:hint="default"/>
        <w:lang w:val="en-US" w:eastAsia="zh-CN" w:bidi="ar-SA"/>
      </w:rPr>
    </w:lvl>
    <w:lvl w:ilvl="1" w:tentative="0">
      <w:start w:val="4"/>
      <w:numFmt w:val="decimal"/>
      <w:lvlText w:val="%1.%2"/>
      <w:lvlJc w:val="left"/>
      <w:pPr>
        <w:ind w:left="1380" w:hanging="1260"/>
        <w:jc w:val="left"/>
      </w:pPr>
      <w:rPr>
        <w:rFonts w:hint="default"/>
        <w:lang w:val="en-US" w:eastAsia="zh-CN" w:bidi="ar-SA"/>
      </w:rPr>
    </w:lvl>
    <w:lvl w:ilvl="2" w:tentative="0">
      <w:start w:val="1"/>
      <w:numFmt w:val="decimal"/>
      <w:lvlText w:val="%1.%2.%3."/>
      <w:lvlJc w:val="left"/>
      <w:pPr>
        <w:ind w:left="1380" w:hanging="1260"/>
        <w:jc w:val="left"/>
      </w:pPr>
      <w:rPr>
        <w:rFonts w:hint="default" w:ascii="宋体" w:hAnsi="宋体" w:eastAsia="宋体" w:cs="宋体"/>
        <w:spacing w:val="0"/>
        <w:w w:val="100"/>
        <w:sz w:val="30"/>
        <w:szCs w:val="30"/>
        <w:lang w:val="en-US" w:eastAsia="zh-CN" w:bidi="ar-SA"/>
      </w:rPr>
    </w:lvl>
    <w:lvl w:ilvl="3" w:tentative="0">
      <w:start w:val="1"/>
      <w:numFmt w:val="decimal"/>
      <w:lvlText w:val="(%4)"/>
      <w:lvlJc w:val="left"/>
      <w:pPr>
        <w:ind w:left="1800" w:hanging="840"/>
        <w:jc w:val="left"/>
      </w:pPr>
      <w:rPr>
        <w:rFonts w:hint="default" w:ascii="宋体" w:hAnsi="宋体" w:eastAsia="宋体" w:cs="宋体"/>
        <w:spacing w:val="0"/>
        <w:w w:val="100"/>
        <w:sz w:val="30"/>
        <w:szCs w:val="30"/>
        <w:lang w:val="en-US" w:eastAsia="zh-CN" w:bidi="ar-SA"/>
      </w:rPr>
    </w:lvl>
    <w:lvl w:ilvl="4" w:tentative="0">
      <w:start w:val="0"/>
      <w:numFmt w:val="bullet"/>
      <w:lvlText w:val="•"/>
      <w:lvlJc w:val="left"/>
      <w:pPr>
        <w:ind w:left="4148" w:hanging="840"/>
      </w:pPr>
      <w:rPr>
        <w:rFonts w:hint="default"/>
        <w:lang w:val="en-US" w:eastAsia="zh-CN" w:bidi="ar-SA"/>
      </w:rPr>
    </w:lvl>
    <w:lvl w:ilvl="5" w:tentative="0">
      <w:start w:val="0"/>
      <w:numFmt w:val="bullet"/>
      <w:lvlText w:val="•"/>
      <w:lvlJc w:val="left"/>
      <w:pPr>
        <w:ind w:left="4931" w:hanging="840"/>
      </w:pPr>
      <w:rPr>
        <w:rFonts w:hint="default"/>
        <w:lang w:val="en-US" w:eastAsia="zh-CN" w:bidi="ar-SA"/>
      </w:rPr>
    </w:lvl>
    <w:lvl w:ilvl="6" w:tentative="0">
      <w:start w:val="0"/>
      <w:numFmt w:val="bullet"/>
      <w:lvlText w:val="•"/>
      <w:lvlJc w:val="left"/>
      <w:pPr>
        <w:ind w:left="5714" w:hanging="840"/>
      </w:pPr>
      <w:rPr>
        <w:rFonts w:hint="default"/>
        <w:lang w:val="en-US" w:eastAsia="zh-CN" w:bidi="ar-SA"/>
      </w:rPr>
    </w:lvl>
    <w:lvl w:ilvl="7" w:tentative="0">
      <w:start w:val="0"/>
      <w:numFmt w:val="bullet"/>
      <w:lvlText w:val="•"/>
      <w:lvlJc w:val="left"/>
      <w:pPr>
        <w:ind w:left="6497" w:hanging="840"/>
      </w:pPr>
      <w:rPr>
        <w:rFonts w:hint="default"/>
        <w:lang w:val="en-US" w:eastAsia="zh-CN" w:bidi="ar-SA"/>
      </w:rPr>
    </w:lvl>
    <w:lvl w:ilvl="8" w:tentative="0">
      <w:start w:val="0"/>
      <w:numFmt w:val="bullet"/>
      <w:lvlText w:val="•"/>
      <w:lvlJc w:val="left"/>
      <w:pPr>
        <w:ind w:left="7280" w:hanging="840"/>
      </w:pPr>
      <w:rPr>
        <w:rFonts w:hint="default"/>
        <w:lang w:val="en-US" w:eastAsia="zh-CN" w:bidi="ar-SA"/>
      </w:rPr>
    </w:lvl>
  </w:abstractNum>
  <w:abstractNum w:abstractNumId="8">
    <w:nsid w:val="FD636FBD"/>
    <w:multiLevelType w:val="multilevel"/>
    <w:tmpl w:val="FD636FB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0C5C02D0"/>
    <w:multiLevelType w:val="singleLevel"/>
    <w:tmpl w:val="0C5C02D0"/>
    <w:lvl w:ilvl="0" w:tentative="0">
      <w:start w:val="2"/>
      <w:numFmt w:val="chineseCounting"/>
      <w:suff w:val="nothing"/>
      <w:lvlText w:val="%1、"/>
      <w:lvlJc w:val="left"/>
      <w:rPr>
        <w:rFonts w:hint="eastAsia"/>
      </w:rPr>
    </w:lvl>
  </w:abstractNum>
  <w:abstractNum w:abstractNumId="10">
    <w:nsid w:val="4D4DC07F"/>
    <w:multiLevelType w:val="multilevel"/>
    <w:tmpl w:val="4D4DC07F"/>
    <w:lvl w:ilvl="0" w:tentative="0">
      <w:start w:val="2"/>
      <w:numFmt w:val="decimal"/>
      <w:lvlText w:val="%1"/>
      <w:lvlJc w:val="left"/>
      <w:pPr>
        <w:ind w:left="960" w:hanging="840"/>
        <w:jc w:val="left"/>
      </w:pPr>
      <w:rPr>
        <w:rFonts w:hint="default"/>
        <w:lang w:val="en-US" w:eastAsia="zh-CN" w:bidi="ar-SA"/>
      </w:rPr>
    </w:lvl>
    <w:lvl w:ilvl="1" w:tentative="0">
      <w:start w:val="1"/>
      <w:numFmt w:val="decimal"/>
      <w:lvlText w:val="%1.%2."/>
      <w:lvlJc w:val="left"/>
      <w:pPr>
        <w:ind w:left="960" w:hanging="840"/>
        <w:jc w:val="left"/>
      </w:pPr>
      <w:rPr>
        <w:rFonts w:hint="default" w:ascii="宋体" w:hAnsi="宋体" w:eastAsia="宋体" w:cs="宋体"/>
        <w:spacing w:val="0"/>
        <w:w w:val="100"/>
        <w:sz w:val="30"/>
        <w:szCs w:val="30"/>
        <w:lang w:val="en-US" w:eastAsia="zh-CN" w:bidi="ar-SA"/>
      </w:rPr>
    </w:lvl>
    <w:lvl w:ilvl="2" w:tentative="0">
      <w:start w:val="1"/>
      <w:numFmt w:val="decimal"/>
      <w:lvlText w:val="(%3)"/>
      <w:lvlJc w:val="left"/>
      <w:pPr>
        <w:ind w:left="210" w:hanging="600"/>
        <w:jc w:val="left"/>
      </w:pPr>
      <w:rPr>
        <w:rFonts w:hint="default" w:ascii="宋体" w:hAnsi="宋体" w:eastAsia="宋体" w:cs="宋体"/>
        <w:spacing w:val="-2"/>
        <w:w w:val="100"/>
        <w:sz w:val="21"/>
        <w:szCs w:val="21"/>
        <w:lang w:val="en-US" w:eastAsia="zh-CN" w:bidi="ar-SA"/>
      </w:rPr>
    </w:lvl>
    <w:lvl w:ilvl="3" w:tentative="0">
      <w:start w:val="0"/>
      <w:numFmt w:val="bullet"/>
      <w:lvlText w:val="•"/>
      <w:lvlJc w:val="left"/>
      <w:pPr>
        <w:ind w:left="2712" w:hanging="600"/>
      </w:pPr>
      <w:rPr>
        <w:rFonts w:hint="default"/>
        <w:lang w:val="en-US" w:eastAsia="zh-CN" w:bidi="ar-SA"/>
      </w:rPr>
    </w:lvl>
    <w:lvl w:ilvl="4" w:tentative="0">
      <w:start w:val="0"/>
      <w:numFmt w:val="bullet"/>
      <w:lvlText w:val="•"/>
      <w:lvlJc w:val="left"/>
      <w:pPr>
        <w:ind w:left="3588" w:hanging="600"/>
      </w:pPr>
      <w:rPr>
        <w:rFonts w:hint="default"/>
        <w:lang w:val="en-US" w:eastAsia="zh-CN" w:bidi="ar-SA"/>
      </w:rPr>
    </w:lvl>
    <w:lvl w:ilvl="5" w:tentative="0">
      <w:start w:val="0"/>
      <w:numFmt w:val="bullet"/>
      <w:lvlText w:val="•"/>
      <w:lvlJc w:val="left"/>
      <w:pPr>
        <w:ind w:left="4464" w:hanging="600"/>
      </w:pPr>
      <w:rPr>
        <w:rFonts w:hint="default"/>
        <w:lang w:val="en-US" w:eastAsia="zh-CN" w:bidi="ar-SA"/>
      </w:rPr>
    </w:lvl>
    <w:lvl w:ilvl="6" w:tentative="0">
      <w:start w:val="0"/>
      <w:numFmt w:val="bullet"/>
      <w:lvlText w:val="•"/>
      <w:lvlJc w:val="left"/>
      <w:pPr>
        <w:ind w:left="5341" w:hanging="600"/>
      </w:pPr>
      <w:rPr>
        <w:rFonts w:hint="default"/>
        <w:lang w:val="en-US" w:eastAsia="zh-CN" w:bidi="ar-SA"/>
      </w:rPr>
    </w:lvl>
    <w:lvl w:ilvl="7" w:tentative="0">
      <w:start w:val="0"/>
      <w:numFmt w:val="bullet"/>
      <w:lvlText w:val="•"/>
      <w:lvlJc w:val="left"/>
      <w:pPr>
        <w:ind w:left="6217" w:hanging="600"/>
      </w:pPr>
      <w:rPr>
        <w:rFonts w:hint="default"/>
        <w:lang w:val="en-US" w:eastAsia="zh-CN" w:bidi="ar-SA"/>
      </w:rPr>
    </w:lvl>
    <w:lvl w:ilvl="8" w:tentative="0">
      <w:start w:val="0"/>
      <w:numFmt w:val="bullet"/>
      <w:lvlText w:val="•"/>
      <w:lvlJc w:val="left"/>
      <w:pPr>
        <w:ind w:left="7093" w:hanging="600"/>
      </w:pPr>
      <w:rPr>
        <w:rFonts w:hint="default"/>
        <w:lang w:val="en-US" w:eastAsia="zh-CN" w:bidi="ar-SA"/>
      </w:rPr>
    </w:lvl>
  </w:abstractNum>
  <w:abstractNum w:abstractNumId="11">
    <w:nsid w:val="5F1AA1F6"/>
    <w:multiLevelType w:val="singleLevel"/>
    <w:tmpl w:val="5F1AA1F6"/>
    <w:lvl w:ilvl="0" w:tentative="0">
      <w:start w:val="1"/>
      <w:numFmt w:val="decimal"/>
      <w:suff w:val="nothing"/>
      <w:lvlText w:val="（%1）"/>
      <w:lvlJc w:val="left"/>
    </w:lvl>
  </w:abstractNum>
  <w:abstractNum w:abstractNumId="12">
    <w:nsid w:val="629D9D1F"/>
    <w:multiLevelType w:val="singleLevel"/>
    <w:tmpl w:val="629D9D1F"/>
    <w:lvl w:ilvl="0" w:tentative="0">
      <w:start w:val="6"/>
      <w:numFmt w:val="chineseCounting"/>
      <w:suff w:val="nothing"/>
      <w:lvlText w:val="%1、"/>
      <w:lvlJc w:val="left"/>
    </w:lvl>
  </w:abstractNum>
  <w:num w:numId="1">
    <w:abstractNumId w:val="12"/>
  </w:num>
  <w:num w:numId="2">
    <w:abstractNumId w:val="0"/>
  </w:num>
  <w:num w:numId="3">
    <w:abstractNumId w:val="10"/>
  </w:num>
  <w:num w:numId="4">
    <w:abstractNumId w:val="8"/>
  </w:num>
  <w:num w:numId="5">
    <w:abstractNumId w:val="7"/>
  </w:num>
  <w:num w:numId="6">
    <w:abstractNumId w:val="6"/>
  </w:num>
  <w:num w:numId="7">
    <w:abstractNumId w:val="5"/>
  </w:num>
  <w:num w:numId="8">
    <w:abstractNumId w:val="2"/>
  </w:num>
  <w:num w:numId="9">
    <w:abstractNumId w:val="4"/>
  </w:num>
  <w:num w:numId="10">
    <w:abstractNumId w:val="9"/>
  </w:num>
  <w:num w:numId="11">
    <w:abstractNumId w:val="1"/>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mJmMjJhY2VmMTMzYTQ0NDg4ZTZmZGQ1M2Y5MmEyMj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54ED3"/>
    <w:rsid w:val="01D55165"/>
    <w:rsid w:val="01DF6BF8"/>
    <w:rsid w:val="01EC2C57"/>
    <w:rsid w:val="025D63C4"/>
    <w:rsid w:val="026B2E25"/>
    <w:rsid w:val="02824D4D"/>
    <w:rsid w:val="02827F58"/>
    <w:rsid w:val="02DC4B10"/>
    <w:rsid w:val="02DD76CE"/>
    <w:rsid w:val="02F36323"/>
    <w:rsid w:val="02F5619C"/>
    <w:rsid w:val="032010B0"/>
    <w:rsid w:val="0326446A"/>
    <w:rsid w:val="032D5555"/>
    <w:rsid w:val="035D4591"/>
    <w:rsid w:val="036634D2"/>
    <w:rsid w:val="03DD35E4"/>
    <w:rsid w:val="04076900"/>
    <w:rsid w:val="041A5A3B"/>
    <w:rsid w:val="042311BA"/>
    <w:rsid w:val="042B157A"/>
    <w:rsid w:val="046E4E16"/>
    <w:rsid w:val="048F763B"/>
    <w:rsid w:val="049F330E"/>
    <w:rsid w:val="04AA775C"/>
    <w:rsid w:val="04AF1889"/>
    <w:rsid w:val="04F66F48"/>
    <w:rsid w:val="05251E14"/>
    <w:rsid w:val="057F31B1"/>
    <w:rsid w:val="05A16594"/>
    <w:rsid w:val="05A7762D"/>
    <w:rsid w:val="060E5941"/>
    <w:rsid w:val="06110FAF"/>
    <w:rsid w:val="063F5B0F"/>
    <w:rsid w:val="06493CA7"/>
    <w:rsid w:val="065A6178"/>
    <w:rsid w:val="06667154"/>
    <w:rsid w:val="066F1CF3"/>
    <w:rsid w:val="06744454"/>
    <w:rsid w:val="06930BB8"/>
    <w:rsid w:val="07245D42"/>
    <w:rsid w:val="07264C62"/>
    <w:rsid w:val="072A2FCD"/>
    <w:rsid w:val="0779354C"/>
    <w:rsid w:val="07C231CA"/>
    <w:rsid w:val="08061376"/>
    <w:rsid w:val="08452D77"/>
    <w:rsid w:val="086401F8"/>
    <w:rsid w:val="08751CAA"/>
    <w:rsid w:val="087E4C40"/>
    <w:rsid w:val="08D66AD6"/>
    <w:rsid w:val="08DA33A3"/>
    <w:rsid w:val="08E80F13"/>
    <w:rsid w:val="09335624"/>
    <w:rsid w:val="093D4385"/>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42132"/>
    <w:rsid w:val="0AEE5A69"/>
    <w:rsid w:val="0B30404E"/>
    <w:rsid w:val="0B4C6C14"/>
    <w:rsid w:val="0B631A88"/>
    <w:rsid w:val="0B683D45"/>
    <w:rsid w:val="0B6D31C6"/>
    <w:rsid w:val="0B7F3F11"/>
    <w:rsid w:val="0B884417"/>
    <w:rsid w:val="0BF6188C"/>
    <w:rsid w:val="0BF73C91"/>
    <w:rsid w:val="0C170175"/>
    <w:rsid w:val="0C571A41"/>
    <w:rsid w:val="0C5C1171"/>
    <w:rsid w:val="0C5C1BCC"/>
    <w:rsid w:val="0C5E1CBC"/>
    <w:rsid w:val="0C615B50"/>
    <w:rsid w:val="0C8445DA"/>
    <w:rsid w:val="0C87121B"/>
    <w:rsid w:val="0C8F253F"/>
    <w:rsid w:val="0CC007F7"/>
    <w:rsid w:val="0CFE707A"/>
    <w:rsid w:val="0D063BDA"/>
    <w:rsid w:val="0D08375F"/>
    <w:rsid w:val="0D0B2C6C"/>
    <w:rsid w:val="0D184CFB"/>
    <w:rsid w:val="0D395136"/>
    <w:rsid w:val="0D4A7419"/>
    <w:rsid w:val="0D827401"/>
    <w:rsid w:val="0D84094E"/>
    <w:rsid w:val="0D8A00E9"/>
    <w:rsid w:val="0D8D589E"/>
    <w:rsid w:val="0D985DAE"/>
    <w:rsid w:val="0DA01C73"/>
    <w:rsid w:val="0DD63300"/>
    <w:rsid w:val="0DF50604"/>
    <w:rsid w:val="0DF702FE"/>
    <w:rsid w:val="0E060E51"/>
    <w:rsid w:val="0E5604B2"/>
    <w:rsid w:val="0E6D5D79"/>
    <w:rsid w:val="0E9D0089"/>
    <w:rsid w:val="0EB803EE"/>
    <w:rsid w:val="0EBC645B"/>
    <w:rsid w:val="0EF94D4B"/>
    <w:rsid w:val="0F4958DC"/>
    <w:rsid w:val="0F515DF7"/>
    <w:rsid w:val="0F596BA8"/>
    <w:rsid w:val="0F6248D2"/>
    <w:rsid w:val="0F693536"/>
    <w:rsid w:val="0F7B0511"/>
    <w:rsid w:val="0F7B76D9"/>
    <w:rsid w:val="0F816ACD"/>
    <w:rsid w:val="0F9832DB"/>
    <w:rsid w:val="0FBF3FD2"/>
    <w:rsid w:val="0FBF7FF3"/>
    <w:rsid w:val="10105A09"/>
    <w:rsid w:val="103D2B2E"/>
    <w:rsid w:val="10646583"/>
    <w:rsid w:val="107D4B15"/>
    <w:rsid w:val="108A3C80"/>
    <w:rsid w:val="10C26171"/>
    <w:rsid w:val="10F26336"/>
    <w:rsid w:val="10F33360"/>
    <w:rsid w:val="10FC16EA"/>
    <w:rsid w:val="11036B00"/>
    <w:rsid w:val="110F1D40"/>
    <w:rsid w:val="11266F33"/>
    <w:rsid w:val="118963A1"/>
    <w:rsid w:val="11C6522A"/>
    <w:rsid w:val="11CB3D84"/>
    <w:rsid w:val="11E104CC"/>
    <w:rsid w:val="11E20309"/>
    <w:rsid w:val="11FE0013"/>
    <w:rsid w:val="12255233"/>
    <w:rsid w:val="12530213"/>
    <w:rsid w:val="127723A9"/>
    <w:rsid w:val="12862074"/>
    <w:rsid w:val="12883966"/>
    <w:rsid w:val="129E45B4"/>
    <w:rsid w:val="12BB25D2"/>
    <w:rsid w:val="12D81596"/>
    <w:rsid w:val="13072A44"/>
    <w:rsid w:val="135F4BE2"/>
    <w:rsid w:val="137A4BC0"/>
    <w:rsid w:val="139B1A0A"/>
    <w:rsid w:val="139D25C7"/>
    <w:rsid w:val="13BF3CE4"/>
    <w:rsid w:val="141008D8"/>
    <w:rsid w:val="14125FE6"/>
    <w:rsid w:val="146D271E"/>
    <w:rsid w:val="14982588"/>
    <w:rsid w:val="149A5AD9"/>
    <w:rsid w:val="14A7619D"/>
    <w:rsid w:val="14BB7B9C"/>
    <w:rsid w:val="150536C3"/>
    <w:rsid w:val="150C1963"/>
    <w:rsid w:val="151447A0"/>
    <w:rsid w:val="154A6454"/>
    <w:rsid w:val="15762120"/>
    <w:rsid w:val="16872E95"/>
    <w:rsid w:val="16897FC8"/>
    <w:rsid w:val="16A8729C"/>
    <w:rsid w:val="16B33777"/>
    <w:rsid w:val="16BC70A7"/>
    <w:rsid w:val="16C6339E"/>
    <w:rsid w:val="172F2D79"/>
    <w:rsid w:val="17557BEF"/>
    <w:rsid w:val="175F3F5B"/>
    <w:rsid w:val="17D349C1"/>
    <w:rsid w:val="17DB07D7"/>
    <w:rsid w:val="1830729E"/>
    <w:rsid w:val="1870062C"/>
    <w:rsid w:val="18817102"/>
    <w:rsid w:val="18830A15"/>
    <w:rsid w:val="18852B28"/>
    <w:rsid w:val="188B5321"/>
    <w:rsid w:val="196453DF"/>
    <w:rsid w:val="19932372"/>
    <w:rsid w:val="19A20DD5"/>
    <w:rsid w:val="19AE03F1"/>
    <w:rsid w:val="1A071A03"/>
    <w:rsid w:val="1A1F16AE"/>
    <w:rsid w:val="1A3A0253"/>
    <w:rsid w:val="1A3B5C77"/>
    <w:rsid w:val="1A65423B"/>
    <w:rsid w:val="1A733D7F"/>
    <w:rsid w:val="1A984BAD"/>
    <w:rsid w:val="1AB8220E"/>
    <w:rsid w:val="1AE4166C"/>
    <w:rsid w:val="1AF06CFB"/>
    <w:rsid w:val="1AF11B8D"/>
    <w:rsid w:val="1AF85A85"/>
    <w:rsid w:val="1B11359C"/>
    <w:rsid w:val="1B2A271F"/>
    <w:rsid w:val="1B46204F"/>
    <w:rsid w:val="1B530544"/>
    <w:rsid w:val="1B713184"/>
    <w:rsid w:val="1B741675"/>
    <w:rsid w:val="1BA209CF"/>
    <w:rsid w:val="1BB4777D"/>
    <w:rsid w:val="1BC258DA"/>
    <w:rsid w:val="1BD75AB8"/>
    <w:rsid w:val="1C0459C2"/>
    <w:rsid w:val="1C1B3B4A"/>
    <w:rsid w:val="1C767BD0"/>
    <w:rsid w:val="1C88086E"/>
    <w:rsid w:val="1CCD1517"/>
    <w:rsid w:val="1D266CE1"/>
    <w:rsid w:val="1D3963AF"/>
    <w:rsid w:val="1D6A673C"/>
    <w:rsid w:val="1D9247AE"/>
    <w:rsid w:val="1DB567EC"/>
    <w:rsid w:val="1DD872DB"/>
    <w:rsid w:val="1DE54FD0"/>
    <w:rsid w:val="1DF51A98"/>
    <w:rsid w:val="1E103D7A"/>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8A67B8"/>
    <w:rsid w:val="20973DEB"/>
    <w:rsid w:val="20B26522"/>
    <w:rsid w:val="20B44310"/>
    <w:rsid w:val="211116EB"/>
    <w:rsid w:val="2133151A"/>
    <w:rsid w:val="216133FC"/>
    <w:rsid w:val="21D56769"/>
    <w:rsid w:val="21DE0C22"/>
    <w:rsid w:val="21E52EF3"/>
    <w:rsid w:val="21FB5D7B"/>
    <w:rsid w:val="2208041A"/>
    <w:rsid w:val="220B1C3D"/>
    <w:rsid w:val="221D1D20"/>
    <w:rsid w:val="22334A87"/>
    <w:rsid w:val="22681CF7"/>
    <w:rsid w:val="229124CF"/>
    <w:rsid w:val="22BE6801"/>
    <w:rsid w:val="22D55D68"/>
    <w:rsid w:val="22F32E79"/>
    <w:rsid w:val="233500BF"/>
    <w:rsid w:val="23377FF7"/>
    <w:rsid w:val="236B425F"/>
    <w:rsid w:val="23836192"/>
    <w:rsid w:val="23901F29"/>
    <w:rsid w:val="239C0061"/>
    <w:rsid w:val="23B908A4"/>
    <w:rsid w:val="23D46191"/>
    <w:rsid w:val="23E95BEF"/>
    <w:rsid w:val="23F23D7D"/>
    <w:rsid w:val="23FD0064"/>
    <w:rsid w:val="245375B0"/>
    <w:rsid w:val="24642C0A"/>
    <w:rsid w:val="24B22173"/>
    <w:rsid w:val="24B95AD9"/>
    <w:rsid w:val="24BE24DA"/>
    <w:rsid w:val="24CF5825"/>
    <w:rsid w:val="24D663E6"/>
    <w:rsid w:val="24D77F2B"/>
    <w:rsid w:val="253E1FB4"/>
    <w:rsid w:val="258B00E2"/>
    <w:rsid w:val="25A917A6"/>
    <w:rsid w:val="25BE27CC"/>
    <w:rsid w:val="25F654BC"/>
    <w:rsid w:val="25F74A5C"/>
    <w:rsid w:val="260E76B9"/>
    <w:rsid w:val="2628662C"/>
    <w:rsid w:val="262D45DE"/>
    <w:rsid w:val="26A02F87"/>
    <w:rsid w:val="26A53EF9"/>
    <w:rsid w:val="26A94201"/>
    <w:rsid w:val="26AC274F"/>
    <w:rsid w:val="27044A29"/>
    <w:rsid w:val="27106BE8"/>
    <w:rsid w:val="271D34C8"/>
    <w:rsid w:val="276142BF"/>
    <w:rsid w:val="27783712"/>
    <w:rsid w:val="278B3C24"/>
    <w:rsid w:val="27907362"/>
    <w:rsid w:val="27D14E4D"/>
    <w:rsid w:val="28084A26"/>
    <w:rsid w:val="28333E1D"/>
    <w:rsid w:val="28454BD6"/>
    <w:rsid w:val="28455253"/>
    <w:rsid w:val="28551971"/>
    <w:rsid w:val="285B1C53"/>
    <w:rsid w:val="289F7086"/>
    <w:rsid w:val="28C32028"/>
    <w:rsid w:val="28CC490F"/>
    <w:rsid w:val="28DE40AA"/>
    <w:rsid w:val="29345E77"/>
    <w:rsid w:val="294C65AD"/>
    <w:rsid w:val="29806583"/>
    <w:rsid w:val="298B3C4C"/>
    <w:rsid w:val="29AD6637"/>
    <w:rsid w:val="29D11A3A"/>
    <w:rsid w:val="29F26D24"/>
    <w:rsid w:val="2A15033F"/>
    <w:rsid w:val="2A1662C1"/>
    <w:rsid w:val="2A1C7367"/>
    <w:rsid w:val="2A2815FA"/>
    <w:rsid w:val="2A6D6092"/>
    <w:rsid w:val="2A7D76B4"/>
    <w:rsid w:val="2B437463"/>
    <w:rsid w:val="2B7807EE"/>
    <w:rsid w:val="2BBF00EC"/>
    <w:rsid w:val="2BC33EED"/>
    <w:rsid w:val="2BC37CFD"/>
    <w:rsid w:val="2BD5237F"/>
    <w:rsid w:val="2BE536CE"/>
    <w:rsid w:val="2BE758D9"/>
    <w:rsid w:val="2C067FEC"/>
    <w:rsid w:val="2C09049E"/>
    <w:rsid w:val="2C0A653C"/>
    <w:rsid w:val="2C191F85"/>
    <w:rsid w:val="2C4E7785"/>
    <w:rsid w:val="2CE40F12"/>
    <w:rsid w:val="2CE82D6F"/>
    <w:rsid w:val="2CF24727"/>
    <w:rsid w:val="2D343236"/>
    <w:rsid w:val="2D491B1B"/>
    <w:rsid w:val="2D8B7D46"/>
    <w:rsid w:val="2DD15014"/>
    <w:rsid w:val="2DF72DE4"/>
    <w:rsid w:val="2E0220AF"/>
    <w:rsid w:val="2E4B082A"/>
    <w:rsid w:val="2E5D4E86"/>
    <w:rsid w:val="2E5D790B"/>
    <w:rsid w:val="2E984B00"/>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196747"/>
    <w:rsid w:val="33263B3F"/>
    <w:rsid w:val="336963EB"/>
    <w:rsid w:val="33757D46"/>
    <w:rsid w:val="33816EEB"/>
    <w:rsid w:val="33EB55CD"/>
    <w:rsid w:val="33EC4C02"/>
    <w:rsid w:val="340D2360"/>
    <w:rsid w:val="3410665D"/>
    <w:rsid w:val="34211214"/>
    <w:rsid w:val="342E63AB"/>
    <w:rsid w:val="34480A63"/>
    <w:rsid w:val="34611672"/>
    <w:rsid w:val="34950E68"/>
    <w:rsid w:val="34986E94"/>
    <w:rsid w:val="34A064BE"/>
    <w:rsid w:val="34AF62C9"/>
    <w:rsid w:val="34CB4388"/>
    <w:rsid w:val="34FA6E12"/>
    <w:rsid w:val="358D5588"/>
    <w:rsid w:val="363A3B40"/>
    <w:rsid w:val="365302AE"/>
    <w:rsid w:val="36607A0A"/>
    <w:rsid w:val="366E227C"/>
    <w:rsid w:val="366F2E0D"/>
    <w:rsid w:val="367B6A5C"/>
    <w:rsid w:val="36A74ADA"/>
    <w:rsid w:val="36AD60D5"/>
    <w:rsid w:val="36B224F9"/>
    <w:rsid w:val="36EC0CC9"/>
    <w:rsid w:val="37113475"/>
    <w:rsid w:val="373F410B"/>
    <w:rsid w:val="37EE7094"/>
    <w:rsid w:val="38120769"/>
    <w:rsid w:val="38296C89"/>
    <w:rsid w:val="383002EB"/>
    <w:rsid w:val="38586797"/>
    <w:rsid w:val="38BC0149"/>
    <w:rsid w:val="38BC34BF"/>
    <w:rsid w:val="38D87D1C"/>
    <w:rsid w:val="38EC33C3"/>
    <w:rsid w:val="39636459"/>
    <w:rsid w:val="396B7F6C"/>
    <w:rsid w:val="397800BB"/>
    <w:rsid w:val="398A029A"/>
    <w:rsid w:val="39B417A9"/>
    <w:rsid w:val="39FC5695"/>
    <w:rsid w:val="3A006D8E"/>
    <w:rsid w:val="3A016226"/>
    <w:rsid w:val="3A23749D"/>
    <w:rsid w:val="3A272EC3"/>
    <w:rsid w:val="3A3651E5"/>
    <w:rsid w:val="3A744481"/>
    <w:rsid w:val="3A8C7BEF"/>
    <w:rsid w:val="3A906246"/>
    <w:rsid w:val="3ACC0E19"/>
    <w:rsid w:val="3AE87203"/>
    <w:rsid w:val="3B2349B7"/>
    <w:rsid w:val="3B3D2948"/>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5117A"/>
    <w:rsid w:val="3F6363FE"/>
    <w:rsid w:val="3F756B8F"/>
    <w:rsid w:val="3F95482B"/>
    <w:rsid w:val="4019356B"/>
    <w:rsid w:val="40592157"/>
    <w:rsid w:val="406E1CAE"/>
    <w:rsid w:val="40A0133A"/>
    <w:rsid w:val="40C31A53"/>
    <w:rsid w:val="40FF545D"/>
    <w:rsid w:val="410067C8"/>
    <w:rsid w:val="41586BC4"/>
    <w:rsid w:val="41711083"/>
    <w:rsid w:val="418F0D2A"/>
    <w:rsid w:val="41D01505"/>
    <w:rsid w:val="42474939"/>
    <w:rsid w:val="424C3C57"/>
    <w:rsid w:val="42562163"/>
    <w:rsid w:val="42613FF3"/>
    <w:rsid w:val="42660D96"/>
    <w:rsid w:val="428667D2"/>
    <w:rsid w:val="42CD1CE0"/>
    <w:rsid w:val="42E1381E"/>
    <w:rsid w:val="42EA34EA"/>
    <w:rsid w:val="42ED6459"/>
    <w:rsid w:val="42FE58DD"/>
    <w:rsid w:val="43036A81"/>
    <w:rsid w:val="43174B3D"/>
    <w:rsid w:val="43366FDE"/>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CF39F2"/>
    <w:rsid w:val="460E7DA5"/>
    <w:rsid w:val="46422483"/>
    <w:rsid w:val="4659254A"/>
    <w:rsid w:val="465B0637"/>
    <w:rsid w:val="465E3F0D"/>
    <w:rsid w:val="466A16E6"/>
    <w:rsid w:val="46893F2B"/>
    <w:rsid w:val="46C4686E"/>
    <w:rsid w:val="477B778F"/>
    <w:rsid w:val="478203EC"/>
    <w:rsid w:val="47B025FA"/>
    <w:rsid w:val="47D1045C"/>
    <w:rsid w:val="4809698F"/>
    <w:rsid w:val="4811697D"/>
    <w:rsid w:val="486F6CFB"/>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DB2E90"/>
    <w:rsid w:val="4BEE2503"/>
    <w:rsid w:val="4C245A30"/>
    <w:rsid w:val="4CB6685F"/>
    <w:rsid w:val="4CC367FE"/>
    <w:rsid w:val="4D077F3C"/>
    <w:rsid w:val="4D123355"/>
    <w:rsid w:val="4D2A3B31"/>
    <w:rsid w:val="4D2C60E5"/>
    <w:rsid w:val="4D312C52"/>
    <w:rsid w:val="4D905305"/>
    <w:rsid w:val="4D964A72"/>
    <w:rsid w:val="4D9C1254"/>
    <w:rsid w:val="4E793892"/>
    <w:rsid w:val="4E800872"/>
    <w:rsid w:val="4EA51E59"/>
    <w:rsid w:val="4EC569ED"/>
    <w:rsid w:val="4ED50EA1"/>
    <w:rsid w:val="4EEC050C"/>
    <w:rsid w:val="4F104EC3"/>
    <w:rsid w:val="4F47354A"/>
    <w:rsid w:val="4F911C54"/>
    <w:rsid w:val="4FE047CF"/>
    <w:rsid w:val="4FE625E0"/>
    <w:rsid w:val="4FE65BDF"/>
    <w:rsid w:val="5021480F"/>
    <w:rsid w:val="50962ECB"/>
    <w:rsid w:val="50A42E38"/>
    <w:rsid w:val="50A4577F"/>
    <w:rsid w:val="50B73D1F"/>
    <w:rsid w:val="50BD5BC9"/>
    <w:rsid w:val="50C11EEE"/>
    <w:rsid w:val="50E97CFC"/>
    <w:rsid w:val="50FA4028"/>
    <w:rsid w:val="510D65B7"/>
    <w:rsid w:val="511157AB"/>
    <w:rsid w:val="5142540C"/>
    <w:rsid w:val="518832C8"/>
    <w:rsid w:val="518F5CC6"/>
    <w:rsid w:val="51A0432A"/>
    <w:rsid w:val="51A86090"/>
    <w:rsid w:val="51B7396D"/>
    <w:rsid w:val="522E4CC3"/>
    <w:rsid w:val="5244713B"/>
    <w:rsid w:val="525D7ABC"/>
    <w:rsid w:val="52615633"/>
    <w:rsid w:val="52977FD4"/>
    <w:rsid w:val="52A25790"/>
    <w:rsid w:val="52A96B6F"/>
    <w:rsid w:val="52B45975"/>
    <w:rsid w:val="52D94AA4"/>
    <w:rsid w:val="52EA3A62"/>
    <w:rsid w:val="52F50BB8"/>
    <w:rsid w:val="53097272"/>
    <w:rsid w:val="53206AC2"/>
    <w:rsid w:val="53544462"/>
    <w:rsid w:val="5397158E"/>
    <w:rsid w:val="54013861"/>
    <w:rsid w:val="54487265"/>
    <w:rsid w:val="544968FE"/>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D608C"/>
    <w:rsid w:val="56A64417"/>
    <w:rsid w:val="57032A2C"/>
    <w:rsid w:val="570F5219"/>
    <w:rsid w:val="57257E2E"/>
    <w:rsid w:val="575D12B5"/>
    <w:rsid w:val="57610A87"/>
    <w:rsid w:val="577B1140"/>
    <w:rsid w:val="577B7F21"/>
    <w:rsid w:val="577F181B"/>
    <w:rsid w:val="57921984"/>
    <w:rsid w:val="579737F0"/>
    <w:rsid w:val="57AB7B30"/>
    <w:rsid w:val="57AF5251"/>
    <w:rsid w:val="57B26373"/>
    <w:rsid w:val="57B63F04"/>
    <w:rsid w:val="57C1129A"/>
    <w:rsid w:val="57CD20C2"/>
    <w:rsid w:val="57D675AB"/>
    <w:rsid w:val="57D95FDD"/>
    <w:rsid w:val="583A6DC9"/>
    <w:rsid w:val="58917D2F"/>
    <w:rsid w:val="5894085C"/>
    <w:rsid w:val="58AE4F0C"/>
    <w:rsid w:val="58B85899"/>
    <w:rsid w:val="58E363A9"/>
    <w:rsid w:val="58F87A10"/>
    <w:rsid w:val="59120131"/>
    <w:rsid w:val="595E1678"/>
    <w:rsid w:val="59686533"/>
    <w:rsid w:val="596D5BD4"/>
    <w:rsid w:val="597E3DD8"/>
    <w:rsid w:val="59F760A3"/>
    <w:rsid w:val="59F80043"/>
    <w:rsid w:val="5A09252F"/>
    <w:rsid w:val="5A0B2778"/>
    <w:rsid w:val="5A2A7C7B"/>
    <w:rsid w:val="5A3C0E89"/>
    <w:rsid w:val="5A3E2560"/>
    <w:rsid w:val="5A5D3B6E"/>
    <w:rsid w:val="5A637A76"/>
    <w:rsid w:val="5A6D33BA"/>
    <w:rsid w:val="5A7449E7"/>
    <w:rsid w:val="5A792B1F"/>
    <w:rsid w:val="5A874767"/>
    <w:rsid w:val="5AA302F7"/>
    <w:rsid w:val="5AAB0CDA"/>
    <w:rsid w:val="5AAD6F28"/>
    <w:rsid w:val="5AD63A24"/>
    <w:rsid w:val="5B024457"/>
    <w:rsid w:val="5B091AC4"/>
    <w:rsid w:val="5B2E1A1D"/>
    <w:rsid w:val="5B2F6FBB"/>
    <w:rsid w:val="5B843A1C"/>
    <w:rsid w:val="5B873E3F"/>
    <w:rsid w:val="5BB60DEC"/>
    <w:rsid w:val="5C02690E"/>
    <w:rsid w:val="5C196DA7"/>
    <w:rsid w:val="5C2A048C"/>
    <w:rsid w:val="5C80234E"/>
    <w:rsid w:val="5C8A680C"/>
    <w:rsid w:val="5D0C4701"/>
    <w:rsid w:val="5D0F0395"/>
    <w:rsid w:val="5D160B2B"/>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4D50E3"/>
    <w:rsid w:val="5F6277C6"/>
    <w:rsid w:val="5F6D0B1D"/>
    <w:rsid w:val="5F8D0B82"/>
    <w:rsid w:val="5F9A3F78"/>
    <w:rsid w:val="5FCC5339"/>
    <w:rsid w:val="5FE34A5B"/>
    <w:rsid w:val="5FFE1E36"/>
    <w:rsid w:val="60232584"/>
    <w:rsid w:val="603354CB"/>
    <w:rsid w:val="607330CE"/>
    <w:rsid w:val="60825176"/>
    <w:rsid w:val="609F2AC4"/>
    <w:rsid w:val="60FA2EE8"/>
    <w:rsid w:val="61054A27"/>
    <w:rsid w:val="610A52BC"/>
    <w:rsid w:val="611D2366"/>
    <w:rsid w:val="61421856"/>
    <w:rsid w:val="615227C4"/>
    <w:rsid w:val="61654E3F"/>
    <w:rsid w:val="6182292A"/>
    <w:rsid w:val="619145DE"/>
    <w:rsid w:val="619F0F6B"/>
    <w:rsid w:val="619F7F92"/>
    <w:rsid w:val="61B51E9A"/>
    <w:rsid w:val="61E3027B"/>
    <w:rsid w:val="61F94C26"/>
    <w:rsid w:val="62000E56"/>
    <w:rsid w:val="624F3E49"/>
    <w:rsid w:val="62557CB5"/>
    <w:rsid w:val="62632286"/>
    <w:rsid w:val="626671FB"/>
    <w:rsid w:val="627C57DB"/>
    <w:rsid w:val="62885958"/>
    <w:rsid w:val="629058F8"/>
    <w:rsid w:val="62F40B65"/>
    <w:rsid w:val="62FC2CFE"/>
    <w:rsid w:val="63024505"/>
    <w:rsid w:val="635B1DB5"/>
    <w:rsid w:val="63711FED"/>
    <w:rsid w:val="63880DDC"/>
    <w:rsid w:val="63891796"/>
    <w:rsid w:val="638D750D"/>
    <w:rsid w:val="63AC6CC0"/>
    <w:rsid w:val="64055776"/>
    <w:rsid w:val="64240056"/>
    <w:rsid w:val="643E143A"/>
    <w:rsid w:val="648B6EEF"/>
    <w:rsid w:val="64C158BF"/>
    <w:rsid w:val="64CE2EAA"/>
    <w:rsid w:val="64F733FB"/>
    <w:rsid w:val="653C3090"/>
    <w:rsid w:val="65854376"/>
    <w:rsid w:val="658767BE"/>
    <w:rsid w:val="65892531"/>
    <w:rsid w:val="66125E6A"/>
    <w:rsid w:val="66195831"/>
    <w:rsid w:val="662E75B1"/>
    <w:rsid w:val="66342C2E"/>
    <w:rsid w:val="663E784C"/>
    <w:rsid w:val="668B6A45"/>
    <w:rsid w:val="672F3F24"/>
    <w:rsid w:val="673E055F"/>
    <w:rsid w:val="67430B21"/>
    <w:rsid w:val="67551CE3"/>
    <w:rsid w:val="676736F3"/>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3E15D3"/>
    <w:rsid w:val="69627681"/>
    <w:rsid w:val="6977531D"/>
    <w:rsid w:val="69A2559F"/>
    <w:rsid w:val="69CC2BFF"/>
    <w:rsid w:val="69EC2FA3"/>
    <w:rsid w:val="69FD55B8"/>
    <w:rsid w:val="6A0B1C62"/>
    <w:rsid w:val="6A2406C8"/>
    <w:rsid w:val="6A941E18"/>
    <w:rsid w:val="6ADE0BD1"/>
    <w:rsid w:val="6AE96859"/>
    <w:rsid w:val="6B147746"/>
    <w:rsid w:val="6B24787C"/>
    <w:rsid w:val="6B2B2545"/>
    <w:rsid w:val="6B573233"/>
    <w:rsid w:val="6B5B6274"/>
    <w:rsid w:val="6B795CEF"/>
    <w:rsid w:val="6B8E6844"/>
    <w:rsid w:val="6B935D53"/>
    <w:rsid w:val="6BE96690"/>
    <w:rsid w:val="6C196F71"/>
    <w:rsid w:val="6C226FCB"/>
    <w:rsid w:val="6C31226F"/>
    <w:rsid w:val="6C406744"/>
    <w:rsid w:val="6C552F0B"/>
    <w:rsid w:val="6C5F420E"/>
    <w:rsid w:val="6C755C79"/>
    <w:rsid w:val="6C8C67B7"/>
    <w:rsid w:val="6C9D744C"/>
    <w:rsid w:val="6D167928"/>
    <w:rsid w:val="6D26299B"/>
    <w:rsid w:val="6D4772EC"/>
    <w:rsid w:val="6D9078AF"/>
    <w:rsid w:val="6D956F05"/>
    <w:rsid w:val="6DAA3FEF"/>
    <w:rsid w:val="6DC0172B"/>
    <w:rsid w:val="6DCB690C"/>
    <w:rsid w:val="6DD41A5B"/>
    <w:rsid w:val="6DF43C2E"/>
    <w:rsid w:val="6DF51CA3"/>
    <w:rsid w:val="6E8335BD"/>
    <w:rsid w:val="6E8E12EF"/>
    <w:rsid w:val="6E972936"/>
    <w:rsid w:val="6ED446C5"/>
    <w:rsid w:val="6EFA5469"/>
    <w:rsid w:val="6F2A7D94"/>
    <w:rsid w:val="6F8331F1"/>
    <w:rsid w:val="6FA80114"/>
    <w:rsid w:val="6FAE1A09"/>
    <w:rsid w:val="6FD75BF8"/>
    <w:rsid w:val="7076009C"/>
    <w:rsid w:val="707723D0"/>
    <w:rsid w:val="70F5661B"/>
    <w:rsid w:val="71360107"/>
    <w:rsid w:val="713B688E"/>
    <w:rsid w:val="71565065"/>
    <w:rsid w:val="716858C8"/>
    <w:rsid w:val="71D43752"/>
    <w:rsid w:val="71F1796A"/>
    <w:rsid w:val="72154626"/>
    <w:rsid w:val="72262B5D"/>
    <w:rsid w:val="72283FF7"/>
    <w:rsid w:val="722E7212"/>
    <w:rsid w:val="723A0474"/>
    <w:rsid w:val="725923E4"/>
    <w:rsid w:val="725E4CB3"/>
    <w:rsid w:val="72864BF7"/>
    <w:rsid w:val="729023FC"/>
    <w:rsid w:val="73C0646E"/>
    <w:rsid w:val="742222F5"/>
    <w:rsid w:val="74476126"/>
    <w:rsid w:val="74480233"/>
    <w:rsid w:val="74706664"/>
    <w:rsid w:val="747F3682"/>
    <w:rsid w:val="749C4185"/>
    <w:rsid w:val="74A61FB7"/>
    <w:rsid w:val="75067759"/>
    <w:rsid w:val="752E6DCD"/>
    <w:rsid w:val="75342268"/>
    <w:rsid w:val="754A11EA"/>
    <w:rsid w:val="7551380D"/>
    <w:rsid w:val="75600BE5"/>
    <w:rsid w:val="7564475C"/>
    <w:rsid w:val="7583797F"/>
    <w:rsid w:val="75D20F1D"/>
    <w:rsid w:val="75DA2C18"/>
    <w:rsid w:val="75F54412"/>
    <w:rsid w:val="761D08E0"/>
    <w:rsid w:val="765D347C"/>
    <w:rsid w:val="76826699"/>
    <w:rsid w:val="76A07D97"/>
    <w:rsid w:val="76C87133"/>
    <w:rsid w:val="76CD08D5"/>
    <w:rsid w:val="76DB4B92"/>
    <w:rsid w:val="770505DE"/>
    <w:rsid w:val="77052AA4"/>
    <w:rsid w:val="77136511"/>
    <w:rsid w:val="77340A39"/>
    <w:rsid w:val="77351FD0"/>
    <w:rsid w:val="77472422"/>
    <w:rsid w:val="77476464"/>
    <w:rsid w:val="777F31F2"/>
    <w:rsid w:val="77B211E7"/>
    <w:rsid w:val="77D1700D"/>
    <w:rsid w:val="77EC04CC"/>
    <w:rsid w:val="78510AC5"/>
    <w:rsid w:val="78590B7C"/>
    <w:rsid w:val="78775729"/>
    <w:rsid w:val="78A42DB0"/>
    <w:rsid w:val="78A656AB"/>
    <w:rsid w:val="78B2245C"/>
    <w:rsid w:val="78E172CC"/>
    <w:rsid w:val="78EA1D1F"/>
    <w:rsid w:val="7904172F"/>
    <w:rsid w:val="790F7E27"/>
    <w:rsid w:val="792A231A"/>
    <w:rsid w:val="79316829"/>
    <w:rsid w:val="797E66A9"/>
    <w:rsid w:val="797F5A41"/>
    <w:rsid w:val="79A97383"/>
    <w:rsid w:val="79E27E8B"/>
    <w:rsid w:val="79F850CE"/>
    <w:rsid w:val="79F90271"/>
    <w:rsid w:val="79FD443C"/>
    <w:rsid w:val="7A1D1975"/>
    <w:rsid w:val="7A3E5150"/>
    <w:rsid w:val="7A4670D6"/>
    <w:rsid w:val="7A534B63"/>
    <w:rsid w:val="7A615382"/>
    <w:rsid w:val="7A67303B"/>
    <w:rsid w:val="7A69621A"/>
    <w:rsid w:val="7AAB1D04"/>
    <w:rsid w:val="7ABA4368"/>
    <w:rsid w:val="7AD05746"/>
    <w:rsid w:val="7B257FFD"/>
    <w:rsid w:val="7B343476"/>
    <w:rsid w:val="7B5A2978"/>
    <w:rsid w:val="7B5A7E4C"/>
    <w:rsid w:val="7B667AF9"/>
    <w:rsid w:val="7B7468F8"/>
    <w:rsid w:val="7BEE0103"/>
    <w:rsid w:val="7C0A0FE4"/>
    <w:rsid w:val="7C254906"/>
    <w:rsid w:val="7C365C01"/>
    <w:rsid w:val="7C590818"/>
    <w:rsid w:val="7C7C10F6"/>
    <w:rsid w:val="7C853BEA"/>
    <w:rsid w:val="7C881368"/>
    <w:rsid w:val="7CE27788"/>
    <w:rsid w:val="7CF16C56"/>
    <w:rsid w:val="7D0C32F1"/>
    <w:rsid w:val="7D0F408D"/>
    <w:rsid w:val="7D491C6C"/>
    <w:rsid w:val="7D5429C0"/>
    <w:rsid w:val="7D6E6D43"/>
    <w:rsid w:val="7DB57A34"/>
    <w:rsid w:val="7DE60973"/>
    <w:rsid w:val="7DEF0916"/>
    <w:rsid w:val="7E1E5218"/>
    <w:rsid w:val="7E6C1E82"/>
    <w:rsid w:val="7E9A4E1F"/>
    <w:rsid w:val="7EA7723A"/>
    <w:rsid w:val="7EF56FBB"/>
    <w:rsid w:val="7F0768EB"/>
    <w:rsid w:val="7F143BEC"/>
    <w:rsid w:val="7F712CC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link w:val="72"/>
    <w:unhideWhenUsed/>
    <w:qFormat/>
    <w:uiPriority w:val="1"/>
    <w:rPr>
      <w:rFonts w:ascii="仿宋_GB2312" w:eastAsia="仿宋_GB2312"/>
      <w:b/>
      <w:sz w:val="32"/>
      <w:szCs w:val="32"/>
    </w:rPr>
  </w:style>
  <w:style w:type="table" w:default="1" w:styleId="64">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8"/>
    <w:qFormat/>
    <w:uiPriority w:val="0"/>
    <w:pPr>
      <w:shd w:val="clear" w:color="auto" w:fill="000080"/>
    </w:pPr>
  </w:style>
  <w:style w:type="paragraph" w:styleId="19">
    <w:name w:val="annotation text"/>
    <w:basedOn w:val="1"/>
    <w:link w:val="856"/>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20">
    <w:name w:val="Salutation"/>
    <w:basedOn w:val="1"/>
    <w:next w:val="1"/>
    <w:link w:val="816"/>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835"/>
    <w:qFormat/>
    <w:uiPriority w:val="0"/>
    <w:pPr>
      <w:ind w:firstLine="420"/>
    </w:pPr>
    <w:rPr>
      <w:rFonts w:hAnsi="Calibri" w:cs="Times New Roman"/>
      <w:szCs w:val="20"/>
    </w:rPr>
  </w:style>
  <w:style w:type="paragraph" w:styleId="25">
    <w:name w:val="Body Text Indent"/>
    <w:basedOn w:val="1"/>
    <w:next w:val="26"/>
    <w:link w:val="784"/>
    <w:qFormat/>
    <w:uiPriority w:val="0"/>
    <w:pPr>
      <w:spacing w:line="480" w:lineRule="exact"/>
      <w:ind w:firstLine="480" w:firstLineChars="200"/>
    </w:pPr>
    <w:rPr>
      <w:rFonts w:ascii="宋体" w:hAnsi="宋体"/>
      <w:sz w:val="24"/>
    </w:rPr>
  </w:style>
  <w:style w:type="paragraph" w:styleId="26">
    <w:name w:val="envelope return"/>
    <w:basedOn w:val="1"/>
    <w:qFormat/>
    <w:uiPriority w:val="0"/>
    <w:pPr>
      <w:snapToGrid w:val="0"/>
    </w:pPr>
    <w:rPr>
      <w:rFonts w:ascii="Arial" w:hAnsi="Arial"/>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0"/>
    <w:qFormat/>
    <w:uiPriority w:val="0"/>
    <w:pPr>
      <w:ind w:left="100" w:leftChars="2500"/>
    </w:pPr>
    <w:rPr>
      <w:rFonts w:ascii="宋体"/>
      <w:sz w:val="24"/>
      <w:szCs w:val="21"/>
      <w:lang w:val="zh-CN"/>
    </w:rPr>
  </w:style>
  <w:style w:type="paragraph" w:styleId="38">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9">
    <w:name w:val="endnote text"/>
    <w:basedOn w:val="1"/>
    <w:link w:val="941"/>
    <w:qFormat/>
    <w:uiPriority w:val="0"/>
    <w:rPr>
      <w:lang w:val="zh-CN"/>
    </w:rPr>
  </w:style>
  <w:style w:type="paragraph" w:styleId="40">
    <w:name w:val="Balloon Text"/>
    <w:basedOn w:val="1"/>
    <w:link w:val="717"/>
    <w:qFormat/>
    <w:uiPriority w:val="0"/>
    <w:rPr>
      <w:sz w:val="18"/>
      <w:szCs w:val="18"/>
    </w:rPr>
  </w:style>
  <w:style w:type="paragraph" w:styleId="41">
    <w:name w:val="footer"/>
    <w:basedOn w:val="1"/>
    <w:link w:val="892"/>
    <w:qFormat/>
    <w:uiPriority w:val="99"/>
    <w:pPr>
      <w:tabs>
        <w:tab w:val="center" w:pos="4153"/>
        <w:tab w:val="right" w:pos="8306"/>
      </w:tabs>
      <w:snapToGrid w:val="0"/>
      <w:jc w:val="left"/>
    </w:pPr>
    <w:rPr>
      <w:sz w:val="18"/>
      <w:szCs w:val="18"/>
    </w:rPr>
  </w:style>
  <w:style w:type="paragraph" w:styleId="42">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826"/>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0"/>
    <w:qFormat/>
    <w:uiPriority w:val="0"/>
    <w:pPr>
      <w:spacing w:after="120" w:line="480" w:lineRule="auto"/>
    </w:pPr>
  </w:style>
  <w:style w:type="paragraph" w:styleId="58">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3"/>
    <w:qFormat/>
    <w:uiPriority w:val="0"/>
    <w:rPr>
      <w:b/>
      <w:bCs/>
    </w:rPr>
  </w:style>
  <w:style w:type="paragraph" w:styleId="62">
    <w:name w:val="Body Text First Indent 2"/>
    <w:basedOn w:val="25"/>
    <w:next w:val="63"/>
    <w:link w:val="656"/>
    <w:qFormat/>
    <w:uiPriority w:val="0"/>
    <w:pPr>
      <w:adjustRightInd/>
      <w:spacing w:after="120" w:line="240" w:lineRule="auto"/>
      <w:ind w:left="420" w:leftChars="200" w:firstLine="210"/>
    </w:pPr>
    <w:rPr>
      <w:sz w:val="21"/>
    </w:rPr>
  </w:style>
  <w:style w:type="paragraph" w:customStyle="1" w:styleId="63">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2">
    <w:name w:val="Char Char Char Char Char Char Char Char Char Char Char Char Char"/>
    <w:basedOn w:val="1"/>
    <w:link w:val="71"/>
    <w:qFormat/>
    <w:uiPriority w:val="0"/>
    <w:rPr>
      <w:rFonts w:ascii="仿宋_GB2312" w:eastAsia="仿宋_GB2312"/>
      <w:b/>
      <w:sz w:val="32"/>
      <w:szCs w:val="32"/>
    </w:r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1"/>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1"/>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正文"/>
    <w:basedOn w:val="1"/>
    <w:qFormat/>
    <w:uiPriority w:val="99"/>
    <w:pPr>
      <w:ind w:firstLine="480" w:firstLineChars="200"/>
    </w:pPr>
    <w:rPr>
      <w:rFonts w:ascii="Calibri" w:hAnsi="Calibri" w:eastAsia="仿宋_GB2312"/>
      <w:kern w:val="0"/>
      <w:sz w:val="24"/>
      <w:szCs w:val="32"/>
    </w:rPr>
  </w:style>
  <w:style w:type="paragraph" w:customStyle="1" w:styleId="83">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57"/>
    <w:link w:val="665"/>
    <w:qFormat/>
    <w:uiPriority w:val="0"/>
    <w:pPr>
      <w:spacing w:before="156" w:line="360" w:lineRule="auto"/>
      <w:ind w:firstLine="510" w:firstLineChars="200"/>
    </w:pPr>
    <w:rPr>
      <w:sz w:val="24"/>
      <w:szCs w:val="20"/>
    </w:rPr>
  </w:style>
  <w:style w:type="paragraph" w:customStyle="1" w:styleId="89">
    <w:name w:val="无间隔1"/>
    <w:link w:val="673"/>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1"/>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2"/>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6"/>
    <w:qFormat/>
    <w:uiPriority w:val="0"/>
    <w:pPr>
      <w:ind w:left="0" w:right="466" w:firstLine="288"/>
    </w:pPr>
    <w:rPr>
      <w:rFonts w:hAnsi="宋体"/>
    </w:rPr>
  </w:style>
  <w:style w:type="paragraph" w:customStyle="1" w:styleId="9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5"/>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8"/>
    <w:qFormat/>
    <w:uiPriority w:val="0"/>
    <w:pPr>
      <w:adjustRightInd/>
      <w:spacing w:line="360" w:lineRule="auto"/>
      <w:ind w:firstLine="480" w:firstLineChars="200"/>
    </w:pPr>
    <w:rPr>
      <w:kern w:val="0"/>
      <w:sz w:val="24"/>
    </w:rPr>
  </w:style>
  <w:style w:type="paragraph" w:customStyle="1" w:styleId="101">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799"/>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1"/>
    <w:qFormat/>
    <w:uiPriority w:val="0"/>
    <w:pPr>
      <w:tabs>
        <w:tab w:val="left" w:pos="2356"/>
      </w:tabs>
    </w:pPr>
  </w:style>
  <w:style w:type="paragraph" w:customStyle="1" w:styleId="106">
    <w:name w:val="样式 标题 4h4H4Fab-4T5Ref Heading 1rh1Heading sqlsect 1.2.3...."/>
    <w:basedOn w:val="5"/>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4"/>
    <w:qFormat/>
    <w:uiPriority w:val="0"/>
    <w:pPr>
      <w:adjustRightInd/>
    </w:pPr>
    <w:rPr>
      <w:rFonts w:ascii="宋体" w:hAnsi="Courier New"/>
      <w:kern w:val="0"/>
      <w:sz w:val="20"/>
      <w:szCs w:val="20"/>
    </w:rPr>
  </w:style>
  <w:style w:type="paragraph" w:customStyle="1" w:styleId="109">
    <w:name w:val="正文说明"/>
    <w:basedOn w:val="1"/>
    <w:link w:val="846"/>
    <w:qFormat/>
    <w:uiPriority w:val="0"/>
    <w:pPr>
      <w:adjustRightInd/>
      <w:spacing w:line="360" w:lineRule="auto"/>
    </w:pPr>
    <w:rPr>
      <w:kern w:val="0"/>
      <w:sz w:val="24"/>
    </w:rPr>
  </w:style>
  <w:style w:type="paragraph" w:customStyle="1" w:styleId="110">
    <w:name w:val="Table Text"/>
    <w:basedOn w:val="1"/>
    <w:link w:val="852"/>
    <w:qFormat/>
    <w:uiPriority w:val="0"/>
    <w:pPr>
      <w:widowControl/>
      <w:spacing w:before="60" w:after="60"/>
      <w:jc w:val="left"/>
    </w:pPr>
    <w:rPr>
      <w:kern w:val="0"/>
      <w:sz w:val="24"/>
    </w:rPr>
  </w:style>
  <w:style w:type="paragraph" w:customStyle="1" w:styleId="111">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1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5"/>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spacing w:before="0" w:after="0"/>
      <w:outlineLvl w:val="5"/>
    </w:pPr>
  </w:style>
  <w:style w:type="paragraph" w:customStyle="1" w:styleId="160">
    <w:name w:val="5级标题"/>
    <w:basedOn w:val="16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2"/>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4"/>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6"/>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4"/>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5"/>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7"/>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3"/>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5"/>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8"/>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0"/>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8"/>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4"/>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5"/>
    <w:qFormat/>
    <w:uiPriority w:val="0"/>
    <w:rPr>
      <w:b w:val="0"/>
      <w:sz w:val="20"/>
    </w:rPr>
  </w:style>
  <w:style w:type="paragraph" w:customStyle="1" w:styleId="58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6"/>
    <w:next w:val="1"/>
    <w:qFormat/>
    <w:uiPriority w:val="0"/>
    <w:pPr>
      <w:tabs>
        <w:tab w:val="left" w:pos="1080"/>
        <w:tab w:val="clear" w:pos="1008"/>
      </w:tabs>
      <w:ind w:left="1080" w:hanging="1080"/>
    </w:pPr>
  </w:style>
  <w:style w:type="paragraph" w:customStyle="1" w:styleId="583">
    <w:name w:val="数字标题1"/>
    <w:basedOn w:val="3"/>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29"/>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8"/>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9">
    <w:name w:val="_Style 947"/>
    <w:basedOn w:val="1"/>
    <w:next w:val="103"/>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22">
    <w:name w:val="表格非标题文字 Char"/>
    <w:link w:val="83"/>
    <w:qFormat/>
    <w:uiPriority w:val="0"/>
    <w:rPr>
      <w:rFonts w:ascii="Futura Bk" w:hAnsi="Futura Bk"/>
      <w:kern w:val="2"/>
      <w:sz w:val="18"/>
      <w:szCs w:val="21"/>
      <w:lang w:val="en-US" w:eastAsia="zh-CN" w:bidi="ar-SA"/>
    </w:rPr>
  </w:style>
  <w:style w:type="character" w:customStyle="1" w:styleId="623">
    <w:name w:val="*正文 Char"/>
    <w:link w:val="84"/>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5"/>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1"/>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6"/>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7"/>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62"/>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71"/>
    <w:qFormat/>
    <w:uiPriority w:val="0"/>
    <w:rPr>
      <w:rFonts w:ascii="Arial" w:hAnsi="Arial" w:eastAsia="黑体" w:cs="Arial"/>
      <w:snapToGrid w:val="0"/>
      <w:kern w:val="0"/>
      <w:szCs w:val="21"/>
    </w:rPr>
  </w:style>
  <w:style w:type="character" w:customStyle="1" w:styleId="66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8"/>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8"/>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9"/>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Char"/>
    <w:link w:val="7"/>
    <w:qFormat/>
    <w:uiPriority w:val="0"/>
    <w:rPr>
      <w:rFonts w:ascii="Arial" w:hAnsi="Arial" w:eastAsia="黑体"/>
      <w:b/>
      <w:bCs/>
      <w:kern w:val="2"/>
      <w:sz w:val="24"/>
      <w:szCs w:val="24"/>
    </w:rPr>
  </w:style>
  <w:style w:type="character" w:customStyle="1" w:styleId="681">
    <w:name w:val="纯文本 Char_0"/>
    <w:link w:val="90"/>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2"/>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3"/>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7"/>
    <w:qFormat/>
    <w:uiPriority w:val="0"/>
    <w:rPr>
      <w:rFonts w:ascii="宋体"/>
      <w:kern w:val="2"/>
      <w:sz w:val="24"/>
      <w:szCs w:val="21"/>
      <w:lang w:val="zh-CN"/>
    </w:rPr>
  </w:style>
  <w:style w:type="character" w:customStyle="1" w:styleId="711">
    <w:name w:val="标题 9 Char"/>
    <w:link w:val="10"/>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40"/>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4"/>
    <w:qFormat/>
    <w:locked/>
    <w:uiPriority w:val="0"/>
    <w:rPr>
      <w:rFonts w:ascii="Tahoma" w:hAnsi="Tahoma"/>
      <w:sz w:val="24"/>
      <w:szCs w:val="24"/>
    </w:rPr>
  </w:style>
  <w:style w:type="character" w:customStyle="1" w:styleId="721">
    <w:name w:val="正文缩进 Char2"/>
    <w:link w:val="15"/>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5"/>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18"/>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71"/>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1"/>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7"/>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8"/>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9"/>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0"/>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1"/>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2"/>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5"/>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4"/>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3"/>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60"/>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6"/>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8"/>
    <w:qFormat/>
    <w:uiPriority w:val="0"/>
    <w:rPr>
      <w:rFonts w:ascii="黑体" w:hAnsi="Courier New" w:eastAsia="黑体"/>
    </w:rPr>
  </w:style>
  <w:style w:type="character" w:customStyle="1" w:styleId="820">
    <w:name w:val="正文文本 2 Char1"/>
    <w:link w:val="57"/>
    <w:qFormat/>
    <w:uiPriority w:val="0"/>
    <w:rPr>
      <w:kern w:val="2"/>
      <w:sz w:val="21"/>
      <w:szCs w:val="24"/>
    </w:rPr>
  </w:style>
  <w:style w:type="character" w:customStyle="1" w:styleId="821">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8"/>
    <w:qFormat/>
    <w:uiPriority w:val="0"/>
    <w:rPr>
      <w:b/>
      <w:bCs/>
      <w:kern w:val="2"/>
      <w:sz w:val="24"/>
      <w:szCs w:val="24"/>
    </w:rPr>
  </w:style>
  <w:style w:type="character" w:customStyle="1" w:styleId="824">
    <w:name w:val="正文文本缩进 2 Char"/>
    <w:link w:val="38"/>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1"/>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7"/>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8"/>
    <w:qFormat/>
    <w:uiPriority w:val="0"/>
    <w:rPr>
      <w:rFonts w:ascii="宋体" w:hAnsi="Courier New"/>
    </w:rPr>
  </w:style>
  <w:style w:type="character" w:customStyle="1" w:styleId="835">
    <w:name w:val="正文首行缩进 Char"/>
    <w:link w:val="24"/>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5"/>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1"/>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09"/>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0"/>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19"/>
    <w:qFormat/>
    <w:uiPriority w:val="0"/>
    <w:rPr>
      <w:kern w:val="2"/>
      <w:sz w:val="21"/>
      <w:szCs w:val="24"/>
    </w:rPr>
  </w:style>
  <w:style w:type="character" w:customStyle="1" w:styleId="857">
    <w:name w:val="签名 Char"/>
    <w:link w:val="43"/>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1"/>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2"/>
    <w:qFormat/>
    <w:uiPriority w:val="0"/>
    <w:rPr>
      <w:rFonts w:ascii="宋体"/>
    </w:rPr>
  </w:style>
  <w:style w:type="character" w:customStyle="1" w:styleId="868">
    <w:name w:val="标题 8 Char"/>
    <w:link w:val="9"/>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4"/>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3"/>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1"/>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4"/>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2"/>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5"/>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6"/>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7"/>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8"/>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71"/>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9"/>
    <w:qFormat/>
    <w:uiPriority w:val="0"/>
    <w:rPr>
      <w:rFonts w:cs="宋体"/>
      <w:kern w:val="2"/>
      <w:sz w:val="24"/>
    </w:rPr>
  </w:style>
  <w:style w:type="character" w:customStyle="1" w:styleId="9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71"/>
    <w:qFormat/>
    <w:uiPriority w:val="0"/>
    <w:rPr>
      <w:rFonts w:ascii="Arial" w:hAnsi="Arial" w:eastAsia="黑体" w:cs="Arial"/>
      <w:snapToGrid w:val="0"/>
      <w:kern w:val="0"/>
      <w:szCs w:val="21"/>
    </w:rPr>
  </w:style>
  <w:style w:type="character" w:customStyle="1" w:styleId="935">
    <w:name w:val="hui"/>
    <w:basedOn w:val="71"/>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9"/>
    <w:qFormat/>
    <w:uiPriority w:val="0"/>
    <w:rPr>
      <w:kern w:val="2"/>
      <w:sz w:val="21"/>
      <w:szCs w:val="24"/>
      <w:lang w:val="zh-CN"/>
    </w:rPr>
  </w:style>
  <w:style w:type="character" w:customStyle="1" w:styleId="942">
    <w:name w:val="无间隔 Char"/>
    <w:link w:val="169"/>
    <w:qFormat/>
    <w:uiPriority w:val="99"/>
    <w:rPr>
      <w:kern w:val="2"/>
      <w:sz w:val="21"/>
      <w:szCs w:val="22"/>
    </w:rPr>
  </w:style>
  <w:style w:type="character" w:customStyle="1" w:styleId="943">
    <w:name w:val="标准文本 Char Char"/>
    <w:link w:val="608"/>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71"/>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97</Pages>
  <Words>51015</Words>
  <Characters>55265</Characters>
  <Lines>287</Lines>
  <Paragraphs>81</Paragraphs>
  <TotalTime>31</TotalTime>
  <ScaleCrop>false</ScaleCrop>
  <LinksUpToDate>false</LinksUpToDate>
  <CharactersWithSpaces>61958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小涵</cp:lastModifiedBy>
  <cp:lastPrinted>2022-08-05T01:09:00Z</cp:lastPrinted>
  <dcterms:modified xsi:type="dcterms:W3CDTF">2022-08-08T10:23:46Z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