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w:t>
      </w:r>
      <w:r>
        <w:rPr>
          <w:rFonts w:hint="eastAsia" w:ascii="宋体" w:hAnsi="宋体" w:cs="宋体"/>
          <w:color w:val="auto"/>
          <w:sz w:val="48"/>
          <w:szCs w:val="48"/>
          <w:highlight w:val="none"/>
          <w:lang w:eastAsia="zh-CN"/>
        </w:rPr>
        <w:t>2024年杭州市公安局余杭区分局交通警察大队死亡原因和人体损伤程度鉴定及血液酒精检测项目</w:t>
      </w:r>
      <w:r>
        <w:rPr>
          <w:rFonts w:hint="eastAsia" w:ascii="宋体" w:hAnsi="宋体" w:cs="宋体"/>
          <w:color w:val="auto"/>
          <w:sz w:val="48"/>
          <w:szCs w:val="48"/>
          <w:highlight w:val="none"/>
        </w:rPr>
        <w:t>）</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JYCG-2024-025</w:t>
      </w:r>
      <w:r>
        <w:rPr>
          <w:rFonts w:hint="eastAsia" w:ascii="宋体" w:hAnsi="宋体" w:cs="宋体"/>
          <w:color w:val="auto"/>
          <w:sz w:val="30"/>
          <w:szCs w:val="30"/>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w:t>
      </w:r>
      <w:r>
        <w:rPr>
          <w:rFonts w:hint="eastAsia" w:ascii="宋体" w:hAnsi="宋体" w:cs="宋体"/>
          <w:color w:val="auto"/>
          <w:sz w:val="32"/>
          <w:szCs w:val="32"/>
          <w:highlight w:val="none"/>
          <w:lang w:eastAsia="zh-CN"/>
        </w:rPr>
        <w:t>杭州市公安局余杭区分局交通警察大队</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w:t>
      </w:r>
      <w:r>
        <w:rPr>
          <w:rFonts w:hint="eastAsia" w:ascii="宋体" w:hAnsi="宋体" w:cs="宋体"/>
          <w:bCs/>
          <w:color w:val="auto"/>
          <w:sz w:val="32"/>
          <w:szCs w:val="32"/>
          <w:highlight w:val="none"/>
          <w:lang w:eastAsia="zh-CN"/>
        </w:rPr>
        <w:t>杭州玖裕建设管理有限公司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2024年杭州市公安局余杭区分局交通警察大队死亡原因和人体损伤程度鉴定及血液酒精检测项目</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JYCG-2024-025</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2024年杭州市公安局余杭区分局交通警察大队死亡原因和人体损伤程度鉴定及血液酒精检测项目</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640000</w:t>
      </w:r>
      <w:r>
        <w:rPr>
          <w:rFonts w:hint="eastAsia" w:ascii="宋体" w:hAnsi="宋体" w:cs="宋体"/>
          <w:b/>
          <w:color w:val="auto"/>
          <w:sz w:val="24"/>
          <w:highlight w:val="none"/>
          <w:lang w:val="en-US" w:eastAsia="zh-CN"/>
        </w:rPr>
        <w:tab/>
      </w:r>
      <w:r>
        <w:rPr>
          <w:rFonts w:hint="eastAsia" w:ascii="宋体" w:hAnsi="宋体" w:cs="宋体"/>
          <w:b/>
          <w:color w:val="auto"/>
          <w:sz w:val="24"/>
          <w:highlight w:val="none"/>
          <w:lang w:val="en-US" w:eastAsia="zh-CN"/>
        </w:rPr>
        <w:tab/>
      </w:r>
      <w:r>
        <w:rPr>
          <w:rFonts w:ascii="宋体" w:hAnsi="宋体" w:cs="宋体"/>
          <w:color w:val="auto"/>
          <w:sz w:val="24"/>
          <w:highlight w:val="none"/>
        </w:rPr>
        <w:t xml:space="preserve">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640000</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eastAsia" w:hAnsi="宋体" w:cs="宋体"/>
          <w:color w:val="auto"/>
          <w:sz w:val="24"/>
          <w:highlight w:val="none"/>
          <w:lang w:eastAsia="zh-CN"/>
        </w:rPr>
        <w:t>2024年杭州市公安局余杭区分局交通警察大队死亡原因和人体损伤程度鉴定及血液酒精检测项目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死亡原因和人体损伤程度鉴定及血液酒精检测</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详见第三部分采购需求</w:t>
      </w:r>
      <w:r>
        <w:rPr>
          <w:rFonts w:ascii="宋体" w:hAnsi="宋体" w:cs="宋体"/>
          <w:b w:val="0"/>
          <w:bCs/>
          <w:color w:val="auto"/>
          <w:highlight w:val="none"/>
        </w:rPr>
        <w:t xml:space="preserve"> </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bookmarkStart w:id="524" w:name="_GoBack"/>
      <w:bookmarkEnd w:id="524"/>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rPr>
        <w:t>投标人应当具有司法行政部门颁发的有效期内的《司法鉴定许可证》，且许可证中应包含法医病理鉴定、法医临床鉴定和法医毒物鉴定</w:t>
      </w:r>
      <w:r>
        <w:rPr>
          <w:rFonts w:hint="eastAsia" w:ascii="宋体" w:hAnsi="宋体" w:cs="宋体"/>
          <w:b/>
          <w:bCs/>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17</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17 </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杭州市公安局余杭区分局交通警察大队</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址：杭州市余杭区运溪路636号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项目联系人（询问）：郭振祥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项目联系方式（询问）：0571-86238495</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质疑联系人：郭振祥</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质疑联系方式：0571-86238495</w:t>
      </w:r>
      <w:r>
        <w:rPr>
          <w:rFonts w:hint="eastAsia" w:ascii="宋体" w:hAnsi="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杭州玖裕建设管理有限公司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w:t>
      </w:r>
      <w:r>
        <w:rPr>
          <w:rFonts w:hint="eastAsia" w:ascii="宋体" w:hAnsi="宋体" w:cs="宋体"/>
          <w:color w:val="auto"/>
          <w:sz w:val="24"/>
          <w:highlight w:val="none"/>
          <w:lang w:eastAsia="zh-CN"/>
        </w:rPr>
        <w:t>临平区</w:t>
      </w:r>
      <w:r>
        <w:rPr>
          <w:rFonts w:hint="eastAsia" w:ascii="宋体" w:hAnsi="宋体" w:cs="宋体"/>
          <w:color w:val="auto"/>
          <w:sz w:val="24"/>
          <w:highlight w:val="none"/>
        </w:rPr>
        <w:t>东湖街道五洲路26号2幢401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蒋</w:t>
      </w:r>
      <w:r>
        <w:rPr>
          <w:rFonts w:hint="eastAsia" w:ascii="宋体" w:hAnsi="宋体" w:cs="宋体"/>
          <w:color w:val="auto"/>
          <w:sz w:val="24"/>
          <w:highlight w:val="none"/>
          <w:lang w:val="en-US" w:eastAsia="zh-CN"/>
        </w:rPr>
        <w:t>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项目联系方式（询问）：15858285885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质疑联系人：曹</w:t>
      </w:r>
      <w:r>
        <w:rPr>
          <w:rFonts w:hint="eastAsia" w:ascii="宋体" w:hAnsi="宋体" w:cs="宋体"/>
          <w:color w:val="auto"/>
          <w:sz w:val="24"/>
          <w:highlight w:val="none"/>
          <w:lang w:eastAsia="zh-CN"/>
        </w:rPr>
        <w:t>工</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质疑联系方式：0571-86182181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址：杭州市上城区四季青街道新业路市民之家G03办公室（快递仅限ems或顺丰）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死亡原因鉴定和人体损伤程度鉴定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p>
            <w:pPr>
              <w:pStyle w:val="5"/>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pPr>
              <w:spacing w:line="360" w:lineRule="auto"/>
              <w:ind w:firstLine="241" w:firstLineChars="100"/>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注：</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1）投标单位在投标报价时必须根据参考单价报投标折扣率，精确到小数点后</w:t>
            </w:r>
            <w:r>
              <w:rPr>
                <w:rFonts w:hint="eastAsia" w:ascii="宋体" w:hAnsi="宋体" w:cs="宋体"/>
                <w:b/>
                <w:color w:val="auto"/>
                <w:sz w:val="24"/>
                <w:highlight w:val="none"/>
                <w:lang w:eastAsia="zh-CN"/>
              </w:rPr>
              <w:t>一</w:t>
            </w:r>
            <w:r>
              <w:rPr>
                <w:rFonts w:hint="eastAsia" w:ascii="宋体" w:hAnsi="宋体" w:cs="宋体"/>
                <w:b/>
                <w:color w:val="auto"/>
                <w:sz w:val="24"/>
                <w:highlight w:val="none"/>
              </w:rPr>
              <w:t xml:space="preserve">位。 </w:t>
            </w:r>
          </w:p>
          <w:p>
            <w:pPr>
              <w:spacing w:line="360" w:lineRule="auto"/>
              <w:ind w:firstLine="241" w:firstLineChars="100"/>
              <w:rPr>
                <w:rFonts w:hint="eastAsia" w:ascii="宋体" w:hAnsi="宋体" w:cs="宋体"/>
                <w:b/>
                <w:color w:val="auto"/>
                <w:sz w:val="24"/>
                <w:highlight w:val="none"/>
                <w:lang w:val="en-US" w:eastAsia="zh-CN"/>
              </w:rPr>
            </w:pPr>
            <w:r>
              <w:rPr>
                <w:rFonts w:hint="eastAsia" w:ascii="宋体" w:hAnsi="宋体" w:cs="宋体"/>
                <w:b/>
                <w:color w:val="auto"/>
                <w:sz w:val="24"/>
                <w:highlight w:val="none"/>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折扣率超过 100%（即折扣率（％）＞100%）为无效报价</w:t>
            </w:r>
            <w:r>
              <w:rPr>
                <w:rFonts w:hint="eastAsia" w:ascii="宋体" w:hAnsi="宋体" w:cs="宋体"/>
                <w:b/>
                <w:color w:val="auto"/>
                <w:sz w:val="24"/>
                <w:highlight w:val="none"/>
                <w:lang w:val="en-US" w:eastAsia="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sz w:val="24"/>
                <w:highlight w:val="none"/>
              </w:rPr>
              <w:t>3）报价是中标的一个重要因素，但不是中标的唯一依据。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杭州市临平区五洲路</w:t>
            </w:r>
            <w:r>
              <w:rPr>
                <w:rFonts w:hint="eastAsia" w:hAnsi="宋体" w:cs="宋体"/>
                <w:color w:val="auto"/>
                <w:sz w:val="24"/>
                <w:highlight w:val="none"/>
                <w:u w:val="single"/>
                <w:lang w:val="en-US" w:eastAsia="zh-CN"/>
              </w:rPr>
              <w:t>26号2幢401（杭州玖裕建设管理有限公司）</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汤康平</w:t>
            </w:r>
            <w:r>
              <w:rPr>
                <w:rFonts w:hint="eastAsia" w:hAnsi="宋体" w:cs="宋体"/>
                <w:color w:val="auto"/>
                <w:sz w:val="24"/>
                <w:highlight w:val="none"/>
                <w:u w:val="single"/>
                <w:lang w:val="en-US" w:eastAsia="zh-CN"/>
              </w:rPr>
              <w:t xml:space="preserve"> 18305812699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leftChars="0" w:right="0" w:rightChars="0"/>
              <w:jc w:val="center"/>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pPr>
              <w:pStyle w:val="129"/>
              <w:snapToGrid w:val="0"/>
              <w:spacing w:beforeAutospacing="0" w:after="0" w:afterAutospacing="0" w:line="360" w:lineRule="exact"/>
              <w:ind w:left="0" w:right="0"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b/>
                <w:bCs/>
                <w:color w:val="auto"/>
                <w:szCs w:val="24"/>
                <w:highlight w:val="none"/>
                <w:lang w:val="en-US" w:eastAsia="zh-CN"/>
              </w:rPr>
              <w:t>招标服务费：本项目的招标代理费用由中标单位支付，代理费用付款按招标代理服务收费管理暂行办法-计价格[2002]1980 号文件，中标人在领取中标通知书前需向招标代理机构支付人民币</w:t>
            </w:r>
            <w:r>
              <w:rPr>
                <w:rFonts w:hint="eastAsia" w:ascii="宋体" w:hAnsi="宋体" w:cs="宋体"/>
                <w:b/>
                <w:bCs/>
                <w:color w:val="auto"/>
                <w:szCs w:val="24"/>
                <w:highlight w:val="none"/>
                <w:lang w:val="en-US" w:eastAsia="zh-CN"/>
              </w:rPr>
              <w:t xml:space="preserve">13200 </w:t>
            </w:r>
            <w:r>
              <w:rPr>
                <w:rFonts w:hint="eastAsia" w:ascii="宋体" w:hAnsi="宋体" w:eastAsia="宋体" w:cs="宋体"/>
                <w:b/>
                <w:bCs/>
                <w:color w:val="auto"/>
                <w:szCs w:val="24"/>
                <w:highlight w:val="none"/>
                <w:lang w:val="en-US" w:eastAsia="zh-CN"/>
              </w:rPr>
              <w:t>元招标代理服务费，费用包含在总报价中，不单独列项报价。</w:t>
            </w:r>
          </w:p>
          <w:p>
            <w:pPr>
              <w:pStyle w:val="129"/>
              <w:snapToGrid w:val="0"/>
              <w:spacing w:beforeAutospacing="0" w:after="0" w:afterAutospacing="0" w:line="360" w:lineRule="exact"/>
              <w:ind w:left="0" w:leftChars="0" w:right="0" w:rightChars="0" w:firstLine="0" w:firstLineChars="0"/>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szCs w:val="24"/>
                <w:highlight w:val="none"/>
                <w:lang w:val="en-US" w:eastAsia="zh-CN"/>
              </w:rPr>
              <w:t>中标单位需在领取中标通知书时缴纳中标服务费，缴纳时注明招标编号。</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8"/>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8"/>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8"/>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0"/>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8"/>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29768"/>
      <w:bookmarkEnd w:id="16"/>
      <w:bookmarkStart w:id="17" w:name="_Hlt74707468"/>
      <w:bookmarkEnd w:id="17"/>
      <w:bookmarkStart w:id="18" w:name="_Hlt74714665"/>
      <w:bookmarkEnd w:id="18"/>
      <w:bookmarkStart w:id="19" w:name="_Hlt75236290"/>
      <w:bookmarkEnd w:id="19"/>
      <w:bookmarkStart w:id="20" w:name="_Hlt75236101"/>
      <w:bookmarkEnd w:id="20"/>
      <w:bookmarkStart w:id="21" w:name="_Hlt74730295"/>
      <w:bookmarkEnd w:id="21"/>
      <w:bookmarkStart w:id="22" w:name="_Hlt68072990"/>
      <w:bookmarkEnd w:id="22"/>
      <w:bookmarkStart w:id="23" w:name="_Hlt68403820"/>
      <w:bookmarkEnd w:id="23"/>
      <w:bookmarkStart w:id="24" w:name="_Hlt75236011"/>
      <w:bookmarkEnd w:id="24"/>
      <w:bookmarkStart w:id="25" w:name="_Hlt68057669"/>
      <w:bookmarkEnd w:id="25"/>
      <w:bookmarkStart w:id="26" w:name="_Hlt6807299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ind w:firstLine="120" w:firstLineChars="50"/>
        <w:rPr>
          <w:rFonts w:hint="eastAsia" w:ascii="宋体" w:hAnsi="宋体" w:eastAsia="宋体" w:cs="宋体"/>
          <w:b/>
          <w:color w:val="auto"/>
          <w:sz w:val="24"/>
          <w:szCs w:val="24"/>
          <w:highlight w:val="none"/>
        </w:rPr>
      </w:pP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一、采购需求：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1、项目服务内容：杭州市公安局余杭区分局交通警察大队死亡、人体伤程度及血液检测</w:t>
      </w:r>
    </w:p>
    <w:p>
      <w:pPr>
        <w:pStyle w:val="2"/>
        <w:rPr>
          <w:rFonts w:hint="default"/>
          <w:color w:val="auto"/>
          <w:highlight w:val="none"/>
          <w:lang w:val="en-US"/>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其中死亡、人体损伤程度检验费用最终结算价不超过 40万元，超过40万元按照40万元结算，没超过按照实际结算。血液检测费用最终结算价不超过 24万元，超过 24万元按照 24万元结算，没超过按照实际结算。</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pPr>
        <w:pStyle w:val="78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当安排人员第一时间响应采购人委托。法医病理尸检案件日间8:30至17:30委托的案件应在2小时内响应；夜间17:30至次日8:30委托的案件应在4小时内响应。案件响应受理后应在15日历天内出具鉴定报告。（含病理切片及常规毒药物分析的尸体解剖案件应在30日历天内出具鉴定报告）如因办案需要，对鉴定期限有特殊要求的，投标人应在要求的期限内响应受理案件并出具鉴定报告。</w:t>
      </w:r>
    </w:p>
    <w:p>
      <w:pPr>
        <w:pStyle w:val="78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医临床伤检案件对鉴定期限有特殊要求的案件应在24小时内受理，常规案件应在3日内受理，案件受理后应在15日历天内出具鉴定报告。如因办案需要，对鉴定期限有特殊要求的，投标人应在要求的期限内响应受理案件并出具鉴定报告。</w:t>
      </w:r>
    </w:p>
    <w:p>
      <w:pPr>
        <w:pStyle w:val="78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投标人应当安排人员7*24小时受理案件，前日夜间17:30至当日8:30受理的案件，呼气值高于130mg/100mL的，应当于当日10时前出具鉴定结论，其余的应当在当日12时前出具鉴定结论；日间8:30至17:30受理的案件应当于受理后3小时内出具鉴定结论。出具鉴定结论后24小时内送达正式鉴定报告。</w:t>
      </w:r>
      <w:r>
        <w:rPr>
          <w:rFonts w:hint="eastAsia" w:ascii="宋体" w:hAnsi="宋体" w:eastAsia="宋体" w:cs="宋体"/>
          <w:color w:val="auto"/>
          <w:sz w:val="24"/>
          <w:szCs w:val="24"/>
          <w:highlight w:val="none"/>
        </w:rPr>
        <w:t>如因办案需要，对鉴定期限有特殊要求的，投标人应在约定的期限内出具鉴定报告。血样在检验期间由投标人负责保管，检验完毕后，应保存剩余血样，保存期限不低于3个月，以备核查。</w:t>
      </w:r>
    </w:p>
    <w:p>
      <w:pPr>
        <w:pStyle w:val="781"/>
        <w:numPr>
          <w:ilvl w:val="0"/>
          <w:numId w:val="2"/>
        </w:numPr>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应具有司法行政部门颁发的有效期内的《司法鉴定许可证》；鉴定业务应同时包括法医病理鉴定和法医临床鉴定。 在鉴定过程中严格遵守《司法鉴定程序通则》及其他相关法律法规等规定，秉持客观、公正、科学、独立的准则进行鉴定，如实、如期出具鉴定结论。</w:t>
      </w:r>
    </w:p>
    <w:p>
      <w:pPr>
        <w:pStyle w:val="781"/>
        <w:numPr>
          <w:ilvl w:val="0"/>
          <w:numId w:val="2"/>
        </w:numPr>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应竭诚为采购人提供全面优质的服务，应选派有较强业务能力人员为采购人提供鉴定服务，应根据国家相关法律规定，出具真实、准确、采信度高、说服力强的具备法律效力的鉴定报告。</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项目负责人1人：具备道路交通事故相关法医检验工作经验。</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本项目相关鉴定工作的项目小组鉴定人员中持有法医病理类鉴定人执业证书不少于3人，持有法医临床鉴定人执业证书不少于3人，持有法医毒物鉴定人执业证书不少于3人（一名鉴定人员同时持有本项目法医病理类鉴定人执业证书和法医临床鉴定人执业证书的，可以兼任；提供相关鉴定人执业证书、社保证明或返聘证明）。上述人员数量为基本采购需求，在项目采购执行内，如投标人为了更好的为采购人提供高质量服务，可自行考虑增加配置。</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项目小组人员分工明确，人员配备合理，以保证检验工作顺利完成应根据国家相关法律规定，出具真实、准确、采信度高、说服力强的具备法律效力的鉴定报告。</w:t>
      </w:r>
    </w:p>
    <w:p>
      <w:pPr>
        <w:pStyle w:val="78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有固定、独立的检验鉴定场所；实验室、样品室（物证室）、档案室、办公室、接案室、资料室等功能区域划分科学、设置合理，符合工作要求；对于现场工作以及涉及生物检材/样本、危险性检材/样本的区域和人员，投标人应能够提供适当的防护措施。</w:t>
      </w:r>
    </w:p>
    <w:p>
      <w:pPr>
        <w:pStyle w:val="78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5、投标人应配备符合鉴定技术标准且满足鉴定项目需要的设备，如项目需要使用非本鉴定机构控制下的外部设备时，投标人应确保所用设备的适用性和校准状态。</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6、如因办案需要，采购人提出由供应商派遣鉴定人员外出鉴定的（杭州地区以外），供应商应全力配合，不得推诿，外出费用及补贴计入合同总价。</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无正当理由不得退案、拒绝鉴定。</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对其鉴定结果承担责任。</w:t>
      </w: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及其鉴定人因疏忽、过失，未认真履行必要的审查义务，致使出具错误的鉴定报告；或因不认真履行鉴定人的义务而造成送检材料破坏、丢失，致使无法再鉴定，均应承担法律责任并扣除违约金。</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应在中标后与采购人签署保密协议并严格保守鉴定中知悉的国家秘密、案件秘密和个人隐私。对在实施鉴定中获得或产生的所有信息承担管理和保密责任；投标人不得在公开场合发布及私自透露采购人委托的检验鉴定项目相关信息；凡与鉴定工作无关的人员不得接触案件信息。在鉴定过程中，司法鉴定人及司法投标人相关人员，不得私下与所涉案件的当事人等相关人员联系接触。如有违反，按合同的违约条款向采购人支付违约金，造成采购人损失的应予赔偿，涉嫌犯罪的依法追究刑事责任。</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采购人应当对投标人及工作人员开展常态化安全保密教育，组织签订安全保密承诺书，明确具体安全管理内容、安全保密义务和责任；</w:t>
      </w:r>
    </w:p>
    <w:p>
      <w:pPr>
        <w:pStyle w:val="781"/>
        <w:spacing w:line="360" w:lineRule="auto"/>
        <w:ind w:lef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10、办案单位或第三方(含检察院和法院）对</w:t>
      </w: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的鉴定结论及鉴定过程提出异议或发生争议时，</w:t>
      </w: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应无偿接受办案单位及第三方的质询并负责作出解释说明；办案单位或检察院、法院认为必要时，</w:t>
      </w: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sz w:val="24"/>
          <w:szCs w:val="24"/>
          <w:highlight w:val="none"/>
        </w:rPr>
        <w:t>应派鉴定人出庭接受质询并作出说明。</w:t>
      </w:r>
    </w:p>
    <w:p>
      <w:pPr>
        <w:spacing w:line="360" w:lineRule="auto"/>
        <w:ind w:left="-11"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r>
        <w:rPr>
          <w:rFonts w:hint="eastAsia" w:ascii="宋体" w:hAnsi="宋体" w:eastAsia="宋体" w:cs="宋体"/>
          <w:color w:val="auto"/>
          <w:sz w:val="24"/>
          <w:szCs w:val="24"/>
          <w:highlight w:val="none"/>
          <w:lang w:eastAsia="zh-Hans"/>
        </w:rPr>
        <w:t>投标人</w:t>
      </w:r>
      <w:r>
        <w:rPr>
          <w:rFonts w:hint="eastAsia" w:ascii="宋体" w:hAnsi="宋体" w:eastAsia="宋体" w:cs="宋体"/>
          <w:color w:val="auto"/>
          <w:kern w:val="0"/>
          <w:sz w:val="24"/>
          <w:szCs w:val="24"/>
          <w:highlight w:val="none"/>
        </w:rPr>
        <w:t>需针对本项目建立日常管理规章制度、内部岗位责任制度、保密制度、管理运作制度、考核制度及标准情况、所涉案件回避制度，保质保量完成服务。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三、投标报价要求：</w:t>
      </w:r>
    </w:p>
    <w:tbl>
      <w:tblPr>
        <w:tblStyle w:val="62"/>
        <w:tblpPr w:leftFromText="180" w:rightFromText="180" w:vertAnchor="text" w:horzAnchor="page" w:tblpXSpec="center" w:tblpY="218"/>
        <w:tblOverlap w:val="never"/>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9"/>
        <w:gridCol w:w="3342"/>
        <w:gridCol w:w="1702"/>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839" w:type="dxa"/>
            <w:vAlign w:val="center"/>
          </w:tcPr>
          <w:p>
            <w:pPr>
              <w:pStyle w:val="954"/>
              <w:spacing w:before="24" w:line="269" w:lineRule="exact"/>
              <w:ind w:left="1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342" w:type="dxa"/>
            <w:vAlign w:val="center"/>
          </w:tcPr>
          <w:p>
            <w:pPr>
              <w:pStyle w:val="954"/>
              <w:spacing w:before="24" w:line="269" w:lineRule="exact"/>
              <w:ind w:left="1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c>
          <w:tcPr>
            <w:tcW w:w="1702" w:type="dxa"/>
            <w:vAlign w:val="center"/>
          </w:tcPr>
          <w:p>
            <w:pPr>
              <w:pStyle w:val="954"/>
              <w:spacing w:before="24" w:line="269" w:lineRule="exact"/>
              <w:ind w:left="124"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SA"/>
              </w:rPr>
              <w:t>单价（元）</w:t>
            </w:r>
          </w:p>
        </w:tc>
        <w:tc>
          <w:tcPr>
            <w:tcW w:w="1403" w:type="dxa"/>
          </w:tcPr>
          <w:p>
            <w:pPr>
              <w:pStyle w:val="954"/>
              <w:spacing w:before="24" w:line="269" w:lineRule="exact"/>
              <w:ind w:left="124"/>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839"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法医病理鉴定</w:t>
            </w:r>
          </w:p>
        </w:tc>
        <w:tc>
          <w:tcPr>
            <w:tcW w:w="3342" w:type="dxa"/>
            <w:vAlign w:val="center"/>
          </w:tcPr>
          <w:p>
            <w:pPr>
              <w:pStyle w:val="954"/>
              <w:spacing w:before="22" w:line="269" w:lineRule="exact"/>
              <w:ind w:left="179" w:right="5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尸表检验、死亡原因分析</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rPr>
              <w:t>/例</w:t>
            </w:r>
          </w:p>
        </w:tc>
        <w:tc>
          <w:tcPr>
            <w:tcW w:w="1403" w:type="dxa"/>
            <w:vMerge w:val="restart"/>
            <w:vAlign w:val="center"/>
          </w:tcPr>
          <w:p>
            <w:pPr>
              <w:pStyle w:val="954"/>
              <w:spacing w:before="22" w:line="269" w:lineRule="exact"/>
              <w:ind w:left="179" w:right="55"/>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spacing w:before="22" w:line="269" w:lineRule="exact"/>
              <w:ind w:left="179" w:right="5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尸体解剖、死亡原因鉴定（无需病理切片及常规毒物检验）</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7500</w:t>
            </w:r>
            <w:r>
              <w:rPr>
                <w:rFonts w:hint="eastAsia" w:ascii="宋体" w:hAnsi="宋体" w:eastAsia="宋体" w:cs="宋体"/>
                <w:color w:val="auto"/>
                <w:sz w:val="24"/>
                <w:szCs w:val="24"/>
                <w:highlight w:val="none"/>
              </w:rPr>
              <w:t>/例</w:t>
            </w:r>
          </w:p>
        </w:tc>
        <w:tc>
          <w:tcPr>
            <w:tcW w:w="1403" w:type="dxa"/>
            <w:vMerge w:val="continue"/>
          </w:tcPr>
          <w:p>
            <w:pPr>
              <w:pStyle w:val="954"/>
              <w:spacing w:before="22" w:line="269" w:lineRule="exact"/>
              <w:ind w:left="179" w:right="55"/>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spacing w:before="25" w:line="269" w:lineRule="exact"/>
              <w:ind w:left="176" w:right="55"/>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尸体解剖、死亡原因鉴定（含病理切片及常规毒药物分析）</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15000</w:t>
            </w:r>
            <w:r>
              <w:rPr>
                <w:rFonts w:hint="eastAsia" w:ascii="宋体" w:hAnsi="宋体" w:eastAsia="宋体" w:cs="宋体"/>
                <w:color w:val="auto"/>
                <w:sz w:val="24"/>
                <w:szCs w:val="24"/>
                <w:highlight w:val="none"/>
              </w:rPr>
              <w:t>/例</w:t>
            </w:r>
          </w:p>
        </w:tc>
        <w:tc>
          <w:tcPr>
            <w:tcW w:w="1403" w:type="dxa"/>
            <w:vMerge w:val="continue"/>
          </w:tcPr>
          <w:p>
            <w:pPr>
              <w:pStyle w:val="954"/>
              <w:spacing w:before="25" w:line="269" w:lineRule="exact"/>
              <w:ind w:left="176" w:right="55"/>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spacing w:before="23" w:line="269" w:lineRule="exact"/>
              <w:ind w:left="147"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成伤机制分析</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rPr>
              <w:t>/例</w:t>
            </w:r>
          </w:p>
        </w:tc>
        <w:tc>
          <w:tcPr>
            <w:tcW w:w="1403" w:type="dxa"/>
            <w:vMerge w:val="continue"/>
          </w:tcPr>
          <w:p>
            <w:pPr>
              <w:pStyle w:val="954"/>
              <w:spacing w:before="23" w:line="269" w:lineRule="exact"/>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spacing w:before="46"/>
              <w:ind w:left="147"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生前伤与死后伤鉴定</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rPr>
              <w:t>/例</w:t>
            </w:r>
          </w:p>
        </w:tc>
        <w:tc>
          <w:tcPr>
            <w:tcW w:w="1403" w:type="dxa"/>
            <w:vMerge w:val="continue"/>
          </w:tcPr>
          <w:p>
            <w:pPr>
              <w:pStyle w:val="954"/>
              <w:spacing w:before="46"/>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spacing w:before="22" w:line="269" w:lineRule="exact"/>
              <w:ind w:left="147"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组织器官硅藻检验</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rPr>
              <w:t>/例</w:t>
            </w:r>
          </w:p>
        </w:tc>
        <w:tc>
          <w:tcPr>
            <w:tcW w:w="1403" w:type="dxa"/>
            <w:vMerge w:val="continue"/>
          </w:tcPr>
          <w:p>
            <w:pPr>
              <w:pStyle w:val="954"/>
              <w:spacing w:before="22" w:line="269" w:lineRule="exact"/>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ind w:right="24"/>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法医病理相关</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val="en-US"/>
              </w:rPr>
              <w:t>鉴定</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3000</w:t>
            </w:r>
            <w:r>
              <w:rPr>
                <w:rFonts w:hint="eastAsia" w:ascii="宋体" w:hAnsi="宋体" w:eastAsia="宋体" w:cs="宋体"/>
                <w:color w:val="auto"/>
                <w:sz w:val="24"/>
                <w:szCs w:val="24"/>
                <w:highlight w:val="none"/>
              </w:rPr>
              <w:t>/例</w:t>
            </w:r>
          </w:p>
        </w:tc>
        <w:tc>
          <w:tcPr>
            <w:tcW w:w="1403" w:type="dxa"/>
            <w:vMerge w:val="continue"/>
          </w:tcPr>
          <w:p>
            <w:pPr>
              <w:pStyle w:val="954"/>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839" w:type="dxa"/>
            <w:vMerge w:val="restart"/>
            <w:vAlign w:val="center"/>
          </w:tcPr>
          <w:p>
            <w:pPr>
              <w:pStyle w:val="954"/>
              <w:spacing w:before="158" w:line="278" w:lineRule="auto"/>
              <w:ind w:right="177"/>
              <w:jc w:val="center"/>
              <w:rPr>
                <w:rFonts w:hint="eastAsia" w:ascii="宋体" w:hAnsi="宋体" w:eastAsia="宋体" w:cs="宋体"/>
                <w:color w:val="auto"/>
                <w:sz w:val="24"/>
                <w:szCs w:val="24"/>
                <w:highlight w:val="none"/>
              </w:rPr>
            </w:pPr>
          </w:p>
          <w:p>
            <w:pPr>
              <w:pStyle w:val="954"/>
              <w:spacing w:before="158" w:line="278" w:lineRule="auto"/>
              <w:ind w:right="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法医临床鉴定</w:t>
            </w:r>
          </w:p>
        </w:tc>
        <w:tc>
          <w:tcPr>
            <w:tcW w:w="3342" w:type="dxa"/>
            <w:vAlign w:val="center"/>
          </w:tcPr>
          <w:p>
            <w:pPr>
              <w:pStyle w:val="954"/>
              <w:spacing w:before="121"/>
              <w:ind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人身伤残程度鉴定</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1200/例</w:t>
            </w:r>
          </w:p>
        </w:tc>
        <w:tc>
          <w:tcPr>
            <w:tcW w:w="1403" w:type="dxa"/>
            <w:vMerge w:val="continue"/>
          </w:tcPr>
          <w:p>
            <w:pPr>
              <w:pStyle w:val="954"/>
              <w:spacing w:before="121"/>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spacing w:before="68"/>
              <w:ind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伤病关系鉴定</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1450</w:t>
            </w:r>
            <w:r>
              <w:rPr>
                <w:rFonts w:hint="eastAsia" w:ascii="宋体" w:hAnsi="宋体" w:eastAsia="宋体" w:cs="宋体"/>
                <w:color w:val="auto"/>
                <w:sz w:val="24"/>
                <w:szCs w:val="24"/>
                <w:highlight w:val="none"/>
              </w:rPr>
              <w:t>/例</w:t>
            </w:r>
          </w:p>
        </w:tc>
        <w:tc>
          <w:tcPr>
            <w:tcW w:w="1403" w:type="dxa"/>
            <w:vMerge w:val="continue"/>
          </w:tcPr>
          <w:p>
            <w:pPr>
              <w:pStyle w:val="954"/>
              <w:spacing w:before="68"/>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spacing w:before="80"/>
              <w:ind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致伤物和致伤方式推断</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2250</w:t>
            </w:r>
            <w:r>
              <w:rPr>
                <w:rFonts w:hint="eastAsia" w:ascii="宋体" w:hAnsi="宋体" w:eastAsia="宋体" w:cs="宋体"/>
                <w:color w:val="auto"/>
                <w:sz w:val="24"/>
                <w:szCs w:val="24"/>
                <w:highlight w:val="none"/>
              </w:rPr>
              <w:t>/例</w:t>
            </w:r>
          </w:p>
        </w:tc>
        <w:tc>
          <w:tcPr>
            <w:tcW w:w="1403" w:type="dxa"/>
            <w:vMerge w:val="continue"/>
          </w:tcPr>
          <w:p>
            <w:pPr>
              <w:pStyle w:val="954"/>
              <w:spacing w:before="80"/>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spacing w:before="70"/>
              <w:ind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人身损伤程度鉴定</w:t>
            </w:r>
          </w:p>
        </w:tc>
        <w:tc>
          <w:tcPr>
            <w:tcW w:w="1702" w:type="dxa"/>
            <w:vAlign w:val="center"/>
          </w:tcPr>
          <w:p>
            <w:pPr>
              <w:spacing w:line="32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1200</w:t>
            </w:r>
            <w:r>
              <w:rPr>
                <w:rFonts w:hint="eastAsia" w:ascii="宋体" w:hAnsi="宋体" w:eastAsia="宋体" w:cs="宋体"/>
                <w:color w:val="auto"/>
                <w:sz w:val="24"/>
                <w:szCs w:val="24"/>
                <w:highlight w:val="none"/>
              </w:rPr>
              <w:t>/例</w:t>
            </w:r>
          </w:p>
        </w:tc>
        <w:tc>
          <w:tcPr>
            <w:tcW w:w="1403" w:type="dxa"/>
            <w:vMerge w:val="continue"/>
          </w:tcPr>
          <w:p>
            <w:pPr>
              <w:pStyle w:val="954"/>
              <w:spacing w:before="70"/>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839" w:type="dxa"/>
            <w:vAlign w:val="center"/>
          </w:tcPr>
          <w:p>
            <w:pPr>
              <w:pStyle w:val="9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法医物证鉴定</w:t>
            </w:r>
          </w:p>
        </w:tc>
        <w:tc>
          <w:tcPr>
            <w:tcW w:w="3342" w:type="dxa"/>
            <w:vAlign w:val="center"/>
          </w:tcPr>
          <w:p>
            <w:pPr>
              <w:pStyle w:val="954"/>
              <w:spacing w:before="134"/>
              <w:ind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个体识别/亲子鉴定</w:t>
            </w:r>
          </w:p>
        </w:tc>
        <w:tc>
          <w:tcPr>
            <w:tcW w:w="1702" w:type="dxa"/>
            <w:vAlign w:val="center"/>
          </w:tcPr>
          <w:p>
            <w:pPr>
              <w:pStyle w:val="954"/>
              <w:spacing w:before="134"/>
              <w:ind w:right="-53"/>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1500</w:t>
            </w:r>
            <w:r>
              <w:rPr>
                <w:rFonts w:hint="eastAsia" w:ascii="宋体" w:hAnsi="宋体" w:eastAsia="宋体" w:cs="宋体"/>
                <w:color w:val="auto"/>
                <w:sz w:val="24"/>
                <w:szCs w:val="24"/>
                <w:highlight w:val="none"/>
              </w:rPr>
              <w:t>/检材</w:t>
            </w:r>
          </w:p>
        </w:tc>
        <w:tc>
          <w:tcPr>
            <w:tcW w:w="1403" w:type="dxa"/>
            <w:vMerge w:val="continue"/>
          </w:tcPr>
          <w:p>
            <w:pPr>
              <w:pStyle w:val="954"/>
              <w:spacing w:before="134"/>
              <w:ind w:right="286"/>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839" w:type="dxa"/>
            <w:vMerge w:val="restart"/>
            <w:vAlign w:val="center"/>
          </w:tcPr>
          <w:p>
            <w:pPr>
              <w:ind w:firstLine="600" w:firstLineChars="250"/>
              <w:jc w:val="center"/>
              <w:rPr>
                <w:rFonts w:hint="eastAsia" w:ascii="宋体" w:hAnsi="宋体" w:eastAsia="宋体" w:cs="宋体"/>
                <w:color w:val="auto"/>
                <w:sz w:val="24"/>
                <w:szCs w:val="24"/>
                <w:highlight w:val="none"/>
              </w:rPr>
            </w:pPr>
          </w:p>
          <w:p>
            <w:pPr>
              <w:ind w:firstLine="600" w:firstLineChars="250"/>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法医毒物鉴定</w:t>
            </w:r>
          </w:p>
        </w:tc>
        <w:tc>
          <w:tcPr>
            <w:tcW w:w="3342" w:type="dxa"/>
            <w:vAlign w:val="center"/>
          </w:tcPr>
          <w:p>
            <w:pPr>
              <w:pStyle w:val="954"/>
              <w:ind w:right="24"/>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人体体液中乙醇定性定量分析</w:t>
            </w:r>
          </w:p>
        </w:tc>
        <w:tc>
          <w:tcPr>
            <w:tcW w:w="1702" w:type="dxa"/>
            <w:vAlign w:val="center"/>
          </w:tcPr>
          <w:p>
            <w:pPr>
              <w:pStyle w:val="954"/>
              <w:ind w:right="-53"/>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rPr>
              <w:t>/检材</w:t>
            </w:r>
          </w:p>
        </w:tc>
        <w:tc>
          <w:tcPr>
            <w:tcW w:w="1403" w:type="dxa"/>
            <w:vMerge w:val="continue"/>
          </w:tcPr>
          <w:p>
            <w:pPr>
              <w:pStyle w:val="954"/>
              <w:ind w:left="412" w:right="286"/>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ind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毒（药）物定性分析</w:t>
            </w:r>
          </w:p>
        </w:tc>
        <w:tc>
          <w:tcPr>
            <w:tcW w:w="1702" w:type="dxa"/>
            <w:vAlign w:val="center"/>
          </w:tcPr>
          <w:p>
            <w:pPr>
              <w:pStyle w:val="954"/>
              <w:ind w:right="-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1000/检材、项</w:t>
            </w:r>
          </w:p>
        </w:tc>
        <w:tc>
          <w:tcPr>
            <w:tcW w:w="1403" w:type="dxa"/>
            <w:vMerge w:val="continue"/>
          </w:tcPr>
          <w:p>
            <w:pPr>
              <w:pStyle w:val="954"/>
              <w:ind w:left="412" w:right="288"/>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ind w:right="2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毒（药）物定</w:t>
            </w:r>
            <w:r>
              <w:rPr>
                <w:rFonts w:hint="eastAsia" w:ascii="宋体" w:hAnsi="宋体" w:cs="宋体"/>
                <w:color w:val="auto"/>
                <w:sz w:val="24"/>
                <w:szCs w:val="24"/>
                <w:highlight w:val="none"/>
                <w:lang w:val="en-US" w:eastAsia="zh-CN"/>
              </w:rPr>
              <w:t>量</w:t>
            </w:r>
            <w:r>
              <w:rPr>
                <w:rFonts w:hint="eastAsia" w:ascii="宋体" w:hAnsi="宋体" w:eastAsia="宋体" w:cs="宋体"/>
                <w:color w:val="auto"/>
                <w:sz w:val="24"/>
                <w:szCs w:val="24"/>
                <w:highlight w:val="none"/>
              </w:rPr>
              <w:t>分析</w:t>
            </w:r>
          </w:p>
        </w:tc>
        <w:tc>
          <w:tcPr>
            <w:tcW w:w="1702" w:type="dxa"/>
            <w:vAlign w:val="center"/>
          </w:tcPr>
          <w:p>
            <w:pPr>
              <w:pStyle w:val="954"/>
              <w:ind w:right="-5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0/检材、项</w:t>
            </w:r>
          </w:p>
        </w:tc>
        <w:tc>
          <w:tcPr>
            <w:tcW w:w="1403" w:type="dxa"/>
            <w:vMerge w:val="continue"/>
          </w:tcPr>
          <w:p>
            <w:pPr>
              <w:pStyle w:val="954"/>
              <w:ind w:left="412" w:right="288"/>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839" w:type="dxa"/>
            <w:vMerge w:val="continue"/>
            <w:vAlign w:val="center"/>
          </w:tcPr>
          <w:p>
            <w:pPr>
              <w:jc w:val="center"/>
              <w:rPr>
                <w:rFonts w:hint="eastAsia" w:ascii="宋体" w:hAnsi="宋体" w:eastAsia="宋体" w:cs="宋体"/>
                <w:color w:val="auto"/>
                <w:sz w:val="24"/>
                <w:szCs w:val="24"/>
                <w:highlight w:val="none"/>
              </w:rPr>
            </w:pPr>
          </w:p>
        </w:tc>
        <w:tc>
          <w:tcPr>
            <w:tcW w:w="3342" w:type="dxa"/>
            <w:vAlign w:val="center"/>
          </w:tcPr>
          <w:p>
            <w:pPr>
              <w:pStyle w:val="954"/>
              <w:ind w:right="24"/>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常规毒品定性分析（筛查4项）</w:t>
            </w:r>
          </w:p>
        </w:tc>
        <w:tc>
          <w:tcPr>
            <w:tcW w:w="1702" w:type="dxa"/>
            <w:vAlign w:val="center"/>
          </w:tcPr>
          <w:p>
            <w:pPr>
              <w:pStyle w:val="954"/>
              <w:ind w:right="-53"/>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2800</w:t>
            </w:r>
            <w:r>
              <w:rPr>
                <w:rFonts w:hint="eastAsia" w:ascii="宋体" w:hAnsi="宋体" w:eastAsia="宋体" w:cs="宋体"/>
                <w:color w:val="auto"/>
                <w:sz w:val="24"/>
                <w:szCs w:val="24"/>
                <w:highlight w:val="none"/>
              </w:rPr>
              <w:t>/检材</w:t>
            </w:r>
          </w:p>
        </w:tc>
        <w:tc>
          <w:tcPr>
            <w:tcW w:w="1403" w:type="dxa"/>
            <w:vMerge w:val="continue"/>
          </w:tcPr>
          <w:p>
            <w:pPr>
              <w:pStyle w:val="954"/>
              <w:ind w:left="412" w:right="288"/>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839"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血液酒精检测</w:t>
            </w:r>
          </w:p>
        </w:tc>
        <w:tc>
          <w:tcPr>
            <w:tcW w:w="3342" w:type="dxa"/>
            <w:vAlign w:val="center"/>
          </w:tcPr>
          <w:p>
            <w:pPr>
              <w:pStyle w:val="954"/>
              <w:ind w:right="24"/>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血液酒精检测</w:t>
            </w:r>
          </w:p>
        </w:tc>
        <w:tc>
          <w:tcPr>
            <w:tcW w:w="1702" w:type="dxa"/>
            <w:vAlign w:val="center"/>
          </w:tcPr>
          <w:p>
            <w:pPr>
              <w:pStyle w:val="954"/>
              <w:ind w:right="-53"/>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400/次</w:t>
            </w:r>
          </w:p>
        </w:tc>
        <w:tc>
          <w:tcPr>
            <w:tcW w:w="1403" w:type="dxa"/>
          </w:tcPr>
          <w:p>
            <w:pPr>
              <w:pStyle w:val="954"/>
              <w:ind w:left="412" w:right="288"/>
              <w:jc w:val="center"/>
              <w:rPr>
                <w:rFonts w:hint="eastAsia" w:ascii="宋体" w:hAnsi="宋体" w:eastAsia="宋体" w:cs="宋体"/>
                <w:color w:val="auto"/>
                <w:sz w:val="24"/>
                <w:szCs w:val="24"/>
                <w:highlight w:val="none"/>
                <w:lang w:val="en-US"/>
              </w:rPr>
            </w:pPr>
          </w:p>
        </w:tc>
      </w:tr>
    </w:tbl>
    <w:p>
      <w:pPr>
        <w:pStyle w:val="5"/>
        <w:numPr>
          <w:ilvl w:val="0"/>
          <w:numId w:val="0"/>
        </w:numPr>
        <w:spacing w:line="240" w:lineRule="auto"/>
        <w:ind w:left="0" w:firstLine="0"/>
        <w:rPr>
          <w:rFonts w:hint="eastAsia" w:ascii="宋体" w:hAnsi="宋体" w:eastAsia="宋体" w:cs="宋体"/>
          <w:color w:val="auto"/>
          <w:sz w:val="24"/>
          <w:szCs w:val="24"/>
          <w:highlight w:val="none"/>
          <w:lang w:val="en-US" w:eastAsia="zh-CN"/>
        </w:rPr>
      </w:pPr>
    </w:p>
    <w:p>
      <w:pPr>
        <w:pStyle w:val="5"/>
        <w:numPr>
          <w:ilvl w:val="0"/>
          <w:numId w:val="0"/>
        </w:numPr>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其他要求</w:t>
      </w:r>
    </w:p>
    <w:p>
      <w:pPr>
        <w:autoSpaceDE w:val="0"/>
        <w:autoSpaceDN w:val="0"/>
        <w:snapToGrid w:val="0"/>
        <w:spacing w:line="360" w:lineRule="auto"/>
        <w:ind w:firstLine="354" w:firstLineChars="147"/>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、服务要求</w:t>
      </w:r>
    </w:p>
    <w:p>
      <w:pPr>
        <w:autoSpaceDE w:val="0"/>
        <w:autoSpaceDN w:val="0"/>
        <w:snapToGrid w:val="0"/>
        <w:spacing w:line="360" w:lineRule="auto"/>
        <w:ind w:firstLine="480" w:firstLineChars="2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1</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供应商在履行合同义务期间，应遵守国家有关法律、法规、维护</w:t>
      </w:r>
      <w:r>
        <w:rPr>
          <w:rFonts w:hint="eastAsia" w:ascii="宋体" w:hAnsi="宋体" w:eastAsia="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的合法权益。</w:t>
      </w:r>
    </w:p>
    <w:p>
      <w:pPr>
        <w:autoSpaceDE w:val="0"/>
        <w:autoSpaceDN w:val="0"/>
        <w:snapToGrid w:val="0"/>
        <w:spacing w:line="360" w:lineRule="auto"/>
        <w:ind w:firstLine="480" w:firstLineChars="2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供应商应组建能够满足本项目服务需要的项目组，按照工作范围和内容完成技术服务工作，并按约定向</w:t>
      </w:r>
      <w:r>
        <w:rPr>
          <w:rFonts w:hint="eastAsia" w:ascii="宋体" w:hAnsi="宋体" w:eastAsia="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汇报工作进展。</w:t>
      </w:r>
    </w:p>
    <w:p>
      <w:pPr>
        <w:autoSpaceDE w:val="0"/>
        <w:autoSpaceDN w:val="0"/>
        <w:snapToGrid w:val="0"/>
        <w:spacing w:line="360" w:lineRule="auto"/>
        <w:ind w:firstLine="720" w:firstLineChars="3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供应商应自行承担项目实施过程中的安全责任，</w:t>
      </w:r>
      <w:r>
        <w:rPr>
          <w:rFonts w:hint="eastAsia" w:ascii="宋体" w:hAnsi="宋体" w:eastAsia="宋体"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在任何情况下不承担任何责任。</w:t>
      </w:r>
    </w:p>
    <w:p>
      <w:pPr>
        <w:autoSpaceDE w:val="0"/>
        <w:autoSpaceDN w:val="0"/>
        <w:snapToGrid w:val="0"/>
        <w:spacing w:line="360" w:lineRule="auto"/>
        <w:ind w:firstLine="241" w:firstLineChars="100"/>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2、服务期限</w:t>
      </w:r>
    </w:p>
    <w:p>
      <w:pPr>
        <w:autoSpaceDE w:val="0"/>
        <w:autoSpaceDN w:val="0"/>
        <w:snapToGrid w:val="0"/>
        <w:spacing w:line="360" w:lineRule="auto"/>
        <w:ind w:firstLine="720" w:firstLineChars="3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b/>
          <w:color w:val="auto"/>
          <w:sz w:val="24"/>
          <w:szCs w:val="24"/>
          <w:highlight w:val="none"/>
          <w:lang w:val="en-US" w:eastAsia="zh-CN"/>
        </w:rPr>
        <w:t>服务期限:</w:t>
      </w:r>
      <w:r>
        <w:rPr>
          <w:rFonts w:hint="eastAsia" w:ascii="宋体" w:hAnsi="宋体" w:eastAsia="宋体" w:cs="宋体"/>
          <w:b/>
          <w:color w:val="auto"/>
          <w:sz w:val="24"/>
          <w:szCs w:val="24"/>
          <w:highlight w:val="none"/>
        </w:rPr>
        <w:t>本次采购项目服务时间1年，自合同签订</w:t>
      </w:r>
      <w:r>
        <w:rPr>
          <w:rFonts w:hint="eastAsia" w:ascii="宋体" w:hAnsi="宋体" w:eastAsia="宋体" w:cs="宋体"/>
          <w:b/>
          <w:color w:val="auto"/>
          <w:sz w:val="24"/>
          <w:szCs w:val="24"/>
          <w:highlight w:val="none"/>
          <w:lang w:val="en-US" w:eastAsia="zh-CN"/>
        </w:rPr>
        <w:t>生效</w:t>
      </w:r>
      <w:r>
        <w:rPr>
          <w:rFonts w:hint="eastAsia" w:ascii="宋体" w:hAnsi="宋体" w:eastAsia="宋体" w:cs="宋体"/>
          <w:b/>
          <w:color w:val="auto"/>
          <w:sz w:val="24"/>
          <w:szCs w:val="24"/>
          <w:highlight w:val="none"/>
        </w:rPr>
        <w:t>之日起计算。</w:t>
      </w:r>
    </w:p>
    <w:p>
      <w:pPr>
        <w:autoSpaceDE w:val="0"/>
        <w:autoSpaceDN w:val="0"/>
        <w:snapToGrid w:val="0"/>
        <w:spacing w:line="360" w:lineRule="auto"/>
        <w:ind w:firstLine="720" w:firstLineChars="3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标准：符合我国国家有关技术规范要求和技术标准。</w:t>
      </w:r>
    </w:p>
    <w:p>
      <w:pPr>
        <w:autoSpaceDE w:val="0"/>
        <w:autoSpaceDN w:val="0"/>
        <w:snapToGrid w:val="0"/>
        <w:spacing w:line="360" w:lineRule="auto"/>
        <w:ind w:firstLine="720" w:firstLineChars="3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投标人</w:t>
      </w:r>
      <w:r>
        <w:rPr>
          <w:rFonts w:hint="eastAsia" w:ascii="宋体" w:hAnsi="宋体" w:eastAsia="宋体" w:cs="宋体"/>
          <w:snapToGrid w:val="0"/>
          <w:color w:val="auto"/>
          <w:kern w:val="0"/>
          <w:sz w:val="24"/>
          <w:szCs w:val="24"/>
          <w:highlight w:val="none"/>
        </w:rPr>
        <w:t>免费提供涉及本项目工作的相关服务。</w:t>
      </w:r>
    </w:p>
    <w:p>
      <w:pPr>
        <w:autoSpaceDE w:val="0"/>
        <w:autoSpaceDN w:val="0"/>
        <w:snapToGrid w:val="0"/>
        <w:spacing w:line="360" w:lineRule="auto"/>
        <w:ind w:firstLine="720" w:firstLineChars="3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eastAsia="zh-CN"/>
        </w:rPr>
        <w:t>投标人</w:t>
      </w:r>
      <w:r>
        <w:rPr>
          <w:rFonts w:hint="eastAsia" w:ascii="宋体" w:hAnsi="宋体" w:eastAsia="宋体" w:cs="宋体"/>
          <w:snapToGrid w:val="0"/>
          <w:color w:val="auto"/>
          <w:kern w:val="0"/>
          <w:sz w:val="24"/>
          <w:szCs w:val="24"/>
          <w:highlight w:val="none"/>
        </w:rPr>
        <w:t>应在投标文件中应提供实施计划。</w:t>
      </w:r>
    </w:p>
    <w:p>
      <w:pPr>
        <w:spacing w:line="360" w:lineRule="auto"/>
        <w:ind w:right="-178" w:rightChars="-85" w:firstLine="241" w:firstLineChars="1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、项目款</w:t>
      </w:r>
      <w:r>
        <w:rPr>
          <w:rFonts w:hint="eastAsia" w:ascii="宋体" w:hAnsi="宋体" w:eastAsia="宋体" w:cs="宋体"/>
          <w:b/>
          <w:color w:val="auto"/>
          <w:sz w:val="24"/>
          <w:szCs w:val="24"/>
          <w:highlight w:val="none"/>
        </w:rPr>
        <w:t>的结算</w:t>
      </w:r>
    </w:p>
    <w:p>
      <w:pPr>
        <w:autoSpaceDE w:val="0"/>
        <w:autoSpaceDN w:val="0"/>
        <w:snapToGrid w:val="0"/>
        <w:spacing w:line="360" w:lineRule="auto"/>
        <w:ind w:firstLine="720" w:firstLineChars="3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采购人根据合同、投标文件等资料进行验收。</w:t>
      </w:r>
    </w:p>
    <w:p>
      <w:pPr>
        <w:autoSpaceDE w:val="0"/>
        <w:autoSpaceDN w:val="0"/>
        <w:snapToGrid w:val="0"/>
        <w:spacing w:line="360" w:lineRule="auto"/>
        <w:ind w:firstLine="720" w:firstLineChars="3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项目款结算按季度分期支付。</w:t>
      </w:r>
    </w:p>
    <w:p>
      <w:pPr>
        <w:autoSpaceDE w:val="0"/>
        <w:autoSpaceDN w:val="0"/>
        <w:snapToGrid w:val="0"/>
        <w:spacing w:line="360" w:lineRule="auto"/>
        <w:ind w:firstLine="720" w:firstLineChars="300"/>
        <w:textAlignment w:val="bottom"/>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合同签订后采购人向中标人支付</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0%项目预付款；</w:t>
      </w:r>
      <w:r>
        <w:rPr>
          <w:rFonts w:hint="eastAsia" w:ascii="宋体" w:hAnsi="宋体" w:eastAsia="宋体" w:cs="宋体"/>
          <w:color w:val="auto"/>
          <w:sz w:val="24"/>
          <w:szCs w:val="24"/>
          <w:highlight w:val="none"/>
        </w:rPr>
        <w:t>在每季度末</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在此期间实际产生的鉴定量结算并支付当期所产生的服务费用。实际结算费用=浙江省司法鉴定机构鉴定服务收费项目收费标准*中标价*实际产生的鉴定量。由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支付当期项目款（优先扣除预付款，扣完为止），</w:t>
      </w:r>
      <w:r>
        <w:rPr>
          <w:rFonts w:hint="eastAsia" w:ascii="宋体" w:hAnsi="宋体" w:eastAsia="宋体" w:cs="宋体"/>
          <w:snapToGrid w:val="0"/>
          <w:color w:val="auto"/>
          <w:kern w:val="0"/>
          <w:sz w:val="24"/>
          <w:szCs w:val="24"/>
          <w:highlight w:val="none"/>
        </w:rPr>
        <w:t>合同周期内实际支付费用总额不超过投标总价。</w:t>
      </w:r>
    </w:p>
    <w:p>
      <w:pPr>
        <w:autoSpaceDE w:val="0"/>
        <w:autoSpaceDN w:val="0"/>
        <w:snapToGrid w:val="0"/>
        <w:spacing w:line="360" w:lineRule="auto"/>
        <w:ind w:firstLine="720" w:firstLineChars="300"/>
        <w:textAlignment w:val="bottom"/>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szCs w:val="24"/>
          <w:highlight w:val="none"/>
        </w:rPr>
        <w:t>结算时中标人将结款申请1份、发票原件及复印件1份、合同复印件1份和</w:t>
      </w:r>
      <w:r>
        <w:rPr>
          <w:rFonts w:hint="eastAsia" w:ascii="宋体" w:hAnsi="宋体" w:eastAsia="宋体" w:cs="宋体"/>
          <w:snapToGrid w:val="0"/>
          <w:color w:val="auto"/>
          <w:kern w:val="0"/>
          <w:sz w:val="24"/>
          <w:highlight w:val="none"/>
        </w:rPr>
        <w:t>经采购人验收确认（还需提供验收报告）提交采购人，采购人应自收到发票后5个工作日内支付相应款项。</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65"/>
      <w:bookmarkEnd w:id="28"/>
      <w:bookmarkStart w:id="29" w:name="_Toc184310316"/>
      <w:bookmarkEnd w:id="29"/>
      <w:bookmarkStart w:id="30" w:name="_Toc184313246"/>
      <w:bookmarkEnd w:id="30"/>
      <w:bookmarkStart w:id="31" w:name="_Toc184314479"/>
      <w:bookmarkEnd w:id="31"/>
      <w:bookmarkStart w:id="32" w:name="_Toc184308081"/>
      <w:bookmarkEnd w:id="32"/>
      <w:bookmarkStart w:id="33" w:name="_Toc184312108"/>
      <w:bookmarkEnd w:id="33"/>
      <w:bookmarkStart w:id="34" w:name="_Toc184313265"/>
      <w:bookmarkEnd w:id="34"/>
      <w:bookmarkStart w:id="35" w:name="_Toc184312127"/>
      <w:bookmarkEnd w:id="35"/>
      <w:bookmarkStart w:id="36" w:name="_Toc184308043"/>
      <w:bookmarkEnd w:id="36"/>
      <w:bookmarkStart w:id="37" w:name="_Toc184314437"/>
      <w:bookmarkEnd w:id="37"/>
      <w:bookmarkStart w:id="38" w:name="_Toc184314419"/>
      <w:bookmarkEnd w:id="38"/>
      <w:bookmarkStart w:id="39" w:name="_Toc184312077"/>
      <w:bookmarkEnd w:id="39"/>
      <w:bookmarkStart w:id="40" w:name="_Toc184312075"/>
      <w:bookmarkEnd w:id="40"/>
      <w:bookmarkStart w:id="41" w:name="_Toc184308065"/>
      <w:bookmarkEnd w:id="41"/>
      <w:bookmarkStart w:id="42" w:name="_Toc184310314"/>
      <w:bookmarkEnd w:id="42"/>
      <w:bookmarkStart w:id="43" w:name="_Toc184310338"/>
      <w:bookmarkEnd w:id="43"/>
      <w:bookmarkStart w:id="44" w:name="_Toc184312122"/>
      <w:bookmarkEnd w:id="44"/>
      <w:bookmarkStart w:id="45" w:name="_Toc184312111"/>
      <w:bookmarkEnd w:id="45"/>
      <w:bookmarkStart w:id="46" w:name="_Toc184310321"/>
      <w:bookmarkEnd w:id="46"/>
      <w:bookmarkStart w:id="47" w:name="_Toc184310307"/>
      <w:bookmarkEnd w:id="47"/>
      <w:bookmarkStart w:id="48" w:name="_Toc184312125"/>
      <w:bookmarkEnd w:id="48"/>
      <w:bookmarkStart w:id="49" w:name="_Toc184313250"/>
      <w:bookmarkEnd w:id="49"/>
      <w:bookmarkStart w:id="50" w:name="_Toc184314423"/>
      <w:bookmarkEnd w:id="50"/>
      <w:bookmarkStart w:id="51" w:name="_Toc184314481"/>
      <w:bookmarkEnd w:id="51"/>
      <w:bookmarkStart w:id="52" w:name="_Toc184312071"/>
      <w:bookmarkEnd w:id="52"/>
      <w:bookmarkStart w:id="53" w:name="_Toc184312119"/>
      <w:bookmarkEnd w:id="53"/>
      <w:bookmarkStart w:id="54" w:name="_Toc184313276"/>
      <w:bookmarkEnd w:id="54"/>
      <w:bookmarkStart w:id="55" w:name="_Toc184312089"/>
      <w:bookmarkEnd w:id="55"/>
      <w:bookmarkStart w:id="56" w:name="_Toc184308048"/>
      <w:bookmarkEnd w:id="56"/>
      <w:bookmarkStart w:id="57" w:name="_Toc184314436"/>
      <w:bookmarkEnd w:id="57"/>
      <w:bookmarkStart w:id="58" w:name="_Toc184310278"/>
      <w:bookmarkEnd w:id="58"/>
      <w:bookmarkStart w:id="59" w:name="_Toc184314468"/>
      <w:bookmarkEnd w:id="59"/>
      <w:bookmarkStart w:id="60" w:name="_Toc184312124"/>
      <w:bookmarkEnd w:id="60"/>
      <w:bookmarkStart w:id="61" w:name="_Toc184308051"/>
      <w:bookmarkEnd w:id="61"/>
      <w:bookmarkStart w:id="62" w:name="_Toc184312069"/>
      <w:bookmarkEnd w:id="62"/>
      <w:bookmarkStart w:id="63" w:name="_Toc184313294"/>
      <w:bookmarkEnd w:id="63"/>
      <w:bookmarkStart w:id="64" w:name="_Toc184314439"/>
      <w:bookmarkEnd w:id="64"/>
      <w:bookmarkStart w:id="65" w:name="_Toc184313293"/>
      <w:bookmarkEnd w:id="65"/>
      <w:bookmarkStart w:id="66" w:name="_Toc184313239"/>
      <w:bookmarkEnd w:id="66"/>
      <w:bookmarkStart w:id="67" w:name="_Toc184310299"/>
      <w:bookmarkEnd w:id="67"/>
      <w:bookmarkStart w:id="68" w:name="_Toc184308073"/>
      <w:bookmarkEnd w:id="68"/>
      <w:bookmarkStart w:id="69" w:name="_Toc184308096"/>
      <w:bookmarkEnd w:id="69"/>
      <w:bookmarkStart w:id="70" w:name="_Toc184310327"/>
      <w:bookmarkEnd w:id="70"/>
      <w:bookmarkStart w:id="71" w:name="_Toc184310304"/>
      <w:bookmarkEnd w:id="71"/>
      <w:bookmarkStart w:id="72" w:name="_Toc184310339"/>
      <w:bookmarkEnd w:id="72"/>
      <w:bookmarkStart w:id="73" w:name="_Toc184314477"/>
      <w:bookmarkEnd w:id="73"/>
      <w:bookmarkStart w:id="74" w:name="_Toc184313269"/>
      <w:bookmarkEnd w:id="74"/>
      <w:bookmarkStart w:id="75" w:name="_Toc184312129"/>
      <w:bookmarkEnd w:id="75"/>
      <w:bookmarkStart w:id="76" w:name="_Toc184313249"/>
      <w:bookmarkEnd w:id="76"/>
      <w:bookmarkStart w:id="77" w:name="_Toc184308106"/>
      <w:bookmarkEnd w:id="77"/>
      <w:bookmarkStart w:id="78" w:name="_Toc184308053"/>
      <w:bookmarkEnd w:id="78"/>
      <w:bookmarkStart w:id="79" w:name="_Toc184314460"/>
      <w:bookmarkEnd w:id="79"/>
      <w:bookmarkStart w:id="80" w:name="_Toc184312113"/>
      <w:bookmarkEnd w:id="80"/>
      <w:bookmarkStart w:id="81" w:name="_Toc184310286"/>
      <w:bookmarkEnd w:id="81"/>
      <w:bookmarkStart w:id="82" w:name="_Toc184314471"/>
      <w:bookmarkEnd w:id="82"/>
      <w:bookmarkStart w:id="83" w:name="_Toc184310276"/>
      <w:bookmarkEnd w:id="83"/>
      <w:bookmarkStart w:id="84" w:name="_Toc184308055"/>
      <w:bookmarkEnd w:id="84"/>
      <w:bookmarkStart w:id="85" w:name="_Toc184314469"/>
      <w:bookmarkEnd w:id="85"/>
      <w:bookmarkStart w:id="86" w:name="_Toc184308083"/>
      <w:bookmarkEnd w:id="86"/>
      <w:bookmarkStart w:id="87" w:name="_Toc184308060"/>
      <w:bookmarkEnd w:id="87"/>
      <w:bookmarkStart w:id="88" w:name="_Toc184310288"/>
      <w:bookmarkEnd w:id="88"/>
      <w:bookmarkStart w:id="89" w:name="_Toc184313299"/>
      <w:bookmarkEnd w:id="89"/>
      <w:bookmarkStart w:id="90" w:name="_Toc184312120"/>
      <w:bookmarkEnd w:id="90"/>
      <w:bookmarkStart w:id="91" w:name="_Toc184308066"/>
      <w:bookmarkEnd w:id="91"/>
      <w:bookmarkStart w:id="92" w:name="_Toc184314432"/>
      <w:bookmarkEnd w:id="92"/>
      <w:bookmarkStart w:id="93" w:name="_Toc184308049"/>
      <w:bookmarkEnd w:id="93"/>
      <w:bookmarkStart w:id="94" w:name="_Toc184313258"/>
      <w:bookmarkEnd w:id="94"/>
      <w:bookmarkStart w:id="95" w:name="_Toc184310332"/>
      <w:bookmarkEnd w:id="95"/>
      <w:bookmarkStart w:id="96" w:name="_Toc184313288"/>
      <w:bookmarkEnd w:id="96"/>
      <w:bookmarkStart w:id="97" w:name="_Toc184308104"/>
      <w:bookmarkEnd w:id="97"/>
      <w:bookmarkStart w:id="98" w:name="_Toc184314430"/>
      <w:bookmarkEnd w:id="98"/>
      <w:bookmarkStart w:id="99" w:name="_Toc184308076"/>
      <w:bookmarkEnd w:id="99"/>
      <w:bookmarkStart w:id="100" w:name="_Toc184312079"/>
      <w:bookmarkEnd w:id="100"/>
      <w:bookmarkStart w:id="101" w:name="_Toc184310294"/>
      <w:bookmarkEnd w:id="101"/>
      <w:bookmarkStart w:id="102" w:name="_Toc184314446"/>
      <w:bookmarkEnd w:id="102"/>
      <w:bookmarkStart w:id="103" w:name="_Toc184314425"/>
      <w:bookmarkEnd w:id="103"/>
      <w:bookmarkStart w:id="104" w:name="_Toc184308095"/>
      <w:bookmarkEnd w:id="104"/>
      <w:bookmarkStart w:id="105" w:name="_Toc184308107"/>
      <w:bookmarkEnd w:id="105"/>
      <w:bookmarkStart w:id="106" w:name="_Toc184308079"/>
      <w:bookmarkEnd w:id="106"/>
      <w:bookmarkStart w:id="107" w:name="_Toc184310300"/>
      <w:bookmarkEnd w:id="107"/>
      <w:bookmarkStart w:id="108" w:name="_Toc184313279"/>
      <w:bookmarkEnd w:id="108"/>
      <w:bookmarkStart w:id="109" w:name="_Toc184312128"/>
      <w:bookmarkEnd w:id="109"/>
      <w:bookmarkStart w:id="110" w:name="_Toc184314480"/>
      <w:bookmarkEnd w:id="110"/>
      <w:bookmarkStart w:id="111" w:name="_Toc184308089"/>
      <w:bookmarkEnd w:id="111"/>
      <w:bookmarkStart w:id="112" w:name="_Toc184312083"/>
      <w:bookmarkEnd w:id="112"/>
      <w:bookmarkStart w:id="113" w:name="_Toc184308054"/>
      <w:bookmarkEnd w:id="113"/>
      <w:bookmarkStart w:id="114" w:name="_Toc184312070"/>
      <w:bookmarkEnd w:id="114"/>
      <w:bookmarkStart w:id="115" w:name="_Toc184308062"/>
      <w:bookmarkEnd w:id="115"/>
      <w:bookmarkStart w:id="116" w:name="_Toc184312115"/>
      <w:bookmarkEnd w:id="116"/>
      <w:bookmarkStart w:id="117" w:name="_Toc184314478"/>
      <w:bookmarkEnd w:id="117"/>
      <w:bookmarkStart w:id="118" w:name="_Toc184313300"/>
      <w:bookmarkEnd w:id="118"/>
      <w:bookmarkStart w:id="119" w:name="_Toc184314420"/>
      <w:bookmarkEnd w:id="119"/>
      <w:bookmarkStart w:id="120" w:name="_Toc184310302"/>
      <w:bookmarkEnd w:id="120"/>
      <w:bookmarkStart w:id="121" w:name="_Toc184312139"/>
      <w:bookmarkEnd w:id="121"/>
      <w:bookmarkStart w:id="122" w:name="_Toc184312095"/>
      <w:bookmarkEnd w:id="122"/>
      <w:bookmarkStart w:id="123" w:name="_Toc184310334"/>
      <w:bookmarkEnd w:id="123"/>
      <w:bookmarkStart w:id="124" w:name="_Toc184308074"/>
      <w:bookmarkEnd w:id="124"/>
      <w:bookmarkStart w:id="125" w:name="_Toc184314472"/>
      <w:bookmarkEnd w:id="125"/>
      <w:bookmarkStart w:id="126" w:name="_Toc184312091"/>
      <w:bookmarkEnd w:id="126"/>
      <w:bookmarkStart w:id="127" w:name="_Toc184313267"/>
      <w:bookmarkEnd w:id="127"/>
      <w:bookmarkStart w:id="128" w:name="_Toc184314451"/>
      <w:bookmarkEnd w:id="128"/>
      <w:bookmarkStart w:id="129" w:name="_Toc184308088"/>
      <w:bookmarkEnd w:id="129"/>
      <w:bookmarkStart w:id="130" w:name="_Toc184308036"/>
      <w:bookmarkEnd w:id="130"/>
      <w:bookmarkStart w:id="131" w:name="_Toc184313242"/>
      <w:bookmarkEnd w:id="131"/>
      <w:bookmarkStart w:id="132" w:name="_Toc184310311"/>
      <w:bookmarkEnd w:id="132"/>
      <w:bookmarkStart w:id="133" w:name="_Toc184314429"/>
      <w:bookmarkEnd w:id="133"/>
      <w:bookmarkStart w:id="134" w:name="_Toc184308047"/>
      <w:bookmarkEnd w:id="134"/>
      <w:bookmarkStart w:id="135" w:name="_Toc184310298"/>
      <w:bookmarkEnd w:id="135"/>
      <w:bookmarkStart w:id="136" w:name="_Toc184313297"/>
      <w:bookmarkEnd w:id="136"/>
      <w:bookmarkStart w:id="137" w:name="_Toc184308075"/>
      <w:bookmarkEnd w:id="137"/>
      <w:bookmarkStart w:id="138" w:name="_Toc184310310"/>
      <w:bookmarkEnd w:id="138"/>
      <w:bookmarkStart w:id="139" w:name="_Toc184314447"/>
      <w:bookmarkEnd w:id="139"/>
      <w:bookmarkStart w:id="140" w:name="_Toc184310283"/>
      <w:bookmarkEnd w:id="140"/>
      <w:bookmarkStart w:id="141" w:name="_Toc184313255"/>
      <w:bookmarkEnd w:id="141"/>
      <w:bookmarkStart w:id="142" w:name="_Toc184312105"/>
      <w:bookmarkEnd w:id="142"/>
      <w:bookmarkStart w:id="143" w:name="_Toc184314482"/>
      <w:bookmarkEnd w:id="143"/>
      <w:bookmarkStart w:id="144" w:name="_Toc184314422"/>
      <w:bookmarkEnd w:id="144"/>
      <w:bookmarkStart w:id="145" w:name="_Toc184314449"/>
      <w:bookmarkEnd w:id="145"/>
      <w:bookmarkStart w:id="146" w:name="_Toc184308077"/>
      <w:bookmarkEnd w:id="146"/>
      <w:bookmarkStart w:id="147" w:name="_Toc184312112"/>
      <w:bookmarkEnd w:id="147"/>
      <w:bookmarkStart w:id="148" w:name="_Toc184312080"/>
      <w:bookmarkEnd w:id="148"/>
      <w:bookmarkStart w:id="149" w:name="_Toc184310274"/>
      <w:bookmarkEnd w:id="149"/>
      <w:bookmarkStart w:id="150" w:name="_Toc184308084"/>
      <w:bookmarkEnd w:id="150"/>
      <w:bookmarkStart w:id="151" w:name="_Toc184312109"/>
      <w:bookmarkEnd w:id="151"/>
      <w:bookmarkStart w:id="152" w:name="_Toc184310292"/>
      <w:bookmarkEnd w:id="152"/>
      <w:bookmarkStart w:id="153" w:name="_Toc184313307"/>
      <w:bookmarkEnd w:id="153"/>
      <w:bookmarkStart w:id="154" w:name="_Toc184310320"/>
      <w:bookmarkEnd w:id="154"/>
      <w:bookmarkStart w:id="155" w:name="_Toc184312099"/>
      <w:bookmarkEnd w:id="155"/>
      <w:bookmarkStart w:id="156" w:name="_Toc184310293"/>
      <w:bookmarkEnd w:id="156"/>
      <w:bookmarkStart w:id="157" w:name="_Toc184314467"/>
      <w:bookmarkEnd w:id="157"/>
      <w:bookmarkStart w:id="158" w:name="_Toc184313280"/>
      <w:bookmarkEnd w:id="158"/>
      <w:bookmarkStart w:id="159" w:name="_Toc184313240"/>
      <w:bookmarkEnd w:id="159"/>
      <w:bookmarkStart w:id="160" w:name="_Toc184308059"/>
      <w:bookmarkEnd w:id="160"/>
      <w:bookmarkStart w:id="161" w:name="_Toc184310296"/>
      <w:bookmarkEnd w:id="161"/>
      <w:bookmarkStart w:id="162" w:name="_Toc184312107"/>
      <w:bookmarkEnd w:id="162"/>
      <w:bookmarkStart w:id="163" w:name="_Toc184308092"/>
      <w:bookmarkEnd w:id="163"/>
      <w:bookmarkStart w:id="164" w:name="_Toc184312134"/>
      <w:bookmarkEnd w:id="164"/>
      <w:bookmarkStart w:id="165" w:name="_Toc184308108"/>
      <w:bookmarkEnd w:id="165"/>
      <w:bookmarkStart w:id="166" w:name="_Toc184308061"/>
      <w:bookmarkEnd w:id="166"/>
      <w:bookmarkStart w:id="167" w:name="_Toc184313292"/>
      <w:bookmarkEnd w:id="167"/>
      <w:bookmarkStart w:id="168" w:name="_Toc184313298"/>
      <w:bookmarkEnd w:id="168"/>
      <w:bookmarkStart w:id="169" w:name="_Toc184310336"/>
      <w:bookmarkEnd w:id="169"/>
      <w:bookmarkStart w:id="170" w:name="_Toc184313272"/>
      <w:bookmarkEnd w:id="170"/>
      <w:bookmarkStart w:id="171" w:name="_Toc184312132"/>
      <w:bookmarkEnd w:id="171"/>
      <w:bookmarkStart w:id="172" w:name="_Toc184314411"/>
      <w:bookmarkEnd w:id="172"/>
      <w:bookmarkStart w:id="173" w:name="_Toc184314434"/>
      <w:bookmarkEnd w:id="173"/>
      <w:bookmarkStart w:id="174" w:name="_Toc184312092"/>
      <w:bookmarkEnd w:id="174"/>
      <w:bookmarkStart w:id="175" w:name="_Toc184310277"/>
      <w:bookmarkEnd w:id="175"/>
      <w:bookmarkStart w:id="176" w:name="_Toc184314466"/>
      <w:bookmarkEnd w:id="176"/>
      <w:bookmarkStart w:id="177" w:name="_Toc184314410"/>
      <w:bookmarkEnd w:id="177"/>
      <w:bookmarkStart w:id="178" w:name="_Toc184313302"/>
      <w:bookmarkEnd w:id="178"/>
      <w:bookmarkStart w:id="179" w:name="_Toc184308090"/>
      <w:bookmarkEnd w:id="179"/>
      <w:bookmarkStart w:id="180" w:name="_Toc184313301"/>
      <w:bookmarkEnd w:id="180"/>
      <w:bookmarkStart w:id="181" w:name="_Toc184310312"/>
      <w:bookmarkEnd w:id="181"/>
      <w:bookmarkStart w:id="182" w:name="_Toc184310284"/>
      <w:bookmarkEnd w:id="182"/>
      <w:bookmarkStart w:id="183" w:name="_Toc184310333"/>
      <w:bookmarkEnd w:id="183"/>
      <w:bookmarkStart w:id="184" w:name="_Toc184310289"/>
      <w:bookmarkEnd w:id="184"/>
      <w:bookmarkStart w:id="185" w:name="_Toc184308086"/>
      <w:bookmarkEnd w:id="185"/>
      <w:bookmarkStart w:id="186" w:name="_Toc184313291"/>
      <w:bookmarkEnd w:id="186"/>
      <w:bookmarkStart w:id="187" w:name="_Toc184310325"/>
      <w:bookmarkEnd w:id="187"/>
      <w:bookmarkStart w:id="188" w:name="_Toc184313305"/>
      <w:bookmarkEnd w:id="188"/>
      <w:bookmarkStart w:id="189" w:name="_Toc184310330"/>
      <w:bookmarkEnd w:id="189"/>
      <w:bookmarkStart w:id="190" w:name="_Toc184312110"/>
      <w:bookmarkEnd w:id="190"/>
      <w:bookmarkStart w:id="191" w:name="_Toc184310342"/>
      <w:bookmarkEnd w:id="191"/>
      <w:bookmarkStart w:id="192" w:name="_Toc184313277"/>
      <w:bookmarkEnd w:id="192"/>
      <w:bookmarkStart w:id="193" w:name="_Toc184308102"/>
      <w:bookmarkEnd w:id="193"/>
      <w:bookmarkStart w:id="194" w:name="_Toc184308057"/>
      <w:bookmarkEnd w:id="194"/>
      <w:bookmarkStart w:id="195" w:name="_Toc184314417"/>
      <w:bookmarkEnd w:id="195"/>
      <w:bookmarkStart w:id="196" w:name="_Toc184310323"/>
      <w:bookmarkEnd w:id="196"/>
      <w:bookmarkStart w:id="197" w:name="_Toc184313308"/>
      <w:bookmarkEnd w:id="197"/>
      <w:bookmarkStart w:id="198" w:name="_Toc184314413"/>
      <w:bookmarkEnd w:id="198"/>
      <w:bookmarkStart w:id="199" w:name="_Toc184308078"/>
      <w:bookmarkEnd w:id="199"/>
      <w:bookmarkStart w:id="200" w:name="_Toc184313256"/>
      <w:bookmarkEnd w:id="200"/>
      <w:bookmarkStart w:id="201" w:name="_Toc184310337"/>
      <w:bookmarkEnd w:id="201"/>
      <w:bookmarkStart w:id="202" w:name="_Toc184312121"/>
      <w:bookmarkEnd w:id="202"/>
      <w:bookmarkStart w:id="203" w:name="_Toc184312103"/>
      <w:bookmarkEnd w:id="203"/>
      <w:bookmarkStart w:id="204" w:name="_Toc184314470"/>
      <w:bookmarkEnd w:id="204"/>
      <w:bookmarkStart w:id="205" w:name="_Toc184313309"/>
      <w:bookmarkEnd w:id="205"/>
      <w:bookmarkStart w:id="206" w:name="_Toc184314459"/>
      <w:bookmarkEnd w:id="206"/>
      <w:bookmarkStart w:id="207" w:name="_Toc184308097"/>
      <w:bookmarkEnd w:id="207"/>
      <w:bookmarkStart w:id="208" w:name="_Toc184312137"/>
      <w:bookmarkEnd w:id="208"/>
      <w:bookmarkStart w:id="209" w:name="_Toc184310282"/>
      <w:bookmarkEnd w:id="209"/>
      <w:bookmarkStart w:id="210" w:name="_Toc184313263"/>
      <w:bookmarkEnd w:id="210"/>
      <w:bookmarkStart w:id="211" w:name="_Toc184314427"/>
      <w:bookmarkEnd w:id="211"/>
      <w:bookmarkStart w:id="212" w:name="_Toc184312081"/>
      <w:bookmarkEnd w:id="212"/>
      <w:bookmarkStart w:id="213" w:name="_Toc184313260"/>
      <w:bookmarkEnd w:id="213"/>
      <w:bookmarkStart w:id="214" w:name="_Toc184308046"/>
      <w:bookmarkEnd w:id="214"/>
      <w:bookmarkStart w:id="215" w:name="_Toc184310306"/>
      <w:bookmarkEnd w:id="215"/>
      <w:bookmarkStart w:id="216" w:name="_Toc184314441"/>
      <w:bookmarkEnd w:id="216"/>
      <w:bookmarkStart w:id="217" w:name="_Toc184312116"/>
      <w:bookmarkEnd w:id="217"/>
      <w:bookmarkStart w:id="218" w:name="_Toc184314443"/>
      <w:bookmarkEnd w:id="218"/>
      <w:bookmarkStart w:id="219" w:name="_Toc184313286"/>
      <w:bookmarkEnd w:id="219"/>
      <w:bookmarkStart w:id="220" w:name="_Toc184308093"/>
      <w:bookmarkEnd w:id="220"/>
      <w:bookmarkStart w:id="221" w:name="_Toc184310319"/>
      <w:bookmarkEnd w:id="221"/>
      <w:bookmarkStart w:id="222" w:name="_Toc184308052"/>
      <w:bookmarkEnd w:id="222"/>
      <w:bookmarkStart w:id="223" w:name="_Toc184313252"/>
      <w:bookmarkEnd w:id="223"/>
      <w:bookmarkStart w:id="224" w:name="_Toc184314414"/>
      <w:bookmarkEnd w:id="224"/>
      <w:bookmarkStart w:id="225" w:name="_Toc184310341"/>
      <w:bookmarkEnd w:id="225"/>
      <w:bookmarkStart w:id="226" w:name="_Toc184313271"/>
      <w:bookmarkEnd w:id="226"/>
      <w:bookmarkStart w:id="227" w:name="_Toc184310328"/>
      <w:bookmarkEnd w:id="227"/>
      <w:bookmarkStart w:id="228" w:name="_Toc184313283"/>
      <w:bookmarkEnd w:id="228"/>
      <w:bookmarkStart w:id="229" w:name="_Toc184313285"/>
      <w:bookmarkEnd w:id="229"/>
      <w:bookmarkStart w:id="230" w:name="_Toc184312067"/>
      <w:bookmarkEnd w:id="230"/>
      <w:bookmarkStart w:id="231" w:name="_Toc184314463"/>
      <w:bookmarkEnd w:id="231"/>
      <w:bookmarkStart w:id="232" w:name="_Toc184314455"/>
      <w:bookmarkEnd w:id="232"/>
      <w:bookmarkStart w:id="233" w:name="_Toc184308085"/>
      <w:bookmarkEnd w:id="233"/>
      <w:bookmarkStart w:id="234" w:name="_Toc184310281"/>
      <w:bookmarkEnd w:id="234"/>
      <w:bookmarkStart w:id="235" w:name="_Toc184310343"/>
      <w:bookmarkEnd w:id="235"/>
      <w:bookmarkStart w:id="236" w:name="_Toc184312097"/>
      <w:bookmarkEnd w:id="236"/>
      <w:bookmarkStart w:id="237" w:name="_Toc184313306"/>
      <w:bookmarkEnd w:id="237"/>
      <w:bookmarkStart w:id="238" w:name="_Toc184314464"/>
      <w:bookmarkEnd w:id="238"/>
      <w:bookmarkStart w:id="239" w:name="_Toc184313245"/>
      <w:bookmarkEnd w:id="239"/>
      <w:bookmarkStart w:id="240" w:name="_Toc184308045"/>
      <w:bookmarkEnd w:id="240"/>
      <w:bookmarkStart w:id="241" w:name="_Toc184314454"/>
      <w:bookmarkEnd w:id="241"/>
      <w:bookmarkStart w:id="242" w:name="_Toc184312096"/>
      <w:bookmarkEnd w:id="242"/>
      <w:bookmarkStart w:id="243" w:name="_Toc184308044"/>
      <w:bookmarkEnd w:id="243"/>
      <w:bookmarkStart w:id="244" w:name="_Toc184308056"/>
      <w:bookmarkEnd w:id="244"/>
      <w:bookmarkStart w:id="245" w:name="_Toc184313268"/>
      <w:bookmarkEnd w:id="245"/>
      <w:bookmarkStart w:id="246" w:name="_Toc184313284"/>
      <w:bookmarkEnd w:id="246"/>
      <w:bookmarkStart w:id="247" w:name="_Toc184310308"/>
      <w:bookmarkEnd w:id="247"/>
      <w:bookmarkStart w:id="248" w:name="_Toc184310287"/>
      <w:bookmarkEnd w:id="248"/>
      <w:bookmarkStart w:id="249" w:name="_Toc184312098"/>
      <w:bookmarkEnd w:id="249"/>
      <w:bookmarkStart w:id="250" w:name="_Toc184308040"/>
      <w:bookmarkEnd w:id="250"/>
      <w:bookmarkStart w:id="251" w:name="_Toc184314457"/>
      <w:bookmarkEnd w:id="251"/>
      <w:bookmarkStart w:id="252" w:name="_Toc184308063"/>
      <w:bookmarkEnd w:id="252"/>
      <w:bookmarkStart w:id="253" w:name="_Toc184312133"/>
      <w:bookmarkEnd w:id="253"/>
      <w:bookmarkStart w:id="254" w:name="_Toc184310309"/>
      <w:bookmarkEnd w:id="254"/>
      <w:bookmarkStart w:id="255" w:name="_Toc184313270"/>
      <w:bookmarkEnd w:id="255"/>
      <w:bookmarkStart w:id="256" w:name="_Toc184308067"/>
      <w:bookmarkEnd w:id="256"/>
      <w:bookmarkStart w:id="257" w:name="_Toc184314453"/>
      <w:bookmarkEnd w:id="257"/>
      <w:bookmarkStart w:id="258" w:name="_Toc184314452"/>
      <w:bookmarkEnd w:id="258"/>
      <w:bookmarkStart w:id="259" w:name="_Toc184314462"/>
      <w:bookmarkEnd w:id="259"/>
      <w:bookmarkStart w:id="260" w:name="_Toc184313289"/>
      <w:bookmarkEnd w:id="260"/>
      <w:bookmarkStart w:id="261" w:name="_Toc184314473"/>
      <w:bookmarkEnd w:id="261"/>
      <w:bookmarkStart w:id="262" w:name="_Toc184314418"/>
      <w:bookmarkEnd w:id="262"/>
      <w:bookmarkStart w:id="263" w:name="_Toc184308039"/>
      <w:bookmarkEnd w:id="263"/>
      <w:bookmarkStart w:id="264" w:name="_Toc184310290"/>
      <w:bookmarkEnd w:id="264"/>
      <w:bookmarkStart w:id="265" w:name="_Toc184314438"/>
      <w:bookmarkEnd w:id="265"/>
      <w:bookmarkStart w:id="266" w:name="_Toc184310273"/>
      <w:bookmarkEnd w:id="266"/>
      <w:bookmarkStart w:id="267" w:name="_Toc184312123"/>
      <w:bookmarkEnd w:id="267"/>
      <w:bookmarkStart w:id="268" w:name="_Toc184312135"/>
      <w:bookmarkEnd w:id="268"/>
      <w:bookmarkStart w:id="269" w:name="_Toc184312102"/>
      <w:bookmarkEnd w:id="269"/>
      <w:bookmarkStart w:id="270" w:name="_Toc184308071"/>
      <w:bookmarkEnd w:id="270"/>
      <w:bookmarkStart w:id="271" w:name="_Toc184313274"/>
      <w:bookmarkEnd w:id="271"/>
      <w:bookmarkStart w:id="272" w:name="_Toc184312068"/>
      <w:bookmarkEnd w:id="272"/>
      <w:bookmarkStart w:id="273" w:name="_Toc184310295"/>
      <w:bookmarkEnd w:id="273"/>
      <w:bookmarkStart w:id="274" w:name="_Toc184308082"/>
      <w:bookmarkEnd w:id="274"/>
      <w:bookmarkStart w:id="275" w:name="_Toc184310344"/>
      <w:bookmarkEnd w:id="275"/>
      <w:bookmarkStart w:id="276" w:name="_Toc184313304"/>
      <w:bookmarkEnd w:id="276"/>
      <w:bookmarkStart w:id="277" w:name="_Toc184310272"/>
      <w:bookmarkEnd w:id="277"/>
      <w:bookmarkStart w:id="278" w:name="_Toc184308042"/>
      <w:bookmarkEnd w:id="278"/>
      <w:bookmarkStart w:id="279" w:name="_Toc184310303"/>
      <w:bookmarkEnd w:id="279"/>
      <w:bookmarkStart w:id="280" w:name="_Toc184314433"/>
      <w:bookmarkEnd w:id="280"/>
      <w:bookmarkStart w:id="281" w:name="_Toc184310315"/>
      <w:bookmarkEnd w:id="281"/>
      <w:bookmarkStart w:id="282" w:name="_Toc184314426"/>
      <w:bookmarkEnd w:id="282"/>
      <w:bookmarkStart w:id="283" w:name="_Toc184314474"/>
      <w:bookmarkEnd w:id="283"/>
      <w:bookmarkStart w:id="284" w:name="_Toc184310279"/>
      <w:bookmarkEnd w:id="284"/>
      <w:bookmarkStart w:id="285" w:name="_Toc184312088"/>
      <w:bookmarkEnd w:id="285"/>
      <w:bookmarkStart w:id="286" w:name="_Toc184312078"/>
      <w:bookmarkEnd w:id="286"/>
      <w:bookmarkStart w:id="287" w:name="_Toc184314475"/>
      <w:bookmarkEnd w:id="287"/>
      <w:bookmarkStart w:id="288" w:name="_Toc184313287"/>
      <w:bookmarkEnd w:id="288"/>
      <w:bookmarkStart w:id="289" w:name="_Toc184313251"/>
      <w:bookmarkEnd w:id="289"/>
      <w:bookmarkStart w:id="290" w:name="_Toc184313282"/>
      <w:bookmarkEnd w:id="290"/>
      <w:bookmarkStart w:id="291" w:name="_Toc184313243"/>
      <w:bookmarkEnd w:id="291"/>
      <w:bookmarkStart w:id="292" w:name="_Toc184310301"/>
      <w:bookmarkEnd w:id="292"/>
      <w:bookmarkStart w:id="293" w:name="_Toc184310317"/>
      <w:bookmarkEnd w:id="293"/>
      <w:bookmarkStart w:id="294" w:name="_Toc184312094"/>
      <w:bookmarkEnd w:id="294"/>
      <w:bookmarkStart w:id="295" w:name="_Toc184312087"/>
      <w:bookmarkEnd w:id="295"/>
      <w:bookmarkStart w:id="296" w:name="_Toc184308098"/>
      <w:bookmarkEnd w:id="296"/>
      <w:bookmarkStart w:id="297" w:name="_Toc184312136"/>
      <w:bookmarkEnd w:id="297"/>
      <w:bookmarkStart w:id="298" w:name="_Toc184310331"/>
      <w:bookmarkEnd w:id="298"/>
      <w:bookmarkStart w:id="299" w:name="_Toc184314415"/>
      <w:bookmarkEnd w:id="299"/>
      <w:bookmarkStart w:id="300" w:name="_Toc184313254"/>
      <w:bookmarkEnd w:id="300"/>
      <w:bookmarkStart w:id="301" w:name="_Toc184313303"/>
      <w:bookmarkEnd w:id="301"/>
      <w:bookmarkStart w:id="302" w:name="_Toc184312104"/>
      <w:bookmarkEnd w:id="302"/>
      <w:bookmarkStart w:id="303" w:name="_Toc184312076"/>
      <w:bookmarkEnd w:id="303"/>
      <w:bookmarkStart w:id="304" w:name="_Toc184312100"/>
      <w:bookmarkEnd w:id="304"/>
      <w:bookmarkStart w:id="305" w:name="_Toc184308080"/>
      <w:bookmarkEnd w:id="305"/>
      <w:bookmarkStart w:id="306" w:name="_Toc184308069"/>
      <w:bookmarkEnd w:id="306"/>
      <w:bookmarkStart w:id="307" w:name="_Toc184312073"/>
      <w:bookmarkEnd w:id="307"/>
      <w:bookmarkStart w:id="308" w:name="_Toc184308072"/>
      <w:bookmarkEnd w:id="308"/>
      <w:bookmarkStart w:id="309" w:name="_Toc184310335"/>
      <w:bookmarkEnd w:id="309"/>
      <w:bookmarkStart w:id="310" w:name="_Toc184308070"/>
      <w:bookmarkEnd w:id="310"/>
      <w:bookmarkStart w:id="311" w:name="_Toc184312131"/>
      <w:bookmarkEnd w:id="311"/>
      <w:bookmarkStart w:id="312" w:name="_Toc184314440"/>
      <w:bookmarkEnd w:id="312"/>
      <w:bookmarkStart w:id="313" w:name="_Toc184308101"/>
      <w:bookmarkEnd w:id="313"/>
      <w:bookmarkStart w:id="314" w:name="_Toc184313278"/>
      <w:bookmarkEnd w:id="314"/>
      <w:bookmarkStart w:id="315" w:name="_Toc184313257"/>
      <w:bookmarkEnd w:id="315"/>
      <w:bookmarkStart w:id="316" w:name="_Toc184310291"/>
      <w:bookmarkEnd w:id="316"/>
      <w:bookmarkStart w:id="317" w:name="_Toc184308058"/>
      <w:bookmarkEnd w:id="317"/>
      <w:bookmarkStart w:id="318" w:name="_Toc184313266"/>
      <w:bookmarkEnd w:id="318"/>
      <w:bookmarkStart w:id="319" w:name="_Toc184310275"/>
      <w:bookmarkEnd w:id="319"/>
      <w:bookmarkStart w:id="320" w:name="_Toc184312085"/>
      <w:bookmarkEnd w:id="320"/>
      <w:bookmarkStart w:id="321" w:name="_Toc184312074"/>
      <w:bookmarkEnd w:id="321"/>
      <w:bookmarkStart w:id="322" w:name="_Toc184308100"/>
      <w:bookmarkEnd w:id="322"/>
      <w:bookmarkStart w:id="323" w:name="_Toc184310285"/>
      <w:bookmarkEnd w:id="323"/>
      <w:bookmarkStart w:id="324" w:name="_Toc184313238"/>
      <w:bookmarkEnd w:id="324"/>
      <w:bookmarkStart w:id="325" w:name="_Toc184314435"/>
      <w:bookmarkEnd w:id="325"/>
      <w:bookmarkStart w:id="326" w:name="_Toc184313241"/>
      <w:bookmarkEnd w:id="326"/>
      <w:bookmarkStart w:id="327" w:name="_Toc184313295"/>
      <w:bookmarkEnd w:id="327"/>
      <w:bookmarkStart w:id="328" w:name="_Toc184312082"/>
      <w:bookmarkEnd w:id="328"/>
      <w:bookmarkStart w:id="329" w:name="_Toc184313244"/>
      <w:bookmarkEnd w:id="329"/>
      <w:bookmarkStart w:id="330" w:name="_Toc184308064"/>
      <w:bookmarkEnd w:id="330"/>
      <w:bookmarkStart w:id="331" w:name="_Toc184308094"/>
      <w:bookmarkEnd w:id="331"/>
      <w:bookmarkStart w:id="332" w:name="_Toc184310322"/>
      <w:bookmarkEnd w:id="332"/>
      <w:bookmarkStart w:id="333" w:name="_Toc184312090"/>
      <w:bookmarkEnd w:id="333"/>
      <w:bookmarkStart w:id="334" w:name="_Toc184314431"/>
      <w:bookmarkEnd w:id="334"/>
      <w:bookmarkStart w:id="335" w:name="_Toc184314476"/>
      <w:bookmarkEnd w:id="335"/>
      <w:bookmarkStart w:id="336" w:name="_Toc184314456"/>
      <w:bookmarkEnd w:id="336"/>
      <w:bookmarkStart w:id="337" w:name="_Toc184312084"/>
      <w:bookmarkEnd w:id="337"/>
      <w:bookmarkStart w:id="338" w:name="_Toc184308087"/>
      <w:bookmarkEnd w:id="338"/>
      <w:bookmarkStart w:id="339" w:name="_Toc184314461"/>
      <w:bookmarkEnd w:id="339"/>
      <w:bookmarkStart w:id="340" w:name="_Toc184314448"/>
      <w:bookmarkEnd w:id="340"/>
      <w:bookmarkStart w:id="341" w:name="_Toc184314424"/>
      <w:bookmarkEnd w:id="341"/>
      <w:bookmarkStart w:id="342" w:name="_Toc184314428"/>
      <w:bookmarkEnd w:id="342"/>
      <w:bookmarkStart w:id="343" w:name="_Toc184308105"/>
      <w:bookmarkEnd w:id="343"/>
      <w:bookmarkStart w:id="344" w:name="_Toc184310329"/>
      <w:bookmarkEnd w:id="344"/>
      <w:bookmarkStart w:id="345" w:name="_Toc184312093"/>
      <w:bookmarkEnd w:id="345"/>
      <w:bookmarkStart w:id="346" w:name="_Toc184310280"/>
      <w:bookmarkEnd w:id="346"/>
      <w:bookmarkStart w:id="347" w:name="_Toc184313310"/>
      <w:bookmarkEnd w:id="347"/>
      <w:bookmarkStart w:id="348" w:name="_Toc184313261"/>
      <w:bookmarkEnd w:id="348"/>
      <w:bookmarkStart w:id="349" w:name="_Toc184313259"/>
      <w:bookmarkEnd w:id="349"/>
      <w:bookmarkStart w:id="350" w:name="_Toc184308037"/>
      <w:bookmarkEnd w:id="350"/>
      <w:bookmarkStart w:id="351" w:name="_Toc184313262"/>
      <w:bookmarkEnd w:id="351"/>
      <w:bookmarkStart w:id="352" w:name="_Toc184308050"/>
      <w:bookmarkEnd w:id="352"/>
      <w:bookmarkStart w:id="353" w:name="_Toc184313253"/>
      <w:bookmarkEnd w:id="353"/>
      <w:bookmarkStart w:id="354" w:name="_Toc184313248"/>
      <w:bookmarkEnd w:id="354"/>
      <w:bookmarkStart w:id="355" w:name="_Toc184313296"/>
      <w:bookmarkEnd w:id="355"/>
      <w:bookmarkStart w:id="356" w:name="_Toc184310340"/>
      <w:bookmarkEnd w:id="356"/>
      <w:bookmarkStart w:id="357" w:name="_Toc184314412"/>
      <w:bookmarkEnd w:id="357"/>
      <w:bookmarkStart w:id="358" w:name="_Toc184314450"/>
      <w:bookmarkEnd w:id="358"/>
      <w:bookmarkStart w:id="359" w:name="_Toc184313247"/>
      <w:bookmarkEnd w:id="359"/>
      <w:bookmarkStart w:id="360" w:name="_Toc184312118"/>
      <w:bookmarkEnd w:id="360"/>
      <w:bookmarkStart w:id="361" w:name="_Toc184314442"/>
      <w:bookmarkEnd w:id="361"/>
      <w:bookmarkStart w:id="362" w:name="_Toc184312072"/>
      <w:bookmarkEnd w:id="362"/>
      <w:bookmarkStart w:id="363" w:name="_Toc184314445"/>
      <w:bookmarkEnd w:id="363"/>
      <w:bookmarkStart w:id="364" w:name="_Toc184314416"/>
      <w:bookmarkEnd w:id="364"/>
      <w:bookmarkStart w:id="365" w:name="_Toc184310305"/>
      <w:bookmarkEnd w:id="365"/>
      <w:bookmarkStart w:id="366" w:name="_Toc184308091"/>
      <w:bookmarkEnd w:id="366"/>
      <w:bookmarkStart w:id="367" w:name="_Toc184308099"/>
      <w:bookmarkEnd w:id="367"/>
      <w:bookmarkStart w:id="368" w:name="_Toc184308103"/>
      <w:bookmarkEnd w:id="368"/>
      <w:bookmarkStart w:id="369" w:name="_Toc184310313"/>
      <w:bookmarkEnd w:id="369"/>
      <w:bookmarkStart w:id="370" w:name="_Toc184314458"/>
      <w:bookmarkEnd w:id="370"/>
      <w:bookmarkStart w:id="371" w:name="_Toc184312086"/>
      <w:bookmarkEnd w:id="371"/>
      <w:bookmarkStart w:id="372" w:name="_Toc184314444"/>
      <w:bookmarkEnd w:id="372"/>
      <w:bookmarkStart w:id="373" w:name="_Toc184313273"/>
      <w:bookmarkEnd w:id="373"/>
      <w:bookmarkStart w:id="374" w:name="_Toc184310297"/>
      <w:bookmarkEnd w:id="374"/>
      <w:bookmarkStart w:id="375" w:name="_Toc184313264"/>
      <w:bookmarkEnd w:id="375"/>
      <w:bookmarkStart w:id="376" w:name="_Toc184312101"/>
      <w:bookmarkEnd w:id="376"/>
      <w:bookmarkStart w:id="377" w:name="_Toc184313275"/>
      <w:bookmarkEnd w:id="377"/>
      <w:bookmarkStart w:id="378" w:name="_Toc184308038"/>
      <w:bookmarkEnd w:id="378"/>
      <w:bookmarkStart w:id="379" w:name="_Toc184312130"/>
      <w:bookmarkEnd w:id="379"/>
      <w:bookmarkStart w:id="380" w:name="_Toc184310326"/>
      <w:bookmarkEnd w:id="380"/>
      <w:bookmarkStart w:id="381" w:name="_Toc184312138"/>
      <w:bookmarkEnd w:id="381"/>
      <w:bookmarkStart w:id="382" w:name="_Toc184308041"/>
      <w:bookmarkEnd w:id="382"/>
      <w:bookmarkStart w:id="383" w:name="_Toc184313281"/>
      <w:bookmarkEnd w:id="383"/>
      <w:bookmarkStart w:id="384" w:name="_Toc184312117"/>
      <w:bookmarkEnd w:id="384"/>
      <w:bookmarkStart w:id="385" w:name="_Toc184308068"/>
      <w:bookmarkEnd w:id="385"/>
      <w:bookmarkStart w:id="386" w:name="_Toc184312126"/>
      <w:bookmarkEnd w:id="386"/>
      <w:bookmarkStart w:id="387" w:name="_Toc184312106"/>
      <w:bookmarkEnd w:id="387"/>
      <w:bookmarkStart w:id="388" w:name="_Toc184312114"/>
      <w:bookmarkEnd w:id="388"/>
      <w:bookmarkStart w:id="389" w:name="_Toc184310324"/>
      <w:bookmarkEnd w:id="389"/>
      <w:bookmarkStart w:id="390" w:name="_Toc184310318"/>
      <w:bookmarkEnd w:id="390"/>
      <w:bookmarkStart w:id="391" w:name="_Toc184314421"/>
      <w:bookmarkEnd w:id="391"/>
      <w:bookmarkStart w:id="392" w:name="_Toc184313290"/>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60"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5970"/>
        <w:gridCol w:w="795"/>
        <w:gridCol w:w="109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970"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9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365" w:type="dxa"/>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970" w:type="dxa"/>
            <w:vAlign w:val="center"/>
          </w:tcPr>
          <w:p>
            <w:p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根据投标人服务响应时间、案件受理程序的科学性、合理性情况评分，</w:t>
            </w:r>
            <w:r>
              <w:rPr>
                <w:rFonts w:hint="eastAsia" w:ascii="宋体" w:hAnsi="宋体" w:eastAsia="宋体" w:cs="宋体"/>
                <w:color w:val="auto"/>
                <w:sz w:val="24"/>
                <w:highlight w:val="none"/>
                <w:lang w:val="en-US" w:eastAsia="zh-CN"/>
              </w:rPr>
              <w:t>方案好，满足需求的得5-8分，</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一般</w:t>
            </w:r>
            <w:r>
              <w:rPr>
                <w:rFonts w:hint="eastAsia" w:ascii="宋体" w:hAnsi="宋体" w:eastAsia="宋体" w:cs="宋体"/>
                <w:color w:val="auto"/>
                <w:sz w:val="24"/>
                <w:highlight w:val="none"/>
              </w:rPr>
              <w:t>的得1-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分，方案不合理或未提供的不得分。</w:t>
            </w:r>
          </w:p>
        </w:tc>
        <w:tc>
          <w:tcPr>
            <w:tcW w:w="795" w:type="dxa"/>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8</w:t>
            </w:r>
          </w:p>
        </w:tc>
        <w:tc>
          <w:tcPr>
            <w:tcW w:w="1095"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970" w:type="dxa"/>
            <w:vAlign w:val="center"/>
          </w:tcPr>
          <w:p>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投标人针对本项目的理解情况、服务方案、鉴定报告送达时间三项进行评分，根据合理性、科学性、可行性综合评审</w:t>
            </w:r>
            <w:r>
              <w:rPr>
                <w:rFonts w:hint="eastAsia" w:ascii="宋体" w:hAnsi="宋体" w:eastAsia="宋体" w:cs="宋体"/>
                <w:color w:val="auto"/>
                <w:sz w:val="24"/>
                <w:highlight w:val="none"/>
                <w:lang w:val="en-US" w:eastAsia="zh-CN"/>
              </w:rPr>
              <w:t>,方案好，满足需求的得5-8分，</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一般</w:t>
            </w:r>
            <w:r>
              <w:rPr>
                <w:rFonts w:hint="eastAsia" w:ascii="宋体" w:hAnsi="宋体" w:eastAsia="宋体" w:cs="宋体"/>
                <w:color w:val="auto"/>
                <w:sz w:val="24"/>
                <w:highlight w:val="none"/>
              </w:rPr>
              <w:t>的得1-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分，方案不合理或未提供的不得分。</w:t>
            </w:r>
          </w:p>
        </w:tc>
        <w:tc>
          <w:tcPr>
            <w:tcW w:w="795" w:type="dxa"/>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highlight w:val="none"/>
                <w:lang w:val="en-US" w:eastAsia="zh-CN"/>
              </w:rPr>
              <w:t>8</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970" w:type="dxa"/>
            <w:vAlign w:val="center"/>
          </w:tcPr>
          <w:p>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投标人针对本项目的服务质量保障措施，有制定相应的服务质量保障措施,满足项目采购需求,有相应的人员、设备等投入安排,能够确保服务质量的,得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分；服务质量保障措施较为简单,得1-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分；可行性欠缺或不符合项目需求的不得分。</w:t>
            </w:r>
          </w:p>
        </w:tc>
        <w:tc>
          <w:tcPr>
            <w:tcW w:w="795" w:type="dxa"/>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highlight w:val="none"/>
                <w:lang w:val="en-US" w:eastAsia="zh-CN"/>
              </w:rPr>
              <w:t>8</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970" w:type="dxa"/>
            <w:vAlign w:val="center"/>
          </w:tcPr>
          <w:p>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采购人对鉴定期限有特殊要求的，投标人应在约定的期限内出具鉴定报告。根据投标人应急方案</w:t>
            </w:r>
            <w:r>
              <w:rPr>
                <w:rFonts w:hint="eastAsia" w:ascii="宋体" w:hAnsi="宋体" w:eastAsia="宋体" w:cs="宋体"/>
                <w:color w:val="auto"/>
                <w:sz w:val="24"/>
                <w:highlight w:val="none"/>
                <w:lang w:val="zh-CN"/>
              </w:rPr>
              <w:t>全面性、合理性、周密性、可操作性，</w:t>
            </w:r>
            <w:r>
              <w:rPr>
                <w:rFonts w:hint="eastAsia" w:ascii="宋体" w:hAnsi="宋体" w:eastAsia="宋体" w:cs="宋体"/>
                <w:color w:val="auto"/>
                <w:sz w:val="24"/>
                <w:highlight w:val="none"/>
              </w:rPr>
              <w:t>方案完善、完全满足或超出项目需求的，得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分；基本满足项目需求的得1-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分；方案不完善合理的、未提供的不得分。</w:t>
            </w:r>
          </w:p>
        </w:tc>
        <w:tc>
          <w:tcPr>
            <w:tcW w:w="795" w:type="dxa"/>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highlight w:val="none"/>
                <w:lang w:val="en-US" w:eastAsia="zh-CN"/>
              </w:rPr>
              <w:t>8</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970" w:type="dxa"/>
            <w:vAlign w:val="center"/>
          </w:tcPr>
          <w:p>
            <w:pPr>
              <w:pStyle w:val="781"/>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根据投标人拟投入本项目的专业设备全面性、先进性和可靠性进行</w:t>
            </w:r>
            <w:r>
              <w:rPr>
                <w:rFonts w:hint="eastAsia" w:ascii="宋体" w:hAnsi="宋体" w:eastAsia="宋体" w:cs="宋体"/>
                <w:color w:val="auto"/>
                <w:sz w:val="24"/>
                <w:highlight w:val="none"/>
                <w:lang w:val="en-US" w:eastAsia="zh-CN"/>
              </w:rPr>
              <w:t>综合评分，设备先进、可靠性好，能够满足各种需求符合标准的得6-8分，设备先进、可靠性较好，能够满足较多需求符合标准的得2-5分，设备先进、可靠性一般，能够满足较多需求符合标准的得1分，不满足采购需求或者没有设备的不得分。</w:t>
            </w:r>
          </w:p>
        </w:tc>
        <w:tc>
          <w:tcPr>
            <w:tcW w:w="795" w:type="dxa"/>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val="en-US" w:eastAsia="zh-CN"/>
              </w:rPr>
              <w:t>8</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970" w:type="dxa"/>
            <w:vAlign w:val="center"/>
          </w:tcPr>
          <w:p>
            <w:pPr>
              <w:pStyle w:val="781"/>
              <w:rPr>
                <w:rFonts w:hint="eastAsia" w:ascii="宋体" w:hAnsi="宋体" w:eastAsia="宋体" w:cs="宋体"/>
                <w:color w:val="auto"/>
                <w:sz w:val="24"/>
                <w:highlight w:val="none"/>
              </w:rPr>
            </w:pPr>
            <w:r>
              <w:rPr>
                <w:rFonts w:hint="eastAsia" w:ascii="宋体" w:hAnsi="宋体" w:eastAsia="宋体" w:cs="宋体"/>
                <w:bCs/>
                <w:color w:val="auto"/>
                <w:kern w:val="2"/>
                <w:sz w:val="24"/>
                <w:szCs w:val="24"/>
                <w:highlight w:val="none"/>
              </w:rPr>
              <w:t>在满足项目设备基础要求的情况下，配备组织包埋冷冻台、包埋机、染色机等设备的，得1分；配备视觉、听觉、性功能检测设备的，得1分；配备2台及以上顶空-气相色谱仪的，得1分；不满足不得分。（需提供设备照片及发票）</w:t>
            </w:r>
          </w:p>
        </w:tc>
        <w:tc>
          <w:tcPr>
            <w:tcW w:w="795" w:type="dxa"/>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rPr>
              <w:t>3</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970" w:type="dxa"/>
            <w:vAlign w:val="center"/>
          </w:tcPr>
          <w:p>
            <w:pPr>
              <w:pStyle w:val="781"/>
              <w:rPr>
                <w:rFonts w:hint="eastAsia" w:ascii="宋体" w:hAnsi="宋体" w:eastAsia="宋体" w:cs="宋体"/>
                <w:color w:val="auto"/>
                <w:sz w:val="24"/>
                <w:highlight w:val="none"/>
              </w:rPr>
            </w:pPr>
            <w:r>
              <w:rPr>
                <w:rFonts w:hint="eastAsia" w:ascii="宋体" w:hAnsi="宋体" w:eastAsia="宋体" w:cs="宋体"/>
                <w:bCs/>
                <w:color w:val="auto"/>
                <w:kern w:val="2"/>
                <w:sz w:val="24"/>
                <w:szCs w:val="24"/>
                <w:highlight w:val="none"/>
              </w:rPr>
              <w:t>根据投标人提供的固定、独立的检验鉴定场所，实验室、样品室、档案室、办公室、接案室、资料室等功能区域划分设置，对于现场工作以及涉及生物检材/样本、危险性检材/样本的区域和人员，投标人应能够提供适当的防护措施等进行综合评分，场所划分科学、设置合理，防护措施有效、可行性高，方便的得5-8分，场所划分较科学、设置比较合理，防护措施一般、可行性一般，方便的得1-4分，不满足采购需求的不得分。</w:t>
            </w:r>
          </w:p>
        </w:tc>
        <w:tc>
          <w:tcPr>
            <w:tcW w:w="795" w:type="dxa"/>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rPr>
              <w:t>8</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8</w:t>
            </w:r>
          </w:p>
        </w:tc>
        <w:tc>
          <w:tcPr>
            <w:tcW w:w="5970" w:type="dxa"/>
            <w:vAlign w:val="center"/>
          </w:tcPr>
          <w:p>
            <w:pPr>
              <w:pStyle w:val="781"/>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highlight w:val="none"/>
              </w:rPr>
              <w:t>对本项目的合理化建议综合评定</w:t>
            </w:r>
            <w:r>
              <w:rPr>
                <w:rFonts w:hint="eastAsia" w:ascii="宋体" w:hAnsi="宋体" w:eastAsia="宋体" w:cs="宋体"/>
                <w:bCs/>
                <w:color w:val="auto"/>
                <w:sz w:val="24"/>
                <w:highlight w:val="none"/>
                <w:lang w:eastAsia="zh-CN"/>
              </w:rPr>
              <w:t>，建议满足需求，且操作性好，可实施性强的的</w:t>
            </w:r>
            <w:r>
              <w:rPr>
                <w:rFonts w:hint="eastAsia" w:ascii="宋体" w:hAnsi="宋体" w:eastAsia="宋体" w:cs="宋体"/>
                <w:bCs/>
                <w:color w:val="auto"/>
                <w:sz w:val="24"/>
                <w:highlight w:val="none"/>
                <w:lang w:val="en-US" w:eastAsia="zh-CN"/>
              </w:rPr>
              <w:t>5-8分，</w:t>
            </w:r>
            <w:r>
              <w:rPr>
                <w:rFonts w:hint="eastAsia" w:ascii="宋体" w:hAnsi="宋体" w:eastAsia="宋体" w:cs="宋体"/>
                <w:bCs/>
                <w:color w:val="auto"/>
                <w:sz w:val="24"/>
                <w:highlight w:val="none"/>
                <w:lang w:eastAsia="zh-CN"/>
              </w:rPr>
              <w:t>建议满足需求，且操作性较好，可实施性较强的的</w:t>
            </w:r>
            <w:r>
              <w:rPr>
                <w:rFonts w:hint="eastAsia" w:ascii="宋体" w:hAnsi="宋体" w:eastAsia="宋体" w:cs="宋体"/>
                <w:bCs/>
                <w:color w:val="auto"/>
                <w:sz w:val="24"/>
                <w:highlight w:val="none"/>
                <w:lang w:val="en-US" w:eastAsia="zh-CN"/>
              </w:rPr>
              <w:t>2-5分，</w:t>
            </w:r>
            <w:r>
              <w:rPr>
                <w:rFonts w:hint="eastAsia" w:ascii="宋体" w:hAnsi="宋体" w:eastAsia="宋体" w:cs="宋体"/>
                <w:bCs/>
                <w:color w:val="auto"/>
                <w:sz w:val="24"/>
                <w:highlight w:val="none"/>
                <w:lang w:eastAsia="zh-CN"/>
              </w:rPr>
              <w:t>建议满足需求，且操作性一般，可实施性一般的的</w:t>
            </w:r>
            <w:r>
              <w:rPr>
                <w:rFonts w:hint="eastAsia" w:ascii="宋体" w:hAnsi="宋体" w:eastAsia="宋体" w:cs="宋体"/>
                <w:bCs/>
                <w:color w:val="auto"/>
                <w:sz w:val="24"/>
                <w:highlight w:val="none"/>
                <w:lang w:val="en-US" w:eastAsia="zh-CN"/>
              </w:rPr>
              <w:t>1分，不满足采购需求的不得分。</w:t>
            </w:r>
          </w:p>
        </w:tc>
        <w:tc>
          <w:tcPr>
            <w:tcW w:w="795" w:type="dxa"/>
            <w:vAlign w:val="center"/>
          </w:tcPr>
          <w:p>
            <w:pPr>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highlight w:val="none"/>
                <w:lang w:val="en-US" w:eastAsia="zh-CN"/>
              </w:rPr>
              <w:t>8</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9</w:t>
            </w:r>
          </w:p>
        </w:tc>
        <w:tc>
          <w:tcPr>
            <w:tcW w:w="5970" w:type="dxa"/>
            <w:vAlign w:val="center"/>
          </w:tcPr>
          <w:p>
            <w:pPr>
              <w:snapToGrid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highlight w:val="none"/>
              </w:rPr>
              <w:t>针对本项目具有①日常管理规章制度、②内部岗位责任制度、③管理运作制度、④所涉案件回避制度；每项满足采购需求</w:t>
            </w:r>
            <w:r>
              <w:rPr>
                <w:rFonts w:hint="eastAsia" w:ascii="宋体" w:hAnsi="宋体" w:eastAsia="宋体" w:cs="宋体"/>
                <w:bCs/>
                <w:color w:val="auto"/>
                <w:sz w:val="24"/>
                <w:highlight w:val="none"/>
                <w:lang w:eastAsia="zh-CN"/>
              </w:rPr>
              <w:t>，制度合理规范，可操作性强</w:t>
            </w:r>
            <w:r>
              <w:rPr>
                <w:rFonts w:hint="eastAsia" w:ascii="宋体" w:hAnsi="宋体" w:eastAsia="宋体" w:cs="宋体"/>
                <w:bCs/>
                <w:color w:val="auto"/>
                <w:sz w:val="24"/>
                <w:highlight w:val="none"/>
              </w:rPr>
              <w:t>的得1-2分，</w:t>
            </w:r>
            <w:r>
              <w:rPr>
                <w:rFonts w:hint="eastAsia" w:ascii="宋体" w:hAnsi="宋体" w:eastAsia="宋体" w:cs="宋体"/>
                <w:color w:val="auto"/>
                <w:sz w:val="24"/>
                <w:highlight w:val="none"/>
              </w:rPr>
              <w:t>不满足得不得分，</w:t>
            </w:r>
            <w:r>
              <w:rPr>
                <w:rFonts w:hint="eastAsia" w:ascii="宋体" w:hAnsi="宋体" w:eastAsia="宋体" w:cs="宋体"/>
                <w:bCs/>
                <w:color w:val="auto"/>
                <w:sz w:val="24"/>
                <w:highlight w:val="none"/>
              </w:rPr>
              <w:t>最高得8分。</w:t>
            </w:r>
          </w:p>
        </w:tc>
        <w:tc>
          <w:tcPr>
            <w:tcW w:w="795" w:type="dxa"/>
            <w:vAlign w:val="center"/>
          </w:tcPr>
          <w:p>
            <w:pPr>
              <w:snapToGrid w:val="0"/>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8</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p>
        </w:tc>
        <w:tc>
          <w:tcPr>
            <w:tcW w:w="5970" w:type="dxa"/>
            <w:vAlign w:val="center"/>
          </w:tcPr>
          <w:p>
            <w:pPr>
              <w:snapToGrid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highlight w:val="none"/>
              </w:rPr>
              <w:t>办案单位或第三方（含检察院和法院）对投标人的鉴定结论及鉴定过程提出异议或发生争议时，投标人的解决方案科学合理且符合采购要求的得</w:t>
            </w:r>
            <w:r>
              <w:rPr>
                <w:rFonts w:hint="eastAsia" w:ascii="宋体" w:hAnsi="宋体" w:eastAsia="宋体" w:cs="宋体"/>
                <w:bCs/>
                <w:color w:val="auto"/>
                <w:sz w:val="24"/>
                <w:highlight w:val="none"/>
                <w:lang w:val="en-US" w:eastAsia="zh-CN"/>
              </w:rPr>
              <w:t>4-6</w:t>
            </w:r>
            <w:r>
              <w:rPr>
                <w:rFonts w:hint="eastAsia" w:ascii="宋体" w:hAnsi="宋体" w:eastAsia="宋体" w:cs="宋体"/>
                <w:bCs/>
                <w:color w:val="auto"/>
                <w:sz w:val="24"/>
                <w:highlight w:val="none"/>
              </w:rPr>
              <w:t>分，基本符合，内容有所欠缺需完善的得1-</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分，未提供或不可行的不得分</w:t>
            </w:r>
            <w:r>
              <w:rPr>
                <w:rFonts w:hint="eastAsia" w:ascii="宋体" w:hAnsi="宋体" w:eastAsia="宋体" w:cs="宋体"/>
                <w:bCs/>
                <w:color w:val="auto"/>
                <w:sz w:val="24"/>
                <w:highlight w:val="none"/>
                <w:lang w:val="en-US" w:eastAsia="zh-CN"/>
              </w:rPr>
              <w:t>.</w:t>
            </w:r>
          </w:p>
        </w:tc>
        <w:tc>
          <w:tcPr>
            <w:tcW w:w="795" w:type="dxa"/>
            <w:vAlign w:val="center"/>
          </w:tcPr>
          <w:p>
            <w:pPr>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highlight w:val="none"/>
                <w:lang w:val="en-US" w:eastAsia="zh-CN"/>
              </w:rPr>
              <w:t>6</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w:t>
            </w:r>
          </w:p>
        </w:tc>
        <w:tc>
          <w:tcPr>
            <w:tcW w:w="5970" w:type="dxa"/>
            <w:vAlign w:val="center"/>
          </w:tcPr>
          <w:p>
            <w:pPr>
              <w:snapToGrid w:val="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highlight w:val="none"/>
              </w:rPr>
              <w:t>根据投标人保密服务方案，</w:t>
            </w:r>
            <w:r>
              <w:rPr>
                <w:rFonts w:hint="eastAsia" w:ascii="宋体" w:hAnsi="宋体" w:eastAsia="宋体" w:cs="宋体"/>
                <w:color w:val="auto"/>
                <w:sz w:val="24"/>
                <w:highlight w:val="none"/>
              </w:rPr>
              <w:t>方案完善、完全满足或超出项目需求的</w:t>
            </w:r>
            <w:r>
              <w:rPr>
                <w:rFonts w:hint="eastAsia" w:ascii="宋体" w:hAnsi="宋体" w:eastAsia="宋体" w:cs="宋体"/>
                <w:bCs/>
                <w:color w:val="auto"/>
                <w:sz w:val="24"/>
                <w:highlight w:val="none"/>
              </w:rPr>
              <w:t>得3-4分；基本符合，内容有所欠缺需完善的得1-2分;</w:t>
            </w:r>
            <w:r>
              <w:rPr>
                <w:rFonts w:hint="eastAsia" w:ascii="宋体" w:hAnsi="宋体" w:eastAsia="宋体" w:cs="宋体"/>
                <w:color w:val="auto"/>
                <w:sz w:val="24"/>
                <w:highlight w:val="none"/>
              </w:rPr>
              <w:t>不满足</w:t>
            </w:r>
            <w:r>
              <w:rPr>
                <w:rFonts w:hint="eastAsia" w:ascii="宋体" w:hAnsi="宋体" w:eastAsia="宋体" w:cs="宋体"/>
                <w:bCs/>
                <w:color w:val="auto"/>
                <w:sz w:val="24"/>
                <w:highlight w:val="none"/>
              </w:rPr>
              <w:t>不得分。</w:t>
            </w:r>
          </w:p>
        </w:tc>
        <w:tc>
          <w:tcPr>
            <w:tcW w:w="795" w:type="dxa"/>
            <w:vAlign w:val="center"/>
          </w:tcPr>
          <w:p>
            <w:pPr>
              <w:snapToGrid w:val="0"/>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4</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12</w:t>
            </w:r>
          </w:p>
        </w:tc>
        <w:tc>
          <w:tcPr>
            <w:tcW w:w="5970" w:type="dxa"/>
            <w:vAlign w:val="center"/>
          </w:tcPr>
          <w:p>
            <w:pPr>
              <w:pStyle w:val="78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拟担任项目负责人情况：</w:t>
            </w:r>
          </w:p>
          <w:p>
            <w:pPr>
              <w:snapToGrid w:val="0"/>
              <w:jc w:val="left"/>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1"/>
                <w:highlight w:val="none"/>
              </w:rPr>
              <w:t>针对投入项目负责人专业技术能力、类似项目负责经验情况等综合实力</w:t>
            </w:r>
            <w:r>
              <w:rPr>
                <w:rFonts w:hint="eastAsia" w:ascii="宋体" w:hAnsi="宋体" w:eastAsia="宋体" w:cs="宋体"/>
                <w:color w:val="auto"/>
                <w:sz w:val="24"/>
                <w:highlight w:val="none"/>
              </w:rPr>
              <w:t>进行评分</w:t>
            </w:r>
            <w:r>
              <w:rPr>
                <w:rFonts w:hint="eastAsia" w:ascii="宋体" w:hAnsi="宋体" w:eastAsia="宋体" w:cs="宋体"/>
                <w:color w:val="auto"/>
                <w:sz w:val="24"/>
                <w:szCs w:val="21"/>
                <w:highlight w:val="none"/>
              </w:rPr>
              <w:t>，具备法医专业正高级职称的、专业技术水平卓越、完全满足本项目要求的，得4-5分；具备法医专业高级职称的，专业技术水平一般、基本满足本项目要求的，得1-3分,不满足的不得分</w:t>
            </w:r>
            <w:r>
              <w:rPr>
                <w:rFonts w:hint="eastAsia" w:ascii="宋体" w:hAnsi="宋体" w:eastAsia="宋体" w:cs="宋体"/>
                <w:color w:val="auto"/>
                <w:sz w:val="24"/>
                <w:highlight w:val="none"/>
              </w:rPr>
              <w:t>。</w:t>
            </w:r>
          </w:p>
        </w:tc>
        <w:tc>
          <w:tcPr>
            <w:tcW w:w="795" w:type="dxa"/>
            <w:vAlign w:val="center"/>
          </w:tcPr>
          <w:p>
            <w:pPr>
              <w:snapToGrid w:val="0"/>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5</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w:t>
            </w:r>
          </w:p>
        </w:tc>
        <w:tc>
          <w:tcPr>
            <w:tcW w:w="5970" w:type="dxa"/>
            <w:vAlign w:val="center"/>
          </w:tcPr>
          <w:p>
            <w:pPr>
              <w:snapToGrid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highlight w:val="none"/>
              </w:rPr>
              <w:t>投标人拟投入本项目的从事检测工作的项目小组鉴定人员情况。根据拟投入人员情况进行评分，配备合理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分工明确</w:t>
            </w:r>
            <w:r>
              <w:rPr>
                <w:rFonts w:hint="eastAsia" w:ascii="宋体" w:hAnsi="宋体" w:eastAsia="宋体" w:cs="宋体"/>
                <w:bCs/>
                <w:color w:val="auto"/>
                <w:sz w:val="24"/>
                <w:highlight w:val="none"/>
                <w:lang w:eastAsia="zh-CN"/>
              </w:rPr>
              <w:t>，人员充足的得</w:t>
            </w:r>
            <w:r>
              <w:rPr>
                <w:rFonts w:hint="eastAsia" w:ascii="宋体" w:hAnsi="宋体" w:eastAsia="宋体" w:cs="宋体"/>
                <w:bCs/>
                <w:color w:val="auto"/>
                <w:sz w:val="24"/>
                <w:highlight w:val="none"/>
                <w:lang w:val="en-US" w:eastAsia="zh-CN"/>
              </w:rPr>
              <w:t>3-4分，</w:t>
            </w:r>
            <w:r>
              <w:rPr>
                <w:rFonts w:hint="eastAsia" w:ascii="宋体" w:hAnsi="宋体" w:eastAsia="宋体" w:cs="宋体"/>
                <w:bCs/>
                <w:color w:val="auto"/>
                <w:sz w:val="24"/>
                <w:highlight w:val="none"/>
              </w:rPr>
              <w:t>配备</w:t>
            </w:r>
            <w:r>
              <w:rPr>
                <w:rFonts w:hint="eastAsia" w:ascii="宋体" w:hAnsi="宋体" w:eastAsia="宋体" w:cs="宋体"/>
                <w:bCs/>
                <w:color w:val="auto"/>
                <w:sz w:val="24"/>
                <w:highlight w:val="none"/>
                <w:lang w:eastAsia="zh-CN"/>
              </w:rPr>
              <w:t>较</w:t>
            </w:r>
            <w:r>
              <w:rPr>
                <w:rFonts w:hint="eastAsia" w:ascii="宋体" w:hAnsi="宋体" w:eastAsia="宋体" w:cs="宋体"/>
                <w:bCs/>
                <w:color w:val="auto"/>
                <w:sz w:val="24"/>
                <w:highlight w:val="none"/>
              </w:rPr>
              <w:t>合理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分工明确</w:t>
            </w:r>
            <w:r>
              <w:rPr>
                <w:rFonts w:hint="eastAsia" w:ascii="宋体" w:hAnsi="宋体" w:eastAsia="宋体" w:cs="宋体"/>
                <w:bCs/>
                <w:color w:val="auto"/>
                <w:sz w:val="24"/>
                <w:highlight w:val="none"/>
                <w:lang w:eastAsia="zh-CN"/>
              </w:rPr>
              <w:t>，人员较充足的得</w:t>
            </w:r>
            <w:r>
              <w:rPr>
                <w:rFonts w:hint="eastAsia" w:ascii="宋体" w:hAnsi="宋体" w:eastAsia="宋体" w:cs="宋体"/>
                <w:bCs/>
                <w:color w:val="auto"/>
                <w:sz w:val="24"/>
                <w:highlight w:val="none"/>
                <w:lang w:val="en-US" w:eastAsia="zh-CN"/>
              </w:rPr>
              <w:t>1-2分，不满足采购需求的不得分。</w:t>
            </w:r>
          </w:p>
        </w:tc>
        <w:tc>
          <w:tcPr>
            <w:tcW w:w="795" w:type="dxa"/>
            <w:vAlign w:val="center"/>
          </w:tcPr>
          <w:p>
            <w:pPr>
              <w:snapToGrid w:val="0"/>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4</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14</w:t>
            </w:r>
          </w:p>
        </w:tc>
        <w:tc>
          <w:tcPr>
            <w:tcW w:w="5970" w:type="dxa"/>
            <w:vAlign w:val="center"/>
          </w:tcPr>
          <w:p>
            <w:pPr>
              <w:snapToGrid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highlight w:val="none"/>
              </w:rPr>
              <w:t>项目小组鉴定人员中</w:t>
            </w:r>
            <w:r>
              <w:rPr>
                <w:rFonts w:hint="eastAsia" w:ascii="宋体" w:hAnsi="宋体" w:eastAsia="宋体" w:cs="宋体"/>
                <w:color w:val="auto"/>
                <w:sz w:val="24"/>
                <w:highlight w:val="none"/>
              </w:rPr>
              <w:t>具备相关专业高级职称的</w:t>
            </w:r>
            <w:r>
              <w:rPr>
                <w:rFonts w:hint="eastAsia" w:ascii="宋体" w:hAnsi="宋体" w:eastAsia="宋体" w:cs="宋体"/>
                <w:bCs/>
                <w:color w:val="auto"/>
                <w:sz w:val="24"/>
                <w:highlight w:val="none"/>
              </w:rPr>
              <w:t>，每1名得1分，最高得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分。（提供法医病理类、法医临床或法医毒物类鉴定人执业证书</w:t>
            </w:r>
            <w:r>
              <w:rPr>
                <w:rFonts w:hint="eastAsia" w:ascii="宋体" w:hAnsi="宋体" w:eastAsia="宋体" w:cs="宋体"/>
                <w:color w:val="auto"/>
                <w:sz w:val="24"/>
                <w:highlight w:val="none"/>
              </w:rPr>
              <w:t>、职称证书，如为离退休返聘人员的，需提供单位聘用证明复印件，不提供不得分</w:t>
            </w:r>
            <w:r>
              <w:rPr>
                <w:rFonts w:hint="eastAsia" w:ascii="宋体" w:hAnsi="宋体" w:eastAsia="宋体" w:cs="宋体"/>
                <w:bCs/>
                <w:color w:val="auto"/>
                <w:sz w:val="24"/>
                <w:highlight w:val="none"/>
              </w:rPr>
              <w:t>）</w:t>
            </w:r>
          </w:p>
        </w:tc>
        <w:tc>
          <w:tcPr>
            <w:tcW w:w="795" w:type="dxa"/>
            <w:vAlign w:val="center"/>
          </w:tcPr>
          <w:p>
            <w:pPr>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highlight w:val="none"/>
                <w:lang w:val="en-US" w:eastAsia="zh-CN"/>
              </w:rPr>
              <w:t>2</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15</w:t>
            </w:r>
          </w:p>
        </w:tc>
        <w:tc>
          <w:tcPr>
            <w:tcW w:w="5970" w:type="dxa"/>
            <w:vAlign w:val="center"/>
          </w:tcPr>
          <w:p>
            <w:pPr>
              <w:snapToGrid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highlight w:val="none"/>
              </w:rPr>
              <w:t>2021年1月1日至今投标人承担类似项目实施的成功经验情况，依照投标人提供的</w:t>
            </w:r>
            <w:r>
              <w:rPr>
                <w:rFonts w:hint="eastAsia" w:ascii="宋体" w:hAnsi="宋体" w:eastAsia="宋体" w:cs="宋体"/>
                <w:bCs/>
                <w:color w:val="auto"/>
                <w:sz w:val="24"/>
                <w:highlight w:val="none"/>
                <w:lang w:val="zh-CN"/>
              </w:rPr>
              <w:t>合同</w:t>
            </w:r>
            <w:r>
              <w:rPr>
                <w:rFonts w:hint="eastAsia" w:ascii="宋体" w:hAnsi="宋体" w:eastAsia="宋体" w:cs="宋体"/>
                <w:bCs/>
                <w:color w:val="auto"/>
                <w:sz w:val="24"/>
                <w:highlight w:val="none"/>
              </w:rPr>
              <w:t>，每个案例得0.5分，最高得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分。（以合同签订时间为准）。</w:t>
            </w:r>
          </w:p>
        </w:tc>
        <w:tc>
          <w:tcPr>
            <w:tcW w:w="795" w:type="dxa"/>
            <w:vAlign w:val="center"/>
          </w:tcPr>
          <w:p>
            <w:pPr>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highlight w:val="none"/>
                <w:lang w:val="en-US" w:eastAsia="zh-CN"/>
              </w:rPr>
              <w:t>1</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16</w:t>
            </w:r>
          </w:p>
        </w:tc>
        <w:tc>
          <w:tcPr>
            <w:tcW w:w="5970" w:type="dxa"/>
            <w:vAlign w:val="center"/>
          </w:tcPr>
          <w:p>
            <w:pPr>
              <w:snapToGrid w:val="0"/>
              <w:jc w:val="left"/>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highlight w:val="none"/>
              </w:rPr>
              <w:t>投标人2021年1月1日以来参加司法鉴定科学研究院组织的法医病理、临床类及</w:t>
            </w:r>
            <w:r>
              <w:rPr>
                <w:rFonts w:hint="eastAsia" w:ascii="宋体" w:hAnsi="宋体" w:eastAsia="宋体" w:cs="宋体"/>
                <w:bCs/>
                <w:color w:val="auto"/>
                <w:sz w:val="24"/>
                <w:highlight w:val="none"/>
              </w:rPr>
              <w:t>血液乙醇定性定量分析项目能力验证</w:t>
            </w:r>
            <w:r>
              <w:rPr>
                <w:rFonts w:hint="eastAsia" w:ascii="宋体" w:hAnsi="宋体" w:eastAsia="宋体" w:cs="宋体"/>
                <w:color w:val="auto"/>
                <w:sz w:val="24"/>
                <w:highlight w:val="none"/>
              </w:rPr>
              <w:t>，并获得“满意”结果的，每一份得0.5分，最高得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分。提供能力验证证书，不提供的或能力验证证书结果为“通过”、“不通过”的不得分。</w:t>
            </w:r>
          </w:p>
        </w:tc>
        <w:tc>
          <w:tcPr>
            <w:tcW w:w="795" w:type="dxa"/>
            <w:vAlign w:val="center"/>
          </w:tcPr>
          <w:p>
            <w:pPr>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highlight w:val="none"/>
                <w:lang w:val="en-US" w:eastAsia="zh-CN"/>
              </w:rPr>
              <w:t>1</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365"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5970" w:type="dxa"/>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w:t>
            </w:r>
          </w:p>
        </w:tc>
        <w:tc>
          <w:tcPr>
            <w:tcW w:w="79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p>
        </w:tc>
        <w:tc>
          <w:tcPr>
            <w:tcW w:w="1095" w:type="dxa"/>
            <w:vAlign w:val="center"/>
          </w:tcPr>
          <w:p>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36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2</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8"/>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8"/>
        <w:snapToGrid w:val="0"/>
        <w:spacing w:line="360" w:lineRule="auto"/>
        <w:rPr>
          <w:rFonts w:cs="宋体"/>
          <w:color w:val="auto"/>
          <w:highlight w:val="none"/>
        </w:rPr>
      </w:pPr>
      <w:r>
        <w:rPr>
          <w:rFonts w:hint="eastAsia" w:cs="宋体"/>
          <w:color w:val="auto"/>
          <w:highlight w:val="none"/>
        </w:rPr>
        <w:t>5.4因重大变故，采购任务取消的。</w:t>
      </w:r>
    </w:p>
    <w:p>
      <w:pPr>
        <w:pStyle w:val="8"/>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8"/>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20421"/>
      <w:bookmarkStart w:id="396" w:name="_Toc19273"/>
      <w:bookmarkStart w:id="397" w:name="_Toc28855"/>
      <w:bookmarkStart w:id="398" w:name="_Toc15367"/>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6773"/>
      <w:bookmarkStart w:id="401" w:name="_Toc6311"/>
      <w:bookmarkStart w:id="402" w:name="_Toc2918"/>
      <w:bookmarkStart w:id="403" w:name="_Toc18585"/>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5" w:name="_Toc1386"/>
      <w:bookmarkStart w:id="406" w:name="_Toc4929"/>
      <w:bookmarkStart w:id="407" w:name="_Toc21124"/>
      <w:bookmarkStart w:id="408" w:name="_Toc5635"/>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7"/>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26916"/>
      <w:bookmarkStart w:id="411" w:name="_Toc14993"/>
      <w:bookmarkStart w:id="412" w:name="_Toc30506"/>
      <w:bookmarkStart w:id="413" w:name="_Toc30158"/>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57"/>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4760"/>
      <w:bookmarkStart w:id="419" w:name="_Toc11108"/>
      <w:bookmarkStart w:id="420" w:name="_Toc31421"/>
      <w:bookmarkStart w:id="421" w:name="_Toc3625"/>
      <w:bookmarkStart w:id="422" w:name="_Toc8772"/>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2375"/>
      <w:bookmarkStart w:id="424" w:name="_Toc24662"/>
      <w:bookmarkStart w:id="425" w:name="_Toc8586"/>
      <w:bookmarkStart w:id="426" w:name="_Toc3079"/>
      <w:bookmarkStart w:id="427"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30329"/>
      <w:bookmarkStart w:id="429" w:name="_Toc18683"/>
      <w:bookmarkStart w:id="430" w:name="_Toc32454"/>
      <w:bookmarkStart w:id="431" w:name="_Toc26807"/>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14021"/>
      <w:bookmarkStart w:id="440" w:name="_Toc25079"/>
      <w:bookmarkStart w:id="441" w:name="_Toc5228"/>
      <w:bookmarkStart w:id="442" w:name="_Toc31297"/>
      <w:bookmarkStart w:id="443" w:name="_Toc19680"/>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16752"/>
      <w:bookmarkStart w:id="445" w:name="_Toc3769"/>
      <w:bookmarkStart w:id="446" w:name="_Toc19539"/>
      <w:bookmarkStart w:id="447" w:name="_Toc23289"/>
      <w:bookmarkStart w:id="448" w:name="_Toc31402"/>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27945"/>
      <w:bookmarkStart w:id="450" w:name="_Toc13673"/>
      <w:bookmarkStart w:id="451" w:name="_Toc9161"/>
      <w:bookmarkStart w:id="452" w:name="_Toc12412"/>
      <w:bookmarkStart w:id="453" w:name="_Toc4133"/>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26555"/>
      <w:bookmarkStart w:id="455" w:name="_Toc32670"/>
      <w:bookmarkStart w:id="456" w:name="_Toc31233"/>
      <w:bookmarkStart w:id="457" w:name="_Toc15447"/>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13154"/>
      <w:bookmarkStart w:id="460" w:name="_Toc16163"/>
      <w:bookmarkStart w:id="461" w:name="_Toc18990"/>
      <w:bookmarkStart w:id="462" w:name="_Toc30507"/>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26689"/>
      <w:bookmarkStart w:id="468" w:name="_Toc10663"/>
      <w:bookmarkStart w:id="469" w:name="_Toc23368"/>
      <w:bookmarkStart w:id="470" w:name="_Toc42"/>
      <w:bookmarkStart w:id="471" w:name="_Toc21830"/>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26633"/>
      <w:bookmarkStart w:id="473" w:name="_Toc14371"/>
      <w:bookmarkStart w:id="474" w:name="_Toc4720"/>
      <w:bookmarkStart w:id="475" w:name="_Toc25571"/>
      <w:bookmarkStart w:id="476" w:name="_Toc32494"/>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23854"/>
      <w:bookmarkStart w:id="478" w:name="_Toc3638"/>
      <w:bookmarkStart w:id="479" w:name="_Toc14115"/>
      <w:bookmarkStart w:id="480" w:name="_Toc25783"/>
      <w:bookmarkStart w:id="481" w:name="_Toc24465"/>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25525"/>
      <w:bookmarkStart w:id="483" w:name="_Toc30105"/>
      <w:bookmarkStart w:id="484" w:name="_Toc26883"/>
      <w:bookmarkStart w:id="485" w:name="_Toc7315"/>
      <w:bookmarkStart w:id="486" w:name="_Toc14814"/>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2016"/>
      <w:bookmarkStart w:id="488" w:name="_Toc23323"/>
      <w:bookmarkStart w:id="489" w:name="_Toc1123"/>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2308"/>
      <w:bookmarkStart w:id="494" w:name="_Toc31892"/>
      <w:bookmarkStart w:id="495" w:name="_Toc9808"/>
      <w:bookmarkStart w:id="496" w:name="_Toc12666"/>
      <w:bookmarkStart w:id="497" w:name="_Toc25198"/>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7644"/>
      <w:bookmarkStart w:id="501" w:name="_Toc20808"/>
      <w:bookmarkStart w:id="502" w:name="_Toc12254"/>
      <w:bookmarkStart w:id="503" w:name="_Toc28906"/>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r>
              <w:rPr>
                <w:rFonts w:hint="default" w:ascii="宋体" w:hAnsi="宋体" w:cs="宋体"/>
                <w:color w:val="auto"/>
                <w:sz w:val="24"/>
                <w:highlight w:val="none"/>
                <w:lang w:val="en-US" w:eastAsia="zh-CN"/>
              </w:rPr>
              <w:t>签订合同后甲方在</w:t>
            </w:r>
            <w:r>
              <w:rPr>
                <w:rFonts w:hint="eastAsia" w:ascii="宋体" w:hAnsi="宋体" w:cs="宋体"/>
                <w:color w:val="auto"/>
                <w:sz w:val="24"/>
                <w:highlight w:val="none"/>
                <w:lang w:val="en-US" w:eastAsia="zh-CN"/>
              </w:rPr>
              <w:t>15</w:t>
            </w:r>
            <w:r>
              <w:rPr>
                <w:rFonts w:hint="default" w:ascii="宋体" w:hAnsi="宋体" w:cs="宋体"/>
                <w:color w:val="auto"/>
                <w:sz w:val="24"/>
                <w:highlight w:val="none"/>
                <w:lang w:val="en-US" w:eastAsia="zh-CN"/>
              </w:rPr>
              <w:t>日内支付合同总价50%的预付款</w:t>
            </w: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olor w:val="auto"/>
                <w:sz w:val="24"/>
                <w:highlight w:val="none"/>
              </w:rPr>
              <w:t>经采购人每月考核确认属实后，每</w:t>
            </w:r>
            <w:r>
              <w:rPr>
                <w:rFonts w:hint="eastAsia" w:ascii="宋体" w:hAnsi="宋体"/>
                <w:color w:val="auto"/>
                <w:sz w:val="24"/>
                <w:highlight w:val="none"/>
                <w:lang w:val="en-US" w:eastAsia="zh-CN"/>
              </w:rPr>
              <w:t>季度</w:t>
            </w:r>
            <w:r>
              <w:rPr>
                <w:rFonts w:hint="eastAsia" w:ascii="宋体" w:hAnsi="宋体"/>
                <w:color w:val="auto"/>
                <w:sz w:val="24"/>
                <w:highlight w:val="none"/>
              </w:rPr>
              <w:t>支付一次，支付时间为次月10日前，最后一次支付时间为合同期满以后。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本次采购项目服务时间1年，自合同签订</w:t>
            </w:r>
            <w:r>
              <w:rPr>
                <w:rFonts w:hint="eastAsia" w:ascii="宋体" w:hAnsi="宋体" w:cs="宋体"/>
                <w:color w:val="auto"/>
                <w:sz w:val="24"/>
                <w:highlight w:val="none"/>
                <w:lang w:val="en-US" w:eastAsia="zh-CN"/>
              </w:rPr>
              <w:t>生效</w:t>
            </w:r>
            <w:r>
              <w:rPr>
                <w:rFonts w:hint="eastAsia" w:ascii="宋体" w:hAnsi="宋体" w:cs="宋体"/>
                <w:color w:val="auto"/>
                <w:sz w:val="24"/>
                <w:highlight w:val="none"/>
              </w:rPr>
              <w:t>之日起计算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杭州市公安局余杭区分局交通警察大队指定地点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根据采购需求交付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本次采购项目服务时间1年，自合同签订</w:t>
            </w:r>
            <w:r>
              <w:rPr>
                <w:rFonts w:hint="eastAsia" w:ascii="宋体" w:hAnsi="宋体" w:cs="宋体"/>
                <w:color w:val="auto"/>
                <w:sz w:val="24"/>
                <w:highlight w:val="none"/>
                <w:lang w:val="en-US" w:eastAsia="zh-CN"/>
              </w:rPr>
              <w:t>生效</w:t>
            </w:r>
            <w:r>
              <w:rPr>
                <w:rFonts w:hint="eastAsia" w:ascii="宋体" w:hAnsi="宋体" w:cs="宋体"/>
                <w:color w:val="auto"/>
                <w:sz w:val="24"/>
                <w:highlight w:val="none"/>
              </w:rPr>
              <w:t>之日起计算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杭州市公安局余杭区分局交通警察大队指定地点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根据采购需求交付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wordWrap/>
              <w:spacing w:line="24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违约责任：</w:t>
            </w:r>
            <w:r>
              <w:rPr>
                <w:rFonts w:hint="eastAsia" w:ascii="宋体" w:hAnsi="宋体" w:eastAsia="宋体" w:cs="宋体"/>
                <w:color w:val="auto"/>
                <w:sz w:val="24"/>
                <w:highlight w:val="none"/>
              </w:rPr>
              <w:t xml:space="preserve">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wordWrap/>
              <w:spacing w:line="24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wordWrap/>
              <w:spacing w:line="24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wordWrap/>
              <w:spacing w:line="24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ordWrap/>
              <w:spacing w:line="24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争议解决：</w:t>
            </w:r>
            <w:r>
              <w:rPr>
                <w:rFonts w:hint="eastAsia" w:ascii="宋体" w:hAnsi="宋体" w:eastAsia="宋体" w:cs="宋体"/>
                <w:color w:val="auto"/>
                <w:sz w:val="24"/>
                <w:highlight w:val="none"/>
              </w:rPr>
              <w:t>本合同履行过程中发生的任何争议，双方当事人均可通过和解或者调解解决；不愿和解、调解或者和解、调解不成的</w:t>
            </w:r>
            <w:r>
              <w:rPr>
                <w:rFonts w:hint="eastAsia" w:ascii="宋体" w:hAnsi="宋体" w:cs="宋体"/>
                <w:color w:val="auto"/>
                <w:sz w:val="24"/>
                <w:highlight w:val="none"/>
                <w:lang w:val="en-US" w:eastAsia="zh-CN"/>
              </w:rPr>
              <w:t>向余杭区人民法院起诉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500" w:lineRule="exact"/>
              <w:ind w:firstLine="360" w:firstLineChars="150"/>
              <w:rPr>
                <w:rFonts w:ascii="宋体" w:hAnsi="宋体" w:cs="宋体"/>
                <w:color w:val="auto"/>
                <w:sz w:val="24"/>
                <w:highlight w:val="none"/>
              </w:rPr>
            </w:pPr>
            <w:r>
              <w:rPr>
                <w:rFonts w:hint="eastAsia" w:ascii="宋体" w:hAnsi="宋体"/>
                <w:color w:val="auto"/>
                <w:sz w:val="24"/>
                <w:highlight w:val="none"/>
              </w:rPr>
              <w:t>经采购人每月考核确认属实后，每</w:t>
            </w:r>
            <w:r>
              <w:rPr>
                <w:rFonts w:hint="eastAsia" w:ascii="宋体" w:hAnsi="宋体"/>
                <w:color w:val="auto"/>
                <w:sz w:val="24"/>
                <w:highlight w:val="none"/>
                <w:lang w:val="en-US" w:eastAsia="zh-CN"/>
              </w:rPr>
              <w:t>季度</w:t>
            </w:r>
            <w:r>
              <w:rPr>
                <w:rFonts w:hint="eastAsia" w:ascii="宋体" w:hAnsi="宋体"/>
                <w:color w:val="auto"/>
                <w:sz w:val="24"/>
                <w:highlight w:val="none"/>
              </w:rPr>
              <w:t>支付一次，支付时间为次月10日前，最后一次支付时间为合同期满以后。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2.</w:t>
            </w:r>
            <w:r>
              <w:rPr>
                <w:rFonts w:ascii="宋体" w:hAnsi="宋体" w:cs="宋体"/>
                <w:color w:val="auto"/>
                <w:sz w:val="24"/>
                <w:highlight w:val="none"/>
                <w:u w:val="none"/>
              </w:rPr>
              <w:t>11</w:t>
            </w:r>
            <w:r>
              <w:rPr>
                <w:rFonts w:hint="eastAsia" w:ascii="宋体" w:hAnsi="宋体" w:cs="宋体"/>
                <w:color w:val="auto"/>
                <w:sz w:val="24"/>
                <w:highlight w:val="none"/>
                <w:u w:val="none"/>
              </w:rPr>
              <w:t>.</w:t>
            </w:r>
            <w:r>
              <w:rPr>
                <w:rFonts w:ascii="宋体" w:hAnsi="宋体" w:cs="宋体"/>
                <w:color w:val="auto"/>
                <w:sz w:val="24"/>
                <w:highlight w:val="none"/>
                <w:u w:val="none"/>
              </w:rPr>
              <w:t>3</w:t>
            </w:r>
          </w:p>
        </w:tc>
        <w:tc>
          <w:tcPr>
            <w:tcW w:w="4464" w:type="pct"/>
            <w:vAlign w:val="center"/>
          </w:tcPr>
          <w:p>
            <w:pPr>
              <w:spacing w:line="360" w:lineRule="auto"/>
              <w:rPr>
                <w:rFonts w:ascii="宋体" w:hAnsi="宋体" w:cs="宋体"/>
                <w:color w:val="auto"/>
                <w:sz w:val="24"/>
                <w:highlight w:val="none"/>
                <w:u w:val="none"/>
              </w:rPr>
            </w:pPr>
            <w:r>
              <w:rPr>
                <w:rFonts w:hint="eastAsia" w:ascii="宋体" w:hAnsi="宋体"/>
                <w:color w:val="auto"/>
                <w:sz w:val="24"/>
                <w:highlight w:val="none"/>
                <w:u w:val="none"/>
                <w:lang w:val="en-US" w:eastAsia="zh-CN"/>
              </w:rPr>
              <w:t xml:space="preserve"> 因不可抗力致使合同有变更必要的，双方当事人应在 7个工作日内   约定时间内以书面形式变更合同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lang w:val="en-US" w:eastAsia="zh-CN"/>
              </w:rPr>
              <w:t xml:space="preserve">  7个工作日内  </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lang w:val="en-US" w:eastAsia="zh-CN"/>
              </w:rPr>
              <w:t xml:space="preserve">   7个工作日内  </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乙方按照</w:t>
            </w:r>
            <w:r>
              <w:rPr>
                <w:rFonts w:hint="eastAsia" w:ascii="宋体" w:hAnsi="宋体"/>
                <w:color w:val="auto"/>
                <w:sz w:val="24"/>
                <w:highlight w:val="none"/>
                <w:u w:val="single"/>
              </w:rPr>
              <w:t>双方确定的考核办法</w:t>
            </w:r>
            <w:r>
              <w:rPr>
                <w:rFonts w:hint="eastAsia" w:ascii="宋体" w:hAnsi="宋体"/>
                <w:color w:val="auto"/>
                <w:sz w:val="24"/>
                <w:highlight w:val="none"/>
              </w:rPr>
              <w:t>的约定，定期提交服务报告，甲方按照</w:t>
            </w:r>
            <w:r>
              <w:rPr>
                <w:rFonts w:hint="eastAsia" w:ascii="宋体" w:hAnsi="宋体"/>
                <w:color w:val="auto"/>
                <w:sz w:val="24"/>
                <w:highlight w:val="none"/>
                <w:u w:val="single"/>
              </w:rPr>
              <w:t>服务考核办法</w:t>
            </w:r>
            <w:r>
              <w:rPr>
                <w:rFonts w:hint="eastAsia" w:ascii="宋体" w:hAnsi="宋体"/>
                <w:color w:val="auto"/>
                <w:sz w:val="24"/>
                <w:highlight w:val="none"/>
              </w:rPr>
              <w:t>的约定进行定期验收</w:t>
            </w:r>
            <w:r>
              <w:rPr>
                <w:rFonts w:hint="eastAsia" w:ascii="宋体" w:hAnsi="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lang w:eastAsia="zh-Hans"/>
              </w:rPr>
              <w:t>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合同一式陆份，甲乙双方各执叁份，均具有同等法律效力</w:t>
            </w:r>
            <w:r>
              <w:rPr>
                <w:rFonts w:hint="eastAsia" w:ascii="宋体" w:hAnsi="宋体" w:cs="宋体"/>
                <w:color w:val="auto"/>
                <w:sz w:val="24"/>
                <w:highlight w:val="none"/>
                <w:lang w:eastAsia="zh-CN"/>
              </w:rPr>
              <w:t>。</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4"/>
        <w:rPr>
          <w:color w:val="auto"/>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hint="eastAsia"/>
          <w:color w:val="auto"/>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项目名称</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en-US" w:eastAsia="zh-CN"/>
        </w:rPr>
        <w:t>项目编号</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440" w:lineRule="exact"/>
        <w:jc w:val="center"/>
        <w:rPr>
          <w:rFonts w:hint="eastAsia" w:ascii="宋体" w:hAnsi="宋体"/>
          <w:color w:val="auto"/>
          <w:szCs w:val="21"/>
          <w:highlight w:val="none"/>
        </w:rPr>
      </w:pPr>
    </w:p>
    <w:p>
      <w:pPr>
        <w:spacing w:line="440" w:lineRule="exact"/>
        <w:jc w:val="center"/>
        <w:rPr>
          <w:rFonts w:hint="eastAsia" w:ascii="宋体" w:hAnsi="宋体" w:cs="宋体"/>
          <w:b/>
          <w:color w:val="auto"/>
          <w:kern w:val="0"/>
          <w:sz w:val="32"/>
          <w:szCs w:val="32"/>
          <w:highlight w:val="none"/>
        </w:rPr>
      </w:pPr>
      <w:bookmarkStart w:id="510" w:name="_Toc339872473"/>
      <w:bookmarkStart w:id="511" w:name="_Toc349721557"/>
      <w:bookmarkStart w:id="512" w:name="_Toc328381297"/>
      <w:bookmarkStart w:id="513" w:name="_Toc303256686"/>
      <w:bookmarkStart w:id="514" w:name="_Toc350327368"/>
      <w:r>
        <w:rPr>
          <w:rFonts w:hint="eastAsia" w:ascii="宋体" w:hAnsi="宋体" w:cs="宋体"/>
          <w:b/>
          <w:color w:val="auto"/>
          <w:kern w:val="0"/>
          <w:sz w:val="32"/>
          <w:szCs w:val="32"/>
          <w:highlight w:val="none"/>
        </w:rPr>
        <w:t>开 标 一 览 表</w:t>
      </w:r>
      <w:bookmarkEnd w:id="510"/>
      <w:bookmarkEnd w:id="511"/>
      <w:bookmarkEnd w:id="512"/>
      <w:bookmarkEnd w:id="513"/>
      <w:bookmarkEnd w:id="514"/>
    </w:p>
    <w:p>
      <w:pPr>
        <w:autoSpaceDE w:val="0"/>
        <w:autoSpaceDN w:val="0"/>
        <w:adjustRightInd w:val="0"/>
        <w:spacing w:line="440" w:lineRule="exact"/>
        <w:rPr>
          <w:rFonts w:hint="eastAsia" w:ascii="宋体" w:hAnsi="宋体"/>
          <w:b/>
          <w:color w:val="auto"/>
          <w:kern w:val="0"/>
          <w:sz w:val="24"/>
          <w:highlight w:val="none"/>
        </w:rPr>
      </w:pPr>
      <w:r>
        <w:rPr>
          <w:rFonts w:hint="eastAsia" w:ascii="宋体" w:hAnsi="宋体"/>
          <w:b/>
          <w:color w:val="auto"/>
          <w:kern w:val="0"/>
          <w:sz w:val="24"/>
          <w:highlight w:val="none"/>
        </w:rPr>
        <w:t>项目编号：</w:t>
      </w:r>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noWrap w:val="0"/>
            <w:vAlign w:val="center"/>
          </w:tcPr>
          <w:p>
            <w:pPr>
              <w:autoSpaceDE w:val="0"/>
              <w:autoSpaceDN w:val="0"/>
              <w:adjustRightInd w:val="0"/>
              <w:spacing w:before="0" w:beforeAutospacing="0" w:after="0" w:afterAutospacing="0" w:line="440" w:lineRule="exact"/>
              <w:ind w:left="0" w:right="0"/>
              <w:jc w:val="center"/>
              <w:rPr>
                <w:rFonts w:hint="eastAsia" w:ascii="宋体" w:hAnsi="宋体"/>
                <w:b/>
                <w:color w:val="auto"/>
                <w:kern w:val="0"/>
                <w:sz w:val="24"/>
                <w:highlight w:val="none"/>
              </w:rPr>
            </w:pPr>
            <w:r>
              <w:rPr>
                <w:rFonts w:hint="eastAsia" w:ascii="宋体" w:hAnsi="宋体"/>
                <w:b/>
                <w:color w:val="auto"/>
                <w:kern w:val="0"/>
                <w:sz w:val="24"/>
                <w:highlight w:val="none"/>
              </w:rPr>
              <w:t>本项目投标总报价</w:t>
            </w:r>
          </w:p>
        </w:tc>
        <w:tc>
          <w:tcPr>
            <w:tcW w:w="6720" w:type="dxa"/>
            <w:tcBorders>
              <w:top w:val="single" w:color="auto" w:sz="4" w:space="0"/>
            </w:tcBorders>
            <w:noWrap w:val="0"/>
            <w:vAlign w:val="center"/>
          </w:tcPr>
          <w:p>
            <w:pPr>
              <w:autoSpaceDE w:val="0"/>
              <w:autoSpaceDN w:val="0"/>
              <w:adjustRightInd w:val="0"/>
              <w:spacing w:before="0" w:beforeAutospacing="0" w:after="0" w:afterAutospacing="0" w:line="440" w:lineRule="exact"/>
              <w:ind w:left="0" w:right="0"/>
              <w:rPr>
                <w:rFonts w:hint="eastAsia" w:ascii="宋体" w:hAnsi="宋体"/>
                <w:b/>
                <w:color w:val="auto"/>
                <w:kern w:val="0"/>
                <w:sz w:val="24"/>
                <w:highlight w:val="none"/>
              </w:rPr>
            </w:pPr>
          </w:p>
          <w:p>
            <w:pPr>
              <w:autoSpaceDE w:val="0"/>
              <w:autoSpaceDN w:val="0"/>
              <w:adjustRightInd w:val="0"/>
              <w:spacing w:before="0" w:beforeAutospacing="0" w:after="0" w:afterAutospacing="0" w:line="440" w:lineRule="exact"/>
              <w:ind w:left="0" w:right="0"/>
              <w:jc w:val="left"/>
              <w:rPr>
                <w:rFonts w:hint="default" w:ascii="宋体" w:hAnsi="宋体" w:eastAsia="宋体"/>
                <w:b/>
                <w:color w:val="auto"/>
                <w:kern w:val="0"/>
                <w:sz w:val="24"/>
                <w:highlight w:val="none"/>
                <w:lang w:val="en-US" w:eastAsia="zh-CN"/>
              </w:rPr>
            </w:pPr>
            <w:r>
              <w:rPr>
                <w:rFonts w:hint="eastAsia" w:ascii="宋体" w:hAnsi="宋体"/>
                <w:b/>
                <w:color w:val="auto"/>
                <w:kern w:val="0"/>
                <w:sz w:val="24"/>
                <w:highlight w:val="none"/>
              </w:rPr>
              <w:t>大写：</w:t>
            </w:r>
            <w:r>
              <w:rPr>
                <w:rFonts w:hint="eastAsia" w:ascii="宋体" w:hAnsi="宋体"/>
                <w:b/>
                <w:color w:val="auto"/>
                <w:sz w:val="24"/>
                <w:highlight w:val="none"/>
                <w:lang w:eastAsia="zh-CN"/>
              </w:rPr>
              <w:t>折扣率</w:t>
            </w:r>
            <w:r>
              <w:rPr>
                <w:rFonts w:hint="eastAsia" w:ascii="宋体" w:hAnsi="宋体"/>
                <w:b/>
                <w:color w:val="auto"/>
                <w:sz w:val="24"/>
                <w:highlight w:val="none"/>
                <w:lang w:val="en-US" w:eastAsia="zh-CN"/>
              </w:rPr>
              <w:t xml:space="preserve">       %</w:t>
            </w:r>
          </w:p>
          <w:p>
            <w:pPr>
              <w:autoSpaceDE w:val="0"/>
              <w:autoSpaceDN w:val="0"/>
              <w:adjustRightInd w:val="0"/>
              <w:spacing w:before="0" w:beforeAutospacing="0" w:after="0" w:afterAutospacing="0" w:line="440" w:lineRule="exact"/>
              <w:ind w:left="0" w:right="0"/>
              <w:jc w:val="left"/>
              <w:rPr>
                <w:rFonts w:hint="eastAsia" w:ascii="宋体" w:hAnsi="宋体"/>
                <w:b/>
                <w:color w:val="auto"/>
                <w:kern w:val="0"/>
                <w:sz w:val="24"/>
                <w:highlight w:val="none"/>
              </w:rPr>
            </w:pPr>
          </w:p>
          <w:p>
            <w:pPr>
              <w:autoSpaceDE w:val="0"/>
              <w:autoSpaceDN w:val="0"/>
              <w:adjustRightInd w:val="0"/>
              <w:spacing w:before="0" w:beforeAutospacing="0" w:after="0" w:afterAutospacing="0" w:line="440" w:lineRule="exact"/>
              <w:ind w:left="0" w:right="0"/>
              <w:jc w:val="left"/>
              <w:rPr>
                <w:rFonts w:hint="eastAsia" w:ascii="宋体" w:hAnsi="宋体"/>
                <w:b/>
                <w:color w:val="auto"/>
                <w:kern w:val="0"/>
                <w:sz w:val="24"/>
                <w:highlight w:val="none"/>
              </w:rPr>
            </w:pPr>
            <w:r>
              <w:rPr>
                <w:rFonts w:hint="eastAsia" w:ascii="宋体" w:hAnsi="宋体"/>
                <w:b/>
                <w:color w:val="auto"/>
                <w:kern w:val="0"/>
                <w:sz w:val="24"/>
                <w:highlight w:val="none"/>
              </w:rPr>
              <w:t>小写：</w:t>
            </w:r>
          </w:p>
          <w:p>
            <w:pPr>
              <w:autoSpaceDE w:val="0"/>
              <w:autoSpaceDN w:val="0"/>
              <w:adjustRightInd w:val="0"/>
              <w:spacing w:before="0" w:beforeAutospacing="0" w:after="0" w:afterAutospacing="0" w:line="440" w:lineRule="exact"/>
              <w:ind w:left="0" w:right="0"/>
              <w:jc w:val="left"/>
              <w:rPr>
                <w:rFonts w:hint="eastAsia" w:ascii="宋体" w:hAnsi="宋体"/>
                <w:b/>
                <w:color w:val="auto"/>
                <w:kern w:val="0"/>
                <w:sz w:val="24"/>
                <w:highlight w:val="none"/>
              </w:rPr>
            </w:pPr>
          </w:p>
        </w:tc>
      </w:tr>
    </w:tbl>
    <w:p>
      <w:pPr>
        <w:autoSpaceDE w:val="0"/>
        <w:autoSpaceDN w:val="0"/>
        <w:adjustRightIn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备注：</w:t>
      </w:r>
    </w:p>
    <w:p>
      <w:pPr>
        <w:autoSpaceDE w:val="0"/>
        <w:autoSpaceDN w:val="0"/>
        <w:adjustRightIn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大写总价与小写总价不一致，以大写总价为准；</w:t>
      </w:r>
    </w:p>
    <w:p>
      <w:pPr>
        <w:autoSpaceDE w:val="0"/>
        <w:autoSpaceDN w:val="0"/>
        <w:adjustRightInd w:val="0"/>
        <w:spacing w:line="440" w:lineRule="exact"/>
        <w:rPr>
          <w:rFonts w:hint="eastAsia" w:ascii="宋体" w:hAnsi="宋体"/>
          <w:b/>
          <w:color w:val="auto"/>
          <w:kern w:val="0"/>
          <w:sz w:val="24"/>
          <w:highlight w:val="none"/>
        </w:rPr>
      </w:pPr>
    </w:p>
    <w:p>
      <w:pPr>
        <w:autoSpaceDE w:val="0"/>
        <w:autoSpaceDN w:val="0"/>
        <w:adjustRightInd w:val="0"/>
        <w:spacing w:line="440" w:lineRule="exact"/>
        <w:rPr>
          <w:rFonts w:hint="eastAsia" w:ascii="宋体" w:hAnsi="宋体"/>
          <w:b/>
          <w:color w:val="auto"/>
          <w:kern w:val="0"/>
          <w:sz w:val="24"/>
          <w:highlight w:val="none"/>
        </w:rPr>
      </w:pPr>
    </w:p>
    <w:p>
      <w:pPr>
        <w:wordWrap w:val="0"/>
        <w:autoSpaceDE w:val="0"/>
        <w:autoSpaceDN w:val="0"/>
        <w:adjustRightInd w:val="0"/>
        <w:spacing w:line="440" w:lineRule="exact"/>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投标人（公章）：     </w:t>
      </w:r>
    </w:p>
    <w:p>
      <w:pPr>
        <w:wordWrap w:val="0"/>
        <w:autoSpaceDE w:val="0"/>
        <w:autoSpaceDN w:val="0"/>
        <w:adjustRightInd w:val="0"/>
        <w:spacing w:line="440" w:lineRule="exact"/>
        <w:jc w:val="right"/>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法定代表人或授权代表（签字）：     </w:t>
      </w:r>
    </w:p>
    <w:p>
      <w:pPr>
        <w:pStyle w:val="690"/>
        <w:keepNext w:val="0"/>
        <w:pageBreakBefore w:val="0"/>
        <w:tabs>
          <w:tab w:val="clear" w:pos="720"/>
        </w:tabs>
        <w:snapToGrid w:val="0"/>
        <w:spacing w:before="120" w:after="120"/>
        <w:ind w:firstLine="643"/>
        <w:jc w:val="center"/>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b w:val="0"/>
          <w:bCs/>
          <w:color w:val="auto"/>
          <w:kern w:val="0"/>
          <w:sz w:val="24"/>
          <w:highlight w:val="none"/>
          <w:lang w:val="en-US" w:eastAsia="zh-CN"/>
        </w:rPr>
        <w:t xml:space="preserve">                                                                            </w:t>
      </w:r>
      <w:r>
        <w:rPr>
          <w:rFonts w:hint="eastAsia" w:ascii="宋体" w:hAnsi="宋体" w:eastAsia="宋体" w:cs="宋体"/>
          <w:b w:val="0"/>
          <w:bCs/>
          <w:color w:val="auto"/>
          <w:kern w:val="0"/>
          <w:sz w:val="24"/>
          <w:highlight w:val="none"/>
          <w:lang w:val="zh-CN"/>
        </w:rPr>
        <w:t xml:space="preserve">日期：20  年  月   日  </w:t>
      </w: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5" w:name="OLE_LINK14"/>
      <w:bookmarkStart w:id="516" w:name="OLE_LINK13"/>
      <w:r>
        <w:rPr>
          <w:rFonts w:hint="eastAsia" w:ascii="宋体" w:hAnsi="宋体" w:cs="宋体"/>
          <w:b/>
          <w:color w:val="auto"/>
          <w:spacing w:val="6"/>
          <w:sz w:val="32"/>
          <w:szCs w:val="32"/>
          <w:highlight w:val="none"/>
        </w:rPr>
        <w:t>残疾人福利性单位声明函</w:t>
      </w:r>
    </w:p>
    <w:bookmarkEnd w:id="515"/>
    <w:bookmarkEnd w:id="51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8"/>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131845147"/>
    <w:bookmarkStart w:id="521" w:name="_Toc91899912"/>
    <w:bookmarkStart w:id="522" w:name="_Toc164085800"/>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51BC"/>
    <w:multiLevelType w:val="singleLevel"/>
    <w:tmpl w:val="8B2851BC"/>
    <w:lvl w:ilvl="0" w:tentative="0">
      <w:start w:val="4"/>
      <w:numFmt w:val="decimal"/>
      <w:lvlText w:val="%1."/>
      <w:lvlJc w:val="left"/>
      <w:pPr>
        <w:tabs>
          <w:tab w:val="left" w:pos="312"/>
        </w:tabs>
      </w:pPr>
    </w:lvl>
  </w:abstractNum>
  <w:abstractNum w:abstractNumId="1">
    <w:nsid w:val="25B8E130"/>
    <w:multiLevelType w:val="singleLevel"/>
    <w:tmpl w:val="25B8E13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Njk4ZjljMzUyYTdmNDRmYzM0NDc0MDgxMThlM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CA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C16B8"/>
    <w:rsid w:val="02824D4D"/>
    <w:rsid w:val="02DC4B10"/>
    <w:rsid w:val="02DD76CE"/>
    <w:rsid w:val="02F36323"/>
    <w:rsid w:val="02F5619C"/>
    <w:rsid w:val="02F76DEB"/>
    <w:rsid w:val="0326446A"/>
    <w:rsid w:val="032D5555"/>
    <w:rsid w:val="036634D2"/>
    <w:rsid w:val="03DD35E4"/>
    <w:rsid w:val="04076900"/>
    <w:rsid w:val="041A5A3B"/>
    <w:rsid w:val="042311BA"/>
    <w:rsid w:val="042B157A"/>
    <w:rsid w:val="048F763B"/>
    <w:rsid w:val="049F330E"/>
    <w:rsid w:val="04AA775C"/>
    <w:rsid w:val="04AF1889"/>
    <w:rsid w:val="04E36999"/>
    <w:rsid w:val="04F66F48"/>
    <w:rsid w:val="05251E14"/>
    <w:rsid w:val="057B3CD9"/>
    <w:rsid w:val="05A16594"/>
    <w:rsid w:val="05A7762D"/>
    <w:rsid w:val="060E5941"/>
    <w:rsid w:val="06110FAF"/>
    <w:rsid w:val="06493CA7"/>
    <w:rsid w:val="065A6178"/>
    <w:rsid w:val="066F1CF3"/>
    <w:rsid w:val="0685283F"/>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91836"/>
    <w:rsid w:val="0B30404E"/>
    <w:rsid w:val="0B4C6C14"/>
    <w:rsid w:val="0B547599"/>
    <w:rsid w:val="0B631A88"/>
    <w:rsid w:val="0B683D45"/>
    <w:rsid w:val="0B7F3F11"/>
    <w:rsid w:val="0B884417"/>
    <w:rsid w:val="0BC93F8E"/>
    <w:rsid w:val="0BF6188C"/>
    <w:rsid w:val="0BF73C91"/>
    <w:rsid w:val="0C170175"/>
    <w:rsid w:val="0C571A41"/>
    <w:rsid w:val="0C5C1171"/>
    <w:rsid w:val="0C5E1CBC"/>
    <w:rsid w:val="0C615B50"/>
    <w:rsid w:val="0C8445DA"/>
    <w:rsid w:val="0C87121B"/>
    <w:rsid w:val="0CC007F7"/>
    <w:rsid w:val="0CC617AC"/>
    <w:rsid w:val="0CE618DF"/>
    <w:rsid w:val="0CE67036"/>
    <w:rsid w:val="0CFE707A"/>
    <w:rsid w:val="0D063BDA"/>
    <w:rsid w:val="0D08375F"/>
    <w:rsid w:val="0D184CFB"/>
    <w:rsid w:val="0D2434DD"/>
    <w:rsid w:val="0D4A7419"/>
    <w:rsid w:val="0D827401"/>
    <w:rsid w:val="0D84094E"/>
    <w:rsid w:val="0D8A00E9"/>
    <w:rsid w:val="0D8D589E"/>
    <w:rsid w:val="0DA01C73"/>
    <w:rsid w:val="0DD63300"/>
    <w:rsid w:val="0DF50604"/>
    <w:rsid w:val="0DF702FE"/>
    <w:rsid w:val="0E060E51"/>
    <w:rsid w:val="0E5604B2"/>
    <w:rsid w:val="0E6D5D79"/>
    <w:rsid w:val="0E7166E0"/>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7D27F3"/>
    <w:rsid w:val="118963A1"/>
    <w:rsid w:val="11C6522A"/>
    <w:rsid w:val="11E104CC"/>
    <w:rsid w:val="11E20309"/>
    <w:rsid w:val="12255233"/>
    <w:rsid w:val="12530213"/>
    <w:rsid w:val="127723A9"/>
    <w:rsid w:val="12862074"/>
    <w:rsid w:val="12883966"/>
    <w:rsid w:val="129E45B4"/>
    <w:rsid w:val="12D81596"/>
    <w:rsid w:val="12DC3AAD"/>
    <w:rsid w:val="13072A44"/>
    <w:rsid w:val="135F4BE2"/>
    <w:rsid w:val="139B1A0A"/>
    <w:rsid w:val="139D25C7"/>
    <w:rsid w:val="13BF3CE4"/>
    <w:rsid w:val="141008D8"/>
    <w:rsid w:val="14125FE6"/>
    <w:rsid w:val="146D271E"/>
    <w:rsid w:val="14925B0F"/>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7785B"/>
    <w:rsid w:val="17AB180A"/>
    <w:rsid w:val="17D349C1"/>
    <w:rsid w:val="17F92A0B"/>
    <w:rsid w:val="18275C39"/>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114CF"/>
    <w:rsid w:val="1C0459C2"/>
    <w:rsid w:val="1C1B3B4A"/>
    <w:rsid w:val="1C88086E"/>
    <w:rsid w:val="1D266CE1"/>
    <w:rsid w:val="1D3963AF"/>
    <w:rsid w:val="1D3F1E0A"/>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0665B"/>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91304"/>
    <w:rsid w:val="30733ACD"/>
    <w:rsid w:val="308C3862"/>
    <w:rsid w:val="309379D8"/>
    <w:rsid w:val="30A270F7"/>
    <w:rsid w:val="30DF1478"/>
    <w:rsid w:val="30EC586F"/>
    <w:rsid w:val="312B4AB9"/>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A6AB9"/>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E2F1F"/>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2505F"/>
    <w:rsid w:val="456D3CE4"/>
    <w:rsid w:val="4579042C"/>
    <w:rsid w:val="457F0571"/>
    <w:rsid w:val="45851176"/>
    <w:rsid w:val="45C63B94"/>
    <w:rsid w:val="460E7DA5"/>
    <w:rsid w:val="46422483"/>
    <w:rsid w:val="4659254A"/>
    <w:rsid w:val="465B0637"/>
    <w:rsid w:val="465E3F0D"/>
    <w:rsid w:val="466A16E6"/>
    <w:rsid w:val="46893F2B"/>
    <w:rsid w:val="46C4686E"/>
    <w:rsid w:val="47796E67"/>
    <w:rsid w:val="477B778F"/>
    <w:rsid w:val="478203EC"/>
    <w:rsid w:val="47B025FA"/>
    <w:rsid w:val="4809698F"/>
    <w:rsid w:val="4811697D"/>
    <w:rsid w:val="487A3E25"/>
    <w:rsid w:val="488537E4"/>
    <w:rsid w:val="488B5503"/>
    <w:rsid w:val="48937E21"/>
    <w:rsid w:val="489A0361"/>
    <w:rsid w:val="48B94FF3"/>
    <w:rsid w:val="48E37AAB"/>
    <w:rsid w:val="48FD4B4C"/>
    <w:rsid w:val="490833FB"/>
    <w:rsid w:val="490A68E0"/>
    <w:rsid w:val="491055FE"/>
    <w:rsid w:val="495F5B3E"/>
    <w:rsid w:val="496F77D7"/>
    <w:rsid w:val="4973754B"/>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10EFD"/>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83D40"/>
    <w:rsid w:val="50E97CFC"/>
    <w:rsid w:val="50FA4028"/>
    <w:rsid w:val="510D65B7"/>
    <w:rsid w:val="51102800"/>
    <w:rsid w:val="511157AB"/>
    <w:rsid w:val="51307CDF"/>
    <w:rsid w:val="5142540C"/>
    <w:rsid w:val="518832C8"/>
    <w:rsid w:val="519D3C50"/>
    <w:rsid w:val="51A0432A"/>
    <w:rsid w:val="51A86090"/>
    <w:rsid w:val="51B7396D"/>
    <w:rsid w:val="52201298"/>
    <w:rsid w:val="522E4CC3"/>
    <w:rsid w:val="5244713B"/>
    <w:rsid w:val="52615633"/>
    <w:rsid w:val="526F4DE4"/>
    <w:rsid w:val="52977FD4"/>
    <w:rsid w:val="52A25790"/>
    <w:rsid w:val="52A96B6F"/>
    <w:rsid w:val="52B45975"/>
    <w:rsid w:val="52D94AA4"/>
    <w:rsid w:val="52EA3A62"/>
    <w:rsid w:val="52F50BB8"/>
    <w:rsid w:val="53097272"/>
    <w:rsid w:val="53544462"/>
    <w:rsid w:val="53585F3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0B3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212D2"/>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4398F"/>
    <w:rsid w:val="5D0C4701"/>
    <w:rsid w:val="5D0F0395"/>
    <w:rsid w:val="5D221076"/>
    <w:rsid w:val="5D397964"/>
    <w:rsid w:val="5D5A391C"/>
    <w:rsid w:val="5D5F10C0"/>
    <w:rsid w:val="5D891B7B"/>
    <w:rsid w:val="5DAD38EE"/>
    <w:rsid w:val="5DD36E3E"/>
    <w:rsid w:val="5E006862"/>
    <w:rsid w:val="5E0207B9"/>
    <w:rsid w:val="5E1834A1"/>
    <w:rsid w:val="5E261785"/>
    <w:rsid w:val="5E4A7017"/>
    <w:rsid w:val="5E552BBA"/>
    <w:rsid w:val="5E611C10"/>
    <w:rsid w:val="5E7A0F3F"/>
    <w:rsid w:val="5EFC7377"/>
    <w:rsid w:val="5F06174D"/>
    <w:rsid w:val="5F064676"/>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5175A"/>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023C90"/>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C483D"/>
    <w:rsid w:val="6DF43C2E"/>
    <w:rsid w:val="6DF51CA3"/>
    <w:rsid w:val="6E8335BD"/>
    <w:rsid w:val="6E894E68"/>
    <w:rsid w:val="6E8E12EF"/>
    <w:rsid w:val="6E972936"/>
    <w:rsid w:val="6ED446C5"/>
    <w:rsid w:val="6F2A7D94"/>
    <w:rsid w:val="6F7E07A3"/>
    <w:rsid w:val="6F8331F1"/>
    <w:rsid w:val="6FAE1A09"/>
    <w:rsid w:val="6FD75BF8"/>
    <w:rsid w:val="6FDD47F0"/>
    <w:rsid w:val="707723D0"/>
    <w:rsid w:val="70F5661B"/>
    <w:rsid w:val="71360107"/>
    <w:rsid w:val="713B688E"/>
    <w:rsid w:val="71BB260D"/>
    <w:rsid w:val="71D43752"/>
    <w:rsid w:val="71F1796A"/>
    <w:rsid w:val="72154626"/>
    <w:rsid w:val="72262B5D"/>
    <w:rsid w:val="72283FF7"/>
    <w:rsid w:val="722E7212"/>
    <w:rsid w:val="723A0474"/>
    <w:rsid w:val="725923E4"/>
    <w:rsid w:val="72864BF7"/>
    <w:rsid w:val="729023FC"/>
    <w:rsid w:val="72B5502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CD3AE5"/>
    <w:rsid w:val="7EF56FBB"/>
    <w:rsid w:val="7F0768EB"/>
    <w:rsid w:val="7F143BEC"/>
    <w:rsid w:val="7F715AF2"/>
    <w:rsid w:val="7F886E69"/>
    <w:rsid w:val="7FF6083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next w:val="8"/>
    <w:link w:val="190"/>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1"/>
    <w:link w:val="262"/>
    <w:qFormat/>
    <w:uiPriority w:val="0"/>
    <w:pPr>
      <w:spacing w:line="480" w:lineRule="exact"/>
      <w:ind w:firstLine="480" w:firstLineChars="200"/>
    </w:pPr>
    <w:rPr>
      <w:rFonts w:ascii="宋体" w:hAnsi="宋体"/>
      <w:sz w:val="24"/>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autoRedefine/>
    <w:qFormat/>
    <w:uiPriority w:val="0"/>
    <w:pPr>
      <w:shd w:val="clear" w:color="auto" w:fill="000080"/>
    </w:pPr>
  </w:style>
  <w:style w:type="paragraph" w:styleId="22">
    <w:name w:val="annotation text"/>
    <w:basedOn w:val="1"/>
    <w:link w:val="341"/>
    <w:autoRedefine/>
    <w:qFormat/>
    <w:uiPriority w:val="99"/>
    <w:pPr>
      <w:jc w:val="left"/>
    </w:pPr>
  </w:style>
  <w:style w:type="paragraph" w:styleId="23">
    <w:name w:val="Salutation"/>
    <w:basedOn w:val="1"/>
    <w:next w:val="1"/>
    <w:link w:val="295"/>
    <w:autoRedefine/>
    <w:qFormat/>
    <w:uiPriority w:val="0"/>
    <w:rPr>
      <w:rFonts w:ascii="仿宋_GB2312" w:eastAsia="仿宋_GB2312"/>
      <w:sz w:val="28"/>
      <w:szCs w:val="20"/>
    </w:rPr>
  </w:style>
  <w:style w:type="paragraph" w:styleId="24">
    <w:name w:val="Body Text 3"/>
    <w:basedOn w:val="1"/>
    <w:link w:val="327"/>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autoRedefine/>
    <w:qFormat/>
    <w:uiPriority w:val="0"/>
    <w:rPr>
      <w:b/>
      <w:bCs/>
    </w:rPr>
  </w:style>
  <w:style w:type="paragraph" w:styleId="61">
    <w:name w:val="Body Text First Indent 2"/>
    <w:basedOn w:val="8"/>
    <w:next w:val="1"/>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字符"/>
    <w:autoRedefine/>
    <w:qFormat/>
    <w:uiPriority w:val="1"/>
    <w:rPr>
      <w:rFonts w:ascii="仿宋_GB2312" w:hAnsi="Times New Roman" w:eastAsia="仿宋_GB2312" w:cs="Times New Roman"/>
      <w:b/>
      <w:kern w:val="2"/>
      <w:sz w:val="24"/>
      <w:lang w:val="zh-CN"/>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11"/>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4"/>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1"/>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9"/>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9"/>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8"/>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10"/>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3"/>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9"/>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2"/>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3"/>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9"/>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4"/>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autoRedefine/>
    <w:qFormat/>
    <w:uiPriority w:val="99"/>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7"/>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10"/>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1"/>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文本首行缩进 2"/>
    <w:basedOn w:val="8"/>
    <w:autoRedefine/>
    <w:qFormat/>
    <w:uiPriority w:val="99"/>
    <w:pPr>
      <w:spacing w:line="200" w:lineRule="atLeast"/>
      <w:ind w:firstLine="420"/>
    </w:pPr>
    <w:rPr>
      <w:rFonts w:ascii="宋体" w:hAnsi="Courier New"/>
      <w:spacing w:val="-4"/>
      <w:sz w:val="18"/>
    </w:rPr>
  </w:style>
  <w:style w:type="paragraph" w:customStyle="1" w:styleId="963">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36476</Words>
  <Characters>38550</Characters>
  <Lines>281</Lines>
  <Paragraphs>79</Paragraphs>
  <TotalTime>30</TotalTime>
  <ScaleCrop>false</ScaleCrop>
  <LinksUpToDate>false</LinksUpToDate>
  <CharactersWithSpaces>44192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棋棋 ෆ⃛</cp:lastModifiedBy>
  <cp:lastPrinted>2021-12-27T03:06:00Z</cp:lastPrinted>
  <dcterms:modified xsi:type="dcterms:W3CDTF">2024-05-27T07:09:51Z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560857DE60E64976A297AB312011F11E_13</vt:lpwstr>
  </property>
</Properties>
</file>