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（杭州市临平区中西医结合医院电脑打印机维修服务外包服务（含总分院硒鼓成本）项目）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ascii="宋体" w:hAnsi="宋体" w:cs="宋体"/>
          <w:b/>
          <w:color w:val="000000"/>
          <w:sz w:val="36"/>
          <w:szCs w:val="36"/>
        </w:rPr>
      </w:pPr>
      <w:r>
        <w:rPr>
          <w:rFonts w:hint="eastAsia" w:ascii="宋体" w:hAnsi="宋体" w:cs="宋体"/>
          <w:b/>
          <w:color w:val="000000"/>
          <w:sz w:val="36"/>
          <w:szCs w:val="36"/>
        </w:rPr>
        <w:t>（项目编号：</w:t>
      </w:r>
      <w:r>
        <w:rPr>
          <w:rFonts w:hint="eastAsia" w:ascii="宋体" w:hAnsi="宋体" w:cs="宋体"/>
          <w:b/>
          <w:color w:val="000000"/>
          <w:sz w:val="36"/>
          <w:szCs w:val="36"/>
          <w:lang w:eastAsia="zh-CN"/>
        </w:rPr>
        <w:t>JYCG-2023-007</w:t>
      </w:r>
      <w:r>
        <w:rPr>
          <w:rFonts w:hint="eastAsia" w:ascii="宋体" w:hAnsi="宋体" w:cs="宋体"/>
          <w:b/>
          <w:color w:val="000000"/>
          <w:sz w:val="36"/>
          <w:szCs w:val="36"/>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采购人：杭州市临平区中西医结合医院</w:t>
      </w:r>
    </w:p>
    <w:p>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采购代理机构：杭州玖裕建设管理有限公司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二三</w:t>
      </w:r>
      <w:r>
        <w:rPr>
          <w:rFonts w:hint="eastAsia" w:ascii="宋体" w:hAnsi="宋体" w:cs="宋体"/>
          <w:bCs/>
          <w:sz w:val="32"/>
          <w:szCs w:val="32"/>
        </w:rPr>
        <w:t xml:space="preserve"> </w:t>
      </w:r>
      <w:r>
        <w:rPr>
          <w:rFonts w:hint="eastAsia" w:ascii="仿宋_GB2312" w:hAnsi="仿宋_GB2312" w:eastAsia="仿宋_GB2312" w:cs="仿宋_GB2312"/>
          <w:bCs/>
          <w:sz w:val="32"/>
          <w:szCs w:val="32"/>
        </w:rPr>
        <w:t>年 3月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（杭州市临平区中西医结合医院电脑打印机维修服务外包服务（含总分院硒鼓成本）项目）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JYCG-2023-007</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（杭州市临平区中西医结合医院电脑打印机维修服务外包服务（含总分院硒鼓成本）项目）</w:t>
      </w:r>
    </w:p>
    <w:p>
      <w:pPr>
        <w:spacing w:line="360" w:lineRule="auto"/>
        <w:rPr>
          <w:rFonts w:ascii="仿宋" w:hAnsi="仿宋" w:eastAsia="仿宋" w:cs="仿宋"/>
          <w:b/>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 w:hAnsi="仿宋" w:eastAsia="仿宋" w:cs="仿宋"/>
          <w:b/>
          <w:sz w:val="24"/>
        </w:rPr>
        <w:t xml:space="preserve">预算金额（元）： 600000元 </w:t>
      </w:r>
    </w:p>
    <w:p>
      <w:pPr>
        <w:spacing w:line="360" w:lineRule="auto"/>
        <w:ind w:firstLine="480"/>
        <w:rPr>
          <w:rFonts w:ascii="仿宋_GB2312" w:hAnsi="仿宋" w:eastAsia="仿宋_GB2312"/>
          <w:b/>
          <w:sz w:val="24"/>
        </w:rPr>
      </w:pPr>
      <w:r>
        <w:rPr>
          <w:rFonts w:hint="eastAsia" w:ascii="仿宋" w:hAnsi="仿宋" w:eastAsia="仿宋" w:cs="仿宋"/>
          <w:b/>
          <w:sz w:val="24"/>
        </w:rPr>
        <w:t>最高限价（元）： 600000元</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（杭州市临平区中西医结合医院电脑打印机维修服务外包服务（含总分院硒鼓成本）项目）主要内容：杭州市临平区中西医结合医院电脑打印机维修服务外包服务（含总分院硒鼓成本）项目</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90"/>
        <w:ind w:firstLine="482"/>
        <w:outlineLvl w:val="2"/>
        <w:rPr>
          <w:rFonts w:ascii="仿宋" w:hAnsi="仿宋" w:eastAsia="仿宋_GB2312" w:cs="仿宋"/>
          <w:b/>
        </w:rPr>
      </w:pPr>
      <w:r>
        <w:rPr>
          <w:rFonts w:hint="eastAsia" w:ascii="仿宋_GB2312" w:hAnsi="仿宋" w:eastAsia="仿宋_GB2312"/>
          <w:b/>
        </w:rPr>
        <w:t>合同履约期限：1年</w:t>
      </w:r>
    </w:p>
    <w:p>
      <w:pPr>
        <w:pStyle w:val="5"/>
        <w:spacing w:line="360" w:lineRule="auto"/>
        <w:ind w:firstLine="480"/>
        <w:rPr>
          <w:rFonts w:hAnsi="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 xml:space="preserve">2023 </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4</w:t>
      </w:r>
      <w:r>
        <w:rPr>
          <w:rFonts w:ascii="仿宋_GB2312" w:hAnsi="仿宋" w:eastAsia="仿宋_GB2312"/>
          <w:sz w:val="24"/>
          <w:u w:val="single"/>
        </w:rPr>
        <w:t>月</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3</w:t>
      </w:r>
      <w:r>
        <w:rPr>
          <w:rFonts w:hint="eastAsia" w:ascii="仿宋_GB2312" w:hAnsi="仿宋" w:eastAsia="仿宋_GB2312"/>
          <w:sz w:val="24"/>
          <w:u w:val="single"/>
        </w:rPr>
        <w:t xml:space="preserve">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获取网址：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日9点 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投标地点：</w:t>
      </w:r>
      <w:r>
        <w:rPr>
          <w:rFonts w:hint="eastAsia" w:ascii="仿宋_GB2312" w:hAnsi="仿宋" w:eastAsia="仿宋_GB2312"/>
          <w:sz w:val="24"/>
        </w:rPr>
        <w:t>杭州玖裕建设管理有限公司</w:t>
      </w:r>
    </w:p>
    <w:p>
      <w:pPr>
        <w:spacing w:line="360" w:lineRule="auto"/>
        <w:ind w:firstLine="480" w:firstLineChars="200"/>
        <w:rPr>
          <w:rFonts w:ascii="仿宋_GB2312" w:hAnsi="仿宋" w:eastAsia="仿宋_GB2312"/>
          <w:b/>
          <w:sz w:val="24"/>
        </w:rPr>
      </w:pPr>
      <w:r>
        <w:rPr>
          <w:rFonts w:hint="eastAsia" w:ascii="仿宋_GB2312" w:hAnsi="仿宋" w:eastAsia="仿宋_GB2312"/>
          <w:sz w:val="24"/>
        </w:rPr>
        <w:t>投标网址：政采云平台（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 xml:space="preserve">2023 </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日9点 30分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杭州玖裕建设管理有限公司</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开标网址：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宋体" w:hAnsi="宋体" w:cs="宋体"/>
          <w:b/>
          <w:bCs/>
          <w:color w:val="000000"/>
          <w:sz w:val="28"/>
        </w:rPr>
      </w:pPr>
      <w:r>
        <w:rPr>
          <w:rFonts w:hint="eastAsia" w:ascii="仿宋_GB2312" w:hAnsi="仿宋" w:eastAsia="仿宋_GB2312"/>
          <w:b/>
          <w:sz w:val="24"/>
        </w:rPr>
        <w:t xml:space="preserve">    注：</w:t>
      </w:r>
      <w:r>
        <w:rPr>
          <w:rFonts w:hint="eastAsia" w:ascii="仿宋_GB2312" w:hAnsi="仿宋" w:eastAsia="仿宋_GB2312"/>
          <w:sz w:val="24"/>
        </w:rPr>
        <w:t>杭州玖裕建设管理有限公司</w:t>
      </w:r>
      <w:r>
        <w:rPr>
          <w:rFonts w:ascii="仿宋_GB2312" w:hAnsi="仿宋" w:eastAsia="仿宋_GB2312"/>
          <w:sz w:val="24"/>
        </w:rPr>
        <w:t>（杭州市临平区</w:t>
      </w:r>
      <w:r>
        <w:rPr>
          <w:rFonts w:hint="eastAsia" w:ascii="仿宋_GB2312" w:hAnsi="仿宋" w:eastAsia="仿宋_GB2312"/>
          <w:sz w:val="24"/>
        </w:rPr>
        <w:t>东湖街道五洲路26号2幢401</w:t>
      </w:r>
      <w:r>
        <w:rPr>
          <w:rFonts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ascii="仿宋_GB2312" w:hAnsi="仿宋" w:eastAsia="仿宋_GB2312"/>
          <w:b/>
          <w:sz w:val="24"/>
        </w:rPr>
      </w:pPr>
      <w:r>
        <w:rPr>
          <w:rFonts w:hint="eastAsia" w:ascii="仿宋_GB2312" w:hAnsi="仿宋" w:eastAsia="仿宋_GB2312"/>
          <w:b/>
          <w:sz w:val="24"/>
        </w:rPr>
        <w:t>其他补充事宜</w:t>
      </w:r>
    </w:p>
    <w:p>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（采购人）杭州市临平区中西医结合医院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址：浙江省杭州市临平区临平街道保健路60号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 潘鑫渊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项目联系方式（询问）：0571-86163722  </w:t>
      </w:r>
    </w:p>
    <w:p>
      <w:pPr>
        <w:spacing w:line="360" w:lineRule="auto"/>
        <w:rPr>
          <w:rFonts w:ascii="仿宋_GB2312" w:hAnsi="仿宋" w:eastAsia="仿宋_GB2312"/>
          <w:sz w:val="24"/>
        </w:rPr>
      </w:pPr>
      <w:r>
        <w:rPr>
          <w:rFonts w:hint="eastAsia" w:ascii="仿宋_GB2312" w:hAnsi="仿宋" w:eastAsia="仿宋_GB2312"/>
          <w:sz w:val="24"/>
        </w:rPr>
        <w:t xml:space="preserve">    质疑联系人： 赵玲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质疑联系方式：0571-86222034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称：（采购代理机构）杭州玖裕建设管理有限公司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rPr>
        <w:t>杭州市临平区</w:t>
      </w:r>
      <w:r>
        <w:rPr>
          <w:rFonts w:hint="eastAsia" w:ascii="仿宋_GB2312" w:hAnsi="仿宋" w:eastAsia="仿宋_GB2312"/>
          <w:sz w:val="24"/>
        </w:rPr>
        <w:t>东湖街道五洲路26号2幢401</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15858285885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autoSpaceDE w:val="0"/>
        <w:autoSpaceDN w:val="0"/>
        <w:spacing w:line="360" w:lineRule="auto"/>
        <w:ind w:firstLine="480" w:firstLineChars="200"/>
        <w:rPr>
          <w:rFonts w:ascii="仿宋_GB2312" w:hAnsi="仿宋" w:eastAsia="仿宋_GB2312"/>
          <w:sz w:val="24"/>
          <w:lang w:val="zh-TW" w:eastAsia="zh-TW"/>
        </w:rPr>
      </w:pPr>
      <w:r>
        <w:rPr>
          <w:rFonts w:ascii="仿宋_GB2312" w:hAnsi="仿宋" w:eastAsia="仿宋_GB2312"/>
          <w:sz w:val="24"/>
        </w:rPr>
        <w:t>名    称：</w:t>
      </w:r>
      <w:r>
        <w:rPr>
          <w:rFonts w:hint="eastAsia" w:ascii="仿宋_GB2312" w:hAnsi="仿宋" w:eastAsia="仿宋_GB2312"/>
          <w:sz w:val="24"/>
          <w:lang w:val="zh-TW" w:eastAsia="zh-TW"/>
        </w:rPr>
        <w:t>杭州市</w:t>
      </w:r>
      <w:r>
        <w:rPr>
          <w:rFonts w:hint="eastAsia" w:ascii="仿宋_GB2312" w:hAnsi="仿宋" w:eastAsia="仿宋_GB2312"/>
          <w:sz w:val="24"/>
          <w:lang w:val="zh-TW"/>
        </w:rPr>
        <w:t>临平区</w:t>
      </w:r>
      <w:r>
        <w:rPr>
          <w:rFonts w:hint="eastAsia" w:ascii="仿宋_GB2312" w:hAnsi="仿宋" w:eastAsia="仿宋_GB2312"/>
          <w:sz w:val="24"/>
          <w:lang w:val="zh-TW" w:eastAsia="zh-TW"/>
        </w:rPr>
        <w:t>财政局</w:t>
      </w:r>
    </w:p>
    <w:p>
      <w:pPr>
        <w:autoSpaceDE w:val="0"/>
        <w:autoSpaceDN w:val="0"/>
        <w:spacing w:line="360" w:lineRule="auto"/>
        <w:ind w:firstLine="480" w:firstLineChars="200"/>
        <w:rPr>
          <w:rFonts w:ascii="仿宋_GB2312" w:hAnsi="仿宋" w:eastAsia="仿宋_GB2312"/>
          <w:sz w:val="24"/>
        </w:rPr>
      </w:pPr>
      <w:r>
        <w:rPr>
          <w:rFonts w:hint="eastAsia" w:ascii="仿宋_GB2312" w:hAnsi="仿宋" w:eastAsia="仿宋_GB2312"/>
          <w:sz w:val="24"/>
          <w:lang w:val="zh-TW" w:eastAsia="zh-TW"/>
        </w:rPr>
        <w:t>地址：杭州市临平区临平东湖中路236号</w:t>
      </w:r>
    </w:p>
    <w:p>
      <w:pPr>
        <w:autoSpaceDE w:val="0"/>
        <w:autoSpaceDN w:val="0"/>
        <w:spacing w:line="360" w:lineRule="auto"/>
        <w:ind w:firstLine="480" w:firstLineChars="200"/>
        <w:rPr>
          <w:rFonts w:ascii="仿宋_GB2312" w:hAnsi="仿宋" w:eastAsia="仿宋_GB2312"/>
          <w:sz w:val="24"/>
          <w:lang w:val="zh-TW" w:eastAsia="zh-TW"/>
        </w:rPr>
      </w:pPr>
      <w:r>
        <w:rPr>
          <w:rFonts w:hint="eastAsia" w:ascii="仿宋_GB2312" w:hAnsi="仿宋" w:eastAsia="仿宋_GB2312"/>
          <w:sz w:val="24"/>
          <w:lang w:val="zh-TW" w:eastAsia="zh-TW"/>
        </w:rPr>
        <w:t>投诉受理人：</w:t>
      </w:r>
      <w:bookmarkStart w:id="409" w:name="_GoBack"/>
      <w:r>
        <w:rPr>
          <w:rFonts w:hint="eastAsia" w:ascii="仿宋_GB2312" w:hAnsi="仿宋" w:eastAsia="仿宋_GB2312"/>
          <w:sz w:val="24"/>
          <w:lang w:val="zh-TW" w:eastAsia="zh-TW"/>
        </w:rPr>
        <w:t>俞征</w:t>
      </w:r>
      <w:bookmarkEnd w:id="409"/>
    </w:p>
    <w:p>
      <w:pPr>
        <w:autoSpaceDE w:val="0"/>
        <w:autoSpaceDN w:val="0"/>
        <w:spacing w:line="360" w:lineRule="auto"/>
        <w:ind w:firstLine="480" w:firstLineChars="200"/>
        <w:rPr>
          <w:rFonts w:ascii="仿宋_GB2312" w:hAnsi="仿宋" w:eastAsia="仿宋_GB2312"/>
          <w:sz w:val="24"/>
          <w:lang w:val="zh-TW" w:eastAsia="zh-TW"/>
        </w:rPr>
      </w:pPr>
      <w:r>
        <w:rPr>
          <w:rFonts w:hint="eastAsia" w:ascii="仿宋_GB2312" w:hAnsi="仿宋" w:eastAsia="仿宋_GB2312"/>
          <w:sz w:val="24"/>
          <w:lang w:val="zh-TW" w:eastAsia="zh-TW"/>
        </w:rPr>
        <w:t>联系电话</w:t>
      </w:r>
      <w:r>
        <w:rPr>
          <w:rFonts w:hint="eastAsia" w:ascii="仿宋_GB2312" w:hAnsi="仿宋" w:eastAsia="仿宋_GB2312"/>
          <w:sz w:val="24"/>
          <w:lang w:val="zh-TW"/>
        </w:rPr>
        <w:t>：</w:t>
      </w:r>
      <w:r>
        <w:rPr>
          <w:rFonts w:hint="eastAsia" w:ascii="仿宋_GB2312" w:hAnsi="仿宋" w:eastAsia="仿宋_GB2312"/>
          <w:sz w:val="24"/>
          <w:lang w:val="zh-TW" w:eastAsia="zh-TW"/>
        </w:rPr>
        <w:t>0571-89185312</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zh-TW" w:eastAsia="zh-TW"/>
        </w:rPr>
        <w:t>监督投诉电话：0571-89185312</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8"/>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pStyle w:val="84"/>
        <w:rPr>
          <w:rFonts w:ascii="仿宋" w:hAnsi="仿宋" w:eastAsia="仿宋" w:cs="仿宋_GB2312"/>
          <w:b/>
          <w:sz w:val="36"/>
          <w:szCs w:val="20"/>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94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pPr>
              <w:spacing w:line="360" w:lineRule="auto"/>
              <w:ind w:firstLine="241" w:firstLineChars="100"/>
              <w:rPr>
                <w:rFonts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line="360" w:lineRule="auto"/>
              <w:ind w:firstLine="241" w:firstLineChars="100"/>
              <w:rPr>
                <w:rFonts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sz w:val="24"/>
                <w:szCs w:val="20"/>
              </w:rPr>
              <w:t>同意将非主体、非关键性的</w:t>
            </w:r>
            <w:r>
              <w:rPr>
                <w:rFonts w:hint="eastAsia" w:ascii="仿宋_GB2312" w:hAnsi="仿宋" w:eastAsia="仿宋_GB2312"/>
                <w:sz w:val="24"/>
                <w:szCs w:val="20"/>
                <w:u w:val="single"/>
              </w:rPr>
              <w:t xml:space="preserve">             </w:t>
            </w:r>
            <w:r>
              <w:rPr>
                <w:rFonts w:hint="eastAsia" w:ascii="仿宋_GB2312" w:hAnsi="仿宋" w:eastAsia="仿宋_GB2312"/>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700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（1）资格证明文件：见招标文件第二部分11.1。</w:t>
            </w:r>
          </w:p>
          <w:p>
            <w:pPr>
              <w:spacing w:line="360" w:lineRule="auto"/>
              <w:rPr>
                <w:rFonts w:ascii="Arial" w:hAnsi="Arial" w:eastAsia="黑体" w:cs="Arial"/>
                <w:snapToGrid w:val="0"/>
                <w:kern w:val="0"/>
                <w:sz w:val="20"/>
                <w:szCs w:val="21"/>
              </w:rPr>
            </w:pPr>
            <w:r>
              <w:rPr>
                <w:rFonts w:hint="eastAsia" w:ascii="仿宋_GB2312" w:hAnsi="仿宋" w:eastAsia="仿宋_GB2312"/>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p>
        </w:tc>
        <w:tc>
          <w:tcPr>
            <w:tcW w:w="700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pPr>
              <w:spacing w:line="360" w:lineRule="auto"/>
              <w:rPr>
                <w:rFonts w:ascii="仿宋_GB2312" w:hAnsi="仿宋" w:eastAsia="仿宋_GB2312"/>
                <w:sz w:val="24"/>
                <w:szCs w:val="20"/>
              </w:rPr>
            </w:pPr>
            <w:r>
              <w:rPr>
                <w:rFonts w:hint="eastAsia" w:ascii="MS Gothic" w:hAnsi="MS Gothic" w:eastAsia="MS Gothic" w:cs="Arial"/>
                <w:kern w:val="0"/>
                <w:sz w:val="24"/>
                <w:szCs w:val="20"/>
              </w:rPr>
              <w:t>☐</w:t>
            </w:r>
            <w:r>
              <w:rPr>
                <w:rFonts w:hint="eastAsia" w:ascii="仿宋_GB2312" w:hAnsi="仿宋" w:eastAsia="仿宋_GB2312"/>
                <w:kern w:val="0"/>
                <w:sz w:val="24"/>
                <w:szCs w:val="20"/>
              </w:rPr>
              <w:t>B组织，</w:t>
            </w:r>
            <w:r>
              <w:rPr>
                <w:rFonts w:hint="eastAsia" w:ascii="仿宋_GB2312" w:hAnsi="仿宋" w:eastAsia="仿宋_GB2312"/>
                <w:sz w:val="24"/>
                <w:szCs w:val="20"/>
              </w:rPr>
              <w:t>时间：</w:t>
            </w:r>
            <w:r>
              <w:rPr>
                <w:rFonts w:hint="eastAsia" w:ascii="仿宋_GB2312" w:hAnsi="仿宋" w:eastAsia="仿宋_GB2312"/>
                <w:sz w:val="24"/>
                <w:szCs w:val="20"/>
                <w:u w:val="single"/>
              </w:rPr>
              <w:t xml:space="preserve">      </w:t>
            </w:r>
            <w:r>
              <w:rPr>
                <w:rFonts w:hint="eastAsia" w:ascii="仿宋_GB2312" w:hAnsi="仿宋" w:eastAsia="仿宋_GB2312"/>
                <w:sz w:val="24"/>
                <w:szCs w:val="20"/>
              </w:rPr>
              <w:t>,地点：</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，联系人：</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，联系方式：</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不要求提供。</w:t>
            </w:r>
          </w:p>
          <w:p>
            <w:pPr>
              <w:spacing w:line="360" w:lineRule="auto"/>
              <w:rPr>
                <w:rFonts w:ascii="仿宋_GB2312" w:hAnsi="仿宋" w:eastAsia="仿宋_GB2312"/>
                <w:kern w:val="0"/>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kern w:val="0"/>
                <w:sz w:val="24"/>
                <w:szCs w:val="20"/>
              </w:rPr>
              <w:t>B要求提供，</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（1）</w:t>
            </w:r>
            <w:r>
              <w:rPr>
                <w:rFonts w:hint="eastAsia" w:ascii="仿宋" w:hAnsi="仿宋" w:eastAsia="仿宋"/>
                <w:snapToGrid w:val="0"/>
                <w:kern w:val="28"/>
                <w:sz w:val="24"/>
                <w:szCs w:val="20"/>
              </w:rPr>
              <w:t>样品：</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（2）</w:t>
            </w:r>
            <w:r>
              <w:rPr>
                <w:rFonts w:hint="eastAsia" w:ascii="仿宋" w:hAnsi="仿宋" w:eastAsia="仿宋"/>
                <w:snapToGrid w:val="0"/>
                <w:kern w:val="28"/>
                <w:sz w:val="24"/>
                <w:szCs w:val="20"/>
              </w:rPr>
              <w:t>样品制作的标准和要求：</w:t>
            </w:r>
            <w:r>
              <w:rPr>
                <w:rFonts w:hint="eastAsia" w:ascii="仿宋_GB2312" w:hAnsi="仿宋" w:eastAsia="仿宋_GB2312"/>
                <w:sz w:val="24"/>
                <w:szCs w:val="20"/>
                <w:u w:val="single"/>
              </w:rPr>
              <w:t xml:space="preserve">  详见评标办法  </w:t>
            </w:r>
            <w:r>
              <w:rPr>
                <w:rFonts w:hint="eastAsia" w:ascii="仿宋_GB2312" w:hAnsi="仿宋" w:eastAsia="仿宋_GB2312"/>
                <w:kern w:val="0"/>
                <w:sz w:val="24"/>
                <w:szCs w:val="20"/>
              </w:rPr>
              <w:t>；</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（3）样品的评审方法以及评审标准</w:t>
            </w:r>
            <w:r>
              <w:rPr>
                <w:rFonts w:hint="eastAsia" w:ascii="仿宋" w:hAnsi="仿宋" w:eastAsia="仿宋"/>
                <w:snapToGrid w:val="0"/>
                <w:kern w:val="28"/>
                <w:sz w:val="24"/>
                <w:szCs w:val="20"/>
              </w:rPr>
              <w:t>：详见</w:t>
            </w:r>
            <w:r>
              <w:rPr>
                <w:rFonts w:hint="eastAsia" w:ascii="仿宋_GB2312" w:hAnsi="仿宋" w:eastAsia="仿宋_GB2312"/>
                <w:sz w:val="24"/>
                <w:szCs w:val="20"/>
                <w:u w:val="single"/>
              </w:rPr>
              <w:t>评标办法</w:t>
            </w:r>
            <w:r>
              <w:rPr>
                <w:rFonts w:hint="eastAsia" w:ascii="仿宋_GB2312" w:hAnsi="仿宋" w:eastAsia="仿宋_GB2312"/>
                <w:kern w:val="0"/>
                <w:sz w:val="24"/>
                <w:szCs w:val="20"/>
              </w:rPr>
              <w:t>；</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（4）是否需要随样品提交检测报告：</w:t>
            </w:r>
            <w:r>
              <w:rPr>
                <w:rFonts w:hint="eastAsia" w:ascii="MS Gothic" w:hAnsi="MS Gothic" w:eastAsia="仿宋_GB2312" w:cs="Arial"/>
                <w:kern w:val="0"/>
                <w:sz w:val="24"/>
                <w:szCs w:val="20"/>
              </w:rPr>
              <w:sym w:font="Wingdings" w:char="F0FE"/>
            </w:r>
            <w:r>
              <w:rPr>
                <w:rFonts w:hint="eastAsia" w:ascii="仿宋_GB2312" w:hAnsi="仿宋" w:eastAsia="仿宋_GB2312"/>
                <w:kern w:val="0"/>
                <w:sz w:val="24"/>
                <w:szCs w:val="20"/>
              </w:rPr>
              <w:t>否；</w:t>
            </w:r>
            <w:r>
              <w:rPr>
                <w:rFonts w:hint="eastAsia" w:ascii="MS Gothic" w:hAnsi="MS Gothic" w:eastAsia="仿宋_GB2312" w:cs="Arial"/>
                <w:kern w:val="0"/>
                <w:sz w:val="24"/>
                <w:szCs w:val="20"/>
              </w:rPr>
              <w:t>☐</w:t>
            </w:r>
            <w:r>
              <w:rPr>
                <w:rFonts w:hint="eastAsia" w:ascii="仿宋_GB2312" w:hAnsi="仿宋" w:eastAsia="仿宋_GB2312"/>
                <w:kern w:val="0"/>
                <w:sz w:val="24"/>
                <w:szCs w:val="20"/>
              </w:rPr>
              <w:t>是，检测机构的要求</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；检测内容</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pPr>
              <w:spacing w:line="360" w:lineRule="auto"/>
              <w:rPr>
                <w:rFonts w:ascii="仿宋_GB2312" w:hAnsi="仿宋" w:eastAsia="仿宋_GB2312"/>
                <w:sz w:val="24"/>
                <w:szCs w:val="20"/>
              </w:rPr>
            </w:pPr>
            <w:r>
              <w:rPr>
                <w:rFonts w:hint="eastAsia" w:ascii="仿宋_GB2312" w:hAnsi="仿宋" w:eastAsia="仿宋_GB2312"/>
                <w:sz w:val="24"/>
                <w:szCs w:val="20"/>
              </w:rPr>
              <w:t>（5）提供样品的时间：</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；地点：</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；联系人</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r>
              <w:rPr>
                <w:rFonts w:hint="eastAsia" w:ascii="仿宋_GB2312" w:hAnsi="仿宋" w:eastAsia="仿宋_GB2312"/>
                <w:kern w:val="28"/>
                <w:sz w:val="24"/>
                <w:szCs w:val="20"/>
              </w:rPr>
              <w:t>联系电话：</w:t>
            </w:r>
            <w:r>
              <w:rPr>
                <w:rFonts w:hint="eastAsia" w:ascii="仿宋_GB2312" w:hAnsi="仿宋" w:eastAsia="仿宋_GB2312"/>
                <w:sz w:val="24"/>
                <w:szCs w:val="20"/>
                <w:u w:val="single"/>
              </w:rPr>
              <w:t xml:space="preserve">    </w:t>
            </w:r>
            <w:r>
              <w:rPr>
                <w:rFonts w:hint="eastAsia" w:ascii="仿宋_GB2312" w:hAnsi="仿宋" w:eastAsia="仿宋_GB2312"/>
                <w:sz w:val="24"/>
                <w:szCs w:val="20"/>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szCs w:val="20"/>
              </w:rPr>
            </w:pPr>
            <w:r>
              <w:rPr>
                <w:rFonts w:hint="eastAsia" w:ascii="仿宋_GB2312" w:hAnsi="仿宋" w:eastAsia="仿宋_GB2312"/>
                <w:sz w:val="24"/>
                <w:szCs w:val="20"/>
              </w:rPr>
              <w:t>（6）采购活动结束后，</w:t>
            </w:r>
            <w:r>
              <w:rPr>
                <w:rFonts w:hint="eastAsia" w:ascii="仿宋" w:hAnsi="仿宋" w:eastAsia="仿宋" w:cs="仿宋"/>
                <w:sz w:val="24"/>
                <w:szCs w:val="20"/>
              </w:rPr>
              <w:t>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w:t>
            </w:r>
            <w:r>
              <w:rPr>
                <w:rFonts w:hint="eastAsia" w:ascii="仿宋_GB2312" w:hAnsi="仿宋" w:eastAsia="仿宋_GB2312"/>
                <w:sz w:val="24"/>
                <w:szCs w:val="20"/>
              </w:rPr>
              <w:t>对于中标人提供的样品，采购人将进行保管、封存，并作为履约验收的参考。</w:t>
            </w:r>
          </w:p>
          <w:p>
            <w:pPr>
              <w:spacing w:line="360" w:lineRule="auto"/>
              <w:rPr>
                <w:rFonts w:ascii="仿宋_GB2312" w:hAnsi="仿宋" w:eastAsia="仿宋_GB2312"/>
                <w:b/>
                <w:sz w:val="24"/>
                <w:szCs w:val="20"/>
              </w:rPr>
            </w:pPr>
            <w:r>
              <w:rPr>
                <w:rFonts w:hint="eastAsia" w:ascii="仿宋_GB2312" w:hAnsi="仿宋" w:eastAsia="仿宋_GB2312"/>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szCs w:val="20"/>
              </w:rPr>
            </w:pPr>
            <w:r>
              <w:rPr>
                <w:rFonts w:hint="eastAsia" w:ascii="仿宋_GB2312" w:hAnsi="仿宋" w:eastAsia="仿宋_GB2312" w:cs="仿宋_GB2312"/>
                <w:b/>
                <w:sz w:val="24"/>
                <w:szCs w:val="20"/>
              </w:rPr>
              <w:t>方案讲解演示</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pPr>
              <w:spacing w:line="360" w:lineRule="auto"/>
              <w:rPr>
                <w:rFonts w:ascii="仿宋_GB2312" w:hAnsi="仿宋" w:eastAsia="仿宋_GB2312"/>
                <w:kern w:val="0"/>
                <w:sz w:val="24"/>
                <w:szCs w:val="20"/>
              </w:rPr>
            </w:pPr>
            <w:r>
              <w:rPr>
                <w:rFonts w:hint="eastAsia" w:ascii="MS Gothic" w:hAnsi="MS Gothic" w:eastAsia="仿宋_GB2312" w:cs="Arial"/>
                <w:kern w:val="0"/>
                <w:sz w:val="24"/>
                <w:szCs w:val="20"/>
              </w:rPr>
              <w:t>☐</w:t>
            </w:r>
            <w:r>
              <w:rPr>
                <w:rFonts w:hint="eastAsia" w:ascii="仿宋_GB2312" w:hAnsi="仿宋" w:eastAsia="仿宋_GB2312"/>
                <w:kern w:val="0"/>
                <w:sz w:val="24"/>
                <w:szCs w:val="20"/>
              </w:rPr>
              <w:t>B组织。</w:t>
            </w:r>
          </w:p>
          <w:p>
            <w:pPr>
              <w:snapToGrid w:val="0"/>
              <w:spacing w:line="360" w:lineRule="auto"/>
              <w:rPr>
                <w:rFonts w:ascii="仿宋_GB2312" w:hAnsi="仿宋" w:eastAsia="仿宋_GB2312"/>
                <w:kern w:val="0"/>
                <w:sz w:val="24"/>
                <w:szCs w:val="20"/>
              </w:rPr>
            </w:pPr>
            <w:r>
              <w:rPr>
                <w:rFonts w:hint="eastAsia" w:ascii="仿宋_GB2312" w:hAnsi="仿宋" w:eastAsia="仿宋_GB2312"/>
                <w:kern w:val="0"/>
                <w:sz w:val="24"/>
                <w:szCs w:val="20"/>
              </w:rPr>
              <w:t>（1）在评标时安排每个投标人进行方案讲解演示。每个投标人时间不超过20分钟，讲解次序以投标人现场抽签为准，讲解演示人员不超过3人。讲解演示结束后按要求解答评标委员会提问。</w:t>
            </w:r>
          </w:p>
          <w:p>
            <w:pPr>
              <w:snapToGrid w:val="0"/>
              <w:spacing w:line="360" w:lineRule="auto"/>
              <w:rPr>
                <w:rFonts w:ascii="仿宋_GB2312" w:hAnsi="仿宋" w:eastAsia="仿宋_GB2312"/>
                <w:kern w:val="0"/>
                <w:sz w:val="24"/>
                <w:szCs w:val="20"/>
              </w:rPr>
            </w:pPr>
            <w:r>
              <w:rPr>
                <w:rFonts w:hint="eastAsia" w:ascii="仿宋_GB2312" w:hAnsi="仿宋" w:eastAsia="仿宋_GB2312"/>
                <w:kern w:val="0"/>
                <w:sz w:val="24"/>
                <w:szCs w:val="20"/>
              </w:rPr>
              <w:t>（2）方案讲解演示方式：</w:t>
            </w:r>
          </w:p>
          <w:p>
            <w:pPr>
              <w:snapToGrid w:val="0"/>
              <w:spacing w:line="360" w:lineRule="auto"/>
              <w:rPr>
                <w:rFonts w:ascii="仿宋_GB2312" w:hAnsi="仿宋" w:eastAsia="仿宋_GB2312"/>
                <w:kern w:val="0"/>
                <w:sz w:val="24"/>
                <w:szCs w:val="20"/>
              </w:rPr>
            </w:pPr>
            <w:r>
              <w:rPr>
                <w:rFonts w:hint="eastAsia" w:ascii="仿宋_GB2312" w:hAnsi="仿宋" w:eastAsia="仿宋_GB2312"/>
                <w:kern w:val="0"/>
                <w:sz w:val="24"/>
                <w:szCs w:val="20"/>
              </w:rPr>
              <w:t xml:space="preserve">    交易中心现场讲解演示。现场讲解地点为</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szCs w:val="20"/>
                <w:lang w:val="zh-CN"/>
              </w:rPr>
            </w:pPr>
            <w:r>
              <w:rPr>
                <w:rFonts w:hint="eastAsia" w:ascii="仿宋_GB2312" w:hAnsi="仿宋" w:eastAsia="仿宋_GB2312"/>
                <w:kern w:val="0"/>
                <w:sz w:val="24"/>
                <w:szCs w:val="20"/>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line="360" w:lineRule="auto"/>
              <w:rPr>
                <w:sz w:val="20"/>
                <w:szCs w:val="20"/>
              </w:rPr>
            </w:pPr>
            <w:r>
              <w:rPr>
                <w:rFonts w:hint="eastAsia" w:ascii="宋体" w:hAnsi="宋体" w:cs="宋体"/>
                <w:kern w:val="0"/>
                <w:sz w:val="24"/>
                <w:szCs w:val="20"/>
              </w:rPr>
              <w:t>☐</w:t>
            </w:r>
            <w:r>
              <w:rPr>
                <w:rFonts w:hint="eastAsia" w:ascii="仿宋" w:hAnsi="仿宋" w:eastAsia="仿宋" w:cs="仿宋"/>
                <w:kern w:val="0"/>
                <w:sz w:val="24"/>
                <w:szCs w:val="20"/>
              </w:rPr>
              <w:t>可以就</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项目属性与核心产品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MS Gothic" w:hAnsi="MS Gothic" w:eastAsia="MS Gothic" w:cs="Arial"/>
                <w:kern w:val="0"/>
                <w:sz w:val="24"/>
                <w:szCs w:val="20"/>
              </w:rPr>
              <w:sym w:font="Wingdings" w:char="00A8"/>
            </w:r>
            <w:r>
              <w:rPr>
                <w:rFonts w:hint="eastAsia" w:ascii="仿宋_GB2312" w:hAnsi="仿宋" w:eastAsia="仿宋_GB2312" w:cs="Arial"/>
                <w:kern w:val="0"/>
                <w:sz w:val="24"/>
                <w:szCs w:val="20"/>
              </w:rPr>
              <w:t>A</w:t>
            </w:r>
            <w:r>
              <w:rPr>
                <w:rFonts w:hint="eastAsia" w:ascii="仿宋_GB2312" w:hAnsi="仿宋" w:eastAsia="仿宋_GB2312"/>
                <w:sz w:val="24"/>
                <w:szCs w:val="20"/>
              </w:rPr>
              <w:t>货物类，单一产品或</w:t>
            </w:r>
            <w:r>
              <w:rPr>
                <w:rFonts w:hint="eastAsia" w:ascii="仿宋_GB2312" w:hAnsi="仿宋" w:eastAsia="仿宋_GB2312"/>
                <w:kern w:val="0"/>
                <w:sz w:val="24"/>
                <w:szCs w:val="20"/>
              </w:rPr>
              <w:t>核心产品为：</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p>
            <w:pPr>
              <w:spacing w:line="360" w:lineRule="auto"/>
              <w:rPr>
                <w:rFonts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B</w:t>
            </w:r>
            <w:r>
              <w:rPr>
                <w:rFonts w:hint="eastAsia" w:ascii="仿宋_GB2312" w:hAnsi="仿宋" w:eastAsia="仿宋_GB2312"/>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2"/>
              <w:rPr>
                <w:rFonts w:ascii="Times New Roman" w:hAnsi="Times New Roman"/>
                <w:sz w:val="20"/>
                <w:szCs w:val="20"/>
                <w:lang w:val="en-US"/>
              </w:rPr>
            </w:pPr>
            <w:r>
              <w:rPr>
                <w:rFonts w:hint="eastAsia" w:cs="Arial"/>
                <w:kern w:val="0"/>
                <w:sz w:val="24"/>
                <w:szCs w:val="20"/>
              </w:rPr>
              <w:t>（1）标的：电脑打印机维修服务</w:t>
            </w:r>
            <w:r>
              <w:rPr>
                <w:rFonts w:hint="eastAsia" w:ascii="仿宋" w:eastAsia="仿宋" w:cs="仿宋"/>
                <w:kern w:val="0"/>
                <w:sz w:val="24"/>
                <w:szCs w:val="24"/>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38"/>
              <w:spacing w:line="360" w:lineRule="auto"/>
              <w:rPr>
                <w:rFonts w:ascii="仿宋_GB2312" w:hAnsi="仿宋" w:eastAsia="仿宋_GB2312" w:cs="Times New Roman"/>
                <w:sz w:val="24"/>
                <w:szCs w:val="20"/>
                <w:u w:val="single"/>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b/>
                <w:bCs/>
                <w:sz w:val="24"/>
                <w:szCs w:val="20"/>
                <w:u w:val="single"/>
              </w:rPr>
              <w:t>杭州玖裕建设管理有限公司</w:t>
            </w:r>
            <w:r>
              <w:rPr>
                <w:rFonts w:hint="eastAsia" w:ascii="仿宋_GB2312" w:hAnsi="仿宋" w:eastAsia="仿宋_GB2312" w:cs="Times New Roman"/>
                <w:sz w:val="24"/>
                <w:szCs w:val="20"/>
                <w:u w:val="single"/>
              </w:rPr>
              <w:t xml:space="preserve">  </w:t>
            </w:r>
          </w:p>
          <w:p>
            <w:pPr>
              <w:pStyle w:val="38"/>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0"/>
                <w:u w:val="single"/>
              </w:rPr>
              <w:t xml:space="preserve">联系人：汤康平   联系电话：18305812699 </w:t>
            </w:r>
            <w:r>
              <w:rPr>
                <w:rFonts w:hint="eastAsia" w:ascii="仿宋_GB2312" w:hAnsi="仿宋" w:eastAsia="仿宋_GB2312" w:cs="仿宋_GB2312"/>
                <w:sz w:val="24"/>
                <w:szCs w:val="24"/>
              </w:rPr>
              <w:t>。</w:t>
            </w:r>
          </w:p>
          <w:p>
            <w:pPr>
              <w:pStyle w:val="38"/>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line="360" w:lineRule="auto"/>
              <w:ind w:firstLine="482" w:firstLineChars="200"/>
              <w:rPr>
                <w:rFonts w:hint="eastAsia" w:ascii="仿宋" w:hAnsi="仿宋" w:eastAsia="仿宋" w:cs="仿宋"/>
                <w:b/>
                <w:color w:val="000000"/>
                <w:sz w:val="24"/>
                <w:szCs w:val="20"/>
              </w:rPr>
            </w:pPr>
            <w:r>
              <w:rPr>
                <w:rFonts w:hint="eastAsia" w:ascii="仿宋" w:hAnsi="仿宋" w:eastAsia="仿宋" w:cs="仿宋"/>
                <w:b/>
                <w:color w:val="000000"/>
                <w:sz w:val="24"/>
                <w:szCs w:val="20"/>
              </w:rPr>
              <w:t>投标人递交以介质存储的数据电文形式的备份投标文件出现下列情况之一的，将被拒收：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1、未按规定密封或标记的投标文件；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2、由于包装不妥，在送交途中严重破损或失散的；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3、未成功获取招标文件的；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4、超过投标截止时间送达的；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5、</w:t>
            </w:r>
            <w:r>
              <w:rPr>
                <w:rFonts w:hint="eastAsia" w:ascii="仿宋" w:hAnsi="仿宋" w:eastAsia="仿宋" w:cs="仿宋"/>
                <w:b/>
                <w:color w:val="000000"/>
                <w:sz w:val="24"/>
                <w:szCs w:val="20"/>
                <w:lang w:val="en-US" w:eastAsia="zh-CN"/>
              </w:rPr>
              <w:t>未</w:t>
            </w:r>
            <w:r>
              <w:rPr>
                <w:rFonts w:hint="eastAsia" w:ascii="仿宋" w:hAnsi="仿宋" w:eastAsia="仿宋" w:cs="仿宋"/>
                <w:b/>
                <w:color w:val="000000"/>
                <w:sz w:val="24"/>
                <w:szCs w:val="20"/>
              </w:rPr>
              <w:t>以介质存储的数据电文形式的备份投标文件</w:t>
            </w:r>
          </w:p>
          <w:p>
            <w:pPr>
              <w:pStyle w:val="38"/>
              <w:spacing w:line="360" w:lineRule="auto"/>
              <w:rPr>
                <w:rFonts w:ascii="仿宋_GB2312" w:hAnsi="仿宋" w:eastAsia="仿宋_GB2312" w:cs="仿宋_GB2312"/>
                <w:b/>
                <w:sz w:val="24"/>
                <w:szCs w:val="24"/>
              </w:rPr>
            </w:pPr>
            <w:r>
              <w:rPr>
                <w:rFonts w:hint="eastAsia" w:ascii="仿宋" w:hAnsi="仿宋" w:eastAsia="仿宋" w:cs="仿宋"/>
                <w:b/>
                <w:color w:val="000000"/>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tcBorders>
              <w:top w:val="single" w:color="000000" w:sz="8" w:space="0"/>
              <w:left w:val="single" w:color="000000" w:sz="2" w:space="0"/>
              <w:right w:val="single" w:color="000000" w:sz="8" w:space="0"/>
            </w:tcBorders>
            <w:vAlign w:val="center"/>
          </w:tcPr>
          <w:p>
            <w:pPr>
              <w:widowControl/>
              <w:snapToGrid w:val="0"/>
              <w:spacing w:line="360" w:lineRule="auto"/>
              <w:jc w:val="center"/>
              <w:textAlignment w:val="center"/>
              <w:rPr>
                <w:rFonts w:ascii="仿宋_GB2312" w:hAnsi="仿宋" w:eastAsia="仿宋_GB2312" w:cs="仿宋_GB2312"/>
                <w:b/>
                <w:sz w:val="24"/>
                <w:szCs w:val="20"/>
              </w:rPr>
            </w:pPr>
            <w:r>
              <w:rPr>
                <w:rFonts w:hint="eastAsia" w:ascii="宋体" w:hAnsi="宋体" w:cs="宋体"/>
                <w:b/>
                <w:bCs/>
                <w:color w:val="000000"/>
                <w:sz w:val="24"/>
              </w:rPr>
              <w:t>招标服务费</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招标服务费：中标人在领取中标通知书前需向招标代理机构支付人民币</w:t>
            </w:r>
            <w:r>
              <w:rPr>
                <w:rFonts w:hint="eastAsia" w:ascii="仿宋_GB2312" w:hAnsi="仿宋" w:eastAsia="仿宋_GB2312"/>
                <w:snapToGrid w:val="0"/>
                <w:kern w:val="28"/>
                <w:sz w:val="24"/>
                <w:lang w:val="en-US" w:eastAsia="zh-CN"/>
              </w:rPr>
              <w:t>12100</w:t>
            </w:r>
            <w:r>
              <w:rPr>
                <w:rFonts w:hint="eastAsia" w:ascii="仿宋_GB2312" w:hAnsi="仿宋" w:eastAsia="仿宋_GB2312"/>
                <w:snapToGrid w:val="0"/>
                <w:kern w:val="28"/>
                <w:sz w:val="24"/>
              </w:rPr>
              <w:t>元招标代理服务费，费用包含在总报价中，不单独列项报价。</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开户行名称：中国银行杭州临平经济技术开发区支行；</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帐号：381879897431；</w:t>
            </w:r>
          </w:p>
          <w:p>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rPr>
              <w:t>收款单位（账户名称）：杭州玖裕建设管理有限公司。</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pStyle w:val="26"/>
        <w:ind w:firstLine="643"/>
        <w:rPr>
          <w:rFonts w:ascii="仿宋_GB2312" w:hAnsi="仿宋" w:eastAsia="仿宋_GB2312" w:cs="仿宋_GB2312"/>
          <w:b/>
          <w:sz w:val="32"/>
          <w:szCs w:val="20"/>
        </w:rPr>
      </w:pPr>
    </w:p>
    <w:p>
      <w:pPr>
        <w:pStyle w:val="27"/>
        <w:ind w:firstLine="627"/>
        <w:rPr>
          <w:rFonts w:ascii="仿宋_GB2312" w:hAnsi="仿宋" w:eastAsia="仿宋_GB2312" w:cs="仿宋_GB2312"/>
          <w:b/>
          <w:sz w:val="32"/>
          <w:szCs w:val="20"/>
        </w:rPr>
      </w:pPr>
    </w:p>
    <w:p>
      <w:pPr>
        <w:pStyle w:val="27"/>
        <w:ind w:firstLine="627"/>
        <w:rPr>
          <w:rFonts w:ascii="仿宋_GB2312" w:hAnsi="仿宋" w:eastAsia="仿宋_GB2312" w:cs="仿宋_GB2312"/>
          <w:b/>
          <w:sz w:val="32"/>
          <w:szCs w:val="20"/>
        </w:rPr>
      </w:pPr>
    </w:p>
    <w:p>
      <w:pPr>
        <w:pStyle w:val="27"/>
        <w:ind w:firstLine="627"/>
        <w:rPr>
          <w:rFonts w:ascii="仿宋_GB2312" w:hAnsi="仿宋" w:eastAsia="仿宋_GB2312" w:cs="仿宋_GB2312"/>
          <w:b/>
          <w:sz w:val="32"/>
          <w:szCs w:val="20"/>
        </w:rPr>
      </w:pPr>
    </w:p>
    <w:p>
      <w:pPr>
        <w:pStyle w:val="27"/>
        <w:ind w:firstLine="627"/>
        <w:rPr>
          <w:rFonts w:ascii="仿宋_GB2312" w:hAnsi="仿宋" w:eastAsia="仿宋_GB2312" w:cs="仿宋_GB2312"/>
          <w:b/>
          <w:sz w:val="32"/>
          <w:szCs w:val="20"/>
        </w:rPr>
      </w:pPr>
    </w:p>
    <w:p>
      <w:pPr>
        <w:adjustRightInd/>
        <w:spacing w:line="360" w:lineRule="auto"/>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rPr>
        <w:t>20</w:t>
      </w:r>
      <w:r>
        <w:rPr>
          <w:rFonts w:ascii="仿宋_GB2312" w:hAnsi="仿宋" w:eastAsia="仿宋_GB2312"/>
          <w:b/>
          <w:bCs/>
          <w:sz w:val="24"/>
        </w:rPr>
        <w:t>%</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b/>
          <w:bCs/>
          <w:sz w:val="24"/>
        </w:rPr>
        <w:t>6</w:t>
      </w:r>
      <w:r>
        <w:rPr>
          <w:rFonts w:ascii="仿宋_GB2312" w:hAnsi="仿宋" w:eastAsia="仿宋_GB2312"/>
          <w:b/>
          <w:bCs/>
          <w:sz w:val="24"/>
        </w:rPr>
        <w:t>%</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8"/>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8"/>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8"/>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投标人针对报价需要说明的其他文件和说明（如有）。</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8"/>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hAnsi="宋体"/>
          <w:b/>
          <w:color w:val="000000"/>
          <w:sz w:val="24"/>
          <w:szCs w:val="24"/>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8"/>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_GB2312" w:hAnsi="仿宋" w:eastAsia="仿宋_GB2312" w:cs="仿宋_GB2312"/>
          <w:b/>
          <w:sz w:val="32"/>
        </w:rPr>
      </w:pPr>
    </w:p>
    <w:p>
      <w:pPr>
        <w:pStyle w:val="9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9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0"/>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w:t>
      </w:r>
      <w:r>
        <w:rPr>
          <w:rFonts w:hint="eastAsia" w:ascii="仿宋_GB2312" w:hAnsi="仿宋" w:eastAsia="仿宋_GB2312"/>
          <w:strike w:val="0"/>
          <w:dstrike w:val="0"/>
          <w:color w:val="0000FF"/>
          <w:sz w:val="24"/>
          <w:lang w:eastAsia="zh-CN"/>
        </w:rPr>
        <w:t>本项目</w:t>
      </w:r>
      <w:r>
        <w:rPr>
          <w:rFonts w:hint="eastAsia" w:ascii="仿宋_GB2312" w:hAnsi="仿宋" w:eastAsia="仿宋_GB2312"/>
          <w:strike w:val="0"/>
          <w:color w:val="0000FF"/>
          <w:sz w:val="24"/>
        </w:rPr>
        <w:t>免收履约保证金</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5236011"/>
      <w:bookmarkEnd w:id="14"/>
      <w:bookmarkStart w:id="15" w:name="_Hlt68073093"/>
      <w:bookmarkEnd w:id="15"/>
      <w:bookmarkStart w:id="16" w:name="_Hlt74707468"/>
      <w:bookmarkEnd w:id="16"/>
      <w:bookmarkStart w:id="17" w:name="_Hlt68057669"/>
      <w:bookmarkEnd w:id="17"/>
      <w:bookmarkStart w:id="18" w:name="_Hlt68072990"/>
      <w:bookmarkEnd w:id="18"/>
      <w:bookmarkStart w:id="19" w:name="_Hlt74729768"/>
      <w:bookmarkEnd w:id="19"/>
      <w:bookmarkStart w:id="20" w:name="_Hlt74730295"/>
      <w:bookmarkEnd w:id="20"/>
      <w:bookmarkStart w:id="21" w:name="_Hlt75236101"/>
      <w:bookmarkEnd w:id="21"/>
      <w:bookmarkStart w:id="22" w:name="_Hlt68072998"/>
      <w:bookmarkEnd w:id="22"/>
      <w:bookmarkStart w:id="23" w:name="_Hlt74714665"/>
      <w:bookmarkEnd w:id="23"/>
      <w:bookmarkStart w:id="24" w:name="_Hlt75236290"/>
      <w:bookmarkEnd w:id="24"/>
      <w:bookmarkStart w:id="25" w:name="_Hlt68403820"/>
      <w:bookmarkEnd w:id="25"/>
    </w:p>
    <w:p>
      <w:pPr>
        <w:snapToGrid w:val="0"/>
        <w:spacing w:line="360" w:lineRule="auto"/>
        <w:ind w:left="120" w:leftChars="57" w:firstLine="482" w:firstLineChars="150"/>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pPr>
        <w:pStyle w:val="2"/>
        <w:tabs>
          <w:tab w:val="left" w:pos="0"/>
          <w:tab w:val="clear" w:pos="432"/>
        </w:tabs>
        <w:ind w:left="12" w:hanging="12"/>
        <w:rPr>
          <w:rFonts w:ascii="仿宋" w:eastAsia="仿宋"/>
          <w:sz w:val="24"/>
        </w:rPr>
      </w:pPr>
      <w:r>
        <w:rPr>
          <w:rFonts w:hint="eastAsia" w:ascii="仿宋" w:eastAsia="仿宋"/>
          <w:sz w:val="24"/>
          <w:lang w:val="en-US"/>
        </w:rPr>
        <w:t xml:space="preserve">    30</w:t>
      </w:r>
      <w:r>
        <w:rPr>
          <w:rFonts w:ascii="仿宋" w:eastAsia="仿宋"/>
          <w:sz w:val="24"/>
        </w:rPr>
        <w:t>.</w:t>
      </w:r>
      <w:r>
        <w:rPr>
          <w:rFonts w:hint="eastAsia" w:ascii="仿宋" w:eastAsia="仿宋"/>
          <w:sz w:val="24"/>
          <w:lang w:val="en-US"/>
        </w:rPr>
        <w:t>1</w:t>
      </w:r>
      <w:r>
        <w:rPr>
          <w:rFonts w:hint="eastAsia" w:ascii="仿宋" w:eastAsia="仿宋"/>
          <w:sz w:val="24"/>
        </w:rPr>
        <w:t>应当</w:t>
      </w:r>
      <w:r>
        <w:rPr>
          <w:rFonts w:ascii="仿宋" w:eastAsia="仿宋"/>
          <w:sz w:val="24"/>
        </w:rPr>
        <w:t>在政府采购合同中约定预付款，预付款比例</w:t>
      </w:r>
      <w:r>
        <w:rPr>
          <w:rFonts w:hint="eastAsia" w:ascii="仿宋" w:eastAsia="仿宋"/>
          <w:sz w:val="24"/>
        </w:rPr>
        <w:t>为</w:t>
      </w:r>
      <w:r>
        <w:rPr>
          <w:rFonts w:ascii="仿宋" w:eastAsia="仿宋"/>
          <w:sz w:val="24"/>
        </w:rPr>
        <w:t>合同金额的</w:t>
      </w:r>
      <w:r>
        <w:rPr>
          <w:rFonts w:hint="eastAsia" w:ascii="仿宋" w:eastAsia="仿宋"/>
          <w:sz w:val="24"/>
          <w:lang w:val="en-US"/>
        </w:rPr>
        <w:t>40</w:t>
      </w:r>
      <w:r>
        <w:rPr>
          <w:rFonts w:ascii="仿宋" w:eastAsia="仿宋"/>
          <w:sz w:val="24"/>
        </w:rPr>
        <w:t>％；项目分年安排预算的，每年预付款比例</w:t>
      </w:r>
      <w:r>
        <w:rPr>
          <w:rFonts w:hint="eastAsia" w:ascii="仿宋" w:eastAsia="仿宋"/>
          <w:sz w:val="24"/>
        </w:rPr>
        <w:t>为</w:t>
      </w:r>
      <w:r>
        <w:rPr>
          <w:rFonts w:ascii="仿宋" w:eastAsia="仿宋"/>
          <w:sz w:val="24"/>
        </w:rPr>
        <w:t>项目年度计划支付资金额的</w:t>
      </w:r>
      <w:r>
        <w:rPr>
          <w:rFonts w:hint="eastAsia" w:ascii="仿宋" w:eastAsia="仿宋"/>
          <w:sz w:val="24"/>
          <w:lang w:val="en-US"/>
        </w:rPr>
        <w:t>40</w:t>
      </w:r>
      <w:r>
        <w:rPr>
          <w:rFonts w:ascii="仿宋" w:eastAsia="仿宋"/>
          <w:sz w:val="24"/>
        </w:rPr>
        <w:t>％。采购项目实施以人工投入为主的，可适当降低预付款比例，但不低于</w:t>
      </w:r>
      <w:r>
        <w:rPr>
          <w:rFonts w:hint="eastAsia" w:ascii="仿宋" w:eastAsia="仿宋"/>
          <w:sz w:val="24"/>
          <w:lang w:val="en-US"/>
        </w:rPr>
        <w:t>20</w:t>
      </w:r>
      <w:r>
        <w:rPr>
          <w:rFonts w:ascii="仿宋" w:eastAsia="仿宋"/>
          <w:sz w:val="24"/>
        </w:rPr>
        <w:t>%。可以根据项目特点、</w:t>
      </w:r>
      <w:r>
        <w:rPr>
          <w:rFonts w:hint="eastAsia" w:ascii="仿宋" w:eastAsia="仿宋"/>
          <w:sz w:val="24"/>
        </w:rPr>
        <w:t>供应商</w:t>
      </w:r>
      <w:r>
        <w:rPr>
          <w:rFonts w:ascii="仿宋" w:eastAsia="仿宋"/>
          <w:sz w:val="24"/>
        </w:rPr>
        <w:t>信用等实际情况提高预付款比例，最高预付比例可以达到</w:t>
      </w:r>
      <w:r>
        <w:rPr>
          <w:rFonts w:hint="eastAsia" w:ascii="仿宋" w:eastAsia="仿宋"/>
          <w:sz w:val="24"/>
          <w:lang w:val="en-US"/>
        </w:rPr>
        <w:t>70</w:t>
      </w:r>
      <w:r>
        <w:rPr>
          <w:rFonts w:asci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p>
      <w:pPr>
        <w:pStyle w:val="2"/>
        <w:rPr>
          <w:lang w:val="en-US"/>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11"/>
    <w:bookmarkEnd w:id="12"/>
    <w:p>
      <w:pPr>
        <w:spacing w:before="348" w:line="228" w:lineRule="auto"/>
        <w:ind w:left="2574"/>
        <w:outlineLvl w:val="0"/>
        <w:rPr>
          <w:rFonts w:ascii="仿宋" w:hAnsi="仿宋" w:eastAsia="仿宋" w:cs="仿宋"/>
          <w:sz w:val="35"/>
          <w:szCs w:val="35"/>
        </w:rPr>
      </w:pPr>
      <w:bookmarkStart w:id="26" w:name="第四部分"/>
      <w:r>
        <w:rPr>
          <w:rFonts w:ascii="仿宋" w:hAnsi="仿宋" w:eastAsia="仿宋" w:cs="仿宋"/>
          <w:spacing w:val="7"/>
          <w:sz w:val="35"/>
          <w:szCs w:val="35"/>
          <w14:textOutline w14:w="6540" w14:cap="sq" w14:cmpd="sng" w14:algn="ctr">
            <w14:solidFill>
              <w14:srgbClr w14:val="000000"/>
            </w14:solidFill>
            <w14:prstDash w14:val="solid"/>
            <w14:bevel/>
          </w14:textOutline>
        </w:rPr>
        <w:t>第</w:t>
      </w:r>
      <w:r>
        <w:rPr>
          <w:rFonts w:ascii="仿宋" w:hAnsi="仿宋" w:eastAsia="仿宋" w:cs="仿宋"/>
          <w:spacing w:val="6"/>
          <w:sz w:val="35"/>
          <w:szCs w:val="35"/>
          <w14:textOutline w14:w="6540" w14:cap="sq" w14:cmpd="sng" w14:algn="ctr">
            <w14:solidFill>
              <w14:srgbClr w14:val="000000"/>
            </w14:solidFill>
            <w14:prstDash w14:val="solid"/>
            <w14:bevel/>
          </w14:textOutline>
        </w:rPr>
        <w:t>三部分</w:t>
      </w:r>
      <w:r>
        <w:rPr>
          <w:rFonts w:ascii="仿宋" w:hAnsi="仿宋" w:eastAsia="仿宋" w:cs="仿宋"/>
          <w:spacing w:val="6"/>
          <w:sz w:val="35"/>
          <w:szCs w:val="35"/>
        </w:rPr>
        <w:t xml:space="preserve">   </w:t>
      </w:r>
      <w:r>
        <w:rPr>
          <w:rFonts w:ascii="仿宋" w:hAnsi="仿宋" w:eastAsia="仿宋" w:cs="仿宋"/>
          <w:spacing w:val="6"/>
          <w:sz w:val="35"/>
          <w:szCs w:val="35"/>
          <w14:textOutline w14:w="6540" w14:cap="sq" w14:cmpd="sng" w14:algn="ctr">
            <w14:solidFill>
              <w14:srgbClr w14:val="000000"/>
            </w14:solidFill>
            <w14:prstDash w14:val="solid"/>
            <w14:bevel/>
          </w14:textOutline>
        </w:rPr>
        <w:t>采购需求</w:t>
      </w:r>
    </w:p>
    <w:p>
      <w:pPr>
        <w:spacing w:line="286" w:lineRule="auto"/>
        <w:rPr>
          <w:rFonts w:ascii="Arial"/>
        </w:rPr>
      </w:pPr>
    </w:p>
    <w:p>
      <w:pPr>
        <w:pStyle w:val="3"/>
        <w:numPr>
          <w:ilvl w:val="0"/>
          <w:numId w:val="2"/>
        </w:numPr>
        <w:spacing w:line="360" w:lineRule="auto"/>
        <w:rPr>
          <w:rFonts w:ascii="宋体" w:hAnsi="宋体" w:cstheme="minorBidi"/>
          <w:b w:val="0"/>
          <w:sz w:val="24"/>
        </w:rPr>
      </w:pPr>
      <w:r>
        <w:rPr>
          <w:rFonts w:hint="eastAsia" w:ascii="宋体" w:hAnsi="宋体" w:cstheme="minorBidi"/>
          <w:b w:val="0"/>
          <w:sz w:val="24"/>
        </w:rPr>
        <w:t>项目名称：</w:t>
      </w:r>
    </w:p>
    <w:p>
      <w:pPr>
        <w:spacing w:line="360" w:lineRule="auto"/>
      </w:pPr>
      <w:r>
        <w:rPr>
          <w:rFonts w:hint="eastAsia"/>
        </w:rPr>
        <w:t>杭州市临平区中西医结合医院电脑打印机维修服务外包服务（含总分院硒鼓成本）项目</w:t>
      </w:r>
    </w:p>
    <w:p>
      <w:pPr>
        <w:pStyle w:val="3"/>
        <w:spacing w:before="120" w:beforeLines="50" w:line="360" w:lineRule="auto"/>
        <w:rPr>
          <w:rFonts w:ascii="宋体" w:hAnsi="宋体" w:cstheme="minorBidi"/>
          <w:b w:val="0"/>
          <w:sz w:val="24"/>
        </w:rPr>
      </w:pPr>
      <w:r>
        <w:rPr>
          <w:rFonts w:hint="eastAsia" w:ascii="宋体" w:hAnsi="宋体" w:cstheme="minorBidi"/>
          <w:b w:val="0"/>
          <w:sz w:val="24"/>
        </w:rPr>
        <w:t>二、</w:t>
      </w:r>
      <w:r>
        <w:rPr>
          <w:rFonts w:ascii="宋体" w:hAnsi="宋体" w:cstheme="minorBidi"/>
          <w:b w:val="0"/>
          <w:sz w:val="24"/>
          <w:highlight w:val="none"/>
        </w:rPr>
        <w:t>服务期限：</w:t>
      </w:r>
      <w:r>
        <w:rPr>
          <w:rFonts w:hint="eastAsia" w:ascii="宋体" w:hAnsi="宋体" w:cstheme="minorBidi"/>
          <w:b w:val="0"/>
          <w:sz w:val="24"/>
          <w:highlight w:val="none"/>
        </w:rPr>
        <w:t>合同签订后</w:t>
      </w:r>
      <w:r>
        <w:rPr>
          <w:rFonts w:hint="eastAsia" w:ascii="宋体" w:hAnsi="宋体" w:cstheme="minorBidi"/>
          <w:b w:val="0"/>
          <w:sz w:val="24"/>
          <w:highlight w:val="none"/>
          <w:u w:val="single"/>
        </w:rPr>
        <w:t xml:space="preserve"> </w:t>
      </w:r>
      <w:r>
        <w:rPr>
          <w:rFonts w:ascii="宋体" w:hAnsi="宋体" w:cstheme="minorBidi"/>
          <w:b w:val="0"/>
          <w:sz w:val="24"/>
          <w:highlight w:val="none"/>
          <w:u w:val="single"/>
        </w:rPr>
        <w:t xml:space="preserve"> </w:t>
      </w:r>
      <w:r>
        <w:rPr>
          <w:rFonts w:hint="eastAsia" w:ascii="宋体" w:hAnsi="宋体" w:cstheme="minorBidi"/>
          <w:b w:val="0"/>
          <w:sz w:val="24"/>
          <w:highlight w:val="none"/>
          <w:u w:val="single"/>
        </w:rPr>
        <w:t>1</w:t>
      </w:r>
      <w:r>
        <w:rPr>
          <w:rFonts w:ascii="宋体" w:hAnsi="宋体" w:cstheme="minorBidi"/>
          <w:b w:val="0"/>
          <w:sz w:val="24"/>
          <w:highlight w:val="none"/>
          <w:u w:val="single"/>
        </w:rPr>
        <w:t xml:space="preserve">  </w:t>
      </w:r>
      <w:r>
        <w:rPr>
          <w:rFonts w:hint="eastAsia" w:ascii="宋体" w:hAnsi="宋体" w:cstheme="minorBidi"/>
          <w:b w:val="0"/>
          <w:sz w:val="24"/>
          <w:highlight w:val="none"/>
        </w:rPr>
        <w:t>年</w:t>
      </w:r>
      <w:r>
        <w:rPr>
          <w:rFonts w:ascii="宋体" w:hAnsi="宋体" w:cstheme="minorBidi"/>
          <w:b w:val="0"/>
          <w:sz w:val="24"/>
          <w:highlight w:val="none"/>
        </w:rPr>
        <w:t>。</w:t>
      </w:r>
    </w:p>
    <w:p>
      <w:pPr>
        <w:pStyle w:val="3"/>
        <w:spacing w:line="360" w:lineRule="auto"/>
        <w:rPr>
          <w:rFonts w:ascii="宋体" w:hAnsi="宋体" w:cstheme="minorBidi"/>
          <w:b w:val="0"/>
          <w:sz w:val="24"/>
        </w:rPr>
      </w:pPr>
      <w:r>
        <w:rPr>
          <w:rFonts w:hint="eastAsia" w:ascii="宋体" w:hAnsi="宋体" w:cstheme="minorBidi"/>
          <w:b w:val="0"/>
          <w:sz w:val="24"/>
        </w:rPr>
        <w:t>三、项目地点：杭州市临平区中西医结合医院及医共体单位</w:t>
      </w:r>
    </w:p>
    <w:p>
      <w:pPr>
        <w:pStyle w:val="3"/>
        <w:spacing w:line="360" w:lineRule="auto"/>
        <w:jc w:val="left"/>
        <w:rPr>
          <w:rFonts w:ascii="宋体" w:hAnsi="宋体" w:cstheme="minorBidi"/>
          <w:b w:val="0"/>
          <w:sz w:val="24"/>
        </w:rPr>
      </w:pPr>
      <w:r>
        <w:rPr>
          <w:rFonts w:hint="eastAsia" w:ascii="宋体" w:hAnsi="宋体" w:cstheme="minorBidi"/>
          <w:b w:val="0"/>
          <w:sz w:val="24"/>
        </w:rPr>
        <w:t>四、项目概况：</w:t>
      </w:r>
    </w:p>
    <w:p>
      <w:pPr>
        <w:spacing w:line="360" w:lineRule="auto"/>
        <w:ind w:firstLine="480" w:firstLineChars="200"/>
        <w:jc w:val="left"/>
        <w:rPr>
          <w:rFonts w:ascii="宋体" w:hAnsi="宋体"/>
          <w:sz w:val="24"/>
        </w:rPr>
      </w:pPr>
      <w:r>
        <w:rPr>
          <w:rFonts w:hint="eastAsia" w:ascii="宋体" w:hAnsi="宋体"/>
          <w:sz w:val="24"/>
        </w:rPr>
        <w:t>杭州市临平区中西医结合医院为了积极落实最多跑一次，加快医院信息化、自助化、无纸化的发展</w:t>
      </w:r>
      <w:r>
        <w:rPr>
          <w:rFonts w:ascii="宋体" w:hAnsi="宋体"/>
          <w:sz w:val="24"/>
        </w:rPr>
        <w:t>,打造节约、环保、智能的现代化医院,提升医院整体形象,落实“最多跑一次”行动,改善患者的就医体验，为提高临床满意度、提高居民看病效率，减少排队，提供智慧服务。我院</w:t>
      </w:r>
      <w:r>
        <w:rPr>
          <w:rFonts w:hint="eastAsia" w:ascii="宋体" w:hAnsi="宋体"/>
          <w:sz w:val="24"/>
        </w:rPr>
        <w:t>（指杭州市临平区中西医结合医院医共体）</w:t>
      </w:r>
      <w:r>
        <w:rPr>
          <w:rFonts w:ascii="宋体" w:hAnsi="宋体"/>
          <w:sz w:val="24"/>
        </w:rPr>
        <w:t>拟定对</w:t>
      </w:r>
      <w:r>
        <w:rPr>
          <w:rFonts w:hint="eastAsia" w:ascii="宋体" w:hAnsi="宋体"/>
          <w:sz w:val="24"/>
        </w:rPr>
        <w:t>电脑打印机维修服务外包服务（含总分院硒鼓成本）</w:t>
      </w:r>
      <w:r>
        <w:rPr>
          <w:rFonts w:ascii="宋体" w:hAnsi="宋体"/>
          <w:sz w:val="24"/>
        </w:rPr>
        <w:t>进行服务外包。</w:t>
      </w:r>
    </w:p>
    <w:p>
      <w:pPr>
        <w:pStyle w:val="3"/>
        <w:spacing w:line="360" w:lineRule="auto"/>
        <w:rPr>
          <w:rFonts w:ascii="宋体" w:hAnsi="宋体" w:cstheme="minorBidi"/>
          <w:b w:val="0"/>
          <w:sz w:val="24"/>
        </w:rPr>
      </w:pPr>
      <w:r>
        <w:rPr>
          <w:rFonts w:hint="eastAsia" w:ascii="宋体" w:hAnsi="宋体" w:cstheme="minorBidi"/>
          <w:b w:val="0"/>
          <w:sz w:val="24"/>
        </w:rPr>
        <w:t>五、服务要求</w:t>
      </w:r>
    </w:p>
    <w:p>
      <w:pPr>
        <w:snapToGrid w:val="0"/>
        <w:spacing w:line="360" w:lineRule="auto"/>
        <w:ind w:firstLine="482" w:firstLineChars="200"/>
        <w:rPr>
          <w:rFonts w:ascii="宋体" w:hAnsi="宋体"/>
          <w:sz w:val="24"/>
        </w:rPr>
      </w:pPr>
      <w:r>
        <w:rPr>
          <w:rFonts w:hint="eastAsia" w:ascii="宋体" w:hAnsi="宋体"/>
          <w:b/>
          <w:bCs/>
          <w:sz w:val="24"/>
        </w:rPr>
        <w:t>1、全院</w:t>
      </w:r>
      <w:r>
        <w:rPr>
          <w:rFonts w:ascii="宋体" w:hAnsi="宋体"/>
          <w:b/>
          <w:bCs/>
          <w:sz w:val="24"/>
        </w:rPr>
        <w:t>信息设备配件类采购及服务外包</w:t>
      </w:r>
      <w:r>
        <w:rPr>
          <w:rFonts w:hint="eastAsia" w:ascii="宋体" w:hAnsi="宋体"/>
          <w:b/>
          <w:bCs/>
          <w:sz w:val="24"/>
        </w:rPr>
        <w:t>：</w:t>
      </w:r>
      <w:r>
        <w:rPr>
          <w:rFonts w:hint="eastAsia" w:ascii="宋体" w:hAnsi="宋体"/>
          <w:sz w:val="24"/>
        </w:rPr>
        <w:t>全院计算机基础设施采购、自助报告机、打印机日常运维管理</w:t>
      </w:r>
      <w:r>
        <w:rPr>
          <w:rFonts w:ascii="宋体" w:hAnsi="宋体"/>
          <w:sz w:val="24"/>
        </w:rPr>
        <w:t>、维修维护和日常巡检工作，提供驻场服务。实现现场</w:t>
      </w:r>
      <w:r>
        <w:rPr>
          <w:rFonts w:hint="eastAsia" w:ascii="宋体" w:hAnsi="宋体"/>
          <w:sz w:val="24"/>
        </w:rPr>
        <w:t>服务</w:t>
      </w:r>
      <w:r>
        <w:rPr>
          <w:rFonts w:ascii="宋体" w:hAnsi="宋体"/>
          <w:sz w:val="24"/>
        </w:rPr>
        <w:t>管控，依靠专业人员对打印、复印设备</w:t>
      </w:r>
      <w:r>
        <w:rPr>
          <w:rFonts w:hint="eastAsia" w:ascii="宋体" w:hAnsi="宋体"/>
          <w:sz w:val="24"/>
        </w:rPr>
        <w:t>、计算机设备</w:t>
      </w:r>
      <w:r>
        <w:rPr>
          <w:rFonts w:ascii="宋体" w:hAnsi="宋体"/>
          <w:sz w:val="24"/>
        </w:rPr>
        <w:t>进行维护管理，提供维护服务，以保证</w:t>
      </w:r>
      <w:r>
        <w:rPr>
          <w:rFonts w:hint="eastAsia" w:ascii="宋体" w:hAnsi="宋体"/>
          <w:sz w:val="24"/>
        </w:rPr>
        <w:t>我</w:t>
      </w:r>
      <w:r>
        <w:rPr>
          <w:rFonts w:ascii="宋体" w:hAnsi="宋体"/>
          <w:sz w:val="24"/>
        </w:rPr>
        <w:t>院</w:t>
      </w:r>
      <w:r>
        <w:rPr>
          <w:rFonts w:hint="eastAsia" w:ascii="宋体" w:hAnsi="宋体"/>
          <w:sz w:val="24"/>
        </w:rPr>
        <w:t>设备</w:t>
      </w:r>
      <w:r>
        <w:rPr>
          <w:rFonts w:ascii="宋体" w:hAnsi="宋体"/>
          <w:sz w:val="24"/>
        </w:rPr>
        <w:t>的正常、稳定运行。</w:t>
      </w:r>
    </w:p>
    <w:p>
      <w:pPr>
        <w:snapToGrid w:val="0"/>
        <w:spacing w:line="360" w:lineRule="auto"/>
        <w:ind w:firstLine="482" w:firstLineChars="200"/>
        <w:rPr>
          <w:rFonts w:ascii="宋体" w:hAnsi="宋体"/>
          <w:sz w:val="24"/>
        </w:rPr>
      </w:pPr>
      <w:r>
        <w:rPr>
          <w:rFonts w:ascii="宋体" w:hAnsi="宋体"/>
          <w:b/>
          <w:bCs/>
          <w:sz w:val="24"/>
        </w:rPr>
        <w:t>2</w:t>
      </w:r>
      <w:r>
        <w:rPr>
          <w:rFonts w:hint="eastAsia" w:ascii="宋体" w:hAnsi="宋体"/>
          <w:b/>
          <w:bCs/>
          <w:sz w:val="24"/>
        </w:rPr>
        <w:t>、运维管理信息化、无纸化、自助集中打印建设：</w:t>
      </w:r>
      <w:r>
        <w:rPr>
          <w:rFonts w:hint="eastAsia" w:ascii="宋体" w:hAnsi="宋体"/>
          <w:sz w:val="24"/>
        </w:rPr>
        <w:t>根据我院实际情况和信息化的发展，构建智能信息运维平台、实现呼叫中心、工单管理、资产管理、物资商城等应用电子化。构建的智能打印服务</w:t>
      </w:r>
      <w:r>
        <w:rPr>
          <w:rFonts w:ascii="宋体" w:hAnsi="宋体"/>
          <w:sz w:val="24"/>
        </w:rPr>
        <w:t>,实现全院(如检验、病理、B超、心电、内镜）的图文报告、文件集中处理,所有图文资料统一通过业务服务器存储、匹配、打印、分发。利用优异的自助设备与软件应用,为就诊者提供院内、院外的多方面便捷就医服务。提供满足采购需求的软硬件及相关耗材及现场运营</w:t>
      </w:r>
      <w:r>
        <w:rPr>
          <w:rFonts w:hint="eastAsia" w:ascii="宋体" w:hAnsi="宋体"/>
          <w:sz w:val="24"/>
        </w:rPr>
        <w:t>。</w:t>
      </w:r>
    </w:p>
    <w:p>
      <w:pPr>
        <w:snapToGrid w:val="0"/>
        <w:spacing w:line="360" w:lineRule="auto"/>
        <w:ind w:firstLine="480" w:firstLineChars="200"/>
        <w:rPr>
          <w:rFonts w:ascii="宋体" w:hAnsi="宋体"/>
          <w:sz w:val="24"/>
        </w:rPr>
      </w:pPr>
    </w:p>
    <w:p>
      <w:pPr>
        <w:widowControl/>
        <w:jc w:val="left"/>
        <w:rPr>
          <w:rFonts w:ascii="宋体" w:hAnsi="宋体"/>
          <w:sz w:val="24"/>
        </w:rPr>
      </w:pPr>
    </w:p>
    <w:p/>
    <w:p>
      <w:pPr>
        <w:pStyle w:val="2"/>
      </w:pPr>
      <w:r>
        <w:rPr>
          <w:rFonts w:hint="eastAsia"/>
        </w:rPr>
        <w:t>1、服务要求</w:t>
      </w:r>
    </w:p>
    <w:tbl>
      <w:tblPr>
        <w:tblStyle w:val="67"/>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48" w:type="dxa"/>
            <w:vAlign w:val="center"/>
          </w:tcPr>
          <w:p>
            <w:pPr>
              <w:spacing w:line="360" w:lineRule="auto"/>
              <w:jc w:val="center"/>
              <w:rPr>
                <w:rFonts w:ascii="宋体" w:hAnsi="宋体"/>
                <w:szCs w:val="21"/>
              </w:rPr>
            </w:pPr>
            <w:r>
              <w:rPr>
                <w:rFonts w:hint="eastAsia" w:ascii="宋体" w:hAnsi="宋体"/>
                <w:szCs w:val="21"/>
              </w:rPr>
              <w:t>服务项目</w:t>
            </w:r>
          </w:p>
        </w:tc>
        <w:tc>
          <w:tcPr>
            <w:tcW w:w="7367" w:type="dxa"/>
            <w:vAlign w:val="center"/>
          </w:tcPr>
          <w:p>
            <w:pPr>
              <w:spacing w:line="360" w:lineRule="auto"/>
              <w:jc w:val="center"/>
              <w:rPr>
                <w:rFonts w:ascii="宋体" w:hAnsi="宋体"/>
                <w:szCs w:val="21"/>
              </w:rPr>
            </w:pPr>
            <w:r>
              <w:rPr>
                <w:rFonts w:hint="eastAsia" w:ascii="宋体" w:hAnsi="宋体"/>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48" w:type="dxa"/>
            <w:vAlign w:val="center"/>
          </w:tcPr>
          <w:p>
            <w:pPr>
              <w:spacing w:line="360" w:lineRule="auto"/>
              <w:jc w:val="center"/>
              <w:rPr>
                <w:rFonts w:ascii="宋体" w:hAnsi="宋体"/>
                <w:szCs w:val="21"/>
              </w:rPr>
            </w:pPr>
            <w:r>
              <w:rPr>
                <w:rFonts w:hint="eastAsia" w:ascii="宋体" w:hAnsi="宋体"/>
                <w:szCs w:val="21"/>
              </w:rPr>
              <w:t>项目概述</w:t>
            </w:r>
          </w:p>
        </w:tc>
        <w:tc>
          <w:tcPr>
            <w:tcW w:w="7367" w:type="dxa"/>
            <w:vAlign w:val="center"/>
          </w:tcPr>
          <w:p>
            <w:pPr>
              <w:widowControl/>
              <w:snapToGrid w:val="0"/>
              <w:spacing w:line="360" w:lineRule="auto"/>
              <w:jc w:val="left"/>
              <w:rPr>
                <w:rFonts w:ascii="宋体" w:hAnsi="宋体"/>
                <w:szCs w:val="21"/>
              </w:rPr>
            </w:pPr>
            <w:r>
              <w:rPr>
                <w:rFonts w:hint="eastAsia" w:ascii="宋体" w:hAnsi="宋体" w:cs="宋体"/>
                <w:kern w:val="0"/>
                <w:szCs w:val="21"/>
              </w:rPr>
              <w:t>服务周期：1年，中标供应商需派驻至少2人进行驻场运维，负责全院（本院+3个分院）负责全院所有打印类设备的更新、维护、维修、消耗品的提供，提供信息化软件对可以进行集中打印的科室进行改造建议，提供报修软件实现一件报修等智慧一体化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48" w:type="dxa"/>
            <w:vAlign w:val="center"/>
          </w:tcPr>
          <w:p>
            <w:pPr>
              <w:spacing w:line="360" w:lineRule="auto"/>
              <w:jc w:val="center"/>
              <w:rPr>
                <w:rFonts w:ascii="宋体" w:hAnsi="宋体"/>
                <w:szCs w:val="21"/>
              </w:rPr>
            </w:pPr>
            <w:r>
              <w:rPr>
                <w:rFonts w:hint="eastAsia" w:ascii="宋体" w:hAnsi="宋体"/>
                <w:szCs w:val="21"/>
              </w:rPr>
              <w:t>设备管理</w:t>
            </w:r>
          </w:p>
        </w:tc>
        <w:tc>
          <w:tcPr>
            <w:tcW w:w="7367" w:type="dxa"/>
            <w:vAlign w:val="center"/>
          </w:tcPr>
          <w:p>
            <w:pPr>
              <w:widowControl/>
              <w:snapToGrid w:val="0"/>
              <w:spacing w:line="360" w:lineRule="auto"/>
              <w:jc w:val="left"/>
              <w:rPr>
                <w:rFonts w:ascii="宋体" w:hAnsi="宋体"/>
                <w:szCs w:val="21"/>
              </w:rPr>
            </w:pPr>
            <w:r>
              <w:rPr>
                <w:rFonts w:hint="eastAsia" w:ascii="宋体" w:hAnsi="宋体"/>
                <w:szCs w:val="21"/>
              </w:rPr>
              <w:t>1）、医院现有设备约1000台；</w:t>
            </w:r>
          </w:p>
          <w:p>
            <w:pPr>
              <w:widowControl/>
              <w:snapToGrid w:val="0"/>
              <w:spacing w:line="360" w:lineRule="auto"/>
              <w:jc w:val="left"/>
              <w:rPr>
                <w:rFonts w:ascii="宋体" w:hAnsi="宋体"/>
                <w:szCs w:val="21"/>
              </w:rPr>
            </w:pPr>
            <w:r>
              <w:rPr>
                <w:rFonts w:hint="eastAsia" w:ascii="宋体" w:hAnsi="宋体"/>
                <w:szCs w:val="21"/>
              </w:rPr>
              <w:t>2）、在合同期内，如遇设备老化等原因造成设备无法正常使用，经职能科室评估确认可以更换的，由中标单位提供合格设备予以替换，院方不再额外支付费用。更换设备：预装设备参数要求见第二条第2款；</w:t>
            </w:r>
          </w:p>
          <w:p>
            <w:pPr>
              <w:widowControl/>
              <w:snapToGrid w:val="0"/>
              <w:spacing w:line="360" w:lineRule="auto"/>
              <w:jc w:val="left"/>
              <w:rPr>
                <w:rFonts w:ascii="宋体" w:hAnsi="宋体"/>
                <w:szCs w:val="21"/>
              </w:rPr>
            </w:pPr>
            <w:r>
              <w:rPr>
                <w:rFonts w:hint="eastAsia" w:ascii="宋体" w:hAnsi="宋体"/>
                <w:szCs w:val="21"/>
              </w:rPr>
              <w:t>3）、如医院需要新增设备，投标供应商应供免费新增数量清单（</w:t>
            </w:r>
            <w:r>
              <w:rPr>
                <w:rFonts w:hint="eastAsia" w:ascii="宋体" w:hAnsi="宋体"/>
                <w:szCs w:val="21"/>
                <w:highlight w:val="none"/>
              </w:rPr>
              <w:t>不少于</w:t>
            </w:r>
            <w:r>
              <w:rPr>
                <w:rFonts w:hint="eastAsia" w:ascii="宋体" w:hAnsi="宋体"/>
                <w:color w:val="0000FF"/>
                <w:szCs w:val="21"/>
                <w:highlight w:val="none"/>
                <w:lang w:val="en-US" w:eastAsia="zh-CN"/>
              </w:rPr>
              <w:t>5</w:t>
            </w:r>
            <w:r>
              <w:rPr>
                <w:rFonts w:hint="eastAsia" w:ascii="宋体" w:hAnsi="宋体"/>
                <w:szCs w:val="21"/>
                <w:highlight w:val="none"/>
              </w:rPr>
              <w:t>%）！</w:t>
            </w:r>
            <w:r>
              <w:rPr>
                <w:rFonts w:hint="eastAsia" w:ascii="宋体" w:hAnsi="宋体"/>
                <w:szCs w:val="21"/>
              </w:rPr>
              <w:t>超出免费新增设备清单的按照每台每月进行增加收费，收费中应包含所需的耗材、维修、零配件等所有费用。投标供应商供新增设备价格清单；</w:t>
            </w:r>
          </w:p>
          <w:p>
            <w:pPr>
              <w:widowControl/>
              <w:snapToGrid w:val="0"/>
              <w:spacing w:line="360" w:lineRule="auto"/>
              <w:jc w:val="left"/>
              <w:rPr>
                <w:rFonts w:ascii="宋体" w:hAnsi="宋体"/>
                <w:szCs w:val="21"/>
              </w:rPr>
            </w:pPr>
            <w:r>
              <w:rPr>
                <w:rFonts w:hint="eastAsia" w:ascii="宋体" w:hAnsi="宋体"/>
                <w:szCs w:val="21"/>
              </w:rPr>
              <w:t>4）、根据医院各类打印设备备用机清单，用于应急；</w:t>
            </w:r>
          </w:p>
          <w:p>
            <w:pPr>
              <w:widowControl/>
              <w:snapToGrid w:val="0"/>
              <w:spacing w:line="360" w:lineRule="auto"/>
              <w:jc w:val="left"/>
              <w:rPr>
                <w:rFonts w:ascii="宋体" w:hAnsi="宋体"/>
                <w:szCs w:val="21"/>
              </w:rPr>
            </w:pPr>
            <w:r>
              <w:rPr>
                <w:rFonts w:hint="eastAsia" w:ascii="宋体" w:hAnsi="宋体"/>
                <w:szCs w:val="21"/>
              </w:rPr>
              <w:t>▲5）、为打造绿色医院，净化环境，为医生和患者创良好的办公和就医环境，替换或新增加设备采用全新喷墨设备。并提供相关厂家对本项目的质保函或授权书。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spacing w:line="360" w:lineRule="auto"/>
              <w:jc w:val="center"/>
              <w:rPr>
                <w:rFonts w:ascii="宋体" w:hAnsi="宋体"/>
                <w:szCs w:val="21"/>
              </w:rPr>
            </w:pPr>
            <w:r>
              <w:rPr>
                <w:rFonts w:hint="eastAsia" w:ascii="宋体" w:hAnsi="宋体"/>
                <w:szCs w:val="21"/>
              </w:rPr>
              <w:t>耗材管理</w:t>
            </w:r>
          </w:p>
        </w:tc>
        <w:tc>
          <w:tcPr>
            <w:tcW w:w="7367" w:type="dxa"/>
            <w:vAlign w:val="center"/>
          </w:tcPr>
          <w:p>
            <w:pPr>
              <w:spacing w:line="360" w:lineRule="auto"/>
              <w:rPr>
                <w:rFonts w:ascii="宋体" w:hAnsi="宋体"/>
                <w:szCs w:val="21"/>
              </w:rPr>
            </w:pPr>
            <w:r>
              <w:rPr>
                <w:rFonts w:hint="eastAsia" w:ascii="宋体" w:hAnsi="宋体"/>
                <w:szCs w:val="21"/>
              </w:rPr>
              <w:t>1）、提供所有打印设备正常运转所需耗材，配送到科室并安装；</w:t>
            </w:r>
          </w:p>
          <w:p>
            <w:pPr>
              <w:spacing w:line="360" w:lineRule="auto"/>
              <w:rPr>
                <w:rFonts w:ascii="宋体" w:hAnsi="宋体"/>
                <w:szCs w:val="21"/>
              </w:rPr>
            </w:pPr>
            <w:r>
              <w:rPr>
                <w:rFonts w:hint="eastAsia" w:ascii="宋体" w:hAnsi="宋体"/>
                <w:szCs w:val="21"/>
              </w:rPr>
              <w:t>▲2）、新增设备、替换设备及彩色打印机必须提供原装耗材，原有黑白打印机至少提供国内一线品牌耗材；投标供应商必须提供保证货物原装正品的相关证明资料，比如相关厂家对本项目的质保函或授权书。；</w:t>
            </w:r>
          </w:p>
          <w:p>
            <w:pPr>
              <w:spacing w:line="360" w:lineRule="auto"/>
              <w:rPr>
                <w:rFonts w:ascii="宋体" w:hAnsi="宋体"/>
                <w:szCs w:val="21"/>
              </w:rPr>
            </w:pPr>
            <w:r>
              <w:rPr>
                <w:rFonts w:hint="eastAsia" w:ascii="宋体" w:hAnsi="宋体"/>
                <w:szCs w:val="21"/>
              </w:rPr>
              <w:t>3）、配备至少1个月的耗材使用量，满足设备正常的运转。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8" w:type="dxa"/>
            <w:vAlign w:val="center"/>
          </w:tcPr>
          <w:p>
            <w:pPr>
              <w:spacing w:line="360" w:lineRule="auto"/>
              <w:jc w:val="center"/>
              <w:rPr>
                <w:rFonts w:ascii="宋体" w:hAnsi="宋体"/>
                <w:szCs w:val="21"/>
              </w:rPr>
            </w:pPr>
            <w:r>
              <w:rPr>
                <w:rFonts w:hint="eastAsia" w:ascii="宋体" w:hAnsi="宋体"/>
                <w:szCs w:val="21"/>
              </w:rPr>
              <w:t>信息化要求</w:t>
            </w:r>
          </w:p>
        </w:tc>
        <w:tc>
          <w:tcPr>
            <w:tcW w:w="7367" w:type="dxa"/>
            <w:vAlign w:val="center"/>
          </w:tcPr>
          <w:p>
            <w:pPr>
              <w:spacing w:line="360" w:lineRule="auto"/>
              <w:rPr>
                <w:rFonts w:ascii="宋体" w:hAnsi="宋体"/>
                <w:szCs w:val="21"/>
              </w:rPr>
            </w:pPr>
            <w:r>
              <w:rPr>
                <w:rFonts w:hint="eastAsia" w:ascii="宋体" w:hAnsi="宋体"/>
                <w:szCs w:val="21"/>
              </w:rPr>
              <w:t>▲1）提供一体化线上运维平台，实现微信线上报修、维修管理、资产管理等功能，具体要求见第二条第3款；按照要求逐一响应并提供软件著作权及软件截图。</w:t>
            </w:r>
          </w:p>
          <w:p>
            <w:pPr>
              <w:spacing w:line="360" w:lineRule="auto"/>
              <w:rPr>
                <w:rFonts w:ascii="宋体" w:hAnsi="宋体"/>
                <w:szCs w:val="21"/>
              </w:rPr>
            </w:pPr>
            <w:r>
              <w:rPr>
                <w:rFonts w:hint="eastAsia" w:ascii="宋体" w:hAnsi="宋体"/>
                <w:szCs w:val="21"/>
              </w:rPr>
              <w:t>2）提供集中自助打印方案，构建智能打印服务,实现全院(如检验、病理、B超、心电、内镜）的图文报告、文件集中处理,所有图文资料统一通过业务服务器存储、匹配、打印、分发。实现居民看病拿报告在任何一台报告自助机即可实现报告打印，自助报告机一次性输出全部报告，实现最多跑一次打报告，提高就医体验。提供软件著作权及案例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spacing w:line="360" w:lineRule="auto"/>
              <w:jc w:val="center"/>
              <w:rPr>
                <w:rFonts w:ascii="宋体" w:hAnsi="宋体"/>
                <w:szCs w:val="21"/>
              </w:rPr>
            </w:pPr>
            <w:r>
              <w:rPr>
                <w:rFonts w:hint="eastAsia" w:ascii="宋体" w:hAnsi="宋体"/>
                <w:szCs w:val="21"/>
              </w:rPr>
              <w:t>人员要求</w:t>
            </w:r>
          </w:p>
        </w:tc>
        <w:tc>
          <w:tcPr>
            <w:tcW w:w="7367" w:type="dxa"/>
            <w:vAlign w:val="center"/>
          </w:tcPr>
          <w:p>
            <w:pPr>
              <w:snapToGrid w:val="0"/>
              <w:spacing w:line="360" w:lineRule="auto"/>
              <w:jc w:val="left"/>
              <w:rPr>
                <w:rFonts w:ascii="宋体" w:hAnsi="宋体"/>
                <w:sz w:val="24"/>
              </w:rPr>
            </w:pPr>
            <w:r>
              <w:rPr>
                <w:rFonts w:hint="eastAsia" w:ascii="宋体" w:hAnsi="宋体"/>
                <w:szCs w:val="21"/>
              </w:rPr>
              <w:t>▲</w:t>
            </w:r>
            <w:r>
              <w:rPr>
                <w:rFonts w:hint="eastAsia" w:ascii="宋体" w:hAnsi="宋体"/>
                <w:sz w:val="24"/>
              </w:rPr>
              <w:t>1）、提供至少2名工程师驻场服务，负责文印设备的安装及日常巡检、维修、配件更换等服务；</w:t>
            </w:r>
          </w:p>
          <w:p>
            <w:pPr>
              <w:snapToGrid w:val="0"/>
              <w:spacing w:line="360" w:lineRule="auto"/>
              <w:jc w:val="left"/>
              <w:rPr>
                <w:rFonts w:ascii="宋体" w:hAnsi="宋体"/>
                <w:sz w:val="24"/>
              </w:rPr>
            </w:pPr>
            <w:r>
              <w:rPr>
                <w:rFonts w:hint="eastAsia" w:ascii="宋体" w:hAnsi="宋体"/>
                <w:sz w:val="24"/>
              </w:rPr>
              <w:t>2）、安排的驻场工程师，须为采购人提供不间断的驻场服务，如碰到特殊情况，需按采购人要求加派人员提供服务；</w:t>
            </w:r>
          </w:p>
          <w:p>
            <w:pPr>
              <w:snapToGrid w:val="0"/>
              <w:spacing w:line="360" w:lineRule="auto"/>
              <w:jc w:val="left"/>
              <w:rPr>
                <w:rFonts w:ascii="宋体" w:hAnsi="宋体"/>
                <w:sz w:val="24"/>
              </w:rPr>
            </w:pPr>
            <w:r>
              <w:rPr>
                <w:rFonts w:hint="eastAsia" w:ascii="宋体" w:hAnsi="宋体"/>
                <w:sz w:val="24"/>
              </w:rPr>
              <w:t>3）、安排的驻场工程师至少具备1年以上相关工作经验；驻场主管至少具备3年</w:t>
            </w:r>
            <w:r>
              <w:rPr>
                <w:rFonts w:hint="eastAsia" w:ascii="宋体" w:hAnsi="宋体"/>
                <w:strike w:val="0"/>
                <w:dstrike w:val="0"/>
                <w:sz w:val="24"/>
                <w:highlight w:val="none"/>
                <w:lang w:eastAsia="zh-CN"/>
              </w:rPr>
              <w:t>相关</w:t>
            </w:r>
            <w:r>
              <w:rPr>
                <w:rFonts w:hint="eastAsia" w:ascii="宋体" w:hAnsi="宋体"/>
                <w:sz w:val="24"/>
              </w:rPr>
              <w:t>工作经验。提供工作证明。</w:t>
            </w:r>
          </w:p>
          <w:p>
            <w:pPr>
              <w:snapToGrid w:val="0"/>
              <w:spacing w:line="360" w:lineRule="auto"/>
              <w:jc w:val="left"/>
              <w:rPr>
                <w:rFonts w:ascii="宋体" w:hAnsi="宋体"/>
                <w:sz w:val="24"/>
              </w:rPr>
            </w:pPr>
            <w:r>
              <w:rPr>
                <w:rFonts w:hint="eastAsia" w:ascii="宋体" w:hAnsi="宋体"/>
                <w:sz w:val="24"/>
              </w:rPr>
              <w:t>4）、投驻场人员必须为本公司在职员工，要求提供劳动合同和正常连续性缴纳社保6个月以上；</w:t>
            </w:r>
          </w:p>
          <w:p>
            <w:pPr>
              <w:snapToGrid w:val="0"/>
              <w:spacing w:line="360" w:lineRule="auto"/>
              <w:jc w:val="left"/>
              <w:rPr>
                <w:rFonts w:ascii="宋体" w:hAnsi="宋体"/>
                <w:sz w:val="24"/>
              </w:rPr>
            </w:pPr>
            <w:r>
              <w:rPr>
                <w:rFonts w:hint="eastAsia" w:ascii="宋体" w:hAnsi="宋体"/>
                <w:strike w:val="0"/>
                <w:dstrike w:val="0"/>
                <w:sz w:val="24"/>
                <w:highlight w:val="none"/>
              </w:rPr>
              <w:t>5）、</w:t>
            </w:r>
            <w:r>
              <w:rPr>
                <w:rFonts w:hint="eastAsia" w:ascii="宋体" w:hAnsi="宋体"/>
                <w:sz w:val="24"/>
              </w:rPr>
              <w:t>接受采购人对驻场人员进行维修能力、管理能力、综合素质进行考核，对考核三次不通过者，采购人有权建议或要求更换。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spacing w:line="360" w:lineRule="auto"/>
              <w:jc w:val="center"/>
              <w:rPr>
                <w:rFonts w:ascii="宋体" w:hAnsi="宋体"/>
                <w:szCs w:val="21"/>
              </w:rPr>
            </w:pPr>
            <w:r>
              <w:rPr>
                <w:rFonts w:hint="eastAsia" w:ascii="宋体" w:hAnsi="宋体"/>
                <w:szCs w:val="21"/>
              </w:rPr>
              <w:t>服务质量要求</w:t>
            </w:r>
          </w:p>
        </w:tc>
        <w:tc>
          <w:tcPr>
            <w:tcW w:w="7367" w:type="dxa"/>
            <w:vAlign w:val="center"/>
          </w:tcPr>
          <w:p>
            <w:pPr>
              <w:snapToGrid w:val="0"/>
              <w:spacing w:line="360" w:lineRule="auto"/>
              <w:rPr>
                <w:rFonts w:ascii="宋体" w:hAnsi="宋体"/>
                <w:sz w:val="24"/>
              </w:rPr>
            </w:pPr>
            <w:r>
              <w:rPr>
                <w:rFonts w:hint="eastAsia" w:ascii="宋体" w:hAnsi="宋体"/>
                <w:sz w:val="24"/>
              </w:rPr>
              <w:t>1）、打印机维修及保养服务：中标单位对所提供设备提供维修保养、打印耗材送达到科室、打印设备安装等服务以及日常配件更换和定期保养清洁等服务。</w:t>
            </w:r>
          </w:p>
          <w:p>
            <w:pPr>
              <w:snapToGrid w:val="0"/>
              <w:spacing w:line="360" w:lineRule="auto"/>
              <w:rPr>
                <w:rFonts w:ascii="宋体" w:hAnsi="宋体"/>
                <w:sz w:val="24"/>
              </w:rPr>
            </w:pPr>
            <w:r>
              <w:rPr>
                <w:rFonts w:hint="eastAsia" w:ascii="宋体" w:hAnsi="宋体"/>
                <w:sz w:val="24"/>
              </w:rPr>
              <w:t>2）、服务月报：每月上旬、记录并统计设备、耗材、零配件、维修数量。</w:t>
            </w:r>
          </w:p>
          <w:p>
            <w:pPr>
              <w:snapToGrid w:val="0"/>
              <w:spacing w:line="360" w:lineRule="auto"/>
              <w:rPr>
                <w:rFonts w:ascii="宋体" w:hAnsi="宋体"/>
                <w:sz w:val="24"/>
              </w:rPr>
            </w:pPr>
            <w:r>
              <w:rPr>
                <w:rFonts w:hint="eastAsia" w:ascii="宋体" w:hAnsi="宋体"/>
                <w:sz w:val="24"/>
              </w:rPr>
              <w:t>3）、备用机和备件：中标单位需根据医院常规各类型设备提供备用机和备用零配件，备用机和备用件需存放在医院。</w:t>
            </w:r>
          </w:p>
          <w:p>
            <w:pPr>
              <w:snapToGrid w:val="0"/>
              <w:spacing w:line="360" w:lineRule="auto"/>
              <w:rPr>
                <w:rFonts w:ascii="宋体" w:hAnsi="宋体"/>
                <w:sz w:val="24"/>
              </w:rPr>
            </w:pPr>
            <w:r>
              <w:rPr>
                <w:rFonts w:hint="eastAsia" w:ascii="宋体" w:hAnsi="宋体"/>
                <w:sz w:val="24"/>
              </w:rPr>
              <w:t>4）、维修响应时间：接到医院报修电话后维修人员在15分钟内到达现场听从安排，30分钟内解决问题。</w:t>
            </w:r>
          </w:p>
          <w:p>
            <w:pPr>
              <w:snapToGrid w:val="0"/>
              <w:spacing w:line="360" w:lineRule="auto"/>
              <w:rPr>
                <w:rFonts w:ascii="宋体" w:hAnsi="宋体"/>
                <w:sz w:val="24"/>
              </w:rPr>
            </w:pPr>
            <w:r>
              <w:rPr>
                <w:rFonts w:hint="eastAsia" w:ascii="宋体" w:hAnsi="宋体"/>
                <w:sz w:val="24"/>
              </w:rPr>
              <w:t>5）、修复故障时间：接到医院报修电话后维修人员在30分钟内修复一般故障（更换易损配件），如不能修复，及时免费提供同样机型备用机。</w:t>
            </w:r>
          </w:p>
          <w:p>
            <w:pPr>
              <w:snapToGrid w:val="0"/>
              <w:spacing w:line="360" w:lineRule="auto"/>
              <w:rPr>
                <w:rFonts w:ascii="宋体" w:hAnsi="宋体"/>
                <w:sz w:val="24"/>
              </w:rPr>
            </w:pPr>
            <w:r>
              <w:rPr>
                <w:rFonts w:hint="eastAsia" w:ascii="宋体" w:hAnsi="宋体"/>
                <w:sz w:val="24"/>
              </w:rPr>
              <w:t>6）、客户满意度：每年度进行1次满意度调查，对派驻人员的工作情况、服务满意度进行评价（优、良、中、差），出现一个以上差评，采购人有权扣除合同金额的1%或延迟付款。</w:t>
            </w:r>
          </w:p>
          <w:p>
            <w:pPr>
              <w:snapToGrid w:val="0"/>
              <w:spacing w:line="360" w:lineRule="auto"/>
              <w:rPr>
                <w:rFonts w:ascii="宋体" w:hAnsi="宋体"/>
                <w:sz w:val="24"/>
              </w:rPr>
            </w:pPr>
            <w:r>
              <w:rPr>
                <w:rFonts w:hint="eastAsia" w:ascii="宋体" w:hAnsi="宋体"/>
                <w:sz w:val="24"/>
              </w:rPr>
              <w:t>7）、每季度一次现场常规检修，每半年进行一次全面维护，打印系统、打印设备、计算机系统进行预防性维护，排除系统的隐患，解决系统出现的故障。</w:t>
            </w:r>
          </w:p>
          <w:p>
            <w:pPr>
              <w:snapToGrid w:val="0"/>
              <w:spacing w:line="360" w:lineRule="auto"/>
              <w:rPr>
                <w:rFonts w:ascii="宋体" w:hAnsi="宋体"/>
                <w:sz w:val="24"/>
              </w:rPr>
            </w:pPr>
            <w:r>
              <w:rPr>
                <w:rFonts w:hint="eastAsia" w:ascii="宋体" w:hAnsi="宋体"/>
                <w:sz w:val="24"/>
              </w:rPr>
              <w:t>8）、每次巡检应提供巡检报告，并根据巡检报告，及时与用户进行交流，及时协调解决维护工作中的问题。</w:t>
            </w:r>
          </w:p>
          <w:p>
            <w:pPr>
              <w:snapToGrid w:val="0"/>
              <w:spacing w:line="360" w:lineRule="auto"/>
              <w:rPr>
                <w:rFonts w:ascii="宋体" w:hAnsi="宋体"/>
                <w:sz w:val="24"/>
              </w:rPr>
            </w:pPr>
            <w:r>
              <w:rPr>
                <w:rFonts w:hint="eastAsia" w:ascii="宋体" w:hAnsi="宋体"/>
                <w:sz w:val="24"/>
              </w:rPr>
              <w:t>9）备用机：每种型号、每个院区不少于2台；备用耗材：不少于1个月使用量；维保备件：备足至少1个月用量的零配件。</w:t>
            </w:r>
          </w:p>
          <w:p>
            <w:pPr>
              <w:snapToGrid w:val="0"/>
              <w:spacing w:line="360" w:lineRule="auto"/>
              <w:rPr>
                <w:rFonts w:ascii="宋体" w:hAnsi="宋体"/>
                <w:sz w:val="24"/>
              </w:rPr>
            </w:pPr>
            <w:r>
              <w:rPr>
                <w:rFonts w:hint="eastAsia" w:ascii="宋体" w:hAnsi="宋体"/>
                <w:sz w:val="24"/>
              </w:rPr>
              <w:t>10）备用人员：区域工程师随时支援替补，建立替补人员名单；</w:t>
            </w:r>
          </w:p>
          <w:p>
            <w:pPr>
              <w:snapToGrid w:val="0"/>
              <w:spacing w:line="360" w:lineRule="auto"/>
              <w:rPr>
                <w:rFonts w:ascii="宋体" w:hAnsi="宋体"/>
                <w:sz w:val="24"/>
              </w:rPr>
            </w:pPr>
            <w:r>
              <w:rPr>
                <w:rFonts w:hint="eastAsia" w:ascii="宋体" w:hAnsi="宋体"/>
                <w:sz w:val="24"/>
              </w:rPr>
              <w:t>11）、采购人将对中标单位工作人员的工作质量、服务态度及工作效率进行考核与测评。各科室若发现中标单位的工作人员服务不到位，维修现场不整洁等行为，及时反馈信息中心。</w:t>
            </w:r>
          </w:p>
          <w:p>
            <w:pPr>
              <w:snapToGrid w:val="0"/>
              <w:spacing w:line="360" w:lineRule="auto"/>
              <w:rPr>
                <w:rFonts w:ascii="宋体" w:hAnsi="宋体"/>
                <w:sz w:val="24"/>
              </w:rPr>
            </w:pPr>
            <w:r>
              <w:rPr>
                <w:rFonts w:hint="eastAsia" w:ascii="宋体" w:hAnsi="宋体"/>
                <w:sz w:val="24"/>
              </w:rPr>
              <w:t>12）、保密服务承诺：中标单位在提供服务和维修的过程中，获悉的一切资讯均需严格保密，不得自行使用或给他人使用，如有泄漏或擅自使用或允许他人使用用户信息造成损失的必须承担相应的民事赔偿责任，在签订合同时须签订保密协议。</w:t>
            </w:r>
          </w:p>
          <w:p>
            <w:pPr>
              <w:snapToGrid w:val="0"/>
              <w:spacing w:line="360" w:lineRule="auto"/>
              <w:rPr>
                <w:sz w:val="24"/>
              </w:rPr>
            </w:pPr>
            <w:r>
              <w:rPr>
                <w:rFonts w:hint="eastAsia" w:ascii="宋体" w:hAnsi="宋体"/>
                <w:sz w:val="24"/>
              </w:rPr>
              <w:t>13）、采购人有权根据管理需求提出的其他服务质量保证条款，并提前一个月告知中标单位，作为合同补充条款。</w:t>
            </w:r>
          </w:p>
        </w:tc>
      </w:tr>
    </w:tbl>
    <w:p/>
    <w:p>
      <w:pPr>
        <w:pStyle w:val="2"/>
        <w:ind w:left="0" w:firstLine="0"/>
      </w:pPr>
      <w:r>
        <w:rPr>
          <w:rFonts w:hint="eastAsia"/>
          <w:lang w:val="en-US"/>
        </w:rPr>
        <w:t>2、</w:t>
      </w:r>
      <w:r>
        <w:rPr>
          <w:rFonts w:hint="eastAsia"/>
        </w:rPr>
        <w:t>预装设备参数要求</w:t>
      </w:r>
    </w:p>
    <w:tbl>
      <w:tblPr>
        <w:tblStyle w:val="6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6" w:type="dxa"/>
            <w:noWrap/>
          </w:tcPr>
          <w:p>
            <w:pPr>
              <w:widowControl/>
              <w:snapToGrid w:val="0"/>
              <w:spacing w:line="140" w:lineRule="atLeast"/>
              <w:jc w:val="center"/>
              <w:rPr>
                <w:rFonts w:ascii="微软雅黑" w:hAnsi="微软雅黑" w:eastAsia="微软雅黑" w:cs="Tahoma"/>
                <w:kern w:val="0"/>
                <w:sz w:val="22"/>
              </w:rPr>
            </w:pPr>
            <w:r>
              <w:rPr>
                <w:rFonts w:hint="eastAsia" w:ascii="微软雅黑" w:hAnsi="微软雅黑" w:eastAsia="微软雅黑" w:cs="Tahoma"/>
                <w:kern w:val="0"/>
                <w:sz w:val="22"/>
              </w:rPr>
              <w:t>类型</w:t>
            </w:r>
          </w:p>
        </w:tc>
        <w:tc>
          <w:tcPr>
            <w:tcW w:w="1531" w:type="dxa"/>
            <w:noWrap/>
          </w:tcPr>
          <w:p>
            <w:pPr>
              <w:widowControl/>
              <w:snapToGrid w:val="0"/>
              <w:spacing w:line="140" w:lineRule="atLeast"/>
              <w:jc w:val="center"/>
              <w:rPr>
                <w:rFonts w:ascii="微软雅黑" w:hAnsi="微软雅黑" w:eastAsia="微软雅黑" w:cs="Tahoma"/>
                <w:kern w:val="0"/>
                <w:sz w:val="22"/>
              </w:rPr>
            </w:pPr>
            <w:r>
              <w:rPr>
                <w:rFonts w:hint="eastAsia" w:ascii="微软雅黑" w:hAnsi="微软雅黑" w:eastAsia="微软雅黑" w:cs="Tahoma"/>
                <w:kern w:val="0"/>
                <w:sz w:val="22"/>
              </w:rPr>
              <w:t>名称</w:t>
            </w:r>
          </w:p>
        </w:tc>
        <w:tc>
          <w:tcPr>
            <w:tcW w:w="5443" w:type="dxa"/>
            <w:noWrap/>
          </w:tcPr>
          <w:p>
            <w:pPr>
              <w:widowControl/>
              <w:snapToGrid w:val="0"/>
              <w:spacing w:line="140" w:lineRule="atLeast"/>
              <w:jc w:val="center"/>
              <w:rPr>
                <w:rFonts w:ascii="宋体" w:hAnsi="宋体" w:cs="Tahoma"/>
                <w:kern w:val="0"/>
                <w:sz w:val="22"/>
              </w:rPr>
            </w:pPr>
            <w:r>
              <w:rPr>
                <w:rFonts w:hint="eastAsia" w:ascii="宋体" w:hAnsi="宋体" w:cs="Tahoma"/>
                <w:kern w:val="0"/>
                <w:sz w:val="2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黑白打印机1</w:t>
            </w: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喷墨打印机</w:t>
            </w:r>
            <w:r>
              <w:rPr>
                <w:rFonts w:hint="eastAsia" w:ascii="宋体" w:hAnsi="宋体" w:cs="Tahoma"/>
                <w:kern w:val="0"/>
                <w:sz w:val="20"/>
                <w:szCs w:val="20"/>
              </w:rPr>
              <w:br w:type="textWrapping"/>
            </w:r>
            <w:r>
              <w:rPr>
                <w:rFonts w:hint="eastAsia" w:ascii="宋体" w:hAnsi="宋体" w:cs="Tahoma"/>
                <w:kern w:val="0"/>
                <w:sz w:val="20"/>
                <w:szCs w:val="20"/>
              </w:rPr>
              <w:t>（不接受加注墨水的方式）▲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参考品牌</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设备管理软件</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打印速度</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不低于每分钟34页▲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1200×1200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支持有线和无线WiFi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2</w:t>
            </w:r>
            <w:r>
              <w:rPr>
                <w:rFonts w:hint="eastAsia" w:ascii="宋体" w:hAnsi="宋体" w:cs="Tahom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不低于300</w:t>
            </w:r>
            <w:r>
              <w:rPr>
                <w:rFonts w:hint="eastAsia" w:ascii="宋体" w:hAnsi="宋体" w:cs="Tahoma"/>
                <w:kern w:val="0"/>
                <w:sz w:val="20"/>
                <w:szCs w:val="20"/>
                <w:highlight w:val="none"/>
              </w:rPr>
              <w:t>页（A4普通纸</w:t>
            </w:r>
            <w:r>
              <w:rPr>
                <w:rFonts w:ascii="宋体" w:hAnsi="宋体" w:cs="Tahoma"/>
                <w:kern w:val="0"/>
                <w:sz w:val="20"/>
                <w:szCs w:val="20"/>
                <w:highlight w:val="none"/>
              </w:rPr>
              <w:t>75</w:t>
            </w:r>
            <w:r>
              <w:rPr>
                <w:rFonts w:hint="eastAsia" w:ascii="宋体" w:hAnsi="宋体" w:cs="Tahoma"/>
                <w:kern w:val="0"/>
                <w:sz w:val="20"/>
                <w:szCs w:val="20"/>
                <w:highlight w:val="none"/>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不低于1万页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计数器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至少有A4和A5的分别计数功能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不高于100W（打印模式）▲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彩色打印机</w:t>
            </w: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喷墨打印机</w:t>
            </w:r>
            <w:r>
              <w:rPr>
                <w:rFonts w:hint="eastAsia" w:ascii="宋体" w:hAnsi="宋体" w:cs="Tahoma"/>
                <w:kern w:val="0"/>
                <w:sz w:val="20"/>
                <w:szCs w:val="20"/>
              </w:rPr>
              <w:br w:type="textWrapping"/>
            </w:r>
            <w:r>
              <w:rPr>
                <w:rFonts w:hint="eastAsia" w:ascii="宋体" w:hAnsi="宋体" w:cs="Tahoma"/>
                <w:kern w:val="0"/>
                <w:sz w:val="20"/>
                <w:szCs w:val="20"/>
              </w:rPr>
              <w:t>（不接受加注墨水的方式）▲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参考品牌</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设备监控软件</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打印速度</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黑彩同速不低于每分钟34页▲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1200×1200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支持有线和无线WiFi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2</w:t>
            </w:r>
            <w:r>
              <w:rPr>
                <w:rFonts w:hint="eastAsia" w:ascii="宋体" w:hAnsi="宋体" w:cs="Tahom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不低于300页（A4普通纸</w:t>
            </w:r>
            <w:r>
              <w:rPr>
                <w:rFonts w:ascii="宋体" w:hAnsi="宋体" w:cs="Tahoma"/>
                <w:kern w:val="0"/>
                <w:sz w:val="20"/>
                <w:szCs w:val="20"/>
              </w:rPr>
              <w:t>75</w:t>
            </w:r>
            <w:r>
              <w:rPr>
                <w:rFonts w:hint="eastAsia" w:ascii="宋体" w:hAnsi="宋体" w:cs="Tahoma"/>
                <w:kern w:val="0"/>
                <w:sz w:val="20"/>
                <w:szCs w:val="20"/>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不低于黑色1万页 彩色5000页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计数器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至少有A4和A5的分别计数功能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不高于100W（打印模式）▲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黑白一体机</w:t>
            </w: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喷墨一体机</w:t>
            </w:r>
            <w:r>
              <w:rPr>
                <w:rFonts w:hint="eastAsia" w:ascii="宋体" w:hAnsi="宋体" w:cs="Tahoma"/>
                <w:kern w:val="0"/>
                <w:sz w:val="20"/>
                <w:szCs w:val="20"/>
              </w:rPr>
              <w:br w:type="textWrapping"/>
            </w:r>
            <w:r>
              <w:rPr>
                <w:rFonts w:hint="eastAsia" w:ascii="宋体" w:hAnsi="宋体" w:cs="Tahoma"/>
                <w:kern w:val="0"/>
                <w:sz w:val="20"/>
                <w:szCs w:val="20"/>
              </w:rPr>
              <w:t>（不接受加注墨水的方式）▲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参考品牌</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设备监控软件</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打印/复印速度</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不低于每分钟34页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扫描特性</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U盘储存和读取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1200×1200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支持有线和无线WiFi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2</w:t>
            </w:r>
            <w:r>
              <w:rPr>
                <w:rFonts w:hint="eastAsia" w:ascii="宋体" w:hAnsi="宋体" w:cs="Tahom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不低于300页</w:t>
            </w:r>
            <w:r>
              <w:rPr>
                <w:rFonts w:hint="eastAsia" w:ascii="宋体" w:hAnsi="宋体" w:cs="Tahoma"/>
                <w:kern w:val="0"/>
                <w:sz w:val="20"/>
                <w:szCs w:val="20"/>
                <w:highlight w:val="none"/>
              </w:rPr>
              <w:t>（A4普通纸</w:t>
            </w:r>
            <w:r>
              <w:rPr>
                <w:rFonts w:ascii="宋体" w:hAnsi="宋体" w:cs="Tahoma"/>
                <w:kern w:val="0"/>
                <w:sz w:val="20"/>
                <w:szCs w:val="20"/>
                <w:highlight w:val="none"/>
              </w:rPr>
              <w:t>75</w:t>
            </w:r>
            <w:r>
              <w:rPr>
                <w:rFonts w:hint="eastAsia" w:ascii="宋体" w:hAnsi="宋体" w:cs="Tahoma"/>
                <w:kern w:val="0"/>
                <w:sz w:val="20"/>
                <w:szCs w:val="20"/>
                <w:highlight w:val="none"/>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不低于1万页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计数器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至少有A4和A5的分别计数功能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不高于100W（打印模式）▲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彩色一体机</w:t>
            </w: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喷墨一体机</w:t>
            </w:r>
            <w:r>
              <w:rPr>
                <w:rFonts w:hint="eastAsia" w:ascii="宋体" w:hAnsi="宋体" w:cs="Tahoma"/>
                <w:kern w:val="0"/>
                <w:sz w:val="20"/>
                <w:szCs w:val="20"/>
              </w:rPr>
              <w:br w:type="textWrapping"/>
            </w:r>
            <w:r>
              <w:rPr>
                <w:rFonts w:hint="eastAsia" w:ascii="宋体" w:hAnsi="宋体" w:cs="Tahoma"/>
                <w:kern w:val="0"/>
                <w:sz w:val="20"/>
                <w:szCs w:val="20"/>
              </w:rPr>
              <w:t>（不接受加注墨水的方式）▲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参考品牌</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设备监控软件</w:t>
            </w:r>
          </w:p>
        </w:tc>
        <w:tc>
          <w:tcPr>
            <w:tcW w:w="5443" w:type="dxa"/>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打印/复印速度</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黑彩同速不低于每分钟34页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扫描特性</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U盘储存和读取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1200×1200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支持有线和无线WiFi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4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2</w:t>
            </w:r>
            <w:r>
              <w:rPr>
                <w:rFonts w:hint="eastAsia" w:ascii="宋体" w:hAnsi="宋体" w:cs="Tahom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不低于30</w:t>
            </w:r>
            <w:r>
              <w:rPr>
                <w:rFonts w:hint="eastAsia" w:ascii="宋体" w:hAnsi="宋体" w:cs="Tahoma"/>
                <w:kern w:val="0"/>
                <w:sz w:val="20"/>
                <w:szCs w:val="20"/>
                <w:highlight w:val="none"/>
              </w:rPr>
              <w:t>0页（A4普通纸</w:t>
            </w:r>
            <w:r>
              <w:rPr>
                <w:rFonts w:ascii="宋体" w:hAnsi="宋体" w:cs="Tahoma"/>
                <w:kern w:val="0"/>
                <w:sz w:val="20"/>
                <w:szCs w:val="20"/>
                <w:highlight w:val="none"/>
              </w:rPr>
              <w:t>75</w:t>
            </w:r>
            <w:r>
              <w:rPr>
                <w:rFonts w:hint="eastAsia" w:ascii="宋体" w:hAnsi="宋体" w:cs="Tahoma"/>
                <w:kern w:val="0"/>
                <w:sz w:val="20"/>
                <w:szCs w:val="20"/>
                <w:highlight w:val="none"/>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不低于黑色1万页 彩色5000页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计数器</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 xml:space="preserve">至少有A4和A5的分别计数功能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6" w:type="dxa"/>
            <w:vMerge w:val="continue"/>
          </w:tcPr>
          <w:p>
            <w:pPr>
              <w:widowControl/>
              <w:snapToGrid w:val="0"/>
              <w:spacing w:line="140" w:lineRule="atLeast"/>
              <w:jc w:val="left"/>
              <w:rPr>
                <w:rFonts w:ascii="微软雅黑" w:hAnsi="微软雅黑" w:eastAsia="微软雅黑" w:cs="Tahoma"/>
                <w:kern w:val="0"/>
                <w:sz w:val="20"/>
                <w:szCs w:val="20"/>
              </w:rPr>
            </w:pPr>
          </w:p>
        </w:tc>
        <w:tc>
          <w:tcPr>
            <w:tcW w:w="1531" w:type="dxa"/>
            <w:noWrap/>
          </w:tcPr>
          <w:p>
            <w:pPr>
              <w:widowControl/>
              <w:snapToGrid w:val="0"/>
              <w:spacing w:line="140" w:lineRule="atLeast"/>
              <w:jc w:val="center"/>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40" w:lineRule="atLeast"/>
              <w:jc w:val="left"/>
              <w:rPr>
                <w:rFonts w:ascii="宋体" w:hAnsi="宋体" w:cs="Tahoma"/>
                <w:kern w:val="0"/>
                <w:sz w:val="20"/>
                <w:szCs w:val="20"/>
              </w:rPr>
            </w:pPr>
            <w:r>
              <w:rPr>
                <w:rFonts w:hint="eastAsia" w:ascii="宋体" w:hAnsi="宋体" w:cs="Tahoma"/>
                <w:kern w:val="0"/>
                <w:sz w:val="20"/>
                <w:szCs w:val="20"/>
              </w:rPr>
              <w:t>不高于100W（打印模式）▲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黑白打印机2</w:t>
            </w: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喷墨打印机</w:t>
            </w:r>
            <w:r>
              <w:rPr>
                <w:rFonts w:hint="eastAsia" w:ascii="宋体" w:hAnsi="宋体" w:cs="Tahoma"/>
                <w:kern w:val="0"/>
                <w:sz w:val="20"/>
                <w:szCs w:val="20"/>
              </w:rPr>
              <w:br w:type="textWrapping"/>
            </w:r>
            <w:r>
              <w:rPr>
                <w:rFonts w:hint="eastAsia" w:ascii="宋体" w:hAnsi="宋体" w:cs="Tahoma"/>
                <w:kern w:val="0"/>
                <w:sz w:val="20"/>
                <w:szCs w:val="20"/>
              </w:rPr>
              <w:t>（不接受加注墨水的方式）▲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推荐品牌</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设备管理软件</w:t>
            </w:r>
          </w:p>
        </w:tc>
        <w:tc>
          <w:tcPr>
            <w:tcW w:w="5443" w:type="dxa"/>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打印速度</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不低于每分钟34页▲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手动双面打印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8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1440 x 720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支持有线和无线WiFi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8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w:t>
            </w:r>
            <w:r>
              <w:rPr>
                <w:rFonts w:hint="eastAsia" w:ascii="宋体" w:hAnsi="宋体" w:cs="Tahoma"/>
                <w:kern w:val="0"/>
                <w:sz w:val="20"/>
                <w:szCs w:val="20"/>
              </w:rPr>
              <w:t>个</w:t>
            </w:r>
            <w:r>
              <w:rPr>
                <w:rFonts w:hint="eastAsia" w:ascii="Segoe UI Symbol" w:hAnsi="Segoe UI Symbol" w:cs="Tahom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不低于100</w:t>
            </w:r>
            <w:r>
              <w:rPr>
                <w:rFonts w:hint="eastAsia" w:ascii="宋体" w:hAnsi="宋体" w:cs="Tahoma"/>
                <w:kern w:val="0"/>
                <w:sz w:val="20"/>
                <w:szCs w:val="20"/>
                <w:highlight w:val="none"/>
              </w:rPr>
              <w:t>页（A4普通纸</w:t>
            </w:r>
            <w:r>
              <w:rPr>
                <w:rFonts w:ascii="宋体" w:hAnsi="宋体" w:cs="Tahoma"/>
                <w:kern w:val="0"/>
                <w:sz w:val="20"/>
                <w:szCs w:val="20"/>
                <w:highlight w:val="none"/>
              </w:rPr>
              <w:t>75</w:t>
            </w:r>
            <w:r>
              <w:rPr>
                <w:rFonts w:hint="eastAsia" w:ascii="宋体" w:hAnsi="宋体" w:cs="Tahoma"/>
                <w:kern w:val="0"/>
                <w:sz w:val="20"/>
                <w:szCs w:val="20"/>
                <w:highlight w:val="none"/>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 xml:space="preserve">不低于2400页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微软雅黑" w:hAnsi="微软雅黑" w:eastAsia="微软雅黑" w:cs="Tahoma"/>
                <w:kern w:val="0"/>
                <w:sz w:val="20"/>
                <w:szCs w:val="20"/>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不高于15W（打印模式）▲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restart"/>
            <w:noWrap/>
          </w:tcPr>
          <w:p>
            <w:pPr>
              <w:widowControl/>
              <w:snapToGrid w:val="0"/>
              <w:spacing w:line="180" w:lineRule="atLeast"/>
              <w:jc w:val="right"/>
              <w:rPr>
                <w:rFonts w:ascii="Tahoma" w:hAnsi="Tahoma" w:cs="Tahoma"/>
                <w:kern w:val="0"/>
                <w:sz w:val="22"/>
              </w:rPr>
            </w:pPr>
            <w:r>
              <w:rPr>
                <w:rFonts w:hint="eastAsia" w:ascii="Tahoma" w:hAnsi="Tahoma" w:cs="Tahoma"/>
                <w:kern w:val="0"/>
                <w:sz w:val="22"/>
              </w:rPr>
              <w:t>　黑白打印机3</w:t>
            </w: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类别</w:t>
            </w:r>
          </w:p>
        </w:tc>
        <w:tc>
          <w:tcPr>
            <w:tcW w:w="5443" w:type="dxa"/>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喷墨打印机▲</w:t>
            </w:r>
            <w:r>
              <w:rPr>
                <w:rFonts w:hint="eastAsia" w:ascii="宋体" w:hAnsi="宋体" w:cs="Tahoma"/>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推荐品牌</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佳能、惠普、爱普生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设备管理软件</w:t>
            </w:r>
          </w:p>
        </w:tc>
        <w:tc>
          <w:tcPr>
            <w:tcW w:w="5443" w:type="dxa"/>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提供原厂管理软件（可监控耗材状态，打印状态；且可把印量报告按每周、每月、每年定期发送管理员）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打印速度</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不低于每分钟34页▲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双面打印</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手动双面打印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打印分辨率</w:t>
            </w:r>
          </w:p>
        </w:tc>
        <w:tc>
          <w:tcPr>
            <w:tcW w:w="5443" w:type="dxa"/>
            <w:noWrap/>
          </w:tcPr>
          <w:p>
            <w:pPr>
              <w:widowControl/>
              <w:snapToGrid w:val="0"/>
              <w:spacing w:line="18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1440 x 720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网络功能</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支持有线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进纸盒数量</w:t>
            </w:r>
          </w:p>
        </w:tc>
        <w:tc>
          <w:tcPr>
            <w:tcW w:w="5443" w:type="dxa"/>
            <w:noWrap/>
          </w:tcPr>
          <w:p>
            <w:pPr>
              <w:widowControl/>
              <w:snapToGrid w:val="0"/>
              <w:spacing w:line="180" w:lineRule="atLeast"/>
              <w:jc w:val="left"/>
              <w:rPr>
                <w:rFonts w:ascii="Tahoma" w:hAnsi="Tahoma" w:cs="Tahoma"/>
                <w:kern w:val="0"/>
                <w:sz w:val="20"/>
                <w:szCs w:val="20"/>
              </w:rPr>
            </w:pPr>
            <w:r>
              <w:rPr>
                <w:rFonts w:hint="eastAsia" w:ascii="宋体" w:hAnsi="宋体" w:cs="Tahoma"/>
                <w:kern w:val="0"/>
                <w:sz w:val="20"/>
                <w:szCs w:val="20"/>
              </w:rPr>
              <w:t>不低于</w:t>
            </w:r>
            <w:r>
              <w:rPr>
                <w:rFonts w:hint="eastAsia" w:ascii="Tahoma" w:hAnsi="Tahoma" w:cs="Tahoma"/>
                <w:kern w:val="0"/>
                <w:sz w:val="20"/>
                <w:szCs w:val="20"/>
              </w:rPr>
              <w:t>1</w:t>
            </w:r>
            <w:r>
              <w:rPr>
                <w:rFonts w:hint="eastAsia" w:ascii="宋体" w:hAnsi="宋体" w:cs="Tahoma"/>
                <w:kern w:val="0"/>
                <w:sz w:val="20"/>
                <w:szCs w:val="20"/>
              </w:rPr>
              <w:t>个</w:t>
            </w:r>
            <w:r>
              <w:rPr>
                <w:rFonts w:hint="eastAsia" w:ascii="Segoe UI Symbol" w:hAnsi="Segoe UI Symbol" w:cs="Tahom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进纸盒容量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不低于100页</w:t>
            </w:r>
            <w:r>
              <w:rPr>
                <w:rFonts w:hint="eastAsia" w:ascii="宋体" w:hAnsi="宋体" w:cs="Tahoma"/>
                <w:kern w:val="0"/>
                <w:sz w:val="20"/>
                <w:szCs w:val="20"/>
                <w:highlight w:val="none"/>
              </w:rPr>
              <w:t>（A4普通纸</w:t>
            </w:r>
            <w:r>
              <w:rPr>
                <w:rFonts w:ascii="宋体" w:hAnsi="宋体" w:cs="Tahoma"/>
                <w:kern w:val="0"/>
                <w:sz w:val="20"/>
                <w:szCs w:val="20"/>
                <w:highlight w:val="none"/>
              </w:rPr>
              <w:t>75</w:t>
            </w:r>
            <w:r>
              <w:rPr>
                <w:rFonts w:hint="eastAsia" w:ascii="宋体" w:hAnsi="宋体" w:cs="Tahoma"/>
                <w:kern w:val="0"/>
                <w:sz w:val="20"/>
                <w:szCs w:val="20"/>
                <w:highlight w:val="none"/>
              </w:rPr>
              <w:t>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耗材规格</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一体式耗材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耗材性质</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打印内容至少防水▲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耗材印量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 xml:space="preserve">不低于6000页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显示屏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液晶显示屏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vMerge w:val="continue"/>
          </w:tcPr>
          <w:p>
            <w:pPr>
              <w:widowControl/>
              <w:snapToGrid w:val="0"/>
              <w:spacing w:line="180" w:lineRule="atLeast"/>
              <w:jc w:val="right"/>
              <w:rPr>
                <w:rFonts w:ascii="Tahoma" w:hAnsi="Tahoma" w:cs="Tahoma"/>
                <w:kern w:val="0"/>
                <w:sz w:val="22"/>
              </w:rPr>
            </w:pPr>
          </w:p>
        </w:tc>
        <w:tc>
          <w:tcPr>
            <w:tcW w:w="1531" w:type="dxa"/>
            <w:noWrap/>
          </w:tcPr>
          <w:p>
            <w:pPr>
              <w:widowControl/>
              <w:snapToGrid w:val="0"/>
              <w:spacing w:line="180" w:lineRule="atLeast"/>
              <w:jc w:val="right"/>
              <w:rPr>
                <w:rFonts w:ascii="微软雅黑" w:hAnsi="微软雅黑" w:eastAsia="微软雅黑" w:cs="Tahoma"/>
                <w:kern w:val="0"/>
                <w:sz w:val="20"/>
                <w:szCs w:val="20"/>
              </w:rPr>
            </w:pPr>
            <w:r>
              <w:rPr>
                <w:rFonts w:hint="eastAsia" w:ascii="微软雅黑" w:hAnsi="微软雅黑" w:eastAsia="微软雅黑" w:cs="Tahoma"/>
                <w:kern w:val="0"/>
                <w:sz w:val="20"/>
                <w:szCs w:val="20"/>
              </w:rPr>
              <w:t>耗电量</w:t>
            </w:r>
          </w:p>
        </w:tc>
        <w:tc>
          <w:tcPr>
            <w:tcW w:w="5443" w:type="dxa"/>
            <w:noWrap/>
          </w:tcPr>
          <w:p>
            <w:pPr>
              <w:widowControl/>
              <w:snapToGrid w:val="0"/>
              <w:spacing w:line="180" w:lineRule="atLeast"/>
              <w:jc w:val="left"/>
              <w:rPr>
                <w:rFonts w:ascii="宋体" w:hAnsi="宋体" w:cs="Tahoma"/>
                <w:kern w:val="0"/>
                <w:sz w:val="20"/>
                <w:szCs w:val="20"/>
              </w:rPr>
            </w:pPr>
            <w:r>
              <w:rPr>
                <w:rFonts w:hint="eastAsia" w:ascii="宋体" w:hAnsi="宋体" w:cs="Tahoma"/>
                <w:kern w:val="0"/>
                <w:sz w:val="20"/>
                <w:szCs w:val="20"/>
              </w:rPr>
              <w:t>不高于15W（打印模式）▲</w:t>
            </w:r>
          </w:p>
        </w:tc>
      </w:tr>
    </w:tbl>
    <w:p>
      <w:pPr>
        <w:jc w:val="center"/>
        <w:rPr>
          <w:sz w:val="24"/>
        </w:rPr>
      </w:pPr>
    </w:p>
    <w:p>
      <w:pPr>
        <w:pStyle w:val="2"/>
        <w:rPr>
          <w:lang w:val="en-US"/>
        </w:rPr>
      </w:pPr>
    </w:p>
    <w:p>
      <w:pPr>
        <w:pStyle w:val="2"/>
      </w:pPr>
      <w:r>
        <w:rPr>
          <w:rFonts w:hint="eastAsia"/>
        </w:rPr>
        <w:t>3、运维软件要求</w:t>
      </w:r>
    </w:p>
    <w:p/>
    <w:tbl>
      <w:tblPr>
        <w:tblStyle w:val="66"/>
        <w:tblW w:w="8642" w:type="dxa"/>
        <w:tblInd w:w="0" w:type="dxa"/>
        <w:tblLayout w:type="autofit"/>
        <w:tblCellMar>
          <w:top w:w="0" w:type="dxa"/>
          <w:left w:w="108" w:type="dxa"/>
          <w:bottom w:w="0" w:type="dxa"/>
          <w:right w:w="108" w:type="dxa"/>
        </w:tblCellMar>
      </w:tblPr>
      <w:tblGrid>
        <w:gridCol w:w="1130"/>
        <w:gridCol w:w="1275"/>
        <w:gridCol w:w="6237"/>
      </w:tblGrid>
      <w:tr>
        <w:tblPrEx>
          <w:tblCellMar>
            <w:top w:w="0" w:type="dxa"/>
            <w:left w:w="108" w:type="dxa"/>
            <w:bottom w:w="0" w:type="dxa"/>
            <w:right w:w="108" w:type="dxa"/>
          </w:tblCellMar>
        </w:tblPrEx>
        <w:trPr>
          <w:trHeight w:val="300" w:hRule="atLeast"/>
          <w:tblHeader/>
        </w:trPr>
        <w:tc>
          <w:tcPr>
            <w:tcW w:w="2405" w:type="dxa"/>
            <w:gridSpan w:val="2"/>
            <w:tcBorders>
              <w:top w:val="single" w:color="auto" w:sz="4" w:space="0"/>
              <w:left w:val="single" w:color="auto" w:sz="4" w:space="0"/>
              <w:bottom w:val="single" w:color="auto" w:sz="4" w:space="0"/>
              <w:right w:val="single" w:color="000000" w:sz="4" w:space="0"/>
            </w:tcBorders>
            <w:shd w:val="clear" w:color="00CCFF" w:fill="D9D9D9"/>
            <w:vAlign w:val="center"/>
          </w:tcPr>
          <w:p>
            <w:pPr>
              <w:widowControl/>
              <w:snapToGrid w:val="0"/>
              <w:spacing w:line="240" w:lineRule="atLeast"/>
              <w:jc w:val="center"/>
              <w:rPr>
                <w:rFonts w:ascii="宋体" w:hAnsi="宋体" w:cs="宋体"/>
                <w:b/>
                <w:bCs/>
                <w:kern w:val="0"/>
                <w:sz w:val="22"/>
              </w:rPr>
            </w:pPr>
            <w:r>
              <w:rPr>
                <w:rFonts w:hint="eastAsia" w:ascii="宋体" w:hAnsi="宋体" w:cs="宋体"/>
                <w:b/>
                <w:bCs/>
                <w:kern w:val="0"/>
                <w:sz w:val="22"/>
              </w:rPr>
              <w:t>项目</w:t>
            </w:r>
          </w:p>
        </w:tc>
        <w:tc>
          <w:tcPr>
            <w:tcW w:w="6237" w:type="dxa"/>
            <w:tcBorders>
              <w:top w:val="single" w:color="auto" w:sz="4" w:space="0"/>
              <w:left w:val="nil"/>
              <w:bottom w:val="single" w:color="auto" w:sz="4" w:space="0"/>
              <w:right w:val="single" w:color="auto" w:sz="4" w:space="0"/>
            </w:tcBorders>
            <w:shd w:val="clear" w:color="00CCFF" w:fill="D9D9D9"/>
            <w:vAlign w:val="center"/>
          </w:tcPr>
          <w:p>
            <w:pPr>
              <w:widowControl/>
              <w:snapToGrid w:val="0"/>
              <w:spacing w:line="240" w:lineRule="atLeast"/>
              <w:jc w:val="center"/>
              <w:rPr>
                <w:rFonts w:ascii="宋体" w:hAnsi="宋体" w:cs="宋体"/>
                <w:b/>
                <w:bCs/>
                <w:kern w:val="0"/>
                <w:sz w:val="22"/>
              </w:rPr>
            </w:pPr>
            <w:r>
              <w:rPr>
                <w:rFonts w:hint="eastAsia" w:ascii="宋体" w:hAnsi="宋体" w:cs="宋体"/>
                <w:b/>
                <w:bCs/>
                <w:kern w:val="0"/>
                <w:sz w:val="22"/>
              </w:rPr>
              <w:t>功能描述</w:t>
            </w:r>
          </w:p>
        </w:tc>
      </w:tr>
      <w:tr>
        <w:tblPrEx>
          <w:tblCellMar>
            <w:top w:w="0" w:type="dxa"/>
            <w:left w:w="108" w:type="dxa"/>
            <w:bottom w:w="0" w:type="dxa"/>
            <w:right w:w="108" w:type="dxa"/>
          </w:tblCellMar>
        </w:tblPrEx>
        <w:trPr>
          <w:trHeight w:val="588"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IT呼叫中心</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来电弹屏</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在电话响起时，自动弹出报修页面，根据录入信息自动识别来电科室</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电话工单</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可根据实际报修情况远程处理完成工单或一键派单给对应维修工程处理</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来电录音</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实时在线录音，录音文件可自动上传服务器永久保存，录音文件可回放，可监控多路电话</w:t>
            </w:r>
          </w:p>
        </w:tc>
      </w:tr>
      <w:tr>
        <w:tblPrEx>
          <w:tblCellMar>
            <w:top w:w="0" w:type="dxa"/>
            <w:left w:w="108" w:type="dxa"/>
            <w:bottom w:w="0" w:type="dxa"/>
            <w:right w:w="108" w:type="dxa"/>
          </w:tblCellMar>
        </w:tblPrEx>
        <w:trPr>
          <w:trHeight w:val="41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来电记录</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自动记录电话接听状态、对应工单状态等信息</w:t>
            </w:r>
          </w:p>
        </w:tc>
      </w:tr>
      <w:tr>
        <w:tblPrEx>
          <w:tblCellMar>
            <w:top w:w="0" w:type="dxa"/>
            <w:left w:w="108" w:type="dxa"/>
            <w:bottom w:w="0" w:type="dxa"/>
            <w:right w:w="108" w:type="dxa"/>
          </w:tblCellMar>
        </w:tblPrEx>
        <w:trPr>
          <w:trHeight w:val="588"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工单管理</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报修渠道</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用户可通过微信公众号（h5提交报修)、固定电话（不改变原有电话线路）等多种渠道进行报修</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派单响应</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提供自动派单和人工派单两种派单方式</w:t>
            </w:r>
          </w:p>
          <w:p>
            <w:pPr>
              <w:widowControl/>
              <w:snapToGrid w:val="0"/>
              <w:spacing w:line="240" w:lineRule="atLeast"/>
              <w:jc w:val="left"/>
              <w:rPr>
                <w:rFonts w:ascii="宋体" w:hAnsi="宋体" w:cs="宋体"/>
                <w:kern w:val="0"/>
                <w:sz w:val="22"/>
              </w:rPr>
            </w:pPr>
            <w:r>
              <w:rPr>
                <w:rFonts w:hint="eastAsia" w:ascii="宋体" w:hAnsi="宋体" w:cs="宋体"/>
                <w:kern w:val="0"/>
                <w:sz w:val="22"/>
              </w:rPr>
              <w:t>响应时间提供立即维修、预约时间维修两种方式</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过程跟踪</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可以填写多次处理记录（包括维修、送修等）并实时记录，直到整个工单完成闭环</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工单协作</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手机端与电脑端均可将工单转派给其他同事，并提供多人协同处理同一个工单的功能</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送修记录</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需要厂家更换配件或厂家工程师上门维修，可记录维修金额及凭证上传</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ascii="宋体" w:hAnsi="宋体" w:cs="宋体"/>
                <w:kern w:val="0"/>
                <w:sz w:val="22"/>
              </w:rPr>
            </w:pPr>
            <w:r>
              <w:rPr>
                <w:rFonts w:hint="eastAsia" w:ascii="宋体" w:hAnsi="宋体" w:cs="宋体"/>
                <w:kern w:val="0"/>
                <w:sz w:val="22"/>
              </w:rPr>
              <w:t>服务评价</w:t>
            </w:r>
          </w:p>
        </w:tc>
        <w:tc>
          <w:tcPr>
            <w:tcW w:w="62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left"/>
              <w:rPr>
                <w:rFonts w:ascii="宋体" w:hAnsi="宋体" w:cs="宋体"/>
                <w:kern w:val="0"/>
                <w:sz w:val="22"/>
              </w:rPr>
            </w:pPr>
            <w:r>
              <w:rPr>
                <w:rFonts w:hint="eastAsia" w:ascii="宋体" w:hAnsi="宋体" w:cs="宋体"/>
                <w:kern w:val="0"/>
                <w:sz w:val="22"/>
              </w:rPr>
              <w:t>支持响应速度，服务态度等多维度评价，3天未评价的工单系统自动默认好评</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进度提醒</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工单全流程支持移动端消息提醒</w:t>
            </w:r>
          </w:p>
        </w:tc>
      </w:tr>
      <w:tr>
        <w:tblPrEx>
          <w:tblCellMar>
            <w:top w:w="0" w:type="dxa"/>
            <w:left w:w="108" w:type="dxa"/>
            <w:bottom w:w="0" w:type="dxa"/>
            <w:right w:w="108" w:type="dxa"/>
          </w:tblCellMar>
        </w:tblPrEx>
        <w:trPr>
          <w:trHeight w:val="58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维修记录</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通过可视化的方式展示工单从创建、接单、处理到完成的相关时间、人员、需求和服务内容等全部记录</w:t>
            </w:r>
          </w:p>
        </w:tc>
      </w:tr>
      <w:tr>
        <w:tblPrEx>
          <w:tblCellMar>
            <w:top w:w="0" w:type="dxa"/>
            <w:left w:w="108" w:type="dxa"/>
            <w:bottom w:w="0" w:type="dxa"/>
            <w:right w:w="108" w:type="dxa"/>
          </w:tblCellMar>
        </w:tblPrEx>
        <w:trPr>
          <w:trHeight w:val="534"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知识库</w:t>
            </w:r>
          </w:p>
          <w:p>
            <w:pPr>
              <w:widowControl/>
              <w:snapToGrid w:val="0"/>
              <w:spacing w:line="240" w:lineRule="atLeast"/>
              <w:jc w:val="center"/>
              <w:rPr>
                <w:rFonts w:ascii="宋体" w:hAnsi="宋体" w:cs="宋体"/>
                <w:kern w:val="0"/>
                <w:sz w:val="22"/>
              </w:rPr>
            </w:pPr>
            <w:r>
              <w:rPr>
                <w:rFonts w:hint="eastAsia" w:ascii="宋体" w:hAnsi="宋体" w:cs="宋体"/>
                <w:kern w:val="0"/>
                <w:sz w:val="22"/>
              </w:rPr>
              <w:t>管理</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快速录入</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数据录入采用富文本编辑框，同时支持通过手机端、PC端录入；完成工单同时支持一键转存知识库</w:t>
            </w:r>
          </w:p>
        </w:tc>
      </w:tr>
      <w:tr>
        <w:tblPrEx>
          <w:tblCellMar>
            <w:top w:w="0" w:type="dxa"/>
            <w:left w:w="108" w:type="dxa"/>
            <w:bottom w:w="0" w:type="dxa"/>
            <w:right w:w="108" w:type="dxa"/>
          </w:tblCellMar>
        </w:tblPrEx>
        <w:trPr>
          <w:trHeight w:val="55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快速查看</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可自定义分类知识库，按分类搜索快速且精准。也可通过知识标签快速筛选</w:t>
            </w:r>
          </w:p>
        </w:tc>
      </w:tr>
      <w:tr>
        <w:tblPrEx>
          <w:tblCellMar>
            <w:top w:w="0" w:type="dxa"/>
            <w:left w:w="108" w:type="dxa"/>
            <w:bottom w:w="0" w:type="dxa"/>
            <w:right w:w="108" w:type="dxa"/>
          </w:tblCellMar>
        </w:tblPrEx>
        <w:trPr>
          <w:trHeight w:val="552"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知识标签</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可为每条知识库添加标签，标签可自定义，对知识库进一步细化管理</w:t>
            </w:r>
          </w:p>
        </w:tc>
      </w:tr>
      <w:tr>
        <w:tblPrEx>
          <w:tblCellMar>
            <w:top w:w="0" w:type="dxa"/>
            <w:left w:w="108" w:type="dxa"/>
            <w:bottom w:w="0" w:type="dxa"/>
            <w:right w:w="108" w:type="dxa"/>
          </w:tblCellMar>
        </w:tblPrEx>
        <w:trPr>
          <w:trHeight w:val="629"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知识安全</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可针对关键性知识库文档及条目进行权限加密，支持密码加密，白名单加密。（生成密钥）</w:t>
            </w:r>
          </w:p>
        </w:tc>
      </w:tr>
      <w:tr>
        <w:tblPrEx>
          <w:tblCellMar>
            <w:top w:w="0" w:type="dxa"/>
            <w:left w:w="108" w:type="dxa"/>
            <w:bottom w:w="0" w:type="dxa"/>
            <w:right w:w="108" w:type="dxa"/>
          </w:tblCellMar>
        </w:tblPrEx>
        <w:trPr>
          <w:trHeight w:val="553"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知识交流</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可对知识条目进行点赞，回复等社区交流活动，供用户讨论知识条目的可用性</w:t>
            </w:r>
          </w:p>
        </w:tc>
      </w:tr>
      <w:tr>
        <w:tblPrEx>
          <w:tblCellMar>
            <w:top w:w="0" w:type="dxa"/>
            <w:left w:w="108" w:type="dxa"/>
            <w:bottom w:w="0" w:type="dxa"/>
            <w:right w:w="108" w:type="dxa"/>
          </w:tblCellMar>
        </w:tblPrEx>
        <w:trPr>
          <w:trHeight w:val="547"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巡检管理</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指标定义</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可根据实际情况，自定义生成巡检指标，多个指标可生成模板，模板可保存、复用</w:t>
            </w:r>
          </w:p>
        </w:tc>
      </w:tr>
      <w:tr>
        <w:tblPrEx>
          <w:tblCellMar>
            <w:top w:w="0" w:type="dxa"/>
            <w:left w:w="108" w:type="dxa"/>
            <w:bottom w:w="0" w:type="dxa"/>
            <w:right w:w="108" w:type="dxa"/>
          </w:tblCellMar>
        </w:tblPrEx>
        <w:trPr>
          <w:trHeight w:val="68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制定计划</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自定义生成巡检计划，可针对场景（机房、急诊等）和设备（UPS、医疗设备等）指定负责人，并自定义巡检时间规则</w:t>
            </w:r>
          </w:p>
        </w:tc>
      </w:tr>
      <w:tr>
        <w:tblPrEx>
          <w:tblCellMar>
            <w:top w:w="0" w:type="dxa"/>
            <w:left w:w="108" w:type="dxa"/>
            <w:bottom w:w="0" w:type="dxa"/>
            <w:right w:w="108" w:type="dxa"/>
          </w:tblCellMar>
        </w:tblPrEx>
        <w:trPr>
          <w:trHeight w:val="702"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任务下发</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系统根据创建的巡检计划，按照时间规则下发任务到负责人帐号上，负责人可在手机上或电脑上接收查看巡检任务提醒</w:t>
            </w:r>
          </w:p>
        </w:tc>
      </w:tr>
      <w:tr>
        <w:tblPrEx>
          <w:tblCellMar>
            <w:top w:w="0" w:type="dxa"/>
            <w:left w:w="108" w:type="dxa"/>
            <w:bottom w:w="0" w:type="dxa"/>
            <w:right w:w="108" w:type="dxa"/>
          </w:tblCellMar>
        </w:tblPrEx>
        <w:trPr>
          <w:trHeight w:val="69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任务执行</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支持手机端操作，用户可持手机到达现场，进行巡检指标录入，支持拍照和电脑端查看</w:t>
            </w:r>
          </w:p>
        </w:tc>
      </w:tr>
      <w:tr>
        <w:tblPrEx>
          <w:tblCellMar>
            <w:top w:w="0" w:type="dxa"/>
            <w:left w:w="108" w:type="dxa"/>
            <w:bottom w:w="0" w:type="dxa"/>
            <w:right w:w="108" w:type="dxa"/>
          </w:tblCellMar>
        </w:tblPrEx>
        <w:trPr>
          <w:trHeight w:val="700"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资产管理</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资产台账</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支持资产数据结构化存储，可自定义字段，台账界面可进行资产检索，支持二维码打印，支持移动端扫码查询，扫码报修；</w:t>
            </w:r>
          </w:p>
        </w:tc>
      </w:tr>
      <w:tr>
        <w:tblPrEx>
          <w:tblCellMar>
            <w:top w:w="0" w:type="dxa"/>
            <w:left w:w="108" w:type="dxa"/>
            <w:bottom w:w="0" w:type="dxa"/>
            <w:right w:w="108" w:type="dxa"/>
          </w:tblCellMar>
        </w:tblPrEx>
        <w:trPr>
          <w:trHeight w:val="700" w:hRule="atLeast"/>
        </w:trPr>
        <w:tc>
          <w:tcPr>
            <w:tcW w:w="113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盘点入库</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提供预制二维码标签，无需先盘点再录入、贴标；盘点贴标的同时一步完成信息的登记录入</w:t>
            </w:r>
          </w:p>
        </w:tc>
      </w:tr>
      <w:tr>
        <w:tblPrEx>
          <w:tblCellMar>
            <w:top w:w="0" w:type="dxa"/>
            <w:left w:w="108" w:type="dxa"/>
            <w:bottom w:w="0" w:type="dxa"/>
            <w:right w:w="108" w:type="dxa"/>
          </w:tblCellMar>
        </w:tblPrEx>
        <w:trPr>
          <w:trHeight w:val="68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40" w:lineRule="atLeast"/>
              <w:jc w:val="center"/>
              <w:rPr>
                <w:rFonts w:ascii="宋体" w:hAnsi="宋体" w:cs="宋体"/>
                <w:kern w:val="0"/>
                <w:sz w:val="22"/>
              </w:rPr>
            </w:pPr>
            <w:r>
              <w:rPr>
                <w:rFonts w:hint="eastAsia" w:ascii="宋体" w:hAnsi="宋体" w:cs="宋体"/>
                <w:kern w:val="0"/>
                <w:sz w:val="22"/>
              </w:rPr>
              <w:t>库存管理</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240" w:lineRule="atLeast"/>
              <w:jc w:val="left"/>
              <w:rPr>
                <w:rFonts w:ascii="宋体" w:hAnsi="宋体" w:cs="宋体"/>
                <w:kern w:val="0"/>
                <w:sz w:val="22"/>
              </w:rPr>
            </w:pPr>
            <w:r>
              <w:rPr>
                <w:rFonts w:hint="eastAsia" w:ascii="宋体" w:hAnsi="宋体" w:cs="宋体"/>
                <w:kern w:val="0"/>
                <w:sz w:val="22"/>
              </w:rPr>
              <w:t>可根据资产实际情况进行设备的损坏、回库、出库等常规的库存管理操作</w:t>
            </w:r>
          </w:p>
        </w:tc>
      </w:tr>
      <w:tr>
        <w:tblPrEx>
          <w:tblCellMar>
            <w:top w:w="0" w:type="dxa"/>
            <w:left w:w="108" w:type="dxa"/>
            <w:bottom w:w="0" w:type="dxa"/>
            <w:right w:w="108" w:type="dxa"/>
          </w:tblCellMar>
        </w:tblPrEx>
        <w:trPr>
          <w:trHeight w:val="67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报废</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设备报废，记录报废信息，并记录报废设备的存放地点，方便后期寻找</w:t>
            </w:r>
          </w:p>
        </w:tc>
      </w:tr>
      <w:tr>
        <w:tblPrEx>
          <w:tblCellMar>
            <w:top w:w="0" w:type="dxa"/>
            <w:left w:w="108" w:type="dxa"/>
            <w:bottom w:w="0" w:type="dxa"/>
            <w:right w:w="108" w:type="dxa"/>
          </w:tblCellMar>
        </w:tblPrEx>
        <w:trPr>
          <w:trHeight w:val="621"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低值耗材</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可进行入库、领用等操作，有台账统计数量（科室及耗材型号、用量等）</w:t>
            </w:r>
          </w:p>
        </w:tc>
      </w:tr>
      <w:tr>
        <w:tblPrEx>
          <w:tblCellMar>
            <w:top w:w="0" w:type="dxa"/>
            <w:left w:w="108" w:type="dxa"/>
            <w:bottom w:w="0" w:type="dxa"/>
            <w:right w:w="108" w:type="dxa"/>
          </w:tblCellMar>
        </w:tblPrEx>
        <w:trPr>
          <w:trHeight w:val="749" w:hRule="atLeast"/>
        </w:trPr>
        <w:tc>
          <w:tcPr>
            <w:tcW w:w="1130" w:type="dxa"/>
            <w:vMerge w:val="restart"/>
            <w:tcBorders>
              <w:top w:val="nil"/>
              <w:left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物资商城</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申领选购</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提供可视化商品列表，包括商品的品牌型号、图片展示及协议价格等，方便用户选购申领</w:t>
            </w:r>
          </w:p>
        </w:tc>
      </w:tr>
      <w:tr>
        <w:tblPrEx>
          <w:tblCellMar>
            <w:top w:w="0" w:type="dxa"/>
            <w:left w:w="108" w:type="dxa"/>
            <w:bottom w:w="0" w:type="dxa"/>
            <w:right w:w="108" w:type="dxa"/>
          </w:tblCellMar>
        </w:tblPrEx>
        <w:trPr>
          <w:trHeight w:val="656" w:hRule="atLeast"/>
        </w:trPr>
        <w:tc>
          <w:tcPr>
            <w:tcW w:w="1130" w:type="dxa"/>
            <w:vMerge w:val="continue"/>
            <w:tcBorders>
              <w:left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集中申领</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具备“购物车”功能，方便用户批量加入、申领商品，不需要每件商品一个订单</w:t>
            </w:r>
          </w:p>
        </w:tc>
      </w:tr>
      <w:tr>
        <w:tblPrEx>
          <w:tblCellMar>
            <w:top w:w="0" w:type="dxa"/>
            <w:left w:w="108" w:type="dxa"/>
            <w:bottom w:w="0" w:type="dxa"/>
            <w:right w:w="108" w:type="dxa"/>
          </w:tblCellMar>
        </w:tblPrEx>
        <w:trPr>
          <w:trHeight w:val="678" w:hRule="atLeast"/>
        </w:trPr>
        <w:tc>
          <w:tcPr>
            <w:tcW w:w="1130" w:type="dxa"/>
            <w:vMerge w:val="continue"/>
            <w:tcBorders>
              <w:left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订单审批</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具备订单审批功能，可对用户发起的申领订单进行逐层增高审批，审批进度可跟踪查询</w:t>
            </w:r>
          </w:p>
        </w:tc>
      </w:tr>
      <w:tr>
        <w:tblPrEx>
          <w:tblCellMar>
            <w:top w:w="0" w:type="dxa"/>
            <w:left w:w="108" w:type="dxa"/>
            <w:bottom w:w="0" w:type="dxa"/>
            <w:right w:w="108" w:type="dxa"/>
          </w:tblCellMar>
        </w:tblPrEx>
        <w:trPr>
          <w:trHeight w:val="702" w:hRule="atLeast"/>
        </w:trPr>
        <w:tc>
          <w:tcPr>
            <w:tcW w:w="1130" w:type="dxa"/>
            <w:vMerge w:val="continue"/>
            <w:tcBorders>
              <w:left w:val="single" w:color="auto" w:sz="4" w:space="0"/>
              <w:bottom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订单跟踪</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订单审批通过后，用户可在后台查看对应订单的梳理情况或物流进展情况</w:t>
            </w:r>
          </w:p>
        </w:tc>
      </w:tr>
      <w:tr>
        <w:tblPrEx>
          <w:tblCellMar>
            <w:top w:w="0" w:type="dxa"/>
            <w:left w:w="108" w:type="dxa"/>
            <w:bottom w:w="0" w:type="dxa"/>
            <w:right w:w="108" w:type="dxa"/>
          </w:tblCellMar>
        </w:tblPrEx>
        <w:trPr>
          <w:trHeight w:val="702" w:hRule="atLeast"/>
        </w:trPr>
        <w:tc>
          <w:tcPr>
            <w:tcW w:w="1130" w:type="dxa"/>
            <w:vMerge w:val="restart"/>
            <w:tcBorders>
              <w:top w:val="nil"/>
              <w:left w:val="single" w:color="auto" w:sz="4" w:space="0"/>
              <w:right w:val="single" w:color="auto" w:sz="4" w:space="0"/>
            </w:tcBorders>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数据统计</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数据分析</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提供对选择时间段内的工单、资产、巡检、知识库等的数据统计界面，直观了解项目运行情况</w:t>
            </w:r>
          </w:p>
        </w:tc>
      </w:tr>
      <w:tr>
        <w:tblPrEx>
          <w:tblCellMar>
            <w:top w:w="0" w:type="dxa"/>
            <w:left w:w="108" w:type="dxa"/>
            <w:bottom w:w="0" w:type="dxa"/>
            <w:right w:w="108" w:type="dxa"/>
          </w:tblCellMar>
        </w:tblPrEx>
        <w:trPr>
          <w:trHeight w:val="698" w:hRule="atLeast"/>
        </w:trPr>
        <w:tc>
          <w:tcPr>
            <w:tcW w:w="113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22"/>
              </w:rPr>
            </w:pPr>
            <w:r>
              <w:rPr>
                <w:rFonts w:hint="eastAsia" w:ascii="宋体" w:hAnsi="宋体" w:cs="宋体"/>
                <w:kern w:val="0"/>
                <w:sz w:val="22"/>
              </w:rPr>
              <w:t>大屏展示</w:t>
            </w:r>
          </w:p>
        </w:tc>
        <w:tc>
          <w:tcPr>
            <w:tcW w:w="6237"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cs="宋体"/>
                <w:kern w:val="0"/>
                <w:sz w:val="22"/>
              </w:rPr>
            </w:pPr>
            <w:r>
              <w:rPr>
                <w:rFonts w:hint="eastAsia" w:ascii="宋体" w:hAnsi="宋体" w:cs="宋体"/>
                <w:kern w:val="0"/>
                <w:sz w:val="22"/>
              </w:rPr>
              <w:t>可通过大屏实时显示当天的来电信息和工单处理信息，提供包括报修工单情况、耗材使用情况、故障情况等多种数据展示</w:t>
            </w:r>
          </w:p>
        </w:tc>
      </w:tr>
    </w:tbl>
    <w:p/>
    <w:p>
      <w:pPr>
        <w:pStyle w:val="2"/>
      </w:pPr>
      <w:r>
        <w:rPr>
          <w:rFonts w:hint="eastAsia"/>
        </w:rPr>
        <w:t>4、打印类耗材年使用数量参考</w:t>
      </w:r>
    </w:p>
    <w:tbl>
      <w:tblPr>
        <w:tblStyle w:val="66"/>
        <w:tblW w:w="0" w:type="auto"/>
        <w:tblInd w:w="0" w:type="dxa"/>
        <w:tblLayout w:type="autofit"/>
        <w:tblCellMar>
          <w:top w:w="0" w:type="dxa"/>
          <w:left w:w="108" w:type="dxa"/>
          <w:bottom w:w="0" w:type="dxa"/>
          <w:right w:w="108" w:type="dxa"/>
        </w:tblCellMar>
      </w:tblPr>
      <w:tblGrid>
        <w:gridCol w:w="562"/>
        <w:gridCol w:w="6284"/>
        <w:gridCol w:w="1421"/>
        <w:gridCol w:w="908"/>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b/>
                <w:bCs/>
                <w:kern w:val="0"/>
                <w:sz w:val="22"/>
              </w:rPr>
            </w:pPr>
            <w:r>
              <w:rPr>
                <w:rFonts w:hint="eastAsia" w:ascii="宋体" w:hAnsi="宋体" w:cs="宋体"/>
                <w:b/>
                <w:bCs/>
                <w:kern w:val="0"/>
                <w:sz w:val="22"/>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b/>
                <w:bCs/>
                <w:kern w:val="0"/>
                <w:sz w:val="22"/>
              </w:rPr>
            </w:pPr>
            <w:r>
              <w:rPr>
                <w:rFonts w:hint="eastAsia" w:ascii="宋体" w:hAnsi="宋体" w:cs="宋体"/>
                <w:b/>
                <w:bCs/>
                <w:kern w:val="0"/>
                <w:sz w:val="22"/>
              </w:rPr>
              <w:t>型号及说明</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b/>
                <w:bCs/>
                <w:kern w:val="0"/>
                <w:sz w:val="22"/>
              </w:rPr>
            </w:pPr>
            <w:r>
              <w:rPr>
                <w:rFonts w:hint="eastAsia" w:ascii="宋体" w:hAnsi="宋体" w:cs="宋体"/>
                <w:b/>
                <w:bCs/>
                <w:kern w:val="0"/>
                <w:sz w:val="22"/>
              </w:rPr>
              <w:t>耗材分类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b/>
                <w:bCs/>
                <w:kern w:val="0"/>
                <w:sz w:val="22"/>
              </w:rPr>
            </w:pPr>
            <w:r>
              <w:rPr>
                <w:rFonts w:hint="eastAsia" w:ascii="宋体" w:hAnsi="宋体" w:cs="宋体"/>
                <w:b/>
                <w:bCs/>
                <w:kern w:val="0"/>
                <w:sz w:val="22"/>
              </w:rPr>
              <w:t>参考数量</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912硒鼓  打印张数大于1500张</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1400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925硒鼓  打印张数大于1600张</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850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388A硒鼓 打印张数大于1500张</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450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原装TK-1123黑色粉盒（适用于Kyocera FS1060DN/1125/1025）</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167</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CE278A硒鼓 打印张数大于2100张</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230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204A硒鼓（适用于HP Color LaserJet Pro M154nw/M154a/M154）</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202A硒鼓 （适用于HP Color LaserJet M254dw/M254nw）</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原装HP202A硒鼓 彩色硒鼓（适用于HP Color LaserJet M254dw/M254nw）</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408</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原装HP202A硒鼓 黑色硒鼓（适用于HP Color LaserJet M254dw/M254nw）</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169</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126A 硒鼓 (适用于LaserJet CP1025/M175a/M175nw/M275)</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原装兄弟TN-2325粉盒(适用于HL-2260D/2260/DCP-7180DN/7080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54</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原装兄弟2350硒鼓（适用于HL2560DN 2260 DCP7180DN 7080D MFC7880DN 7480D</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27</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原装兄弟2225粉盒 （适用7360 2240D 7060D 7057 7470D粉仓</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原装Lenovo LT2641 碳粉盒 粉仓（适用于 LENOVO LJ2600D 2650DN M7600D</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CF228A硒鼓 （适用惠普M403d/dn/dw M427dw/fdn M427fdw</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32</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201A硒鼓（ 适用HP M252n 打印机</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60</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305A 硒鼓（适用于HP M451nw</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35</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Q2612A硒鼓 打印张数大于1500张</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 xml:space="preserve">硒鼓|粉盒|墨盒 </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63</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160" w:lineRule="atLeast"/>
              <w:jc w:val="center"/>
              <w:rPr>
                <w:rFonts w:ascii="宋体" w:hAnsi="宋体" w:cs="宋体"/>
                <w:kern w:val="0"/>
                <w:sz w:val="22"/>
              </w:rPr>
            </w:pPr>
            <w:r>
              <w:rPr>
                <w:rFonts w:hint="eastAsia" w:ascii="宋体" w:hAnsi="宋体" w:cs="宋体"/>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原装DS-1700II（80D-3）色带框</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色带|碳带</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spacing w:line="160" w:lineRule="atLeast"/>
              <w:jc w:val="left"/>
              <w:rPr>
                <w:rFonts w:ascii="宋体" w:hAnsi="宋体" w:cs="宋体"/>
                <w:kern w:val="0"/>
                <w:sz w:val="22"/>
              </w:rPr>
            </w:pPr>
            <w:r>
              <w:rPr>
                <w:rFonts w:hint="eastAsia" w:ascii="宋体" w:hAnsi="宋体" w:cs="宋体"/>
                <w:kern w:val="0"/>
                <w:sz w:val="22"/>
              </w:rPr>
              <w:t>170</w:t>
            </w:r>
          </w:p>
        </w:tc>
      </w:tr>
    </w:tbl>
    <w:p>
      <w:pPr>
        <w:pStyle w:val="27"/>
        <w:ind w:left="0" w:leftChars="0" w:firstLine="0" w:firstLineChars="0"/>
        <w:rPr>
          <w:rFonts w:ascii="仿宋" w:hAnsi="仿宋" w:eastAsia="仿宋" w:cs="仿宋_GB2312"/>
          <w:b/>
          <w:sz w:val="36"/>
          <w:szCs w:val="36"/>
        </w:rPr>
      </w:pPr>
    </w:p>
    <w:p>
      <w:pPr>
        <w:pStyle w:val="2"/>
        <w:numPr>
          <w:ilvl w:val="0"/>
          <w:numId w:val="3"/>
        </w:numPr>
        <w:rPr>
          <w:rFonts w:hint="eastAsia"/>
          <w:lang w:eastAsia="zh-CN"/>
        </w:rPr>
      </w:pPr>
      <w:r>
        <w:rPr>
          <w:rFonts w:hint="eastAsia"/>
          <w:lang w:eastAsia="zh-CN"/>
        </w:rPr>
        <w:t>货款支付方式：</w:t>
      </w:r>
    </w:p>
    <w:p>
      <w:pPr>
        <w:numPr>
          <w:numId w:val="0"/>
        </w:numPr>
        <w:spacing w:line="360" w:lineRule="auto"/>
        <w:ind w:firstLine="480" w:firstLineChars="200"/>
        <w:rPr>
          <w:rFonts w:hint="eastAsia"/>
          <w:sz w:val="24"/>
          <w:szCs w:val="24"/>
          <w:lang w:eastAsia="zh-CN"/>
        </w:rPr>
      </w:pPr>
      <w:r>
        <w:rPr>
          <w:rFonts w:hint="eastAsia"/>
          <w:sz w:val="24"/>
          <w:szCs w:val="24"/>
          <w:lang w:eastAsia="zh-CN"/>
        </w:rPr>
        <w:t>在每个结算周期（一个月为结算周期）供货完成（每月最后一天），经双方账目核对无误，成交供应商向采购人提交结算金额的全额正规发票后，采购人在收到发票1</w:t>
      </w:r>
      <w:r>
        <w:rPr>
          <w:rFonts w:hint="eastAsia"/>
          <w:sz w:val="24"/>
          <w:szCs w:val="24"/>
          <w:lang w:val="en-US" w:eastAsia="zh-CN"/>
        </w:rPr>
        <w:t>5</w:t>
      </w:r>
      <w:r>
        <w:rPr>
          <w:rFonts w:hint="eastAsia"/>
          <w:sz w:val="24"/>
          <w:szCs w:val="24"/>
          <w:lang w:eastAsia="zh-CN"/>
        </w:rPr>
        <w:t>日个工作日内向供货方付款（如遇节假日顺延）。</w:t>
      </w:r>
    </w:p>
    <w:p>
      <w:pPr>
        <w:numPr>
          <w:numId w:val="0"/>
        </w:numPr>
        <w:rPr>
          <w:rFonts w:hint="eastAsia"/>
          <w:lang w:eastAsia="zh-CN"/>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firstLine="707"/>
        <w:rPr>
          <w:rFonts w:ascii="仿宋" w:hAnsi="仿宋" w:eastAsia="仿宋" w:cs="仿宋_GB2312"/>
          <w:b/>
          <w:sz w:val="36"/>
          <w:szCs w:val="36"/>
        </w:rPr>
      </w:pPr>
    </w:p>
    <w:p>
      <w:pPr>
        <w:pStyle w:val="27"/>
        <w:ind w:left="0" w:leftChars="0" w:firstLine="0" w:firstLineChars="0"/>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13"/>
      <w:bookmarkEnd w:id="27"/>
      <w:bookmarkStart w:id="28" w:name="_Toc184308108"/>
      <w:bookmarkEnd w:id="28"/>
      <w:bookmarkStart w:id="29" w:name="_Toc184314456"/>
      <w:bookmarkEnd w:id="29"/>
      <w:bookmarkStart w:id="30" w:name="_Toc184310336"/>
      <w:bookmarkEnd w:id="30"/>
      <w:bookmarkStart w:id="31" w:name="_Toc184313299"/>
      <w:bookmarkEnd w:id="31"/>
      <w:bookmarkStart w:id="32" w:name="_Toc184313246"/>
      <w:bookmarkEnd w:id="32"/>
      <w:bookmarkStart w:id="33" w:name="_Toc184310273"/>
      <w:bookmarkEnd w:id="33"/>
      <w:bookmarkStart w:id="34" w:name="_Toc184310285"/>
      <w:bookmarkEnd w:id="34"/>
      <w:bookmarkStart w:id="35" w:name="_Toc184312126"/>
      <w:bookmarkEnd w:id="35"/>
      <w:bookmarkStart w:id="36" w:name="_Toc184310333"/>
      <w:bookmarkEnd w:id="36"/>
      <w:bookmarkStart w:id="37" w:name="_Toc184310296"/>
      <w:bookmarkEnd w:id="37"/>
      <w:bookmarkStart w:id="38" w:name="_Toc184314467"/>
      <w:bookmarkEnd w:id="38"/>
      <w:bookmarkStart w:id="39" w:name="_Toc184313304"/>
      <w:bookmarkEnd w:id="39"/>
      <w:bookmarkStart w:id="40" w:name="_Toc184314450"/>
      <w:bookmarkEnd w:id="40"/>
      <w:bookmarkStart w:id="41" w:name="_Toc184308088"/>
      <w:bookmarkEnd w:id="41"/>
      <w:bookmarkStart w:id="42" w:name="_Toc184310323"/>
      <w:bookmarkEnd w:id="42"/>
      <w:bookmarkStart w:id="43" w:name="_Toc184313278"/>
      <w:bookmarkEnd w:id="43"/>
      <w:bookmarkStart w:id="44" w:name="_Toc184314435"/>
      <w:bookmarkEnd w:id="44"/>
      <w:bookmarkStart w:id="45" w:name="_Toc184312091"/>
      <w:bookmarkEnd w:id="45"/>
      <w:bookmarkStart w:id="46" w:name="_Toc184313248"/>
      <w:bookmarkEnd w:id="46"/>
      <w:bookmarkStart w:id="47" w:name="_Toc184314433"/>
      <w:bookmarkEnd w:id="47"/>
      <w:bookmarkStart w:id="48" w:name="_Toc184312080"/>
      <w:bookmarkEnd w:id="48"/>
      <w:bookmarkStart w:id="49" w:name="_Toc184308066"/>
      <w:bookmarkEnd w:id="49"/>
      <w:bookmarkStart w:id="50" w:name="_Toc184312089"/>
      <w:bookmarkEnd w:id="50"/>
      <w:bookmarkStart w:id="51" w:name="_Toc184313293"/>
      <w:bookmarkEnd w:id="51"/>
      <w:bookmarkStart w:id="52" w:name="_Toc184312118"/>
      <w:bookmarkEnd w:id="52"/>
      <w:bookmarkStart w:id="53" w:name="_Toc184308040"/>
      <w:bookmarkEnd w:id="53"/>
      <w:bookmarkStart w:id="54" w:name="_Toc184314427"/>
      <w:bookmarkEnd w:id="54"/>
      <w:bookmarkStart w:id="55" w:name="_Toc184308036"/>
      <w:bookmarkEnd w:id="55"/>
      <w:bookmarkStart w:id="56" w:name="_Toc184313254"/>
      <w:bookmarkEnd w:id="56"/>
      <w:bookmarkStart w:id="57" w:name="_Toc184308071"/>
      <w:bookmarkEnd w:id="57"/>
      <w:bookmarkStart w:id="58" w:name="_Toc184308075"/>
      <w:bookmarkEnd w:id="58"/>
      <w:bookmarkStart w:id="59" w:name="_Toc184314431"/>
      <w:bookmarkEnd w:id="59"/>
      <w:bookmarkStart w:id="60" w:name="_Toc184308064"/>
      <w:bookmarkEnd w:id="60"/>
      <w:bookmarkStart w:id="61" w:name="_Toc184312067"/>
      <w:bookmarkEnd w:id="61"/>
      <w:bookmarkStart w:id="62" w:name="_Toc184313239"/>
      <w:bookmarkEnd w:id="62"/>
      <w:bookmarkStart w:id="63" w:name="_Toc184313253"/>
      <w:bookmarkEnd w:id="63"/>
      <w:bookmarkStart w:id="64" w:name="_Toc184312069"/>
      <w:bookmarkEnd w:id="64"/>
      <w:bookmarkStart w:id="65" w:name="_Toc184314465"/>
      <w:bookmarkEnd w:id="65"/>
      <w:bookmarkStart w:id="66" w:name="_Toc184308086"/>
      <w:bookmarkEnd w:id="66"/>
      <w:bookmarkStart w:id="67" w:name="_Toc184313280"/>
      <w:bookmarkEnd w:id="67"/>
      <w:bookmarkStart w:id="68" w:name="_Toc184313250"/>
      <w:bookmarkEnd w:id="68"/>
      <w:bookmarkStart w:id="69" w:name="_Toc184310331"/>
      <w:bookmarkEnd w:id="69"/>
      <w:bookmarkStart w:id="70" w:name="_Toc184308041"/>
      <w:bookmarkEnd w:id="70"/>
      <w:bookmarkStart w:id="71" w:name="_Toc184312094"/>
      <w:bookmarkEnd w:id="71"/>
      <w:bookmarkStart w:id="72" w:name="_Toc184308039"/>
      <w:bookmarkEnd w:id="72"/>
      <w:bookmarkStart w:id="73" w:name="_Toc184310283"/>
      <w:bookmarkEnd w:id="73"/>
      <w:bookmarkStart w:id="74" w:name="_Toc184314481"/>
      <w:bookmarkEnd w:id="74"/>
      <w:bookmarkStart w:id="75" w:name="_Toc184308102"/>
      <w:bookmarkEnd w:id="75"/>
      <w:bookmarkStart w:id="76" w:name="_Toc184310315"/>
      <w:bookmarkEnd w:id="76"/>
      <w:bookmarkStart w:id="77" w:name="_Toc184310325"/>
      <w:bookmarkEnd w:id="77"/>
      <w:bookmarkStart w:id="78" w:name="_Toc184312102"/>
      <w:bookmarkEnd w:id="78"/>
      <w:bookmarkStart w:id="79" w:name="_Toc184308081"/>
      <w:bookmarkEnd w:id="79"/>
      <w:bookmarkStart w:id="80" w:name="_Toc184308051"/>
      <w:bookmarkEnd w:id="80"/>
      <w:bookmarkStart w:id="81" w:name="_Toc184314429"/>
      <w:bookmarkEnd w:id="81"/>
      <w:bookmarkStart w:id="82" w:name="_Toc184313259"/>
      <w:bookmarkEnd w:id="82"/>
      <w:bookmarkStart w:id="83" w:name="_Toc184314466"/>
      <w:bookmarkEnd w:id="83"/>
      <w:bookmarkStart w:id="84" w:name="_Toc184314471"/>
      <w:bookmarkEnd w:id="84"/>
      <w:bookmarkStart w:id="85" w:name="_Toc184313308"/>
      <w:bookmarkEnd w:id="85"/>
      <w:bookmarkStart w:id="86" w:name="_Toc184310310"/>
      <w:bookmarkEnd w:id="86"/>
      <w:bookmarkStart w:id="87" w:name="_Toc184312124"/>
      <w:bookmarkEnd w:id="87"/>
      <w:bookmarkStart w:id="88" w:name="_Toc184314417"/>
      <w:bookmarkEnd w:id="88"/>
      <w:bookmarkStart w:id="89" w:name="_Toc184312068"/>
      <w:bookmarkEnd w:id="89"/>
      <w:bookmarkStart w:id="90" w:name="_Toc184308094"/>
      <w:bookmarkEnd w:id="90"/>
      <w:bookmarkStart w:id="91" w:name="_Toc184312086"/>
      <w:bookmarkEnd w:id="91"/>
      <w:bookmarkStart w:id="92" w:name="_Toc184312107"/>
      <w:bookmarkEnd w:id="92"/>
      <w:bookmarkStart w:id="93" w:name="_Toc184308045"/>
      <w:bookmarkEnd w:id="93"/>
      <w:bookmarkStart w:id="94" w:name="_Toc184312105"/>
      <w:bookmarkEnd w:id="94"/>
      <w:bookmarkStart w:id="95" w:name="_Toc184314457"/>
      <w:bookmarkEnd w:id="95"/>
      <w:bookmarkStart w:id="96" w:name="_Toc184313303"/>
      <w:bookmarkEnd w:id="96"/>
      <w:bookmarkStart w:id="97" w:name="_Toc184308055"/>
      <w:bookmarkEnd w:id="97"/>
      <w:bookmarkStart w:id="98" w:name="_Toc184308060"/>
      <w:bookmarkEnd w:id="98"/>
      <w:bookmarkStart w:id="99" w:name="_Toc184312135"/>
      <w:bookmarkEnd w:id="99"/>
      <w:bookmarkStart w:id="100" w:name="_Toc184313240"/>
      <w:bookmarkEnd w:id="100"/>
      <w:bookmarkStart w:id="101" w:name="_Toc184308092"/>
      <w:bookmarkEnd w:id="101"/>
      <w:bookmarkStart w:id="102" w:name="_Toc184314468"/>
      <w:bookmarkEnd w:id="102"/>
      <w:bookmarkStart w:id="103" w:name="_Toc184314476"/>
      <w:bookmarkEnd w:id="103"/>
      <w:bookmarkStart w:id="104" w:name="_Toc184313255"/>
      <w:bookmarkEnd w:id="104"/>
      <w:bookmarkStart w:id="105" w:name="_Toc184308090"/>
      <w:bookmarkEnd w:id="105"/>
      <w:bookmarkStart w:id="106" w:name="_Toc184310312"/>
      <w:bookmarkEnd w:id="106"/>
      <w:bookmarkStart w:id="107" w:name="_Toc184312100"/>
      <w:bookmarkEnd w:id="107"/>
      <w:bookmarkStart w:id="108" w:name="_Toc184313256"/>
      <w:bookmarkEnd w:id="108"/>
      <w:bookmarkStart w:id="109" w:name="_Toc184310299"/>
      <w:bookmarkEnd w:id="109"/>
      <w:bookmarkStart w:id="110" w:name="_Toc184313269"/>
      <w:bookmarkEnd w:id="110"/>
      <w:bookmarkStart w:id="111" w:name="_Toc184314480"/>
      <w:bookmarkEnd w:id="111"/>
      <w:bookmarkStart w:id="112" w:name="_Toc184312092"/>
      <w:bookmarkEnd w:id="112"/>
      <w:bookmarkStart w:id="113" w:name="_Toc184314411"/>
      <w:bookmarkEnd w:id="113"/>
      <w:bookmarkStart w:id="114" w:name="_Toc184310342"/>
      <w:bookmarkEnd w:id="114"/>
      <w:bookmarkStart w:id="115" w:name="_Toc184310288"/>
      <w:bookmarkEnd w:id="115"/>
      <w:bookmarkStart w:id="116" w:name="_Toc184308096"/>
      <w:bookmarkEnd w:id="116"/>
      <w:bookmarkStart w:id="117" w:name="_Toc184313273"/>
      <w:bookmarkEnd w:id="117"/>
      <w:bookmarkStart w:id="118" w:name="_Toc184313310"/>
      <w:bookmarkEnd w:id="118"/>
      <w:bookmarkStart w:id="119" w:name="_Toc184308087"/>
      <w:bookmarkEnd w:id="119"/>
      <w:bookmarkStart w:id="120" w:name="_Toc184310326"/>
      <w:bookmarkEnd w:id="120"/>
      <w:bookmarkStart w:id="121" w:name="_Toc184308038"/>
      <w:bookmarkEnd w:id="121"/>
      <w:bookmarkStart w:id="122" w:name="_Toc184313249"/>
      <w:bookmarkEnd w:id="122"/>
      <w:bookmarkStart w:id="123" w:name="_Toc184312122"/>
      <w:bookmarkEnd w:id="123"/>
      <w:bookmarkStart w:id="124" w:name="_Toc184314432"/>
      <w:bookmarkEnd w:id="124"/>
      <w:bookmarkStart w:id="125" w:name="_Toc184312085"/>
      <w:bookmarkEnd w:id="125"/>
      <w:bookmarkStart w:id="126" w:name="_Toc184313265"/>
      <w:bookmarkEnd w:id="126"/>
      <w:bookmarkStart w:id="127" w:name="_Toc184308100"/>
      <w:bookmarkEnd w:id="127"/>
      <w:bookmarkStart w:id="128" w:name="_Toc184314452"/>
      <w:bookmarkEnd w:id="128"/>
      <w:bookmarkStart w:id="129" w:name="_Toc184312129"/>
      <w:bookmarkEnd w:id="129"/>
      <w:bookmarkStart w:id="130" w:name="_Toc184313309"/>
      <w:bookmarkEnd w:id="130"/>
      <w:bookmarkStart w:id="131" w:name="_Toc184310340"/>
      <w:bookmarkEnd w:id="131"/>
      <w:bookmarkStart w:id="132" w:name="_Toc184308077"/>
      <w:bookmarkEnd w:id="132"/>
      <w:bookmarkStart w:id="133" w:name="_Toc184313307"/>
      <w:bookmarkEnd w:id="133"/>
      <w:bookmarkStart w:id="134" w:name="_Toc184314474"/>
      <w:bookmarkEnd w:id="134"/>
      <w:bookmarkStart w:id="135" w:name="_Toc184308082"/>
      <w:bookmarkEnd w:id="135"/>
      <w:bookmarkStart w:id="136" w:name="_Toc184314470"/>
      <w:bookmarkEnd w:id="136"/>
      <w:bookmarkStart w:id="137" w:name="_Toc184312078"/>
      <w:bookmarkEnd w:id="137"/>
      <w:bookmarkStart w:id="138" w:name="_Toc184308070"/>
      <w:bookmarkEnd w:id="138"/>
      <w:bookmarkStart w:id="139" w:name="_Toc184310293"/>
      <w:bookmarkEnd w:id="139"/>
      <w:bookmarkStart w:id="140" w:name="_Toc184314458"/>
      <w:bookmarkEnd w:id="140"/>
      <w:bookmarkStart w:id="141" w:name="_Toc184312110"/>
      <w:bookmarkEnd w:id="141"/>
      <w:bookmarkStart w:id="142" w:name="_Toc184308093"/>
      <w:bookmarkEnd w:id="142"/>
      <w:bookmarkStart w:id="143" w:name="_Toc184314426"/>
      <w:bookmarkEnd w:id="143"/>
      <w:bookmarkStart w:id="144" w:name="_Toc184312131"/>
      <w:bookmarkEnd w:id="144"/>
      <w:bookmarkStart w:id="145" w:name="_Toc184312101"/>
      <w:bookmarkEnd w:id="145"/>
      <w:bookmarkStart w:id="146" w:name="_Toc184313294"/>
      <w:bookmarkEnd w:id="146"/>
      <w:bookmarkStart w:id="147" w:name="_Toc184313285"/>
      <w:bookmarkEnd w:id="147"/>
      <w:bookmarkStart w:id="148" w:name="_Toc184308059"/>
      <w:bookmarkEnd w:id="148"/>
      <w:bookmarkStart w:id="149" w:name="_Toc184313275"/>
      <w:bookmarkEnd w:id="149"/>
      <w:bookmarkStart w:id="150" w:name="_Toc184313298"/>
      <w:bookmarkEnd w:id="150"/>
      <w:bookmarkStart w:id="151" w:name="_Toc184310343"/>
      <w:bookmarkEnd w:id="151"/>
      <w:bookmarkStart w:id="152" w:name="_Toc184314445"/>
      <w:bookmarkEnd w:id="152"/>
      <w:bookmarkStart w:id="153" w:name="_Toc184310298"/>
      <w:bookmarkEnd w:id="153"/>
      <w:bookmarkStart w:id="154" w:name="_Toc184310282"/>
      <w:bookmarkEnd w:id="154"/>
      <w:bookmarkStart w:id="155" w:name="_Toc184310334"/>
      <w:bookmarkEnd w:id="155"/>
      <w:bookmarkStart w:id="156" w:name="_Toc184314418"/>
      <w:bookmarkEnd w:id="156"/>
      <w:bookmarkStart w:id="157" w:name="_Toc184310308"/>
      <w:bookmarkEnd w:id="157"/>
      <w:bookmarkStart w:id="158" w:name="_Toc184312073"/>
      <w:bookmarkEnd w:id="158"/>
      <w:bookmarkStart w:id="159" w:name="_Toc184310313"/>
      <w:bookmarkEnd w:id="159"/>
      <w:bookmarkStart w:id="160" w:name="_Toc184314461"/>
      <w:bookmarkEnd w:id="160"/>
      <w:bookmarkStart w:id="161" w:name="_Toc184310320"/>
      <w:bookmarkEnd w:id="161"/>
      <w:bookmarkStart w:id="162" w:name="_Toc184314464"/>
      <w:bookmarkEnd w:id="162"/>
      <w:bookmarkStart w:id="163" w:name="_Toc184312109"/>
      <w:bookmarkEnd w:id="163"/>
      <w:bookmarkStart w:id="164" w:name="_Toc184314449"/>
      <w:bookmarkEnd w:id="164"/>
      <w:bookmarkStart w:id="165" w:name="_Toc184313251"/>
      <w:bookmarkEnd w:id="165"/>
      <w:bookmarkStart w:id="166" w:name="_Toc184308053"/>
      <w:bookmarkEnd w:id="166"/>
      <w:bookmarkStart w:id="167" w:name="_Toc184310303"/>
      <w:bookmarkEnd w:id="167"/>
      <w:bookmarkStart w:id="168" w:name="_Toc184308098"/>
      <w:bookmarkEnd w:id="168"/>
      <w:bookmarkStart w:id="169" w:name="_Toc184312132"/>
      <w:bookmarkEnd w:id="169"/>
      <w:bookmarkStart w:id="170" w:name="_Toc184310280"/>
      <w:bookmarkEnd w:id="170"/>
      <w:bookmarkStart w:id="171" w:name="_Toc184308069"/>
      <w:bookmarkEnd w:id="171"/>
      <w:bookmarkStart w:id="172" w:name="_Toc184312087"/>
      <w:bookmarkEnd w:id="172"/>
      <w:bookmarkStart w:id="173" w:name="_Toc184312083"/>
      <w:bookmarkEnd w:id="173"/>
      <w:bookmarkStart w:id="174" w:name="_Toc184314425"/>
      <w:bookmarkEnd w:id="174"/>
      <w:bookmarkStart w:id="175" w:name="_Toc184313288"/>
      <w:bookmarkEnd w:id="175"/>
      <w:bookmarkStart w:id="176" w:name="_Toc184310330"/>
      <w:bookmarkEnd w:id="176"/>
      <w:bookmarkStart w:id="177" w:name="_Toc184308042"/>
      <w:bookmarkEnd w:id="177"/>
      <w:bookmarkStart w:id="178" w:name="_Toc184312088"/>
      <w:bookmarkEnd w:id="178"/>
      <w:bookmarkStart w:id="179" w:name="_Toc184308085"/>
      <w:bookmarkEnd w:id="179"/>
      <w:bookmarkStart w:id="180" w:name="_Toc184310274"/>
      <w:bookmarkEnd w:id="180"/>
      <w:bookmarkStart w:id="181" w:name="_Toc184308067"/>
      <w:bookmarkEnd w:id="181"/>
      <w:bookmarkStart w:id="182" w:name="_Toc184314444"/>
      <w:bookmarkEnd w:id="182"/>
      <w:bookmarkStart w:id="183" w:name="_Toc184308101"/>
      <w:bookmarkEnd w:id="183"/>
      <w:bookmarkStart w:id="184" w:name="_Toc184313247"/>
      <w:bookmarkEnd w:id="184"/>
      <w:bookmarkStart w:id="185" w:name="_Toc184308080"/>
      <w:bookmarkEnd w:id="185"/>
      <w:bookmarkStart w:id="186" w:name="_Toc184313243"/>
      <w:bookmarkEnd w:id="186"/>
      <w:bookmarkStart w:id="187" w:name="_Toc184308050"/>
      <w:bookmarkEnd w:id="187"/>
      <w:bookmarkStart w:id="188" w:name="_Toc184310292"/>
      <w:bookmarkEnd w:id="188"/>
      <w:bookmarkStart w:id="189" w:name="_Toc184308078"/>
      <w:bookmarkEnd w:id="189"/>
      <w:bookmarkStart w:id="190" w:name="_Toc184313301"/>
      <w:bookmarkEnd w:id="190"/>
      <w:bookmarkStart w:id="191" w:name="_Toc184312114"/>
      <w:bookmarkEnd w:id="191"/>
      <w:bookmarkStart w:id="192" w:name="_Toc184312070"/>
      <w:bookmarkEnd w:id="192"/>
      <w:bookmarkStart w:id="193" w:name="_Toc184312138"/>
      <w:bookmarkEnd w:id="193"/>
      <w:bookmarkStart w:id="194" w:name="_Toc184312104"/>
      <w:bookmarkEnd w:id="194"/>
      <w:bookmarkStart w:id="195" w:name="_Toc184312071"/>
      <w:bookmarkEnd w:id="195"/>
      <w:bookmarkStart w:id="196" w:name="_Toc184313302"/>
      <w:bookmarkEnd w:id="196"/>
      <w:bookmarkStart w:id="197" w:name="_Toc184310302"/>
      <w:bookmarkEnd w:id="197"/>
      <w:bookmarkStart w:id="198" w:name="_Toc184308097"/>
      <w:bookmarkEnd w:id="198"/>
      <w:bookmarkStart w:id="199" w:name="_Toc184310294"/>
      <w:bookmarkEnd w:id="199"/>
      <w:bookmarkStart w:id="200" w:name="_Toc184308061"/>
      <w:bookmarkEnd w:id="200"/>
      <w:bookmarkStart w:id="201" w:name="_Toc184313244"/>
      <w:bookmarkEnd w:id="201"/>
      <w:bookmarkStart w:id="202" w:name="_Toc184312125"/>
      <w:bookmarkEnd w:id="202"/>
      <w:bookmarkStart w:id="203" w:name="_Toc184312075"/>
      <w:bookmarkEnd w:id="203"/>
      <w:bookmarkStart w:id="204" w:name="_Toc184312106"/>
      <w:bookmarkEnd w:id="204"/>
      <w:bookmarkStart w:id="205" w:name="_Toc184314453"/>
      <w:bookmarkEnd w:id="205"/>
      <w:bookmarkStart w:id="206" w:name="_Toc184312099"/>
      <w:bookmarkEnd w:id="206"/>
      <w:bookmarkStart w:id="207" w:name="_Toc184310291"/>
      <w:bookmarkEnd w:id="207"/>
      <w:bookmarkStart w:id="208" w:name="_Toc184312120"/>
      <w:bookmarkEnd w:id="208"/>
      <w:bookmarkStart w:id="209" w:name="_Toc184308046"/>
      <w:bookmarkEnd w:id="209"/>
      <w:bookmarkStart w:id="210" w:name="_Toc184310307"/>
      <w:bookmarkEnd w:id="210"/>
      <w:bookmarkStart w:id="211" w:name="_Toc184314475"/>
      <w:bookmarkEnd w:id="211"/>
      <w:bookmarkStart w:id="212" w:name="_Toc184314440"/>
      <w:bookmarkEnd w:id="212"/>
      <w:bookmarkStart w:id="213" w:name="_Toc184314423"/>
      <w:bookmarkEnd w:id="213"/>
      <w:bookmarkStart w:id="214" w:name="_Toc184310324"/>
      <w:bookmarkEnd w:id="214"/>
      <w:bookmarkStart w:id="215" w:name="_Toc184314463"/>
      <w:bookmarkEnd w:id="215"/>
      <w:bookmarkStart w:id="216" w:name="_Toc184314462"/>
      <w:bookmarkEnd w:id="216"/>
      <w:bookmarkStart w:id="217" w:name="_Toc184313290"/>
      <w:bookmarkEnd w:id="217"/>
      <w:bookmarkStart w:id="218" w:name="_Toc184308074"/>
      <w:bookmarkEnd w:id="218"/>
      <w:bookmarkStart w:id="219" w:name="_Toc184308105"/>
      <w:bookmarkEnd w:id="219"/>
      <w:bookmarkStart w:id="220" w:name="_Toc184312130"/>
      <w:bookmarkEnd w:id="220"/>
      <w:bookmarkStart w:id="221" w:name="_Toc184310337"/>
      <w:bookmarkEnd w:id="221"/>
      <w:bookmarkStart w:id="222" w:name="_Toc184312084"/>
      <w:bookmarkEnd w:id="222"/>
      <w:bookmarkStart w:id="223" w:name="_Toc184314460"/>
      <w:bookmarkEnd w:id="223"/>
      <w:bookmarkStart w:id="224" w:name="_Toc184314442"/>
      <w:bookmarkEnd w:id="224"/>
      <w:bookmarkStart w:id="225" w:name="_Toc184308076"/>
      <w:bookmarkEnd w:id="225"/>
      <w:bookmarkStart w:id="226" w:name="_Toc184312139"/>
      <w:bookmarkEnd w:id="226"/>
      <w:bookmarkStart w:id="227" w:name="_Toc184314434"/>
      <w:bookmarkEnd w:id="227"/>
      <w:bookmarkStart w:id="228" w:name="_Toc184312097"/>
      <w:bookmarkEnd w:id="228"/>
      <w:bookmarkStart w:id="229" w:name="_Toc184313266"/>
      <w:bookmarkEnd w:id="229"/>
      <w:bookmarkStart w:id="230" w:name="_Toc184314446"/>
      <w:bookmarkEnd w:id="230"/>
      <w:bookmarkStart w:id="231" w:name="_Toc184312077"/>
      <w:bookmarkEnd w:id="231"/>
      <w:bookmarkStart w:id="232" w:name="_Toc184312082"/>
      <w:bookmarkEnd w:id="232"/>
      <w:bookmarkStart w:id="233" w:name="_Toc184312123"/>
      <w:bookmarkEnd w:id="233"/>
      <w:bookmarkStart w:id="234" w:name="_Toc184314443"/>
      <w:bookmarkEnd w:id="234"/>
      <w:bookmarkStart w:id="235" w:name="_Toc184308107"/>
      <w:bookmarkEnd w:id="235"/>
      <w:bookmarkStart w:id="236" w:name="_Toc184313276"/>
      <w:bookmarkEnd w:id="236"/>
      <w:bookmarkStart w:id="237" w:name="_Toc184314473"/>
      <w:bookmarkEnd w:id="237"/>
      <w:bookmarkStart w:id="238" w:name="_Toc184314428"/>
      <w:bookmarkEnd w:id="238"/>
      <w:bookmarkStart w:id="239" w:name="_Toc184308058"/>
      <w:bookmarkEnd w:id="239"/>
      <w:bookmarkStart w:id="240" w:name="_Toc184310284"/>
      <w:bookmarkEnd w:id="240"/>
      <w:bookmarkStart w:id="241" w:name="_Toc184313281"/>
      <w:bookmarkEnd w:id="241"/>
      <w:bookmarkStart w:id="242" w:name="_Toc184312108"/>
      <w:bookmarkEnd w:id="242"/>
      <w:bookmarkStart w:id="243" w:name="_Toc184314424"/>
      <w:bookmarkEnd w:id="243"/>
      <w:bookmarkStart w:id="244" w:name="_Toc184314414"/>
      <w:bookmarkEnd w:id="244"/>
      <w:bookmarkStart w:id="245" w:name="_Toc184314422"/>
      <w:bookmarkEnd w:id="245"/>
      <w:bookmarkStart w:id="246" w:name="_Toc184313264"/>
      <w:bookmarkEnd w:id="246"/>
      <w:bookmarkStart w:id="247" w:name="_Toc184314436"/>
      <w:bookmarkEnd w:id="247"/>
      <w:bookmarkStart w:id="248" w:name="_Toc184308083"/>
      <w:bookmarkEnd w:id="248"/>
      <w:bookmarkStart w:id="249" w:name="_Toc184313260"/>
      <w:bookmarkEnd w:id="249"/>
      <w:bookmarkStart w:id="250" w:name="_Toc184310327"/>
      <w:bookmarkEnd w:id="250"/>
      <w:bookmarkStart w:id="251" w:name="_Toc184312127"/>
      <w:bookmarkEnd w:id="251"/>
      <w:bookmarkStart w:id="252" w:name="_Toc184312076"/>
      <w:bookmarkEnd w:id="252"/>
      <w:bookmarkStart w:id="253" w:name="_Toc184313258"/>
      <w:bookmarkEnd w:id="253"/>
      <w:bookmarkStart w:id="254" w:name="_Toc184308099"/>
      <w:bookmarkEnd w:id="254"/>
      <w:bookmarkStart w:id="255" w:name="_Toc184310344"/>
      <w:bookmarkEnd w:id="255"/>
      <w:bookmarkStart w:id="256" w:name="_Toc184308106"/>
      <w:bookmarkEnd w:id="256"/>
      <w:bookmarkStart w:id="257" w:name="_Toc184314459"/>
      <w:bookmarkEnd w:id="257"/>
      <w:bookmarkStart w:id="258" w:name="_Toc184314455"/>
      <w:bookmarkEnd w:id="258"/>
      <w:bookmarkStart w:id="259" w:name="_Toc184308052"/>
      <w:bookmarkEnd w:id="259"/>
      <w:bookmarkStart w:id="260" w:name="_Toc184310304"/>
      <w:bookmarkEnd w:id="260"/>
      <w:bookmarkStart w:id="261" w:name="_Toc184312098"/>
      <w:bookmarkEnd w:id="261"/>
      <w:bookmarkStart w:id="262" w:name="_Toc184310319"/>
      <w:bookmarkEnd w:id="262"/>
      <w:bookmarkStart w:id="263" w:name="_Toc184314454"/>
      <w:bookmarkEnd w:id="263"/>
      <w:bookmarkStart w:id="264" w:name="_Toc184314448"/>
      <w:bookmarkEnd w:id="264"/>
      <w:bookmarkStart w:id="265" w:name="_Toc184313262"/>
      <w:bookmarkEnd w:id="265"/>
      <w:bookmarkStart w:id="266" w:name="_Toc184310287"/>
      <w:bookmarkEnd w:id="266"/>
      <w:bookmarkStart w:id="267" w:name="_Toc184308056"/>
      <w:bookmarkEnd w:id="267"/>
      <w:bookmarkStart w:id="268" w:name="_Toc184313287"/>
      <w:bookmarkEnd w:id="268"/>
      <w:bookmarkStart w:id="269" w:name="_Toc184310341"/>
      <w:bookmarkEnd w:id="269"/>
      <w:bookmarkStart w:id="270" w:name="_Toc184310279"/>
      <w:bookmarkEnd w:id="270"/>
      <w:bookmarkStart w:id="271" w:name="_Toc184312081"/>
      <w:bookmarkEnd w:id="271"/>
      <w:bookmarkStart w:id="272" w:name="_Toc184310305"/>
      <w:bookmarkEnd w:id="272"/>
      <w:bookmarkStart w:id="273" w:name="_Toc184308095"/>
      <w:bookmarkEnd w:id="273"/>
      <w:bookmarkStart w:id="274" w:name="_Toc184310278"/>
      <w:bookmarkEnd w:id="274"/>
      <w:bookmarkStart w:id="275" w:name="_Toc184312121"/>
      <w:bookmarkEnd w:id="275"/>
      <w:bookmarkStart w:id="276" w:name="_Toc184310277"/>
      <w:bookmarkEnd w:id="276"/>
      <w:bookmarkStart w:id="277" w:name="_Toc184314430"/>
      <w:bookmarkEnd w:id="277"/>
      <w:bookmarkStart w:id="278" w:name="_Toc184313292"/>
      <w:bookmarkEnd w:id="278"/>
      <w:bookmarkStart w:id="279" w:name="_Toc184310317"/>
      <w:bookmarkEnd w:id="279"/>
      <w:bookmarkStart w:id="280" w:name="_Toc184310275"/>
      <w:bookmarkEnd w:id="280"/>
      <w:bookmarkStart w:id="281" w:name="_Toc184312134"/>
      <w:bookmarkEnd w:id="281"/>
      <w:bookmarkStart w:id="282" w:name="_Toc184313238"/>
      <w:bookmarkEnd w:id="282"/>
      <w:bookmarkStart w:id="283" w:name="_Toc184310338"/>
      <w:bookmarkEnd w:id="283"/>
      <w:bookmarkStart w:id="284" w:name="_Toc184310311"/>
      <w:bookmarkEnd w:id="284"/>
      <w:bookmarkStart w:id="285" w:name="_Toc184310318"/>
      <w:bookmarkEnd w:id="285"/>
      <w:bookmarkStart w:id="286" w:name="_Toc184310314"/>
      <w:bookmarkEnd w:id="286"/>
      <w:bookmarkStart w:id="287" w:name="_Toc184312103"/>
      <w:bookmarkEnd w:id="287"/>
      <w:bookmarkStart w:id="288" w:name="_Toc184314451"/>
      <w:bookmarkEnd w:id="288"/>
      <w:bookmarkStart w:id="289" w:name="_Toc184310290"/>
      <w:bookmarkEnd w:id="289"/>
      <w:bookmarkStart w:id="290" w:name="_Toc184313274"/>
      <w:bookmarkEnd w:id="290"/>
      <w:bookmarkStart w:id="291" w:name="_Toc184313291"/>
      <w:bookmarkEnd w:id="291"/>
      <w:bookmarkStart w:id="292" w:name="_Toc184313289"/>
      <w:bookmarkEnd w:id="292"/>
      <w:bookmarkStart w:id="293" w:name="_Toc184308091"/>
      <w:bookmarkEnd w:id="293"/>
      <w:bookmarkStart w:id="294" w:name="_Toc184314416"/>
      <w:bookmarkEnd w:id="294"/>
      <w:bookmarkStart w:id="295" w:name="_Toc184310322"/>
      <w:bookmarkEnd w:id="295"/>
      <w:bookmarkStart w:id="296" w:name="_Toc184310276"/>
      <w:bookmarkEnd w:id="296"/>
      <w:bookmarkStart w:id="297" w:name="_Toc184312136"/>
      <w:bookmarkEnd w:id="297"/>
      <w:bookmarkStart w:id="298" w:name="_Toc184312117"/>
      <w:bookmarkEnd w:id="298"/>
      <w:bookmarkStart w:id="299" w:name="_Toc184310306"/>
      <w:bookmarkEnd w:id="299"/>
      <w:bookmarkStart w:id="300" w:name="_Toc184313282"/>
      <w:bookmarkEnd w:id="300"/>
      <w:bookmarkStart w:id="301" w:name="_Toc184313295"/>
      <w:bookmarkEnd w:id="301"/>
      <w:bookmarkStart w:id="302" w:name="_Toc184314447"/>
      <w:bookmarkEnd w:id="302"/>
      <w:bookmarkStart w:id="303" w:name="_Toc184310328"/>
      <w:bookmarkEnd w:id="303"/>
      <w:bookmarkStart w:id="304" w:name="_Toc184310329"/>
      <w:bookmarkEnd w:id="304"/>
      <w:bookmarkStart w:id="305" w:name="_Toc184310301"/>
      <w:bookmarkEnd w:id="305"/>
      <w:bookmarkStart w:id="306" w:name="_Toc184314419"/>
      <w:bookmarkEnd w:id="306"/>
      <w:bookmarkStart w:id="307" w:name="_Toc184314439"/>
      <w:bookmarkEnd w:id="307"/>
      <w:bookmarkStart w:id="308" w:name="_Toc184312111"/>
      <w:bookmarkEnd w:id="308"/>
      <w:bookmarkStart w:id="309" w:name="_Toc184313272"/>
      <w:bookmarkEnd w:id="309"/>
      <w:bookmarkStart w:id="310" w:name="_Toc184313284"/>
      <w:bookmarkEnd w:id="310"/>
      <w:bookmarkStart w:id="311" w:name="_Toc184308049"/>
      <w:bookmarkEnd w:id="311"/>
      <w:bookmarkStart w:id="312" w:name="_Toc184313270"/>
      <w:bookmarkEnd w:id="312"/>
      <w:bookmarkStart w:id="313" w:name="_Toc184312119"/>
      <w:bookmarkEnd w:id="313"/>
      <w:bookmarkStart w:id="314" w:name="_Toc184313252"/>
      <w:bookmarkEnd w:id="314"/>
      <w:bookmarkStart w:id="315" w:name="_Toc184310295"/>
      <w:bookmarkEnd w:id="315"/>
      <w:bookmarkStart w:id="316" w:name="_Toc184314437"/>
      <w:bookmarkEnd w:id="316"/>
      <w:bookmarkStart w:id="317" w:name="_Toc184314420"/>
      <w:bookmarkEnd w:id="317"/>
      <w:bookmarkStart w:id="318" w:name="_Toc184314478"/>
      <w:bookmarkEnd w:id="318"/>
      <w:bookmarkStart w:id="319" w:name="_Toc184308063"/>
      <w:bookmarkEnd w:id="319"/>
      <w:bookmarkStart w:id="320" w:name="_Toc184312137"/>
      <w:bookmarkEnd w:id="320"/>
      <w:bookmarkStart w:id="321" w:name="_Toc184314438"/>
      <w:bookmarkEnd w:id="321"/>
      <w:bookmarkStart w:id="322" w:name="_Toc184308065"/>
      <w:bookmarkEnd w:id="322"/>
      <w:bookmarkStart w:id="323" w:name="_Toc184308037"/>
      <w:bookmarkEnd w:id="323"/>
      <w:bookmarkStart w:id="324" w:name="_Toc184313245"/>
      <w:bookmarkEnd w:id="324"/>
      <w:bookmarkStart w:id="325" w:name="_Toc184312072"/>
      <w:bookmarkEnd w:id="325"/>
      <w:bookmarkStart w:id="326" w:name="_Toc184313242"/>
      <w:bookmarkEnd w:id="326"/>
      <w:bookmarkStart w:id="327" w:name="_Toc184310332"/>
      <w:bookmarkEnd w:id="327"/>
      <w:bookmarkStart w:id="328" w:name="_Toc184313306"/>
      <w:bookmarkEnd w:id="328"/>
      <w:bookmarkStart w:id="329" w:name="_Toc184312112"/>
      <w:bookmarkEnd w:id="329"/>
      <w:bookmarkStart w:id="330" w:name="_Toc184308104"/>
      <w:bookmarkEnd w:id="330"/>
      <w:bookmarkStart w:id="331" w:name="_Toc184312096"/>
      <w:bookmarkEnd w:id="331"/>
      <w:bookmarkStart w:id="332" w:name="_Toc184314441"/>
      <w:bookmarkEnd w:id="332"/>
      <w:bookmarkStart w:id="333" w:name="_Toc184308054"/>
      <w:bookmarkEnd w:id="333"/>
      <w:bookmarkStart w:id="334" w:name="_Toc184313297"/>
      <w:bookmarkEnd w:id="334"/>
      <w:bookmarkStart w:id="335" w:name="_Toc184314410"/>
      <w:bookmarkEnd w:id="335"/>
      <w:bookmarkStart w:id="336" w:name="_Toc184312128"/>
      <w:bookmarkEnd w:id="336"/>
      <w:bookmarkStart w:id="337" w:name="_Toc184310309"/>
      <w:bookmarkEnd w:id="337"/>
      <w:bookmarkStart w:id="338" w:name="_Toc184312074"/>
      <w:bookmarkEnd w:id="338"/>
      <w:bookmarkStart w:id="339" w:name="_Toc184308079"/>
      <w:bookmarkEnd w:id="339"/>
      <w:bookmarkStart w:id="340" w:name="_Toc184310316"/>
      <w:bookmarkEnd w:id="340"/>
      <w:bookmarkStart w:id="341" w:name="_Toc184314477"/>
      <w:bookmarkEnd w:id="341"/>
      <w:bookmarkStart w:id="342" w:name="_Toc184314415"/>
      <w:bookmarkEnd w:id="342"/>
      <w:bookmarkStart w:id="343" w:name="_Toc184310335"/>
      <w:bookmarkEnd w:id="343"/>
      <w:bookmarkStart w:id="344" w:name="_Toc184308073"/>
      <w:bookmarkEnd w:id="344"/>
      <w:bookmarkStart w:id="345" w:name="_Toc184313263"/>
      <w:bookmarkEnd w:id="345"/>
      <w:bookmarkStart w:id="346" w:name="_Toc184308043"/>
      <w:bookmarkEnd w:id="346"/>
      <w:bookmarkStart w:id="347" w:name="_Toc184314482"/>
      <w:bookmarkEnd w:id="347"/>
      <w:bookmarkStart w:id="348" w:name="_Toc184313277"/>
      <w:bookmarkEnd w:id="348"/>
      <w:bookmarkStart w:id="349" w:name="_Toc184313283"/>
      <w:bookmarkEnd w:id="349"/>
      <w:bookmarkStart w:id="350" w:name="_Toc184308072"/>
      <w:bookmarkEnd w:id="350"/>
      <w:bookmarkStart w:id="351" w:name="_Toc184310321"/>
      <w:bookmarkEnd w:id="351"/>
      <w:bookmarkStart w:id="352" w:name="_Toc184308103"/>
      <w:bookmarkEnd w:id="352"/>
      <w:bookmarkStart w:id="353" w:name="_Toc184312095"/>
      <w:bookmarkEnd w:id="353"/>
      <w:bookmarkStart w:id="354" w:name="_Toc184308048"/>
      <w:bookmarkEnd w:id="354"/>
      <w:bookmarkStart w:id="355" w:name="_Toc184310297"/>
      <w:bookmarkEnd w:id="355"/>
      <w:bookmarkStart w:id="356" w:name="_Toc184308047"/>
      <w:bookmarkEnd w:id="356"/>
      <w:bookmarkStart w:id="357" w:name="_Toc184313257"/>
      <w:bookmarkEnd w:id="357"/>
      <w:bookmarkStart w:id="358" w:name="_Toc184313300"/>
      <w:bookmarkEnd w:id="358"/>
      <w:bookmarkStart w:id="359" w:name="_Toc184313267"/>
      <w:bookmarkEnd w:id="359"/>
      <w:bookmarkStart w:id="360" w:name="_Toc184313261"/>
      <w:bookmarkEnd w:id="360"/>
      <w:bookmarkStart w:id="361" w:name="_Toc184312090"/>
      <w:bookmarkEnd w:id="361"/>
      <w:bookmarkStart w:id="362" w:name="_Toc184308068"/>
      <w:bookmarkEnd w:id="362"/>
      <w:bookmarkStart w:id="363" w:name="_Toc184312116"/>
      <w:bookmarkEnd w:id="363"/>
      <w:bookmarkStart w:id="364" w:name="_Toc184308084"/>
      <w:bookmarkEnd w:id="364"/>
      <w:bookmarkStart w:id="365" w:name="_Toc184308057"/>
      <w:bookmarkEnd w:id="365"/>
      <w:bookmarkStart w:id="366" w:name="_Toc184314469"/>
      <w:bookmarkEnd w:id="366"/>
      <w:bookmarkStart w:id="367" w:name="_Toc184310300"/>
      <w:bookmarkEnd w:id="367"/>
      <w:bookmarkStart w:id="368" w:name="_Toc184310289"/>
      <w:bookmarkEnd w:id="368"/>
      <w:bookmarkStart w:id="369" w:name="_Toc184313271"/>
      <w:bookmarkEnd w:id="369"/>
      <w:bookmarkStart w:id="370" w:name="_Toc184312133"/>
      <w:bookmarkEnd w:id="370"/>
      <w:bookmarkStart w:id="371" w:name="_Toc184312115"/>
      <w:bookmarkEnd w:id="371"/>
      <w:bookmarkStart w:id="372" w:name="_Toc184313241"/>
      <w:bookmarkEnd w:id="372"/>
      <w:bookmarkStart w:id="373" w:name="_Toc184310339"/>
      <w:bookmarkEnd w:id="373"/>
      <w:bookmarkStart w:id="374" w:name="_Toc184313296"/>
      <w:bookmarkEnd w:id="374"/>
      <w:bookmarkStart w:id="375" w:name="_Toc184308044"/>
      <w:bookmarkEnd w:id="375"/>
      <w:bookmarkStart w:id="376" w:name="_Toc184308089"/>
      <w:bookmarkEnd w:id="376"/>
      <w:bookmarkStart w:id="377" w:name="_Toc184312093"/>
      <w:bookmarkEnd w:id="377"/>
      <w:bookmarkStart w:id="378" w:name="_Toc184314472"/>
      <w:bookmarkEnd w:id="378"/>
      <w:bookmarkStart w:id="379" w:name="_Toc184312079"/>
      <w:bookmarkEnd w:id="379"/>
      <w:bookmarkStart w:id="380" w:name="_Toc184310286"/>
      <w:bookmarkEnd w:id="380"/>
      <w:bookmarkStart w:id="381" w:name="_Toc184313268"/>
      <w:bookmarkEnd w:id="381"/>
      <w:bookmarkStart w:id="382" w:name="_Toc184313305"/>
      <w:bookmarkEnd w:id="382"/>
      <w:bookmarkStart w:id="383" w:name="_Toc184310272"/>
      <w:bookmarkEnd w:id="383"/>
      <w:bookmarkStart w:id="384" w:name="_Toc184308062"/>
      <w:bookmarkEnd w:id="384"/>
      <w:bookmarkStart w:id="385" w:name="_Toc184310281"/>
      <w:bookmarkEnd w:id="385"/>
      <w:bookmarkStart w:id="386" w:name="_Toc184314479"/>
      <w:bookmarkEnd w:id="386"/>
      <w:bookmarkStart w:id="387" w:name="_Toc184314412"/>
      <w:bookmarkEnd w:id="387"/>
      <w:bookmarkStart w:id="388" w:name="_Toc184313286"/>
      <w:bookmarkEnd w:id="388"/>
      <w:bookmarkStart w:id="389" w:name="_Toc184312113"/>
      <w:bookmarkEnd w:id="389"/>
      <w:bookmarkStart w:id="390" w:name="_Toc184313279"/>
      <w:bookmarkEnd w:id="390"/>
      <w:bookmarkStart w:id="391" w:name="_Toc184314421"/>
      <w:bookmarkEnd w:id="391"/>
      <w:r>
        <w:rPr>
          <w:rFonts w:hint="eastAsia" w:ascii="仿宋" w:hAnsi="仿宋" w:eastAsia="仿宋" w:cs="仿宋_GB2312"/>
          <w:b/>
          <w:sz w:val="36"/>
          <w:szCs w:val="36"/>
        </w:rPr>
        <w:t>评标办法</w:t>
      </w:r>
    </w:p>
    <w:p>
      <w:pPr>
        <w:snapToGrid w:val="0"/>
        <w:spacing w:line="480" w:lineRule="auto"/>
        <w:jc w:val="center"/>
        <w:rPr>
          <w:rFonts w:ascii="仿宋" w:hAnsi="仿宋" w:eastAsia="仿宋" w:cs="仿宋"/>
          <w:b/>
          <w:color w:val="000000"/>
          <w:sz w:val="24"/>
        </w:rPr>
      </w:pPr>
      <w:r>
        <w:rPr>
          <w:rFonts w:hint="eastAsia" w:ascii="仿宋" w:hAnsi="仿宋" w:eastAsia="仿宋" w:cs="仿宋"/>
          <w:b/>
          <w:color w:val="000000"/>
          <w:sz w:val="24"/>
        </w:rPr>
        <w:t>评标办法前附表</w:t>
      </w:r>
    </w:p>
    <w:tbl>
      <w:tblPr>
        <w:tblStyle w:val="66"/>
        <w:tblpPr w:leftFromText="180" w:rightFromText="180" w:vertAnchor="text" w:horzAnchor="page" w:tblpX="1031" w:tblpY="126"/>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11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12"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811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评标标准</w:t>
            </w:r>
          </w:p>
        </w:tc>
        <w:tc>
          <w:tcPr>
            <w:tcW w:w="884"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8118"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“招标需求”为本次外包服务内容的基本要求，评标委员会针对供应商 “招标”的符合性进行评议：带“▲”号的不符合、负偏离或不响应扣除5分/项，其他未带“▲”不符合、负偏离或不响应扣除3分/项。扣完为止。均符合满分</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0分。</w:t>
            </w:r>
          </w:p>
        </w:tc>
        <w:tc>
          <w:tcPr>
            <w:tcW w:w="884"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8118" w:type="dxa"/>
            <w:vAlign w:val="center"/>
          </w:tcPr>
          <w:p>
            <w:pPr>
              <w:spacing w:line="360" w:lineRule="auto"/>
              <w:rPr>
                <w:rFonts w:ascii="仿宋" w:hAnsi="仿宋" w:eastAsia="仿宋" w:cs="仿宋"/>
                <w:sz w:val="24"/>
              </w:rPr>
            </w:pPr>
            <w:r>
              <w:rPr>
                <w:rFonts w:hint="eastAsia" w:ascii="仿宋" w:hAnsi="仿宋" w:eastAsia="仿宋" w:cs="仿宋"/>
                <w:sz w:val="24"/>
              </w:rPr>
              <w:t>服务方案，</w:t>
            </w:r>
            <w:r>
              <w:rPr>
                <w:rFonts w:hint="eastAsia" w:ascii="仿宋" w:hAnsi="仿宋" w:eastAsia="仿宋" w:cs="仿宋"/>
                <w:kern w:val="0"/>
                <w:sz w:val="24"/>
              </w:rPr>
              <w:t>评标委员会根据服务响应方案先进性、实用、便捷性；巡检方案的及时性、实用性、可行性；耗材品质性能、配送方案的及时性、准确性等综合评分，方案好的得7-10分，方案较好的得3-7分，方案一般的得1-3分，方案差的得0-1分；</w:t>
            </w:r>
          </w:p>
        </w:tc>
        <w:tc>
          <w:tcPr>
            <w:tcW w:w="884"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8118" w:type="dxa"/>
            <w:vAlign w:val="center"/>
          </w:tcPr>
          <w:p>
            <w:pPr>
              <w:spacing w:line="360" w:lineRule="auto"/>
              <w:rPr>
                <w:rFonts w:ascii="仿宋" w:hAnsi="仿宋" w:eastAsia="仿宋" w:cs="仿宋"/>
                <w:sz w:val="24"/>
              </w:rPr>
            </w:pPr>
            <w:r>
              <w:rPr>
                <w:rFonts w:hint="eastAsia" w:ascii="仿宋" w:hAnsi="仿宋" w:eastAsia="仿宋" w:cs="仿宋"/>
                <w:sz w:val="24"/>
              </w:rPr>
              <w:t>评标委员会针对供应商提供设备的参数满足性进行综合响应打分，提供设备参数彩页或官网截图证明满足及生产厂家对本项目开具的授权。设备参数满足需求且可行性、操作性、实用性好的得7-10分，较好的得4-7分，一般的得1-3分，差的得0-1分。</w:t>
            </w:r>
          </w:p>
        </w:tc>
        <w:tc>
          <w:tcPr>
            <w:tcW w:w="884"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8118" w:type="dxa"/>
            <w:vAlign w:val="center"/>
          </w:tcPr>
          <w:p>
            <w:pPr>
              <w:spacing w:line="360" w:lineRule="auto"/>
              <w:rPr>
                <w:rFonts w:ascii="仿宋" w:hAnsi="仿宋" w:eastAsia="仿宋" w:cs="仿宋"/>
                <w:sz w:val="24"/>
              </w:rPr>
            </w:pPr>
            <w:r>
              <w:rPr>
                <w:rFonts w:hint="eastAsia" w:ascii="仿宋" w:hAnsi="仿宋" w:eastAsia="仿宋" w:cs="仿宋"/>
                <w:sz w:val="24"/>
              </w:rPr>
              <w:t>评标委员会针对供应商提供设备的环保节能性进行打分，</w:t>
            </w:r>
            <w:r>
              <w:rPr>
                <w:rFonts w:hint="eastAsia" w:ascii="仿宋" w:hAnsi="仿宋" w:eastAsia="仿宋" w:cs="仿宋"/>
                <w:color w:val="auto"/>
                <w:sz w:val="24"/>
                <w:highlight w:val="none"/>
              </w:rPr>
              <w:t>所投产品型号具备中国环境标志产品认证、中国节能产品认证证明，全部满足的得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分，其余不得分。</w:t>
            </w:r>
          </w:p>
        </w:tc>
        <w:tc>
          <w:tcPr>
            <w:tcW w:w="884"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8118" w:type="dxa"/>
            <w:vAlign w:val="center"/>
          </w:tcPr>
          <w:p>
            <w:pPr>
              <w:widowControl/>
              <w:spacing w:line="360" w:lineRule="auto"/>
              <w:rPr>
                <w:rFonts w:ascii="仿宋" w:hAnsi="仿宋" w:eastAsia="仿宋" w:cs="仿宋"/>
                <w:sz w:val="24"/>
              </w:rPr>
            </w:pPr>
            <w:r>
              <w:rPr>
                <w:rFonts w:hint="eastAsia" w:ascii="仿宋" w:hAnsi="仿宋" w:eastAsia="仿宋" w:cs="仿宋"/>
                <w:sz w:val="24"/>
              </w:rPr>
              <w:t>评标委员会针对供应商提供的“运维软件”的功能符合性进行评分，相关功能要求提供软件截图、软件产品证书加盖公章，功能满足参数符合性高的得7-10分，较好的得4-7分，一般的得1-3分，差的得0-1分。</w:t>
            </w:r>
          </w:p>
        </w:tc>
        <w:tc>
          <w:tcPr>
            <w:tcW w:w="884"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8118" w:type="dxa"/>
            <w:vAlign w:val="center"/>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 xml:space="preserve"> 提供集中自助打印平台方案，构建智能打印服务,实现全院(如检验、病理、B超、心电、内镜）的图文报告、文件集中处理,所有图文资料统一通过业务服务器存储、匹配、打印、分发。提供医院检查报告集中自助打印系统软件著作权，</w:t>
            </w:r>
            <w:r>
              <w:rPr>
                <w:rFonts w:hint="eastAsia" w:ascii="仿宋" w:hAnsi="仿宋" w:eastAsia="仿宋" w:cs="仿宋"/>
                <w:kern w:val="0"/>
                <w:sz w:val="24"/>
              </w:rPr>
              <w:t>方案好的得7-10分，方案较好的得3-7分，方案一般的得1-3分，方案差的得0-1分；</w:t>
            </w:r>
          </w:p>
        </w:tc>
        <w:tc>
          <w:tcPr>
            <w:tcW w:w="884"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12" w:type="dxa"/>
            <w:vAlign w:val="center"/>
          </w:tcPr>
          <w:p>
            <w:pPr>
              <w:spacing w:line="360" w:lineRule="auto"/>
              <w:jc w:val="center"/>
              <w:outlineLvl w:val="0"/>
              <w:rPr>
                <w:rFonts w:ascii="仿宋" w:hAnsi="仿宋" w:eastAsia="仿宋" w:cs="仿宋"/>
                <w:color w:val="FF0000"/>
                <w:sz w:val="24"/>
                <w:highlight w:val="yellow"/>
              </w:rPr>
            </w:pPr>
            <w:r>
              <w:rPr>
                <w:rFonts w:hint="eastAsia" w:ascii="仿宋" w:hAnsi="仿宋" w:eastAsia="仿宋" w:cs="仿宋"/>
                <w:sz w:val="24"/>
              </w:rPr>
              <w:t>7</w:t>
            </w:r>
          </w:p>
        </w:tc>
        <w:tc>
          <w:tcPr>
            <w:tcW w:w="8118" w:type="dxa"/>
            <w:vAlign w:val="center"/>
          </w:tcPr>
          <w:p>
            <w:pPr>
              <w:widowControl/>
              <w:snapToGrid w:val="0"/>
              <w:spacing w:line="360" w:lineRule="auto"/>
              <w:rPr>
                <w:rFonts w:ascii="仿宋" w:hAnsi="仿宋" w:eastAsia="仿宋" w:cs="仿宋"/>
                <w:color w:val="FF0000"/>
                <w:sz w:val="24"/>
                <w:highlight w:val="yellow"/>
              </w:rPr>
            </w:pPr>
            <w:r>
              <w:rPr>
                <w:rFonts w:hint="eastAsia" w:ascii="仿宋" w:hAnsi="仿宋" w:eastAsia="仿宋" w:cs="仿宋"/>
                <w:color w:val="auto"/>
                <w:sz w:val="24"/>
                <w:highlight w:val="none"/>
              </w:rPr>
              <w:t>投标人近年来承接类似业绩。提供合同复印件+客户评价表得</w:t>
            </w:r>
            <w:r>
              <w:rPr>
                <w:rFonts w:ascii="仿宋" w:hAnsi="仿宋" w:eastAsia="仿宋" w:cs="仿宋"/>
                <w:color w:val="auto"/>
                <w:sz w:val="24"/>
                <w:highlight w:val="none"/>
              </w:rPr>
              <w:t>0.5</w:t>
            </w:r>
            <w:r>
              <w:rPr>
                <w:rFonts w:hint="eastAsia" w:ascii="仿宋" w:hAnsi="仿宋" w:eastAsia="仿宋" w:cs="仿宋"/>
                <w:color w:val="auto"/>
                <w:sz w:val="24"/>
                <w:highlight w:val="none"/>
              </w:rPr>
              <w:t>分，满分</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p>
        </w:tc>
        <w:tc>
          <w:tcPr>
            <w:tcW w:w="884" w:type="dxa"/>
            <w:vAlign w:val="center"/>
          </w:tcPr>
          <w:p>
            <w:pPr>
              <w:spacing w:line="360" w:lineRule="auto"/>
              <w:jc w:val="center"/>
              <w:rPr>
                <w:rFonts w:ascii="仿宋" w:hAnsi="仿宋" w:eastAsia="仿宋" w:cs="仿宋"/>
                <w:sz w:val="24"/>
              </w:rPr>
            </w:pPr>
            <w:r>
              <w:rPr>
                <w:rFonts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12"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8118" w:type="dxa"/>
            <w:vAlign w:val="center"/>
          </w:tcPr>
          <w:p>
            <w:pPr>
              <w:widowControl/>
              <w:snapToGrid w:val="0"/>
              <w:spacing w:line="360" w:lineRule="auto"/>
              <w:rPr>
                <w:rFonts w:ascii="仿宋" w:hAnsi="仿宋" w:eastAsia="仿宋" w:cs="仿宋"/>
                <w:sz w:val="24"/>
              </w:rPr>
            </w:pPr>
            <w:r>
              <w:rPr>
                <w:rFonts w:hint="eastAsia" w:ascii="仿宋" w:hAnsi="仿宋" w:eastAsia="仿宋" w:cs="仿宋"/>
                <w:kern w:val="0"/>
                <w:sz w:val="24"/>
                <w:highlight w:val="none"/>
              </w:rPr>
              <w:t>提供免费新增打印机硬件方案和数量，评标委员会根据优惠程度进行打分。0-</w:t>
            </w:r>
            <w:r>
              <w:rPr>
                <w:rFonts w:ascii="仿宋" w:hAnsi="仿宋" w:eastAsia="仿宋" w:cs="仿宋"/>
                <w:kern w:val="0"/>
                <w:sz w:val="24"/>
                <w:highlight w:val="none"/>
              </w:rPr>
              <w:t>4</w:t>
            </w:r>
            <w:r>
              <w:rPr>
                <w:rFonts w:hint="eastAsia" w:ascii="仿宋" w:hAnsi="仿宋" w:eastAsia="仿宋" w:cs="仿宋"/>
                <w:kern w:val="0"/>
                <w:sz w:val="24"/>
                <w:highlight w:val="none"/>
              </w:rPr>
              <w:t>分</w:t>
            </w:r>
          </w:p>
        </w:tc>
        <w:tc>
          <w:tcPr>
            <w:tcW w:w="884" w:type="dxa"/>
            <w:vAlign w:val="center"/>
          </w:tcPr>
          <w:p>
            <w:pPr>
              <w:spacing w:line="360" w:lineRule="auto"/>
              <w:jc w:val="center"/>
              <w:rPr>
                <w:rFonts w:ascii="仿宋" w:hAnsi="仿宋" w:eastAsia="仿宋" w:cs="仿宋"/>
                <w:sz w:val="24"/>
              </w:rPr>
            </w:pPr>
            <w:r>
              <w:rPr>
                <w:rFonts w:ascii="仿宋" w:hAnsi="仿宋" w:eastAsia="仿宋" w:cs="仿宋"/>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12"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8118" w:type="dxa"/>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投标人具有环境认证体系认证证书、职业健康安全管理体系认证证书、信息技术服务管理体系认证证书且在有效期内的每提供1个得1分，满分3分。</w:t>
            </w:r>
          </w:p>
          <w:p>
            <w:pPr>
              <w:snapToGrid w:val="0"/>
              <w:spacing w:line="360" w:lineRule="auto"/>
              <w:rPr>
                <w:rFonts w:ascii="仿宋" w:hAnsi="仿宋" w:eastAsia="仿宋" w:cs="仿宋"/>
                <w:kern w:val="0"/>
                <w:sz w:val="24"/>
              </w:rPr>
            </w:pPr>
            <w:r>
              <w:rPr>
                <w:rFonts w:hint="eastAsia" w:ascii="仿宋" w:hAnsi="仿宋" w:eastAsia="仿宋" w:cs="仿宋"/>
                <w:kern w:val="0"/>
                <w:sz w:val="24"/>
              </w:rPr>
              <w:t>投标人须提供有效期内合格的证书扫描件及国家认证认可监督管理委员会官方网站（www.cnca.gov.cn）查询截图。以上提供证明文件复印件加盖公章，暂停、过期无效。不提供或提供不齐全或不清晰无法辨别的不得分。</w:t>
            </w:r>
          </w:p>
        </w:tc>
        <w:tc>
          <w:tcPr>
            <w:tcW w:w="884"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8118" w:type="dxa"/>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60" w:lineRule="auto"/>
              <w:ind w:firstLine="420"/>
              <w:jc w:val="left"/>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884" w:type="dxa"/>
            <w:vAlign w:val="center"/>
          </w:tcPr>
          <w:p>
            <w:pPr>
              <w:spacing w:line="360" w:lineRule="auto"/>
              <w:ind w:firstLine="120" w:firstLineChars="50"/>
              <w:jc w:val="center"/>
              <w:outlineLvl w:val="0"/>
              <w:rPr>
                <w:rFonts w:ascii="仿宋" w:hAnsi="仿宋" w:eastAsia="仿宋" w:cs="仿宋"/>
                <w:sz w:val="24"/>
              </w:rPr>
            </w:pPr>
            <w:r>
              <w:rPr>
                <w:rFonts w:hint="eastAsia" w:ascii="仿宋" w:hAnsi="仿宋" w:eastAsia="仿宋" w:cs="仿宋"/>
                <w:sz w:val="24"/>
              </w:rPr>
              <w:t>10</w:t>
            </w:r>
          </w:p>
        </w:tc>
      </w:tr>
    </w:tbl>
    <w:p>
      <w:pPr>
        <w:spacing w:line="360" w:lineRule="auto"/>
        <w:outlineLvl w:val="0"/>
        <w:rPr>
          <w:rFonts w:ascii="仿宋" w:hAnsi="仿宋" w:eastAsia="仿宋" w:cs="仿宋"/>
          <w:color w:val="000000"/>
          <w:kern w:val="0"/>
          <w:sz w:val="24"/>
          <w:lang w:bidi="ar"/>
        </w:rPr>
      </w:pPr>
    </w:p>
    <w:p>
      <w:pPr>
        <w:snapToGrid w:val="0"/>
        <w:spacing w:line="360" w:lineRule="auto"/>
        <w:rPr>
          <w:rFonts w:ascii="仿宋" w:hAnsi="仿宋" w:eastAsia="仿宋" w:cs="仿宋_GB2312"/>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pStyle w:val="26"/>
        <w:ind w:firstLine="723"/>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firstLine="707"/>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spacing w:line="360" w:lineRule="auto"/>
        <w:ind w:left="720" w:leftChars="343" w:firstLine="1084" w:firstLineChars="300"/>
        <w:outlineLvl w:val="0"/>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28"/>
        <w:rPr>
          <w:rFonts w:ascii="仿宋" w:hAnsi="仿宋" w:eastAsia="仿宋"/>
          <w:szCs w:val="24"/>
        </w:rPr>
      </w:pPr>
    </w:p>
    <w:p>
      <w:pPr>
        <w:pStyle w:val="28"/>
        <w:jc w:val="center"/>
        <w:rPr>
          <w:rFonts w:ascii="仿宋" w:hAnsi="仿宋" w:eastAsia="仿宋"/>
          <w:szCs w:val="24"/>
        </w:rPr>
      </w:pPr>
    </w:p>
    <w:p>
      <w:pPr>
        <w:pStyle w:val="28"/>
        <w:rPr>
          <w:rFonts w:ascii="仿宋" w:hAnsi="仿宋" w:eastAsia="仿宋"/>
          <w:szCs w:val="24"/>
        </w:rPr>
      </w:pPr>
    </w:p>
    <w:p>
      <w:pPr>
        <w:pStyle w:val="28"/>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7"/>
        <w:spacing w:before="120" w:line="22" w:lineRule="atLeast"/>
        <w:rPr>
          <w:rFonts w:ascii="仿宋" w:hAnsi="仿宋" w:eastAsia="仿宋"/>
          <w:szCs w:val="24"/>
        </w:rPr>
      </w:pPr>
    </w:p>
    <w:p>
      <w:pPr>
        <w:pStyle w:val="28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134" w:right="1134" w:bottom="1134" w:left="1814" w:header="851" w:footer="851" w:gutter="0"/>
          <w:cols w:space="720" w:num="1"/>
        </w:sectPr>
      </w:pPr>
    </w:p>
    <w:p>
      <w:pPr>
        <w:pStyle w:val="38"/>
        <w:snapToGrid w:val="0"/>
        <w:spacing w:line="360" w:lineRule="auto"/>
        <w:rPr>
          <w:rFonts w:hAnsi="宋体" w:cs="宋体"/>
          <w:b/>
          <w:bCs/>
          <w:sz w:val="24"/>
          <w:szCs w:val="24"/>
        </w:rPr>
      </w:pPr>
      <w:r>
        <w:rPr>
          <w:rFonts w:hint="eastAsia" w:hAnsi="宋体" w:cs="宋体"/>
          <w:b/>
          <w:bCs/>
          <w:sz w:val="24"/>
          <w:szCs w:val="24"/>
        </w:rPr>
        <w:t>甲方：（买方）</w:t>
      </w:r>
    </w:p>
    <w:p>
      <w:pPr>
        <w:pStyle w:val="38"/>
        <w:snapToGrid w:val="0"/>
        <w:spacing w:line="360" w:lineRule="auto"/>
        <w:rPr>
          <w:rFonts w:hAnsi="宋体" w:cs="宋体"/>
          <w:b/>
          <w:bCs/>
          <w:sz w:val="24"/>
          <w:szCs w:val="24"/>
        </w:rPr>
      </w:pPr>
      <w:r>
        <w:rPr>
          <w:rFonts w:hint="eastAsia" w:hAnsi="宋体" w:cs="宋体"/>
          <w:b/>
          <w:bCs/>
          <w:sz w:val="24"/>
          <w:szCs w:val="24"/>
        </w:rPr>
        <w:t>乙方：（卖方）</w:t>
      </w:r>
    </w:p>
    <w:p>
      <w:pPr>
        <w:pStyle w:val="38"/>
        <w:snapToGrid w:val="0"/>
        <w:spacing w:line="360" w:lineRule="auto"/>
        <w:ind w:firstLine="482" w:firstLineChars="200"/>
        <w:rPr>
          <w:rFonts w:hAnsi="宋体" w:cs="宋体"/>
          <w:b/>
          <w:bCs/>
          <w:sz w:val="24"/>
          <w:szCs w:val="24"/>
        </w:rPr>
      </w:pPr>
      <w:r>
        <w:rPr>
          <w:rFonts w:hint="eastAsia" w:hAnsi="宋体" w:cs="宋体"/>
          <w:b/>
          <w:bCs/>
          <w:sz w:val="24"/>
          <w:szCs w:val="24"/>
        </w:rPr>
        <w:t>甲、乙双方根据                  项目（项目编号：</w:t>
      </w:r>
      <w:r>
        <w:rPr>
          <w:rFonts w:hint="eastAsia" w:hAnsi="宋体" w:cs="宋体"/>
          <w:b/>
          <w:bCs/>
          <w:sz w:val="24"/>
          <w:szCs w:val="24"/>
          <w:lang w:eastAsia="zh-CN"/>
        </w:rPr>
        <w:t>JYCG-2023-007</w:t>
      </w:r>
      <w:r>
        <w:rPr>
          <w:rFonts w:hint="eastAsia" w:hAnsi="宋体" w:cs="宋体"/>
          <w:b/>
          <w:bCs/>
          <w:sz w:val="24"/>
          <w:szCs w:val="24"/>
        </w:rPr>
        <w:t xml:space="preserve">   ）公开招标的结果，签署本合同。</w:t>
      </w:r>
    </w:p>
    <w:p>
      <w:pPr>
        <w:spacing w:line="560" w:lineRule="exact"/>
        <w:ind w:firstLine="482" w:firstLineChars="200"/>
        <w:outlineLvl w:val="0"/>
        <w:rPr>
          <w:rFonts w:ascii="宋体" w:hAnsi="宋体"/>
          <w:b/>
          <w:sz w:val="24"/>
        </w:rPr>
      </w:pPr>
      <w:bookmarkStart w:id="394" w:name="_Toc22185"/>
      <w:bookmarkStart w:id="395" w:name="_Toc2918"/>
      <w:bookmarkStart w:id="396" w:name="_Toc18585"/>
      <w:bookmarkStart w:id="397" w:name="_Toc6773"/>
      <w:bookmarkStart w:id="398" w:name="_Toc6311"/>
      <w:r>
        <w:rPr>
          <w:rFonts w:ascii="宋体" w:hAnsi="宋体"/>
          <w:b/>
          <w:sz w:val="24"/>
        </w:rPr>
        <w:t>1</w:t>
      </w:r>
      <w:r>
        <w:rPr>
          <w:rFonts w:hint="eastAsia" w:ascii="宋体" w:hAnsi="宋体"/>
          <w:b/>
          <w:sz w:val="24"/>
        </w:rPr>
        <w:t>、标的</w:t>
      </w:r>
      <w:bookmarkEnd w:id="394"/>
      <w:bookmarkEnd w:id="395"/>
      <w:bookmarkEnd w:id="396"/>
      <w:bookmarkEnd w:id="397"/>
      <w:bookmarkEnd w:id="398"/>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1标的</w:t>
      </w:r>
      <w:r>
        <w:rPr>
          <w:rFonts w:ascii="宋体" w:hAnsi="宋体"/>
          <w:sz w:val="24"/>
        </w:rPr>
        <w:t>名称：</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1.2</w:t>
      </w:r>
      <w:r>
        <w:rPr>
          <w:rFonts w:hint="eastAsia" w:ascii="宋体" w:hAnsi="宋体"/>
          <w:sz w:val="24"/>
        </w:rPr>
        <w:t>标的</w:t>
      </w:r>
      <w:r>
        <w:rPr>
          <w:rFonts w:ascii="宋体" w:hAnsi="宋体"/>
          <w:sz w:val="24"/>
        </w:rPr>
        <w:t>数量：</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1.3 </w:t>
      </w:r>
      <w:r>
        <w:rPr>
          <w:rFonts w:hint="eastAsia" w:ascii="宋体" w:hAnsi="宋体"/>
          <w:sz w:val="24"/>
        </w:rPr>
        <w:t>标的质量：</w:t>
      </w:r>
      <w:r>
        <w:rPr>
          <w:rFonts w:ascii="宋体" w:hAnsi="宋体"/>
          <w:sz w:val="24"/>
          <w:u w:val="single"/>
        </w:rPr>
        <w:t xml:space="preserve">　　　　　　　　　                      　      </w:t>
      </w:r>
      <w:r>
        <w:rPr>
          <w:rFonts w:hint="eastAsia" w:ascii="宋体" w:hAnsi="宋体"/>
          <w:sz w:val="24"/>
        </w:rPr>
        <w:t>。</w:t>
      </w:r>
    </w:p>
    <w:p>
      <w:pPr>
        <w:pStyle w:val="38"/>
        <w:snapToGrid w:val="0"/>
        <w:spacing w:line="360" w:lineRule="auto"/>
        <w:ind w:firstLine="482" w:firstLineChars="200"/>
        <w:rPr>
          <w:rFonts w:hAnsi="宋体" w:cs="宋体"/>
          <w:b/>
          <w:bCs/>
          <w:sz w:val="24"/>
          <w:szCs w:val="24"/>
        </w:rPr>
      </w:pPr>
    </w:p>
    <w:p>
      <w:pPr>
        <w:pStyle w:val="38"/>
        <w:snapToGrid w:val="0"/>
        <w:spacing w:line="360" w:lineRule="auto"/>
        <w:ind w:firstLine="482" w:firstLineChars="200"/>
        <w:rPr>
          <w:rFonts w:hAnsi="宋体" w:cs="宋体"/>
          <w:b/>
          <w:bCs/>
          <w:sz w:val="24"/>
          <w:szCs w:val="24"/>
        </w:rPr>
      </w:pPr>
      <w:r>
        <w:rPr>
          <w:rFonts w:hint="eastAsia" w:ascii="仿宋" w:hAnsi="仿宋" w:eastAsia="仿宋"/>
          <w:b/>
          <w:sz w:val="24"/>
        </w:rPr>
        <w:t>2、价款</w:t>
      </w:r>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ascii="仿宋" w:hAnsi="仿宋" w:eastAsia="仿宋"/>
                <w:sz w:val="24"/>
                <w:szCs w:val="24"/>
              </w:rPr>
            </w:pPr>
          </w:p>
        </w:tc>
      </w:tr>
    </w:tbl>
    <w:p>
      <w:pPr>
        <w:spacing w:line="360" w:lineRule="auto"/>
        <w:ind w:firstLine="480" w:firstLineChars="200"/>
        <w:rPr>
          <w:rFonts w:ascii="仿宋" w:hAnsi="仿宋" w:eastAsia="仿宋"/>
          <w:kern w:val="0"/>
          <w:sz w:val="24"/>
          <w:szCs w:val="20"/>
        </w:rPr>
      </w:pPr>
    </w:p>
    <w:p>
      <w:pPr>
        <w:pStyle w:val="38"/>
        <w:snapToGrid w:val="0"/>
        <w:spacing w:line="360" w:lineRule="auto"/>
        <w:rPr>
          <w:rFonts w:ascii="仿宋" w:hAnsi="仿宋" w:eastAsia="仿宋" w:cs="仿宋"/>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ascii="仿宋" w:hAnsi="仿宋" w:eastAsia="仿宋" w:cs="仿宋"/>
          <w:b/>
          <w:bCs/>
          <w:sz w:val="24"/>
          <w:szCs w:val="24"/>
        </w:rPr>
        <w:t>3.技术资料</w:t>
      </w:r>
    </w:p>
    <w:p>
      <w:pPr>
        <w:pStyle w:val="38"/>
        <w:snapToGrid w:val="0"/>
        <w:spacing w:line="360" w:lineRule="auto"/>
        <w:rPr>
          <w:rFonts w:ascii="仿宋" w:hAnsi="仿宋" w:eastAsia="仿宋" w:cs="Times New Roman"/>
          <w:kern w:val="0"/>
          <w:sz w:val="24"/>
          <w:szCs w:val="20"/>
        </w:rPr>
      </w:pPr>
      <w:r>
        <w:rPr>
          <w:rFonts w:hint="eastAsia" w:hAnsi="宋体" w:cs="宋体"/>
          <w:bCs/>
          <w:sz w:val="24"/>
          <w:szCs w:val="24"/>
        </w:rPr>
        <w:t xml:space="preserve">  </w:t>
      </w:r>
      <w:r>
        <w:rPr>
          <w:rFonts w:hint="eastAsia" w:ascii="仿宋" w:hAnsi="仿宋" w:eastAsia="仿宋" w:cs="Times New Roman"/>
          <w:kern w:val="0"/>
          <w:sz w:val="24"/>
          <w:szCs w:val="20"/>
        </w:rPr>
        <w:t xml:space="preserve">  3.1乙方应按招标文件规定的时间向甲方提供使用货物的有关技术资料。</w:t>
      </w:r>
    </w:p>
    <w:p>
      <w:pPr>
        <w:spacing w:line="360" w:lineRule="auto"/>
        <w:ind w:firstLine="480" w:firstLineChars="200"/>
        <w:rPr>
          <w:rFonts w:ascii="仿宋" w:hAnsi="仿宋" w:eastAsia="仿宋"/>
          <w:sz w:val="24"/>
          <w:szCs w:val="20"/>
        </w:rPr>
      </w:pPr>
      <w:r>
        <w:rPr>
          <w:rFonts w:hint="eastAsia" w:ascii="仿宋" w:hAnsi="仿宋" w:eastAsia="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sz w:val="24"/>
          <w:szCs w:val="20"/>
        </w:rPr>
        <w:t>。</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4.权利担保</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4.1乙方应保证所提供的货物或其任何一部分均不会侵犯任何第三方的知识产权。</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4.2乙方保证所交付的货物的所有权完全属于乙方且无任何抵押、查封等产权瑕疵。</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5.履约保证金</w:t>
      </w:r>
    </w:p>
    <w:p>
      <w:pPr>
        <w:pStyle w:val="620"/>
        <w:spacing w:before="0" w:beforeAutospacing="0" w:after="0" w:afterAutospacing="0" w:line="360" w:lineRule="auto"/>
        <w:ind w:firstLine="420"/>
        <w:rPr>
          <w:rFonts w:ascii="仿宋" w:hAnsi="仿宋" w:eastAsia="仿宋"/>
        </w:rPr>
      </w:pPr>
      <w:r>
        <w:rPr>
          <w:rFonts w:hint="eastAsia" w:ascii="仿宋" w:hAnsi="仿宋" w:eastAsia="仿宋"/>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rPr>
        <w:t xml:space="preserve">               </w:t>
      </w:r>
      <w:r>
        <w:rPr>
          <w:rFonts w:hint="eastAsia" w:ascii="仿宋" w:hAnsi="仿宋" w:eastAsia="仿宋"/>
        </w:rPr>
        <w:t>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个工作日内，以</w:t>
      </w:r>
      <w:r>
        <w:rPr>
          <w:rFonts w:hint="eastAsia" w:ascii="仿宋" w:hAnsi="仿宋" w:eastAsia="仿宋"/>
          <w:sz w:val="24"/>
          <w:u w:val="single"/>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rPr>
        <w:t>5</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rPr>
        <w:t>5.5</w:t>
      </w:r>
      <w:r>
        <w:rPr>
          <w:rFonts w:ascii="仿宋" w:hAnsi="仿宋" w:eastAsia="仿宋"/>
          <w:sz w:val="24"/>
        </w:rPr>
        <w:t>对于因甲方原因导致变更、中止或者终止政府采购合同的，甲方应当依照合同约定对供应商受到的损失予以赔偿或者补偿。</w:t>
      </w:r>
    </w:p>
    <w:p>
      <w:pPr>
        <w:snapToGrid w:val="0"/>
        <w:spacing w:line="360" w:lineRule="auto"/>
        <w:ind w:firstLine="352" w:firstLineChars="147"/>
        <w:rPr>
          <w:rFonts w:ascii="宋体" w:hAnsi="宋体" w:cs="宋体"/>
          <w:b/>
          <w:sz w:val="24"/>
        </w:rPr>
      </w:pPr>
      <w:r>
        <w:rPr>
          <w:rFonts w:hint="eastAsia" w:ascii="宋体" w:hAnsi="宋体" w:cs="宋体"/>
          <w:bCs/>
          <w:sz w:val="24"/>
        </w:rPr>
        <w:t xml:space="preserve"> </w:t>
      </w:r>
      <w:r>
        <w:rPr>
          <w:rFonts w:hint="eastAsia" w:ascii="宋体" w:hAnsi="宋体" w:cs="宋体"/>
          <w:b/>
          <w:sz w:val="24"/>
        </w:rPr>
        <w:t>6.转包或分包</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.2乙方采取分包方式履行合同的，甲方可直接向分包供应商支付款项。</w:t>
      </w: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ascii="宋体" w:hAnsi="宋体" w:cs="宋体"/>
          <w:b/>
          <w:sz w:val="24"/>
        </w:rPr>
      </w:pPr>
      <w:r>
        <w:rPr>
          <w:rFonts w:hint="eastAsia" w:ascii="宋体" w:hAnsi="宋体" w:cs="宋体"/>
          <w:b/>
          <w:sz w:val="24"/>
        </w:rPr>
        <w:t>8.履行期限、地点和方式</w:t>
      </w:r>
    </w:p>
    <w:p>
      <w:pPr>
        <w:spacing w:line="560" w:lineRule="exact"/>
        <w:ind w:firstLine="480" w:firstLineChars="200"/>
        <w:rPr>
          <w:rFonts w:ascii="宋体" w:hAnsi="宋体" w:cs="宋体"/>
          <w:sz w:val="24"/>
          <w:u w:val="single"/>
        </w:rPr>
      </w:pPr>
      <w:r>
        <w:rPr>
          <w:rFonts w:hint="eastAsia" w:ascii="宋体" w:hAnsi="宋体" w:cs="宋体"/>
          <w:sz w:val="24"/>
        </w:rPr>
        <w:t>8.1 履行期限：</w:t>
      </w:r>
      <w:r>
        <w:rPr>
          <w:rFonts w:hint="eastAsia" w:ascii="宋体" w:hAnsi="宋体" w:cs="宋体"/>
          <w:sz w:val="24"/>
          <w:u w:val="single"/>
        </w:rPr>
        <w:t>合同期限为签订合同之日起至20年   月   日。合同期满后，乙方根据甲方需求另行签订补充服务协议；</w:t>
      </w:r>
    </w:p>
    <w:p>
      <w:pPr>
        <w:spacing w:line="560" w:lineRule="exact"/>
        <w:ind w:firstLine="480" w:firstLineChars="200"/>
        <w:rPr>
          <w:rFonts w:ascii="宋体" w:hAnsi="宋体" w:cs="宋体"/>
          <w:sz w:val="24"/>
        </w:rPr>
      </w:pPr>
      <w:r>
        <w:rPr>
          <w:rFonts w:hint="eastAsia" w:ascii="宋体" w:hAnsi="宋体" w:cs="宋体"/>
          <w:sz w:val="24"/>
        </w:rPr>
        <w:t>8.2 履行地点：</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8.3 履行方式：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0"/>
        <w:rPr>
          <w:rFonts w:ascii="仿宋" w:hAnsi="仿宋" w:eastAsia="仿宋"/>
          <w:b/>
          <w:sz w:val="24"/>
        </w:rPr>
      </w:pPr>
      <w:r>
        <w:rPr>
          <w:rFonts w:hint="eastAsia" w:ascii="宋体" w:hAnsi="宋体" w:cs="宋体"/>
          <w:b/>
          <w:sz w:val="24"/>
        </w:rPr>
        <w:t>9.付款方式、时间和条件</w:t>
      </w:r>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rPr>
        <w:t>40</w:t>
      </w:r>
      <w:r>
        <w:rPr>
          <w:rFonts w:ascii="仿宋" w:hAnsi="仿宋" w:eastAsia="仿宋"/>
          <w:sz w:val="24"/>
        </w:rPr>
        <w:t>％。采购项目实施以人工投入为主的，可适当降低预付款比例，但不低于</w:t>
      </w:r>
      <w:r>
        <w:rPr>
          <w:rFonts w:hint="eastAsia" w:ascii="仿宋" w:hAnsi="仿宋" w:eastAsia="仿宋"/>
          <w:sz w:val="24"/>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.4资金支付的方式、时间和条</w:t>
      </w:r>
      <w:r>
        <w:rPr>
          <w:rFonts w:hint="eastAsia" w:ascii="仿宋" w:hAnsi="仿宋" w:eastAsia="仿宋"/>
          <w:sz w:val="24"/>
        </w:rPr>
        <w:t>件：</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360" w:lineRule="auto"/>
        <w:ind w:firstLine="352" w:firstLineChars="147"/>
        <w:rPr>
          <w:rFonts w:ascii="仿宋" w:hAnsi="仿宋" w:eastAsia="仿宋" w:cs="仿宋"/>
          <w:b/>
          <w:sz w:val="24"/>
        </w:rPr>
      </w:pPr>
      <w:r>
        <w:rPr>
          <w:rFonts w:hint="eastAsia" w:ascii="宋体" w:hAnsi="宋体" w:cs="宋体"/>
          <w:bCs/>
          <w:sz w:val="24"/>
        </w:rPr>
        <w:t xml:space="preserve"> 10</w:t>
      </w:r>
      <w:r>
        <w:rPr>
          <w:rFonts w:hint="eastAsia" w:ascii="仿宋" w:hAnsi="仿宋" w:eastAsia="仿宋" w:cs="仿宋"/>
          <w:b/>
          <w:sz w:val="24"/>
        </w:rPr>
        <w:t>.税费</w:t>
      </w:r>
    </w:p>
    <w:p>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rPr>
        <w:t>14.7违约责任采购人另有约定的：</w:t>
      </w:r>
      <w:r>
        <w:rPr>
          <w:rFonts w:hint="eastAsia" w:ascii="仿宋" w:hAnsi="仿宋" w:eastAsia="仿宋"/>
          <w:sz w:val="24"/>
          <w:u w:val="single"/>
        </w:rPr>
        <w:t xml:space="preserve">                         </w:t>
      </w:r>
      <w:r>
        <w:rPr>
          <w:rFonts w:hint="eastAsia" w:ascii="仿宋" w:hAnsi="仿宋" w:eastAsia="仿宋"/>
          <w:sz w:val="24"/>
        </w:rPr>
        <w:t>从其约定。</w:t>
      </w:r>
    </w:p>
    <w:p>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pPr>
        <w:spacing w:line="360" w:lineRule="auto"/>
        <w:rPr>
          <w:rFonts w:ascii="仿宋" w:hAnsi="仿宋" w:eastAsia="仿宋" w:cs="仿宋"/>
          <w:b/>
          <w:bCs/>
          <w:sz w:val="24"/>
        </w:rPr>
      </w:pPr>
      <w:r>
        <w:rPr>
          <w:rFonts w:hint="eastAsia" w:ascii="仿宋" w:hAnsi="仿宋" w:eastAsia="仿宋" w:cs="仿宋"/>
          <w:b/>
          <w:bCs/>
          <w:sz w:val="24"/>
        </w:rPr>
        <w:t xml:space="preserve">    16.诉讼</w:t>
      </w:r>
    </w:p>
    <w:p>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pPr>
        <w:spacing w:line="360" w:lineRule="auto"/>
        <w:rPr>
          <w:rFonts w:ascii="仿宋" w:hAnsi="仿宋" w:eastAsia="仿宋" w:cs="仿宋"/>
          <w:sz w:val="24"/>
        </w:rPr>
      </w:pPr>
      <w:r>
        <w:rPr>
          <w:rFonts w:hint="eastAsia" w:ascii="仿宋" w:hAnsi="仿宋" w:eastAsia="仿宋" w:cs="仿宋"/>
          <w:sz w:val="24"/>
        </w:rPr>
        <w:t xml:space="preserve">地址：                                地址：    </w:t>
      </w:r>
    </w:p>
    <w:p>
      <w:pPr>
        <w:spacing w:line="360" w:lineRule="auto"/>
        <w:rPr>
          <w:rFonts w:ascii="仿宋" w:hAnsi="仿宋" w:eastAsia="仿宋" w:cs="仿宋"/>
          <w:sz w:val="24"/>
        </w:rPr>
      </w:pPr>
      <w:r>
        <w:rPr>
          <w:rFonts w:hint="eastAsia" w:ascii="仿宋" w:hAnsi="仿宋" w:eastAsia="仿宋" w:cs="仿宋"/>
          <w:sz w:val="24"/>
        </w:rPr>
        <w:t xml:space="preserve">邮编：                                邮编：                     </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 xml:space="preserve">传真：                                传真：         </w:t>
      </w:r>
    </w:p>
    <w:p>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pacing w:line="360" w:lineRule="auto"/>
        <w:rPr>
          <w:rFonts w:ascii="仿宋" w:hAnsi="仿宋" w:eastAsia="仿宋" w:cs="仿宋"/>
          <w:sz w:val="24"/>
        </w:rPr>
      </w:pPr>
      <w:r>
        <w:rPr>
          <w:rFonts w:hint="eastAsia" w:ascii="仿宋" w:hAnsi="仿宋" w:eastAsia="仿宋" w:cs="仿宋"/>
          <w:sz w:val="24"/>
        </w:rPr>
        <w:t xml:space="preserve">帐号：                                帐号：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pPr>
        <w:spacing w:line="360" w:lineRule="auto"/>
        <w:rPr>
          <w:rFonts w:ascii="仿宋" w:hAnsi="仿宋" w:eastAsia="仿宋" w:cs="仿宋"/>
          <w:sz w:val="24"/>
        </w:rPr>
      </w:pPr>
      <w:r>
        <w:rPr>
          <w:rFonts w:hint="eastAsia" w:ascii="仿宋" w:hAnsi="仿宋" w:eastAsia="仿宋" w:cs="仿宋"/>
          <w:sz w:val="24"/>
        </w:rPr>
        <w:t xml:space="preserve">                                            签约地点：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b/>
          <w:bCs/>
          <w:sz w:val="24"/>
        </w:rPr>
      </w:pPr>
      <w:bookmarkStart w:id="399" w:name="_Toc328381300"/>
      <w:bookmarkStart w:id="400" w:name="_Toc339872468"/>
      <w:bookmarkStart w:id="401" w:name="_Toc326765771"/>
      <w:bookmarkStart w:id="402" w:name="_Toc350327365"/>
      <w:bookmarkStart w:id="403" w:name="_Toc349721554"/>
      <w:bookmarkStart w:id="404" w:name="_Toc868"/>
      <w:r>
        <w:rPr>
          <w:rFonts w:hint="eastAsia" w:ascii="仿宋" w:hAnsi="仿宋" w:eastAsia="仿宋" w:cs="仿宋"/>
          <w:b/>
          <w:bCs/>
          <w:sz w:val="24"/>
        </w:rPr>
        <w:t xml:space="preserve"> 此仅为合同书样本，中标单位需根据实际情况和采购人签订相应的合同！</w:t>
      </w:r>
      <w:bookmarkEnd w:id="399"/>
      <w:bookmarkEnd w:id="400"/>
      <w:bookmarkEnd w:id="401"/>
      <w:bookmarkEnd w:id="402"/>
      <w:bookmarkEnd w:id="403"/>
      <w:bookmarkEnd w:id="404"/>
    </w:p>
    <w:p>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5" w:name="_Toc194217895"/>
    </w:p>
    <w:bookmarkEnd w:id="405"/>
    <w:p>
      <w:pPr>
        <w:pStyle w:val="2"/>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我方参与（项目名称）【项目编号：</w:t>
      </w:r>
      <w:r>
        <w:rPr>
          <w:rFonts w:hint="eastAsia" w:ascii="仿宋_GB2312" w:hAnsi="仿宋" w:eastAsia="仿宋_GB2312" w:cs="仿宋_GB2312"/>
          <w:sz w:val="24"/>
          <w:lang w:eastAsia="zh-CN"/>
        </w:rPr>
        <w:t>JYCG-2023-007</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84"/>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2"/>
              <w:adjustRightInd w:val="0"/>
              <w:spacing w:line="360" w:lineRule="auto"/>
              <w:rPr>
                <w:rFonts w:ascii="仿宋_GB2312" w:hAnsi="仿宋" w:eastAsia="仿宋_GB2312"/>
                <w:bCs/>
                <w:sz w:val="24"/>
                <w:szCs w:val="20"/>
              </w:rPr>
            </w:pPr>
            <w:r>
              <w:rPr>
                <w:rFonts w:hint="eastAsia" w:ascii="仿宋_GB2312" w:hAnsi="仿宋" w:eastAsia="仿宋_GB2312"/>
                <w:bCs/>
                <w:sz w:val="24"/>
                <w:szCs w:val="20"/>
              </w:rPr>
              <w:t>正面：                                 反面：</w:t>
            </w:r>
          </w:p>
          <w:p>
            <w:pPr>
              <w:pStyle w:val="92"/>
              <w:adjustRightInd w:val="0"/>
              <w:spacing w:line="360" w:lineRule="auto"/>
              <w:rPr>
                <w:rFonts w:ascii="仿宋_GB2312" w:hAnsi="仿宋" w:eastAsia="仿宋_GB2312"/>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序号</w:t>
            </w:r>
          </w:p>
        </w:tc>
        <w:tc>
          <w:tcPr>
            <w:tcW w:w="499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实质性要求</w:t>
            </w:r>
          </w:p>
        </w:tc>
        <w:tc>
          <w:tcPr>
            <w:tcW w:w="255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投标文件中的</w:t>
            </w:r>
          </w:p>
          <w:p>
            <w:pPr>
              <w:snapToGrid w:val="0"/>
              <w:spacing w:line="240" w:lineRule="atLeast"/>
              <w:jc w:val="center"/>
              <w:rPr>
                <w:rFonts w:ascii="仿宋" w:hAnsi="仿宋" w:eastAsia="仿宋"/>
                <w:b/>
                <w:sz w:val="24"/>
                <w:szCs w:val="20"/>
              </w:rPr>
            </w:pPr>
            <w:r>
              <w:rPr>
                <w:rFonts w:hint="eastAsia" w:ascii="仿宋" w:hAnsi="仿宋" w:eastAsia="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1</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rPr>
                <w:rFonts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rPr>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2</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pStyle w:val="2"/>
              <w:rPr>
                <w:rFonts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3</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pPr>
              <w:rPr>
                <w:rFonts w:ascii="仿宋" w:hAnsi="仿宋" w:eastAsia="仿宋"/>
                <w:sz w:val="24"/>
                <w:szCs w:val="20"/>
              </w:rPr>
            </w:pPr>
            <w:r>
              <w:rPr>
                <w:rFonts w:hint="eastAsia" w:ascii="仿宋" w:hAnsi="仿宋" w:eastAsia="仿宋"/>
                <w:sz w:val="24"/>
                <w:szCs w:val="20"/>
              </w:rPr>
              <w:t>投标函</w:t>
            </w:r>
          </w:p>
        </w:tc>
        <w:tc>
          <w:tcPr>
            <w:tcW w:w="1418" w:type="dxa"/>
          </w:tcPr>
          <w:p>
            <w:pPr>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4</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pPr>
              <w:rPr>
                <w:rFonts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tcPr>
          <w:p>
            <w:pPr>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highlight w:val="green"/>
        </w:rPr>
      </w:pPr>
    </w:p>
    <w:p>
      <w:pPr>
        <w:jc w:val="center"/>
        <w:rPr>
          <w:rFonts w:ascii="仿宋_GB2312" w:hAnsi="仿宋" w:eastAsia="仿宋_GB2312" w:cs="仿宋_GB2312"/>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0"/>
              </w:rPr>
            </w:pPr>
          </w:p>
          <w:p>
            <w:pPr>
              <w:spacing w:line="360" w:lineRule="auto"/>
              <w:jc w:val="center"/>
              <w:rPr>
                <w:rFonts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0"/>
              </w:rPr>
            </w:pPr>
          </w:p>
          <w:p>
            <w:pPr>
              <w:spacing w:line="360" w:lineRule="auto"/>
              <w:jc w:val="center"/>
              <w:rPr>
                <w:rFonts w:ascii="宋体" w:hAnsi="宋体" w:cs="宋体"/>
                <w:b/>
                <w:sz w:val="24"/>
                <w:szCs w:val="20"/>
              </w:rPr>
            </w:pPr>
            <w:r>
              <w:rPr>
                <w:rFonts w:hint="eastAsia" w:ascii="宋体" w:hAnsi="宋体" w:cs="宋体"/>
                <w:b/>
                <w:sz w:val="24"/>
                <w:szCs w:val="20"/>
              </w:rPr>
              <w:t>备注（如果有）</w:t>
            </w:r>
          </w:p>
          <w:p>
            <w:pPr>
              <w:spacing w:line="360" w:lineRule="auto"/>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0"/>
              </w:rPr>
            </w:pPr>
          </w:p>
        </w:tc>
      </w:tr>
    </w:tbl>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1"/>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81"/>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pStyle w:val="2"/>
        <w:rPr>
          <w:highlight w:val="none"/>
        </w:rPr>
      </w:pP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名称</w:t>
            </w:r>
          </w:p>
        </w:tc>
        <w:tc>
          <w:tcPr>
            <w:tcW w:w="2268" w:type="dxa"/>
          </w:tcPr>
          <w:p>
            <w:pPr>
              <w:spacing w:line="360" w:lineRule="auto"/>
              <w:jc w:val="center"/>
              <w:rPr>
                <w:rFonts w:ascii="宋体" w:hAnsi="宋体" w:cs="宋体"/>
                <w:b/>
                <w:sz w:val="24"/>
                <w:szCs w:val="20"/>
                <w:highlight w:val="none"/>
              </w:rPr>
            </w:pPr>
          </w:p>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服务标准</w:t>
            </w:r>
          </w:p>
        </w:tc>
        <w:tc>
          <w:tcPr>
            <w:tcW w:w="2127" w:type="dxa"/>
          </w:tcPr>
          <w:p>
            <w:pPr>
              <w:spacing w:line="360" w:lineRule="auto"/>
              <w:jc w:val="center"/>
              <w:rPr>
                <w:rFonts w:ascii="宋体" w:hAnsi="宋体" w:cs="宋体"/>
                <w:b/>
                <w:sz w:val="24"/>
                <w:szCs w:val="20"/>
                <w:highlight w:val="none"/>
              </w:rPr>
            </w:pPr>
          </w:p>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line="360" w:lineRule="auto"/>
              <w:jc w:val="center"/>
              <w:rPr>
                <w:rFonts w:ascii="宋体" w:hAnsi="宋体" w:cs="宋体"/>
                <w:b/>
                <w:sz w:val="24"/>
                <w:szCs w:val="20"/>
                <w:highlight w:val="none"/>
              </w:rPr>
            </w:pPr>
          </w:p>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备注（如果有）</w:t>
            </w:r>
          </w:p>
          <w:p>
            <w:pPr>
              <w:spacing w:line="360" w:lineRule="auto"/>
              <w:jc w:val="center"/>
              <w:rPr>
                <w:rFonts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line="360" w:lineRule="auto"/>
              <w:jc w:val="center"/>
              <w:rPr>
                <w:rFonts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line="360" w:lineRule="auto"/>
              <w:jc w:val="center"/>
              <w:rPr>
                <w:rFonts w:ascii="宋体" w:hAnsi="宋体" w:cs="宋体"/>
                <w:sz w:val="24"/>
                <w:szCs w:val="20"/>
                <w:highlight w:val="none"/>
              </w:rPr>
            </w:pPr>
          </w:p>
        </w:tc>
        <w:tc>
          <w:tcPr>
            <w:tcW w:w="2410"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c>
          <w:tcPr>
            <w:tcW w:w="2127" w:type="dxa"/>
          </w:tcPr>
          <w:p>
            <w:pPr>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line="360" w:lineRule="auto"/>
              <w:jc w:val="center"/>
              <w:rPr>
                <w:rFonts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line="360" w:lineRule="auto"/>
              <w:jc w:val="center"/>
              <w:rPr>
                <w:rFonts w:ascii="宋体" w:hAnsi="宋体" w:cs="宋体"/>
                <w:sz w:val="24"/>
                <w:szCs w:val="20"/>
                <w:highlight w:val="none"/>
              </w:rPr>
            </w:pPr>
          </w:p>
        </w:tc>
        <w:tc>
          <w:tcPr>
            <w:tcW w:w="2410"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c>
          <w:tcPr>
            <w:tcW w:w="2127" w:type="dxa"/>
          </w:tcPr>
          <w:p>
            <w:pPr>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410"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c>
          <w:tcPr>
            <w:tcW w:w="2127" w:type="dxa"/>
          </w:tcPr>
          <w:p>
            <w:pPr>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highlight w:val="none"/>
              </w:rPr>
            </w:pPr>
          </w:p>
        </w:tc>
        <w:tc>
          <w:tcPr>
            <w:tcW w:w="992"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410"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c>
          <w:tcPr>
            <w:tcW w:w="2127" w:type="dxa"/>
          </w:tcPr>
          <w:p>
            <w:pPr>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highlight w:val="none"/>
              </w:rPr>
            </w:pPr>
          </w:p>
        </w:tc>
        <w:tc>
          <w:tcPr>
            <w:tcW w:w="992"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410" w:type="dxa"/>
            <w:vAlign w:val="center"/>
          </w:tcPr>
          <w:p>
            <w:pPr>
              <w:snapToGrid w:val="0"/>
              <w:spacing w:line="360" w:lineRule="auto"/>
              <w:jc w:val="center"/>
              <w:rPr>
                <w:rFonts w:ascii="宋体" w:hAnsi="宋体" w:cs="宋体"/>
                <w:sz w:val="24"/>
                <w:szCs w:val="20"/>
                <w:highlight w:val="none"/>
              </w:rPr>
            </w:pPr>
          </w:p>
        </w:tc>
        <w:tc>
          <w:tcPr>
            <w:tcW w:w="2268" w:type="dxa"/>
            <w:vAlign w:val="center"/>
          </w:tcPr>
          <w:p>
            <w:pPr>
              <w:snapToGrid w:val="0"/>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c>
          <w:tcPr>
            <w:tcW w:w="2127" w:type="dxa"/>
          </w:tcPr>
          <w:p>
            <w:pPr>
              <w:spacing w:line="360" w:lineRule="auto"/>
              <w:jc w:val="center"/>
              <w:rPr>
                <w:rFonts w:ascii="宋体" w:hAnsi="宋体" w:cs="宋体"/>
                <w:sz w:val="24"/>
                <w:szCs w:val="20"/>
                <w:highlight w:val="none"/>
              </w:rPr>
            </w:pPr>
          </w:p>
        </w:tc>
        <w:tc>
          <w:tcPr>
            <w:tcW w:w="2126" w:type="dxa"/>
            <w:vAlign w:val="center"/>
          </w:tcPr>
          <w:p>
            <w:pPr>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center"/>
          </w:tcPr>
          <w:p>
            <w:pPr>
              <w:spacing w:line="360" w:lineRule="auto"/>
              <w:jc w:val="center"/>
              <w:rPr>
                <w:rFonts w:ascii="宋体" w:hAnsi="宋体" w:cs="宋体"/>
                <w:sz w:val="24"/>
                <w:szCs w:val="20"/>
                <w:highlight w:val="none"/>
              </w:rPr>
            </w:pPr>
            <w:r>
              <w:rPr>
                <w:rFonts w:hint="eastAsia" w:ascii="宋体" w:hAnsi="宋体" w:cs="宋体"/>
                <w:sz w:val="24"/>
                <w:szCs w:val="20"/>
                <w:highlight w:val="none"/>
              </w:rPr>
              <w:t>￥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center"/>
          </w:tcPr>
          <w:p>
            <w:pPr>
              <w:spacing w:line="360" w:lineRule="auto"/>
              <w:jc w:val="center"/>
              <w:rPr>
                <w:rFonts w:ascii="宋体" w:hAnsi="宋体" w:cs="宋体"/>
                <w:sz w:val="24"/>
                <w:szCs w:val="20"/>
                <w:highlight w:val="none"/>
              </w:rPr>
            </w:pPr>
            <w:r>
              <w:rPr>
                <w:rFonts w:hint="eastAsia" w:ascii="宋体" w:hAnsi="宋体" w:cs="宋体"/>
                <w:sz w:val="24"/>
                <w:szCs w:val="20"/>
                <w:highlight w:val="none"/>
              </w:rPr>
              <w:t>人民币              元/年整</w:t>
            </w:r>
          </w:p>
        </w:tc>
      </w:tr>
    </w:tbl>
    <w:p>
      <w:pPr>
        <w:snapToGrid w:val="0"/>
        <w:spacing w:line="360" w:lineRule="auto"/>
        <w:rPr>
          <w:rFonts w:ascii="仿宋_GB2312" w:hAnsi="仿宋" w:eastAsia="仿宋_GB2312" w:cs="仿宋_GB2312"/>
          <w:b/>
          <w:kern w:val="0"/>
          <w:sz w:val="24"/>
          <w:lang w:val="zh-CN"/>
        </w:rPr>
      </w:pPr>
    </w:p>
    <w:p>
      <w:pPr>
        <w:snapToGrid w:val="0"/>
        <w:spacing w:line="360" w:lineRule="auto"/>
        <w:ind w:left="480"/>
        <w:rPr>
          <w:rFonts w:ascii="宋体" w:hAnsi="宋体" w:cs="宋体"/>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 w:hAnsi="仿宋" w:eastAsia="仿宋" w:cs="仿宋"/>
          <w:lang w:val="zh-CN"/>
        </w:rPr>
      </w:pPr>
      <w:r>
        <w:rPr>
          <w:rFonts w:hint="eastAsia" w:ascii="仿宋" w:hAnsi="仿宋" w:eastAsia="仿宋" w:cs="仿宋"/>
          <w:kern w:val="0"/>
          <w:sz w:val="24"/>
          <w:lang w:val="zh-CN"/>
        </w:rPr>
        <w:t>1、投标人需按本表格式填写</w:t>
      </w:r>
      <w:r>
        <w:rPr>
          <w:rFonts w:hint="eastAsia" w:ascii="仿宋" w:hAnsi="仿宋" w:eastAsia="仿宋" w:cs="仿宋"/>
          <w:b/>
          <w:color w:val="FF0000"/>
          <w:kern w:val="0"/>
          <w:sz w:val="24"/>
          <w:lang w:val="zh-CN"/>
        </w:rPr>
        <w:t>，</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仿宋" w:hAnsi="仿宋" w:eastAsia="仿宋" w:cs="仿宋"/>
          <w:kern w:val="0"/>
          <w:sz w:val="24"/>
        </w:rPr>
      </w:pPr>
      <w:r>
        <w:rPr>
          <w:rFonts w:hint="eastAsia" w:ascii="仿宋" w:hAnsi="仿宋" w:eastAsia="仿宋" w:cs="仿宋"/>
          <w:kern w:val="0"/>
          <w:sz w:val="24"/>
        </w:rPr>
        <w:t xml:space="preserve">    </w:t>
      </w:r>
    </w:p>
    <w:p>
      <w:pPr>
        <w:rPr>
          <w:rFonts w:ascii="仿宋" w:hAnsi="仿宋" w:eastAsia="仿宋" w:cs="仿宋"/>
          <w:kern w:val="0"/>
          <w:sz w:val="24"/>
          <w:lang w:val="zh-CN"/>
        </w:rPr>
      </w:pPr>
      <w:r>
        <w:rPr>
          <w:rFonts w:hint="eastAsia" w:ascii="仿宋" w:hAnsi="仿宋" w:eastAsia="仿宋" w:cs="仿宋"/>
          <w:kern w:val="0"/>
          <w:sz w:val="24"/>
        </w:rPr>
        <w:t xml:space="preserve">    </w:t>
      </w:r>
    </w:p>
    <w:p>
      <w:pPr>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、特别提示：采购机构将对项目名称和项目编号，中标供应商名称、地址和中标金额，主要中标标的名称、服务范围、服务要求、服务时间、服务标准等予以公示。</w:t>
      </w:r>
    </w:p>
    <w:p>
      <w:pPr>
        <w:pStyle w:val="2"/>
        <w:sectPr>
          <w:pgSz w:w="16838" w:h="11906" w:orient="landscape"/>
          <w:pgMar w:top="1418" w:right="1247" w:bottom="1418" w:left="1276" w:header="851" w:footer="992" w:gutter="0"/>
          <w:cols w:space="720" w:num="1"/>
          <w:titlePg/>
          <w:docGrid w:linePitch="312" w:charSpace="0"/>
        </w:sectPr>
      </w:pPr>
    </w:p>
    <w:p>
      <w:pPr>
        <w:pStyle w:val="381"/>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7" w:name="OLE_LINK14"/>
      <w:bookmarkStart w:id="408" w:name="OLE_LINK13"/>
      <w:r>
        <w:rPr>
          <w:rFonts w:hint="eastAsia" w:ascii="仿宋_GB2312" w:hAnsi="仿宋" w:eastAsia="仿宋_GB2312"/>
          <w:b/>
          <w:spacing w:val="6"/>
          <w:sz w:val="32"/>
          <w:szCs w:val="32"/>
        </w:rPr>
        <w:t>残疾人福利性单位声明函</w:t>
      </w:r>
    </w:p>
    <w:bookmarkEnd w:id="407"/>
    <w:bookmarkEnd w:id="40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cs="仿宋_GB2312"/>
          <w:sz w:val="24"/>
        </w:rPr>
        <w:t>项目名称</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pStyle w:val="4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separate"/>
    </w:r>
    <w:r>
      <w:rPr>
        <w:rStyle w:val="76"/>
      </w:rPr>
      <w:t>8</w:t>
    </w:r>
    <w:r>
      <w:fldChar w:fldCharType="end"/>
    </w:r>
  </w:p>
  <w:p>
    <w:pPr>
      <w:pStyle w:val="4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2"/>
      <w:rPr>
        <w:rFonts w:ascii="宋体" w:hAnsi="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临平区</w:t>
    </w:r>
    <w:r>
      <w:t>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30"/>
      <w:jc w:val="right"/>
      <w:rPr>
        <w:rFonts w:ascii="宋体" w:hAnsi="宋体" w:cs="宋体"/>
        <w:sz w:val="17"/>
        <w:szCs w:val="17"/>
      </w:rPr>
    </w:pPr>
    <w:r>
      <mc:AlternateContent>
        <mc:Choice Requires="wps">
          <w:drawing>
            <wp:anchor distT="0" distB="0" distL="114300" distR="114300" simplePos="0" relativeHeight="251661312" behindDoc="0" locked="0" layoutInCell="0" allowOverlap="1">
              <wp:simplePos x="0" y="0"/>
              <wp:positionH relativeFrom="page">
                <wp:posOffset>1151890</wp:posOffset>
              </wp:positionH>
              <wp:positionV relativeFrom="page">
                <wp:posOffset>739140</wp:posOffset>
              </wp:positionV>
              <wp:extent cx="525716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57165" cy="9525"/>
                      </a:xfrm>
                      <a:custGeom>
                        <a:avLst/>
                        <a:gdLst/>
                        <a:ahLst/>
                        <a:cxnLst/>
                        <a:rect l="0" t="0" r="0" b="0"/>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8.2pt;height:0.75pt;width:413.95pt;mso-position-horizontal-relative:page;mso-position-vertical-relative:page;z-index:251661312;mso-width-relative:page;mso-height-relative:page;" fillcolor="#000000" filled="t" stroked="f" coordsize="8279,15" o:allowincell="f" o:gfxdata="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vXY11gAAAAwBAAAP&#10;AAAAAAAAAAEAIAAAACIAAABkcnMvZG93bnJldi54bWxQSwECFAAUAAAACACHTuJAqhq1ihoCAACc&#10;BAAADgAAAAAAAAABACAAAAAlAQAAZHJzL2Uyb0RvYy54bWxQSwUGAAAAAAYABgBZAQAAsQUAAAAA&#10;" path="m0,0l8278,0,8278,14,0,14,0,0xe">
              <v:fill on="t" focussize="0,0"/>
              <v:stroke on="f"/>
              <v:imagedata o:title=""/>
              <o:lock v:ext="edit" aspectratio="f"/>
            </v:shape>
          </w:pict>
        </mc:Fallback>
      </mc:AlternateContent>
    </w:r>
    <w:r>
      <w:rPr>
        <w:rFonts w:ascii="宋体" w:hAnsi="宋体" w:cs="宋体"/>
        <w:spacing w:val="16"/>
        <w:sz w:val="17"/>
        <w:szCs w:val="17"/>
      </w:rPr>
      <w:t>临</w:t>
    </w:r>
    <w:r>
      <w:rPr>
        <w:rFonts w:ascii="宋体" w:hAnsi="宋体" w:cs="宋体"/>
        <w:spacing w:val="9"/>
        <w:sz w:val="17"/>
        <w:szCs w:val="17"/>
      </w:rPr>
      <w:t>平</w:t>
    </w:r>
    <w:r>
      <w:rPr>
        <w:rFonts w:ascii="宋体" w:hAnsi="宋体" w:cs="宋体"/>
        <w:spacing w:val="8"/>
        <w:sz w:val="17"/>
        <w:szCs w:val="17"/>
      </w:rPr>
      <w:t>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C9BE2"/>
    <w:multiLevelType w:val="singleLevel"/>
    <w:tmpl w:val="A7FC9BE2"/>
    <w:lvl w:ilvl="0" w:tentative="0">
      <w:start w:val="5"/>
      <w:numFmt w:val="decimal"/>
      <w:suff w:val="nothing"/>
      <w:lvlText w:val="%1、"/>
      <w:lvlJc w:val="left"/>
    </w:lvl>
  </w:abstractNum>
  <w:abstractNum w:abstractNumId="1">
    <w:nsid w:val="60141740"/>
    <w:multiLevelType w:val="multilevel"/>
    <w:tmpl w:val="60141740"/>
    <w:lvl w:ilvl="0" w:tentative="0">
      <w:start w:val="1"/>
      <w:numFmt w:val="japaneseCounting"/>
      <w:lvlText w:val="%1、"/>
      <w:lvlJc w:val="left"/>
      <w:pPr>
        <w:ind w:left="480" w:hanging="480"/>
      </w:pPr>
      <w:rPr>
        <w:rFonts w:hint="default"/>
      </w:rPr>
    </w:lvl>
    <w:lvl w:ilvl="1" w:tentative="0">
      <w:start w:val="1"/>
      <w:numFmt w:val="decimal"/>
      <w:lvlText w:val="%2、"/>
      <w:lvlJc w:val="left"/>
      <w:pPr>
        <w:ind w:left="785"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D9D1F"/>
    <w:multiLevelType w:val="singleLevel"/>
    <w:tmpl w:val="629D9D1F"/>
    <w:lvl w:ilvl="0" w:tentative="0">
      <w:start w:val="6"/>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kMWM3ODE5MjBlNzQ2YzRjMDBjMjQ1YjEzNDY5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31"/>
    <w:rsid w:val="001433BC"/>
    <w:rsid w:val="00143872"/>
    <w:rsid w:val="00143A85"/>
    <w:rsid w:val="00144649"/>
    <w:rsid w:val="00145022"/>
    <w:rsid w:val="00145662"/>
    <w:rsid w:val="00145C6D"/>
    <w:rsid w:val="001460FC"/>
    <w:rsid w:val="00146151"/>
    <w:rsid w:val="00146326"/>
    <w:rsid w:val="00147032"/>
    <w:rsid w:val="00147EA7"/>
    <w:rsid w:val="0015046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19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85D"/>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6FEA"/>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445"/>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BB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0DB"/>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34F"/>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B50"/>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50"/>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0767"/>
    <w:rsid w:val="015E4ACC"/>
    <w:rsid w:val="019F7441"/>
    <w:rsid w:val="01B37585"/>
    <w:rsid w:val="01D55165"/>
    <w:rsid w:val="01DF6BF8"/>
    <w:rsid w:val="01EC2C57"/>
    <w:rsid w:val="026B2E25"/>
    <w:rsid w:val="02824D4D"/>
    <w:rsid w:val="02827F58"/>
    <w:rsid w:val="02DC4B10"/>
    <w:rsid w:val="02DD76CE"/>
    <w:rsid w:val="02F36323"/>
    <w:rsid w:val="02F5619C"/>
    <w:rsid w:val="0326446A"/>
    <w:rsid w:val="032D5555"/>
    <w:rsid w:val="034D1D78"/>
    <w:rsid w:val="035D4591"/>
    <w:rsid w:val="036634D2"/>
    <w:rsid w:val="03A6565B"/>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8EC1FB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9E2045"/>
    <w:rsid w:val="0BF6188C"/>
    <w:rsid w:val="0BF73C91"/>
    <w:rsid w:val="0C170175"/>
    <w:rsid w:val="0C345014"/>
    <w:rsid w:val="0C571A41"/>
    <w:rsid w:val="0C5C1171"/>
    <w:rsid w:val="0C5C1BCC"/>
    <w:rsid w:val="0C5E1CBC"/>
    <w:rsid w:val="0C615B50"/>
    <w:rsid w:val="0C8445DA"/>
    <w:rsid w:val="0C87121B"/>
    <w:rsid w:val="0CBA46D9"/>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1467D4"/>
    <w:rsid w:val="0F400F0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286567"/>
    <w:rsid w:val="114961D3"/>
    <w:rsid w:val="116D437B"/>
    <w:rsid w:val="118963A1"/>
    <w:rsid w:val="11B0581C"/>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50857"/>
    <w:rsid w:val="146D271E"/>
    <w:rsid w:val="14982588"/>
    <w:rsid w:val="149A5AD9"/>
    <w:rsid w:val="14A7619D"/>
    <w:rsid w:val="14BB7B9C"/>
    <w:rsid w:val="150536C3"/>
    <w:rsid w:val="150C1963"/>
    <w:rsid w:val="151447A0"/>
    <w:rsid w:val="154A6454"/>
    <w:rsid w:val="15762120"/>
    <w:rsid w:val="1688363B"/>
    <w:rsid w:val="16A8729C"/>
    <w:rsid w:val="16B33777"/>
    <w:rsid w:val="16BC70A7"/>
    <w:rsid w:val="16C6339E"/>
    <w:rsid w:val="172F2D79"/>
    <w:rsid w:val="17557BEF"/>
    <w:rsid w:val="175F3F5B"/>
    <w:rsid w:val="17C74806"/>
    <w:rsid w:val="17D349C1"/>
    <w:rsid w:val="18186614"/>
    <w:rsid w:val="1830729E"/>
    <w:rsid w:val="1870062C"/>
    <w:rsid w:val="18817102"/>
    <w:rsid w:val="18830A15"/>
    <w:rsid w:val="18852B28"/>
    <w:rsid w:val="188B5321"/>
    <w:rsid w:val="18EF0876"/>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482B7C"/>
    <w:rsid w:val="1B530544"/>
    <w:rsid w:val="1B713184"/>
    <w:rsid w:val="1B741675"/>
    <w:rsid w:val="1BA209CF"/>
    <w:rsid w:val="1BB4777D"/>
    <w:rsid w:val="1BC258DA"/>
    <w:rsid w:val="1BD75AB8"/>
    <w:rsid w:val="1BED245D"/>
    <w:rsid w:val="1C0459C2"/>
    <w:rsid w:val="1C1B3B4A"/>
    <w:rsid w:val="1C767BD0"/>
    <w:rsid w:val="1C88086E"/>
    <w:rsid w:val="1C9B0C76"/>
    <w:rsid w:val="1D266CE1"/>
    <w:rsid w:val="1D3963AF"/>
    <w:rsid w:val="1D6A673C"/>
    <w:rsid w:val="1D9247AE"/>
    <w:rsid w:val="1DB567EC"/>
    <w:rsid w:val="1DE54FD0"/>
    <w:rsid w:val="1DF51A98"/>
    <w:rsid w:val="1E3D060F"/>
    <w:rsid w:val="1E3F7D2E"/>
    <w:rsid w:val="1E4134E4"/>
    <w:rsid w:val="1E5062B3"/>
    <w:rsid w:val="1E523514"/>
    <w:rsid w:val="1E714A66"/>
    <w:rsid w:val="1E802593"/>
    <w:rsid w:val="1E8B1E2C"/>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A03638"/>
    <w:rsid w:val="21D56769"/>
    <w:rsid w:val="21E52EF3"/>
    <w:rsid w:val="21FB5D7B"/>
    <w:rsid w:val="220B1C3D"/>
    <w:rsid w:val="221D1D20"/>
    <w:rsid w:val="22334A87"/>
    <w:rsid w:val="22681CF7"/>
    <w:rsid w:val="22BE6801"/>
    <w:rsid w:val="233500BF"/>
    <w:rsid w:val="23377FF7"/>
    <w:rsid w:val="234731C4"/>
    <w:rsid w:val="236B425F"/>
    <w:rsid w:val="23836192"/>
    <w:rsid w:val="23901F29"/>
    <w:rsid w:val="239C0061"/>
    <w:rsid w:val="23B908A4"/>
    <w:rsid w:val="23D46191"/>
    <w:rsid w:val="23E95BEF"/>
    <w:rsid w:val="23F23D7D"/>
    <w:rsid w:val="23FD0064"/>
    <w:rsid w:val="245375B0"/>
    <w:rsid w:val="24642C0A"/>
    <w:rsid w:val="24674C39"/>
    <w:rsid w:val="24B22173"/>
    <w:rsid w:val="24B95AD9"/>
    <w:rsid w:val="24BE24DA"/>
    <w:rsid w:val="24CF5825"/>
    <w:rsid w:val="24D663E6"/>
    <w:rsid w:val="24D77F2B"/>
    <w:rsid w:val="24E87C1C"/>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7D467D9"/>
    <w:rsid w:val="28084A26"/>
    <w:rsid w:val="28333E1D"/>
    <w:rsid w:val="28454BD6"/>
    <w:rsid w:val="28455253"/>
    <w:rsid w:val="28551971"/>
    <w:rsid w:val="285B1C53"/>
    <w:rsid w:val="2869202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2B6674"/>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292380"/>
    <w:rsid w:val="336963EB"/>
    <w:rsid w:val="33757D46"/>
    <w:rsid w:val="33816EEB"/>
    <w:rsid w:val="339D48BD"/>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20417F"/>
    <w:rsid w:val="373F410B"/>
    <w:rsid w:val="37EE7094"/>
    <w:rsid w:val="38120769"/>
    <w:rsid w:val="38296C89"/>
    <w:rsid w:val="383002EB"/>
    <w:rsid w:val="38586797"/>
    <w:rsid w:val="3884091C"/>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AB412F0"/>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41FD3"/>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CE2739"/>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35D7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F3168"/>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72C2C"/>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E2AFB"/>
    <w:rsid w:val="4D905305"/>
    <w:rsid w:val="4D964A72"/>
    <w:rsid w:val="4D9C1254"/>
    <w:rsid w:val="4DBD0916"/>
    <w:rsid w:val="4E6A4366"/>
    <w:rsid w:val="4E740A62"/>
    <w:rsid w:val="4E793892"/>
    <w:rsid w:val="4E800872"/>
    <w:rsid w:val="4EC569ED"/>
    <w:rsid w:val="4ED50EA1"/>
    <w:rsid w:val="4EEC050C"/>
    <w:rsid w:val="4F104EC3"/>
    <w:rsid w:val="4F47354A"/>
    <w:rsid w:val="4F911C54"/>
    <w:rsid w:val="4F9C11AB"/>
    <w:rsid w:val="4FE625E0"/>
    <w:rsid w:val="4FE65BDF"/>
    <w:rsid w:val="50151AE1"/>
    <w:rsid w:val="5021480F"/>
    <w:rsid w:val="506256F1"/>
    <w:rsid w:val="50962ECB"/>
    <w:rsid w:val="50A42E38"/>
    <w:rsid w:val="50A4577F"/>
    <w:rsid w:val="50B73D1F"/>
    <w:rsid w:val="50BD5BC9"/>
    <w:rsid w:val="50C11EEE"/>
    <w:rsid w:val="50E97CFC"/>
    <w:rsid w:val="50FA4028"/>
    <w:rsid w:val="510D65B7"/>
    <w:rsid w:val="511157AB"/>
    <w:rsid w:val="5142540C"/>
    <w:rsid w:val="518357C9"/>
    <w:rsid w:val="518832C8"/>
    <w:rsid w:val="518F5CC6"/>
    <w:rsid w:val="51A0432A"/>
    <w:rsid w:val="51A86090"/>
    <w:rsid w:val="51B7396D"/>
    <w:rsid w:val="522E4CC3"/>
    <w:rsid w:val="5244713B"/>
    <w:rsid w:val="52615633"/>
    <w:rsid w:val="52977FD4"/>
    <w:rsid w:val="52A25790"/>
    <w:rsid w:val="52A96B6F"/>
    <w:rsid w:val="52AB07CA"/>
    <w:rsid w:val="52B45975"/>
    <w:rsid w:val="52D94AA4"/>
    <w:rsid w:val="52EA3A62"/>
    <w:rsid w:val="52F50BB8"/>
    <w:rsid w:val="53097272"/>
    <w:rsid w:val="53544462"/>
    <w:rsid w:val="5397158E"/>
    <w:rsid w:val="54013861"/>
    <w:rsid w:val="54487265"/>
    <w:rsid w:val="544D6070"/>
    <w:rsid w:val="54510377"/>
    <w:rsid w:val="54605E1E"/>
    <w:rsid w:val="54B3506A"/>
    <w:rsid w:val="54CA0D16"/>
    <w:rsid w:val="54DD4057"/>
    <w:rsid w:val="54E7490F"/>
    <w:rsid w:val="550764A4"/>
    <w:rsid w:val="550B2BF6"/>
    <w:rsid w:val="551E5A77"/>
    <w:rsid w:val="55214EB5"/>
    <w:rsid w:val="55364EFD"/>
    <w:rsid w:val="555D4828"/>
    <w:rsid w:val="557A4C8B"/>
    <w:rsid w:val="558931E1"/>
    <w:rsid w:val="558F69EF"/>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326F1"/>
    <w:rsid w:val="59F80043"/>
    <w:rsid w:val="5A09252F"/>
    <w:rsid w:val="5A0B2778"/>
    <w:rsid w:val="5A2A7C7B"/>
    <w:rsid w:val="5A3C0E89"/>
    <w:rsid w:val="5A3E2560"/>
    <w:rsid w:val="5A5D3B6E"/>
    <w:rsid w:val="5A637A76"/>
    <w:rsid w:val="5A6D33BA"/>
    <w:rsid w:val="5A7449E7"/>
    <w:rsid w:val="5A792B1F"/>
    <w:rsid w:val="5A874767"/>
    <w:rsid w:val="5AAD6F28"/>
    <w:rsid w:val="5AD1514A"/>
    <w:rsid w:val="5AD63A24"/>
    <w:rsid w:val="5B024457"/>
    <w:rsid w:val="5B091AC4"/>
    <w:rsid w:val="5B2E1A1D"/>
    <w:rsid w:val="5B843A1C"/>
    <w:rsid w:val="5B873E3F"/>
    <w:rsid w:val="5BC03E9E"/>
    <w:rsid w:val="5BC37A0B"/>
    <w:rsid w:val="5BE0007A"/>
    <w:rsid w:val="5C02690E"/>
    <w:rsid w:val="5C1259D7"/>
    <w:rsid w:val="5C196DA7"/>
    <w:rsid w:val="5C2A048C"/>
    <w:rsid w:val="5C80234E"/>
    <w:rsid w:val="5C8A680C"/>
    <w:rsid w:val="5CA90D88"/>
    <w:rsid w:val="5D0C4701"/>
    <w:rsid w:val="5D0F0395"/>
    <w:rsid w:val="5D221076"/>
    <w:rsid w:val="5D397964"/>
    <w:rsid w:val="5D5A391C"/>
    <w:rsid w:val="5D5F10C0"/>
    <w:rsid w:val="5D891B7B"/>
    <w:rsid w:val="5DAD38EE"/>
    <w:rsid w:val="5E006862"/>
    <w:rsid w:val="5E0207B9"/>
    <w:rsid w:val="5E1834A1"/>
    <w:rsid w:val="5E261785"/>
    <w:rsid w:val="5E3B3CA9"/>
    <w:rsid w:val="5E4A7017"/>
    <w:rsid w:val="5E552BBA"/>
    <w:rsid w:val="5E611C10"/>
    <w:rsid w:val="5EB033F0"/>
    <w:rsid w:val="5EFC7377"/>
    <w:rsid w:val="5F06174D"/>
    <w:rsid w:val="5F3A3602"/>
    <w:rsid w:val="5F6277C6"/>
    <w:rsid w:val="5F6D0B1D"/>
    <w:rsid w:val="5F8D0B82"/>
    <w:rsid w:val="5F936C5E"/>
    <w:rsid w:val="5F9A3F78"/>
    <w:rsid w:val="5F9D2718"/>
    <w:rsid w:val="5FCC5339"/>
    <w:rsid w:val="5FE34A5B"/>
    <w:rsid w:val="5FFE1E36"/>
    <w:rsid w:val="600D3BA4"/>
    <w:rsid w:val="60232584"/>
    <w:rsid w:val="603354CB"/>
    <w:rsid w:val="607330CE"/>
    <w:rsid w:val="60825176"/>
    <w:rsid w:val="609F2AC4"/>
    <w:rsid w:val="60F42341"/>
    <w:rsid w:val="60FA2EE8"/>
    <w:rsid w:val="61054A27"/>
    <w:rsid w:val="610A52BC"/>
    <w:rsid w:val="611D2366"/>
    <w:rsid w:val="61421856"/>
    <w:rsid w:val="615227C4"/>
    <w:rsid w:val="61654E3F"/>
    <w:rsid w:val="6182292A"/>
    <w:rsid w:val="619145DE"/>
    <w:rsid w:val="61962A75"/>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7825C4"/>
    <w:rsid w:val="63880DDC"/>
    <w:rsid w:val="638D750D"/>
    <w:rsid w:val="63AC6CC0"/>
    <w:rsid w:val="63ED1601"/>
    <w:rsid w:val="64055776"/>
    <w:rsid w:val="64240056"/>
    <w:rsid w:val="643E143A"/>
    <w:rsid w:val="648B6EEF"/>
    <w:rsid w:val="64C158BF"/>
    <w:rsid w:val="64CE2EAA"/>
    <w:rsid w:val="650236C7"/>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74F38"/>
    <w:rsid w:val="6AE96859"/>
    <w:rsid w:val="6B147746"/>
    <w:rsid w:val="6B24787C"/>
    <w:rsid w:val="6B573233"/>
    <w:rsid w:val="6B5B6274"/>
    <w:rsid w:val="6B795CEF"/>
    <w:rsid w:val="6B80746E"/>
    <w:rsid w:val="6B8E6844"/>
    <w:rsid w:val="6B935D53"/>
    <w:rsid w:val="6BE96690"/>
    <w:rsid w:val="6BF86C61"/>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63625D"/>
    <w:rsid w:val="6F8331F1"/>
    <w:rsid w:val="6FAE1A09"/>
    <w:rsid w:val="6FC438EB"/>
    <w:rsid w:val="6FD75BF8"/>
    <w:rsid w:val="707723D0"/>
    <w:rsid w:val="70B668F0"/>
    <w:rsid w:val="70F5661B"/>
    <w:rsid w:val="71360107"/>
    <w:rsid w:val="713B688E"/>
    <w:rsid w:val="71565065"/>
    <w:rsid w:val="71D43752"/>
    <w:rsid w:val="71F1796A"/>
    <w:rsid w:val="72154626"/>
    <w:rsid w:val="72262B5D"/>
    <w:rsid w:val="72283FF7"/>
    <w:rsid w:val="722E7212"/>
    <w:rsid w:val="723A0474"/>
    <w:rsid w:val="725923E4"/>
    <w:rsid w:val="72864BF7"/>
    <w:rsid w:val="729023FC"/>
    <w:rsid w:val="72CE6D66"/>
    <w:rsid w:val="72D40618"/>
    <w:rsid w:val="73033572"/>
    <w:rsid w:val="73612AB3"/>
    <w:rsid w:val="736140A5"/>
    <w:rsid w:val="73C0646E"/>
    <w:rsid w:val="73E77E8D"/>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218E9"/>
    <w:rsid w:val="77D1700D"/>
    <w:rsid w:val="77EC04CC"/>
    <w:rsid w:val="78510AC5"/>
    <w:rsid w:val="78590B7C"/>
    <w:rsid w:val="78775729"/>
    <w:rsid w:val="78A42DB0"/>
    <w:rsid w:val="78A656AB"/>
    <w:rsid w:val="78B2245C"/>
    <w:rsid w:val="78E172CC"/>
    <w:rsid w:val="78EA1D1F"/>
    <w:rsid w:val="7904172F"/>
    <w:rsid w:val="790F7E27"/>
    <w:rsid w:val="792A231A"/>
    <w:rsid w:val="79316829"/>
    <w:rsid w:val="795B0E28"/>
    <w:rsid w:val="79763A39"/>
    <w:rsid w:val="797E66A9"/>
    <w:rsid w:val="79815C35"/>
    <w:rsid w:val="79A97383"/>
    <w:rsid w:val="79E27E8B"/>
    <w:rsid w:val="79F850CE"/>
    <w:rsid w:val="79F90271"/>
    <w:rsid w:val="79FD443C"/>
    <w:rsid w:val="7A0D5743"/>
    <w:rsid w:val="7A115E1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A1AAD"/>
    <w:rsid w:val="7D0C32F1"/>
    <w:rsid w:val="7D0F408D"/>
    <w:rsid w:val="7D491C6C"/>
    <w:rsid w:val="7D5429C0"/>
    <w:rsid w:val="7D6E6D43"/>
    <w:rsid w:val="7DB57A34"/>
    <w:rsid w:val="7DC46119"/>
    <w:rsid w:val="7DE60973"/>
    <w:rsid w:val="7DEF0916"/>
    <w:rsid w:val="7E1E5218"/>
    <w:rsid w:val="7E7713DD"/>
    <w:rsid w:val="7E9A4E1F"/>
    <w:rsid w:val="7EA7723A"/>
    <w:rsid w:val="7EF56FBB"/>
    <w:rsid w:val="7F0768EB"/>
    <w:rsid w:val="7F143BEC"/>
    <w:rsid w:val="7F3663C0"/>
    <w:rsid w:val="7F712CCC"/>
    <w:rsid w:val="7F715AF2"/>
    <w:rsid w:val="7F886E69"/>
    <w:rsid w:val="7FB57FF1"/>
    <w:rsid w:val="7FDF1D7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rPr>
      <w:rFonts w:hint="eastAsi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5"/>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4"/>
    <w:qFormat/>
    <w:uiPriority w:val="0"/>
    <w:pPr>
      <w:spacing w:line="480" w:lineRule="exact"/>
      <w:ind w:firstLine="480" w:firstLineChars="200"/>
    </w:pPr>
    <w:rPr>
      <w:rFonts w:ascii="宋体" w:hAnsi="宋体"/>
      <w:sz w:val="24"/>
    </w:rPr>
  </w:style>
  <w:style w:type="paragraph" w:customStyle="1" w:styleId="27">
    <w:name w:val="正文文本首行缩进 21"/>
    <w:basedOn w:val="28"/>
    <w:qFormat/>
    <w:uiPriority w:val="0"/>
    <w:pPr>
      <w:tabs>
        <w:tab w:val="right" w:leader="dot" w:pos="8268"/>
      </w:tabs>
      <w:spacing w:line="200" w:lineRule="atLeast"/>
      <w:ind w:firstLine="420"/>
    </w:pPr>
    <w:rPr>
      <w:rFonts w:ascii="宋体" w:eastAsia="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660"/>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0"/>
    <w:qFormat/>
    <w:uiPriority w:val="0"/>
    <w:pPr>
      <w:ind w:left="100" w:leftChars="2500"/>
    </w:pPr>
    <w:rPr>
      <w:rFonts w:ascii="宋体"/>
      <w:sz w:val="24"/>
      <w:szCs w:val="21"/>
      <w:lang w:val="zh-CN"/>
    </w:rPr>
  </w:style>
  <w:style w:type="paragraph" w:styleId="42">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3">
    <w:name w:val="endnote text"/>
    <w:basedOn w:val="1"/>
    <w:link w:val="941"/>
    <w:qFormat/>
    <w:uiPriority w:val="0"/>
    <w:rPr>
      <w:lang w:val="zh-CN"/>
    </w:rPr>
  </w:style>
  <w:style w:type="paragraph" w:styleId="44">
    <w:name w:val="Balloon Text"/>
    <w:basedOn w:val="1"/>
    <w:link w:val="717"/>
    <w:qFormat/>
    <w:uiPriority w:val="0"/>
    <w:rPr>
      <w:sz w:val="18"/>
      <w:szCs w:val="18"/>
    </w:rPr>
  </w:style>
  <w:style w:type="paragraph" w:styleId="45">
    <w:name w:val="footer"/>
    <w:basedOn w:val="1"/>
    <w:link w:val="892"/>
    <w:qFormat/>
    <w:uiPriority w:val="99"/>
    <w:pPr>
      <w:tabs>
        <w:tab w:val="center" w:pos="4153"/>
        <w:tab w:val="right" w:pos="8306"/>
      </w:tabs>
      <w:snapToGrid w:val="0"/>
      <w:jc w:val="left"/>
    </w:pPr>
    <w:rPr>
      <w:sz w:val="18"/>
      <w:szCs w:val="18"/>
    </w:rPr>
  </w:style>
  <w:style w:type="paragraph" w:styleId="46">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5"/>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0"/>
    <w:qFormat/>
    <w:uiPriority w:val="0"/>
    <w:pPr>
      <w:spacing w:after="120" w:line="480" w:lineRule="auto"/>
    </w:pPr>
  </w:style>
  <w:style w:type="paragraph" w:styleId="61">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3"/>
    <w:qFormat/>
    <w:uiPriority w:val="0"/>
    <w:rPr>
      <w:b/>
      <w:bCs/>
    </w:rPr>
  </w:style>
  <w:style w:type="paragraph" w:styleId="65">
    <w:name w:val="Body Text First Indent 2"/>
    <w:basedOn w:val="26"/>
    <w:next w:val="1"/>
    <w:link w:val="65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Char Char Char Char Char Char Char Char Char Char Char Char Char"/>
    <w:basedOn w:val="1"/>
    <w:qFormat/>
    <w:uiPriority w:val="0"/>
    <w:rPr>
      <w:rFonts w:ascii="仿宋_GB2312" w:eastAsia="仿宋_GB2312"/>
      <w:b/>
      <w:sz w:val="32"/>
      <w:szCs w:val="32"/>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表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qFormat/>
    <w:uiPriority w:val="0"/>
    <w:pPr>
      <w:tabs>
        <w:tab w:val="left" w:pos="2356"/>
      </w:tabs>
    </w:pPr>
  </w:style>
  <w:style w:type="paragraph" w:customStyle="1" w:styleId="108">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qFormat/>
    <w:uiPriority w:val="0"/>
    <w:pPr>
      <w:adjustRightInd/>
    </w:pPr>
    <w:rPr>
      <w:rFonts w:ascii="宋体" w:hAnsi="Courier New"/>
      <w:kern w:val="0"/>
      <w:sz w:val="20"/>
      <w:szCs w:val="20"/>
    </w:rPr>
  </w:style>
  <w:style w:type="paragraph" w:customStyle="1" w:styleId="111">
    <w:name w:val="正文说明"/>
    <w:basedOn w:val="1"/>
    <w:link w:val="846"/>
    <w:qFormat/>
    <w:uiPriority w:val="0"/>
    <w:pPr>
      <w:adjustRightInd/>
      <w:spacing w:line="360" w:lineRule="auto"/>
    </w:pPr>
    <w:rPr>
      <w:kern w:val="0"/>
      <w:sz w:val="24"/>
    </w:rPr>
  </w:style>
  <w:style w:type="paragraph" w:customStyle="1" w:styleId="112">
    <w:name w:val="Table Text"/>
    <w:basedOn w:val="1"/>
    <w:link w:val="852"/>
    <w:qFormat/>
    <w:uiPriority w:val="0"/>
    <w:pPr>
      <w:widowControl/>
      <w:spacing w:before="60" w:after="60"/>
      <w:jc w:val="left"/>
    </w:pPr>
    <w:rPr>
      <w:kern w:val="0"/>
      <w:sz w:val="24"/>
    </w:rPr>
  </w:style>
  <w:style w:type="paragraph" w:customStyle="1" w:styleId="113">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2"/>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0"/>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2"/>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4"/>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65"/>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3"/>
    <w:qFormat/>
    <w:uiPriority w:val="0"/>
    <w:rPr>
      <w:rFonts w:ascii="Arial" w:hAnsi="Arial" w:eastAsia="黑体" w:cs="Arial"/>
      <w:snapToGrid w:val="0"/>
      <w:kern w:val="0"/>
      <w:szCs w:val="21"/>
    </w:rPr>
  </w:style>
  <w:style w:type="character" w:customStyle="1" w:styleId="660">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52"/>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8"/>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41"/>
    <w:qFormat/>
    <w:uiPriority w:val="0"/>
    <w:rPr>
      <w:rFonts w:ascii="宋体"/>
      <w:kern w:val="2"/>
      <w:sz w:val="24"/>
      <w:szCs w:val="21"/>
      <w:lang w:val="zh-CN"/>
    </w:rPr>
  </w:style>
  <w:style w:type="character" w:customStyle="1" w:styleId="711">
    <w:name w:val="标题 9 字符"/>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4"/>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字符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3"/>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6"/>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3"/>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61"/>
    <w:qFormat/>
    <w:uiPriority w:val="0"/>
    <w:rPr>
      <w:rFonts w:ascii="黑体" w:hAnsi="Courier New" w:eastAsia="黑体"/>
    </w:rPr>
  </w:style>
  <w:style w:type="character" w:customStyle="1" w:styleId="820">
    <w:name w:val="正文文本 2 字符1"/>
    <w:link w:val="60"/>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42"/>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5"/>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文本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0"/>
    <w:rPr>
      <w:kern w:val="2"/>
      <w:sz w:val="21"/>
      <w:szCs w:val="24"/>
    </w:rPr>
  </w:style>
  <w:style w:type="character" w:customStyle="1" w:styleId="857">
    <w:name w:val="签名 字符"/>
    <w:link w:val="47"/>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7"/>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5"/>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6"/>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3"/>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3"/>
    <w:qFormat/>
    <w:uiPriority w:val="0"/>
    <w:rPr>
      <w:rFonts w:ascii="Arial" w:hAnsi="Arial" w:eastAsia="黑体" w:cs="Arial"/>
      <w:snapToGrid w:val="0"/>
      <w:kern w:val="0"/>
      <w:szCs w:val="21"/>
    </w:rPr>
  </w:style>
  <w:style w:type="character" w:customStyle="1" w:styleId="935">
    <w:name w:val="hui"/>
    <w:basedOn w:val="73"/>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43"/>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3"/>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37274</Words>
  <Characters>39610</Characters>
  <Lines>345</Lines>
  <Paragraphs>97</Paragraphs>
  <TotalTime>5</TotalTime>
  <ScaleCrop>false</ScaleCrop>
  <LinksUpToDate>false</LinksUpToDate>
  <CharactersWithSpaces>46028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2023-03-08T08:06:00Z</dcterms:created>
  <dc:creator>玥</dc:creator>
  <cp:lastModifiedBy>WPS_1530706504</cp:lastModifiedBy>
  <cp:lastPrinted>2022-12-08T01:13:00Z</cp:lastPrinted>
  <dcterms:modified xsi:type="dcterms:W3CDTF">2023-03-10T08:52:56Z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12CF2DB643A24C7793A16D234E88C3D6</vt:lpwstr>
  </property>
</Properties>
</file>