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both"/>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（杭州市公安局临平区分局2022年工会疗休养项目）</w:t>
      </w: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（项目编号：</w:t>
      </w:r>
      <w:r>
        <w:rPr>
          <w:rFonts w:hint="eastAsia" w:ascii="宋体" w:hAnsi="宋体" w:cs="宋体"/>
          <w:b/>
          <w:color w:val="000000"/>
          <w:sz w:val="36"/>
          <w:szCs w:val="36"/>
          <w:highlight w:val="none"/>
          <w:lang w:eastAsia="zh-CN"/>
        </w:rPr>
        <w:t>JYCG-2022-025</w:t>
      </w:r>
      <w:r>
        <w:rPr>
          <w:rFonts w:hint="eastAsia" w:ascii="宋体" w:hAnsi="宋体" w:cs="宋体"/>
          <w:b/>
          <w:color w:val="000000"/>
          <w:sz w:val="36"/>
          <w:szCs w:val="36"/>
          <w:highlight w:val="none"/>
        </w:rPr>
        <w:t>）</w:t>
      </w:r>
    </w:p>
    <w:p>
      <w:pPr>
        <w:snapToGrid w:val="0"/>
        <w:spacing w:line="360" w:lineRule="auto"/>
        <w:jc w:val="center"/>
        <w:rPr>
          <w:rFonts w:ascii="仿宋" w:hAnsi="仿宋" w:eastAsia="仿宋" w:cs="仿宋_GB2312"/>
          <w:sz w:val="30"/>
          <w:szCs w:val="30"/>
          <w:highlight w:val="none"/>
        </w:rPr>
      </w:pP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spacing w:line="360" w:lineRule="auto"/>
        <w:jc w:val="center"/>
        <w:rPr>
          <w:rFonts w:ascii="仿宋" w:hAnsi="仿宋" w:eastAsia="仿宋" w:cs="仿宋_GB2312"/>
          <w:b/>
          <w:sz w:val="44"/>
          <w:szCs w:val="44"/>
          <w:highlight w:val="none"/>
        </w:rPr>
      </w:pPr>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sz w:val="24"/>
          <w:highlight w:val="none"/>
        </w:rPr>
      </w:pPr>
    </w:p>
    <w:p>
      <w:pPr>
        <w:spacing w:line="360" w:lineRule="auto"/>
        <w:rPr>
          <w:rFonts w:ascii="仿宋" w:hAnsi="仿宋" w:eastAsia="仿宋" w:cs="仿宋_GB2312"/>
          <w:sz w:val="32"/>
          <w:szCs w:val="32"/>
          <w:highlight w:val="none"/>
        </w:rPr>
      </w:pPr>
    </w:p>
    <w:p>
      <w:pPr>
        <w:adjustRightInd w:val="0"/>
        <w:snapToGrid w:val="0"/>
        <w:spacing w:line="360" w:lineRule="auto"/>
        <w:jc w:val="center"/>
        <w:rPr>
          <w:rFonts w:hint="eastAsia" w:ascii="宋体" w:hAnsi="宋体" w:cs="宋体"/>
          <w:b/>
          <w:color w:val="000000"/>
          <w:sz w:val="36"/>
          <w:szCs w:val="36"/>
          <w:highlight w:val="none"/>
          <w:lang w:eastAsia="zh-CN"/>
        </w:rPr>
      </w:pPr>
      <w:r>
        <w:rPr>
          <w:rFonts w:hint="eastAsia" w:ascii="宋体" w:hAnsi="宋体" w:cs="宋体"/>
          <w:b/>
          <w:color w:val="000000"/>
          <w:sz w:val="36"/>
          <w:szCs w:val="36"/>
          <w:highlight w:val="none"/>
        </w:rPr>
        <w:t>采购人：</w:t>
      </w:r>
      <w:r>
        <w:rPr>
          <w:rFonts w:hint="eastAsia" w:ascii="宋体" w:hAnsi="宋体" w:cs="宋体"/>
          <w:b/>
          <w:color w:val="000000"/>
          <w:sz w:val="36"/>
          <w:szCs w:val="36"/>
          <w:highlight w:val="none"/>
          <w:lang w:eastAsia="zh-CN"/>
        </w:rPr>
        <w:t>杭州市公安局临平区分局</w:t>
      </w:r>
    </w:p>
    <w:p>
      <w:pPr>
        <w:adjustRightInd w:val="0"/>
        <w:snapToGrid w:val="0"/>
        <w:spacing w:line="360" w:lineRule="auto"/>
        <w:jc w:val="center"/>
        <w:rPr>
          <w:rFonts w:hint="eastAsia" w:ascii="宋体" w:hAnsi="宋体" w:eastAsia="宋体" w:cs="宋体"/>
          <w:bCs/>
          <w:color w:val="000000"/>
          <w:sz w:val="28"/>
          <w:szCs w:val="28"/>
          <w:highlight w:val="none"/>
          <w:lang w:eastAsia="zh-CN"/>
        </w:rPr>
      </w:pPr>
      <w:r>
        <w:rPr>
          <w:rFonts w:hint="eastAsia" w:ascii="宋体" w:hAnsi="宋体" w:cs="宋体"/>
          <w:b/>
          <w:color w:val="000000"/>
          <w:sz w:val="36"/>
          <w:szCs w:val="36"/>
          <w:highlight w:val="none"/>
        </w:rPr>
        <w:t>采购代理机构：</w:t>
      </w:r>
      <w:r>
        <w:rPr>
          <w:rFonts w:hint="eastAsia" w:ascii="宋体" w:hAnsi="宋体" w:cs="宋体"/>
          <w:b/>
          <w:color w:val="000000"/>
          <w:sz w:val="36"/>
          <w:szCs w:val="36"/>
          <w:highlight w:val="none"/>
          <w:lang w:eastAsia="zh-CN"/>
        </w:rPr>
        <w:t>杭州玖裕建设管理有限公司</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val="en-US" w:eastAsia="zh-CN"/>
        </w:rPr>
        <w:t>二</w:t>
      </w:r>
      <w:r>
        <w:rPr>
          <w:rFonts w:hint="eastAsia" w:ascii="宋体" w:hAnsi="宋体" w:cs="宋体"/>
          <w:bCs/>
          <w:sz w:val="32"/>
          <w:szCs w:val="32"/>
          <w:highlight w:val="none"/>
        </w:rPr>
        <w:t xml:space="preserve"> </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 xml:space="preserve"> 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u w:val="single"/>
        </w:rPr>
        <w:t>（杭州市公安局临平区分局2022年工会疗休养项目）</w:t>
      </w:r>
      <w:r>
        <w:rPr>
          <w:rFonts w:hint="eastAsia" w:ascii="仿宋_GB2312" w:hAnsi="仿宋" w:eastAsia="仿宋_GB2312"/>
          <w:sz w:val="24"/>
        </w:rPr>
        <w:t>招标项目的潜在投标人应在政采云平台（</w:t>
      </w:r>
      <w:r>
        <w:rPr>
          <w:highlight w:val="none"/>
        </w:rPr>
        <w:fldChar w:fldCharType="begin"/>
      </w:r>
      <w:r>
        <w:rPr>
          <w:highlight w:val="none"/>
        </w:rPr>
        <w:instrText xml:space="preserve">HYPERLINK "https://www.zcygov.cn/）获取（下载）招标文件，并于2021年" </w:instrText>
      </w:r>
      <w:r>
        <w:rPr>
          <w:highlight w:val="none"/>
        </w:rPr>
        <w:fldChar w:fldCharType="separate"/>
      </w:r>
      <w:r>
        <w:rPr>
          <w:rStyle w:val="77"/>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8</w:t>
      </w:r>
      <w:r>
        <w:rPr>
          <w:rFonts w:hint="eastAsia" w:ascii="仿宋_GB2312" w:hAnsi="仿宋" w:eastAsia="仿宋_GB2312"/>
          <w:sz w:val="24"/>
          <w:highlight w:val="none"/>
          <w:u w:val="single"/>
        </w:rPr>
        <w:t xml:space="preserve"> 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 xml:space="preserve"> 日 </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 xml:space="preserve"> 分</w:t>
      </w:r>
      <w:r>
        <w:rPr>
          <w:rFonts w:hint="eastAsia" w:ascii="仿宋_GB2312" w:hAnsi="仿宋" w:eastAsia="仿宋_GB2312"/>
          <w:bCs/>
          <w:sz w:val="24"/>
          <w:highlight w:val="none"/>
          <w:u w:val="single"/>
        </w:rPr>
        <w:t>00秒</w:t>
      </w:r>
      <w:r>
        <w:rPr>
          <w:highlight w:val="non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rPr>
        <w:t>一、</w:t>
      </w:r>
      <w:r>
        <w:rPr>
          <w:rFonts w:hint="eastAsia" w:ascii="仿宋_GB2312" w:hAnsi="仿宋" w:eastAsia="仿宋_GB2312"/>
          <w:b/>
          <w:sz w:val="24"/>
          <w:highlight w:val="none"/>
        </w:rPr>
        <w:t>项目基本情况</w:t>
      </w:r>
      <w:r>
        <w:rPr>
          <w:rFonts w:ascii="仿宋_GB2312" w:hAnsi="仿宋" w:eastAsia="仿宋_GB2312"/>
          <w:b/>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sz w:val="24"/>
          <w:highlight w:val="none"/>
        </w:rPr>
        <w:t>（JYCG-2022-025）</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cs="仿宋_GB2312"/>
          <w:sz w:val="24"/>
          <w:highlight w:val="none"/>
        </w:rPr>
        <w:t>（杭州市公安局临平区分局2022年工会疗休养项目）</w:t>
      </w:r>
    </w:p>
    <w:p>
      <w:pPr>
        <w:spacing w:line="360" w:lineRule="auto"/>
        <w:rPr>
          <w:rFonts w:hint="default" w:ascii="仿宋_GB2312" w:hAnsi="仿宋" w:eastAsia="仿宋_GB2312"/>
          <w:sz w:val="24"/>
          <w:highlight w:val="none"/>
          <w:lang w:val="en-US" w:eastAsia="zh-CN"/>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
          <w:sz w:val="24"/>
          <w:highlight w:val="none"/>
          <w:lang w:val="en-US" w:eastAsia="zh-CN"/>
        </w:rPr>
        <w:t>4130000</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最高限价（元）：4</w:t>
      </w:r>
      <w:r>
        <w:rPr>
          <w:rFonts w:hint="eastAsia" w:ascii="仿宋_GB2312" w:hAnsi="仿宋" w:eastAsia="仿宋_GB2312"/>
          <w:b/>
          <w:sz w:val="24"/>
          <w:highlight w:val="none"/>
          <w:lang w:val="en-US" w:eastAsia="zh-CN"/>
        </w:rPr>
        <w:t>130000</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p>
    <w:p>
      <w:pPr>
        <w:pStyle w:val="5"/>
        <w:spacing w:line="360" w:lineRule="auto"/>
        <w:ind w:firstLine="480"/>
        <w:rPr>
          <w:rFonts w:hint="eastAsia" w:ascii="仿宋_GB2312" w:hAnsi="仿宋" w:eastAsia="仿宋_GB2312"/>
          <w:bCs/>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color w:val="auto"/>
          <w:kern w:val="2"/>
          <w:sz w:val="24"/>
          <w:szCs w:val="24"/>
          <w:highlight w:val="none"/>
        </w:rPr>
        <w:t>（杭州市公安局临平区分局2022年工会疗休养项目）主要内容：杭州市公安局临平区分局2022年工会疗休养项目</w:t>
      </w:r>
      <w:r>
        <w:rPr>
          <w:rFonts w:ascii="仿宋_GB2312" w:hAnsi="仿宋" w:eastAsia="仿宋_GB2312"/>
          <w:bCs/>
          <w:color w:val="auto"/>
          <w:kern w:val="2"/>
          <w:sz w:val="24"/>
          <w:szCs w:val="24"/>
          <w:highlight w:val="none"/>
        </w:rPr>
        <w:t>。</w:t>
      </w:r>
      <w:r>
        <w:rPr>
          <w:rFonts w:hint="eastAsia" w:ascii="仿宋_GB2312" w:hAnsi="仿宋" w:eastAsia="仿宋_GB2312"/>
          <w:bCs/>
          <w:color w:val="auto"/>
          <w:kern w:val="2"/>
          <w:sz w:val="24"/>
          <w:szCs w:val="24"/>
          <w:highlight w:val="none"/>
        </w:rPr>
        <w:t>详见招标文件第三部分采购需求。</w:t>
      </w:r>
    </w:p>
    <w:p>
      <w:pPr>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标项一</w:t>
      </w:r>
      <w:r>
        <w:rPr>
          <w:rFonts w:ascii="仿宋" w:hAnsi="仿宋" w:eastAsia="仿宋" w:cs="仿宋"/>
          <w:b/>
          <w:bCs/>
          <w:color w:val="auto"/>
          <w:sz w:val="24"/>
          <w:szCs w:val="24"/>
          <w:highlight w:val="none"/>
        </w:rPr>
        <w:t>:</w:t>
      </w:r>
    </w:p>
    <w:p>
      <w:pPr>
        <w:spacing w:line="360" w:lineRule="auto"/>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标项名称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杭州市公安局临平区分局2022年工会疗休养项目</w:t>
      </w:r>
      <w:r>
        <w:rPr>
          <w:rFonts w:hint="eastAsia" w:ascii="仿宋" w:hAnsi="仿宋" w:eastAsia="仿宋" w:cs="仿宋"/>
          <w:color w:val="auto"/>
          <w:sz w:val="24"/>
          <w:szCs w:val="24"/>
          <w:highlight w:val="none"/>
        </w:rPr>
        <w:t>标项一</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ascii="仿宋" w:hAnsi="仿宋" w:eastAsia="仿宋" w:cs="仿宋"/>
          <w:color w:val="auto"/>
          <w:sz w:val="24"/>
          <w:szCs w:val="24"/>
          <w:highlight w:val="none"/>
        </w:rPr>
        <w:t xml:space="preserve">: 1  </w:t>
      </w:r>
    </w:p>
    <w:p>
      <w:pPr>
        <w:spacing w:line="360" w:lineRule="auto"/>
        <w:ind w:firstLine="480"/>
        <w:rPr>
          <w:rFonts w:hint="default" w:eastAsia="仿宋"/>
          <w:highlight w:val="none"/>
          <w:lang w:val="en-US" w:eastAsia="zh-CN"/>
        </w:rPr>
      </w:pPr>
      <w:r>
        <w:rPr>
          <w:rFonts w:hint="eastAsia" w:ascii="仿宋" w:hAnsi="仿宋" w:eastAsia="仿宋" w:cs="仿宋"/>
          <w:color w:val="auto"/>
          <w:sz w:val="24"/>
          <w:szCs w:val="24"/>
          <w:highlight w:val="none"/>
        </w:rPr>
        <w:t>预算金额（元）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2130000</w:t>
      </w:r>
    </w:p>
    <w:p>
      <w:pPr>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标项二</w:t>
      </w:r>
      <w:r>
        <w:rPr>
          <w:rFonts w:ascii="仿宋" w:hAnsi="仿宋" w:eastAsia="仿宋" w:cs="仿宋"/>
          <w:b/>
          <w:bCs/>
          <w:color w:val="auto"/>
          <w:sz w:val="24"/>
          <w:szCs w:val="24"/>
          <w:highlight w:val="none"/>
        </w:rPr>
        <w:t>:</w:t>
      </w:r>
    </w:p>
    <w:p>
      <w:pPr>
        <w:spacing w:line="360" w:lineRule="auto"/>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标项名称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杭州市公安局临平区分局2022年工会疗休养项目</w:t>
      </w:r>
      <w:r>
        <w:rPr>
          <w:rFonts w:hint="eastAsia" w:ascii="仿宋" w:hAnsi="仿宋" w:eastAsia="仿宋" w:cs="仿宋"/>
          <w:color w:val="auto"/>
          <w:sz w:val="24"/>
          <w:szCs w:val="24"/>
          <w:highlight w:val="none"/>
        </w:rPr>
        <w:t>标项二</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ascii="仿宋" w:hAnsi="仿宋" w:eastAsia="仿宋" w:cs="仿宋"/>
          <w:color w:val="auto"/>
          <w:sz w:val="24"/>
          <w:szCs w:val="24"/>
          <w:highlight w:val="none"/>
        </w:rPr>
        <w:t xml:space="preserve">: 1  </w:t>
      </w:r>
    </w:p>
    <w:p>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1100000 </w:t>
      </w:r>
    </w:p>
    <w:p>
      <w:pPr>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w:t>
      </w:r>
      <w:r>
        <w:rPr>
          <w:rFonts w:hint="eastAsia" w:ascii="仿宋" w:hAnsi="仿宋" w:eastAsia="仿宋" w:cs="仿宋"/>
          <w:b/>
          <w:bCs/>
          <w:color w:val="auto"/>
          <w:sz w:val="24"/>
          <w:szCs w:val="24"/>
          <w:highlight w:val="none"/>
          <w:lang w:eastAsia="zh-CN"/>
        </w:rPr>
        <w:t>三</w:t>
      </w:r>
      <w:r>
        <w:rPr>
          <w:rFonts w:ascii="仿宋" w:hAnsi="仿宋" w:eastAsia="仿宋" w:cs="仿宋"/>
          <w:b/>
          <w:bCs/>
          <w:color w:val="auto"/>
          <w:sz w:val="24"/>
          <w:szCs w:val="24"/>
          <w:highlight w:val="none"/>
        </w:rPr>
        <w:t>:</w:t>
      </w:r>
    </w:p>
    <w:p>
      <w:pPr>
        <w:spacing w:line="360" w:lineRule="auto"/>
        <w:ind w:firstLine="480"/>
        <w:rPr>
          <w:rFonts w:hint="eastAsia" w:ascii="仿宋" w:hAnsi="仿宋" w:eastAsia="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杭州市公安局临平区分局2022年工会疗休养项目</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eastAsia="zh-CN"/>
        </w:rPr>
        <w:t>三</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ascii="仿宋" w:hAnsi="仿宋" w:eastAsia="仿宋" w:cs="仿宋"/>
          <w:color w:val="auto"/>
          <w:sz w:val="24"/>
          <w:szCs w:val="24"/>
          <w:highlight w:val="none"/>
        </w:rPr>
        <w:t xml:space="preserve">: 1  </w:t>
      </w:r>
    </w:p>
    <w:p>
      <w:pPr>
        <w:spacing w:line="360" w:lineRule="auto"/>
        <w:ind w:firstLine="480"/>
        <w:rPr>
          <w:rFonts w:hint="eastAsia" w:ascii="仿宋_GB2312" w:hAnsi="仿宋" w:eastAsia="仿宋_GB2312"/>
          <w:bCs/>
          <w:color w:val="auto"/>
          <w:kern w:val="2"/>
          <w:sz w:val="24"/>
          <w:szCs w:val="24"/>
          <w:highlight w:val="none"/>
        </w:rPr>
      </w:pPr>
      <w:r>
        <w:rPr>
          <w:rFonts w:hint="eastAsia" w:ascii="仿宋" w:hAnsi="仿宋" w:eastAsia="仿宋" w:cs="仿宋"/>
          <w:color w:val="auto"/>
          <w:sz w:val="24"/>
          <w:szCs w:val="24"/>
          <w:highlight w:val="none"/>
        </w:rPr>
        <w:t>预算金额（元）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900000</w:t>
      </w:r>
    </w:p>
    <w:p>
      <w:pPr>
        <w:pStyle w:val="85"/>
        <w:ind w:firstLine="482"/>
        <w:outlineLvl w:val="2"/>
        <w:rPr>
          <w:rFonts w:ascii="仿宋_GB2312" w:hAnsi="仿宋" w:eastAsia="仿宋_GB2312"/>
          <w:highlight w:val="none"/>
        </w:rPr>
      </w:pPr>
      <w:r>
        <w:rPr>
          <w:rFonts w:hint="eastAsia" w:ascii="仿宋_GB2312" w:hAnsi="仿宋" w:eastAsia="仿宋_GB2312"/>
          <w:b/>
          <w:highlight w:val="none"/>
        </w:rPr>
        <w:t>合同履约期限：拟安排于2022年8月中旬至11月下旬出行</w:t>
      </w:r>
    </w:p>
    <w:p>
      <w:pPr>
        <w:pStyle w:val="5"/>
        <w:spacing w:line="360" w:lineRule="auto"/>
        <w:ind w:firstLine="480"/>
        <w:rPr>
          <w:rFonts w:hint="eastAsia" w:ascii="宋体" w:hAnsi="宋体" w:eastAsia="宋体" w:cs="Arial"/>
          <w:color w:val="auto"/>
          <w:kern w:val="0"/>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00A8"/>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sym w:font="Wingdings" w:char="00FE"/>
      </w:r>
      <w:r>
        <w:rPr>
          <w:rFonts w:hint="eastAsia" w:ascii="仿宋_GB2312" w:hAnsi="仿宋" w:eastAsia="仿宋_GB2312"/>
          <w:b/>
          <w:color w:val="auto"/>
          <w:sz w:val="24"/>
          <w:highlight w:val="none"/>
        </w:rPr>
        <w:t>否</w:t>
      </w:r>
      <w:r>
        <w:rPr>
          <w:rFonts w:hint="eastAsia" w:ascii="宋体" w:hAnsi="宋体" w:eastAsia="宋体" w:cs="Arial"/>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hint="eastAsia"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highlight w:val="none"/>
        </w:rPr>
      </w:pPr>
      <w:r>
        <w:rPr>
          <w:rFonts w:ascii="MS Gothic" w:hAnsi="MS Gothic" w:eastAsia="MS Gothic" w:cs="Arial"/>
          <w:kern w:val="0"/>
          <w:sz w:val="24"/>
          <w:highlight w:val="none"/>
        </w:rPr>
        <w:t>☐</w:t>
      </w:r>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r>
        <w:rPr>
          <w:rFonts w:ascii="MS Gothic" w:hAnsi="MS Gothic" w:eastAsia="MS Gothic" w:cs="Arial"/>
          <w:kern w:val="0"/>
          <w:sz w:val="24"/>
          <w:highlight w:val="none"/>
        </w:rPr>
        <w:sym w:font="Wingdings" w:char="F0FE"/>
      </w:r>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r>
        <w:rPr>
          <w:rFonts w:ascii="MS Gothic" w:hAnsi="MS Gothic" w:eastAsia="MS Gothic" w:cs="Arial"/>
          <w:kern w:val="0"/>
          <w:sz w:val="24"/>
          <w:highlight w:val="none"/>
        </w:rPr>
        <w:sym w:font="Wingdings" w:char="00A8"/>
      </w:r>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r>
        <w:rPr>
          <w:rFonts w:ascii="MS Gothic" w:hAnsi="MS Gothic" w:eastAsia="MS Gothic" w:cs="Arial"/>
          <w:kern w:val="0"/>
          <w:sz w:val="24"/>
          <w:highlight w:val="none"/>
        </w:rPr>
        <w:sym w:font="Wingdings" w:char="00FE"/>
      </w:r>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rFonts w:ascii="仿宋_GB2312" w:hAnsi="仿宋" w:eastAsia="仿宋_GB2312"/>
          <w:sz w:val="24"/>
          <w:highlight w:val="none"/>
        </w:rPr>
      </w:pPr>
      <w:r>
        <w:rPr>
          <w:rFonts w:ascii="MS Gothic" w:hAnsi="MS Gothic" w:eastAsia="MS Gothic" w:cs="Arial"/>
          <w:kern w:val="0"/>
          <w:sz w:val="24"/>
          <w:highlight w:val="none"/>
        </w:rPr>
        <w:sym w:font="Wingdings" w:char="00FE"/>
      </w:r>
      <w:r>
        <w:rPr>
          <w:rFonts w:hint="eastAsia" w:ascii="仿宋_GB2312" w:hAnsi="仿宋" w:eastAsia="仿宋_GB2312"/>
          <w:sz w:val="24"/>
          <w:highlight w:val="none"/>
        </w:rPr>
        <w:t>服务全部由符合政策要求的小微企业承接，提供中小企业声明函；</w:t>
      </w:r>
    </w:p>
    <w:p>
      <w:pPr>
        <w:rPr>
          <w:highlight w:val="none"/>
        </w:rPr>
      </w:pPr>
    </w:p>
    <w:p>
      <w:pPr>
        <w:spacing w:line="360" w:lineRule="auto"/>
        <w:ind w:firstLine="480" w:firstLineChars="200"/>
        <w:rPr>
          <w:rFonts w:ascii="仿宋" w:hAnsi="仿宋" w:eastAsia="仿宋"/>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MS Gothic" w:hAnsi="MS Gothic" w:eastAsia="仿宋_GB2312" w:cs="Arial"/>
          <w:kern w:val="0"/>
          <w:sz w:val="24"/>
          <w:highlight w:val="none"/>
        </w:rPr>
        <w:t>☐</w:t>
      </w:r>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3.本项目的特定资格要求：无</w:t>
      </w:r>
      <w:r>
        <w:rPr>
          <w:rFonts w:hint="eastAsia" w:ascii="仿宋_GB2312" w:hAnsi="仿宋" w:eastAsia="仿宋_GB2312"/>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8</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lang w:val="en-US" w:eastAsia="zh-CN"/>
        </w:rPr>
        <w:t>获取网址</w:t>
      </w:r>
      <w:r>
        <w:rPr>
          <w:rFonts w:hint="eastAsia" w:ascii="仿宋_GB2312" w:hAnsi="仿宋" w:eastAsia="仿宋_GB2312"/>
          <w:b/>
          <w:sz w:val="24"/>
          <w:highlight w:val="none"/>
        </w:rPr>
        <w:t>：</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年</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val="en-US" w:eastAsia="zh-CN"/>
        </w:rPr>
        <w:t>8</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 xml:space="preserve"> 日 </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 xml:space="preserve">点 </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投标地点：</w:t>
      </w:r>
      <w:r>
        <w:rPr>
          <w:rFonts w:hint="eastAsia" w:ascii="仿宋_GB2312" w:hAnsi="仿宋" w:eastAsia="仿宋_GB2312" w:cs="Times New Roman"/>
          <w:b w:val="0"/>
          <w:bCs w:val="0"/>
          <w:color w:val="auto"/>
          <w:sz w:val="24"/>
          <w:highlight w:val="none"/>
          <w:lang w:eastAsia="zh-CN"/>
        </w:rPr>
        <w:t>杭州玖裕建设管理有限公司</w:t>
      </w:r>
    </w:p>
    <w:p>
      <w:pPr>
        <w:spacing w:line="360" w:lineRule="auto"/>
        <w:ind w:firstLine="480" w:firstLineChars="200"/>
        <w:rPr>
          <w:rFonts w:ascii="仿宋_GB2312" w:hAnsi="仿宋" w:eastAsia="仿宋_GB2312"/>
          <w:b/>
          <w:sz w:val="24"/>
          <w:highlight w:val="none"/>
        </w:rPr>
      </w:pPr>
      <w:r>
        <w:rPr>
          <w:rFonts w:hint="eastAsia" w:ascii="仿宋_GB2312" w:hAnsi="仿宋" w:eastAsia="仿宋_GB2312"/>
          <w:sz w:val="24"/>
          <w:highlight w:val="none"/>
          <w:lang w:val="en-US" w:eastAsia="zh-CN"/>
        </w:rPr>
        <w:t>投标网址：</w:t>
      </w:r>
      <w:r>
        <w:rPr>
          <w:rFonts w:hint="eastAsia" w:ascii="仿宋_GB2312" w:hAnsi="仿宋" w:eastAsia="仿宋_GB2312"/>
          <w:sz w:val="24"/>
          <w:highlight w:val="none"/>
          <w:lang w:val="en-US"/>
        </w:rPr>
        <w:t>政采云平台</w:t>
      </w:r>
      <w:r>
        <w:rPr>
          <w:rFonts w:hint="eastAsia" w:ascii="仿宋_GB2312" w:hAnsi="仿宋" w:eastAsia="仿宋_GB2312"/>
          <w:sz w:val="24"/>
          <w:highlight w:val="none"/>
        </w:rPr>
        <w:t>（</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年</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val="en-US" w:eastAsia="zh-CN"/>
        </w:rPr>
        <w:t>8</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 xml:space="preserve"> 日 </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 xml:space="preserve">点 </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开标地点：</w:t>
      </w:r>
      <w:r>
        <w:rPr>
          <w:rFonts w:hint="eastAsia" w:ascii="仿宋_GB2312" w:hAnsi="仿宋" w:eastAsia="仿宋_GB2312" w:cs="Times New Roman"/>
          <w:b w:val="0"/>
          <w:bCs w:val="0"/>
          <w:color w:val="auto"/>
          <w:sz w:val="24"/>
          <w:highlight w:val="none"/>
          <w:lang w:eastAsia="zh-CN"/>
        </w:rPr>
        <w:t>杭州玖裕建设管理有限公司</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en-US" w:eastAsia="zh-CN"/>
        </w:rPr>
        <w:t>开标网址：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hint="eastAsia" w:ascii="宋体" w:hAnsi="宋体" w:cs="宋体"/>
          <w:b/>
          <w:bCs/>
          <w:color w:val="000000"/>
          <w:sz w:val="28"/>
          <w:highlight w:val="none"/>
        </w:rPr>
      </w:pPr>
      <w:r>
        <w:rPr>
          <w:rFonts w:hint="eastAsia" w:ascii="仿宋_GB2312" w:hAnsi="仿宋" w:eastAsia="仿宋_GB2312"/>
          <w:b/>
          <w:sz w:val="24"/>
          <w:highlight w:val="none"/>
          <w:lang w:val="en-US" w:eastAsia="zh-CN"/>
        </w:rPr>
        <w:t xml:space="preserve">    注：</w:t>
      </w:r>
      <w:r>
        <w:rPr>
          <w:rFonts w:hint="eastAsia" w:ascii="仿宋_GB2312" w:hAnsi="仿宋" w:eastAsia="仿宋_GB2312" w:cs="Times New Roman"/>
          <w:b w:val="0"/>
          <w:bCs w:val="0"/>
          <w:color w:val="auto"/>
          <w:sz w:val="24"/>
          <w:highlight w:val="none"/>
          <w:lang w:eastAsia="zh-CN"/>
        </w:rPr>
        <w:t>杭州玖裕建设管理有限公司</w:t>
      </w:r>
      <w:r>
        <w:rPr>
          <w:rFonts w:hint="default" w:ascii="仿宋_GB2312" w:hAnsi="仿宋" w:eastAsia="仿宋_GB2312" w:cs="Times New Roman"/>
          <w:b w:val="0"/>
          <w:bCs w:val="0"/>
          <w:color w:val="auto"/>
          <w:sz w:val="24"/>
          <w:highlight w:val="none"/>
          <w:lang w:eastAsia="zh-CN"/>
        </w:rPr>
        <w:t>（</w:t>
      </w:r>
      <w:r>
        <w:rPr>
          <w:rFonts w:hint="default" w:ascii="仿宋_GB2312" w:hAnsi="仿宋" w:eastAsia="仿宋_GB2312" w:cs="Times New Roman"/>
          <w:color w:val="auto"/>
          <w:sz w:val="24"/>
          <w:highlight w:val="none"/>
        </w:rPr>
        <w:t>杭州市</w:t>
      </w:r>
      <w:r>
        <w:rPr>
          <w:rFonts w:hint="default" w:ascii="仿宋_GB2312" w:hAnsi="仿宋" w:eastAsia="仿宋_GB2312" w:cs="Times New Roman"/>
          <w:color w:val="auto"/>
          <w:sz w:val="24"/>
          <w:highlight w:val="none"/>
          <w:lang w:eastAsia="zh-CN"/>
        </w:rPr>
        <w:t>临平</w:t>
      </w:r>
      <w:r>
        <w:rPr>
          <w:rFonts w:hint="default" w:ascii="仿宋_GB2312" w:hAnsi="仿宋" w:eastAsia="仿宋_GB2312" w:cs="Times New Roman"/>
          <w:color w:val="auto"/>
          <w:sz w:val="24"/>
          <w:highlight w:val="none"/>
        </w:rPr>
        <w:t>区</w:t>
      </w:r>
      <w:r>
        <w:rPr>
          <w:rFonts w:hint="eastAsia" w:ascii="仿宋_GB2312" w:hAnsi="仿宋" w:eastAsia="仿宋_GB2312" w:cs="Times New Roman"/>
          <w:color w:val="auto"/>
          <w:sz w:val="24"/>
          <w:highlight w:val="none"/>
          <w:lang w:val="en-US" w:eastAsia="zh-CN"/>
        </w:rPr>
        <w:t>东湖街道五洲路26号2幢401</w:t>
      </w:r>
      <w:r>
        <w:rPr>
          <w:rFonts w:hint="default" w:ascii="仿宋_GB2312" w:hAnsi="仿宋" w:eastAsia="仿宋_GB2312" w:cs="Times New Roman"/>
          <w:b w:val="0"/>
          <w:bCs w:val="0"/>
          <w:color w:val="auto"/>
          <w:sz w:val="24"/>
          <w:highlight w:val="none"/>
          <w:lang w:eastAsia="zh-CN"/>
        </w:rPr>
        <w:t>）</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numPr>
          <w:ilvl w:val="0"/>
          <w:numId w:val="1"/>
        </w:numPr>
        <w:spacing w:line="360" w:lineRule="auto"/>
        <w:rPr>
          <w:rFonts w:hint="eastAsia" w:ascii="仿宋_GB2312" w:hAnsi="仿宋" w:eastAsia="仿宋_GB2312"/>
          <w:b/>
          <w:sz w:val="24"/>
          <w:highlight w:val="none"/>
        </w:rPr>
      </w:pPr>
      <w:r>
        <w:rPr>
          <w:rFonts w:hint="eastAsia" w:ascii="仿宋_GB2312" w:hAnsi="仿宋" w:eastAsia="仿宋_GB2312"/>
          <w:b/>
          <w:sz w:val="24"/>
          <w:highlight w:val="none"/>
        </w:rPr>
        <w:t>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（采购人）</w:t>
      </w:r>
      <w:r>
        <w:rPr>
          <w:rFonts w:ascii="仿宋_GB2312" w:hAnsi="仿宋" w:eastAsia="仿宋_GB2312"/>
          <w:sz w:val="24"/>
          <w:highlight w:val="none"/>
        </w:rPr>
        <w:t xml:space="preserve"> </w:t>
      </w:r>
      <w:r>
        <w:rPr>
          <w:rFonts w:hint="eastAsia" w:ascii="仿宋_GB2312" w:hAnsi="仿宋" w:eastAsia="仿宋_GB2312"/>
          <w:sz w:val="24"/>
          <w:highlight w:val="none"/>
        </w:rPr>
        <w:t>杭州市公安局临平区分局</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杭州市公安局临平区分局</w:t>
      </w:r>
      <w:r>
        <w:rPr>
          <w:rFonts w:hint="eastAsia" w:ascii="仿宋" w:hAnsi="仿宋" w:eastAsia="仿宋" w:cs="仿宋_GB2312"/>
          <w:sz w:val="24"/>
          <w:highlight w:val="none"/>
        </w:rPr>
        <w:t xml:space="preserve"> </w:t>
      </w:r>
      <w:r>
        <w:rPr>
          <w:rFonts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传</w:t>
      </w:r>
      <w:r>
        <w:rPr>
          <w:rFonts w:ascii="仿宋_GB2312" w:hAnsi="仿宋" w:eastAsia="仿宋_GB2312"/>
          <w:sz w:val="24"/>
          <w:highlight w:val="none"/>
        </w:rPr>
        <w:t xml:space="preserve">    真： </w:t>
      </w:r>
      <w:r>
        <w:rPr>
          <w:rFonts w:ascii="仿宋" w:hAnsi="仿宋" w:eastAsia="仿宋"/>
          <w:sz w:val="24"/>
          <w:highlight w:val="none"/>
        </w:rPr>
        <w:t>/</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项目联系人（询问）：</w:t>
      </w:r>
      <w:r>
        <w:rPr>
          <w:rFonts w:ascii="仿宋_GB2312" w:hAnsi="仿宋" w:eastAsia="仿宋_GB2312"/>
          <w:sz w:val="24"/>
          <w:highlight w:val="none"/>
        </w:rPr>
        <w:t xml:space="preserve"> </w:t>
      </w:r>
      <w:r>
        <w:rPr>
          <w:rFonts w:hint="eastAsia" w:ascii="仿宋_GB2312" w:hAnsi="仿宋" w:eastAsia="仿宋_GB2312"/>
          <w:sz w:val="24"/>
          <w:highlight w:val="none"/>
        </w:rPr>
        <w:t>柏成军</w:t>
      </w:r>
      <w:r>
        <w:rPr>
          <w:rFonts w:hint="eastAsia" w:ascii="仿宋" w:hAnsi="仿宋" w:eastAsia="仿宋"/>
          <w:sz w:val="24"/>
          <w:highlight w:val="none"/>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 xml:space="preserve"> 0571-89261065</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_GB2312" w:hAnsi="仿宋" w:eastAsia="仿宋_GB2312"/>
          <w:sz w:val="24"/>
        </w:rPr>
        <w:t>柏成军</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 xml:space="preserve">0571-89261067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eastAsia="zh-CN"/>
        </w:rPr>
        <w:t>采购代理机构</w:t>
      </w:r>
      <w:r>
        <w:rPr>
          <w:rFonts w:hint="eastAsia" w:ascii="仿宋_GB2312" w:hAnsi="仿宋" w:eastAsia="仿宋_GB2312"/>
          <w:sz w:val="24"/>
        </w:rPr>
        <w:t>）</w:t>
      </w:r>
      <w:r>
        <w:rPr>
          <w:rFonts w:hint="eastAsia" w:ascii="仿宋_GB2312" w:hAnsi="仿宋" w:eastAsia="仿宋_GB2312"/>
          <w:sz w:val="24"/>
          <w:lang w:eastAsia="zh-CN"/>
        </w:rPr>
        <w:t>杭州玖裕建设管理有限公司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default" w:ascii="仿宋_GB2312" w:hAnsi="仿宋" w:eastAsia="仿宋_GB2312" w:cs="Times New Roman"/>
          <w:color w:val="auto"/>
          <w:sz w:val="24"/>
          <w:highlight w:val="none"/>
        </w:rPr>
        <w:t>杭州市</w:t>
      </w:r>
      <w:r>
        <w:rPr>
          <w:rFonts w:hint="default" w:ascii="仿宋_GB2312" w:hAnsi="仿宋" w:eastAsia="仿宋_GB2312" w:cs="Times New Roman"/>
          <w:color w:val="auto"/>
          <w:sz w:val="24"/>
          <w:highlight w:val="none"/>
          <w:lang w:eastAsia="zh-CN"/>
        </w:rPr>
        <w:t>临平</w:t>
      </w:r>
      <w:r>
        <w:rPr>
          <w:rFonts w:hint="default" w:ascii="仿宋_GB2312" w:hAnsi="仿宋" w:eastAsia="仿宋_GB2312" w:cs="Times New Roman"/>
          <w:color w:val="auto"/>
          <w:sz w:val="24"/>
          <w:highlight w:val="none"/>
        </w:rPr>
        <w:t>区</w:t>
      </w:r>
      <w:r>
        <w:rPr>
          <w:rFonts w:hint="eastAsia" w:ascii="仿宋_GB2312" w:hAnsi="仿宋" w:eastAsia="仿宋_GB2312" w:cs="Times New Roman"/>
          <w:color w:val="auto"/>
          <w:sz w:val="24"/>
          <w:highlight w:val="none"/>
          <w:lang w:val="en-US" w:eastAsia="zh-CN"/>
        </w:rPr>
        <w:t>东湖街道五洲路26号2幢401</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w:t>
      </w:r>
      <w:r>
        <w:rPr>
          <w:rFonts w:hint="eastAsia" w:ascii="仿宋_GB2312" w:hAnsi="仿宋" w:eastAsia="仿宋_GB2312"/>
          <w:sz w:val="24"/>
          <w:lang w:eastAsia="zh-CN"/>
        </w:rPr>
        <w:t>询问</w:t>
      </w:r>
      <w:r>
        <w:rPr>
          <w:rFonts w:ascii="仿宋_GB2312" w:hAnsi="仿宋" w:eastAsia="仿宋_GB2312"/>
          <w:sz w:val="24"/>
        </w:rPr>
        <w:t>）：</w:t>
      </w:r>
      <w:r>
        <w:rPr>
          <w:rFonts w:hint="eastAsia" w:ascii="仿宋_GB2312" w:hAnsi="仿宋" w:eastAsia="仿宋_GB2312"/>
          <w:sz w:val="24"/>
          <w:lang w:eastAsia="zh-CN"/>
        </w:rPr>
        <w:t>蒋旭鹏</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w:t>
      </w:r>
      <w:r>
        <w:rPr>
          <w:rFonts w:hint="eastAsia" w:ascii="仿宋_GB2312" w:hAnsi="仿宋" w:eastAsia="仿宋_GB2312"/>
          <w:sz w:val="24"/>
          <w:lang w:eastAsia="zh-CN"/>
        </w:rPr>
        <w:t>询问</w:t>
      </w:r>
      <w:r>
        <w:rPr>
          <w:rFonts w:ascii="仿宋_GB2312" w:hAnsi="仿宋" w:eastAsia="仿宋_GB2312"/>
          <w:sz w:val="24"/>
        </w:rPr>
        <w:t>）：</w:t>
      </w:r>
      <w:r>
        <w:rPr>
          <w:rFonts w:hint="eastAsia" w:ascii="仿宋_GB2312" w:hAnsi="仿宋" w:eastAsia="仿宋_GB2312"/>
          <w:sz w:val="24"/>
          <w:lang w:val="en-US" w:eastAsia="zh-CN"/>
        </w:rPr>
        <w:t>15858285885</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eastAsia="zh-CN"/>
        </w:rPr>
        <w:t>曹嘉伦</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0571-86182181</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ascii="仿宋_GB2312" w:hAnsi="仿宋" w:eastAsia="仿宋_GB2312"/>
          <w:sz w:val="24"/>
          <w:highlight w:val="none"/>
        </w:rPr>
        <w:t>名    称：</w:t>
      </w:r>
      <w:r>
        <w:rPr>
          <w:rFonts w:hint="eastAsia" w:ascii="仿宋_GB2312" w:hAnsi="仿宋" w:eastAsia="仿宋_GB2312"/>
          <w:sz w:val="24"/>
          <w:highlight w:val="none"/>
          <w:lang w:val="zh-TW" w:eastAsia="zh-TW"/>
        </w:rPr>
        <w:t>杭州市</w:t>
      </w:r>
      <w:r>
        <w:rPr>
          <w:rFonts w:hint="eastAsia" w:ascii="仿宋_GB2312" w:hAnsi="仿宋" w:eastAsia="仿宋_GB2312"/>
          <w:sz w:val="24"/>
          <w:highlight w:val="none"/>
          <w:lang w:val="zh-TW" w:eastAsia="zh-CN"/>
        </w:rPr>
        <w:t>临平区</w:t>
      </w:r>
      <w:r>
        <w:rPr>
          <w:rFonts w:hint="eastAsia" w:ascii="仿宋_GB2312" w:hAnsi="仿宋" w:eastAsia="仿宋_GB2312"/>
          <w:sz w:val="24"/>
          <w:highlight w:val="none"/>
          <w:lang w:val="zh-TW" w:eastAsia="zh-TW"/>
        </w:rPr>
        <w:t>财政局</w:t>
      </w:r>
    </w:p>
    <w:p>
      <w:pPr>
        <w:widowControl w:val="0"/>
        <w:wordWrap/>
        <w:autoSpaceDE w:val="0"/>
        <w:autoSpaceDN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zh-TW" w:eastAsia="zh-TW"/>
        </w:rPr>
        <w:t>地址：杭州市临平区临平东湖中路236号</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hint="eastAsia" w:ascii="仿宋_GB2312" w:hAnsi="仿宋" w:eastAsia="仿宋_GB2312"/>
          <w:sz w:val="24"/>
          <w:highlight w:val="none"/>
          <w:lang w:val="zh-TW" w:eastAsia="zh-TW"/>
        </w:rPr>
        <w:t xml:space="preserve">投诉受理人：俞征 </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hint="eastAsia" w:ascii="仿宋_GB2312" w:hAnsi="仿宋" w:eastAsia="仿宋_GB2312"/>
          <w:sz w:val="24"/>
          <w:highlight w:val="none"/>
          <w:lang w:val="zh-TW" w:eastAsia="zh-TW"/>
        </w:rPr>
        <w:t>联系电话：0571-89185312</w:t>
      </w:r>
    </w:p>
    <w:p>
      <w:pPr>
        <w:widowControl w:val="0"/>
        <w:wordWrap/>
        <w:autoSpaceDE w:val="0"/>
        <w:autoSpaceDN w:val="0"/>
        <w:spacing w:line="360" w:lineRule="auto"/>
        <w:ind w:firstLine="480" w:firstLineChars="200"/>
        <w:rPr>
          <w:rFonts w:hint="eastAsia" w:ascii="仿宋_GB2312" w:hAnsi="仿宋" w:eastAsia="仿宋_GB2312"/>
          <w:sz w:val="24"/>
          <w:highlight w:val="none"/>
          <w:lang w:val="en-US" w:eastAsia="zh-CN"/>
        </w:rPr>
      </w:pPr>
      <w:r>
        <w:rPr>
          <w:rFonts w:hint="eastAsia" w:ascii="仿宋_GB2312" w:hAnsi="仿宋" w:eastAsia="仿宋_GB2312"/>
          <w:sz w:val="24"/>
          <w:highlight w:val="none"/>
          <w:lang w:val="zh-TW" w:eastAsia="zh-TW"/>
        </w:rPr>
        <w:t>传真：</w:t>
      </w:r>
      <w:r>
        <w:rPr>
          <w:rFonts w:hint="eastAsia" w:ascii="仿宋_GB2312" w:hAnsi="仿宋" w:eastAsia="仿宋_GB2312"/>
          <w:sz w:val="24"/>
          <w:highlight w:val="none"/>
          <w:lang w:val="en-US" w:eastAsia="zh-CN"/>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highlight w:val="none"/>
          <w:lang w:val="zh-TW" w:eastAsia="zh-TW"/>
        </w:rPr>
        <w:t>监督投诉电话：</w:t>
      </w:r>
      <w:r>
        <w:rPr>
          <w:rFonts w:hint="eastAsia" w:ascii="仿宋_GB2312" w:hAnsi="仿宋" w:eastAsia="仿宋_GB2312"/>
          <w:sz w:val="24"/>
          <w:highlight w:val="none"/>
          <w:lang w:val="en-US" w:eastAsia="zh-CN"/>
        </w:rPr>
        <w:t xml:space="preserve">  </w:t>
      </w:r>
      <w:r>
        <w:rPr>
          <w:rFonts w:hint="eastAsia" w:ascii="仿宋_GB2312" w:hAnsi="仿宋" w:eastAsia="仿宋_GB2312"/>
          <w:sz w:val="24"/>
          <w:highlight w:val="none"/>
          <w:lang w:val="zh-TW" w:eastAsia="zh-TW"/>
        </w:rPr>
        <w:t>0571-89185312</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Times New Roman"/>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cs="Times New Roman"/>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_GB2312" w:hAnsi="仿宋" w:eastAsia="仿宋_GB2312" w:cs="Times New Roman"/>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cs="Times New Roman"/>
                <w:b/>
                <w:kern w:val="0"/>
                <w:sz w:val="24"/>
                <w:szCs w:val="20"/>
                <w:lang w:val="zh-CN"/>
              </w:rPr>
              <w:t>;</w:t>
            </w:r>
          </w:p>
          <w:p>
            <w:pPr>
              <w:spacing w:before="0" w:beforeAutospacing="0" w:after="0" w:afterAutospacing="0" w:line="360" w:lineRule="auto"/>
              <w:ind w:left="0" w:right="0" w:firstLine="241" w:firstLineChars="100"/>
              <w:rPr>
                <w:rFonts w:hint="eastAsia"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before="0" w:beforeAutospacing="0" w:after="0" w:afterAutospacing="0" w:line="360" w:lineRule="auto"/>
              <w:ind w:left="0" w:right="0" w:firstLine="241" w:firstLineChars="100"/>
              <w:rPr>
                <w:rFonts w:hint="eastAsia" w:ascii="仿宋_GB2312" w:hAnsi="仿宋" w:eastAsia="仿宋_GB2312" w:cs="Times New Roman"/>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cs="Times New Roman"/>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cs="Times New Roman"/>
                <w:sz w:val="24"/>
                <w:szCs w:val="20"/>
              </w:rPr>
              <w:t>同意将非主体、非关键性的</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cs="Times New Roman"/>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（1）资格证明文件：见招标文件第二部分11.1。</w:t>
            </w:r>
          </w:p>
          <w:p>
            <w:pPr>
              <w:spacing w:before="0" w:beforeAutospacing="0" w:after="0" w:afterAutospacing="0" w:line="360" w:lineRule="auto"/>
              <w:ind w:left="0" w:right="0"/>
              <w:rPr>
                <w:rFonts w:hint="eastAsia" w:ascii="Arial" w:hAnsi="Arial" w:eastAsia="黑体" w:cs="Arial"/>
                <w:snapToGrid w:val="0"/>
                <w:kern w:val="0"/>
                <w:sz w:val="20"/>
                <w:szCs w:val="21"/>
              </w:rPr>
            </w:pPr>
            <w:r>
              <w:rPr>
                <w:rFonts w:hint="eastAsia" w:ascii="仿宋_GB2312" w:hAnsi="仿宋" w:eastAsia="仿宋_GB2312" w:cs="Times New Roman"/>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p>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MS Gothic" w:hAnsi="MS Gothic" w:eastAsia="MS Gothic" w:cs="Arial"/>
                <w:kern w:val="0"/>
                <w:sz w:val="24"/>
                <w:szCs w:val="20"/>
              </w:rPr>
              <w:t>☐</w:t>
            </w:r>
            <w:r>
              <w:rPr>
                <w:rFonts w:hint="eastAsia" w:ascii="仿宋_GB2312" w:hAnsi="仿宋" w:eastAsia="仿宋_GB2312" w:cs="Times New Roman"/>
                <w:kern w:val="0"/>
                <w:sz w:val="24"/>
                <w:szCs w:val="20"/>
              </w:rPr>
              <w:t>B组织，</w:t>
            </w:r>
            <w:r>
              <w:rPr>
                <w:rFonts w:hint="eastAsia" w:ascii="仿宋_GB2312" w:hAnsi="仿宋" w:eastAsia="仿宋_GB2312" w:cs="Times New Roman"/>
                <w:sz w:val="24"/>
                <w:szCs w:val="20"/>
              </w:rPr>
              <w:t>时间：</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,地点：</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，联系人：</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，联系方式：</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MS Gothic" w:cs="Arial"/>
                <w:kern w:val="0"/>
                <w:sz w:val="24"/>
                <w:szCs w:val="20"/>
                <w:highlight w:val="none"/>
              </w:rPr>
              <w:t>☐</w:t>
            </w:r>
            <w:r>
              <w:rPr>
                <w:rFonts w:hint="eastAsia" w:ascii="仿宋_GB2312" w:hAnsi="仿宋" w:eastAsia="仿宋_GB2312" w:cs="Times New Roman"/>
                <w:kern w:val="0"/>
                <w:sz w:val="24"/>
                <w:szCs w:val="20"/>
                <w:highlight w:val="none"/>
              </w:rPr>
              <w:t>B要求提供，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w:t>
            </w:r>
            <w:r>
              <w:rPr>
                <w:rFonts w:hint="eastAsia" w:ascii="仿宋" w:hAnsi="仿宋" w:eastAsia="仿宋" w:cs="Times New Roman"/>
                <w:snapToGrid w:val="0"/>
                <w:kern w:val="28"/>
                <w:sz w:val="24"/>
                <w:szCs w:val="20"/>
                <w:highlight w:val="none"/>
              </w:rPr>
              <w:t>样品：</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w:t>
            </w:r>
            <w:r>
              <w:rPr>
                <w:rFonts w:hint="eastAsia" w:ascii="仿宋" w:hAnsi="仿宋" w:eastAsia="仿宋" w:cs="Times New Roman"/>
                <w:snapToGrid w:val="0"/>
                <w:kern w:val="28"/>
                <w:sz w:val="24"/>
                <w:szCs w:val="20"/>
                <w:highlight w:val="none"/>
              </w:rPr>
              <w:t>样品制作的标准和要求：</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（3）样品的评审方法以及评审标准</w:t>
            </w:r>
            <w:r>
              <w:rPr>
                <w:rFonts w:hint="eastAsia" w:ascii="仿宋" w:hAnsi="仿宋" w:eastAsia="仿宋" w:cs="Times New Roman"/>
                <w:snapToGrid w:val="0"/>
                <w:kern w:val="28"/>
                <w:sz w:val="24"/>
                <w:szCs w:val="20"/>
                <w:highlight w:val="none"/>
              </w:rPr>
              <w:t>：详见</w:t>
            </w:r>
            <w:r>
              <w:rPr>
                <w:rFonts w:hint="eastAsia" w:ascii="仿宋_GB2312" w:hAnsi="仿宋" w:eastAsia="仿宋_GB2312" w:cs="Times New Roman"/>
                <w:sz w:val="24"/>
                <w:szCs w:val="20"/>
                <w:highlight w:val="none"/>
                <w:u w:val="single"/>
              </w:rPr>
              <w:t>评标办法</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（4）是否需要随样品提交检测报告：</w:t>
            </w:r>
            <w:r>
              <w:rPr>
                <w:rFonts w:hint="eastAsia" w:ascii="MS Gothic" w:hAnsi="MS Gothic" w:eastAsia="仿宋_GB2312" w:cs="Arial"/>
                <w:kern w:val="0"/>
                <w:sz w:val="24"/>
                <w:szCs w:val="20"/>
                <w:highlight w:val="none"/>
              </w:rPr>
              <w:sym w:font="Wingdings" w:char="F0FE"/>
            </w:r>
            <w:r>
              <w:rPr>
                <w:rFonts w:hint="eastAsia" w:ascii="仿宋_GB2312" w:hAnsi="仿宋" w:eastAsia="仿宋_GB2312" w:cs="Times New Roman"/>
                <w:kern w:val="0"/>
                <w:sz w:val="24"/>
                <w:szCs w:val="20"/>
                <w:highlight w:val="none"/>
              </w:rPr>
              <w:t>否；</w:t>
            </w: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是，检测机构的要求</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；检测内容</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（5）提供样品的时间：</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；地点：</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；联系人</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r>
              <w:rPr>
                <w:rFonts w:hint="eastAsia" w:ascii="仿宋_GB2312" w:hAnsi="仿宋" w:eastAsia="仿宋_GB2312" w:cs="Times New Roman"/>
                <w:kern w:val="28"/>
                <w:sz w:val="24"/>
                <w:szCs w:val="20"/>
                <w:highlight w:val="none"/>
              </w:rPr>
              <w:t>联系电话：</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lang w:val="en-US" w:eastAsia="zh-CN"/>
              </w:rPr>
              <w:t>6</w:t>
            </w:r>
            <w:r>
              <w:rPr>
                <w:rFonts w:hint="eastAsia" w:ascii="仿宋_GB2312" w:hAnsi="仿宋" w:eastAsia="仿宋_GB2312" w:cs="Times New Roman"/>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w:t>
            </w:r>
            <w:r>
              <w:rPr>
                <w:rFonts w:hint="eastAsia" w:ascii="仿宋_GB2312" w:hAnsi="仿宋" w:eastAsia="仿宋_GB2312" w:cs="Times New Roman"/>
                <w:sz w:val="24"/>
                <w:szCs w:val="20"/>
                <w:highlight w:val="none"/>
              </w:rPr>
              <w:t>对于中标人提供的样品，采购人将进行保管、封存，并作为履约验收的参考。</w:t>
            </w:r>
          </w:p>
          <w:p>
            <w:pPr>
              <w:spacing w:before="0" w:beforeAutospacing="0" w:after="0" w:afterAutospacing="0" w:line="360" w:lineRule="auto"/>
              <w:ind w:left="0" w:right="0"/>
              <w:rPr>
                <w:rFonts w:hint="eastAsia" w:ascii="仿宋_GB2312" w:hAnsi="仿宋" w:eastAsia="仿宋_GB2312" w:cs="Times New Roman"/>
                <w:b/>
                <w:sz w:val="24"/>
                <w:szCs w:val="20"/>
                <w:highlight w:val="none"/>
              </w:rPr>
            </w:pPr>
            <w:r>
              <w:rPr>
                <w:rFonts w:hint="eastAsia" w:ascii="仿宋_GB2312" w:hAnsi="仿宋" w:eastAsia="仿宋_GB2312" w:cs="Times New Roman"/>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Cs/>
                <w:sz w:val="24"/>
                <w:szCs w:val="20"/>
                <w:highlight w:val="none"/>
              </w:rPr>
            </w:pPr>
            <w:r>
              <w:rPr>
                <w:rFonts w:hint="eastAsia" w:ascii="仿宋_GB2312" w:hAnsi="仿宋" w:eastAsia="仿宋_GB2312" w:cs="仿宋_GB2312"/>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不组织。</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B组织。</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（1）在评标时安排每个投标人进行方案讲解演示。每个投标人时间不超过20分钟，讲解次序以</w:t>
            </w:r>
            <w:r>
              <w:rPr>
                <w:rFonts w:hint="eastAsia" w:ascii="仿宋_GB2312" w:hAnsi="仿宋" w:eastAsia="仿宋_GB2312" w:cs="Times New Roman"/>
                <w:kern w:val="0"/>
                <w:sz w:val="24"/>
                <w:szCs w:val="20"/>
                <w:highlight w:val="none"/>
                <w:lang w:val="en-US" w:eastAsia="zh-CN"/>
              </w:rPr>
              <w:t>投标人现场抽签</w:t>
            </w:r>
            <w:r>
              <w:rPr>
                <w:rFonts w:hint="eastAsia" w:ascii="仿宋_GB2312" w:hAnsi="仿宋" w:eastAsia="仿宋_GB2312" w:cs="Times New Roman"/>
                <w:kern w:val="0"/>
                <w:sz w:val="24"/>
                <w:szCs w:val="20"/>
                <w:highlight w:val="none"/>
              </w:rPr>
              <w:t>为准，讲解演示人员不超过3人。讲解演示结束后按要求解答评标委员会提问。</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（2）方案讲解演示方式：</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lang w:val="en-US" w:eastAsia="zh-CN"/>
              </w:rPr>
              <w:t xml:space="preserve">    </w:t>
            </w:r>
            <w:r>
              <w:rPr>
                <w:rFonts w:hint="eastAsia" w:ascii="仿宋_GB2312" w:hAnsi="仿宋" w:eastAsia="仿宋_GB2312" w:cs="Times New Roman"/>
                <w:kern w:val="0"/>
                <w:sz w:val="24"/>
                <w:szCs w:val="20"/>
                <w:highlight w:val="none"/>
              </w:rPr>
              <w:t>交易中心现场讲解演示。现场讲解地点为</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_GB2312" w:hAnsi="仿宋" w:eastAsia="仿宋_GB2312" w:cs="仿宋_GB2312"/>
                <w:b/>
                <w:kern w:val="0"/>
                <w:sz w:val="24"/>
                <w:szCs w:val="20"/>
                <w:highlight w:val="none"/>
                <w:lang w:val="zh-CN"/>
              </w:rPr>
            </w:pPr>
            <w:r>
              <w:rPr>
                <w:rFonts w:hint="eastAsia" w:ascii="仿宋_GB2312" w:hAnsi="仿宋" w:eastAsia="仿宋_GB2312" w:cs="Times New Roman"/>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Arial"/>
                <w:kern w:val="0"/>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Arial"/>
                <w:kern w:val="0"/>
                <w:sz w:val="24"/>
                <w:szCs w:val="20"/>
                <w:highlight w:val="none"/>
              </w:rPr>
              <w:t>本项目不允许采购进口产品。</w:t>
            </w:r>
          </w:p>
          <w:p>
            <w:pPr>
              <w:spacing w:before="0" w:beforeAutospacing="0" w:after="0" w:afterAutospacing="0" w:line="360" w:lineRule="auto"/>
              <w:ind w:left="0" w:right="0"/>
              <w:rPr>
                <w:rFonts w:hint="eastAsia" w:ascii="Times New Roman" w:hAnsi="Times New Roman" w:cs="Times New Roman"/>
                <w:b w:val="0"/>
                <w:bCs w:val="0"/>
                <w:sz w:val="20"/>
                <w:szCs w:val="20"/>
                <w:highlight w:val="none"/>
              </w:rPr>
            </w:pPr>
            <w:r>
              <w:rPr>
                <w:rFonts w:hint="eastAsia" w:ascii="宋体" w:hAnsi="宋体" w:cs="宋体"/>
                <w:kern w:val="0"/>
                <w:sz w:val="24"/>
                <w:szCs w:val="20"/>
                <w:highlight w:val="none"/>
              </w:rPr>
              <w:t>☐</w:t>
            </w:r>
            <w:r>
              <w:rPr>
                <w:rFonts w:hint="eastAsia" w:ascii="仿宋" w:hAnsi="仿宋" w:eastAsia="仿宋" w:cs="仿宋"/>
                <w:kern w:val="0"/>
                <w:sz w:val="24"/>
                <w:szCs w:val="20"/>
                <w:highlight w:val="none"/>
              </w:rPr>
              <w:t>可以就</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A8"/>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货物类，单一产品或</w:t>
            </w:r>
            <w:r>
              <w:rPr>
                <w:rFonts w:hint="eastAsia" w:ascii="仿宋_GB2312" w:hAnsi="仿宋" w:eastAsia="仿宋_GB2312" w:cs="Times New Roman"/>
                <w:kern w:val="0"/>
                <w:sz w:val="24"/>
                <w:szCs w:val="20"/>
                <w:highlight w:val="none"/>
              </w:rPr>
              <w:t>核心产品为：</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FE"/>
            </w:r>
            <w:r>
              <w:rPr>
                <w:rFonts w:hint="eastAsia" w:ascii="仿宋_GB2312" w:hAnsi="仿宋" w:eastAsia="仿宋_GB2312" w:cs="Arial"/>
                <w:kern w:val="0"/>
                <w:sz w:val="24"/>
                <w:szCs w:val="20"/>
                <w:highlight w:val="none"/>
              </w:rPr>
              <w:t>B</w:t>
            </w:r>
            <w:r>
              <w:rPr>
                <w:rFonts w:hint="eastAsia" w:ascii="仿宋_GB2312" w:hAnsi="仿宋" w:eastAsia="仿宋_GB2312" w:cs="Times New Roman"/>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before="0" w:beforeAutospacing="0" w:after="0" w:afterAutospacing="0"/>
              <w:ind w:right="0"/>
              <w:rPr>
                <w:rFonts w:hint="eastAsia" w:ascii="Times New Roman" w:hAnsi="Times New Roman" w:cs="Times New Roman"/>
                <w:sz w:val="20"/>
                <w:szCs w:val="20"/>
                <w:highlight w:val="none"/>
                <w:lang w:val="en-US"/>
              </w:rPr>
            </w:pPr>
            <w:r>
              <w:rPr>
                <w:rFonts w:hint="eastAsia" w:ascii="仿宋_GB2312" w:hAnsi="仿宋" w:eastAsia="仿宋_GB2312" w:cs="Arial"/>
                <w:kern w:val="0"/>
                <w:sz w:val="24"/>
                <w:szCs w:val="20"/>
                <w:highlight w:val="none"/>
              </w:rPr>
              <w:t>（1）标的：</w:t>
            </w:r>
            <w:r>
              <w:rPr>
                <w:rFonts w:hint="eastAsia" w:ascii="仿宋" w:hAnsi="仿宋" w:eastAsia="仿宋" w:cs="仿宋"/>
                <w:kern w:val="0"/>
                <w:sz w:val="24"/>
                <w:szCs w:val="24"/>
                <w:highlight w:val="none"/>
              </w:rPr>
              <w:t>旅行社及相关服务，属于租赁和商务服务业；具体详见《中小企业划型标准规定》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Times New Roman" w:hAnsi="Times New Roman" w:eastAsia="仿宋" w:cs="Times New Roman"/>
                <w:sz w:val="20"/>
                <w:szCs w:val="20"/>
                <w:highlight w:val="none"/>
              </w:rPr>
            </w:pPr>
            <w:r>
              <w:rPr>
                <w:rFonts w:hint="eastAsia" w:ascii="仿宋_GB2312" w:hAnsi="仿宋" w:eastAsia="仿宋_GB2312" w:cs="Arial"/>
                <w:kern w:val="0"/>
                <w:sz w:val="24"/>
                <w:szCs w:val="20"/>
                <w:highlight w:val="none"/>
                <w:lang w:val="en-US" w:eastAsia="zh-CN"/>
              </w:rPr>
              <w:t xml:space="preserve">    </w:t>
            </w:r>
            <w:r>
              <w:rPr>
                <w:rFonts w:hint="eastAsia" w:ascii="仿宋_GB2312" w:hAnsi="仿宋" w:eastAsia="仿宋_GB2312" w:cs="Arial"/>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z w:val="24"/>
                <w:szCs w:val="20"/>
              </w:rPr>
            </w:pPr>
            <w:r>
              <w:rPr>
                <w:rFonts w:hint="eastAsia" w:ascii="仿宋_GB2312" w:hAnsi="仿宋" w:eastAsia="仿宋_GB2312" w:cs="Times New Roman"/>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rPr>
                <w:rFonts w:hint="eastAsia"/>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before="0" w:beforeAutospacing="0" w:after="0" w:afterAutospacing="0" w:line="360" w:lineRule="auto"/>
              <w:ind w:left="0" w:right="0"/>
              <w:rPr>
                <w:rFonts w:hint="eastAsia" w:ascii="仿宋_GB2312" w:hAnsi="仿宋" w:eastAsia="仿宋_GB2312" w:cs="仿宋_GB2312"/>
                <w:sz w:val="24"/>
                <w:szCs w:val="24"/>
                <w:highlight w:val="none"/>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cs="Times New Roman"/>
                <w:b w:val="0"/>
                <w:bCs w:val="0"/>
                <w:color w:val="auto"/>
                <w:sz w:val="24"/>
                <w:szCs w:val="20"/>
                <w:highlight w:val="none"/>
                <w:lang w:eastAsia="zh-CN"/>
              </w:rPr>
              <w:t>杭州玖裕建设管理有限公司</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u w:val="single"/>
                <w:lang w:eastAsia="zh-CN"/>
              </w:rPr>
              <w:t>联系人：</w:t>
            </w:r>
            <w:r>
              <w:rPr>
                <w:rFonts w:hint="eastAsia" w:ascii="仿宋_GB2312" w:hAnsi="仿宋" w:eastAsia="仿宋_GB2312" w:cs="Times New Roman"/>
                <w:sz w:val="24"/>
                <w:szCs w:val="20"/>
                <w:highlight w:val="none"/>
                <w:u w:val="single"/>
                <w:lang w:val="en-US" w:eastAsia="zh-CN"/>
              </w:rPr>
              <w:t>汤康平  联系电话：18305812699</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仿宋_GB2312"/>
                <w:sz w:val="24"/>
                <w:szCs w:val="24"/>
                <w:highlight w:val="none"/>
              </w:rPr>
              <w:t>。</w:t>
            </w:r>
          </w:p>
          <w:p>
            <w:pPr>
              <w:pStyle w:val="34"/>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仿宋_GB2312" w:hAnsi="仿宋" w:eastAsia="仿宋_GB2312" w:cs="仿宋_GB2312"/>
                <w:b/>
                <w:sz w:val="24"/>
                <w:szCs w:val="24"/>
                <w:highlight w:val="none"/>
              </w:rPr>
              <w:t>采购人、采购机构不强制或变相强制投标人提交</w:t>
            </w:r>
            <w:r>
              <w:rPr>
                <w:rFonts w:hint="eastAsia" w:ascii="仿宋_GB2312" w:hAnsi="仿宋" w:eastAsia="仿宋_GB2312" w:cs="仿宋_GB2312"/>
                <w:b/>
                <w:sz w:val="24"/>
                <w:szCs w:val="24"/>
              </w:rPr>
              <w:t>备份投标文件。</w:t>
            </w:r>
          </w:p>
          <w:p>
            <w:pPr>
              <w:spacing w:before="0" w:beforeAutospacing="0" w:after="0" w:afterAutospacing="0" w:line="360" w:lineRule="auto"/>
              <w:ind w:left="0" w:right="0" w:firstLine="482" w:firstLineChars="20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1、未按规定密封或标记的投标文件；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2、由于包装不妥，在送交途中严重破损或失散的；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3、未成功</w:t>
            </w:r>
            <w:r>
              <w:rPr>
                <w:rFonts w:hint="eastAsia" w:ascii="宋体" w:hAnsi="宋体" w:cs="Times New Roman"/>
                <w:b/>
                <w:color w:val="000000"/>
                <w:sz w:val="24"/>
                <w:szCs w:val="20"/>
                <w:highlight w:val="none"/>
                <w:lang w:eastAsia="zh-CN"/>
              </w:rPr>
              <w:t>获取招标文件</w:t>
            </w:r>
            <w:r>
              <w:rPr>
                <w:rFonts w:hint="eastAsia" w:ascii="宋体" w:hAnsi="宋体" w:cs="Times New Roman"/>
                <w:b/>
                <w:color w:val="000000"/>
                <w:sz w:val="24"/>
                <w:szCs w:val="20"/>
                <w:highlight w:val="none"/>
              </w:rPr>
              <w:t>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4、超过投标截止时间送达的；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5、以介质存储的数据电文形式的备份投标文件，未采用DVD光盘形式提供的。</w:t>
            </w:r>
          </w:p>
          <w:p>
            <w:pPr>
              <w:pStyle w:val="34"/>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宋体" w:hAnsi="宋体" w:cs="Times New Roman"/>
                <w:b/>
                <w:color w:val="000000"/>
                <w:sz w:val="24"/>
                <w:szCs w:val="20"/>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13</w:t>
            </w:r>
          </w:p>
        </w:tc>
        <w:tc>
          <w:tcPr>
            <w:tcW w:w="7938" w:type="dxa"/>
            <w:gridSpan w:val="2"/>
            <w:tcBorders>
              <w:left w:val="single" w:color="000000" w:sz="2" w:space="0"/>
              <w:right w:val="single" w:color="000000" w:sz="8" w:space="0"/>
            </w:tcBorders>
            <w:vAlign w:val="center"/>
          </w:tcPr>
          <w:p>
            <w:pPr>
              <w:pStyle w:val="85"/>
              <w:snapToGrid w:val="0"/>
              <w:spacing w:beforeAutospacing="0" w:after="0" w:afterAutospacing="0" w:line="360" w:lineRule="exact"/>
              <w:ind w:left="0" w:right="0" w:firstLine="0" w:firstLineChars="0"/>
              <w:rPr>
                <w:rFonts w:hint="eastAsia" w:ascii="仿宋" w:hAnsi="仿宋" w:eastAsia="仿宋" w:cs="仿宋"/>
                <w:szCs w:val="24"/>
                <w:highlight w:val="none"/>
                <w:lang w:val="en-US" w:eastAsia="zh-CN"/>
              </w:rPr>
            </w:pPr>
            <w:r>
              <w:rPr>
                <w:rFonts w:hint="eastAsia" w:ascii="仿宋" w:hAnsi="仿宋" w:eastAsia="仿宋" w:cs="仿宋"/>
                <w:b/>
                <w:bCs/>
                <w:szCs w:val="24"/>
                <w:highlight w:val="none"/>
                <w:lang w:val="en-US" w:eastAsia="zh-CN"/>
              </w:rPr>
              <w:t>招标服务费：</w:t>
            </w:r>
            <w:r>
              <w:rPr>
                <w:rFonts w:hint="eastAsia" w:ascii="仿宋" w:hAnsi="仿宋" w:eastAsia="仿宋" w:cs="仿宋"/>
                <w:szCs w:val="24"/>
                <w:highlight w:val="none"/>
                <w:lang w:val="en-US" w:eastAsia="zh-CN"/>
              </w:rPr>
              <w:t>中标人在领取中标通知书前需向招标代理机构支付招标代理服务费，其中标项一为26140元，标项二为 17900元，标项三为 15600 元，费用包含在总报价中，不单独列项报价。</w:t>
            </w:r>
          </w:p>
          <w:p>
            <w:pPr>
              <w:pStyle w:val="85"/>
              <w:snapToGrid w:val="0"/>
              <w:spacing w:beforeAutospacing="0" w:after="0" w:afterAutospacing="0" w:line="360" w:lineRule="exact"/>
              <w:ind w:left="0" w:right="0" w:firstLine="0" w:firstLineChars="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 xml:space="preserve">中标服务费的交纳方式：以转帐或支票的形式支付，开户名：杭州玖裕建设管理有限公司；开户行名称：中国银行杭州余杭经济技术开发区支行 </w:t>
            </w:r>
          </w:p>
          <w:p>
            <w:pPr>
              <w:pStyle w:val="85"/>
              <w:snapToGrid w:val="0"/>
              <w:spacing w:beforeAutospacing="0" w:after="0" w:afterAutospacing="0" w:line="360" w:lineRule="exact"/>
              <w:ind w:left="0" w:right="0" w:firstLine="0" w:firstLineChars="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帐号：381879897431</w:t>
            </w:r>
          </w:p>
          <w:p>
            <w:pPr>
              <w:spacing w:before="0" w:beforeAutospacing="0" w:after="0" w:afterAutospacing="0" w:line="360" w:lineRule="auto"/>
              <w:ind w:left="0" w:right="0"/>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zCs w:val="24"/>
                <w:highlight w:val="none"/>
                <w:lang w:val="en-US" w:eastAsia="zh-CN"/>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8567" w:type="dxa"/>
            <w:gridSpan w:val="3"/>
            <w:tcBorders>
              <w:top w:val="single" w:color="auto" w:sz="4" w:space="0"/>
              <w:left w:val="single" w:color="000000" w:sz="8" w:space="0"/>
              <w:bottom w:val="single" w:color="auto" w:sz="4" w:space="0"/>
              <w:right w:val="single" w:color="000000" w:sz="8" w:space="0"/>
            </w:tcBorders>
            <w:vAlign w:val="top"/>
          </w:tcPr>
          <w:p>
            <w:pPr>
              <w:spacing w:before="0" w:beforeAutospacing="0" w:after="0" w:afterAutospacing="0" w:line="360" w:lineRule="auto"/>
              <w:ind w:left="0" w:right="0"/>
              <w:rPr>
                <w:rFonts w:hint="eastAsia" w:ascii="宋体" w:hAnsi="宋体" w:eastAsia="宋体" w:cs="Arial"/>
                <w:color w:val="0000FF"/>
                <w:kern w:val="0"/>
                <w:sz w:val="24"/>
                <w:szCs w:val="20"/>
              </w:rPr>
            </w:pPr>
            <w:r>
              <w:rPr>
                <w:rFonts w:hint="eastAsia" w:ascii="仿宋" w:hAnsi="仿宋" w:eastAsia="仿宋" w:cs="仿宋"/>
                <w:snapToGrid w:val="0"/>
                <w:color w:val="auto"/>
                <w:kern w:val="28"/>
                <w:sz w:val="24"/>
                <w:highlight w:val="yellow"/>
              </w:rPr>
              <w:t>本项目分为</w:t>
            </w:r>
            <w:r>
              <w:rPr>
                <w:rFonts w:hint="eastAsia" w:ascii="仿宋" w:hAnsi="仿宋" w:eastAsia="仿宋" w:cs="仿宋"/>
                <w:snapToGrid w:val="0"/>
                <w:color w:val="auto"/>
                <w:kern w:val="28"/>
                <w:sz w:val="24"/>
                <w:highlight w:val="yellow"/>
                <w:lang w:val="en-US" w:eastAsia="zh-CN"/>
              </w:rPr>
              <w:t>三</w:t>
            </w:r>
            <w:r>
              <w:rPr>
                <w:rFonts w:hint="eastAsia" w:ascii="仿宋" w:hAnsi="仿宋" w:eastAsia="仿宋" w:cs="仿宋"/>
                <w:snapToGrid w:val="0"/>
                <w:color w:val="auto"/>
                <w:kern w:val="28"/>
                <w:sz w:val="24"/>
                <w:highlight w:val="yellow"/>
              </w:rPr>
              <w:t>个标项，供应商可自行选择其中一个或者多个标项响应投标，一家单位只能中一个标项，按标段顺序开标，先开标段的预中标单位，自动放弃后面标段的中标权力。本招标采购文件内如未明确为哪个标项要求，即为所有标项的共同要求和内容，如已明示为哪个标项的具体要求，即按相关要求执行。</w:t>
            </w:r>
          </w:p>
        </w:tc>
      </w:tr>
    </w:tbl>
    <w:p>
      <w:pPr>
        <w:snapToGrid w:val="0"/>
        <w:spacing w:line="360" w:lineRule="auto"/>
        <w:jc w:val="center"/>
        <w:rPr>
          <w:rFonts w:ascii="仿宋" w:hAnsi="仿宋" w:eastAsia="仿宋" w:cs="仿宋_GB2312"/>
          <w:b/>
          <w:sz w:val="32"/>
          <w:szCs w:val="20"/>
        </w:rPr>
      </w:pPr>
    </w:p>
    <w:bookmarkEnd w:id="10"/>
    <w:p>
      <w:pPr>
        <w:rPr>
          <w:rFonts w:hint="eastAsia"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br w:type="page"/>
      </w:r>
    </w:p>
    <w:p>
      <w:pPr>
        <w:pStyle w:val="23"/>
        <w:rPr>
          <w:rFonts w:hint="eastAsia"/>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lang w:val="en-US" w:eastAsia="zh-CN"/>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highlight w:val="none"/>
        </w:rPr>
      </w:pPr>
      <w:r>
        <w:rPr>
          <w:rFonts w:hint="eastAsia" w:ascii="仿宋_GB2312" w:hAnsi="仿宋" w:eastAsia="仿宋_GB2312"/>
          <w:sz w:val="24"/>
          <w:lang w:val="en-US" w:eastAsia="zh-CN"/>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lang w:val="en-US" w:eastAsia="zh-CN"/>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rPr>
        <w:t>3.2.1</w:t>
      </w:r>
      <w:r>
        <w:rPr>
          <w:rFonts w:ascii="仿宋_GB2312" w:hAnsi="仿宋" w:eastAsia="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rPr>
        <w:t>3.3.3</w:t>
      </w:r>
      <w:r>
        <w:rPr>
          <w:rFonts w:hint="eastAsia" w:ascii="仿宋_GB2312" w:hAnsi="仿宋" w:eastAsia="仿宋_GB2312"/>
          <w:sz w:val="24"/>
        </w:rPr>
        <w:t>对于</w:t>
      </w:r>
      <w:r>
        <w:rPr>
          <w:rFonts w:hint="eastAsia" w:ascii="仿宋_GB2312" w:hAnsi="仿宋" w:eastAsia="仿宋_GB2312"/>
          <w:sz w:val="24"/>
          <w:highlight w:val="none"/>
        </w:rPr>
        <w:t>未预留份</w:t>
      </w:r>
      <w:r>
        <w:rPr>
          <w:rFonts w:hint="eastAsia" w:ascii="仿宋_GB2312" w:hAnsi="仿宋" w:eastAsia="仿宋_GB2312"/>
          <w:sz w:val="24"/>
        </w:rPr>
        <w:t>额专门面向中小企业的政府采购货物或服务项目，以及预留份额政府采购货</w:t>
      </w:r>
      <w:r>
        <w:rPr>
          <w:rFonts w:hint="eastAsia" w:ascii="仿宋_GB2312" w:hAnsi="仿宋" w:eastAsia="仿宋_GB2312"/>
          <w:sz w:val="24"/>
          <w:highlight w:val="none"/>
        </w:rPr>
        <w:t>物或服务项目中的非预留部分标项，对小型和微型企业的投标报价给予</w:t>
      </w:r>
      <w:r>
        <w:rPr>
          <w:rFonts w:hint="eastAsia" w:ascii="仿宋_GB2312" w:hAnsi="仿宋" w:eastAsia="仿宋_GB2312"/>
          <w:sz w:val="24"/>
          <w:highlight w:val="none"/>
          <w:lang w:val="en-US" w:eastAsia="zh-CN"/>
        </w:rPr>
        <w:t>20</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lang w:val="en-US" w:eastAsia="zh-CN"/>
        </w:rPr>
        <w:t>6</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rPr>
          <w:rFonts w:ascii="仿宋_GB2312" w:hAnsi="仿宋" w:eastAsia="仿宋_GB2312"/>
          <w:b/>
          <w:sz w:val="24"/>
        </w:rPr>
      </w:pPr>
      <w:r>
        <w:rPr>
          <w:rFonts w:ascii="仿宋_GB2312" w:hAnsi="仿宋" w:eastAsia="仿宋_GB2312"/>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highlight w:val="none"/>
        </w:rPr>
        <w:t>登录</w:t>
      </w:r>
      <w:r>
        <w:rPr>
          <w:rFonts w:ascii="仿宋_GB2312" w:hAnsi="仿宋" w:eastAsia="仿宋_GB2312"/>
          <w:sz w:val="24"/>
          <w:highlight w:val="none"/>
        </w:rPr>
        <w:t>杭州市政府采购网“中小企业信用融</w:t>
      </w:r>
      <w:r>
        <w:rPr>
          <w:rFonts w:ascii="仿宋_GB2312" w:hAnsi="仿宋" w:eastAsia="仿宋_GB2312"/>
          <w:sz w:val="24"/>
        </w:rPr>
        <w:t>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hint="eastAsia" w:ascii="仿宋_GB2312" w:hAnsi="仿宋" w:eastAsia="仿宋_GB2312"/>
          <w:lang w:val="en-US" w:eastAsia="zh-CN"/>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5"/>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5"/>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b/>
          <w:bCs/>
          <w:sz w:val="24"/>
          <w:highlight w:val="none"/>
        </w:rPr>
        <w:t>商务技术</w:t>
      </w:r>
      <w:r>
        <w:rPr>
          <w:rFonts w:hint="eastAsia" w:ascii="仿宋_GB2312" w:hAnsi="仿宋" w:eastAsia="仿宋_GB2312" w:cs="仿宋_GB2312"/>
          <w:b/>
          <w:bCs/>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left="0" w:leftChars="0" w:firstLine="960" w:firstLineChars="400"/>
        <w:rPr>
          <w:rFonts w:hint="default" w:ascii="仿宋_GB2312" w:hAnsi="仿宋" w:eastAsia="仿宋_GB2312" w:cs="仿宋_GB2312"/>
          <w:sz w:val="24"/>
          <w:highlight w:val="none"/>
          <w:lang w:val="en-US" w:eastAsia="zh-CN"/>
        </w:rPr>
      </w:pPr>
      <w:r>
        <w:rPr>
          <w:rFonts w:hint="default" w:ascii="仿宋_GB2312" w:hAnsi="仿宋" w:eastAsia="仿宋_GB2312" w:cs="仿宋_GB2312"/>
          <w:color w:val="auto"/>
          <w:sz w:val="24"/>
          <w:highlight w:val="none"/>
        </w:rPr>
        <w:t>11.2.7投标标的清单；</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lang w:val="en-US" w:eastAsia="zh-CN"/>
        </w:rPr>
        <w:t>8</w:t>
      </w:r>
      <w:r>
        <w:rPr>
          <w:rFonts w:ascii="仿宋_GB2312" w:hAnsi="仿宋" w:eastAsia="仿宋_GB2312" w:cs="仿宋_GB2312"/>
          <w:sz w:val="24"/>
          <w:highlight w:val="none"/>
        </w:rPr>
        <w:t>商务技术偏离表；</w:t>
      </w:r>
    </w:p>
    <w:p>
      <w:pPr>
        <w:snapToGrid w:val="0"/>
        <w:spacing w:line="360" w:lineRule="auto"/>
        <w:ind w:firstLine="960" w:firstLineChars="400"/>
        <w:rPr>
          <w:rFonts w:hint="default"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9</w:t>
      </w:r>
      <w:r>
        <w:rPr>
          <w:rFonts w:hint="default" w:ascii="仿宋_GB2312" w:hAnsi="仿宋" w:eastAsia="仿宋_GB2312" w:cs="仿宋_GB2312"/>
          <w:sz w:val="24"/>
          <w:highlight w:val="none"/>
          <w:lang w:val="zh-CN"/>
        </w:rPr>
        <w:t>政府采购供应商廉洁自律承诺书；</w:t>
      </w:r>
    </w:p>
    <w:p>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sz w:val="24"/>
          <w:highlight w:val="none"/>
          <w:lang w:val="en-US" w:eastAsia="zh-CN"/>
        </w:rPr>
        <w:t xml:space="preserve">       </w:t>
      </w:r>
      <w:r>
        <w:rPr>
          <w:rFonts w:hint="default" w:ascii="仿宋_GB2312" w:hAnsi="仿宋" w:eastAsia="仿宋_GB2312" w:cs="仿宋_GB2312"/>
          <w:sz w:val="24"/>
          <w:highlight w:val="none"/>
          <w:lang w:val="zh-CN" w:eastAsia="zh-CN"/>
        </w:rPr>
        <w:t xml:space="preserve"> 11.2.</w:t>
      </w:r>
      <w:r>
        <w:rPr>
          <w:rFonts w:hint="eastAsia" w:ascii="仿宋_GB2312" w:hAnsi="仿宋" w:eastAsia="仿宋_GB2312" w:cs="仿宋_GB2312"/>
          <w:sz w:val="24"/>
          <w:highlight w:val="none"/>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hint="default" w:ascii="仿宋_GB2312" w:hAnsi="仿宋" w:eastAsia="仿宋_GB2312" w:cs="仿宋_GB2312"/>
          <w:color w:val="auto"/>
          <w:sz w:val="24"/>
          <w:szCs w:val="20"/>
          <w:highlight w:val="none"/>
          <w:lang w:val="zh-CN" w:eastAsia="zh-CN"/>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11.3.2中小企业声明函</w:t>
      </w:r>
      <w:r>
        <w:rPr>
          <w:rFonts w:hint="eastAsia" w:ascii="仿宋_GB2312" w:hAnsi="仿宋" w:eastAsia="仿宋_GB2312" w:cs="仿宋_GB2312"/>
          <w:sz w:val="24"/>
          <w:highlight w:val="none"/>
          <w:lang w:eastAsia="zh-CN"/>
        </w:rPr>
        <w:t>；</w:t>
      </w:r>
    </w:p>
    <w:p>
      <w:pPr>
        <w:snapToGrid w:val="0"/>
        <w:ind w:firstLine="960" w:firstLineChars="400"/>
        <w:rPr>
          <w:rFonts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11.3.3</w:t>
      </w:r>
      <w:r>
        <w:rPr>
          <w:rFonts w:hint="default" w:ascii="仿宋_GB2312" w:hAnsi="仿宋" w:eastAsia="仿宋_GB2312" w:cs="仿宋_GB2312"/>
          <w:sz w:val="24"/>
          <w:highlight w:val="none"/>
        </w:rPr>
        <w:t>投标人针对报价需要说明的其他文件和说明</w:t>
      </w:r>
      <w:r>
        <w:rPr>
          <w:rFonts w:hint="default" w:ascii="仿宋_GB2312" w:hAnsi="仿宋" w:eastAsia="仿宋_GB2312" w:cs="仿宋_GB2312"/>
          <w:sz w:val="24"/>
          <w:highlight w:val="none"/>
          <w:lang w:eastAsia="zh-CN"/>
        </w:rPr>
        <w:t>（如有）</w:t>
      </w:r>
      <w:r>
        <w:rPr>
          <w:rFonts w:hint="default" w:ascii="仿宋_GB2312" w:hAnsi="仿宋" w:eastAsia="仿宋_GB2312" w:cs="仿宋_GB2312"/>
          <w:sz w:val="24"/>
          <w:highlight w:val="none"/>
        </w:rPr>
        <w:t>。</w:t>
      </w:r>
    </w:p>
    <w:p>
      <w:pPr>
        <w:spacing w:line="360" w:lineRule="auto"/>
        <w:ind w:firstLine="723" w:firstLineChars="3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pPr>
        <w:pStyle w:val="85"/>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5"/>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5"/>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5"/>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ascii="宋体" w:hAnsi="宋体"/>
          <w:b/>
          <w:color w:val="000000"/>
          <w:sz w:val="24"/>
          <w:szCs w:val="24"/>
          <w:highlight w:val="none"/>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lang w:val="en-US" w:eastAsia="zh-CN"/>
        </w:rPr>
        <w:t>至杭州玖裕建设管理有限公司</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lang w:val="en-US" w:eastAsia="zh-CN"/>
        </w:rPr>
        <w:t>4</w:t>
      </w:r>
      <w:r>
        <w:rPr>
          <w:rFonts w:ascii="仿宋_GB2312" w:hAnsi="仿宋" w:eastAsia="仿宋_GB2312" w:cs="仿宋_GB2312"/>
          <w:b/>
          <w:sz w:val="24"/>
          <w:szCs w:val="24"/>
        </w:rPr>
        <w:t>投标人仅提交备份投标文件，没有在电子交易平台传输递交投标文件的，投标无效。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5"/>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5"/>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sz w:val="32"/>
        </w:rPr>
      </w:pPr>
    </w:p>
    <w:p>
      <w:pPr>
        <w:pStyle w:val="85"/>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5"/>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highlight w:val="none"/>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w:t>
      </w:r>
      <w:r>
        <w:rPr>
          <w:rFonts w:hint="eastAsia" w:ascii="仿宋_GB2312" w:hAnsi="仿宋" w:eastAsia="仿宋_GB2312" w:cs="仿宋_GB2312"/>
          <w:sz w:val="24"/>
          <w:highlight w:val="none"/>
        </w:rPr>
        <w:t>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pPr>
        <w:spacing w:line="360" w:lineRule="auto"/>
        <w:rPr>
          <w:rFonts w:ascii="仿宋_GB2312" w:hAnsi="仿宋" w:eastAsia="仿宋_GB2312" w:cs="仿宋_GB2312"/>
          <w:b/>
          <w:sz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85"/>
        <w:snapToGrid w:val="0"/>
        <w:spacing w:before="0"/>
        <w:ind w:firstLine="480"/>
        <w:rPr>
          <w:rFonts w:hint="eastAsia"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highlight w:val="none"/>
        </w:rPr>
        <w:t>合同主要条款详见第五部分拟签订的合同文本。</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85"/>
        <w:snapToGrid w:val="0"/>
        <w:spacing w:before="0"/>
        <w:ind w:firstLine="480"/>
        <w:rPr>
          <w:rFonts w:ascii="仿宋_GB2312" w:hAnsi="仿宋" w:eastAsia="仿宋_GB2312"/>
          <w:kern w:val="0"/>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w:t>
      </w:r>
      <w:r>
        <w:rPr>
          <w:rFonts w:hint="eastAsia" w:ascii="仿宋_GB2312" w:hAnsi="仿宋" w:eastAsia="仿宋_GB2312"/>
          <w:kern w:val="0"/>
          <w:lang w:val="zh-CN"/>
        </w:rPr>
        <w:t>与采购人代表签订合同。</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sz w:val="24"/>
          <w:highlight w:val="none"/>
        </w:rPr>
        <w:t>履约保证金的数额不得超过政府采购合同金额的</w:t>
      </w:r>
      <w:r>
        <w:rPr>
          <w:rFonts w:hint="eastAsia" w:ascii="仿宋_GB2312" w:hAnsi="仿宋" w:eastAsia="仿宋_GB2312"/>
          <w:sz w:val="24"/>
          <w:highlight w:val="none"/>
          <w:lang w:val="en-US" w:eastAsia="zh-CN"/>
        </w:rPr>
        <w:t>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鼓励和支持供应商以银行、保险公司出具的保函形式提供履约保证金。</w:t>
      </w:r>
      <w:r>
        <w:rPr>
          <w:rFonts w:hint="eastAsia" w:ascii="仿宋_GB2312" w:hAnsi="仿宋" w:eastAsia="仿宋_GB2312"/>
          <w:b/>
          <w:sz w:val="24"/>
          <w:highlight w:val="none"/>
        </w:rPr>
        <w:t>采购人不得拒收履约保函。</w:t>
      </w:r>
    </w:p>
    <w:p>
      <w:pPr>
        <w:pStyle w:val="2"/>
        <w:ind w:left="0" w:firstLine="480" w:firstLineChars="200"/>
        <w:rPr>
          <w:lang w:val="en-US"/>
        </w:rPr>
      </w:pPr>
      <w:r>
        <w:rPr>
          <w:rFonts w:hint="eastAsia"/>
          <w:b w:val="0"/>
          <w:bCs w:val="0"/>
          <w:snapToGrid w:val="0"/>
          <w:kern w:val="28"/>
          <w:sz w:val="24"/>
          <w:highlight w:val="none"/>
        </w:rPr>
        <w:t>供应商</w:t>
      </w:r>
      <w:r>
        <w:rPr>
          <w:rFonts w:hint="eastAsia"/>
          <w:b w:val="0"/>
          <w:bCs w:val="0"/>
          <w:snapToGrid w:val="0"/>
          <w:kern w:val="28"/>
          <w:sz w:val="24"/>
          <w:highlight w:val="none"/>
          <w:lang w:val="en-US"/>
        </w:rPr>
        <w:t>可</w:t>
      </w:r>
      <w:r>
        <w:rPr>
          <w:rFonts w:hint="eastAsia"/>
          <w:b w:val="0"/>
          <w:bCs w:val="0"/>
          <w:snapToGrid w:val="0"/>
          <w:kern w:val="28"/>
          <w:sz w:val="24"/>
          <w:highlight w:val="none"/>
        </w:rPr>
        <w:t>登录政采云平台-【金融服务】—【我的项目】—【已备案合同】以保函形式提供：1、供应商在合同列表选择需要投保的合同，点</w:t>
      </w:r>
      <w:r>
        <w:rPr>
          <w:rFonts w:hint="eastAsia"/>
          <w:b w:val="0"/>
          <w:bCs w:val="0"/>
          <w:snapToGrid w:val="0"/>
          <w:kern w:val="28"/>
          <w:sz w:val="24"/>
        </w:rPr>
        <w:t>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85"/>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85"/>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pPr>
      <w:bookmarkStart w:id="14" w:name="_Hlt68072998"/>
      <w:bookmarkEnd w:id="14"/>
      <w:bookmarkStart w:id="15" w:name="_Hlt68403820"/>
      <w:bookmarkEnd w:id="15"/>
      <w:bookmarkStart w:id="16" w:name="_Hlt75236290"/>
      <w:bookmarkEnd w:id="16"/>
      <w:bookmarkStart w:id="17" w:name="_Hlt75236101"/>
      <w:bookmarkEnd w:id="17"/>
      <w:bookmarkStart w:id="18" w:name="_Hlt74707468"/>
      <w:bookmarkEnd w:id="18"/>
      <w:bookmarkStart w:id="19" w:name="_Hlt68072990"/>
      <w:bookmarkEnd w:id="19"/>
      <w:bookmarkStart w:id="20" w:name="_Hlt74730295"/>
      <w:bookmarkEnd w:id="20"/>
      <w:bookmarkStart w:id="21" w:name="_Hlt74729768"/>
      <w:bookmarkEnd w:id="21"/>
      <w:bookmarkStart w:id="22" w:name="_Hlt74714665"/>
      <w:bookmarkEnd w:id="22"/>
      <w:bookmarkStart w:id="23" w:name="_Hlt68073093"/>
      <w:bookmarkEnd w:id="23"/>
      <w:bookmarkStart w:id="24" w:name="_Hlt75236011"/>
      <w:bookmarkEnd w:id="24"/>
      <w:bookmarkStart w:id="25" w:name="_Hlt68057669"/>
      <w:bookmarkEnd w:id="25"/>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sz w:val="32"/>
          <w:szCs w:val="20"/>
          <w:lang w:val="en-US"/>
        </w:rPr>
      </w:pPr>
      <w:r>
        <w:rPr>
          <w:rFonts w:hint="eastAsia" w:ascii="仿宋_GB2312" w:hAnsi="仿宋" w:eastAsia="仿宋_GB2312" w:cs="仿宋_GB2312"/>
          <w:b/>
          <w:kern w:val="0"/>
          <w:sz w:val="32"/>
          <w:szCs w:val="20"/>
          <w:lang w:val="en-US" w:eastAsia="zh-CN" w:bidi="ar-SA"/>
        </w:rPr>
        <w:t>十、货款支付</w:t>
      </w:r>
    </w:p>
    <w:p>
      <w:pPr>
        <w:pStyle w:val="2"/>
        <w:tabs>
          <w:tab w:val="left" w:pos="0"/>
          <w:tab w:val="clear" w:pos="432"/>
        </w:tabs>
        <w:ind w:left="12" w:hanging="12"/>
        <w:rPr>
          <w:rFonts w:ascii="仿宋" w:hAnsi="仿宋" w:eastAsia="仿宋"/>
          <w:sz w:val="24"/>
        </w:rPr>
      </w:pPr>
      <w:r>
        <w:rPr>
          <w:rFonts w:hint="eastAsia" w:ascii="仿宋" w:eastAsia="仿宋"/>
          <w:sz w:val="24"/>
          <w:lang w:val="en-US" w:eastAsia="zh-CN"/>
        </w:rPr>
        <w:t xml:space="preserve">    </w:t>
      </w:r>
      <w:r>
        <w:rPr>
          <w:rFonts w:hint="eastAsia" w:ascii="仿宋" w:hAnsi="仿宋" w:eastAsia="仿宋"/>
          <w:sz w:val="24"/>
          <w:lang w:val="en-US" w:eastAsia="zh-CN"/>
        </w:rPr>
        <w:t>30</w:t>
      </w:r>
      <w:r>
        <w:rPr>
          <w:rFonts w:ascii="仿宋" w:hAnsi="仿宋" w:eastAsia="仿宋"/>
          <w:sz w:val="24"/>
        </w:rPr>
        <w:t>.</w:t>
      </w:r>
      <w:r>
        <w:rPr>
          <w:rFonts w:hint="eastAsia" w:ascii="仿宋" w:hAnsi="仿宋" w:eastAsia="仿宋"/>
          <w:sz w:val="24"/>
          <w:lang w:val="en-US" w:eastAsia="zh-CN"/>
        </w:rPr>
        <w:t>1</w:t>
      </w:r>
      <w:r>
        <w:rPr>
          <w:rFonts w:hint="eastAsia" w:ascii="仿宋" w:hAnsi="仿宋" w:eastAsia="仿宋"/>
          <w:sz w:val="24"/>
          <w:lang w:eastAsia="zh-CN"/>
        </w:rPr>
        <w:t>应当</w:t>
      </w:r>
      <w:r>
        <w:rPr>
          <w:rFonts w:ascii="仿宋" w:hAnsi="仿宋" w:eastAsia="仿宋"/>
          <w:sz w:val="24"/>
        </w:rPr>
        <w:t>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%。可以根据项目特点、</w:t>
      </w:r>
      <w:r>
        <w:rPr>
          <w:rFonts w:hint="eastAsia" w:ascii="仿宋" w:hAnsi="仿宋" w:eastAsia="仿宋"/>
          <w:sz w:val="24"/>
          <w:lang w:eastAsia="zh-CN"/>
        </w:rPr>
        <w:t>供应商</w:t>
      </w:r>
      <w:r>
        <w:rPr>
          <w:rFonts w:ascii="仿宋" w:hAnsi="仿宋" w:eastAsia="仿宋"/>
          <w:sz w:val="24"/>
        </w:rPr>
        <w:t>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lang w:val="en-US" w:eastAsia="zh-CN"/>
        </w:rPr>
        <w:t>30.2</w:t>
      </w:r>
      <w:r>
        <w:rPr>
          <w:rFonts w:hint="eastAsia" w:ascii="仿宋" w:hAnsi="仿宋" w:eastAsia="仿宋"/>
          <w:sz w:val="24"/>
          <w:lang w:eastAsia="zh-CN"/>
        </w:rPr>
        <w:t>供应商</w:t>
      </w:r>
      <w:r>
        <w:rPr>
          <w:rFonts w:hint="eastAsia"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30.3</w:t>
      </w:r>
      <w:r>
        <w:rPr>
          <w:rFonts w:hint="eastAsia" w:ascii="仿宋" w:hAnsi="仿宋" w:eastAsia="仿宋"/>
          <w:sz w:val="24"/>
          <w:lang w:eastAsia="zh-CN"/>
        </w:rPr>
        <w:t>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rPr>
          <w:rFonts w:hint="eastAsia"/>
          <w:lang w:val="en-US" w:eastAsia="zh-CN"/>
        </w:rPr>
      </w:pPr>
    </w:p>
    <w:p>
      <w:pPr>
        <w:pStyle w:val="617"/>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30.4</w:t>
      </w:r>
      <w:r>
        <w:rPr>
          <w:rFonts w:hint="eastAsia" w:ascii="仿宋" w:hAnsi="仿宋" w:eastAsia="仿宋" w:cs="Times New Roman"/>
          <w:lang w:eastAsia="zh-CN"/>
        </w:rPr>
        <w:t>采购人</w:t>
      </w:r>
      <w:r>
        <w:rPr>
          <w:rFonts w:hint="eastAsia" w:ascii="仿宋" w:hAnsi="仿宋" w:eastAsia="仿宋" w:cs="Times New Roman"/>
        </w:rPr>
        <w:t>应严格履行合同，及时组织验收，验收合格后及时将合同款支付完毕。对于满足合同约定支付条件的，</w:t>
      </w:r>
      <w:r>
        <w:rPr>
          <w:rFonts w:hint="eastAsia" w:ascii="仿宋" w:hAnsi="仿宋" w:eastAsia="仿宋" w:cs="Times New Roman"/>
          <w:lang w:eastAsia="zh-CN"/>
        </w:rPr>
        <w:t>采购人</w:t>
      </w:r>
      <w:r>
        <w:rPr>
          <w:rFonts w:hint="eastAsia" w:ascii="仿宋" w:hAnsi="仿宋" w:eastAsia="仿宋" w:cs="Times New Roman"/>
        </w:rPr>
        <w:t>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w:t>
      </w:r>
    </w:p>
    <w:p>
      <w:pPr>
        <w:pStyle w:val="2"/>
        <w:rPr>
          <w:rFonts w:hint="eastAsia"/>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ind w:firstLine="482" w:firstLineChars="200"/>
        <w:rPr>
          <w:rFonts w:ascii="宋体" w:hAnsi="宋体" w:cs="宋体"/>
          <w:color w:val="000000"/>
          <w:kern w:val="0"/>
          <w:sz w:val="24"/>
        </w:rPr>
      </w:pPr>
      <w:r>
        <w:rPr>
          <w:rFonts w:hint="eastAsia" w:ascii="宋体" w:hAnsi="宋体" w:cs="宋体"/>
          <w:b/>
          <w:bCs/>
          <w:color w:val="auto"/>
          <w:sz w:val="24"/>
          <w:szCs w:val="24"/>
          <w:highlight w:val="none"/>
          <w:lang w:val="en-US" w:eastAsia="zh-CN"/>
        </w:rPr>
        <w:t xml:space="preserve"> </w:t>
      </w:r>
      <w:r>
        <w:rPr>
          <w:rFonts w:hint="eastAsia" w:ascii="宋体" w:hAnsi="宋体" w:cs="宋体"/>
          <w:color w:val="000000"/>
          <w:kern w:val="0"/>
          <w:sz w:val="24"/>
        </w:rPr>
        <w:t>杭州市公安局临平区分局2022年工会疗休养项目，总预算为</w:t>
      </w:r>
      <w:r>
        <w:rPr>
          <w:rFonts w:hint="eastAsia" w:ascii="宋体" w:hAnsi="宋体" w:cs="宋体"/>
          <w:color w:val="000000"/>
          <w:kern w:val="0"/>
          <w:sz w:val="24"/>
          <w:lang w:val="en-US" w:eastAsia="zh-CN"/>
        </w:rPr>
        <w:t>413</w:t>
      </w:r>
      <w:r>
        <w:rPr>
          <w:rFonts w:hint="eastAsia" w:ascii="宋体" w:hAnsi="宋体" w:cs="宋体"/>
          <w:color w:val="000000"/>
          <w:kern w:val="0"/>
          <w:sz w:val="24"/>
        </w:rPr>
        <w:t>万元(由于当前疫情防控需要及公安工作的特殊性，</w:t>
      </w:r>
      <w:r>
        <w:rPr>
          <w:rFonts w:hint="eastAsia" w:ascii="宋体" w:hAnsi="宋体" w:cs="宋体"/>
          <w:b/>
          <w:bCs/>
          <w:color w:val="000000"/>
          <w:kern w:val="0"/>
          <w:sz w:val="24"/>
        </w:rPr>
        <w:t>各标段具体行程线路安排需配合甲方实际工作情况进行调整</w:t>
      </w:r>
      <w:r>
        <w:rPr>
          <w:rFonts w:hint="eastAsia" w:ascii="宋体" w:hAnsi="宋体" w:cs="宋体"/>
          <w:color w:val="000000"/>
          <w:kern w:val="0"/>
          <w:sz w:val="24"/>
        </w:rPr>
        <w:t>，结算人数以疗休养出行的个数进行结算，投标人需考虑由此产生的风险）。</w:t>
      </w:r>
    </w:p>
    <w:tbl>
      <w:tblPr>
        <w:tblStyle w:val="62"/>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7"/>
        <w:gridCol w:w="2356"/>
        <w:gridCol w:w="1079"/>
        <w:gridCol w:w="2123"/>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907" w:type="dxa"/>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标项序号</w:t>
            </w:r>
          </w:p>
        </w:tc>
        <w:tc>
          <w:tcPr>
            <w:tcW w:w="2356" w:type="dxa"/>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标项名称</w:t>
            </w:r>
          </w:p>
        </w:tc>
        <w:tc>
          <w:tcPr>
            <w:tcW w:w="1079" w:type="dxa"/>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预计</w:t>
            </w:r>
          </w:p>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人数</w:t>
            </w:r>
          </w:p>
        </w:tc>
        <w:tc>
          <w:tcPr>
            <w:tcW w:w="2123" w:type="dxa"/>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简要规格描述</w:t>
            </w:r>
          </w:p>
        </w:tc>
        <w:tc>
          <w:tcPr>
            <w:tcW w:w="2129" w:type="dxa"/>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907" w:type="dxa"/>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标项1</w:t>
            </w:r>
          </w:p>
        </w:tc>
        <w:tc>
          <w:tcPr>
            <w:tcW w:w="2356" w:type="dxa"/>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线路一：重庆涪陵线（省外5天）</w:t>
            </w:r>
          </w:p>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线路二：金华兰溪线</w:t>
            </w:r>
          </w:p>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线路三：仙居天台线</w:t>
            </w:r>
          </w:p>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（省内5天）</w:t>
            </w:r>
          </w:p>
        </w:tc>
        <w:tc>
          <w:tcPr>
            <w:tcW w:w="1079" w:type="dxa"/>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710人</w:t>
            </w:r>
          </w:p>
        </w:tc>
        <w:tc>
          <w:tcPr>
            <w:tcW w:w="2123" w:type="dxa"/>
            <w:vMerge w:val="restart"/>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杭州市公安局临平区分局2022年工会疗休养项目。具体内容和相关要求详见招标文件“第三部分——项目技术规范和服务要求”。</w:t>
            </w:r>
          </w:p>
        </w:tc>
        <w:tc>
          <w:tcPr>
            <w:tcW w:w="2129" w:type="dxa"/>
            <w:vMerge w:val="restart"/>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线路一、线路二、线路三最高限额3000元/人（其中线路一不含大交通费用）</w:t>
            </w:r>
          </w:p>
          <w:p>
            <w:pPr>
              <w:spacing w:before="0" w:beforeAutospacing="0" w:after="0" w:afterAutospacing="0"/>
              <w:ind w:left="0" w:right="0"/>
              <w:jc w:val="center"/>
              <w:rPr>
                <w:rFonts w:hint="eastAsia" w:ascii="宋体" w:hAnsi="宋体" w:cs="宋体"/>
                <w:szCs w:val="21"/>
              </w:rPr>
            </w:pPr>
          </w:p>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线路</w:t>
            </w:r>
            <w:r>
              <w:rPr>
                <w:rFonts w:hint="eastAsia" w:ascii="宋体" w:hAnsi="宋体" w:cs="宋体"/>
                <w:szCs w:val="21"/>
                <w:lang w:eastAsia="zh-CN"/>
              </w:rPr>
              <w:t>四</w:t>
            </w:r>
            <w:r>
              <w:rPr>
                <w:rFonts w:hint="eastAsia" w:ascii="宋体" w:hAnsi="宋体" w:cs="宋体"/>
                <w:szCs w:val="21"/>
              </w:rPr>
              <w:t>、线路</w:t>
            </w:r>
            <w:r>
              <w:rPr>
                <w:rFonts w:hint="eastAsia" w:ascii="宋体" w:hAnsi="宋体" w:cs="宋体"/>
                <w:szCs w:val="21"/>
                <w:lang w:eastAsia="zh-CN"/>
              </w:rPr>
              <w:t>五</w:t>
            </w:r>
            <w:r>
              <w:rPr>
                <w:rFonts w:hint="eastAsia" w:ascii="宋体" w:hAnsi="宋体" w:cs="宋体"/>
                <w:szCs w:val="21"/>
              </w:rPr>
              <w:t>最高限额2000元/人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8" w:hRule="atLeast"/>
          <w:jc w:val="center"/>
        </w:trPr>
        <w:tc>
          <w:tcPr>
            <w:tcW w:w="907" w:type="dxa"/>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标项2</w:t>
            </w:r>
          </w:p>
        </w:tc>
        <w:tc>
          <w:tcPr>
            <w:tcW w:w="2356" w:type="dxa"/>
            <w:shd w:val="clear" w:color="auto" w:fill="F7F7F7"/>
            <w:tcMar>
              <w:top w:w="75" w:type="dxa"/>
              <w:left w:w="150" w:type="dxa"/>
              <w:bottom w:w="75" w:type="dxa"/>
              <w:right w:w="150" w:type="dxa"/>
            </w:tcMar>
            <w:vAlign w:val="center"/>
          </w:tcPr>
          <w:p>
            <w:pPr>
              <w:spacing w:before="0" w:beforeAutospacing="0" w:after="0" w:afterAutospacing="0"/>
              <w:ind w:left="0" w:right="0"/>
              <w:rPr>
                <w:rFonts w:hint="eastAsia" w:ascii="宋体" w:hAnsi="宋体" w:cs="宋体"/>
                <w:szCs w:val="21"/>
              </w:rPr>
            </w:pPr>
            <w:r>
              <w:rPr>
                <w:rFonts w:hint="eastAsia" w:ascii="宋体" w:hAnsi="宋体" w:cs="宋体"/>
                <w:szCs w:val="21"/>
              </w:rPr>
              <w:t>线路四：雁荡楠溪江线</w:t>
            </w:r>
          </w:p>
          <w:p>
            <w:pPr>
              <w:spacing w:before="0" w:beforeAutospacing="0" w:after="0" w:afterAutospacing="0"/>
              <w:ind w:left="0" w:right="0" w:firstLine="315" w:firstLineChars="150"/>
              <w:rPr>
                <w:rFonts w:hint="eastAsia" w:ascii="宋体" w:hAnsi="宋体" w:cs="宋体"/>
                <w:szCs w:val="21"/>
              </w:rPr>
            </w:pPr>
            <w:r>
              <w:rPr>
                <w:rFonts w:hint="eastAsia" w:ascii="宋体" w:hAnsi="宋体" w:cs="宋体"/>
                <w:szCs w:val="21"/>
              </w:rPr>
              <w:t>（省内5天）</w:t>
            </w:r>
          </w:p>
        </w:tc>
        <w:tc>
          <w:tcPr>
            <w:tcW w:w="1079" w:type="dxa"/>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550人</w:t>
            </w:r>
          </w:p>
        </w:tc>
        <w:tc>
          <w:tcPr>
            <w:tcW w:w="2123" w:type="dxa"/>
            <w:vMerge w:val="continue"/>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p>
        </w:tc>
        <w:tc>
          <w:tcPr>
            <w:tcW w:w="2129" w:type="dxa"/>
            <w:vMerge w:val="continue"/>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907" w:type="dxa"/>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标项3</w:t>
            </w:r>
          </w:p>
        </w:tc>
        <w:tc>
          <w:tcPr>
            <w:tcW w:w="2356" w:type="dxa"/>
            <w:shd w:val="clear" w:color="auto" w:fill="F7F7F7"/>
            <w:tcMar>
              <w:top w:w="75" w:type="dxa"/>
              <w:left w:w="150" w:type="dxa"/>
              <w:bottom w:w="75" w:type="dxa"/>
              <w:right w:w="150" w:type="dxa"/>
            </w:tcMar>
            <w:vAlign w:val="center"/>
          </w:tcPr>
          <w:p>
            <w:pPr>
              <w:spacing w:before="0" w:beforeAutospacing="0" w:after="0" w:afterAutospacing="0"/>
              <w:ind w:left="0" w:right="0" w:firstLine="105" w:firstLineChars="50"/>
              <w:rPr>
                <w:rFonts w:hint="eastAsia" w:ascii="宋体" w:hAnsi="宋体" w:cs="宋体"/>
                <w:szCs w:val="21"/>
              </w:rPr>
            </w:pPr>
            <w:r>
              <w:rPr>
                <w:rFonts w:hint="eastAsia" w:ascii="宋体" w:hAnsi="宋体" w:cs="宋体"/>
                <w:szCs w:val="21"/>
              </w:rPr>
              <w:t>线路五：龙泉丽水线</w:t>
            </w:r>
          </w:p>
          <w:p>
            <w:pPr>
              <w:spacing w:before="0" w:beforeAutospacing="0" w:after="0" w:afterAutospacing="0"/>
              <w:ind w:left="0" w:right="0" w:firstLine="315" w:firstLineChars="150"/>
              <w:rPr>
                <w:rFonts w:hint="eastAsia" w:ascii="宋体" w:hAnsi="宋体" w:cs="宋体"/>
                <w:szCs w:val="21"/>
              </w:rPr>
            </w:pPr>
            <w:r>
              <w:rPr>
                <w:rFonts w:hint="eastAsia" w:ascii="宋体" w:hAnsi="宋体" w:cs="宋体"/>
                <w:szCs w:val="21"/>
              </w:rPr>
              <w:t>（省内5天）</w:t>
            </w:r>
          </w:p>
        </w:tc>
        <w:tc>
          <w:tcPr>
            <w:tcW w:w="1079" w:type="dxa"/>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450人</w:t>
            </w:r>
          </w:p>
        </w:tc>
        <w:tc>
          <w:tcPr>
            <w:tcW w:w="2123" w:type="dxa"/>
            <w:vMerge w:val="continue"/>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p>
        </w:tc>
        <w:tc>
          <w:tcPr>
            <w:tcW w:w="2129" w:type="dxa"/>
            <w:vMerge w:val="continue"/>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594" w:type="dxa"/>
            <w:gridSpan w:val="5"/>
            <w:shd w:val="clear" w:color="auto" w:fill="F7F7F7"/>
            <w:tcMar>
              <w:top w:w="75" w:type="dxa"/>
              <w:left w:w="150" w:type="dxa"/>
              <w:bottom w:w="75" w:type="dxa"/>
              <w:right w:w="150" w:type="dxa"/>
            </w:tcMar>
            <w:vAlign w:val="center"/>
          </w:tcPr>
          <w:p>
            <w:pPr>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cs="宋体"/>
                <w:szCs w:val="21"/>
                <w:highlight w:val="yellow"/>
              </w:rPr>
              <w:t>各标项线路安排及出行人数需结合甲方实际报名情况及标项金额，由甲方根据疫情防控布署及工作安排统一调配，根据疫情状况，采购人可以调整线路</w:t>
            </w:r>
            <w:r>
              <w:rPr>
                <w:rFonts w:hint="eastAsia" w:ascii="宋体" w:hAnsi="宋体" w:cs="宋体"/>
                <w:szCs w:val="21"/>
                <w:highlight w:val="yellow"/>
                <w:lang w:eastAsia="zh-CN"/>
              </w:rPr>
              <w:t>，</w:t>
            </w:r>
            <w:r>
              <w:rPr>
                <w:rFonts w:hint="eastAsia" w:ascii="宋体" w:hAnsi="宋体" w:cs="宋体"/>
                <w:szCs w:val="21"/>
                <w:highlight w:val="yellow"/>
              </w:rPr>
              <w:t>最终以疗休养实际出行人数结算，投标人需考虑由此产生的风险</w:t>
            </w:r>
            <w:r>
              <w:rPr>
                <w:rFonts w:hint="eastAsia" w:ascii="宋体" w:hAnsi="宋体" w:cs="宋体"/>
                <w:szCs w:val="21"/>
                <w:highlight w:val="yellow"/>
                <w:lang w:eastAsia="zh-CN"/>
              </w:rPr>
              <w:t>。</w:t>
            </w:r>
          </w:p>
        </w:tc>
      </w:tr>
    </w:tbl>
    <w:p>
      <w:pPr>
        <w:spacing w:before="312" w:beforeLines="100" w:line="360" w:lineRule="auto"/>
        <w:rPr>
          <w:color w:val="000000"/>
        </w:rPr>
      </w:pPr>
      <w:r>
        <w:rPr>
          <w:rFonts w:hint="eastAsia" w:ascii="宋体" w:hAnsi="宋体" w:cs="宋体"/>
          <w:b/>
          <w:bCs/>
          <w:kern w:val="0"/>
          <w:sz w:val="24"/>
          <w:lang w:val="zh-CN"/>
        </w:rPr>
        <w:t>●</w:t>
      </w:r>
      <w:r>
        <w:rPr>
          <w:rFonts w:hint="eastAsia" w:ascii="宋体" w:hAnsi="宋体" w:cs="宋体"/>
          <w:b/>
          <w:color w:val="000000"/>
          <w:sz w:val="24"/>
        </w:rPr>
        <w:t>二、</w:t>
      </w:r>
      <w:r>
        <w:rPr>
          <w:rFonts w:hint="eastAsia" w:ascii="宋体" w:hAnsi="宋体"/>
          <w:b/>
          <w:bCs/>
          <w:color w:val="000000"/>
          <w:sz w:val="24"/>
        </w:rPr>
        <w:t>行程安排</w:t>
      </w:r>
    </w:p>
    <w:p>
      <w:pPr>
        <w:spacing w:line="360" w:lineRule="auto"/>
        <w:rPr>
          <w:rFonts w:ascii="宋体" w:hAnsi="宋体" w:cs="宋体"/>
          <w:b/>
          <w:color w:val="000000"/>
          <w:kern w:val="0"/>
          <w:sz w:val="24"/>
        </w:rPr>
      </w:pPr>
      <w:r>
        <w:rPr>
          <w:rFonts w:hint="eastAsia" w:ascii="宋体" w:hAnsi="宋体" w:cs="宋体"/>
          <w:b/>
          <w:color w:val="000000"/>
          <w:kern w:val="0"/>
          <w:sz w:val="24"/>
        </w:rPr>
        <w:t>（一）时间、地点、人数</w:t>
      </w:r>
      <w:r>
        <w:rPr>
          <w:rFonts w:hint="eastAsia" w:ascii="宋体" w:hAnsi="宋体" w:cs="宋体"/>
          <w:b/>
          <w:color w:val="000000"/>
          <w:kern w:val="0"/>
          <w:sz w:val="24"/>
        </w:rPr>
        <w:tab/>
      </w:r>
    </w:p>
    <w:p>
      <w:pPr>
        <w:spacing w:line="360" w:lineRule="auto"/>
        <w:ind w:firstLine="480" w:firstLineChars="200"/>
        <w:rPr>
          <w:rFonts w:ascii="宋体" w:hAnsi="宋体" w:cs="宋体"/>
          <w:color w:val="000000"/>
          <w:sz w:val="24"/>
        </w:rPr>
      </w:pPr>
      <w:r>
        <w:rPr>
          <w:rFonts w:hint="eastAsia" w:ascii="宋体" w:hAnsi="宋体" w:cs="宋体"/>
          <w:color w:val="000000"/>
          <w:sz w:val="24"/>
        </w:rPr>
        <w:t>拟安排于2022年8月中旬至11月下旬出行，出行地点为临平（杭州市公安局临平区分局指定集合点），时间五天四晚；具体人员清单由采购人分配，具体批次和出发时间由采购人视情况而定。</w:t>
      </w:r>
    </w:p>
    <w:p>
      <w:pPr>
        <w:numPr>
          <w:ilvl w:val="0"/>
          <w:numId w:val="2"/>
        </w:numPr>
        <w:spacing w:line="360" w:lineRule="auto"/>
        <w:rPr>
          <w:rFonts w:ascii="宋体" w:hAnsi="宋体" w:cs="宋体"/>
          <w:b/>
          <w:color w:val="000000"/>
          <w:kern w:val="0"/>
          <w:sz w:val="24"/>
        </w:rPr>
      </w:pPr>
      <w:r>
        <w:rPr>
          <w:rFonts w:hint="eastAsia" w:ascii="宋体" w:hAnsi="宋体" w:cs="宋体"/>
          <w:b/>
          <w:color w:val="000000"/>
          <w:kern w:val="0"/>
          <w:sz w:val="24"/>
        </w:rPr>
        <w:t>行程基本要求</w:t>
      </w:r>
    </w:p>
    <w:p>
      <w:pPr>
        <w:autoSpaceDN w:val="0"/>
        <w:spacing w:line="460" w:lineRule="exact"/>
        <w:rPr>
          <w:rFonts w:ascii="宋体" w:hAnsi="宋体" w:cs="宋体"/>
          <w:highlight w:val="cyan"/>
        </w:rPr>
      </w:pPr>
      <w:r>
        <w:rPr>
          <w:rFonts w:hint="eastAsia" w:ascii="宋体" w:hAnsi="宋体" w:cs="宋体"/>
          <w:b/>
          <w:color w:val="000000"/>
          <w:kern w:val="0"/>
          <w:sz w:val="24"/>
        </w:rPr>
        <w:t xml:space="preserve">   </w:t>
      </w:r>
      <w:r>
        <w:rPr>
          <w:rFonts w:hint="eastAsia" w:ascii="宋体" w:hAnsi="宋体" w:cs="宋体"/>
          <w:color w:val="000000"/>
          <w:sz w:val="24"/>
        </w:rPr>
        <w:t xml:space="preserve"> </w:t>
      </w:r>
      <w:r>
        <w:rPr>
          <w:rFonts w:hint="eastAsia" w:ascii="宋体" w:hAnsi="宋体" w:cs="宋体"/>
          <w:b/>
          <w:color w:val="000000"/>
          <w:sz w:val="24"/>
        </w:rPr>
        <w:t>组团：采购人内部公布线路和供应商方案后，由职工自由报名组团，每团最低组团人数不低于25人。因采购人工作的特殊性，组团后可出现临时退团的情形，供应商应允许出团前3个工作日前除预定的费用（按国家规定执行）外可无条件退团，并保证不得降低未退团职工约定的疗休养标准。由以上原因产生的风险由投标供应商综合考虑进行报价。</w:t>
      </w:r>
    </w:p>
    <w:p>
      <w:pPr>
        <w:autoSpaceDN w:val="0"/>
        <w:spacing w:line="460" w:lineRule="exact"/>
        <w:ind w:firstLine="420" w:firstLineChars="200"/>
        <w:rPr>
          <w:rFonts w:ascii="宋体" w:hAnsi="宋体" w:cs="宋体"/>
        </w:rPr>
      </w:pPr>
      <w:r>
        <w:rPr>
          <w:rFonts w:hint="eastAsia" w:ascii="宋体" w:hAnsi="宋体" w:cs="宋体"/>
        </w:rPr>
        <w:t>除上述外，投标供应商可提出相应的应急方案，如出团前3个工作日内提出退团的或因退团导致出团人数过少的解决方案或应急措施，以供应商编制并获得采购人认可的方案为准。</w:t>
      </w:r>
    </w:p>
    <w:p>
      <w:pPr>
        <w:pStyle w:val="100"/>
        <w:numPr>
          <w:ilvl w:val="0"/>
          <w:numId w:val="3"/>
        </w:numPr>
        <w:tabs>
          <w:tab w:val="left" w:pos="0"/>
        </w:tabs>
        <w:spacing w:line="360" w:lineRule="auto"/>
        <w:ind w:firstLineChars="0"/>
        <w:rPr>
          <w:rFonts w:hint="eastAsia" w:ascii="宋体" w:hAnsi="宋体" w:eastAsia="宋体" w:cs="宋体"/>
          <w:color w:val="000000"/>
        </w:rPr>
      </w:pPr>
      <w:r>
        <w:rPr>
          <w:rFonts w:hint="eastAsia" w:ascii="宋体" w:hAnsi="宋体" w:eastAsia="宋体" w:cs="宋体"/>
          <w:color w:val="000000"/>
        </w:rPr>
        <w:t>交通工具：全程37座以上（每批人数大于25人时）空调旅游车，要求空调旅游车为三年内新车，司机五年内无不良记录，服务态度好、技术好，确保行程安全。省外建议优先采用飞机出行方案。每批次人数仅供参考，人数不足不补差价，相应费用由投标人在报价中列入，中标后不得调整。</w:t>
      </w:r>
    </w:p>
    <w:p>
      <w:pPr>
        <w:pStyle w:val="100"/>
        <w:numPr>
          <w:ilvl w:val="0"/>
          <w:numId w:val="3"/>
        </w:numPr>
        <w:tabs>
          <w:tab w:val="left" w:pos="0"/>
        </w:tabs>
        <w:spacing w:line="360" w:lineRule="auto"/>
        <w:ind w:firstLineChars="0"/>
        <w:rPr>
          <w:rFonts w:ascii="宋体" w:hAnsi="宋体"/>
          <w:color w:val="000000"/>
        </w:rPr>
      </w:pPr>
      <w:r>
        <w:rPr>
          <w:rFonts w:hint="eastAsia" w:ascii="宋体" w:hAnsi="宋体" w:eastAsia="宋体" w:cs="宋体"/>
          <w:color w:val="000000"/>
        </w:rPr>
        <w:t>住宿：要求四星及以上标准酒店（省内3000元标准线路要求酒店为五星标准），入住酒店必须包含早餐。酒店未评挂星的，应提供相关酒店网站截图、评分资料或其他相关证明资料供评委评审认定，供应商方案应列出每一线路的酒店名称、具体地点）。另外若团队中出现单男单女，个人不补住房差价，由中标供应商安排并承担；因个人要求单住房，需补交个人房差价</w:t>
      </w:r>
      <w:r>
        <w:rPr>
          <w:rFonts w:hint="eastAsia" w:ascii="宋体" w:hAnsi="宋体"/>
          <w:color w:val="000000"/>
        </w:rPr>
        <w:t>；</w:t>
      </w:r>
    </w:p>
    <w:p>
      <w:pPr>
        <w:tabs>
          <w:tab w:val="left" w:pos="0"/>
        </w:tabs>
        <w:spacing w:line="360" w:lineRule="auto"/>
        <w:rPr>
          <w:rFonts w:ascii="宋体" w:hAnsi="宋体"/>
          <w:color w:val="000000"/>
          <w:kern w:val="0"/>
          <w:sz w:val="24"/>
        </w:rPr>
      </w:pPr>
      <w:r>
        <w:rPr>
          <w:rFonts w:hint="eastAsia" w:ascii="宋体" w:hAnsi="宋体"/>
          <w:color w:val="000000"/>
          <w:kern w:val="0"/>
          <w:sz w:val="24"/>
        </w:rPr>
        <w:t>3.景点：包括但不限于以下内容，</w:t>
      </w:r>
    </w:p>
    <w:p>
      <w:pPr>
        <w:tabs>
          <w:tab w:val="left" w:pos="0"/>
        </w:tabs>
        <w:spacing w:line="360" w:lineRule="auto"/>
        <w:ind w:left="1170" w:leftChars="100" w:hanging="960" w:hangingChars="400"/>
        <w:rPr>
          <w:rFonts w:ascii="宋体" w:hAnsi="宋体"/>
          <w:color w:val="000000"/>
          <w:kern w:val="0"/>
          <w:sz w:val="24"/>
        </w:rPr>
      </w:pPr>
      <w:r>
        <w:rPr>
          <w:rFonts w:hint="eastAsia" w:ascii="宋体" w:hAnsi="宋体"/>
          <w:color w:val="000000"/>
          <w:kern w:val="0"/>
          <w:sz w:val="24"/>
        </w:rPr>
        <w:t>线路一：重庆解放碑、洪崖洞、磁器口、涪陵816、武陵山大裂谷、武隆天坑三桥、仙女山森林公园、皇冠大扶梯、鹅岭二厂、山城巷</w:t>
      </w:r>
    </w:p>
    <w:p>
      <w:pPr>
        <w:tabs>
          <w:tab w:val="left" w:pos="0"/>
        </w:tabs>
        <w:spacing w:line="360" w:lineRule="auto"/>
        <w:ind w:left="1170" w:leftChars="100" w:hanging="960" w:hangingChars="400"/>
        <w:rPr>
          <w:rFonts w:ascii="宋体" w:hAnsi="宋体"/>
          <w:color w:val="000000"/>
          <w:kern w:val="0"/>
          <w:sz w:val="24"/>
        </w:rPr>
      </w:pPr>
      <w:r>
        <w:rPr>
          <w:rFonts w:hint="eastAsia" w:ascii="宋体" w:hAnsi="宋体"/>
          <w:color w:val="000000"/>
          <w:kern w:val="0"/>
          <w:sz w:val="24"/>
        </w:rPr>
        <w:t>线路二：金华双龙洞、黄大仙、婺州古城、乘船夜游婺江、游埠古镇、兰溪兰湖（含船）、诸葛八卦村等</w:t>
      </w:r>
    </w:p>
    <w:p>
      <w:pPr>
        <w:tabs>
          <w:tab w:val="left" w:pos="0"/>
        </w:tabs>
        <w:spacing w:line="360" w:lineRule="auto"/>
        <w:ind w:left="1199" w:leftChars="114" w:hanging="960" w:hangingChars="400"/>
        <w:rPr>
          <w:rFonts w:ascii="宋体" w:hAnsi="宋体"/>
          <w:color w:val="000000"/>
          <w:kern w:val="0"/>
          <w:sz w:val="24"/>
        </w:rPr>
      </w:pPr>
      <w:r>
        <w:rPr>
          <w:rFonts w:hint="eastAsia" w:ascii="宋体" w:hAnsi="宋体"/>
          <w:color w:val="000000"/>
          <w:kern w:val="0"/>
          <w:sz w:val="24"/>
        </w:rPr>
        <w:t>线路三：神仙居风景区（含索道）、永安溪漂流、高迁古民居、绿道骑行、天台山大瀑布、济公故居、国清寺等</w:t>
      </w:r>
    </w:p>
    <w:p>
      <w:pPr>
        <w:tabs>
          <w:tab w:val="left" w:pos="0"/>
        </w:tabs>
        <w:spacing w:line="360" w:lineRule="auto"/>
        <w:ind w:left="1170" w:leftChars="100" w:hanging="960" w:hangingChars="400"/>
        <w:rPr>
          <w:rFonts w:ascii="宋体" w:hAnsi="宋体"/>
          <w:color w:val="000000"/>
          <w:kern w:val="0"/>
          <w:sz w:val="24"/>
        </w:rPr>
      </w:pPr>
      <w:r>
        <w:rPr>
          <w:rFonts w:hint="eastAsia" w:ascii="宋体" w:hAnsi="宋体"/>
          <w:color w:val="000000"/>
          <w:kern w:val="0"/>
          <w:sz w:val="24"/>
        </w:rPr>
        <w:t>线路四：雁荡山灵峰日景、夜景、灵岩景区，大龙湫、楠溪江漂流、石桅岩景区、丽水街、芙蓉古村、林坑古村</w:t>
      </w:r>
    </w:p>
    <w:p>
      <w:pPr>
        <w:tabs>
          <w:tab w:val="left" w:pos="0"/>
        </w:tabs>
        <w:spacing w:line="360" w:lineRule="auto"/>
        <w:ind w:left="1170" w:leftChars="100" w:hanging="960" w:hangingChars="400"/>
        <w:rPr>
          <w:rFonts w:ascii="宋体" w:hAnsi="宋体"/>
          <w:color w:val="000000"/>
          <w:kern w:val="0"/>
          <w:sz w:val="24"/>
        </w:rPr>
      </w:pPr>
      <w:r>
        <w:rPr>
          <w:rFonts w:hint="eastAsia" w:ascii="宋体" w:hAnsi="宋体"/>
          <w:color w:val="000000"/>
          <w:kern w:val="0"/>
          <w:sz w:val="24"/>
        </w:rPr>
        <w:t>线路五：松阳老街、龙泉山风景区（含索道）：瓯江源、绝壁奇松、龙泉大峡谷、披云青瓷文化园、龙泉宝剑厂、青瓷博物馆、古堰画乡</w:t>
      </w:r>
    </w:p>
    <w:p>
      <w:pPr>
        <w:tabs>
          <w:tab w:val="left" w:pos="0"/>
        </w:tabs>
        <w:spacing w:line="360" w:lineRule="auto"/>
        <w:ind w:left="480" w:hanging="480" w:hangingChars="200"/>
        <w:rPr>
          <w:rFonts w:ascii="宋体" w:hAnsi="宋体"/>
          <w:color w:val="000000"/>
          <w:kern w:val="0"/>
          <w:sz w:val="24"/>
        </w:rPr>
      </w:pPr>
      <w:r>
        <w:rPr>
          <w:rFonts w:hint="eastAsia" w:ascii="宋体" w:hAnsi="宋体"/>
          <w:color w:val="000000"/>
          <w:kern w:val="0"/>
          <w:sz w:val="24"/>
        </w:rPr>
        <w:t>4.用餐：住宿含早。九正餐，3000元标准线路正餐不少于8</w:t>
      </w:r>
      <w:r>
        <w:rPr>
          <w:rFonts w:ascii="宋体" w:hAnsi="宋体"/>
          <w:color w:val="000000"/>
          <w:kern w:val="0"/>
          <w:sz w:val="24"/>
        </w:rPr>
        <w:t>0元/人</w:t>
      </w:r>
      <w:r>
        <w:rPr>
          <w:rFonts w:hint="eastAsia" w:ascii="宋体" w:hAnsi="宋体"/>
          <w:color w:val="000000"/>
          <w:kern w:val="0"/>
          <w:sz w:val="24"/>
        </w:rPr>
        <w:t xml:space="preserve">，2000元标准线路正餐不少于50元/人，食物要求新鲜、安全，适合口味。要求每餐菜品多样，不雷同。餐厅交通便利，环境较好。 </w:t>
      </w:r>
    </w:p>
    <w:p>
      <w:pPr>
        <w:tabs>
          <w:tab w:val="left" w:pos="0"/>
        </w:tabs>
        <w:spacing w:line="360" w:lineRule="auto"/>
        <w:ind w:left="480" w:hanging="480" w:hangingChars="200"/>
        <w:rPr>
          <w:rFonts w:ascii="宋体" w:hAnsi="宋体"/>
          <w:color w:val="000000"/>
          <w:kern w:val="0"/>
          <w:sz w:val="24"/>
        </w:rPr>
      </w:pPr>
      <w:r>
        <w:rPr>
          <w:rFonts w:hint="eastAsia" w:ascii="宋体" w:hAnsi="宋体"/>
          <w:color w:val="000000"/>
          <w:kern w:val="0"/>
          <w:sz w:val="24"/>
        </w:rPr>
        <w:t>5.用车：全程空调旅游车。要求具正规营运资质的车辆，车况好，空调效果好</w:t>
      </w:r>
    </w:p>
    <w:p>
      <w:pPr>
        <w:tabs>
          <w:tab w:val="left" w:pos="0"/>
        </w:tabs>
        <w:spacing w:line="360" w:lineRule="auto"/>
        <w:ind w:left="420" w:leftChars="200"/>
        <w:rPr>
          <w:rFonts w:ascii="宋体" w:hAnsi="宋体"/>
          <w:color w:val="000000"/>
          <w:kern w:val="0"/>
          <w:sz w:val="24"/>
        </w:rPr>
      </w:pPr>
      <w:r>
        <w:rPr>
          <w:rFonts w:hint="eastAsia" w:ascii="宋体" w:hAnsi="宋体"/>
          <w:color w:val="000000"/>
          <w:kern w:val="0"/>
          <w:sz w:val="24"/>
        </w:rPr>
        <w:t>司机确保行程安全；要求三年内新车，座位按照人数1：1.2比例配备。（根据疫情防控要求每日行程结束后对车辆进行消杀）。</w:t>
      </w:r>
    </w:p>
    <w:p>
      <w:pPr>
        <w:tabs>
          <w:tab w:val="left" w:pos="0"/>
        </w:tabs>
        <w:spacing w:line="360" w:lineRule="auto"/>
        <w:rPr>
          <w:rFonts w:ascii="宋体" w:hAnsi="宋体"/>
          <w:color w:val="000000"/>
          <w:kern w:val="0"/>
          <w:sz w:val="24"/>
        </w:rPr>
      </w:pPr>
      <w:r>
        <w:rPr>
          <w:rFonts w:hint="eastAsia" w:ascii="宋体" w:hAnsi="宋体"/>
          <w:color w:val="000000"/>
          <w:kern w:val="0"/>
          <w:sz w:val="24"/>
        </w:rPr>
        <w:t>6.导游：每车至少配备1名导游。</w:t>
      </w:r>
    </w:p>
    <w:p>
      <w:pPr>
        <w:tabs>
          <w:tab w:val="left" w:pos="0"/>
        </w:tabs>
        <w:spacing w:line="360" w:lineRule="auto"/>
        <w:ind w:left="480" w:hanging="480" w:hangingChars="200"/>
        <w:rPr>
          <w:rFonts w:ascii="宋体" w:hAnsi="宋体"/>
          <w:color w:val="000000"/>
          <w:kern w:val="0"/>
          <w:sz w:val="24"/>
        </w:rPr>
      </w:pPr>
      <w:r>
        <w:rPr>
          <w:rFonts w:hint="eastAsia" w:ascii="宋体" w:hAnsi="宋体"/>
          <w:color w:val="000000"/>
          <w:kern w:val="0"/>
          <w:sz w:val="24"/>
        </w:rPr>
        <w:t>7.保险：投标人报价应包含必须为疗休养职工购买具有一定抵抗风险的保险，包括旅行社责任险和个人旅游人身意外险，个人旅游人身意外险保额不得低于每人100万元。</w:t>
      </w:r>
    </w:p>
    <w:p>
      <w:pPr>
        <w:tabs>
          <w:tab w:val="left" w:pos="0"/>
        </w:tabs>
        <w:spacing w:line="360" w:lineRule="auto"/>
        <w:rPr>
          <w:rFonts w:ascii="宋体" w:hAnsi="宋体"/>
          <w:color w:val="000000"/>
          <w:kern w:val="0"/>
          <w:sz w:val="24"/>
        </w:rPr>
      </w:pPr>
      <w:r>
        <w:rPr>
          <w:rFonts w:hint="eastAsia" w:ascii="宋体" w:hAnsi="宋体"/>
          <w:color w:val="000000"/>
          <w:kern w:val="0"/>
          <w:sz w:val="24"/>
        </w:rPr>
        <w:t>8.购物：全程不进购物点。</w:t>
      </w:r>
    </w:p>
    <w:p>
      <w:pPr>
        <w:tabs>
          <w:tab w:val="left" w:pos="0"/>
        </w:tabs>
        <w:spacing w:line="360" w:lineRule="auto"/>
        <w:ind w:left="480" w:hanging="480" w:hangingChars="200"/>
        <w:rPr>
          <w:rFonts w:ascii="宋体" w:hAnsi="宋体"/>
          <w:color w:val="000000"/>
          <w:kern w:val="0"/>
          <w:sz w:val="24"/>
        </w:rPr>
      </w:pPr>
      <w:r>
        <w:rPr>
          <w:rFonts w:hint="eastAsia" w:ascii="宋体" w:hAnsi="宋体"/>
          <w:color w:val="000000"/>
          <w:kern w:val="0"/>
          <w:sz w:val="24"/>
        </w:rPr>
        <w:t xml:space="preserve">9.无自费的景点或活动，无商业广告及各类产品推销。若客人自行要求需取得全团旅游者同意才可组织！征得旅游者同意的情况下，可根据实际情况更改游览顺序。  </w:t>
      </w:r>
    </w:p>
    <w:p>
      <w:pPr>
        <w:tabs>
          <w:tab w:val="left" w:pos="0"/>
        </w:tabs>
        <w:spacing w:line="360" w:lineRule="auto"/>
        <w:rPr>
          <w:rFonts w:ascii="宋体" w:hAnsi="宋体"/>
          <w:color w:val="000000"/>
          <w:kern w:val="0"/>
          <w:sz w:val="24"/>
        </w:rPr>
      </w:pPr>
      <w:r>
        <w:rPr>
          <w:rFonts w:hint="eastAsia" w:ascii="宋体" w:hAnsi="宋体"/>
          <w:color w:val="000000"/>
          <w:kern w:val="0"/>
          <w:sz w:val="24"/>
        </w:rPr>
        <w:t>10.每批次疗休养职工配发每人帽子一顶、每人每天一瓶矿泉水。</w:t>
      </w:r>
    </w:p>
    <w:p>
      <w:pPr>
        <w:tabs>
          <w:tab w:val="left" w:pos="0"/>
        </w:tabs>
        <w:spacing w:line="360" w:lineRule="auto"/>
        <w:ind w:left="360" w:hanging="360" w:hangingChars="150"/>
        <w:rPr>
          <w:rFonts w:ascii="宋体" w:hAnsi="宋体"/>
          <w:color w:val="000000"/>
          <w:kern w:val="0"/>
          <w:sz w:val="24"/>
        </w:rPr>
      </w:pPr>
      <w:r>
        <w:rPr>
          <w:rFonts w:hint="eastAsia" w:ascii="宋体" w:hAnsi="宋体"/>
          <w:color w:val="000000"/>
          <w:kern w:val="0"/>
          <w:sz w:val="24"/>
        </w:rPr>
        <w:t>11.投标单位根据出行时间合理报价，省内线路根据人员类别，线路一疗休养费用在3000元以内，线路二、线路三疗休养费用在2000元以内，超出该费用的投标人做废标处理。</w:t>
      </w:r>
    </w:p>
    <w:p>
      <w:pPr>
        <w:tabs>
          <w:tab w:val="left" w:pos="0"/>
        </w:tabs>
        <w:spacing w:line="360" w:lineRule="auto"/>
        <w:rPr>
          <w:rFonts w:ascii="宋体" w:hAnsi="宋体"/>
          <w:color w:val="000000"/>
          <w:kern w:val="0"/>
          <w:sz w:val="24"/>
        </w:rPr>
      </w:pPr>
      <w:r>
        <w:rPr>
          <w:rFonts w:hint="eastAsia" w:ascii="宋体" w:hAnsi="宋体"/>
          <w:color w:val="000000"/>
          <w:kern w:val="0"/>
          <w:sz w:val="24"/>
        </w:rPr>
        <w:t>12.实施过程中出现有效投诉3次或以上的，采购人有权终止合同。</w:t>
      </w:r>
    </w:p>
    <w:p>
      <w:pPr>
        <w:tabs>
          <w:tab w:val="left" w:pos="0"/>
        </w:tabs>
        <w:spacing w:line="360" w:lineRule="auto"/>
        <w:ind w:left="360" w:hanging="360" w:hangingChars="150"/>
        <w:rPr>
          <w:rFonts w:ascii="宋体" w:hAnsi="宋体"/>
          <w:color w:val="000000"/>
          <w:kern w:val="0"/>
          <w:sz w:val="24"/>
        </w:rPr>
      </w:pPr>
      <w:r>
        <w:rPr>
          <w:rFonts w:hint="eastAsia" w:ascii="宋体" w:hAnsi="宋体"/>
          <w:color w:val="000000"/>
          <w:kern w:val="0"/>
          <w:sz w:val="24"/>
        </w:rPr>
        <w:t>13.每批次疗休养结束后，将对参加疗休养的职工进行疗休养情况测评调查。如果参加疗休养职工对本次疗休养整体评差评率达到30%，扣质保金50%，差评率达到50%及以上的，扣质保金100%单位作废标处理。</w:t>
      </w:r>
    </w:p>
    <w:p>
      <w:pPr>
        <w:spacing w:line="360" w:lineRule="auto"/>
        <w:rPr>
          <w:rFonts w:ascii="宋体" w:hAnsi="宋体" w:cs="宋体"/>
          <w:b/>
          <w:bCs/>
          <w:sz w:val="24"/>
        </w:rPr>
      </w:pPr>
      <w:r>
        <w:rPr>
          <w:rFonts w:hint="eastAsia" w:ascii="宋体" w:hAnsi="宋体" w:cs="宋体"/>
          <w:b/>
          <w:bCs/>
          <w:kern w:val="0"/>
          <w:sz w:val="24"/>
          <w:lang w:val="zh-CN"/>
        </w:rPr>
        <w:t>●</w:t>
      </w:r>
      <w:r>
        <w:rPr>
          <w:rFonts w:hint="eastAsia" w:ascii="宋体" w:hAnsi="宋体" w:cs="宋体"/>
          <w:b/>
          <w:bCs/>
          <w:kern w:val="0"/>
          <w:sz w:val="24"/>
        </w:rPr>
        <w:t>三</w:t>
      </w:r>
      <w:r>
        <w:rPr>
          <w:rFonts w:hint="eastAsia" w:ascii="宋体" w:hAnsi="宋体" w:cs="宋体"/>
          <w:b/>
          <w:bCs/>
          <w:kern w:val="0"/>
          <w:sz w:val="24"/>
          <w:lang w:val="zh-CN"/>
        </w:rPr>
        <w:t>、</w:t>
      </w:r>
      <w:bookmarkStart w:id="27" w:name="_Toc482110467"/>
      <w:r>
        <w:rPr>
          <w:rFonts w:hint="eastAsia" w:ascii="宋体" w:hAnsi="宋体" w:cs="宋体"/>
          <w:b/>
          <w:bCs/>
          <w:sz w:val="24"/>
        </w:rPr>
        <w:t>服务期限</w:t>
      </w:r>
      <w:r>
        <w:rPr>
          <w:rFonts w:hint="eastAsia" w:ascii="宋体" w:hAnsi="宋体" w:cs="宋体"/>
          <w:b/>
          <w:bCs/>
          <w:color w:val="000000"/>
          <w:sz w:val="24"/>
        </w:rPr>
        <w:t>（标项一、标项二、标项三）</w:t>
      </w:r>
      <w:r>
        <w:rPr>
          <w:rFonts w:hint="eastAsia" w:ascii="宋体" w:hAnsi="宋体" w:cs="宋体"/>
          <w:b/>
          <w:bCs/>
          <w:sz w:val="24"/>
        </w:rPr>
        <w:t>：</w:t>
      </w:r>
    </w:p>
    <w:p>
      <w:pPr>
        <w:pStyle w:val="86"/>
        <w:snapToGrid w:val="0"/>
        <w:spacing w:line="360" w:lineRule="auto"/>
        <w:ind w:firstLine="480" w:firstLineChars="200"/>
        <w:rPr>
          <w:rFonts w:ascii="宋体" w:hAnsi="宋体" w:eastAsia="宋体"/>
          <w:bCs/>
          <w:color w:val="000000"/>
          <w:sz w:val="24"/>
          <w:szCs w:val="24"/>
          <w:lang w:eastAsia="zh-CN"/>
        </w:rPr>
      </w:pPr>
      <w:r>
        <w:rPr>
          <w:rFonts w:hint="eastAsia" w:ascii="宋体" w:hAnsi="宋体" w:eastAsia="宋体"/>
          <w:sz w:val="24"/>
          <w:szCs w:val="24"/>
          <w:lang w:eastAsia="zh-CN"/>
        </w:rPr>
        <w:t>2022年8月—</w:t>
      </w:r>
      <w:r>
        <w:rPr>
          <w:rFonts w:hint="eastAsia" w:ascii="宋体" w:hAnsi="宋体" w:eastAsia="宋体"/>
          <w:sz w:val="24"/>
          <w:lang w:eastAsia="zh-CN"/>
        </w:rPr>
        <w:t>11</w:t>
      </w:r>
      <w:r>
        <w:rPr>
          <w:rFonts w:hint="eastAsia" w:ascii="宋体" w:hAnsi="宋体" w:eastAsia="宋体"/>
          <w:sz w:val="24"/>
          <w:szCs w:val="24"/>
          <w:lang w:eastAsia="zh-CN"/>
        </w:rPr>
        <w:t>月。</w:t>
      </w:r>
      <w:r>
        <w:rPr>
          <w:rFonts w:ascii="宋体" w:hAnsi="宋体" w:eastAsia="宋体"/>
          <w:bCs/>
          <w:color w:val="000000"/>
          <w:sz w:val="24"/>
          <w:szCs w:val="24"/>
          <w:lang w:eastAsia="zh-CN"/>
        </w:rPr>
        <w:t>如采购人有所需要，中标单位应根据采购人的要求延续提供1-2个月的服务，费用标准按原合同规定执行</w:t>
      </w:r>
      <w:r>
        <w:rPr>
          <w:rFonts w:hint="eastAsia" w:ascii="宋体" w:hAnsi="宋体" w:eastAsia="宋体"/>
          <w:bCs/>
          <w:color w:val="000000"/>
          <w:sz w:val="24"/>
          <w:szCs w:val="24"/>
          <w:lang w:eastAsia="zh-CN"/>
        </w:rPr>
        <w:t>，经甲方单位考核优秀可续签一年</w:t>
      </w:r>
      <w:r>
        <w:rPr>
          <w:rFonts w:ascii="宋体" w:hAnsi="宋体" w:eastAsia="宋体"/>
          <w:bCs/>
          <w:color w:val="000000"/>
          <w:sz w:val="24"/>
          <w:szCs w:val="24"/>
          <w:lang w:eastAsia="zh-CN"/>
        </w:rPr>
        <w:t>。</w:t>
      </w:r>
    </w:p>
    <w:p>
      <w:pPr>
        <w:spacing w:line="360" w:lineRule="auto"/>
        <w:rPr>
          <w:rFonts w:hAnsi="宋体"/>
          <w:b/>
          <w:sz w:val="24"/>
        </w:rPr>
      </w:pPr>
      <w:r>
        <w:rPr>
          <w:rFonts w:hint="eastAsia" w:ascii="宋体" w:hAnsi="宋体" w:cs="宋体"/>
          <w:b/>
          <w:bCs/>
          <w:kern w:val="0"/>
          <w:sz w:val="24"/>
          <w:lang w:val="zh-CN"/>
        </w:rPr>
        <w:t>●四</w:t>
      </w:r>
      <w:r>
        <w:rPr>
          <w:rFonts w:ascii="Times New Roman" w:hAnsi="Times New Roman"/>
          <w:b/>
          <w:bCs/>
          <w:sz w:val="24"/>
        </w:rPr>
        <w:t>、</w:t>
      </w:r>
      <w:bookmarkEnd w:id="27"/>
      <w:r>
        <w:rPr>
          <w:rFonts w:hint="eastAsia" w:hAnsi="宋体"/>
          <w:b/>
          <w:sz w:val="24"/>
        </w:rPr>
        <w:t>违约责任</w:t>
      </w:r>
    </w:p>
    <w:p>
      <w:pPr>
        <w:spacing w:line="360" w:lineRule="auto"/>
        <w:ind w:firstLine="480" w:firstLineChars="200"/>
        <w:rPr>
          <w:sz w:val="24"/>
        </w:rPr>
      </w:pPr>
      <w:r>
        <w:rPr>
          <w:rFonts w:hint="eastAsia"/>
          <w:sz w:val="24"/>
        </w:rPr>
        <w:t>中标方应严格履行行程路线、景点、服务内容及标准，并保证招标方拟定的每批次人数及出发时间。不得随意更改，若有违约，招标方有权拒付相关费用，并追究违约责任，招标方应按协议要求按时付款。如中标方严重违约，招标方可终止合同。</w:t>
      </w:r>
    </w:p>
    <w:p>
      <w:pPr>
        <w:spacing w:line="360" w:lineRule="auto"/>
        <w:rPr>
          <w:b/>
          <w:bCs/>
          <w:sz w:val="24"/>
        </w:rPr>
      </w:pPr>
      <w:r>
        <w:rPr>
          <w:rFonts w:hint="eastAsia" w:ascii="宋体" w:hAnsi="宋体"/>
          <w:b/>
          <w:bCs/>
          <w:color w:val="000000"/>
          <w:sz w:val="24"/>
        </w:rPr>
        <w:t>●</w:t>
      </w:r>
      <w:r>
        <w:rPr>
          <w:rFonts w:hint="eastAsia"/>
          <w:b/>
          <w:bCs/>
          <w:sz w:val="24"/>
        </w:rPr>
        <w:t>五、费用结算方式</w:t>
      </w:r>
    </w:p>
    <w:p>
      <w:pPr>
        <w:spacing w:line="360" w:lineRule="auto"/>
        <w:ind w:firstLine="600" w:firstLineChars="250"/>
        <w:jc w:val="left"/>
        <w:rPr>
          <w:rFonts w:ascii="宋体" w:hAnsi="宋体" w:cs="宋体"/>
          <w:kern w:val="0"/>
          <w:sz w:val="24"/>
        </w:rPr>
      </w:pPr>
      <w:r>
        <w:rPr>
          <w:rFonts w:hint="eastAsia" w:ascii="宋体" w:hAnsi="宋体" w:cs="宋体"/>
          <w:kern w:val="0"/>
          <w:sz w:val="24"/>
        </w:rPr>
        <w:t>采用单价招标，出行人数按实结算。</w:t>
      </w:r>
    </w:p>
    <w:p>
      <w:pPr>
        <w:spacing w:line="360" w:lineRule="auto"/>
        <w:ind w:firstLine="600" w:firstLineChars="250"/>
        <w:jc w:val="left"/>
        <w:rPr>
          <w:rFonts w:hAnsi="宋体"/>
          <w:sz w:val="24"/>
        </w:rPr>
      </w:pPr>
      <w:r>
        <w:rPr>
          <w:rFonts w:hAnsi="宋体"/>
          <w:sz w:val="24"/>
        </w:rPr>
        <w:t>采购单位应在合同正式生效</w:t>
      </w:r>
      <w:r>
        <w:rPr>
          <w:rFonts w:hint="eastAsia" w:hAnsi="宋体"/>
          <w:sz w:val="24"/>
        </w:rPr>
        <w:t>后，按批次支付。各批次疗休养行程结束后，中标人按实际产生费用提供结算函（附本结算批次的线路、人数、总价等统计情况），经采购人经确认并在中标人开具增值税普通发票后 30 日内一次性支付该批次合同价款。</w:t>
      </w:r>
    </w:p>
    <w:p>
      <w:pPr>
        <w:spacing w:line="360" w:lineRule="auto"/>
        <w:rPr>
          <w:rFonts w:ascii="宋体" w:hAnsi="宋体" w:cs="宋体"/>
          <w:b/>
          <w:bCs/>
          <w:kern w:val="0"/>
          <w:sz w:val="24"/>
        </w:rPr>
      </w:pPr>
      <w:r>
        <w:rPr>
          <w:rFonts w:hint="eastAsia" w:ascii="宋体" w:hAnsi="宋体" w:cs="宋体"/>
          <w:b/>
          <w:bCs/>
          <w:kern w:val="0"/>
          <w:sz w:val="24"/>
        </w:rPr>
        <w:t>●</w:t>
      </w:r>
      <w:r>
        <w:rPr>
          <w:rFonts w:hint="eastAsia" w:ascii="宋体" w:hAnsi="宋体" w:cs="宋体"/>
          <w:b/>
          <w:bCs/>
          <w:kern w:val="0"/>
          <w:sz w:val="24"/>
          <w:lang w:val="zh-CN"/>
        </w:rPr>
        <w:t>六、考核及其他要求</w:t>
      </w:r>
      <w:r>
        <w:rPr>
          <w:rFonts w:hint="eastAsia" w:ascii="宋体" w:hAnsi="宋体" w:cs="宋体"/>
          <w:b/>
          <w:bCs/>
          <w:kern w:val="0"/>
          <w:sz w:val="24"/>
        </w:rPr>
        <w:t>：</w:t>
      </w:r>
    </w:p>
    <w:p>
      <w:pPr>
        <w:spacing w:line="360" w:lineRule="auto"/>
        <w:rPr>
          <w:rFonts w:ascii="宋体" w:hAnsi="宋体" w:cs="宋体"/>
          <w:color w:val="000000"/>
          <w:sz w:val="24"/>
        </w:rPr>
      </w:pPr>
      <w:r>
        <w:rPr>
          <w:rFonts w:hint="eastAsia" w:ascii="宋体" w:hAnsi="宋体" w:cs="宋体"/>
          <w:color w:val="000000"/>
          <w:sz w:val="24"/>
        </w:rPr>
        <w:t>1.考核方式：每次完成疗养服务回程时，导游发放《满意度调查表》，出行职工对本次出行计划、酒店、就餐等情况进行满意度评分并填写《满意度调查表》（调查表选项填写不全或赋分不在设定范围的无效），满意度调查结果由导游（或中标供应商代表）和职工代表签字留存并当场宣布，招标人根据满意度平均分确认当次疗休养费用。</w:t>
      </w:r>
    </w:p>
    <w:p>
      <w:pPr>
        <w:spacing w:line="360" w:lineRule="auto"/>
        <w:rPr>
          <w:rFonts w:ascii="宋体" w:hAnsi="宋体" w:cs="宋体"/>
          <w:color w:val="000000"/>
          <w:sz w:val="24"/>
        </w:rPr>
      </w:pPr>
      <w:r>
        <w:rPr>
          <w:rFonts w:hint="eastAsia" w:ascii="宋体" w:hAnsi="宋体" w:cs="宋体"/>
          <w:color w:val="000000"/>
          <w:sz w:val="24"/>
        </w:rPr>
        <w:t>2.考核标准：当次满意度平均分高于85分（含），支付当次疗休养费用的100%；当次满意度平均分高于75分（含）低于85分，扣减当次疗休养费用5%；当次满意度平均分低75分，扣减当次疗休养费用10%。</w:t>
      </w:r>
    </w:p>
    <w:p>
      <w:pPr>
        <w:pStyle w:val="26"/>
        <w:spacing w:line="360" w:lineRule="auto"/>
        <w:ind w:firstLine="0"/>
        <w:rPr>
          <w:rFonts w:ascii="宋体" w:hAnsi="宋体" w:cs="宋体"/>
          <w:color w:val="000000"/>
          <w:sz w:val="24"/>
        </w:rPr>
      </w:pPr>
      <w:r>
        <w:rPr>
          <w:rFonts w:hint="eastAsia" w:ascii="宋体" w:hAnsi="宋体" w:cs="宋体"/>
          <w:color w:val="000000"/>
          <w:sz w:val="24"/>
        </w:rPr>
        <w:t>3.中标供应商的方案应获得招标人的认可，招标人保留对中标供应商的某一线路指定其他方案的权利，路线景点和出团人数以实际产生为准，费用不得超出规定标准，组团时间按招标人计划实施，具体出团及返回时间根据供应商编制并获得招标人认可的方案为准，出团时间应避开双休及节假日。</w:t>
      </w:r>
    </w:p>
    <w:p>
      <w:pPr>
        <w:pStyle w:val="26"/>
        <w:spacing w:line="360" w:lineRule="auto"/>
        <w:ind w:firstLine="0"/>
        <w:rPr>
          <w:rFonts w:ascii="宋体" w:hAnsi="宋体" w:cs="宋体" w:eastAsiaTheme="minorEastAsia"/>
          <w:color w:val="000000"/>
          <w:sz w:val="24"/>
        </w:rPr>
      </w:pPr>
      <w:r>
        <w:rPr>
          <w:rFonts w:hint="eastAsia" w:ascii="宋体" w:hAnsi="宋体" w:cs="宋体"/>
          <w:color w:val="000000"/>
          <w:sz w:val="24"/>
        </w:rPr>
        <w:t>4.出行人数存在不确定性，最终费用按实际出发人数，按实结算，投标时每个标项的人数为暂定量，具体以实际出行人数为准，投标单价保持不变。</w:t>
      </w:r>
    </w:p>
    <w:p>
      <w:pPr>
        <w:pStyle w:val="26"/>
        <w:spacing w:line="360" w:lineRule="auto"/>
        <w:ind w:firstLine="0"/>
        <w:rPr>
          <w:rFonts w:ascii="宋体" w:hAnsi="宋体" w:cs="宋体" w:eastAsiaTheme="minorEastAsia"/>
          <w:color w:val="000000"/>
          <w:sz w:val="24"/>
        </w:rPr>
      </w:pPr>
    </w:p>
    <w:p>
      <w:pPr>
        <w:pStyle w:val="26"/>
        <w:spacing w:line="360" w:lineRule="auto"/>
        <w:ind w:firstLine="0"/>
        <w:rPr>
          <w:rFonts w:hint="eastAsia" w:ascii="宋体" w:hAnsi="宋体" w:cs="宋体" w:eastAsiaTheme="minorEastAsia"/>
          <w:color w:val="000000"/>
          <w:sz w:val="24"/>
        </w:rPr>
      </w:pPr>
    </w:p>
    <w:p>
      <w:pPr>
        <w:pStyle w:val="618"/>
        <w:ind w:firstLine="0" w:firstLineChars="0"/>
        <w:outlineLvl w:val="0"/>
        <w:rPr>
          <w:rFonts w:hint="eastAsia" w:eastAsia="宋体" w:cs="宋体"/>
          <w:b/>
          <w:bCs/>
          <w:color w:val="auto"/>
          <w:sz w:val="24"/>
          <w:szCs w:val="24"/>
          <w:highlight w:val="none"/>
          <w:lang w:eastAsia="zh-CN"/>
        </w:rPr>
      </w:pPr>
    </w:p>
    <w:p>
      <w:pPr>
        <w:spacing w:line="360" w:lineRule="auto"/>
        <w:ind w:firstLine="181" w:firstLineChars="50"/>
        <w:rPr>
          <w:rFonts w:ascii="仿宋_GB2312" w:hAnsi="仿宋" w:eastAsia="仿宋_GB2312" w:cs="仿宋_GB2312"/>
          <w:b/>
          <w:sz w:val="36"/>
          <w:szCs w:val="36"/>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8" w:name="_Toc184308081"/>
      <w:bookmarkEnd w:id="28"/>
      <w:bookmarkStart w:id="29" w:name="_Toc184314422"/>
      <w:bookmarkEnd w:id="29"/>
      <w:bookmarkStart w:id="30" w:name="_Toc184314416"/>
      <w:bookmarkEnd w:id="30"/>
      <w:bookmarkStart w:id="31" w:name="_Toc184310297"/>
      <w:bookmarkEnd w:id="31"/>
      <w:bookmarkStart w:id="32" w:name="_Toc184310289"/>
      <w:bookmarkEnd w:id="32"/>
      <w:bookmarkStart w:id="33" w:name="_Toc184312076"/>
      <w:bookmarkEnd w:id="33"/>
      <w:bookmarkStart w:id="34" w:name="_Toc184313275"/>
      <w:bookmarkEnd w:id="34"/>
      <w:bookmarkStart w:id="35" w:name="_Toc184314429"/>
      <w:bookmarkEnd w:id="35"/>
      <w:bookmarkStart w:id="36" w:name="_Toc184314458"/>
      <w:bookmarkEnd w:id="36"/>
      <w:bookmarkStart w:id="37" w:name="_Toc184312072"/>
      <w:bookmarkEnd w:id="37"/>
      <w:bookmarkStart w:id="38" w:name="_Toc184310298"/>
      <w:bookmarkEnd w:id="38"/>
      <w:bookmarkStart w:id="39" w:name="_Toc184313287"/>
      <w:bookmarkEnd w:id="39"/>
      <w:bookmarkStart w:id="40" w:name="_Toc184312112"/>
      <w:bookmarkEnd w:id="40"/>
      <w:bookmarkStart w:id="41" w:name="_Toc184308056"/>
      <w:bookmarkEnd w:id="41"/>
      <w:bookmarkStart w:id="42" w:name="_Toc184314454"/>
      <w:bookmarkEnd w:id="42"/>
      <w:bookmarkStart w:id="43" w:name="_Toc184308054"/>
      <w:bookmarkEnd w:id="43"/>
      <w:bookmarkStart w:id="44" w:name="_Toc184313262"/>
      <w:bookmarkEnd w:id="44"/>
      <w:bookmarkStart w:id="45" w:name="_Toc184310312"/>
      <w:bookmarkEnd w:id="45"/>
      <w:bookmarkStart w:id="46" w:name="_Toc184310290"/>
      <w:bookmarkEnd w:id="46"/>
      <w:bookmarkStart w:id="47" w:name="_Toc184314474"/>
      <w:bookmarkEnd w:id="47"/>
      <w:bookmarkStart w:id="48" w:name="_Toc184310292"/>
      <w:bookmarkEnd w:id="48"/>
      <w:bookmarkStart w:id="49" w:name="_Toc184313307"/>
      <w:bookmarkEnd w:id="49"/>
      <w:bookmarkStart w:id="50" w:name="_Toc184310288"/>
      <w:bookmarkEnd w:id="50"/>
      <w:bookmarkStart w:id="51" w:name="_Toc184312069"/>
      <w:bookmarkEnd w:id="51"/>
      <w:bookmarkStart w:id="52" w:name="_Toc184312094"/>
      <w:bookmarkEnd w:id="52"/>
      <w:bookmarkStart w:id="53" w:name="_Toc184314418"/>
      <w:bookmarkEnd w:id="53"/>
      <w:bookmarkStart w:id="54" w:name="_Toc184313251"/>
      <w:bookmarkEnd w:id="54"/>
      <w:bookmarkStart w:id="55" w:name="_Toc184313303"/>
      <w:bookmarkEnd w:id="55"/>
      <w:bookmarkStart w:id="56" w:name="_Toc184308053"/>
      <w:bookmarkEnd w:id="56"/>
      <w:bookmarkStart w:id="57" w:name="_Toc184308101"/>
      <w:bookmarkEnd w:id="57"/>
      <w:bookmarkStart w:id="58" w:name="_Toc184314437"/>
      <w:bookmarkEnd w:id="58"/>
      <w:bookmarkStart w:id="59" w:name="_Toc184312087"/>
      <w:bookmarkEnd w:id="59"/>
      <w:bookmarkStart w:id="60" w:name="_Toc184313254"/>
      <w:bookmarkEnd w:id="60"/>
      <w:bookmarkStart w:id="61" w:name="_Toc184313259"/>
      <w:bookmarkEnd w:id="61"/>
      <w:bookmarkStart w:id="62" w:name="_Toc184314431"/>
      <w:bookmarkEnd w:id="62"/>
      <w:bookmarkStart w:id="63" w:name="_Toc184308055"/>
      <w:bookmarkEnd w:id="63"/>
      <w:bookmarkStart w:id="64" w:name="_Toc184310273"/>
      <w:bookmarkEnd w:id="64"/>
      <w:bookmarkStart w:id="65" w:name="_Toc184313266"/>
      <w:bookmarkEnd w:id="65"/>
      <w:bookmarkStart w:id="66" w:name="_Toc184312068"/>
      <w:bookmarkEnd w:id="66"/>
      <w:bookmarkStart w:id="67" w:name="_Toc184308066"/>
      <w:bookmarkEnd w:id="67"/>
      <w:bookmarkStart w:id="68" w:name="_Toc184308074"/>
      <w:bookmarkEnd w:id="68"/>
      <w:bookmarkStart w:id="69" w:name="_Toc184312097"/>
      <w:bookmarkEnd w:id="69"/>
      <w:bookmarkStart w:id="70" w:name="_Toc184312098"/>
      <w:bookmarkEnd w:id="70"/>
      <w:bookmarkStart w:id="71" w:name="_Toc184314434"/>
      <w:bookmarkEnd w:id="71"/>
      <w:bookmarkStart w:id="72" w:name="_Toc184312106"/>
      <w:bookmarkEnd w:id="72"/>
      <w:bookmarkStart w:id="73" w:name="_Toc184310321"/>
      <w:bookmarkEnd w:id="73"/>
      <w:bookmarkStart w:id="74" w:name="_Toc184314424"/>
      <w:bookmarkEnd w:id="74"/>
      <w:bookmarkStart w:id="75" w:name="_Toc184314432"/>
      <w:bookmarkEnd w:id="75"/>
      <w:bookmarkStart w:id="76" w:name="_Toc184308064"/>
      <w:bookmarkEnd w:id="76"/>
      <w:bookmarkStart w:id="77" w:name="_Toc184310315"/>
      <w:bookmarkEnd w:id="77"/>
      <w:bookmarkStart w:id="78" w:name="_Toc184308067"/>
      <w:bookmarkEnd w:id="78"/>
      <w:bookmarkStart w:id="79" w:name="_Toc184313265"/>
      <w:bookmarkEnd w:id="79"/>
      <w:bookmarkStart w:id="80" w:name="_Toc184312070"/>
      <w:bookmarkEnd w:id="80"/>
      <w:bookmarkStart w:id="81" w:name="_Toc184313256"/>
      <w:bookmarkEnd w:id="81"/>
      <w:bookmarkStart w:id="82" w:name="_Toc184314438"/>
      <w:bookmarkEnd w:id="82"/>
      <w:bookmarkStart w:id="83" w:name="_Toc184310314"/>
      <w:bookmarkEnd w:id="83"/>
      <w:bookmarkStart w:id="84" w:name="_Toc184310320"/>
      <w:bookmarkEnd w:id="84"/>
      <w:bookmarkStart w:id="85" w:name="_Toc184313278"/>
      <w:bookmarkEnd w:id="85"/>
      <w:bookmarkStart w:id="86" w:name="_Toc184308061"/>
      <w:bookmarkEnd w:id="86"/>
      <w:bookmarkStart w:id="87" w:name="_Toc184314435"/>
      <w:bookmarkEnd w:id="87"/>
      <w:bookmarkStart w:id="88" w:name="_Toc184314470"/>
      <w:bookmarkEnd w:id="88"/>
      <w:bookmarkStart w:id="89" w:name="_Toc184310294"/>
      <w:bookmarkEnd w:id="89"/>
      <w:bookmarkStart w:id="90" w:name="_Toc184313243"/>
      <w:bookmarkEnd w:id="90"/>
      <w:bookmarkStart w:id="91" w:name="_Toc184308058"/>
      <w:bookmarkEnd w:id="91"/>
      <w:bookmarkStart w:id="92" w:name="_Toc184312125"/>
      <w:bookmarkEnd w:id="92"/>
      <w:bookmarkStart w:id="93" w:name="_Toc184310304"/>
      <w:bookmarkEnd w:id="93"/>
      <w:bookmarkStart w:id="94" w:name="_Toc184312135"/>
      <w:bookmarkEnd w:id="94"/>
      <w:bookmarkStart w:id="95" w:name="_Toc184314427"/>
      <w:bookmarkEnd w:id="95"/>
      <w:bookmarkStart w:id="96" w:name="_Toc184308073"/>
      <w:bookmarkEnd w:id="96"/>
      <w:bookmarkStart w:id="97" w:name="_Toc184313290"/>
      <w:bookmarkEnd w:id="97"/>
      <w:bookmarkStart w:id="98" w:name="_Toc184312090"/>
      <w:bookmarkEnd w:id="98"/>
      <w:bookmarkStart w:id="99" w:name="_Toc184314473"/>
      <w:bookmarkEnd w:id="99"/>
      <w:bookmarkStart w:id="100" w:name="_Toc184308057"/>
      <w:bookmarkEnd w:id="100"/>
      <w:bookmarkStart w:id="101" w:name="_Toc184314469"/>
      <w:bookmarkEnd w:id="101"/>
      <w:bookmarkStart w:id="102" w:name="_Toc184312084"/>
      <w:bookmarkEnd w:id="102"/>
      <w:bookmarkStart w:id="103" w:name="_Toc184308097"/>
      <w:bookmarkEnd w:id="103"/>
      <w:bookmarkStart w:id="104" w:name="_Toc184310291"/>
      <w:bookmarkEnd w:id="104"/>
      <w:bookmarkStart w:id="105" w:name="_Toc184314412"/>
      <w:bookmarkEnd w:id="105"/>
      <w:bookmarkStart w:id="106" w:name="_Toc184308103"/>
      <w:bookmarkEnd w:id="106"/>
      <w:bookmarkStart w:id="107" w:name="_Toc184312091"/>
      <w:bookmarkEnd w:id="107"/>
      <w:bookmarkStart w:id="108" w:name="_Toc184313305"/>
      <w:bookmarkEnd w:id="108"/>
      <w:bookmarkStart w:id="109" w:name="_Toc184312129"/>
      <w:bookmarkEnd w:id="109"/>
      <w:bookmarkStart w:id="110" w:name="_Toc184313300"/>
      <w:bookmarkEnd w:id="110"/>
      <w:bookmarkStart w:id="111" w:name="_Toc184308068"/>
      <w:bookmarkEnd w:id="111"/>
      <w:bookmarkStart w:id="112" w:name="_Toc184308046"/>
      <w:bookmarkEnd w:id="112"/>
      <w:bookmarkStart w:id="113" w:name="_Toc184314468"/>
      <w:bookmarkEnd w:id="113"/>
      <w:bookmarkStart w:id="114" w:name="_Toc184313296"/>
      <w:bookmarkEnd w:id="114"/>
      <w:bookmarkStart w:id="115" w:name="_Toc184308036"/>
      <w:bookmarkEnd w:id="115"/>
      <w:bookmarkStart w:id="116" w:name="_Toc184312130"/>
      <w:bookmarkEnd w:id="116"/>
      <w:bookmarkStart w:id="117" w:name="_Toc184308098"/>
      <w:bookmarkEnd w:id="117"/>
      <w:bookmarkStart w:id="118" w:name="_Toc184310282"/>
      <w:bookmarkEnd w:id="118"/>
      <w:bookmarkStart w:id="119" w:name="_Toc184313257"/>
      <w:bookmarkEnd w:id="119"/>
      <w:bookmarkStart w:id="120" w:name="_Toc184312100"/>
      <w:bookmarkEnd w:id="120"/>
      <w:bookmarkStart w:id="121" w:name="_Toc184312083"/>
      <w:bookmarkEnd w:id="121"/>
      <w:bookmarkStart w:id="122" w:name="_Toc184312088"/>
      <w:bookmarkEnd w:id="122"/>
      <w:bookmarkStart w:id="123" w:name="_Toc184313304"/>
      <w:bookmarkEnd w:id="123"/>
      <w:bookmarkStart w:id="124" w:name="_Toc184312137"/>
      <w:bookmarkEnd w:id="124"/>
      <w:bookmarkStart w:id="125" w:name="_Toc184312127"/>
      <w:bookmarkEnd w:id="125"/>
      <w:bookmarkStart w:id="126" w:name="_Toc184314463"/>
      <w:bookmarkEnd w:id="126"/>
      <w:bookmarkStart w:id="127" w:name="_Toc184308091"/>
      <w:bookmarkEnd w:id="127"/>
      <w:bookmarkStart w:id="128" w:name="_Toc184310331"/>
      <w:bookmarkEnd w:id="128"/>
      <w:bookmarkStart w:id="129" w:name="_Toc184313241"/>
      <w:bookmarkEnd w:id="129"/>
      <w:bookmarkStart w:id="130" w:name="_Toc184313248"/>
      <w:bookmarkEnd w:id="130"/>
      <w:bookmarkStart w:id="131" w:name="_Toc184313289"/>
      <w:bookmarkEnd w:id="131"/>
      <w:bookmarkStart w:id="132" w:name="_Toc184313310"/>
      <w:bookmarkEnd w:id="132"/>
      <w:bookmarkStart w:id="133" w:name="_Toc184314419"/>
      <w:bookmarkEnd w:id="133"/>
      <w:bookmarkStart w:id="134" w:name="_Toc184312118"/>
      <w:bookmarkEnd w:id="134"/>
      <w:bookmarkStart w:id="135" w:name="_Toc184313302"/>
      <w:bookmarkEnd w:id="135"/>
      <w:bookmarkStart w:id="136" w:name="_Toc184312124"/>
      <w:bookmarkEnd w:id="136"/>
      <w:bookmarkStart w:id="137" w:name="_Toc184313298"/>
      <w:bookmarkEnd w:id="137"/>
      <w:bookmarkStart w:id="138" w:name="_Toc184312126"/>
      <w:bookmarkEnd w:id="138"/>
      <w:bookmarkStart w:id="139" w:name="_Toc184312123"/>
      <w:bookmarkEnd w:id="139"/>
      <w:bookmarkStart w:id="140" w:name="_Toc184313293"/>
      <w:bookmarkEnd w:id="140"/>
      <w:bookmarkStart w:id="141" w:name="_Toc184314476"/>
      <w:bookmarkEnd w:id="141"/>
      <w:bookmarkStart w:id="142" w:name="_Toc184314466"/>
      <w:bookmarkEnd w:id="142"/>
      <w:bookmarkStart w:id="143" w:name="_Toc184314457"/>
      <w:bookmarkEnd w:id="143"/>
      <w:bookmarkStart w:id="144" w:name="_Toc184312107"/>
      <w:bookmarkEnd w:id="144"/>
      <w:bookmarkStart w:id="145" w:name="_Toc184310333"/>
      <w:bookmarkEnd w:id="145"/>
      <w:bookmarkStart w:id="146" w:name="_Toc184312105"/>
      <w:bookmarkEnd w:id="146"/>
      <w:bookmarkStart w:id="147" w:name="_Toc184308094"/>
      <w:bookmarkEnd w:id="147"/>
      <w:bookmarkStart w:id="148" w:name="_Toc184314467"/>
      <w:bookmarkEnd w:id="148"/>
      <w:bookmarkStart w:id="149" w:name="_Toc184314480"/>
      <w:bookmarkEnd w:id="149"/>
      <w:bookmarkStart w:id="150" w:name="_Toc184310326"/>
      <w:bookmarkEnd w:id="150"/>
      <w:bookmarkStart w:id="151" w:name="_Toc184310325"/>
      <w:bookmarkEnd w:id="151"/>
      <w:bookmarkStart w:id="152" w:name="_Toc184313294"/>
      <w:bookmarkEnd w:id="152"/>
      <w:bookmarkStart w:id="153" w:name="_Toc184312080"/>
      <w:bookmarkEnd w:id="153"/>
      <w:bookmarkStart w:id="154" w:name="_Toc184308088"/>
      <w:bookmarkEnd w:id="154"/>
      <w:bookmarkStart w:id="155" w:name="_Toc184308051"/>
      <w:bookmarkEnd w:id="155"/>
      <w:bookmarkStart w:id="156" w:name="_Toc184312114"/>
      <w:bookmarkEnd w:id="156"/>
      <w:bookmarkStart w:id="157" w:name="_Toc184313301"/>
      <w:bookmarkEnd w:id="157"/>
      <w:bookmarkStart w:id="158" w:name="_Toc184310327"/>
      <w:bookmarkEnd w:id="158"/>
      <w:bookmarkStart w:id="159" w:name="_Toc184314423"/>
      <w:bookmarkEnd w:id="159"/>
      <w:bookmarkStart w:id="160" w:name="_Toc184310307"/>
      <w:bookmarkEnd w:id="160"/>
      <w:bookmarkStart w:id="161" w:name="_Toc184308093"/>
      <w:bookmarkEnd w:id="161"/>
      <w:bookmarkStart w:id="162" w:name="_Toc184308087"/>
      <w:bookmarkEnd w:id="162"/>
      <w:bookmarkStart w:id="163" w:name="_Toc184313250"/>
      <w:bookmarkEnd w:id="163"/>
      <w:bookmarkStart w:id="164" w:name="_Toc184314477"/>
      <w:bookmarkEnd w:id="164"/>
      <w:bookmarkStart w:id="165" w:name="_Toc184310324"/>
      <w:bookmarkEnd w:id="165"/>
      <w:bookmarkStart w:id="166" w:name="_Toc184314461"/>
      <w:bookmarkEnd w:id="166"/>
      <w:bookmarkStart w:id="167" w:name="_Toc184308085"/>
      <w:bookmarkEnd w:id="167"/>
      <w:bookmarkStart w:id="168" w:name="_Toc184312121"/>
      <w:bookmarkEnd w:id="168"/>
      <w:bookmarkStart w:id="169" w:name="_Toc184312120"/>
      <w:bookmarkEnd w:id="169"/>
      <w:bookmarkStart w:id="170" w:name="_Toc184314421"/>
      <w:bookmarkEnd w:id="170"/>
      <w:bookmarkStart w:id="171" w:name="_Toc184308080"/>
      <w:bookmarkEnd w:id="171"/>
      <w:bookmarkStart w:id="172" w:name="_Toc184314475"/>
      <w:bookmarkEnd w:id="172"/>
      <w:bookmarkStart w:id="173" w:name="_Toc184310308"/>
      <w:bookmarkEnd w:id="173"/>
      <w:bookmarkStart w:id="174" w:name="_Toc184310310"/>
      <w:bookmarkEnd w:id="174"/>
      <w:bookmarkStart w:id="175" w:name="_Toc184308078"/>
      <w:bookmarkEnd w:id="175"/>
      <w:bookmarkStart w:id="176" w:name="_Toc184313269"/>
      <w:bookmarkEnd w:id="176"/>
      <w:bookmarkStart w:id="177" w:name="_Toc184314443"/>
      <w:bookmarkEnd w:id="177"/>
      <w:bookmarkStart w:id="178" w:name="_Toc184313273"/>
      <w:bookmarkEnd w:id="178"/>
      <w:bookmarkStart w:id="179" w:name="_Toc184314446"/>
      <w:bookmarkEnd w:id="179"/>
      <w:bookmarkStart w:id="180" w:name="_Toc184313281"/>
      <w:bookmarkEnd w:id="180"/>
      <w:bookmarkStart w:id="181" w:name="_Toc184314440"/>
      <w:bookmarkEnd w:id="181"/>
      <w:bookmarkStart w:id="182" w:name="_Toc184308071"/>
      <w:bookmarkEnd w:id="182"/>
      <w:bookmarkStart w:id="183" w:name="_Toc184310334"/>
      <w:bookmarkEnd w:id="183"/>
      <w:bookmarkStart w:id="184" w:name="_Toc184314452"/>
      <w:bookmarkEnd w:id="184"/>
      <w:bookmarkStart w:id="185" w:name="_Toc184312122"/>
      <w:bookmarkEnd w:id="185"/>
      <w:bookmarkStart w:id="186" w:name="_Toc184310329"/>
      <w:bookmarkEnd w:id="186"/>
      <w:bookmarkStart w:id="187" w:name="_Toc184310303"/>
      <w:bookmarkEnd w:id="187"/>
      <w:bookmarkStart w:id="188" w:name="_Toc184308092"/>
      <w:bookmarkEnd w:id="188"/>
      <w:bookmarkStart w:id="189" w:name="_Toc184310283"/>
      <w:bookmarkEnd w:id="189"/>
      <w:bookmarkStart w:id="190" w:name="_Toc184308108"/>
      <w:bookmarkEnd w:id="190"/>
      <w:bookmarkStart w:id="191" w:name="_Toc184308100"/>
      <w:bookmarkEnd w:id="191"/>
      <w:bookmarkStart w:id="192" w:name="_Toc184312096"/>
      <w:bookmarkEnd w:id="192"/>
      <w:bookmarkStart w:id="193" w:name="_Toc184314428"/>
      <w:bookmarkEnd w:id="193"/>
      <w:bookmarkStart w:id="194" w:name="_Toc184314417"/>
      <w:bookmarkEnd w:id="194"/>
      <w:bookmarkStart w:id="195" w:name="_Toc184312085"/>
      <w:bookmarkEnd w:id="195"/>
      <w:bookmarkStart w:id="196" w:name="_Toc184312067"/>
      <w:bookmarkEnd w:id="196"/>
      <w:bookmarkStart w:id="197" w:name="_Toc184310279"/>
      <w:bookmarkEnd w:id="197"/>
      <w:bookmarkStart w:id="198" w:name="_Toc184310342"/>
      <w:bookmarkEnd w:id="198"/>
      <w:bookmarkStart w:id="199" w:name="_Toc184313299"/>
      <w:bookmarkEnd w:id="199"/>
      <w:bookmarkStart w:id="200" w:name="_Toc184314449"/>
      <w:bookmarkEnd w:id="200"/>
      <w:bookmarkStart w:id="201" w:name="_Toc184313276"/>
      <w:bookmarkEnd w:id="201"/>
      <w:bookmarkStart w:id="202" w:name="_Toc184312128"/>
      <w:bookmarkEnd w:id="202"/>
      <w:bookmarkStart w:id="203" w:name="_Toc184314481"/>
      <w:bookmarkEnd w:id="203"/>
      <w:bookmarkStart w:id="204" w:name="_Toc184312110"/>
      <w:bookmarkEnd w:id="204"/>
      <w:bookmarkStart w:id="205" w:name="_Toc184313297"/>
      <w:bookmarkEnd w:id="205"/>
      <w:bookmarkStart w:id="206" w:name="_Toc184312132"/>
      <w:bookmarkEnd w:id="206"/>
      <w:bookmarkStart w:id="207" w:name="_Toc184313285"/>
      <w:bookmarkEnd w:id="207"/>
      <w:bookmarkStart w:id="208" w:name="_Toc184310330"/>
      <w:bookmarkEnd w:id="208"/>
      <w:bookmarkStart w:id="209" w:name="_Toc184310340"/>
      <w:bookmarkEnd w:id="209"/>
      <w:bookmarkStart w:id="210" w:name="_Toc184308090"/>
      <w:bookmarkEnd w:id="210"/>
      <w:bookmarkStart w:id="211" w:name="_Toc184314464"/>
      <w:bookmarkEnd w:id="211"/>
      <w:bookmarkStart w:id="212" w:name="_Toc184312109"/>
      <w:bookmarkEnd w:id="212"/>
      <w:bookmarkStart w:id="213" w:name="_Toc184312138"/>
      <w:bookmarkEnd w:id="213"/>
      <w:bookmarkStart w:id="214" w:name="_Toc184308076"/>
      <w:bookmarkEnd w:id="214"/>
      <w:bookmarkStart w:id="215" w:name="_Toc184310338"/>
      <w:bookmarkEnd w:id="215"/>
      <w:bookmarkStart w:id="216" w:name="_Toc184310295"/>
      <w:bookmarkEnd w:id="216"/>
      <w:bookmarkStart w:id="217" w:name="_Toc184308045"/>
      <w:bookmarkEnd w:id="217"/>
      <w:bookmarkStart w:id="218" w:name="_Toc184308096"/>
      <w:bookmarkEnd w:id="218"/>
      <w:bookmarkStart w:id="219" w:name="_Toc184314471"/>
      <w:bookmarkEnd w:id="219"/>
      <w:bookmarkStart w:id="220" w:name="_Toc184313295"/>
      <w:bookmarkEnd w:id="220"/>
      <w:bookmarkStart w:id="221" w:name="_Toc184310280"/>
      <w:bookmarkEnd w:id="221"/>
      <w:bookmarkStart w:id="222" w:name="_Toc184310276"/>
      <w:bookmarkEnd w:id="222"/>
      <w:bookmarkStart w:id="223" w:name="_Toc184312111"/>
      <w:bookmarkEnd w:id="223"/>
      <w:bookmarkStart w:id="224" w:name="_Toc184312092"/>
      <w:bookmarkEnd w:id="224"/>
      <w:bookmarkStart w:id="225" w:name="_Toc184308050"/>
      <w:bookmarkEnd w:id="225"/>
      <w:bookmarkStart w:id="226" w:name="_Toc184313309"/>
      <w:bookmarkEnd w:id="226"/>
      <w:bookmarkStart w:id="227" w:name="_Toc184312089"/>
      <w:bookmarkEnd w:id="227"/>
      <w:bookmarkStart w:id="228" w:name="_Toc184308059"/>
      <w:bookmarkEnd w:id="228"/>
      <w:bookmarkStart w:id="229" w:name="_Toc184314425"/>
      <w:bookmarkEnd w:id="229"/>
      <w:bookmarkStart w:id="230" w:name="_Toc184308060"/>
      <w:bookmarkEnd w:id="230"/>
      <w:bookmarkStart w:id="231" w:name="_Toc184308062"/>
      <w:bookmarkEnd w:id="231"/>
      <w:bookmarkStart w:id="232" w:name="_Toc184313288"/>
      <w:bookmarkEnd w:id="232"/>
      <w:bookmarkStart w:id="233" w:name="_Toc184308042"/>
      <w:bookmarkEnd w:id="233"/>
      <w:bookmarkStart w:id="234" w:name="_Toc184310287"/>
      <w:bookmarkEnd w:id="234"/>
      <w:bookmarkStart w:id="235" w:name="_Toc184308041"/>
      <w:bookmarkEnd w:id="235"/>
      <w:bookmarkStart w:id="236" w:name="_Toc184314448"/>
      <w:bookmarkEnd w:id="236"/>
      <w:bookmarkStart w:id="237" w:name="_Toc184313284"/>
      <w:bookmarkEnd w:id="237"/>
      <w:bookmarkStart w:id="238" w:name="_Toc184313261"/>
      <w:bookmarkEnd w:id="238"/>
      <w:bookmarkStart w:id="239" w:name="_Toc184310286"/>
      <w:bookmarkEnd w:id="239"/>
      <w:bookmarkStart w:id="240" w:name="_Toc184310341"/>
      <w:bookmarkEnd w:id="240"/>
      <w:bookmarkStart w:id="241" w:name="_Toc184313282"/>
      <w:bookmarkEnd w:id="241"/>
      <w:bookmarkStart w:id="242" w:name="_Toc184314414"/>
      <w:bookmarkEnd w:id="242"/>
      <w:bookmarkStart w:id="243" w:name="_Toc184310318"/>
      <w:bookmarkEnd w:id="243"/>
      <w:bookmarkStart w:id="244" w:name="_Toc184310344"/>
      <w:bookmarkEnd w:id="244"/>
      <w:bookmarkStart w:id="245" w:name="_Toc184312074"/>
      <w:bookmarkEnd w:id="245"/>
      <w:bookmarkStart w:id="246" w:name="_Toc184312077"/>
      <w:bookmarkEnd w:id="246"/>
      <w:bookmarkStart w:id="247" w:name="_Toc184313245"/>
      <w:bookmarkEnd w:id="247"/>
      <w:bookmarkStart w:id="248" w:name="_Toc184312075"/>
      <w:bookmarkEnd w:id="248"/>
      <w:bookmarkStart w:id="249" w:name="_Toc184310278"/>
      <w:bookmarkEnd w:id="249"/>
      <w:bookmarkStart w:id="250" w:name="_Toc184314472"/>
      <w:bookmarkEnd w:id="250"/>
      <w:bookmarkStart w:id="251" w:name="_Toc184310335"/>
      <w:bookmarkEnd w:id="251"/>
      <w:bookmarkStart w:id="252" w:name="_Toc184314433"/>
      <w:bookmarkEnd w:id="252"/>
      <w:bookmarkStart w:id="253" w:name="_Toc184314450"/>
      <w:bookmarkEnd w:id="253"/>
      <w:bookmarkStart w:id="254" w:name="_Toc184308075"/>
      <w:bookmarkEnd w:id="254"/>
      <w:bookmarkStart w:id="255" w:name="_Toc184310299"/>
      <w:bookmarkEnd w:id="255"/>
      <w:bookmarkStart w:id="256" w:name="_Toc184313280"/>
      <w:bookmarkEnd w:id="256"/>
      <w:bookmarkStart w:id="257" w:name="_Toc184308038"/>
      <w:bookmarkEnd w:id="257"/>
      <w:bookmarkStart w:id="258" w:name="_Toc184310274"/>
      <w:bookmarkEnd w:id="258"/>
      <w:bookmarkStart w:id="259" w:name="_Toc184313260"/>
      <w:bookmarkEnd w:id="259"/>
      <w:bookmarkStart w:id="260" w:name="_Toc184308104"/>
      <w:bookmarkEnd w:id="260"/>
      <w:bookmarkStart w:id="261" w:name="_Toc184310296"/>
      <w:bookmarkEnd w:id="261"/>
      <w:bookmarkStart w:id="262" w:name="_Toc184313253"/>
      <w:bookmarkEnd w:id="262"/>
      <w:bookmarkStart w:id="263" w:name="_Toc184308039"/>
      <w:bookmarkEnd w:id="263"/>
      <w:bookmarkStart w:id="264" w:name="_Toc184313306"/>
      <w:bookmarkEnd w:id="264"/>
      <w:bookmarkStart w:id="265" w:name="_Toc184310272"/>
      <w:bookmarkEnd w:id="265"/>
      <w:bookmarkStart w:id="266" w:name="_Toc184308105"/>
      <w:bookmarkEnd w:id="266"/>
      <w:bookmarkStart w:id="267" w:name="_Toc184314478"/>
      <w:bookmarkEnd w:id="267"/>
      <w:bookmarkStart w:id="268" w:name="_Toc184308043"/>
      <w:bookmarkEnd w:id="268"/>
      <w:bookmarkStart w:id="269" w:name="_Toc184308089"/>
      <w:bookmarkEnd w:id="269"/>
      <w:bookmarkStart w:id="270" w:name="_Toc184314415"/>
      <w:bookmarkEnd w:id="270"/>
      <w:bookmarkStart w:id="271" w:name="_Toc184314479"/>
      <w:bookmarkEnd w:id="271"/>
      <w:bookmarkStart w:id="272" w:name="_Toc184313286"/>
      <w:bookmarkEnd w:id="272"/>
      <w:bookmarkStart w:id="273" w:name="_Toc184312133"/>
      <w:bookmarkEnd w:id="273"/>
      <w:bookmarkStart w:id="274" w:name="_Toc184314460"/>
      <w:bookmarkEnd w:id="274"/>
      <w:bookmarkStart w:id="275" w:name="_Toc184314442"/>
      <w:bookmarkEnd w:id="275"/>
      <w:bookmarkStart w:id="276" w:name="_Toc184308084"/>
      <w:bookmarkEnd w:id="276"/>
      <w:bookmarkStart w:id="277" w:name="_Toc184314482"/>
      <w:bookmarkEnd w:id="277"/>
      <w:bookmarkStart w:id="278" w:name="_Toc184314447"/>
      <w:bookmarkEnd w:id="278"/>
      <w:bookmarkStart w:id="279" w:name="_Toc184312082"/>
      <w:bookmarkEnd w:id="279"/>
      <w:bookmarkStart w:id="280" w:name="_Toc184308106"/>
      <w:bookmarkEnd w:id="280"/>
      <w:bookmarkStart w:id="281" w:name="_Toc184310277"/>
      <w:bookmarkEnd w:id="281"/>
      <w:bookmarkStart w:id="282" w:name="_Toc184310337"/>
      <w:bookmarkEnd w:id="282"/>
      <w:bookmarkStart w:id="283" w:name="_Toc184313308"/>
      <w:bookmarkEnd w:id="283"/>
      <w:bookmarkStart w:id="284" w:name="_Toc184312079"/>
      <w:bookmarkEnd w:id="284"/>
      <w:bookmarkStart w:id="285" w:name="_Toc184310309"/>
      <w:bookmarkEnd w:id="285"/>
      <w:bookmarkStart w:id="286" w:name="_Toc184312136"/>
      <w:bookmarkEnd w:id="286"/>
      <w:bookmarkStart w:id="287" w:name="_Toc184308107"/>
      <w:bookmarkEnd w:id="287"/>
      <w:bookmarkStart w:id="288" w:name="_Toc184308072"/>
      <w:bookmarkEnd w:id="288"/>
      <w:bookmarkStart w:id="289" w:name="_Toc184312095"/>
      <w:bookmarkEnd w:id="289"/>
      <w:bookmarkStart w:id="290" w:name="_Toc184313268"/>
      <w:bookmarkEnd w:id="290"/>
      <w:bookmarkStart w:id="291" w:name="_Toc184312139"/>
      <w:bookmarkEnd w:id="291"/>
      <w:bookmarkStart w:id="292" w:name="_Toc184313247"/>
      <w:bookmarkEnd w:id="292"/>
      <w:bookmarkStart w:id="293" w:name="_Toc184314453"/>
      <w:bookmarkEnd w:id="293"/>
      <w:bookmarkStart w:id="294" w:name="_Toc184312134"/>
      <w:bookmarkEnd w:id="294"/>
      <w:bookmarkStart w:id="295" w:name="_Toc184312078"/>
      <w:bookmarkEnd w:id="295"/>
      <w:bookmarkStart w:id="296" w:name="_Toc184310293"/>
      <w:bookmarkEnd w:id="296"/>
      <w:bookmarkStart w:id="297" w:name="_Toc184313271"/>
      <w:bookmarkEnd w:id="297"/>
      <w:bookmarkStart w:id="298" w:name="_Toc184313267"/>
      <w:bookmarkEnd w:id="298"/>
      <w:bookmarkStart w:id="299" w:name="_Toc184313279"/>
      <w:bookmarkEnd w:id="299"/>
      <w:bookmarkStart w:id="300" w:name="_Toc184312071"/>
      <w:bookmarkEnd w:id="300"/>
      <w:bookmarkStart w:id="301" w:name="_Toc184308065"/>
      <w:bookmarkEnd w:id="301"/>
      <w:bookmarkStart w:id="302" w:name="_Toc184308047"/>
      <w:bookmarkEnd w:id="302"/>
      <w:bookmarkStart w:id="303" w:name="_Toc184313258"/>
      <w:bookmarkEnd w:id="303"/>
      <w:bookmarkStart w:id="304" w:name="_Toc184310300"/>
      <w:bookmarkEnd w:id="304"/>
      <w:bookmarkStart w:id="305" w:name="_Toc184314439"/>
      <w:bookmarkEnd w:id="305"/>
      <w:bookmarkStart w:id="306" w:name="_Toc184310305"/>
      <w:bookmarkEnd w:id="306"/>
      <w:bookmarkStart w:id="307" w:name="_Toc184313283"/>
      <w:bookmarkEnd w:id="307"/>
      <w:bookmarkStart w:id="308" w:name="_Toc184308052"/>
      <w:bookmarkEnd w:id="308"/>
      <w:bookmarkStart w:id="309" w:name="_Toc184312081"/>
      <w:bookmarkEnd w:id="309"/>
      <w:bookmarkStart w:id="310" w:name="_Toc184313270"/>
      <w:bookmarkEnd w:id="310"/>
      <w:bookmarkStart w:id="311" w:name="_Toc184310319"/>
      <w:bookmarkEnd w:id="311"/>
      <w:bookmarkStart w:id="312" w:name="_Toc184313264"/>
      <w:bookmarkEnd w:id="312"/>
      <w:bookmarkStart w:id="313" w:name="_Toc184314410"/>
      <w:bookmarkEnd w:id="313"/>
      <w:bookmarkStart w:id="314" w:name="_Toc184312131"/>
      <w:bookmarkEnd w:id="314"/>
      <w:bookmarkStart w:id="315" w:name="_Toc184312101"/>
      <w:bookmarkEnd w:id="315"/>
      <w:bookmarkStart w:id="316" w:name="_Toc184308082"/>
      <w:bookmarkEnd w:id="316"/>
      <w:bookmarkStart w:id="317" w:name="_Toc184312103"/>
      <w:bookmarkEnd w:id="317"/>
      <w:bookmarkStart w:id="318" w:name="_Toc184308069"/>
      <w:bookmarkEnd w:id="318"/>
      <w:bookmarkStart w:id="319" w:name="_Toc184313291"/>
      <w:bookmarkEnd w:id="319"/>
      <w:bookmarkStart w:id="320" w:name="_Toc184308070"/>
      <w:bookmarkEnd w:id="320"/>
      <w:bookmarkStart w:id="321" w:name="_Toc184310302"/>
      <w:bookmarkEnd w:id="321"/>
      <w:bookmarkStart w:id="322" w:name="_Toc184310343"/>
      <w:bookmarkEnd w:id="322"/>
      <w:bookmarkStart w:id="323" w:name="_Toc184314441"/>
      <w:bookmarkEnd w:id="323"/>
      <w:bookmarkStart w:id="324" w:name="_Toc184310306"/>
      <w:bookmarkEnd w:id="324"/>
      <w:bookmarkStart w:id="325" w:name="_Toc184313274"/>
      <w:bookmarkEnd w:id="325"/>
      <w:bookmarkStart w:id="326" w:name="_Toc184313238"/>
      <w:bookmarkEnd w:id="326"/>
      <w:bookmarkStart w:id="327" w:name="_Toc184313239"/>
      <w:bookmarkEnd w:id="327"/>
      <w:bookmarkStart w:id="328" w:name="_Toc184313255"/>
      <w:bookmarkEnd w:id="328"/>
      <w:bookmarkStart w:id="329" w:name="_Toc184310301"/>
      <w:bookmarkEnd w:id="329"/>
      <w:bookmarkStart w:id="330" w:name="_Toc184313242"/>
      <w:bookmarkEnd w:id="330"/>
      <w:bookmarkStart w:id="331" w:name="_Toc184310328"/>
      <w:bookmarkEnd w:id="331"/>
      <w:bookmarkStart w:id="332" w:name="_Toc184308086"/>
      <w:bookmarkEnd w:id="332"/>
      <w:bookmarkStart w:id="333" w:name="_Toc184310323"/>
      <w:bookmarkEnd w:id="333"/>
      <w:bookmarkStart w:id="334" w:name="_Toc184313240"/>
      <w:bookmarkEnd w:id="334"/>
      <w:bookmarkStart w:id="335" w:name="_Toc184314426"/>
      <w:bookmarkEnd w:id="335"/>
      <w:bookmarkStart w:id="336" w:name="_Toc184308083"/>
      <w:bookmarkEnd w:id="336"/>
      <w:bookmarkStart w:id="337" w:name="_Toc184310311"/>
      <w:bookmarkEnd w:id="337"/>
      <w:bookmarkStart w:id="338" w:name="_Toc184308048"/>
      <w:bookmarkEnd w:id="338"/>
      <w:bookmarkStart w:id="339" w:name="_Toc184310285"/>
      <w:bookmarkEnd w:id="339"/>
      <w:bookmarkStart w:id="340" w:name="_Toc184313272"/>
      <w:bookmarkEnd w:id="340"/>
      <w:bookmarkStart w:id="341" w:name="_Toc184308077"/>
      <w:bookmarkEnd w:id="341"/>
      <w:bookmarkStart w:id="342" w:name="_Toc184312104"/>
      <w:bookmarkEnd w:id="342"/>
      <w:bookmarkStart w:id="343" w:name="_Toc184313252"/>
      <w:bookmarkEnd w:id="343"/>
      <w:bookmarkStart w:id="344" w:name="_Toc184312108"/>
      <w:bookmarkEnd w:id="344"/>
      <w:bookmarkStart w:id="345" w:name="_Toc184314465"/>
      <w:bookmarkEnd w:id="345"/>
      <w:bookmarkStart w:id="346" w:name="_Toc184312119"/>
      <w:bookmarkEnd w:id="346"/>
      <w:bookmarkStart w:id="347" w:name="_Toc184312093"/>
      <w:bookmarkEnd w:id="347"/>
      <w:bookmarkStart w:id="348" w:name="_Toc184308079"/>
      <w:bookmarkEnd w:id="348"/>
      <w:bookmarkStart w:id="349" w:name="_Toc184308099"/>
      <w:bookmarkEnd w:id="349"/>
      <w:bookmarkStart w:id="350" w:name="_Toc184310313"/>
      <w:bookmarkEnd w:id="350"/>
      <w:bookmarkStart w:id="351" w:name="_Toc184308063"/>
      <w:bookmarkEnd w:id="351"/>
      <w:bookmarkStart w:id="352" w:name="_Toc184308037"/>
      <w:bookmarkEnd w:id="352"/>
      <w:bookmarkStart w:id="353" w:name="_Toc184314462"/>
      <w:bookmarkEnd w:id="353"/>
      <w:bookmarkStart w:id="354" w:name="_Toc184310332"/>
      <w:bookmarkEnd w:id="354"/>
      <w:bookmarkStart w:id="355" w:name="_Toc184314444"/>
      <w:bookmarkEnd w:id="355"/>
      <w:bookmarkStart w:id="356" w:name="_Toc184312102"/>
      <w:bookmarkEnd w:id="356"/>
      <w:bookmarkStart w:id="357" w:name="_Toc184310284"/>
      <w:bookmarkEnd w:id="357"/>
      <w:bookmarkStart w:id="358" w:name="_Toc184314420"/>
      <w:bookmarkEnd w:id="358"/>
      <w:bookmarkStart w:id="359" w:name="_Toc184314445"/>
      <w:bookmarkEnd w:id="359"/>
      <w:bookmarkStart w:id="360" w:name="_Toc184314451"/>
      <w:bookmarkEnd w:id="360"/>
      <w:bookmarkStart w:id="361" w:name="_Toc184312113"/>
      <w:bookmarkEnd w:id="361"/>
      <w:bookmarkStart w:id="362" w:name="_Toc184314456"/>
      <w:bookmarkEnd w:id="362"/>
      <w:bookmarkStart w:id="363" w:name="_Toc184314436"/>
      <w:bookmarkEnd w:id="363"/>
      <w:bookmarkStart w:id="364" w:name="_Toc184308095"/>
      <w:bookmarkEnd w:id="364"/>
      <w:bookmarkStart w:id="365" w:name="_Toc184308102"/>
      <w:bookmarkEnd w:id="365"/>
      <w:bookmarkStart w:id="366" w:name="_Toc184312099"/>
      <w:bookmarkEnd w:id="366"/>
      <w:bookmarkStart w:id="367" w:name="_Toc184313249"/>
      <w:bookmarkEnd w:id="367"/>
      <w:bookmarkStart w:id="368" w:name="_Toc184310336"/>
      <w:bookmarkEnd w:id="368"/>
      <w:bookmarkStart w:id="369" w:name="_Toc184312117"/>
      <w:bookmarkEnd w:id="369"/>
      <w:bookmarkStart w:id="370" w:name="_Toc184313244"/>
      <w:bookmarkEnd w:id="370"/>
      <w:bookmarkStart w:id="371" w:name="_Toc184313246"/>
      <w:bookmarkEnd w:id="371"/>
      <w:bookmarkStart w:id="372" w:name="_Toc184312086"/>
      <w:bookmarkEnd w:id="372"/>
      <w:bookmarkStart w:id="373" w:name="_Toc184313263"/>
      <w:bookmarkEnd w:id="373"/>
      <w:bookmarkStart w:id="374" w:name="_Toc184310275"/>
      <w:bookmarkEnd w:id="374"/>
      <w:bookmarkStart w:id="375" w:name="_Toc184314411"/>
      <w:bookmarkEnd w:id="375"/>
      <w:bookmarkStart w:id="376" w:name="_Toc184314413"/>
      <w:bookmarkEnd w:id="376"/>
      <w:bookmarkStart w:id="377" w:name="_Toc184310281"/>
      <w:bookmarkEnd w:id="377"/>
      <w:bookmarkStart w:id="378" w:name="_Toc184308040"/>
      <w:bookmarkEnd w:id="378"/>
      <w:bookmarkStart w:id="379" w:name="_Toc184310339"/>
      <w:bookmarkEnd w:id="379"/>
      <w:bookmarkStart w:id="380" w:name="_Toc184308049"/>
      <w:bookmarkEnd w:id="380"/>
      <w:bookmarkStart w:id="381" w:name="_Toc184310317"/>
      <w:bookmarkEnd w:id="381"/>
      <w:bookmarkStart w:id="382" w:name="_Toc184313292"/>
      <w:bookmarkEnd w:id="382"/>
      <w:bookmarkStart w:id="383" w:name="_Toc184312116"/>
      <w:bookmarkEnd w:id="383"/>
      <w:bookmarkStart w:id="384" w:name="_Toc184314430"/>
      <w:bookmarkEnd w:id="384"/>
      <w:bookmarkStart w:id="385" w:name="_Toc184310322"/>
      <w:bookmarkEnd w:id="385"/>
      <w:bookmarkStart w:id="386" w:name="_Toc184314455"/>
      <w:bookmarkEnd w:id="386"/>
      <w:bookmarkStart w:id="387" w:name="_Toc184314459"/>
      <w:bookmarkEnd w:id="387"/>
      <w:bookmarkStart w:id="388" w:name="_Toc184312115"/>
      <w:bookmarkEnd w:id="388"/>
      <w:bookmarkStart w:id="389" w:name="_Toc184308044"/>
      <w:bookmarkEnd w:id="389"/>
      <w:bookmarkStart w:id="390" w:name="_Toc184310316"/>
      <w:bookmarkEnd w:id="390"/>
      <w:bookmarkStart w:id="391" w:name="_Toc184312073"/>
      <w:bookmarkEnd w:id="391"/>
      <w:bookmarkStart w:id="392" w:name="_Toc184313277"/>
      <w:bookmarkEnd w:id="392"/>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评标办法前附表</w:t>
      </w:r>
    </w:p>
    <w:p>
      <w:pPr>
        <w:adjustRightInd/>
        <w:spacing w:line="440" w:lineRule="exact"/>
        <w:ind w:firstLine="602" w:firstLineChars="250"/>
        <w:rPr>
          <w:rFonts w:hint="eastAsia" w:ascii="仿宋" w:hAnsi="仿宋" w:eastAsia="仿宋"/>
          <w:b/>
          <w:bCs/>
          <w:color w:val="000000"/>
          <w:sz w:val="24"/>
        </w:rPr>
      </w:pPr>
      <w:r>
        <w:rPr>
          <w:rFonts w:hint="eastAsia" w:ascii="仿宋" w:hAnsi="仿宋" w:eastAsia="仿宋"/>
          <w:b/>
          <w:bCs/>
          <w:color w:val="000000"/>
          <w:sz w:val="24"/>
          <w:lang w:val="en-US" w:eastAsia="zh-CN"/>
        </w:rPr>
        <w:t>价格分</w:t>
      </w:r>
      <w:r>
        <w:rPr>
          <w:rFonts w:hint="eastAsia" w:ascii="仿宋" w:hAnsi="仿宋" w:eastAsia="仿宋"/>
          <w:b/>
          <w:bCs/>
          <w:color w:val="000000"/>
          <w:sz w:val="24"/>
        </w:rPr>
        <w:t>（</w:t>
      </w:r>
      <w:r>
        <w:rPr>
          <w:rFonts w:hint="eastAsia" w:ascii="仿宋" w:hAnsi="仿宋" w:eastAsia="仿宋"/>
          <w:b/>
          <w:bCs/>
          <w:color w:val="000000"/>
          <w:sz w:val="24"/>
          <w:lang w:val="en-US" w:eastAsia="zh-CN"/>
        </w:rPr>
        <w:t>10</w:t>
      </w:r>
      <w:r>
        <w:rPr>
          <w:rFonts w:hint="eastAsia" w:ascii="仿宋" w:hAnsi="仿宋" w:eastAsia="仿宋"/>
          <w:b/>
          <w:bCs/>
          <w:color w:val="000000"/>
          <w:sz w:val="24"/>
        </w:rPr>
        <w:t>分）：</w:t>
      </w:r>
    </w:p>
    <w:tbl>
      <w:tblPr>
        <w:tblStyle w:val="62"/>
        <w:tblpPr w:leftFromText="180" w:rightFromText="180" w:vertAnchor="text" w:horzAnchor="margin" w:tblpXSpec="left" w:tblpY="27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809"/>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1384" w:type="dxa"/>
            <w:vAlign w:val="center"/>
          </w:tcPr>
          <w:p>
            <w:pPr>
              <w:spacing w:before="0" w:beforeAutospacing="0" w:after="0" w:afterAutospacing="0" w:line="360" w:lineRule="auto"/>
              <w:ind w:left="0" w:right="0" w:firstLine="240" w:firstLineChars="10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rPr>
              <w:t>价格分</w:t>
            </w:r>
          </w:p>
        </w:tc>
        <w:tc>
          <w:tcPr>
            <w:tcW w:w="6809" w:type="dxa"/>
            <w:vAlign w:val="top"/>
          </w:tcPr>
          <w:p>
            <w:pPr>
              <w:spacing w:before="0" w:beforeAutospacing="0" w:after="0" w:afterAutospacing="0" w:line="360" w:lineRule="auto"/>
              <w:ind w:left="0" w:right="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rPr>
              <w:t>有效投标报价的最低价作为评标基准价，其最低报价为满分；按［投标报价得分=（评标基准价/投标报价）*</w:t>
            </w:r>
            <w:r>
              <w:rPr>
                <w:rFonts w:hint="eastAsia" w:ascii="仿宋" w:hAnsi="仿宋" w:eastAsia="仿宋" w:cs="仿宋_GB2312"/>
                <w:color w:val="000000"/>
                <w:sz w:val="24"/>
                <w:szCs w:val="20"/>
                <w:lang w:val="en-US" w:eastAsia="zh-CN"/>
              </w:rPr>
              <w:t>10</w:t>
            </w:r>
            <w:r>
              <w:rPr>
                <w:rFonts w:hint="eastAsia" w:ascii="仿宋" w:hAnsi="仿宋" w:eastAsia="仿宋" w:cs="仿宋_GB2312"/>
                <w:color w:val="000000"/>
                <w:sz w:val="24"/>
                <w:szCs w:val="20"/>
              </w:rPr>
              <w:t>］的计算公式计算。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_GB2312"/>
                <w:color w:val="000000"/>
                <w:sz w:val="24"/>
                <w:szCs w:val="20"/>
              </w:rPr>
            </w:pPr>
            <w:r>
              <w:rPr>
                <w:rFonts w:hint="eastAsia" w:ascii="仿宋" w:hAnsi="仿宋" w:eastAsia="仿宋" w:cs="仿宋_GB2312"/>
                <w:color w:val="000000"/>
                <w:sz w:val="24"/>
                <w:szCs w:val="20"/>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仿宋" w:hAnsi="Times New Roman" w:eastAsia="仿宋" w:cs="Times New Roman"/>
                <w:color w:val="000000"/>
                <w:sz w:val="24"/>
                <w:szCs w:val="20"/>
              </w:rPr>
            </w:pPr>
            <w:r>
              <w:rPr>
                <w:rFonts w:hint="eastAsia" w:ascii="仿宋" w:hAnsi="仿宋" w:eastAsia="仿宋" w:cs="仿宋_GB2312"/>
                <w:color w:val="000000"/>
                <w:sz w:val="24"/>
                <w:szCs w:val="20"/>
              </w:rPr>
              <w:t>因落实政府采购政策需要进行价格调整的，以调整后的价格计算评标基准价和投标报价。</w:t>
            </w:r>
          </w:p>
        </w:tc>
        <w:tc>
          <w:tcPr>
            <w:tcW w:w="840" w:type="dxa"/>
            <w:vAlign w:val="center"/>
          </w:tcPr>
          <w:p>
            <w:pPr>
              <w:spacing w:before="0" w:beforeAutospacing="0" w:after="0" w:afterAutospacing="0" w:line="360" w:lineRule="auto"/>
              <w:ind w:left="0" w:right="0" w:firstLine="120" w:firstLineChars="5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lang w:val="en-US" w:eastAsia="zh-CN"/>
              </w:rPr>
              <w:t>10</w:t>
            </w:r>
            <w:r>
              <w:rPr>
                <w:rFonts w:hint="eastAsia" w:ascii="仿宋" w:hAnsi="仿宋" w:eastAsia="仿宋" w:cs="仿宋_GB2312"/>
                <w:color w:val="000000"/>
                <w:sz w:val="24"/>
                <w:szCs w:val="20"/>
              </w:rPr>
              <w:t>分</w:t>
            </w:r>
          </w:p>
        </w:tc>
      </w:tr>
    </w:tbl>
    <w:p>
      <w:pPr>
        <w:adjustRightInd/>
        <w:spacing w:line="440" w:lineRule="exact"/>
        <w:rPr>
          <w:rFonts w:hint="eastAsia" w:ascii="仿宋" w:hAnsi="仿宋" w:eastAsia="仿宋"/>
          <w:b/>
          <w:bCs/>
          <w:color w:val="000000"/>
          <w:sz w:val="24"/>
        </w:rPr>
      </w:pPr>
    </w:p>
    <w:p>
      <w:pPr>
        <w:pStyle w:val="26"/>
        <w:spacing w:line="320" w:lineRule="exact"/>
        <w:ind w:firstLine="0"/>
        <w:rPr>
          <w:rFonts w:ascii="宋体" w:hAnsi="宋体" w:eastAsia="宋体"/>
          <w:sz w:val="24"/>
          <w:szCs w:val="24"/>
        </w:rPr>
      </w:pPr>
      <w:r>
        <w:rPr>
          <w:rFonts w:hint="eastAsia" w:ascii="宋体" w:hAnsi="宋体" w:eastAsia="宋体"/>
          <w:sz w:val="24"/>
          <w:szCs w:val="24"/>
        </w:rPr>
        <w:t>商务分（2</w:t>
      </w:r>
      <w:r>
        <w:rPr>
          <w:rFonts w:hint="eastAsia"/>
          <w:sz w:val="24"/>
          <w:szCs w:val="24"/>
          <w:lang w:val="en-US" w:eastAsia="zh-CN"/>
        </w:rPr>
        <w:t>0</w:t>
      </w:r>
      <w:r>
        <w:rPr>
          <w:rFonts w:hint="eastAsia" w:ascii="宋体" w:hAnsi="宋体" w:eastAsia="宋体"/>
          <w:sz w:val="24"/>
          <w:szCs w:val="24"/>
        </w:rPr>
        <w:t>分）：</w:t>
      </w:r>
    </w:p>
    <w:tbl>
      <w:tblPr>
        <w:tblStyle w:val="62"/>
        <w:tblW w:w="893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2"/>
        <w:gridCol w:w="7268"/>
        <w:gridCol w:w="8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12" w:type="dxa"/>
            <w:vAlign w:val="center"/>
          </w:tcPr>
          <w:p>
            <w:pPr>
              <w:spacing w:before="0" w:beforeAutospacing="0" w:after="0" w:afterAutospacing="0" w:line="320" w:lineRule="exact"/>
              <w:ind w:left="0" w:right="0"/>
              <w:jc w:val="center"/>
              <w:rPr>
                <w:rFonts w:hint="eastAsia" w:ascii="宋体" w:hAnsi="宋体" w:cs="宋体"/>
                <w:sz w:val="24"/>
              </w:rPr>
            </w:pPr>
            <w:r>
              <w:rPr>
                <w:rFonts w:hint="eastAsia" w:ascii="宋体" w:hAnsi="宋体" w:cs="宋体"/>
                <w:sz w:val="24"/>
              </w:rPr>
              <w:t>序号</w:t>
            </w:r>
          </w:p>
        </w:tc>
        <w:tc>
          <w:tcPr>
            <w:tcW w:w="7268" w:type="dxa"/>
            <w:vAlign w:val="center"/>
          </w:tcPr>
          <w:p>
            <w:pPr>
              <w:spacing w:before="0" w:beforeAutospacing="0" w:after="0" w:afterAutospacing="0" w:line="320" w:lineRule="exact"/>
              <w:ind w:left="0" w:right="0"/>
              <w:jc w:val="center"/>
              <w:rPr>
                <w:rFonts w:hint="eastAsia" w:ascii="宋体" w:hAnsi="宋体" w:cs="宋体"/>
                <w:sz w:val="24"/>
              </w:rPr>
            </w:pPr>
            <w:r>
              <w:rPr>
                <w:rFonts w:hint="eastAsia" w:ascii="宋体" w:hAnsi="宋体" w:cs="宋体"/>
                <w:sz w:val="24"/>
              </w:rPr>
              <w:t>评分内容</w:t>
            </w:r>
          </w:p>
        </w:tc>
        <w:tc>
          <w:tcPr>
            <w:tcW w:w="851" w:type="dxa"/>
            <w:vAlign w:val="center"/>
          </w:tcPr>
          <w:p>
            <w:pPr>
              <w:spacing w:before="0" w:beforeAutospacing="0" w:after="0" w:afterAutospacing="0" w:line="320" w:lineRule="exact"/>
              <w:ind w:left="0" w:right="0"/>
              <w:jc w:val="center"/>
              <w:rPr>
                <w:rFonts w:hint="eastAsia" w:ascii="宋体" w:hAnsi="宋体" w:cs="宋体"/>
                <w:sz w:val="24"/>
              </w:rPr>
            </w:pPr>
            <w:r>
              <w:rPr>
                <w:rFonts w:hint="eastAsia" w:ascii="宋体" w:hAnsi="宋体" w:cs="宋体"/>
                <w:sz w:val="24"/>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12" w:type="dxa"/>
            <w:vAlign w:val="center"/>
          </w:tcPr>
          <w:p>
            <w:pPr>
              <w:spacing w:before="0" w:beforeAutospacing="0" w:after="0" w:afterAutospacing="0" w:line="320" w:lineRule="exact"/>
              <w:ind w:left="0" w:right="0"/>
              <w:jc w:val="center"/>
              <w:rPr>
                <w:rFonts w:hint="eastAsia" w:ascii="宋体" w:hAnsi="宋体" w:cs="宋体"/>
                <w:sz w:val="24"/>
              </w:rPr>
            </w:pPr>
            <w:r>
              <w:rPr>
                <w:rFonts w:hint="eastAsia" w:ascii="宋体" w:hAnsi="宋体" w:cs="宋体"/>
                <w:sz w:val="24"/>
              </w:rPr>
              <w:t>1</w:t>
            </w:r>
          </w:p>
        </w:tc>
        <w:tc>
          <w:tcPr>
            <w:tcW w:w="7268" w:type="dxa"/>
            <w:vAlign w:val="center"/>
          </w:tcPr>
          <w:p>
            <w:pPr>
              <w:spacing w:before="0" w:beforeAutospacing="0" w:after="0" w:afterAutospacing="0" w:line="320" w:lineRule="exact"/>
              <w:ind w:left="0" w:right="0"/>
              <w:jc w:val="left"/>
              <w:rPr>
                <w:rFonts w:hint="eastAsia" w:ascii="宋体" w:hAnsi="宋体" w:cs="宋体"/>
                <w:sz w:val="24"/>
              </w:rPr>
            </w:pPr>
            <w:r>
              <w:rPr>
                <w:rFonts w:hint="eastAsia" w:ascii="宋体" w:hAnsi="宋体" w:cs="宋体"/>
                <w:b/>
                <w:sz w:val="24"/>
              </w:rPr>
              <w:t>企业实力</w:t>
            </w:r>
            <w:r>
              <w:rPr>
                <w:rFonts w:hint="eastAsia" w:ascii="宋体" w:hAnsi="宋体" w:cs="宋体"/>
                <w:sz w:val="24"/>
              </w:rPr>
              <w:t>：</w:t>
            </w:r>
          </w:p>
          <w:p>
            <w:pPr>
              <w:spacing w:before="0" w:beforeAutospacing="0" w:after="0" w:afterAutospacing="0" w:line="320" w:lineRule="exact"/>
              <w:ind w:left="420" w:leftChars="200" w:right="0"/>
              <w:jc w:val="left"/>
              <w:rPr>
                <w:rFonts w:hint="eastAsia" w:ascii="宋体" w:hAnsi="宋体"/>
                <w:color w:val="000000"/>
                <w:szCs w:val="21"/>
              </w:rPr>
            </w:pPr>
            <w:r>
              <w:rPr>
                <w:rFonts w:hint="eastAsia" w:ascii="宋体" w:hAnsi="宋体"/>
                <w:color w:val="000000"/>
                <w:szCs w:val="21"/>
              </w:rPr>
              <w:t>投标人通过质量管理体系、环境管理体系、职业健康安全管理体系认证证</w:t>
            </w:r>
          </w:p>
          <w:p>
            <w:pPr>
              <w:spacing w:before="0" w:beforeAutospacing="0" w:after="0" w:afterAutospacing="0" w:line="320" w:lineRule="exact"/>
              <w:ind w:left="0" w:right="0"/>
              <w:jc w:val="left"/>
              <w:rPr>
                <w:rFonts w:hint="eastAsia" w:ascii="宋体" w:hAnsi="宋体" w:cs="宋体"/>
                <w:sz w:val="24"/>
              </w:rPr>
            </w:pPr>
            <w:r>
              <w:rPr>
                <w:rFonts w:hint="eastAsia" w:ascii="宋体" w:hAnsi="宋体"/>
                <w:color w:val="000000"/>
                <w:szCs w:val="21"/>
              </w:rPr>
              <w:t>书，每项得2分，（提供在有效期内的认证体系证书复印件或扫描件，否则不得分），最高得6分。</w:t>
            </w:r>
          </w:p>
        </w:tc>
        <w:tc>
          <w:tcPr>
            <w:tcW w:w="851" w:type="dxa"/>
            <w:vAlign w:val="center"/>
          </w:tcPr>
          <w:p>
            <w:pPr>
              <w:spacing w:before="0" w:beforeAutospacing="0" w:after="0" w:afterAutospacing="0" w:line="320" w:lineRule="exact"/>
              <w:ind w:left="0" w:right="0"/>
              <w:jc w:val="center"/>
              <w:rPr>
                <w:rFonts w:hint="eastAsia" w:ascii="宋体" w:hAnsi="宋体" w:cs="宋体"/>
                <w:sz w:val="24"/>
              </w:rPr>
            </w:pPr>
            <w:r>
              <w:rPr>
                <w:rFonts w:hint="eastAsia" w:ascii="宋体" w:hAnsi="宋体" w:cs="宋体"/>
                <w:sz w:val="24"/>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12" w:type="dxa"/>
            <w:vAlign w:val="center"/>
          </w:tcPr>
          <w:p>
            <w:pPr>
              <w:spacing w:before="0" w:beforeAutospacing="0" w:after="0" w:afterAutospacing="0" w:line="320" w:lineRule="exact"/>
              <w:ind w:left="0" w:right="0"/>
              <w:jc w:val="center"/>
              <w:rPr>
                <w:rFonts w:hint="eastAsia" w:ascii="宋体" w:hAnsi="宋体" w:cs="宋体"/>
                <w:sz w:val="24"/>
              </w:rPr>
            </w:pPr>
            <w:r>
              <w:rPr>
                <w:rFonts w:hint="eastAsia" w:ascii="宋体" w:hAnsi="宋体" w:cs="宋体"/>
                <w:sz w:val="24"/>
              </w:rPr>
              <w:t>2</w:t>
            </w:r>
          </w:p>
        </w:tc>
        <w:tc>
          <w:tcPr>
            <w:tcW w:w="7268" w:type="dxa"/>
            <w:vAlign w:val="center"/>
          </w:tcPr>
          <w:p>
            <w:pPr>
              <w:spacing w:before="0" w:beforeAutospacing="0" w:after="0" w:afterAutospacing="0" w:line="320" w:lineRule="exact"/>
              <w:ind w:left="0" w:right="0"/>
              <w:jc w:val="left"/>
              <w:rPr>
                <w:rFonts w:hint="eastAsia" w:ascii="宋体" w:hAnsi="宋体" w:cs="宋体"/>
                <w:bCs/>
                <w:sz w:val="24"/>
              </w:rPr>
            </w:pPr>
            <w:r>
              <w:rPr>
                <w:rFonts w:hint="eastAsia" w:ascii="宋体" w:hAnsi="宋体" w:cs="宋体"/>
                <w:b/>
                <w:bCs/>
                <w:sz w:val="24"/>
              </w:rPr>
              <w:t>企业荣誉</w:t>
            </w:r>
            <w:r>
              <w:rPr>
                <w:rFonts w:hint="eastAsia" w:ascii="宋体" w:hAnsi="宋体" w:cs="宋体"/>
                <w:bCs/>
                <w:sz w:val="24"/>
              </w:rPr>
              <w:t>：</w:t>
            </w:r>
          </w:p>
          <w:p>
            <w:pPr>
              <w:spacing w:before="0" w:beforeAutospacing="0" w:after="0" w:afterAutospacing="0" w:line="320" w:lineRule="exact"/>
              <w:ind w:left="525" w:right="0" w:hanging="525" w:hangingChars="250"/>
              <w:jc w:val="left"/>
              <w:rPr>
                <w:rFonts w:hint="eastAsia" w:ascii="宋体" w:hAnsi="宋体"/>
                <w:sz w:val="24"/>
              </w:rPr>
            </w:pPr>
            <w:r>
              <w:rPr>
                <w:rFonts w:hint="eastAsia" w:ascii="宋体" w:hAnsi="宋体"/>
                <w:color w:val="000000"/>
                <w:szCs w:val="21"/>
              </w:rPr>
              <w:t>（1）投标人荣获政府或行业主管部门颁发的各项荣誉，市级荣誉每一项得1分；省部级荣誉每一项得2分；国家级荣誉每一项得3分（最高不超过6分；投标文件中提供获奖证书或文件复印件加盖公章，否则不得分）；</w:t>
            </w:r>
          </w:p>
        </w:tc>
        <w:tc>
          <w:tcPr>
            <w:tcW w:w="851" w:type="dxa"/>
            <w:vAlign w:val="center"/>
          </w:tcPr>
          <w:p>
            <w:pPr>
              <w:spacing w:before="0" w:beforeAutospacing="0" w:after="0" w:afterAutospacing="0" w:line="320" w:lineRule="exact"/>
              <w:ind w:left="0" w:right="0"/>
              <w:jc w:val="center"/>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12" w:type="dxa"/>
            <w:vAlign w:val="center"/>
          </w:tcPr>
          <w:p>
            <w:pPr>
              <w:spacing w:before="0" w:beforeAutospacing="0" w:after="0" w:afterAutospacing="0" w:line="320" w:lineRule="exact"/>
              <w:ind w:left="0" w:right="0"/>
              <w:jc w:val="center"/>
              <w:rPr>
                <w:rFonts w:hint="eastAsia" w:ascii="宋体" w:hAnsi="宋体" w:cs="宋体"/>
                <w:sz w:val="24"/>
              </w:rPr>
            </w:pPr>
            <w:r>
              <w:rPr>
                <w:rFonts w:hint="eastAsia" w:ascii="宋体" w:hAnsi="宋体" w:cs="宋体"/>
                <w:sz w:val="24"/>
              </w:rPr>
              <w:t>3</w:t>
            </w:r>
          </w:p>
        </w:tc>
        <w:tc>
          <w:tcPr>
            <w:tcW w:w="7268" w:type="dxa"/>
            <w:vAlign w:val="center"/>
          </w:tcPr>
          <w:p>
            <w:pPr>
              <w:spacing w:before="0" w:beforeAutospacing="0" w:after="0" w:afterAutospacing="0" w:line="320" w:lineRule="exact"/>
              <w:ind w:left="0" w:right="0"/>
              <w:jc w:val="left"/>
              <w:rPr>
                <w:rFonts w:hint="eastAsia" w:ascii="宋体" w:hAnsi="宋体" w:cs="宋体"/>
                <w:sz w:val="24"/>
              </w:rPr>
            </w:pPr>
            <w:r>
              <w:rPr>
                <w:rFonts w:hint="eastAsia" w:ascii="宋体" w:hAnsi="宋体" w:cs="宋体"/>
                <w:b/>
                <w:sz w:val="24"/>
              </w:rPr>
              <w:t>企业业绩</w:t>
            </w:r>
            <w:r>
              <w:rPr>
                <w:rFonts w:hint="eastAsia" w:ascii="宋体" w:hAnsi="宋体" w:cs="宋体"/>
                <w:sz w:val="24"/>
              </w:rPr>
              <w:t>：</w:t>
            </w:r>
          </w:p>
          <w:p>
            <w:pPr>
              <w:spacing w:before="0" w:beforeAutospacing="0" w:after="0" w:afterAutospacing="0" w:line="320" w:lineRule="exact"/>
              <w:ind w:left="420" w:leftChars="200" w:right="0"/>
              <w:jc w:val="left"/>
              <w:rPr>
                <w:rFonts w:hint="eastAsia" w:ascii="宋体" w:hAnsi="宋体"/>
                <w:color w:val="000000"/>
                <w:szCs w:val="21"/>
              </w:rPr>
            </w:pPr>
            <w:r>
              <w:rPr>
                <w:rFonts w:hint="eastAsia" w:ascii="宋体" w:hAnsi="宋体"/>
                <w:color w:val="000000"/>
                <w:szCs w:val="21"/>
              </w:rPr>
              <w:t>投标人2020年1月1日以来从事政府机关疗休养项目的业绩证明，每供</w:t>
            </w:r>
          </w:p>
          <w:p>
            <w:pPr>
              <w:spacing w:before="0" w:beforeAutospacing="0" w:after="0" w:afterAutospacing="0" w:line="320" w:lineRule="exact"/>
              <w:ind w:left="0" w:right="0"/>
              <w:jc w:val="left"/>
              <w:rPr>
                <w:rFonts w:hint="eastAsia" w:ascii="宋体" w:hAnsi="宋体" w:cs="宋体"/>
                <w:sz w:val="24"/>
              </w:rPr>
            </w:pPr>
            <w:r>
              <w:rPr>
                <w:rFonts w:hint="eastAsia" w:ascii="宋体" w:hAnsi="宋体"/>
                <w:color w:val="000000"/>
                <w:szCs w:val="21"/>
              </w:rPr>
              <w:t>提一个项目得0.2分，最高不超过1分（投标文件中提供中标通知书、合同主要页复印件及意见反馈单加盖公章，时间以合同签订时间为准，否则不得分）。</w:t>
            </w:r>
          </w:p>
        </w:tc>
        <w:tc>
          <w:tcPr>
            <w:tcW w:w="851" w:type="dxa"/>
            <w:vAlign w:val="center"/>
          </w:tcPr>
          <w:p>
            <w:pPr>
              <w:spacing w:before="0" w:beforeAutospacing="0" w:after="0" w:afterAutospacing="0" w:line="320" w:lineRule="exact"/>
              <w:ind w:left="0" w:right="0"/>
              <w:jc w:val="center"/>
              <w:rPr>
                <w:rFonts w:hint="eastAsia" w:ascii="宋体" w:hAnsi="宋体" w:cs="宋体"/>
                <w:sz w:val="24"/>
              </w:rPr>
            </w:pPr>
            <w:r>
              <w:rPr>
                <w:rFonts w:hint="eastAsia" w:ascii="宋体" w:hAnsi="宋体" w:cs="宋体"/>
                <w:sz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12" w:type="dxa"/>
            <w:vAlign w:val="center"/>
          </w:tcPr>
          <w:p>
            <w:pPr>
              <w:spacing w:before="0" w:beforeAutospacing="0" w:after="0" w:afterAutospacing="0" w:line="320" w:lineRule="exact"/>
              <w:ind w:left="0" w:right="0"/>
              <w:jc w:val="center"/>
              <w:rPr>
                <w:rFonts w:hint="eastAsia" w:ascii="宋体" w:hAnsi="宋体" w:cs="宋体"/>
                <w:sz w:val="24"/>
              </w:rPr>
            </w:pPr>
            <w:r>
              <w:rPr>
                <w:rFonts w:hint="eastAsia" w:ascii="宋体" w:hAnsi="宋体" w:cs="宋体"/>
                <w:sz w:val="24"/>
              </w:rPr>
              <w:t>4</w:t>
            </w:r>
          </w:p>
        </w:tc>
        <w:tc>
          <w:tcPr>
            <w:tcW w:w="7268" w:type="dxa"/>
            <w:vAlign w:val="center"/>
          </w:tcPr>
          <w:p>
            <w:pPr>
              <w:spacing w:before="0" w:beforeAutospacing="0" w:after="0" w:afterAutospacing="0" w:line="320" w:lineRule="exact"/>
              <w:ind w:left="0" w:right="0"/>
              <w:jc w:val="left"/>
              <w:rPr>
                <w:rFonts w:hint="eastAsia" w:ascii="宋体" w:hAnsi="宋体" w:cs="宋体"/>
                <w:sz w:val="24"/>
              </w:rPr>
            </w:pPr>
            <w:r>
              <w:rPr>
                <w:rFonts w:hint="eastAsia" w:ascii="宋体" w:hAnsi="宋体" w:cs="宋体"/>
                <w:b/>
                <w:sz w:val="24"/>
              </w:rPr>
              <w:t>服务承诺</w:t>
            </w:r>
            <w:r>
              <w:rPr>
                <w:rFonts w:hint="eastAsia" w:ascii="宋体" w:hAnsi="宋体" w:cs="宋体"/>
                <w:sz w:val="24"/>
              </w:rPr>
              <w:t>：</w:t>
            </w:r>
          </w:p>
          <w:p>
            <w:pPr>
              <w:spacing w:before="0" w:beforeAutospacing="0" w:after="0" w:afterAutospacing="0" w:line="320" w:lineRule="exact"/>
              <w:ind w:left="525" w:right="0" w:hanging="525" w:hangingChars="250"/>
              <w:jc w:val="left"/>
              <w:rPr>
                <w:rFonts w:hint="eastAsia" w:ascii="宋体" w:hAnsi="宋体"/>
                <w:color w:val="000000"/>
                <w:szCs w:val="21"/>
              </w:rPr>
            </w:pPr>
            <w:r>
              <w:rPr>
                <w:rFonts w:hint="eastAsia" w:ascii="宋体" w:hAnsi="宋体"/>
                <w:color w:val="000000"/>
                <w:szCs w:val="21"/>
              </w:rPr>
              <w:t>（1）投标人承诺2022年旅行社责任保险保额500万及以上的得1分，每增加500万加1分，最高得4分；提供证明材料，否则不得分。</w:t>
            </w:r>
          </w:p>
          <w:p>
            <w:pPr>
              <w:spacing w:before="0" w:beforeAutospacing="0" w:after="0" w:afterAutospacing="0" w:line="320" w:lineRule="exact"/>
              <w:ind w:left="0" w:right="0"/>
              <w:jc w:val="left"/>
              <w:rPr>
                <w:rFonts w:hint="eastAsia" w:ascii="宋体" w:hAnsi="宋体"/>
                <w:color w:val="000000"/>
                <w:szCs w:val="21"/>
              </w:rPr>
            </w:pPr>
            <w:r>
              <w:rPr>
                <w:rFonts w:hint="eastAsia" w:ascii="宋体" w:hAnsi="宋体"/>
                <w:color w:val="000000"/>
                <w:szCs w:val="21"/>
              </w:rPr>
              <w:t>（2）投标人承诺为游客提供人身意外伤害保险100万及以上的得1分；</w:t>
            </w:r>
          </w:p>
          <w:p>
            <w:pPr>
              <w:spacing w:before="0" w:beforeAutospacing="0" w:after="0" w:afterAutospacing="0" w:line="320" w:lineRule="exact"/>
              <w:ind w:left="0" w:right="0"/>
              <w:jc w:val="left"/>
              <w:rPr>
                <w:rFonts w:hint="eastAsia" w:ascii="宋体" w:hAnsi="宋体"/>
                <w:color w:val="000000"/>
                <w:szCs w:val="21"/>
              </w:rPr>
            </w:pPr>
            <w:r>
              <w:rPr>
                <w:rFonts w:hint="eastAsia" w:ascii="宋体" w:hAnsi="宋体"/>
                <w:color w:val="000000"/>
                <w:szCs w:val="21"/>
              </w:rPr>
              <w:t>（3) 投标人承诺小额赔款先行赔付的（500元及以下）得1分；</w:t>
            </w:r>
          </w:p>
          <w:p>
            <w:pPr>
              <w:spacing w:before="0" w:beforeAutospacing="0" w:after="0" w:afterAutospacing="0" w:line="320" w:lineRule="exact"/>
              <w:ind w:left="525" w:right="0" w:hanging="525" w:hangingChars="250"/>
              <w:jc w:val="left"/>
              <w:rPr>
                <w:rFonts w:hint="eastAsia" w:ascii="宋体" w:hAnsi="宋体"/>
                <w:color w:val="000000"/>
                <w:szCs w:val="21"/>
              </w:rPr>
            </w:pPr>
            <w:r>
              <w:rPr>
                <w:rFonts w:hint="eastAsia" w:ascii="宋体" w:hAnsi="宋体"/>
                <w:color w:val="000000"/>
                <w:szCs w:val="21"/>
              </w:rPr>
              <w:t>（4) 投标人承诺中标后严格按临平区相关政策组织实施疗休养活动，配合政府做好采购统计工作的得1分；</w:t>
            </w:r>
          </w:p>
          <w:p>
            <w:pPr>
              <w:spacing w:before="0" w:beforeAutospacing="0" w:after="0" w:afterAutospacing="0" w:line="320" w:lineRule="exact"/>
              <w:ind w:left="525" w:leftChars="250" w:right="0"/>
              <w:jc w:val="left"/>
              <w:rPr>
                <w:rFonts w:hint="eastAsia" w:ascii="宋体" w:hAnsi="宋体"/>
                <w:color w:val="000000"/>
                <w:szCs w:val="21"/>
              </w:rPr>
            </w:pPr>
            <w:r>
              <w:rPr>
                <w:rFonts w:hint="eastAsia" w:ascii="宋体" w:hAnsi="宋体"/>
                <w:color w:val="000000"/>
                <w:szCs w:val="21"/>
              </w:rPr>
              <w:t>不承诺不得分，承诺书格式自拟；</w:t>
            </w:r>
          </w:p>
        </w:tc>
        <w:tc>
          <w:tcPr>
            <w:tcW w:w="851" w:type="dxa"/>
            <w:vAlign w:val="center"/>
          </w:tcPr>
          <w:p>
            <w:pPr>
              <w:spacing w:before="0" w:beforeAutospacing="0" w:after="0" w:afterAutospacing="0" w:line="320" w:lineRule="exact"/>
              <w:ind w:left="0" w:right="0"/>
              <w:jc w:val="center"/>
              <w:rPr>
                <w:rFonts w:hint="eastAsia" w:ascii="宋体" w:hAnsi="宋体" w:cs="宋体"/>
                <w:sz w:val="24"/>
              </w:rPr>
            </w:pPr>
            <w:r>
              <w:rPr>
                <w:rFonts w:hint="eastAsia" w:ascii="宋体" w:hAnsi="宋体" w:cs="宋体"/>
                <w:sz w:val="24"/>
              </w:rPr>
              <w:t>7.0</w:t>
            </w:r>
          </w:p>
        </w:tc>
      </w:tr>
    </w:tbl>
    <w:p>
      <w:pPr>
        <w:pStyle w:val="26"/>
        <w:spacing w:line="320" w:lineRule="exact"/>
        <w:ind w:firstLine="0"/>
        <w:rPr>
          <w:rFonts w:ascii="宋体" w:hAnsi="宋体" w:eastAsia="宋体"/>
          <w:sz w:val="24"/>
          <w:szCs w:val="24"/>
        </w:rPr>
      </w:pPr>
    </w:p>
    <w:p>
      <w:pPr>
        <w:pStyle w:val="26"/>
        <w:spacing w:line="320" w:lineRule="exact"/>
        <w:ind w:firstLine="0"/>
        <w:rPr>
          <w:rFonts w:hint="eastAsia" w:ascii="宋体" w:hAnsi="宋体" w:eastAsia="宋体"/>
          <w:sz w:val="24"/>
          <w:szCs w:val="24"/>
        </w:rPr>
      </w:pPr>
    </w:p>
    <w:p>
      <w:pPr>
        <w:pStyle w:val="26"/>
        <w:spacing w:line="320" w:lineRule="exact"/>
        <w:ind w:firstLine="0"/>
        <w:rPr>
          <w:rFonts w:ascii="宋体" w:hAnsi="宋体" w:eastAsia="宋体"/>
          <w:sz w:val="24"/>
          <w:szCs w:val="24"/>
        </w:rPr>
      </w:pPr>
      <w:r>
        <w:rPr>
          <w:rFonts w:hint="eastAsia" w:ascii="宋体" w:hAnsi="宋体" w:eastAsia="宋体"/>
          <w:sz w:val="24"/>
          <w:szCs w:val="24"/>
        </w:rPr>
        <w:t>技术分（</w:t>
      </w:r>
      <w:r>
        <w:rPr>
          <w:rFonts w:hint="eastAsia"/>
          <w:sz w:val="24"/>
          <w:szCs w:val="24"/>
          <w:lang w:val="en-US" w:eastAsia="zh-CN"/>
        </w:rPr>
        <w:t>70</w:t>
      </w:r>
      <w:r>
        <w:rPr>
          <w:rFonts w:hint="eastAsia" w:ascii="宋体" w:hAnsi="宋体" w:eastAsia="宋体"/>
          <w:sz w:val="24"/>
          <w:szCs w:val="24"/>
        </w:rPr>
        <w:t>分）</w:t>
      </w:r>
    </w:p>
    <w:tbl>
      <w:tblPr>
        <w:tblStyle w:val="6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27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000000" w:sz="4" w:space="0"/>
              <w:left w:val="single" w:color="000000" w:sz="4" w:space="0"/>
              <w:bottom w:val="single" w:color="000000" w:sz="4" w:space="0"/>
              <w:right w:val="single" w:color="000000" w:sz="4" w:space="0"/>
            </w:tcBorders>
            <w:vAlign w:val="center"/>
          </w:tcPr>
          <w:p>
            <w:pPr>
              <w:pStyle w:val="85"/>
              <w:spacing w:before="0" w:beforeAutospacing="0" w:after="0" w:afterAutospacing="0" w:line="420" w:lineRule="exact"/>
              <w:ind w:left="0" w:right="0" w:firstLine="0" w:firstLineChars="0"/>
              <w:jc w:val="center"/>
              <w:rPr>
                <w:rFonts w:hint="eastAsia" w:ascii="宋体" w:hAnsi="宋体" w:eastAsia="宋体" w:cs="宋体"/>
                <w:szCs w:val="24"/>
              </w:rPr>
            </w:pPr>
            <w:r>
              <w:rPr>
                <w:rFonts w:hint="eastAsia" w:ascii="宋体" w:hAnsi="宋体" w:eastAsia="宋体" w:cs="宋体"/>
                <w:szCs w:val="24"/>
              </w:rPr>
              <w:t>1</w:t>
            </w:r>
          </w:p>
        </w:tc>
        <w:tc>
          <w:tcPr>
            <w:tcW w:w="7270" w:type="dxa"/>
            <w:tcBorders>
              <w:top w:val="single" w:color="000000" w:sz="4" w:space="0"/>
              <w:left w:val="single" w:color="000000" w:sz="4" w:space="0"/>
              <w:bottom w:val="single" w:color="000000" w:sz="4" w:space="0"/>
              <w:right w:val="single" w:color="000000" w:sz="4" w:space="0"/>
            </w:tcBorders>
          </w:tcPr>
          <w:p>
            <w:pPr>
              <w:spacing w:before="0" w:beforeAutospacing="0" w:after="0" w:afterAutospacing="0" w:line="420" w:lineRule="exact"/>
              <w:ind w:left="0" w:right="0"/>
              <w:jc w:val="left"/>
              <w:rPr>
                <w:rFonts w:hint="eastAsia" w:ascii="宋体" w:hAnsi="宋体" w:cs="宋体"/>
                <w:b/>
                <w:sz w:val="24"/>
              </w:rPr>
            </w:pPr>
            <w:r>
              <w:rPr>
                <w:rFonts w:hint="eastAsia" w:ascii="宋体" w:hAnsi="宋体" w:cs="宋体"/>
                <w:b/>
                <w:sz w:val="24"/>
              </w:rPr>
              <w:t>企业管理制度</w:t>
            </w:r>
          </w:p>
          <w:p>
            <w:pPr>
              <w:spacing w:before="0" w:beforeAutospacing="0" w:after="0" w:afterAutospacing="0" w:line="320" w:lineRule="exact"/>
              <w:ind w:left="525" w:right="0" w:hanging="525" w:hangingChars="250"/>
              <w:jc w:val="left"/>
              <w:rPr>
                <w:rFonts w:hint="eastAsia" w:ascii="宋体" w:hAnsi="宋体"/>
                <w:color w:val="000000"/>
                <w:szCs w:val="21"/>
              </w:rPr>
            </w:pPr>
            <w:r>
              <w:rPr>
                <w:rFonts w:hint="eastAsia" w:ascii="宋体" w:hAnsi="宋体"/>
                <w:color w:val="000000"/>
                <w:szCs w:val="21"/>
              </w:rPr>
              <w:t>（1）投标单位建立健全各项岗位职责、经营管理制度进行打分（0-5分）</w:t>
            </w:r>
          </w:p>
          <w:p>
            <w:pPr>
              <w:spacing w:before="0" w:beforeAutospacing="0" w:after="0" w:afterAutospacing="0" w:line="320" w:lineRule="exact"/>
              <w:ind w:left="525" w:right="0" w:hanging="525" w:hangingChars="250"/>
              <w:jc w:val="left"/>
              <w:rPr>
                <w:rFonts w:hint="eastAsia" w:ascii="宋体" w:hAnsi="宋体" w:cs="宋体"/>
                <w:sz w:val="24"/>
              </w:rPr>
            </w:pPr>
            <w:r>
              <w:rPr>
                <w:rFonts w:hint="eastAsia" w:ascii="宋体" w:hAnsi="宋体"/>
                <w:color w:val="000000"/>
                <w:szCs w:val="21"/>
              </w:rPr>
              <w:t>（2）投标单位如何组织接待业务，如何保证质量等进行打分（0-5分）</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85"/>
              <w:spacing w:before="0" w:beforeAutospacing="0" w:after="0" w:afterAutospacing="0" w:line="420" w:lineRule="exact"/>
              <w:ind w:left="0" w:right="0" w:firstLine="0" w:firstLineChars="0"/>
              <w:jc w:val="center"/>
              <w:rPr>
                <w:rFonts w:hint="eastAsia" w:ascii="宋体" w:hAnsi="宋体" w:eastAsia="宋体" w:cs="宋体"/>
                <w:szCs w:val="24"/>
              </w:rPr>
            </w:pPr>
            <w:r>
              <w:rPr>
                <w:rFonts w:hint="eastAsia" w:ascii="宋体" w:hAnsi="宋体" w:eastAsia="宋体" w:cs="宋体"/>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000000" w:sz="4" w:space="0"/>
              <w:left w:val="single" w:color="000000" w:sz="4" w:space="0"/>
              <w:bottom w:val="single" w:color="000000" w:sz="4" w:space="0"/>
              <w:right w:val="single" w:color="000000" w:sz="4" w:space="0"/>
            </w:tcBorders>
            <w:vAlign w:val="center"/>
          </w:tcPr>
          <w:p>
            <w:pPr>
              <w:pStyle w:val="85"/>
              <w:spacing w:before="0" w:beforeAutospacing="0" w:after="0" w:afterAutospacing="0" w:line="420" w:lineRule="exact"/>
              <w:ind w:left="0" w:right="0" w:firstLine="0" w:firstLineChars="0"/>
              <w:jc w:val="center"/>
              <w:rPr>
                <w:rFonts w:hint="eastAsia" w:ascii="宋体" w:hAnsi="宋体" w:eastAsia="宋体" w:cs="宋体"/>
                <w:szCs w:val="24"/>
              </w:rPr>
            </w:pPr>
            <w:r>
              <w:rPr>
                <w:rFonts w:hint="eastAsia" w:ascii="宋体" w:hAnsi="宋体" w:eastAsia="宋体" w:cs="宋体"/>
                <w:szCs w:val="24"/>
              </w:rPr>
              <w:t>2</w:t>
            </w:r>
          </w:p>
        </w:tc>
        <w:tc>
          <w:tcPr>
            <w:tcW w:w="7270" w:type="dxa"/>
            <w:tcBorders>
              <w:top w:val="single" w:color="000000" w:sz="4" w:space="0"/>
              <w:left w:val="single" w:color="000000" w:sz="4" w:space="0"/>
              <w:bottom w:val="single" w:color="000000" w:sz="4" w:space="0"/>
              <w:right w:val="single" w:color="000000" w:sz="4" w:space="0"/>
            </w:tcBorders>
          </w:tcPr>
          <w:p>
            <w:pPr>
              <w:spacing w:before="0" w:beforeAutospacing="0" w:after="0" w:afterAutospacing="0" w:line="420" w:lineRule="exact"/>
              <w:ind w:left="0" w:right="0"/>
              <w:jc w:val="left"/>
              <w:rPr>
                <w:rFonts w:hint="eastAsia" w:ascii="宋体" w:hAnsi="宋体" w:cs="宋体"/>
                <w:b/>
                <w:sz w:val="24"/>
              </w:rPr>
            </w:pPr>
            <w:r>
              <w:rPr>
                <w:rFonts w:hint="eastAsia" w:ascii="宋体" w:hAnsi="宋体" w:cs="宋体"/>
                <w:b/>
                <w:sz w:val="24"/>
              </w:rPr>
              <w:t>安全管理措施</w:t>
            </w:r>
          </w:p>
          <w:p>
            <w:pPr>
              <w:spacing w:before="0" w:beforeAutospacing="0" w:after="0" w:afterAutospacing="0" w:line="320" w:lineRule="exact"/>
              <w:ind w:left="525" w:right="0" w:hanging="525" w:hangingChars="250"/>
              <w:jc w:val="left"/>
              <w:rPr>
                <w:rFonts w:hint="eastAsia" w:ascii="宋体" w:hAnsi="宋体"/>
                <w:color w:val="000000"/>
                <w:szCs w:val="21"/>
              </w:rPr>
            </w:pPr>
            <w:r>
              <w:rPr>
                <w:rFonts w:hint="eastAsia" w:ascii="宋体" w:hAnsi="宋体"/>
                <w:color w:val="000000"/>
                <w:szCs w:val="21"/>
              </w:rPr>
              <w:t>（1）安全管理体系：组织机构、应急预案（包括疫情防控应急预案）等进行打分（0-3分）</w:t>
            </w:r>
          </w:p>
          <w:p>
            <w:pPr>
              <w:spacing w:before="0" w:beforeAutospacing="0" w:after="0" w:afterAutospacing="0" w:line="320" w:lineRule="exact"/>
              <w:ind w:left="525" w:right="0" w:hanging="525" w:hangingChars="250"/>
              <w:jc w:val="left"/>
              <w:rPr>
                <w:rFonts w:hint="eastAsia" w:ascii="宋体" w:hAnsi="宋体"/>
                <w:color w:val="000000"/>
                <w:szCs w:val="21"/>
              </w:rPr>
            </w:pPr>
            <w:r>
              <w:rPr>
                <w:rFonts w:hint="eastAsia" w:ascii="宋体" w:hAnsi="宋体"/>
                <w:color w:val="000000"/>
                <w:szCs w:val="21"/>
              </w:rPr>
              <w:t>（2）投标单位主要负责人具有安全生产管理责任人培训合格证且已参加2021年培训的得3分。</w:t>
            </w:r>
          </w:p>
          <w:p>
            <w:pPr>
              <w:spacing w:before="0" w:beforeAutospacing="0" w:after="0" w:afterAutospacing="0" w:line="320" w:lineRule="exact"/>
              <w:ind w:left="525" w:leftChars="250" w:right="0"/>
              <w:jc w:val="left"/>
              <w:rPr>
                <w:rFonts w:hint="eastAsia" w:ascii="宋体" w:hAnsi="宋体"/>
                <w:color w:val="000000"/>
                <w:szCs w:val="21"/>
              </w:rPr>
            </w:pPr>
            <w:r>
              <w:rPr>
                <w:rFonts w:hint="eastAsia" w:ascii="宋体" w:hAnsi="宋体"/>
                <w:color w:val="000000"/>
                <w:szCs w:val="21"/>
              </w:rPr>
              <w:t>另具有单位安全生产管理员培训合格证且已参加2021年培训的，每人得1分，最高不得超过2分。</w:t>
            </w:r>
          </w:p>
          <w:p>
            <w:pPr>
              <w:spacing w:before="0" w:beforeAutospacing="0" w:after="0" w:afterAutospacing="0" w:line="320" w:lineRule="exact"/>
              <w:ind w:left="630" w:leftChars="200" w:right="0" w:hanging="210" w:hangingChars="100"/>
              <w:jc w:val="left"/>
              <w:rPr>
                <w:rFonts w:hint="eastAsia" w:ascii="宋体" w:hAnsi="宋体"/>
                <w:color w:val="000000"/>
                <w:szCs w:val="21"/>
              </w:rPr>
            </w:pPr>
            <w:r>
              <w:rPr>
                <w:rFonts w:hint="eastAsia" w:ascii="宋体" w:hAnsi="宋体"/>
                <w:color w:val="000000"/>
                <w:szCs w:val="21"/>
              </w:rPr>
              <w:t>（须提供相培训人员证书、劳动合同及近6个月社保缴纳证明材料，否则不得分）。</w:t>
            </w:r>
          </w:p>
          <w:p>
            <w:pPr>
              <w:spacing w:before="0" w:beforeAutospacing="0" w:after="0" w:afterAutospacing="0" w:line="320" w:lineRule="exact"/>
              <w:ind w:left="630" w:right="0" w:hanging="630" w:hangingChars="300"/>
              <w:jc w:val="left"/>
              <w:rPr>
                <w:rFonts w:hint="eastAsia" w:ascii="宋体" w:hAnsi="宋体" w:cs="宋体"/>
                <w:sz w:val="24"/>
              </w:rPr>
            </w:pPr>
            <w:r>
              <w:rPr>
                <w:rFonts w:hint="eastAsia" w:ascii="宋体" w:hAnsi="宋体"/>
                <w:color w:val="000000"/>
                <w:szCs w:val="21"/>
              </w:rPr>
              <w:t>（3） 提供属地上级主管部门盖章的规范经营情况证明：自2019年1月1日以来，未发生重大投诉或旅游安全事故的得2分。（提供相关复印件或扫描件，否则不得分）</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85"/>
              <w:spacing w:before="0" w:beforeAutospacing="0" w:after="0" w:afterAutospacing="0" w:line="420" w:lineRule="exact"/>
              <w:ind w:left="0" w:right="0" w:firstLine="0" w:firstLineChars="0"/>
              <w:jc w:val="center"/>
              <w:rPr>
                <w:rFonts w:hint="eastAsia" w:ascii="宋体" w:hAnsi="宋体" w:eastAsia="宋体" w:cs="宋体"/>
                <w:szCs w:val="24"/>
              </w:rPr>
            </w:pPr>
            <w:r>
              <w:rPr>
                <w:rFonts w:hint="eastAsia" w:ascii="宋体" w:hAnsi="宋体" w:eastAsia="宋体" w:cs="宋体"/>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000000" w:sz="4" w:space="0"/>
              <w:left w:val="single" w:color="000000" w:sz="4" w:space="0"/>
              <w:bottom w:val="single" w:color="000000" w:sz="4" w:space="0"/>
              <w:right w:val="single" w:color="000000" w:sz="4" w:space="0"/>
            </w:tcBorders>
            <w:vAlign w:val="center"/>
          </w:tcPr>
          <w:p>
            <w:pPr>
              <w:pStyle w:val="85"/>
              <w:spacing w:before="0" w:beforeAutospacing="0" w:after="0" w:afterAutospacing="0" w:line="420" w:lineRule="exact"/>
              <w:ind w:left="0" w:right="0" w:firstLine="0" w:firstLineChars="0"/>
              <w:jc w:val="center"/>
              <w:rPr>
                <w:rFonts w:hint="eastAsia" w:ascii="宋体" w:hAnsi="宋体" w:eastAsia="宋体" w:cs="宋体"/>
                <w:szCs w:val="24"/>
              </w:rPr>
            </w:pPr>
            <w:r>
              <w:rPr>
                <w:rFonts w:hint="eastAsia" w:ascii="宋体" w:hAnsi="宋体" w:eastAsia="宋体" w:cs="宋体"/>
                <w:szCs w:val="24"/>
              </w:rPr>
              <w:t>3</w:t>
            </w:r>
          </w:p>
        </w:tc>
        <w:tc>
          <w:tcPr>
            <w:tcW w:w="7270" w:type="dxa"/>
            <w:tcBorders>
              <w:top w:val="single" w:color="000000" w:sz="4" w:space="0"/>
              <w:left w:val="single" w:color="000000" w:sz="4" w:space="0"/>
              <w:bottom w:val="single" w:color="000000" w:sz="4" w:space="0"/>
              <w:right w:val="single" w:color="000000" w:sz="4" w:space="0"/>
            </w:tcBorders>
          </w:tcPr>
          <w:p>
            <w:pPr>
              <w:spacing w:before="0" w:beforeAutospacing="0" w:after="0" w:afterAutospacing="0" w:line="420" w:lineRule="exact"/>
              <w:ind w:left="0" w:right="0"/>
              <w:jc w:val="left"/>
              <w:rPr>
                <w:rFonts w:hint="eastAsia" w:ascii="宋体" w:hAnsi="宋体" w:cs="宋体"/>
                <w:b/>
                <w:sz w:val="24"/>
              </w:rPr>
            </w:pPr>
            <w:r>
              <w:rPr>
                <w:rFonts w:hint="eastAsia" w:ascii="宋体" w:hAnsi="宋体" w:cs="宋体"/>
                <w:b/>
                <w:sz w:val="24"/>
              </w:rPr>
              <w:t>疗休养策划方案</w:t>
            </w:r>
          </w:p>
          <w:p>
            <w:pPr>
              <w:spacing w:before="0" w:beforeAutospacing="0" w:after="0" w:afterAutospacing="0" w:line="320" w:lineRule="exact"/>
              <w:ind w:left="525" w:right="0" w:hanging="525" w:hangingChars="250"/>
              <w:jc w:val="left"/>
              <w:rPr>
                <w:rFonts w:hint="eastAsia" w:ascii="宋体" w:hAnsi="宋体"/>
                <w:color w:val="000000"/>
                <w:szCs w:val="21"/>
              </w:rPr>
            </w:pPr>
            <w:r>
              <w:rPr>
                <w:rFonts w:hint="eastAsia" w:ascii="宋体" w:hAnsi="宋体"/>
                <w:color w:val="000000"/>
                <w:szCs w:val="21"/>
              </w:rPr>
              <w:t>（1）针对本项目线路安排（包括景点安排）：每条线路必须提供详细的行程单，标明各景点特色、游玩时间，景点与宾馆之间的车程时间等）：0-5分。</w:t>
            </w:r>
          </w:p>
          <w:p>
            <w:pPr>
              <w:spacing w:before="0" w:beforeAutospacing="0" w:after="0" w:afterAutospacing="0" w:line="320" w:lineRule="exact"/>
              <w:ind w:left="0" w:right="0"/>
              <w:jc w:val="left"/>
              <w:rPr>
                <w:rFonts w:hint="eastAsia" w:ascii="宋体" w:hAnsi="宋体"/>
                <w:color w:val="000000"/>
                <w:szCs w:val="21"/>
              </w:rPr>
            </w:pPr>
            <w:r>
              <w:rPr>
                <w:rFonts w:hint="eastAsia" w:ascii="宋体" w:hAnsi="宋体"/>
                <w:color w:val="000000"/>
                <w:szCs w:val="21"/>
              </w:rPr>
              <w:t>（2）酒店住宿安排（标明酒店星级、配套等）：0-5分</w:t>
            </w:r>
          </w:p>
          <w:p>
            <w:pPr>
              <w:spacing w:before="0" w:beforeAutospacing="0" w:after="0" w:afterAutospacing="0" w:line="320" w:lineRule="exact"/>
              <w:ind w:left="0" w:right="0"/>
              <w:jc w:val="left"/>
              <w:rPr>
                <w:rFonts w:hint="eastAsia" w:ascii="宋体" w:hAnsi="宋体"/>
                <w:color w:val="000000"/>
                <w:szCs w:val="21"/>
              </w:rPr>
            </w:pPr>
            <w:r>
              <w:rPr>
                <w:rFonts w:hint="eastAsia" w:ascii="宋体" w:hAnsi="宋体"/>
                <w:color w:val="000000"/>
                <w:szCs w:val="21"/>
              </w:rPr>
              <w:t>（3）就餐及餐标安排，菜品（餐单）合理性：0-5分。</w:t>
            </w:r>
          </w:p>
          <w:p>
            <w:pPr>
              <w:spacing w:before="0" w:beforeAutospacing="0" w:after="0" w:afterAutospacing="0" w:line="320" w:lineRule="exact"/>
              <w:ind w:left="525" w:right="0" w:hanging="525" w:hangingChars="250"/>
              <w:jc w:val="left"/>
              <w:rPr>
                <w:rFonts w:hint="eastAsia" w:ascii="宋体" w:hAnsi="宋体"/>
                <w:color w:val="000000"/>
                <w:szCs w:val="21"/>
              </w:rPr>
            </w:pPr>
            <w:r>
              <w:rPr>
                <w:rFonts w:hint="eastAsia" w:ascii="宋体" w:hAnsi="宋体"/>
                <w:color w:val="000000"/>
                <w:szCs w:val="21"/>
              </w:rPr>
              <w:t>（4） 旅游车等交通工具安排（投标文件中提供的空调旅游大巴购置年限证明，车队合作协议及车队规模、营业执照等资质情况，可提供相关图片、驾照、行驶证扫描件或复印件等加盖公章作为辅助评审资料）0-5分。</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85"/>
              <w:spacing w:before="0" w:beforeAutospacing="0" w:after="0" w:afterAutospacing="0" w:line="420" w:lineRule="exact"/>
              <w:ind w:left="0" w:right="0" w:firstLine="0" w:firstLineChars="0"/>
              <w:jc w:val="center"/>
              <w:rPr>
                <w:rFonts w:hint="eastAsia" w:ascii="宋体" w:hAnsi="宋体" w:eastAsia="宋体" w:cs="宋体"/>
                <w:szCs w:val="24"/>
              </w:rPr>
            </w:pPr>
            <w:r>
              <w:rPr>
                <w:rFonts w:hint="eastAsia" w:ascii="宋体" w:hAnsi="宋体" w:eastAsia="宋体" w:cs="宋体"/>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000000" w:sz="4" w:space="0"/>
              <w:left w:val="single" w:color="000000" w:sz="4" w:space="0"/>
              <w:bottom w:val="single" w:color="000000" w:sz="4" w:space="0"/>
              <w:right w:val="single" w:color="000000" w:sz="4" w:space="0"/>
            </w:tcBorders>
            <w:vAlign w:val="center"/>
          </w:tcPr>
          <w:p>
            <w:pPr>
              <w:pStyle w:val="85"/>
              <w:spacing w:before="0" w:beforeAutospacing="0" w:after="0" w:afterAutospacing="0" w:line="420" w:lineRule="exact"/>
              <w:ind w:left="0" w:right="0" w:firstLine="0" w:firstLineChars="0"/>
              <w:jc w:val="center"/>
              <w:rPr>
                <w:rFonts w:hint="eastAsia" w:ascii="宋体" w:hAnsi="宋体" w:eastAsia="宋体" w:cs="宋体"/>
                <w:szCs w:val="24"/>
              </w:rPr>
            </w:pPr>
            <w:r>
              <w:rPr>
                <w:rFonts w:hint="eastAsia" w:ascii="宋体" w:hAnsi="宋体" w:eastAsia="宋体" w:cs="宋体"/>
                <w:szCs w:val="24"/>
              </w:rPr>
              <w:t>4</w:t>
            </w:r>
          </w:p>
        </w:tc>
        <w:tc>
          <w:tcPr>
            <w:tcW w:w="7270" w:type="dxa"/>
            <w:tcBorders>
              <w:top w:val="single" w:color="000000" w:sz="4" w:space="0"/>
              <w:left w:val="single" w:color="000000" w:sz="4" w:space="0"/>
              <w:bottom w:val="single" w:color="000000" w:sz="4" w:space="0"/>
              <w:right w:val="single" w:color="000000" w:sz="4" w:space="0"/>
            </w:tcBorders>
          </w:tcPr>
          <w:p>
            <w:pPr>
              <w:spacing w:before="0" w:beforeAutospacing="0" w:after="0" w:afterAutospacing="0" w:line="320" w:lineRule="exact"/>
              <w:ind w:left="0" w:right="0"/>
              <w:jc w:val="left"/>
              <w:rPr>
                <w:rFonts w:hint="eastAsia" w:ascii="宋体" w:hAnsi="宋体" w:cs="宋体"/>
                <w:b/>
                <w:sz w:val="24"/>
              </w:rPr>
            </w:pPr>
            <w:r>
              <w:rPr>
                <w:rFonts w:hint="eastAsia" w:ascii="宋体" w:hAnsi="宋体" w:cs="宋体"/>
                <w:b/>
                <w:sz w:val="24"/>
              </w:rPr>
              <w:t>质量保证措施</w:t>
            </w:r>
          </w:p>
          <w:p>
            <w:pPr>
              <w:spacing w:before="0" w:beforeAutospacing="0" w:after="0" w:afterAutospacing="0" w:line="320" w:lineRule="exact"/>
              <w:ind w:left="0" w:right="0"/>
              <w:jc w:val="left"/>
              <w:rPr>
                <w:rFonts w:hint="eastAsia" w:ascii="宋体" w:hAnsi="宋体"/>
                <w:color w:val="000000"/>
                <w:szCs w:val="21"/>
              </w:rPr>
            </w:pPr>
            <w:r>
              <w:rPr>
                <w:rFonts w:hint="eastAsia" w:ascii="宋体" w:hAnsi="宋体"/>
                <w:color w:val="000000"/>
                <w:szCs w:val="21"/>
              </w:rPr>
              <w:t>（1）投标单位组织业务接待流程，及业务质量保证措施等能力0-3分。</w:t>
            </w:r>
          </w:p>
          <w:p>
            <w:pPr>
              <w:spacing w:before="0" w:beforeAutospacing="0" w:after="0" w:afterAutospacing="0" w:line="320" w:lineRule="exact"/>
              <w:ind w:left="525" w:right="0" w:hanging="525" w:hangingChars="250"/>
              <w:jc w:val="left"/>
              <w:rPr>
                <w:rFonts w:hint="eastAsia" w:ascii="宋体" w:hAnsi="宋体" w:eastAsia="宋体"/>
                <w:color w:val="000000"/>
                <w:szCs w:val="21"/>
                <w:lang w:eastAsia="zh-CN"/>
              </w:rPr>
            </w:pPr>
            <w:r>
              <w:rPr>
                <w:rFonts w:hint="eastAsia" w:ascii="宋体" w:hAnsi="宋体"/>
                <w:color w:val="000000"/>
                <w:szCs w:val="21"/>
              </w:rPr>
              <w:t>（2）投标人针对本项目的其他服务承诺及增值服务措施，内容须有实质性响应及承诺，有一项得1分，最高得3分</w:t>
            </w:r>
            <w:r>
              <w:rPr>
                <w:rFonts w:hint="eastAsia" w:ascii="宋体" w:hAnsi="宋体"/>
                <w:color w:val="000000"/>
                <w:szCs w:val="21"/>
                <w:lang w:eastAsia="zh-CN"/>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85"/>
              <w:spacing w:before="0" w:beforeAutospacing="0" w:after="0" w:afterAutospacing="0" w:line="420" w:lineRule="exact"/>
              <w:ind w:left="0" w:right="0" w:firstLine="0" w:firstLineChars="0"/>
              <w:jc w:val="center"/>
              <w:rPr>
                <w:rFonts w:hint="eastAsia" w:ascii="宋体" w:hAnsi="宋体" w:eastAsia="宋体" w:cs="宋体"/>
                <w:szCs w:val="24"/>
              </w:rPr>
            </w:pPr>
            <w:r>
              <w:rPr>
                <w:rFonts w:hint="eastAsia" w:ascii="宋体" w:hAnsi="宋体" w:eastAsia="宋体" w:cs="宋体"/>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000000" w:sz="4" w:space="0"/>
              <w:left w:val="single" w:color="000000" w:sz="4" w:space="0"/>
              <w:bottom w:val="single" w:color="000000" w:sz="4" w:space="0"/>
              <w:right w:val="single" w:color="000000" w:sz="4" w:space="0"/>
            </w:tcBorders>
            <w:vAlign w:val="center"/>
          </w:tcPr>
          <w:p>
            <w:pPr>
              <w:pStyle w:val="85"/>
              <w:spacing w:before="0" w:beforeAutospacing="0" w:after="0" w:afterAutospacing="0" w:line="420" w:lineRule="exact"/>
              <w:ind w:left="0" w:right="0" w:firstLine="0" w:firstLineChars="0"/>
              <w:jc w:val="center"/>
              <w:rPr>
                <w:rFonts w:hint="eastAsia" w:ascii="宋体" w:hAnsi="宋体" w:eastAsia="宋体" w:cs="宋体"/>
                <w:szCs w:val="24"/>
              </w:rPr>
            </w:pPr>
            <w:r>
              <w:rPr>
                <w:rFonts w:hint="eastAsia" w:ascii="宋体" w:hAnsi="宋体" w:eastAsia="宋体" w:cs="宋体"/>
                <w:szCs w:val="24"/>
              </w:rPr>
              <w:t>5</w:t>
            </w:r>
          </w:p>
        </w:tc>
        <w:tc>
          <w:tcPr>
            <w:tcW w:w="7270" w:type="dxa"/>
            <w:tcBorders>
              <w:top w:val="single" w:color="000000" w:sz="4" w:space="0"/>
              <w:left w:val="single" w:color="000000" w:sz="4" w:space="0"/>
              <w:bottom w:val="single" w:color="000000" w:sz="4" w:space="0"/>
              <w:right w:val="single" w:color="000000" w:sz="4" w:space="0"/>
            </w:tcBorders>
          </w:tcPr>
          <w:p>
            <w:pPr>
              <w:spacing w:before="0" w:beforeAutospacing="0" w:after="0" w:afterAutospacing="0" w:line="320" w:lineRule="exact"/>
              <w:ind w:left="0" w:right="0"/>
              <w:jc w:val="left"/>
              <w:rPr>
                <w:rFonts w:hint="eastAsia" w:ascii="宋体" w:hAnsi="宋体" w:cs="宋体"/>
                <w:b/>
                <w:sz w:val="24"/>
              </w:rPr>
            </w:pPr>
            <w:r>
              <w:rPr>
                <w:rFonts w:hint="eastAsia" w:ascii="宋体" w:hAnsi="宋体" w:cs="宋体"/>
                <w:b/>
                <w:sz w:val="24"/>
              </w:rPr>
              <w:t>健全的工会制度</w:t>
            </w:r>
          </w:p>
          <w:p>
            <w:pPr>
              <w:spacing w:before="0" w:beforeAutospacing="0" w:after="0" w:afterAutospacing="0" w:line="320" w:lineRule="exact"/>
              <w:ind w:left="0" w:right="0"/>
              <w:jc w:val="left"/>
              <w:rPr>
                <w:rFonts w:hint="eastAsia" w:ascii="宋体" w:hAnsi="宋体" w:cs="宋体"/>
                <w:b/>
                <w:sz w:val="24"/>
              </w:rPr>
            </w:pPr>
            <w:r>
              <w:rPr>
                <w:rFonts w:hint="eastAsia" w:ascii="宋体" w:hAnsi="宋体"/>
                <w:color w:val="000000"/>
                <w:szCs w:val="21"/>
              </w:rPr>
              <w:t>投标单位设有规范的企业工会组织机构，并具有工会法人资格证书的得</w:t>
            </w:r>
            <w:r>
              <w:rPr>
                <w:rFonts w:hint="eastAsia" w:ascii="宋体" w:hAnsi="宋体"/>
                <w:color w:val="000000"/>
                <w:szCs w:val="21"/>
                <w:lang w:val="en-US" w:eastAsia="zh-CN"/>
              </w:rPr>
              <w:t>4</w:t>
            </w:r>
            <w:r>
              <w:rPr>
                <w:rFonts w:hint="eastAsia" w:ascii="宋体" w:hAnsi="宋体"/>
                <w:color w:val="000000"/>
                <w:szCs w:val="21"/>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85"/>
              <w:spacing w:before="0" w:beforeAutospacing="0" w:after="0" w:afterAutospacing="0" w:line="420" w:lineRule="exact"/>
              <w:ind w:left="0" w:right="0" w:firstLine="0" w:firstLineChars="0"/>
              <w:jc w:val="center"/>
              <w:rPr>
                <w:rFonts w:hint="eastAsia" w:ascii="宋体" w:hAnsi="宋体" w:eastAsia="宋体" w:cs="宋体"/>
                <w:szCs w:val="24"/>
              </w:rPr>
            </w:pPr>
            <w:r>
              <w:rPr>
                <w:rFonts w:hint="eastAsia" w:ascii="宋体" w:hAnsi="宋体" w:cs="宋体"/>
                <w:szCs w:val="24"/>
                <w:lang w:val="en-US" w:eastAsia="zh-CN"/>
              </w:rPr>
              <w:t>4</w:t>
            </w:r>
            <w:r>
              <w:rPr>
                <w:rFonts w:hint="eastAsia" w:ascii="宋体" w:hAnsi="宋体" w:eastAsia="宋体" w:cs="宋体"/>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000000" w:sz="4" w:space="0"/>
              <w:left w:val="single" w:color="000000" w:sz="4" w:space="0"/>
              <w:bottom w:val="single" w:color="000000" w:sz="4" w:space="0"/>
              <w:right w:val="single" w:color="000000" w:sz="4" w:space="0"/>
            </w:tcBorders>
            <w:vAlign w:val="center"/>
          </w:tcPr>
          <w:p>
            <w:pPr>
              <w:pStyle w:val="85"/>
              <w:spacing w:before="0" w:beforeAutospacing="0" w:after="0" w:afterAutospacing="0" w:line="420" w:lineRule="exact"/>
              <w:ind w:left="0" w:right="0" w:firstLine="0" w:firstLineChars="0"/>
              <w:jc w:val="center"/>
              <w:rPr>
                <w:rFonts w:hint="eastAsia" w:ascii="宋体" w:hAnsi="宋体" w:eastAsia="宋体" w:cs="宋体"/>
                <w:szCs w:val="24"/>
              </w:rPr>
            </w:pPr>
            <w:r>
              <w:rPr>
                <w:rFonts w:hint="eastAsia" w:ascii="宋体" w:hAnsi="宋体" w:eastAsia="宋体" w:cs="宋体"/>
                <w:szCs w:val="24"/>
              </w:rPr>
              <w:t>6</w:t>
            </w:r>
          </w:p>
        </w:tc>
        <w:tc>
          <w:tcPr>
            <w:tcW w:w="7270" w:type="dxa"/>
            <w:tcBorders>
              <w:top w:val="single" w:color="000000" w:sz="4" w:space="0"/>
              <w:left w:val="single" w:color="000000" w:sz="4" w:space="0"/>
              <w:bottom w:val="single" w:color="000000" w:sz="4" w:space="0"/>
              <w:right w:val="single" w:color="000000" w:sz="4" w:space="0"/>
            </w:tcBorders>
          </w:tcPr>
          <w:p>
            <w:pPr>
              <w:spacing w:before="0" w:beforeAutospacing="0" w:after="0" w:afterAutospacing="0" w:line="420" w:lineRule="exact"/>
              <w:ind w:left="0" w:right="0"/>
              <w:jc w:val="left"/>
              <w:rPr>
                <w:rFonts w:hint="eastAsia" w:ascii="宋体" w:hAnsi="宋体" w:cs="宋体"/>
                <w:b/>
                <w:sz w:val="24"/>
              </w:rPr>
            </w:pPr>
            <w:r>
              <w:rPr>
                <w:rFonts w:hint="eastAsia" w:ascii="宋体" w:hAnsi="宋体" w:cs="宋体"/>
                <w:b/>
                <w:sz w:val="24"/>
              </w:rPr>
              <w:t>便捷服务</w:t>
            </w:r>
          </w:p>
          <w:p>
            <w:pPr>
              <w:spacing w:before="0" w:beforeAutospacing="0" w:after="0" w:afterAutospacing="0" w:line="320" w:lineRule="exact"/>
              <w:ind w:left="0" w:right="0"/>
              <w:jc w:val="left"/>
              <w:rPr>
                <w:rFonts w:hint="eastAsia" w:ascii="宋体" w:hAnsi="宋体"/>
                <w:color w:val="000000"/>
                <w:szCs w:val="21"/>
              </w:rPr>
            </w:pPr>
            <w:r>
              <w:rPr>
                <w:rFonts w:hint="eastAsia" w:ascii="宋体" w:hAnsi="宋体"/>
                <w:color w:val="000000"/>
                <w:szCs w:val="21"/>
              </w:rPr>
              <w:t>（1）投标单位能够提供方便、快捷服务，根据便捷服务优势进行打分（0-5）</w:t>
            </w:r>
          </w:p>
          <w:p>
            <w:pPr>
              <w:spacing w:before="0" w:beforeAutospacing="0" w:after="0" w:afterAutospacing="0" w:line="320" w:lineRule="exact"/>
              <w:ind w:left="0" w:right="0"/>
              <w:jc w:val="left"/>
              <w:rPr>
                <w:rFonts w:hint="eastAsia" w:ascii="宋体" w:hAnsi="宋体" w:cs="宋体"/>
                <w:sz w:val="24"/>
              </w:rPr>
            </w:pPr>
            <w:r>
              <w:rPr>
                <w:rFonts w:hint="eastAsia" w:ascii="宋体" w:hAnsi="宋体"/>
                <w:color w:val="000000"/>
                <w:szCs w:val="21"/>
              </w:rPr>
              <w:t>（2）日常投诉处理详细方案及可行性情况进行打分（0-5）</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85"/>
              <w:spacing w:before="0" w:beforeAutospacing="0" w:after="0" w:afterAutospacing="0" w:line="420" w:lineRule="exact"/>
              <w:ind w:left="0" w:right="0" w:firstLine="0" w:firstLineChars="0"/>
              <w:jc w:val="center"/>
              <w:rPr>
                <w:rFonts w:hint="eastAsia" w:ascii="宋体" w:hAnsi="宋体" w:eastAsia="宋体" w:cs="宋体"/>
                <w:szCs w:val="24"/>
              </w:rPr>
            </w:pPr>
            <w:r>
              <w:rPr>
                <w:rFonts w:hint="eastAsia" w:ascii="宋体" w:hAnsi="宋体" w:eastAsia="宋体" w:cs="宋体"/>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000000" w:sz="4" w:space="0"/>
              <w:left w:val="single" w:color="000000" w:sz="4" w:space="0"/>
              <w:bottom w:val="single" w:color="000000" w:sz="4" w:space="0"/>
              <w:right w:val="single" w:color="000000" w:sz="4" w:space="0"/>
            </w:tcBorders>
            <w:vAlign w:val="center"/>
          </w:tcPr>
          <w:p>
            <w:pPr>
              <w:pStyle w:val="85"/>
              <w:spacing w:beforeAutospacing="0" w:after="0" w:afterAutospacing="0" w:line="420" w:lineRule="exact"/>
              <w:ind w:left="0" w:right="0" w:firstLine="0" w:firstLineChars="0"/>
              <w:jc w:val="center"/>
              <w:rPr>
                <w:rFonts w:hint="eastAsia" w:ascii="宋体" w:hAnsi="宋体" w:eastAsia="宋体" w:cs="宋体"/>
                <w:szCs w:val="24"/>
              </w:rPr>
            </w:pPr>
            <w:r>
              <w:rPr>
                <w:rFonts w:hint="eastAsia" w:ascii="宋体" w:hAnsi="宋体" w:eastAsia="宋体" w:cs="宋体"/>
                <w:szCs w:val="24"/>
              </w:rPr>
              <w:t>7</w:t>
            </w:r>
          </w:p>
        </w:tc>
        <w:tc>
          <w:tcPr>
            <w:tcW w:w="7270" w:type="dxa"/>
            <w:tcBorders>
              <w:top w:val="single" w:color="000000" w:sz="4" w:space="0"/>
              <w:left w:val="single" w:color="000000" w:sz="4" w:space="0"/>
              <w:bottom w:val="single" w:color="000000" w:sz="4" w:space="0"/>
              <w:right w:val="single" w:color="000000" w:sz="4" w:space="0"/>
            </w:tcBorders>
          </w:tcPr>
          <w:p>
            <w:pPr>
              <w:spacing w:before="0" w:beforeAutospacing="0" w:after="0" w:afterAutospacing="0" w:line="420" w:lineRule="exact"/>
              <w:ind w:left="0" w:right="0"/>
              <w:jc w:val="left"/>
              <w:rPr>
                <w:rFonts w:hint="eastAsia" w:ascii="宋体" w:hAnsi="宋体" w:cs="宋体"/>
                <w:sz w:val="24"/>
              </w:rPr>
            </w:pPr>
            <w:r>
              <w:rPr>
                <w:rFonts w:hint="eastAsia" w:ascii="宋体" w:hAnsi="宋体" w:cs="宋体"/>
                <w:b/>
                <w:sz w:val="24"/>
              </w:rPr>
              <w:t>投入本项目人员情况</w:t>
            </w:r>
          </w:p>
          <w:p>
            <w:pPr>
              <w:pStyle w:val="23"/>
              <w:spacing w:before="0" w:beforeAutospacing="0" w:after="0" w:afterAutospacing="0"/>
              <w:ind w:left="495" w:right="0" w:hanging="525" w:hangingChars="250"/>
              <w:rPr>
                <w:rFonts w:hint="eastAsia" w:ascii="宋体" w:hAnsi="宋体" w:eastAsia="宋体" w:cs="Times New Roman"/>
                <w:snapToGrid/>
                <w:color w:val="000000"/>
                <w:kern w:val="2"/>
                <w:sz w:val="21"/>
                <w:szCs w:val="21"/>
                <w:lang w:val="en-US" w:eastAsia="zh-CN" w:bidi="ar-SA"/>
              </w:rPr>
            </w:pPr>
            <w:r>
              <w:rPr>
                <w:rFonts w:hint="eastAsia" w:ascii="宋体" w:hAnsi="宋体" w:eastAsia="宋体" w:cs="Times New Roman"/>
                <w:snapToGrid/>
                <w:color w:val="000000"/>
                <w:kern w:val="2"/>
                <w:sz w:val="21"/>
                <w:szCs w:val="21"/>
                <w:lang w:val="zh-CN" w:eastAsia="zh-CN" w:bidi="ar-SA"/>
              </w:rPr>
              <w:t>（1）拟派项目负责人的专业素质、技术能力、经验以及调动各项资源的能力等进行打分（0-</w:t>
            </w:r>
            <w:r>
              <w:rPr>
                <w:rFonts w:hint="eastAsia" w:ascii="宋体" w:hAnsi="宋体" w:eastAsia="宋体" w:cs="Times New Roman"/>
                <w:snapToGrid/>
                <w:color w:val="000000"/>
                <w:kern w:val="2"/>
                <w:sz w:val="21"/>
                <w:szCs w:val="21"/>
                <w:lang w:val="en-US" w:eastAsia="zh-CN" w:bidi="ar-SA"/>
              </w:rPr>
              <w:t>2</w:t>
            </w:r>
            <w:r>
              <w:rPr>
                <w:rFonts w:hint="eastAsia" w:ascii="宋体" w:hAnsi="宋体" w:eastAsia="宋体" w:cs="Times New Roman"/>
                <w:snapToGrid/>
                <w:color w:val="000000"/>
                <w:kern w:val="2"/>
                <w:sz w:val="21"/>
                <w:szCs w:val="21"/>
                <w:lang w:val="zh-CN" w:eastAsia="zh-CN" w:bidi="ar-SA"/>
              </w:rPr>
              <w:t>分）。</w:t>
            </w:r>
          </w:p>
          <w:p>
            <w:pPr>
              <w:spacing w:before="0" w:beforeAutospacing="0" w:after="0" w:afterAutospacing="0" w:line="320" w:lineRule="exact"/>
              <w:ind w:left="525" w:right="0" w:hanging="525" w:hangingChars="250"/>
              <w:jc w:val="left"/>
              <w:rPr>
                <w:rFonts w:hint="eastAsia" w:ascii="宋体" w:hAnsi="宋体" w:eastAsia="宋体" w:cs="Times New Roman"/>
                <w:snapToGrid/>
                <w:color w:val="000000"/>
                <w:kern w:val="2"/>
                <w:sz w:val="21"/>
                <w:szCs w:val="21"/>
                <w:lang w:val="en-US" w:eastAsia="zh-CN" w:bidi="ar-SA"/>
              </w:rPr>
            </w:pPr>
            <w:r>
              <w:rPr>
                <w:rFonts w:hint="eastAsia" w:ascii="宋体" w:hAnsi="宋体" w:eastAsia="宋体" w:cs="Times New Roman"/>
                <w:snapToGrid/>
                <w:color w:val="000000"/>
                <w:kern w:val="2"/>
                <w:sz w:val="21"/>
                <w:szCs w:val="21"/>
                <w:lang w:val="zh-CN" w:eastAsia="zh-CN" w:bidi="ar-SA"/>
              </w:rPr>
              <w:t>（</w:t>
            </w:r>
            <w:r>
              <w:rPr>
                <w:rFonts w:hint="eastAsia" w:ascii="宋体" w:hAnsi="宋体" w:eastAsia="宋体" w:cs="Times New Roman"/>
                <w:snapToGrid/>
                <w:color w:val="000000"/>
                <w:kern w:val="2"/>
                <w:sz w:val="21"/>
                <w:szCs w:val="21"/>
                <w:lang w:val="en-US" w:eastAsia="zh-CN" w:bidi="ar-SA"/>
              </w:rPr>
              <w:t>2）投入本项目导游情况：导游5人以上得2分，不足5人不得分；有中级以上导游资质的每多一名加1分，最多加3分。</w:t>
            </w:r>
          </w:p>
          <w:p>
            <w:pPr>
              <w:spacing w:before="0" w:beforeAutospacing="0" w:after="0" w:afterAutospacing="0" w:line="320" w:lineRule="exact"/>
              <w:ind w:left="525" w:leftChars="250" w:right="0"/>
              <w:jc w:val="left"/>
              <w:rPr>
                <w:rFonts w:hint="eastAsia" w:ascii="宋体" w:hAnsi="宋体" w:eastAsia="宋体" w:cs="Times New Roman"/>
                <w:snapToGrid/>
                <w:color w:val="000000"/>
                <w:kern w:val="2"/>
                <w:sz w:val="21"/>
                <w:szCs w:val="21"/>
                <w:lang w:val="en-US" w:eastAsia="zh-CN" w:bidi="ar-SA"/>
              </w:rPr>
            </w:pPr>
            <w:r>
              <w:rPr>
                <w:rFonts w:hint="eastAsia" w:ascii="宋体" w:hAnsi="宋体" w:eastAsia="宋体" w:cs="Times New Roman"/>
                <w:snapToGrid/>
                <w:color w:val="000000"/>
                <w:kern w:val="2"/>
                <w:sz w:val="21"/>
                <w:szCs w:val="21"/>
                <w:lang w:val="en-US" w:eastAsia="zh-CN" w:bidi="ar-SA"/>
              </w:rPr>
              <w:t>投标文件中提供导游证复印件加盖公章及近6个月社保缴纳证明复印件加盖公章；</w:t>
            </w:r>
          </w:p>
          <w:p>
            <w:pPr>
              <w:spacing w:before="0" w:beforeAutospacing="0" w:after="0" w:afterAutospacing="0" w:line="320" w:lineRule="exact"/>
              <w:ind w:left="0" w:right="0"/>
              <w:jc w:val="lef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）投入本项目工作人员所获得过政府部门颁发的荣誉，每一项得1分，最高不超过</w:t>
            </w:r>
            <w:r>
              <w:rPr>
                <w:rFonts w:hint="eastAsia" w:ascii="宋体" w:hAnsi="宋体"/>
                <w:color w:val="000000"/>
                <w:szCs w:val="21"/>
                <w:lang w:val="en-US" w:eastAsia="zh-CN"/>
              </w:rPr>
              <w:t>3</w:t>
            </w:r>
            <w:r>
              <w:rPr>
                <w:rFonts w:hint="eastAsia" w:ascii="宋体" w:hAnsi="宋体"/>
                <w:color w:val="000000"/>
                <w:szCs w:val="21"/>
              </w:rPr>
              <w:t>分（提供相应证明材料及社保缴纳证明加盖公章，否则不得分）。</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85"/>
              <w:spacing w:beforeAutospacing="0" w:after="0" w:afterAutospacing="0" w:line="420" w:lineRule="exact"/>
              <w:ind w:left="0" w:right="0" w:firstLine="0" w:firstLineChars="0"/>
              <w:jc w:val="center"/>
              <w:rPr>
                <w:rFonts w:hint="eastAsia" w:ascii="宋体" w:hAnsi="宋体" w:eastAsia="宋体" w:cs="宋体"/>
                <w:szCs w:val="24"/>
              </w:rPr>
            </w:pPr>
            <w:r>
              <w:rPr>
                <w:rFonts w:hint="eastAsia" w:ascii="宋体" w:hAnsi="宋体" w:cs="宋体"/>
                <w:szCs w:val="24"/>
                <w:lang w:val="en-US" w:eastAsia="zh-CN"/>
              </w:rPr>
              <w:t>10</w:t>
            </w:r>
            <w:r>
              <w:rPr>
                <w:rFonts w:hint="eastAsia" w:ascii="宋体" w:hAnsi="宋体" w:eastAsia="宋体" w:cs="宋体"/>
                <w:szCs w:val="24"/>
              </w:rPr>
              <w:t>.0</w:t>
            </w:r>
          </w:p>
        </w:tc>
      </w:tr>
    </w:tbl>
    <w:p>
      <w:pPr>
        <w:pStyle w:val="26"/>
        <w:spacing w:line="360" w:lineRule="auto"/>
        <w:ind w:firstLine="0"/>
        <w:rPr>
          <w:rFonts w:hint="eastAsia" w:ascii="宋体" w:hAnsi="宋体" w:cs="宋体" w:eastAsiaTheme="minorEastAsia"/>
          <w:color w:val="000000"/>
          <w:sz w:val="24"/>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5"/>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5"/>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5"/>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5"/>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5"/>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5"/>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5"/>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20</w:t>
      </w:r>
      <w:r>
        <w:rPr>
          <w:rFonts w:ascii="仿宋" w:hAnsi="仿宋" w:eastAsia="仿宋" w:cs="仿宋"/>
          <w:kern w:val="0"/>
          <w:szCs w:val="24"/>
          <w:highlight w:val="none"/>
        </w:rPr>
        <w:t>%的扣除，用扣除后的价格参与评审。接受大中型企业与小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5"/>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lang w:val="en-US" w:eastAsia="zh-CN"/>
        </w:rPr>
        <w:t>未</w:t>
      </w:r>
      <w:r>
        <w:rPr>
          <w:rFonts w:ascii="仿宋_GB2312" w:hAnsi="仿宋" w:eastAsia="仿宋_GB2312" w:cs="Arial"/>
          <w:kern w:val="0"/>
          <w:sz w:val="24"/>
        </w:rPr>
        <w:t>在电子交易平台传输递交投标文件的，投标无效；</w:t>
      </w:r>
    </w:p>
    <w:p>
      <w:pPr>
        <w:pStyle w:val="2"/>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投标文件不满足招标文件的带“▲”</w:t>
      </w:r>
      <w:r>
        <w:rPr>
          <w:rFonts w:hint="eastAsia" w:cs="Arial"/>
          <w:b w:val="0"/>
          <w:bCs w:val="0"/>
          <w:kern w:val="0"/>
          <w:sz w:val="24"/>
          <w:szCs w:val="24"/>
          <w:highlight w:val="none"/>
          <w:lang w:val="en-US" w:eastAsia="zh-CN"/>
        </w:rPr>
        <w:t>号</w:t>
      </w:r>
      <w:r>
        <w:rPr>
          <w:rFonts w:hint="eastAsia" w:cs="Arial"/>
          <w:b w:val="0"/>
          <w:bCs w:val="0"/>
          <w:kern w:val="0"/>
          <w:sz w:val="24"/>
          <w:szCs w:val="24"/>
          <w:highlight w:val="none"/>
          <w:lang w:val="en-US"/>
        </w:rPr>
        <w:t>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6"/>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3" w:name="第五部分"/>
      <w:bookmarkStart w:id="394"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pStyle w:val="2"/>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385"/>
        <w:rPr>
          <w:rFonts w:ascii="仿宋" w:hAnsi="仿宋" w:eastAsia="仿宋"/>
          <w:szCs w:val="24"/>
        </w:rPr>
      </w:pPr>
    </w:p>
    <w:p>
      <w:pPr>
        <w:pStyle w:val="385"/>
        <w:jc w:val="center"/>
        <w:rPr>
          <w:rFonts w:ascii="仿宋" w:hAnsi="仿宋" w:eastAsia="仿宋"/>
          <w:szCs w:val="24"/>
        </w:rPr>
      </w:pPr>
    </w:p>
    <w:p>
      <w:pPr>
        <w:pStyle w:val="385"/>
        <w:rPr>
          <w:rFonts w:ascii="仿宋" w:hAnsi="仿宋" w:eastAsia="仿宋"/>
          <w:szCs w:val="24"/>
        </w:rPr>
      </w:pPr>
    </w:p>
    <w:p>
      <w:pPr>
        <w:pStyle w:val="385"/>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2"/>
        <w:spacing w:before="120" w:line="22" w:lineRule="atLeast"/>
        <w:rPr>
          <w:rFonts w:ascii="仿宋" w:hAnsi="仿宋" w:eastAsia="仿宋"/>
          <w:szCs w:val="24"/>
        </w:rPr>
      </w:pPr>
    </w:p>
    <w:p>
      <w:pPr>
        <w:pStyle w:val="282"/>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eastAsia="zh-CN"/>
        </w:rPr>
        <w:t>JYCG-2022-025</w:t>
      </w:r>
      <w:r>
        <w:rPr>
          <w:rFonts w:hint="eastAsia" w:ascii="宋体" w:hAnsi="宋体" w:eastAsia="宋体" w:cs="宋体"/>
          <w:b/>
          <w:bCs/>
          <w:color w:val="auto"/>
          <w:sz w:val="24"/>
          <w:szCs w:val="24"/>
          <w:highlight w:val="none"/>
        </w:rPr>
        <w:t>）公开招标的结果，签署本合同。</w:t>
      </w:r>
    </w:p>
    <w:p>
      <w:pPr>
        <w:spacing w:line="560" w:lineRule="exact"/>
        <w:ind w:firstLine="482" w:firstLineChars="200"/>
        <w:outlineLvl w:val="0"/>
        <w:rPr>
          <w:rFonts w:ascii="仿宋" w:hAnsi="仿宋" w:eastAsia="仿宋"/>
          <w:b/>
          <w:sz w:val="24"/>
          <w:highlight w:val="none"/>
        </w:rPr>
      </w:pPr>
      <w:r>
        <w:rPr>
          <w:rFonts w:hint="eastAsia" w:ascii="仿宋" w:hAnsi="仿宋" w:eastAsia="仿宋"/>
          <w:b/>
          <w:sz w:val="24"/>
          <w:highlight w:val="none"/>
          <w:lang w:val="en-US" w:eastAsia="zh-CN"/>
        </w:rPr>
        <w:t>1、</w:t>
      </w:r>
      <w:r>
        <w:rPr>
          <w:rFonts w:hint="eastAsia" w:ascii="仿宋" w:hAnsi="仿宋" w:eastAsia="仿宋"/>
          <w:b/>
          <w:sz w:val="24"/>
          <w:highlight w:val="none"/>
        </w:rPr>
        <w:t>货物</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1.1 </w:t>
      </w:r>
      <w:r>
        <w:rPr>
          <w:rFonts w:hint="eastAsia" w:ascii="仿宋" w:hAnsi="仿宋" w:eastAsia="仿宋"/>
          <w:sz w:val="24"/>
          <w:highlight w:val="none"/>
        </w:rPr>
        <w:t>货物名称：</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 </w:t>
      </w:r>
      <w:r>
        <w:rPr>
          <w:rFonts w:hint="eastAsia" w:ascii="仿宋" w:hAnsi="仿宋" w:eastAsia="仿宋"/>
          <w:sz w:val="24"/>
          <w:highlight w:val="none"/>
        </w:rPr>
        <w:t>货物数量：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1.3 </w:t>
      </w:r>
      <w:r>
        <w:rPr>
          <w:rFonts w:hint="eastAsia" w:ascii="仿宋" w:hAnsi="仿宋" w:eastAsia="仿宋"/>
          <w:sz w:val="24"/>
          <w:highlight w:val="none"/>
        </w:rPr>
        <w:t>货物质量：</w:t>
      </w:r>
      <w:r>
        <w:rPr>
          <w:rFonts w:hint="eastAsia" w:ascii="仿宋" w:hAnsi="仿宋" w:eastAsia="仿宋"/>
          <w:sz w:val="24"/>
          <w:highlight w:val="none"/>
          <w:u w:val="single"/>
        </w:rPr>
        <w:t>　　　　　　　　　</w:t>
      </w:r>
      <w:r>
        <w:rPr>
          <w:rFonts w:ascii="仿宋" w:hAnsi="仿宋" w:eastAsia="仿宋"/>
          <w:sz w:val="24"/>
          <w:highlight w:val="none"/>
          <w:u w:val="single"/>
        </w:rPr>
        <w:t xml:space="preserve">                      　      </w:t>
      </w:r>
      <w:r>
        <w:rPr>
          <w:rFonts w:hint="eastAsia" w:ascii="仿宋" w:hAnsi="仿宋" w:eastAsia="仿宋"/>
          <w:sz w:val="24"/>
          <w:highlight w:val="none"/>
        </w:rPr>
        <w:t>。</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sz w:val="24"/>
          <w:highlight w:val="none"/>
          <w:lang w:val="en-US" w:eastAsia="zh-CN"/>
        </w:rPr>
        <w:t>2、</w:t>
      </w:r>
      <w:r>
        <w:rPr>
          <w:rFonts w:hint="eastAsia" w:ascii="仿宋" w:hAnsi="仿宋" w:eastAsia="仿宋"/>
          <w:b/>
          <w:sz w:val="24"/>
          <w:highlight w:val="none"/>
        </w:rPr>
        <w:t>价款</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bl>
    <w:p>
      <w:pPr>
        <w:spacing w:line="360" w:lineRule="auto"/>
        <w:ind w:firstLine="480" w:firstLineChars="200"/>
        <w:rPr>
          <w:rFonts w:hint="eastAsia" w:ascii="仿宋" w:hAnsi="仿宋" w:eastAsia="仿宋" w:cs="Times New Roman"/>
          <w:kern w:val="0"/>
          <w:sz w:val="24"/>
          <w:szCs w:val="20"/>
        </w:rPr>
      </w:pPr>
    </w:p>
    <w:p>
      <w:pPr>
        <w:pStyle w:val="34"/>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4"/>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spacing w:line="360" w:lineRule="auto"/>
        <w:ind w:firstLine="420" w:firstLineChars="200"/>
        <w:rPr>
          <w:rFonts w:ascii="仿宋" w:hAnsi="仿宋" w:eastAsia="仿宋"/>
          <w:sz w:val="24"/>
        </w:rPr>
      </w:pPr>
      <w:r>
        <w:rPr>
          <w:rFonts w:hint="eastAsia" w:ascii="仿宋" w:hAnsi="仿宋" w:eastAsia="仿宋"/>
          <w:lang w:val="en-US" w:eastAsia="zh-CN"/>
        </w:rPr>
        <w:t xml:space="preserve"> /</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.履行期限、地点和方式</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 履行期限：</w:t>
      </w:r>
      <w:r>
        <w:rPr>
          <w:rFonts w:hint="eastAsia" w:ascii="宋体" w:hAnsi="宋体" w:eastAsia="宋体" w:cs="宋体"/>
          <w:color w:val="auto"/>
          <w:sz w:val="24"/>
          <w:highlight w:val="none"/>
          <w:u w:val="single" w:color="auto"/>
        </w:rPr>
        <w:t>合同期限为</w:t>
      </w:r>
      <w:r>
        <w:rPr>
          <w:rFonts w:hint="eastAsia" w:ascii="宋体" w:hAnsi="宋体" w:eastAsia="宋体" w:cs="宋体"/>
          <w:color w:val="auto"/>
          <w:sz w:val="24"/>
          <w:highlight w:val="none"/>
          <w:u w:val="single" w:color="auto"/>
          <w:lang w:val="en-US" w:eastAsia="zh-CN"/>
        </w:rPr>
        <w:t>签订合同之日起至20年</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月</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日</w:t>
      </w:r>
      <w:r>
        <w:rPr>
          <w:rFonts w:hint="eastAsia" w:ascii="宋体" w:hAnsi="宋体" w:eastAsia="宋体" w:cs="宋体"/>
          <w:color w:val="auto"/>
          <w:sz w:val="24"/>
          <w:highlight w:val="none"/>
          <w:u w:val="single" w:color="auto"/>
        </w:rPr>
        <w:t>。合同期满后，乙方根据甲方需求另行签订补充服务协议；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2 履行地点：</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 履行方式：</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360" w:lineRule="auto"/>
        <w:ind w:firstLine="482" w:firstLineChars="200"/>
        <w:outlineLvl w:val="0"/>
        <w:rPr>
          <w:rFonts w:ascii="仿宋" w:hAnsi="仿宋" w:eastAsia="仿宋"/>
          <w:b/>
          <w:sz w:val="24"/>
          <w:highlight w:val="none"/>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sz w:val="24"/>
          <w:highlight w:val="none"/>
        </w:rPr>
        <w:t>付款方式、时间和条件</w:t>
      </w:r>
    </w:p>
    <w:p>
      <w:pPr>
        <w:pStyle w:val="617"/>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%。甲方可以根据项目特点、乙方信用等实际情况提高预付款比例，最高预付比例可以达到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highlight w:val="none"/>
        </w:rPr>
        <w:t>.4资金支付的方式、时间和条</w:t>
      </w:r>
      <w:r>
        <w:rPr>
          <w:rFonts w:hint="eastAsia" w:ascii="仿宋" w:hAnsi="仿宋" w:eastAsia="仿宋"/>
          <w:sz w:val="24"/>
          <w:highlight w:val="none"/>
          <w:lang w:val="en-US" w:eastAsia="zh-CN"/>
        </w:rPr>
        <w:t>件：</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highlight w:val="none"/>
          <w:lang w:val="en-US" w:eastAsia="zh-CN"/>
        </w:rPr>
        <w:t>13.1</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lang w:val="en-US" w:eastAsia="zh-CN"/>
        </w:rPr>
        <w:t>14</w:t>
      </w:r>
      <w:r>
        <w:rPr>
          <w:rFonts w:hint="eastAsia" w:ascii="仿宋" w:hAnsi="仿宋" w:eastAsia="仿宋"/>
          <w:sz w:val="24"/>
        </w:rPr>
        <w:t>.7违约责任</w:t>
      </w:r>
      <w:r>
        <w:rPr>
          <w:rFonts w:hint="eastAsia" w:ascii="仿宋" w:hAnsi="仿宋" w:eastAsia="仿宋"/>
          <w:sz w:val="24"/>
          <w:lang w:val="en-US" w:eastAsia="zh-CN"/>
        </w:rPr>
        <w:t>采购人</w:t>
      </w:r>
      <w:r>
        <w:rPr>
          <w:rFonts w:hint="eastAsia" w:ascii="仿宋" w:hAnsi="仿宋" w:eastAsia="仿宋"/>
          <w:sz w:val="24"/>
        </w:rPr>
        <w:t>另有约定的</w:t>
      </w:r>
      <w:r>
        <w:rPr>
          <w:rFonts w:hint="eastAsia" w:ascii="仿宋" w:hAnsi="仿宋" w:eastAsia="仿宋"/>
          <w:sz w:val="24"/>
          <w:lang w:eastAsia="zh-CN"/>
        </w:rPr>
        <w:t>：</w:t>
      </w:r>
      <w:r>
        <w:rPr>
          <w:rFonts w:hint="eastAsia" w:ascii="仿宋" w:hAnsi="仿宋" w:eastAsia="仿宋"/>
          <w:sz w:val="24"/>
          <w:highlight w:val="none"/>
          <w:u w:val="single" w:color="auto"/>
          <w:lang w:val="en-US" w:eastAsia="zh-CN"/>
        </w:rPr>
        <w:t xml:space="preserve">                         </w:t>
      </w:r>
      <w:r>
        <w:rPr>
          <w:rFonts w:hint="eastAsia" w:ascii="仿宋" w:hAnsi="仿宋" w:eastAsia="仿宋"/>
          <w:sz w:val="24"/>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15.</w:t>
      </w:r>
      <w:r>
        <w:rPr>
          <w:rFonts w:hint="eastAsia" w:ascii="仿宋" w:hAnsi="仿宋" w:eastAsia="仿宋" w:cs="仿宋"/>
          <w:b/>
          <w:bCs/>
          <w:sz w:val="24"/>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15.1</w:t>
      </w:r>
      <w:r>
        <w:rPr>
          <w:rFonts w:hint="eastAsia" w:ascii="仿宋" w:hAnsi="仿宋" w:eastAsia="仿宋" w:cs="仿宋"/>
          <w:sz w:val="24"/>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15.2</w:t>
      </w:r>
      <w:r>
        <w:rPr>
          <w:rFonts w:hint="eastAsia" w:ascii="仿宋" w:hAnsi="仿宋" w:eastAsia="仿宋" w:cs="仿宋"/>
          <w:sz w:val="24"/>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15.3</w:t>
      </w:r>
      <w:r>
        <w:rPr>
          <w:rFonts w:hint="eastAsia" w:ascii="仿宋" w:hAnsi="仿宋" w:eastAsia="仿宋" w:cs="仿宋"/>
          <w:sz w:val="24"/>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16.</w:t>
      </w:r>
      <w:r>
        <w:rPr>
          <w:rFonts w:hint="eastAsia" w:ascii="仿宋" w:hAnsi="仿宋" w:eastAsia="仿宋" w:cs="仿宋"/>
          <w:b/>
          <w:bCs/>
          <w:sz w:val="24"/>
        </w:rPr>
        <w:t>诉讼</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17.</w:t>
      </w:r>
      <w:r>
        <w:rPr>
          <w:rFonts w:hint="eastAsia" w:ascii="仿宋" w:hAnsi="仿宋" w:eastAsia="仿宋" w:cs="仿宋"/>
          <w:b/>
          <w:bCs/>
          <w:sz w:val="24"/>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17.1</w:t>
      </w:r>
      <w:r>
        <w:rPr>
          <w:rFonts w:hint="eastAsia" w:ascii="仿宋" w:hAnsi="仿宋" w:eastAsia="仿宋" w:cs="仿宋"/>
          <w:sz w:val="24"/>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17.2</w:t>
      </w:r>
      <w:r>
        <w:rPr>
          <w:rFonts w:hint="eastAsia" w:ascii="仿宋" w:hAnsi="仿宋" w:eastAsia="仿宋" w:cs="仿宋"/>
          <w:sz w:val="24"/>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17.3</w:t>
      </w:r>
      <w:r>
        <w:rPr>
          <w:rFonts w:hint="eastAsia" w:ascii="仿宋" w:hAnsi="仿宋" w:eastAsia="仿宋" w:cs="仿宋"/>
          <w:sz w:val="24"/>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highlight w:val="none"/>
        </w:rPr>
      </w:pPr>
      <w:r>
        <w:rPr>
          <w:rFonts w:hint="eastAsia" w:ascii="仿宋" w:hAnsi="仿宋" w:eastAsia="仿宋" w:cs="仿宋"/>
          <w:sz w:val="24"/>
          <w:lang w:val="en-US" w:eastAsia="zh-CN"/>
        </w:rPr>
        <w:t xml:space="preserve">    </w:t>
      </w:r>
      <w:r>
        <w:rPr>
          <w:rFonts w:hint="eastAsia" w:ascii="仿宋" w:hAnsi="仿宋" w:eastAsia="仿宋" w:cs="仿宋"/>
          <w:b/>
          <w:bCs/>
          <w:sz w:val="24"/>
          <w:lang w:eastAsia="zh-CN"/>
        </w:rPr>
        <w:t>1</w:t>
      </w:r>
      <w:r>
        <w:rPr>
          <w:rFonts w:hint="eastAsia" w:ascii="仿宋" w:hAnsi="仿宋" w:eastAsia="仿宋" w:cs="仿宋"/>
          <w:b/>
          <w:bCs/>
          <w:sz w:val="24"/>
          <w:lang w:val="en-US" w:eastAsia="zh-CN"/>
        </w:rPr>
        <w:t>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w:t>
      </w:r>
      <w:r>
        <w:rPr>
          <w:rFonts w:hint="eastAsia" w:ascii="仿宋" w:hAnsi="仿宋" w:eastAsia="仿宋" w:cs="仿宋"/>
          <w:b/>
          <w:bCs/>
          <w:sz w:val="24"/>
          <w:highlight w:val="none"/>
        </w:rPr>
        <w:t>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17.5</w:t>
      </w:r>
      <w:r>
        <w:rPr>
          <w:rFonts w:hint="eastAsia" w:ascii="仿宋" w:hAnsi="仿宋" w:eastAsia="仿宋" w:cs="仿宋"/>
          <w:sz w:val="24"/>
          <w:highlight w:val="none"/>
        </w:rPr>
        <w:t>本合同未尽事宜，遵照《</w:t>
      </w:r>
      <w:r>
        <w:rPr>
          <w:rFonts w:hint="eastAsia" w:ascii="仿宋" w:hAnsi="仿宋" w:eastAsia="仿宋" w:cs="仿宋"/>
          <w:sz w:val="24"/>
          <w:highlight w:val="none"/>
          <w:lang w:val="en-US" w:eastAsia="zh-CN"/>
        </w:rPr>
        <w:t>民法典</w:t>
      </w:r>
      <w:r>
        <w:rPr>
          <w:rFonts w:hint="eastAsia" w:ascii="仿宋" w:hAnsi="仿宋" w:eastAsia="仿宋" w:cs="仿宋"/>
          <w:sz w:val="24"/>
          <w:highlight w:val="none"/>
        </w:rPr>
        <w:t>》有关条文执行。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highlight w:val="none"/>
          <w:lang w:val="en-US" w:eastAsia="zh-CN"/>
        </w:rPr>
        <w:t xml:space="preserve">    17.6</w:t>
      </w:r>
      <w:r>
        <w:rPr>
          <w:rFonts w:hint="eastAsia" w:ascii="仿宋" w:hAnsi="仿宋" w:eastAsia="仿宋" w:cs="仿宋"/>
          <w:sz w:val="24"/>
          <w:highlight w:val="none"/>
        </w:rPr>
        <w:t>本合同一式多份，具有同等法律效力，甲</w:t>
      </w:r>
      <w:r>
        <w:rPr>
          <w:rFonts w:hint="eastAsia" w:ascii="仿宋" w:hAnsi="仿宋" w:eastAsia="仿宋" w:cs="仿宋"/>
          <w:sz w:val="24"/>
        </w:rPr>
        <w:t xml:space="preserve">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jc w:val="center"/>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签约时间：      年    月   日</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bCs/>
          <w:sz w:val="24"/>
        </w:rPr>
      </w:pPr>
      <w:bookmarkStart w:id="395" w:name="_Toc326765771"/>
      <w:bookmarkStart w:id="396" w:name="_Toc339872468"/>
      <w:bookmarkStart w:id="397" w:name="_Toc328381300"/>
      <w:bookmarkStart w:id="398" w:name="_Toc350327365"/>
      <w:bookmarkStart w:id="399" w:name="_Toc868"/>
      <w:bookmarkStart w:id="400" w:name="_Toc349721554"/>
      <w:r>
        <w:rPr>
          <w:rFonts w:hint="eastAsia" w:ascii="仿宋" w:hAnsi="仿宋" w:eastAsia="仿宋" w:cs="仿宋"/>
          <w:b/>
          <w:bCs/>
          <w:sz w:val="24"/>
        </w:rPr>
        <w:t xml:space="preserve"> 此仅为合同书样本，中标单位需根据实际情况和采购人签订相应的合同！</w:t>
      </w:r>
      <w:bookmarkEnd w:id="395"/>
      <w:bookmarkEnd w:id="396"/>
      <w:bookmarkEnd w:id="397"/>
      <w:bookmarkEnd w:id="398"/>
      <w:bookmarkEnd w:id="399"/>
      <w:bookmarkEnd w:id="400"/>
    </w:p>
    <w:p>
      <w:pPr>
        <w:snapToGrid/>
        <w:spacing w:before="0" w:beforeLines="0" w:after="0" w:line="360" w:lineRule="auto"/>
        <w:rPr>
          <w:rFonts w:hint="eastAsia" w:ascii="仿宋" w:hAnsi="仿宋" w:eastAsia="仿宋" w:cs="仿宋"/>
          <w:b/>
          <w:bCs/>
          <w:sz w:val="24"/>
        </w:rPr>
        <w:sectPr>
          <w:pgSz w:w="11906" w:h="16838"/>
          <w:pgMar w:top="1558" w:right="1531" w:bottom="468" w:left="1531" w:header="851" w:footer="851" w:gutter="0"/>
          <w:cols w:space="720" w:num="1"/>
          <w:titlePg/>
          <w:docGrid w:type="lines" w:linePitch="312" w:charSpace="0"/>
        </w:sectPr>
      </w:pPr>
      <w:bookmarkStart w:id="401" w:name="_Toc194217895"/>
    </w:p>
    <w:bookmarkEnd w:id="401"/>
    <w:p>
      <w:pPr>
        <w:pStyle w:val="2"/>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3"/>
      <w:r>
        <w:rPr>
          <w:rFonts w:ascii="仿宋" w:hAnsi="仿宋" w:eastAsia="仿宋" w:cs="仿宋_GB2312"/>
          <w:b/>
          <w:sz w:val="36"/>
          <w:szCs w:val="20"/>
        </w:rPr>
        <w:t xml:space="preserve"> </w:t>
      </w:r>
      <w:bookmarkEnd w:id="394"/>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ascii="仿宋_GB2312" w:hAnsi="仿宋" w:eastAsia="仿宋_GB2312" w:cs="仿宋_GB2312"/>
          <w:sz w:val="24"/>
          <w:highlight w:val="none"/>
        </w:rPr>
        <w:t>符合参加政府采购活动应当具备的一般条件的承诺函……</w:t>
      </w:r>
      <w:r>
        <w:rPr>
          <w:rFonts w:hint="eastAsia" w:ascii="仿宋_GB2312" w:hAnsi="仿宋" w:eastAsia="仿宋_GB2312" w:cs="仿宋_GB2312"/>
          <w:sz w:val="24"/>
          <w:highlight w:val="none"/>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我方参与（杭州市公安局临平区分局2022年工会疗休养项目）【</w:t>
      </w:r>
      <w:r>
        <w:rPr>
          <w:rFonts w:hint="eastAsia" w:ascii="仿宋_GB2312" w:hAnsi="仿宋" w:eastAsia="仿宋_GB2312" w:cs="仿宋_GB2312"/>
          <w:sz w:val="24"/>
          <w:lang w:val="en-US" w:eastAsia="zh-CN"/>
        </w:rPr>
        <w:t>项目编号</w:t>
      </w:r>
      <w:r>
        <w:rPr>
          <w:rFonts w:hint="eastAsia" w:ascii="仿宋_GB2312" w:hAnsi="仿宋" w:eastAsia="仿宋_GB2312" w:cs="仿宋_GB2312"/>
          <w:sz w:val="24"/>
        </w:rPr>
        <w:t>：</w:t>
      </w:r>
      <w:r>
        <w:rPr>
          <w:rFonts w:hint="eastAsia" w:hAnsi="宋体" w:cs="宋体"/>
          <w:b/>
          <w:bCs/>
          <w:color w:val="auto"/>
          <w:sz w:val="24"/>
          <w:szCs w:val="24"/>
          <w:highlight w:val="none"/>
          <w:lang w:eastAsia="zh-CN"/>
        </w:rPr>
        <w:t>JYCG-2022-025</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Times New Roman"/>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lang w:val="en-US" w:eastAsia="zh-CN"/>
        </w:rPr>
        <w:t>二</w:t>
      </w:r>
      <w:r>
        <w:rPr>
          <w:rFonts w:hint="eastAsia" w:ascii="仿宋_GB2312" w:hAnsi="仿宋" w:eastAsia="仿宋_GB2312"/>
          <w:sz w:val="24"/>
          <w:lang w:eastAsia="zh-CN"/>
        </w:rPr>
        <w:t>）</w:t>
      </w:r>
      <w:r>
        <w:rPr>
          <w:rFonts w:hint="eastAsia" w:ascii="仿宋_GB2312" w:hAnsi="仿宋" w:eastAsia="仿宋_GB2312"/>
          <w:sz w:val="24"/>
        </w:rPr>
        <w:t>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2"/>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ascii="仿宋_GB2312" w:hAnsi="仿宋" w:eastAsia="仿宋_GB2312" w:cs="仿宋_GB2312"/>
          <w:sz w:val="24"/>
        </w:rPr>
        <w:t>）</w:t>
      </w:r>
      <w:r>
        <w:rPr>
          <w:rFonts w:hint="eastAsia" w:ascii="仿宋_GB2312" w:hAnsi="仿宋" w:eastAsia="仿宋_GB2312" w:cs="仿宋_GB2312"/>
          <w:sz w:val="24"/>
          <w:lang w:val="en-US" w:eastAsia="zh-CN"/>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both"/>
        <w:rPr>
          <w:rFonts w:ascii="仿宋_GB2312" w:hAnsi="仿宋"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rPr>
        <w:t>…………………………………</w:t>
      </w:r>
      <w:r>
        <w:rPr>
          <w:rFonts w:hint="eastAsia" w:cs="仿宋_GB2312"/>
          <w:lang w:val="en-US" w:eastAsia="zh-CN"/>
        </w:rPr>
        <w:t xml:space="preserve"> </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bookmarkStart w:id="409" w:name="_GoBack"/>
      <w:bookmarkEnd w:id="409"/>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before="0" w:beforeAutospacing="0" w:after="0" w:afterAutospacing="0" w:line="360" w:lineRule="auto"/>
              <w:ind w:left="0" w:right="0"/>
              <w:rPr>
                <w:rFonts w:hint="eastAsia" w:ascii="仿宋_GB2312" w:hAnsi="仿宋" w:eastAsia="仿宋_GB2312" w:cs="Times New Roman"/>
                <w:bCs/>
                <w:sz w:val="24"/>
                <w:szCs w:val="20"/>
              </w:rPr>
            </w:pPr>
            <w:r>
              <w:rPr>
                <w:rFonts w:hint="eastAsia" w:ascii="仿宋_GB2312" w:hAnsi="仿宋" w:eastAsia="仿宋_GB2312" w:cs="Times New Roman"/>
                <w:bCs/>
                <w:sz w:val="24"/>
                <w:szCs w:val="20"/>
              </w:rPr>
              <w:t>正面：                                 反面：</w:t>
            </w:r>
          </w:p>
          <w:p>
            <w:pPr>
              <w:pStyle w:val="87"/>
              <w:adjustRightInd w:val="0"/>
              <w:spacing w:before="0" w:beforeAutospacing="0" w:after="0" w:afterAutospacing="0" w:line="360" w:lineRule="auto"/>
              <w:ind w:left="0" w:right="0"/>
              <w:rPr>
                <w:rFonts w:hint="eastAsia" w:ascii="仿宋_GB2312" w:hAnsi="仿宋" w:eastAsia="仿宋_GB2312" w:cs="Times New Roman"/>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highlight w:val="green"/>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w:t>
      </w:r>
      <w:r>
        <w:rPr>
          <w:rFonts w:hint="eastAsia" w:ascii="仿宋_GB2312" w:hAnsi="仿宋" w:eastAsia="仿宋_GB2312" w:cs="仿宋_GB2312"/>
          <w:kern w:val="0"/>
          <w:sz w:val="24"/>
          <w:highlight w:val="none"/>
        </w:rPr>
        <w:t>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w:t>
      </w:r>
      <w:r>
        <w:rPr>
          <w:rFonts w:hint="eastAsia" w:ascii="仿宋_GB2312" w:hAnsi="仿宋" w:eastAsia="仿宋_GB2312" w:cs="仿宋_GB2312"/>
          <w:b/>
          <w:kern w:val="0"/>
          <w:sz w:val="24"/>
          <w:highlight w:val="none"/>
          <w:lang w:val="zh-CN"/>
        </w:rPr>
        <w:t>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highlight w:val="none"/>
          <w:lang w:val="zh-CN"/>
        </w:rPr>
        <w:t xml:space="preserve">                                               投标人名称(电子签</w:t>
      </w:r>
      <w:r>
        <w:rPr>
          <w:rFonts w:ascii="仿宋_GB2312" w:hAnsi="仿宋" w:eastAsia="仿宋_GB2312" w:cs="仿宋_GB2312"/>
          <w:kern w:val="0"/>
          <w:sz w:val="24"/>
          <w:lang w:val="zh-CN"/>
        </w:rPr>
        <w:t>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spacing w:before="0" w:beforeAutospacing="0" w:after="0" w:afterAutospacing="0"/>
              <w:ind w:left="0" w:right="0"/>
              <w:rPr>
                <w:rFonts w:hint="eastAsia" w:ascii="Times New Roman" w:hAnsi="Times New Roman" w:cs="Times New Roman"/>
                <w:sz w:val="20"/>
                <w:szCs w:val="20"/>
              </w:rPr>
            </w:pPr>
            <w:r>
              <w:rPr>
                <w:rFonts w:hint="eastAsia" w:ascii="仿宋" w:hAnsi="Times New Roman" w:eastAsia="仿宋" w:cs="仿宋_GB2312"/>
                <w:sz w:val="24"/>
                <w:szCs w:val="20"/>
              </w:rPr>
              <w:t>第</w:t>
            </w:r>
            <w:r>
              <w:rPr>
                <w:rFonts w:hint="eastAsia" w:ascii="仿宋" w:hAnsi="Times New Roman" w:eastAsia="仿宋" w:cs="仿宋_GB2312"/>
                <w:sz w:val="24"/>
                <w:szCs w:val="20"/>
                <w:u w:val="single"/>
              </w:rPr>
              <w:t xml:space="preserve">  </w:t>
            </w:r>
            <w:r>
              <w:rPr>
                <w:rFonts w:hint="eastAsia" w:ascii="仿宋" w:hAnsi="Times New Roman"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cs="Times New Roman"/>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pStyle w:val="2"/>
              <w:spacing w:before="0" w:beforeAutospacing="0" w:after="0" w:afterAutospacing="0"/>
              <w:ind w:right="0"/>
              <w:rPr>
                <w:rFonts w:hint="eastAsia" w:ascii="Times New Roman" w:hAnsi="Times New Roman" w:cs="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Times New Roman"/>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投标函</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highlight w:val="green"/>
        </w:rPr>
      </w:pPr>
    </w:p>
    <w:p>
      <w:pPr>
        <w:jc w:val="center"/>
        <w:rPr>
          <w:rFonts w:hint="eastAsia" w:ascii="仿宋_GB2312" w:hAnsi="仿宋" w:eastAsia="仿宋_GB2312" w:cs="仿宋_GB2312"/>
          <w:b/>
          <w:kern w:val="0"/>
          <w:sz w:val="32"/>
          <w:szCs w:val="32"/>
          <w:highlight w:val="green"/>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pPr>
        <w:pStyle w:val="2"/>
        <w:rPr>
          <w:rFonts w:hint="eastAsia" w:ascii="仿宋_GB2312" w:hAnsi="仿宋" w:eastAsia="仿宋_GB2312" w:cs="仿宋_GB2312"/>
          <w:b/>
          <w:kern w:val="0"/>
          <w:sz w:val="32"/>
          <w:szCs w:val="32"/>
          <w:highlight w:val="none"/>
        </w:rPr>
      </w:pPr>
    </w:p>
    <w:p>
      <w:pPr>
        <w:rPr>
          <w:rFonts w:hint="eastAsia" w:ascii="仿宋_GB2312" w:hAnsi="仿宋" w:eastAsia="仿宋_GB2312" w:cs="仿宋_GB2312"/>
          <w:b/>
          <w:kern w:val="0"/>
          <w:sz w:val="32"/>
          <w:szCs w:val="32"/>
        </w:rPr>
      </w:pPr>
    </w:p>
    <w:p>
      <w:pPr>
        <w:pStyle w:val="2"/>
        <w:rPr>
          <w:rFonts w:hint="eastAsia" w:ascii="仿宋_GB2312" w:hAnsi="仿宋" w:eastAsia="仿宋_GB2312" w:cs="仿宋_GB2312"/>
          <w:b/>
          <w:kern w:val="0"/>
          <w:sz w:val="32"/>
          <w:szCs w:val="32"/>
        </w:rPr>
      </w:pPr>
    </w:p>
    <w:p>
      <w:pPr>
        <w:rPr>
          <w:rFonts w:hint="eastAsia"/>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序号</w:t>
            </w:r>
          </w:p>
        </w:tc>
        <w:tc>
          <w:tcPr>
            <w:tcW w:w="3683"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仿宋" w:hAnsi="仿宋" w:eastAsia="仿宋"/>
          <w:kern w:val="2"/>
          <w:sz w:val="32"/>
          <w:szCs w:val="32"/>
          <w:highlight w:val="none"/>
          <w:lang w:eastAsia="zh-CN"/>
        </w:rPr>
      </w:pPr>
      <w:r>
        <w:rPr>
          <w:rFonts w:hint="eastAsia" w:ascii="仿宋_GB2312" w:hAnsi="仿宋" w:eastAsia="仿宋_GB2312" w:cs="仿宋_GB2312"/>
          <w:kern w:val="2"/>
          <w:sz w:val="32"/>
          <w:szCs w:val="32"/>
        </w:rPr>
        <w:t>一、</w:t>
      </w:r>
      <w:r>
        <w:rPr>
          <w:rFonts w:hint="eastAsia" w:ascii="仿宋" w:hAnsi="仿宋" w:eastAsia="仿宋" w:cs="仿宋"/>
          <w:kern w:val="2"/>
          <w:sz w:val="32"/>
          <w:szCs w:val="32"/>
          <w:highlight w:val="none"/>
        </w:rPr>
        <w:t>开标一览表（报价表）</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lang w:val="en-US" w:eastAsia="zh-CN"/>
        </w:rPr>
        <w:t>标项一</w:t>
      </w:r>
      <w:r>
        <w:rPr>
          <w:rFonts w:hint="eastAsia" w:ascii="仿宋" w:hAnsi="仿宋" w:eastAsia="仿宋" w:cs="仿宋"/>
          <w:kern w:val="2"/>
          <w:sz w:val="32"/>
          <w:szCs w:val="32"/>
          <w:highlight w:val="none"/>
          <w:lang w:eastAsia="zh-CN"/>
        </w:rPr>
        <w:t>）</w:t>
      </w:r>
    </w:p>
    <w:p>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pPr>
        <w:snapToGrid w:val="0"/>
        <w:spacing w:line="360" w:lineRule="auto"/>
        <w:ind w:firstLine="482"/>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highlight w:val="none"/>
        </w:rPr>
        <w:t>（项目名称）</w:t>
      </w:r>
      <w:r>
        <w:rPr>
          <w:rFonts w:hint="eastAsia" w:ascii="仿宋" w:hAnsi="仿宋" w:eastAsia="仿宋" w:cs="仿宋"/>
          <w:kern w:val="0"/>
          <w:sz w:val="24"/>
          <w:szCs w:val="24"/>
          <w:highlight w:val="none"/>
          <w:lang w:val="zh-CN"/>
        </w:rPr>
        <w:t>【招标编号：</w:t>
      </w:r>
      <w:r>
        <w:rPr>
          <w:rFonts w:hint="eastAsia" w:ascii="仿宋" w:hAnsi="仿宋" w:eastAsia="仿宋" w:cs="仿宋"/>
          <w:sz w:val="24"/>
          <w:szCs w:val="24"/>
          <w:highlight w:val="none"/>
        </w:rPr>
        <w:t>（采购编号）】的实施</w:t>
      </w:r>
      <w:r>
        <w:rPr>
          <w:rFonts w:hint="eastAsia" w:ascii="仿宋" w:hAnsi="仿宋" w:eastAsia="仿宋" w:cs="仿宋"/>
          <w:kern w:val="0"/>
          <w:sz w:val="24"/>
          <w:szCs w:val="24"/>
          <w:highlight w:val="none"/>
          <w:lang w:val="zh-CN"/>
        </w:rPr>
        <w:t>。</w:t>
      </w:r>
    </w:p>
    <w:p>
      <w:pPr>
        <w:spacing w:line="360" w:lineRule="auto"/>
        <w:jc w:val="center"/>
        <w:rPr>
          <w:rFonts w:ascii="仿宋" w:hAnsi="仿宋" w:eastAsia="仿宋" w:cs="仿宋"/>
          <w:b/>
          <w:bCs/>
          <w:kern w:val="0"/>
          <w:sz w:val="24"/>
          <w:szCs w:val="24"/>
          <w:highlight w:val="none"/>
          <w:lang w:val="zh-CN"/>
        </w:rPr>
      </w:pPr>
      <w:r>
        <w:rPr>
          <w:rFonts w:hint="eastAsia" w:ascii="仿宋" w:hAnsi="仿宋" w:eastAsia="仿宋" w:cs="仿宋"/>
          <w:b/>
          <w:bCs/>
          <w:kern w:val="0"/>
          <w:sz w:val="24"/>
          <w:szCs w:val="24"/>
          <w:highlight w:val="none"/>
          <w:lang w:val="zh-CN"/>
        </w:rPr>
        <w:t>开标一览表（报价表）</w:t>
      </w:r>
      <w:r>
        <w:rPr>
          <w:rFonts w:ascii="仿宋" w:hAnsi="仿宋" w:eastAsia="仿宋" w:cs="仿宋"/>
          <w:b/>
          <w:bCs/>
          <w:kern w:val="0"/>
          <w:sz w:val="24"/>
          <w:szCs w:val="24"/>
          <w:highlight w:val="none"/>
          <w:lang w:val="zh-CN"/>
        </w:rPr>
        <w:t>(</w:t>
      </w:r>
      <w:r>
        <w:rPr>
          <w:rFonts w:hint="eastAsia" w:ascii="仿宋" w:hAnsi="仿宋" w:eastAsia="仿宋" w:cs="仿宋"/>
          <w:b/>
          <w:bCs/>
          <w:kern w:val="0"/>
          <w:sz w:val="24"/>
          <w:szCs w:val="24"/>
          <w:highlight w:val="none"/>
          <w:lang w:val="zh-CN"/>
        </w:rPr>
        <w:t>单位均为人民币元</w:t>
      </w:r>
      <w:r>
        <w:rPr>
          <w:rFonts w:ascii="仿宋" w:hAnsi="仿宋" w:eastAsia="仿宋" w:cs="仿宋"/>
          <w:b/>
          <w:bCs/>
          <w:kern w:val="0"/>
          <w:sz w:val="24"/>
          <w:szCs w:val="24"/>
          <w:highlight w:val="none"/>
          <w:lang w:val="zh-CN"/>
        </w:rPr>
        <w:t>)</w:t>
      </w:r>
    </w:p>
    <w:tbl>
      <w:tblPr>
        <w:tblStyle w:val="62"/>
        <w:tblW w:w="126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11"/>
        <w:gridCol w:w="1906"/>
        <w:gridCol w:w="1425"/>
        <w:gridCol w:w="1297"/>
        <w:gridCol w:w="2279"/>
        <w:gridCol w:w="24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49" w:hRule="atLeast"/>
          <w:tblHeader/>
          <w:jc w:val="center"/>
        </w:trPr>
        <w:tc>
          <w:tcPr>
            <w:tcW w:w="3211" w:type="dxa"/>
            <w:tcBorders>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1906"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线路内容</w:t>
            </w:r>
          </w:p>
        </w:tc>
        <w:tc>
          <w:tcPr>
            <w:tcW w:w="1425"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服务期</w:t>
            </w:r>
          </w:p>
        </w:tc>
        <w:tc>
          <w:tcPr>
            <w:tcW w:w="1297"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数量</w:t>
            </w:r>
          </w:p>
        </w:tc>
        <w:tc>
          <w:tcPr>
            <w:tcW w:w="2279"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单价</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元</w:t>
            </w:r>
            <w:r>
              <w:rPr>
                <w:rFonts w:hint="eastAsia" w:ascii="仿宋" w:hAnsi="仿宋" w:eastAsia="仿宋" w:cs="仿宋"/>
                <w:sz w:val="24"/>
                <w:highlight w:val="none"/>
                <w:lang w:eastAsia="zh-CN"/>
              </w:rPr>
              <w:t>）</w:t>
            </w:r>
          </w:p>
        </w:tc>
        <w:tc>
          <w:tcPr>
            <w:tcW w:w="2497"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投标报价</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元</w:t>
            </w:r>
            <w:r>
              <w:rPr>
                <w:rFonts w:hint="eastAsia" w:ascii="仿宋" w:hAnsi="仿宋" w:eastAsia="仿宋" w:cs="仿宋"/>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3211" w:type="dxa"/>
            <w:tcBorders>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杭州市公安局临平区分局2022年工会疗休养项目</w:t>
            </w:r>
          </w:p>
          <w:p>
            <w:pPr>
              <w:spacing w:before="0" w:beforeAutospacing="0" w:after="0" w:afterAutospacing="0" w:line="360" w:lineRule="auto"/>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标项一</w:t>
            </w:r>
          </w:p>
        </w:tc>
        <w:tc>
          <w:tcPr>
            <w:tcW w:w="1906" w:type="dxa"/>
            <w:tcBorders>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线路一：重庆涪陵线（省外5天）</w:t>
            </w:r>
          </w:p>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线路二：金华兰溪线</w:t>
            </w:r>
          </w:p>
          <w:p>
            <w:pPr>
              <w:spacing w:before="0" w:beforeAutospacing="0" w:after="0" w:afterAutospacing="0"/>
              <w:ind w:left="0" w:right="0"/>
              <w:jc w:val="center"/>
              <w:rPr>
                <w:rFonts w:hint="eastAsia" w:ascii="宋体" w:hAnsi="宋体" w:cs="宋体"/>
                <w:szCs w:val="21"/>
              </w:rPr>
            </w:pPr>
            <w:r>
              <w:rPr>
                <w:rFonts w:hint="eastAsia" w:ascii="宋体" w:hAnsi="宋体" w:cs="宋体"/>
                <w:szCs w:val="21"/>
              </w:rPr>
              <w:t>线路三：仙居天台线</w:t>
            </w:r>
          </w:p>
          <w:p>
            <w:pPr>
              <w:spacing w:before="0" w:beforeAutospacing="0" w:after="0" w:afterAutospacing="0"/>
              <w:ind w:left="0" w:right="0"/>
              <w:jc w:val="center"/>
              <w:rPr>
                <w:rFonts w:hint="eastAsia" w:ascii="仿宋" w:hAnsi="仿宋" w:eastAsia="仿宋" w:cs="仿宋"/>
                <w:sz w:val="24"/>
                <w:highlight w:val="none"/>
              </w:rPr>
            </w:pPr>
            <w:r>
              <w:rPr>
                <w:rFonts w:hint="eastAsia" w:ascii="宋体" w:hAnsi="宋体" w:cs="宋体"/>
                <w:szCs w:val="21"/>
              </w:rPr>
              <w:t>（省内5天）</w:t>
            </w:r>
          </w:p>
        </w:tc>
        <w:tc>
          <w:tcPr>
            <w:tcW w:w="1425"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响应招标文件要求</w:t>
            </w:r>
          </w:p>
        </w:tc>
        <w:tc>
          <w:tcPr>
            <w:tcW w:w="1297" w:type="dxa"/>
            <w:tcBorders>
              <w:left w:val="single" w:color="auto" w:sz="4" w:space="0"/>
              <w:right w:val="single" w:color="auto" w:sz="4" w:space="0"/>
            </w:tcBorders>
            <w:vAlign w:val="center"/>
          </w:tcPr>
          <w:p>
            <w:pPr>
              <w:spacing w:before="0" w:beforeAutospacing="0" w:after="0" w:afterAutospacing="0"/>
              <w:ind w:left="0" w:right="0"/>
              <w:jc w:val="center"/>
              <w:rPr>
                <w:rFonts w:hint="eastAsia" w:ascii="仿宋" w:hAnsi="仿宋" w:eastAsia="仿宋" w:cs="仿宋"/>
                <w:sz w:val="24"/>
                <w:highlight w:val="none"/>
                <w:lang w:val="en-US" w:eastAsia="zh-CN"/>
              </w:rPr>
            </w:pPr>
          </w:p>
          <w:p>
            <w:pPr>
              <w:spacing w:before="0" w:beforeAutospacing="0" w:after="0" w:afterAutospacing="0"/>
              <w:ind w:left="0" w:right="0"/>
              <w:jc w:val="center"/>
              <w:rPr>
                <w:rFonts w:hint="default" w:ascii="仿宋" w:hAnsi="仿宋" w:eastAsia="仿宋" w:cs="仿宋"/>
                <w:kern w:val="2"/>
                <w:sz w:val="24"/>
                <w:szCs w:val="21"/>
                <w:highlight w:val="none"/>
                <w:lang w:val="en-US" w:eastAsia="zh-CN" w:bidi="ar-SA"/>
              </w:rPr>
            </w:pPr>
            <w:r>
              <w:rPr>
                <w:rFonts w:hint="eastAsia" w:ascii="仿宋" w:hAnsi="仿宋" w:eastAsia="仿宋" w:cs="仿宋"/>
                <w:sz w:val="24"/>
                <w:highlight w:val="none"/>
                <w:lang w:val="en-US" w:eastAsia="zh-CN"/>
              </w:rPr>
              <w:t>710人</w:t>
            </w:r>
          </w:p>
          <w:p>
            <w:pPr>
              <w:spacing w:before="0" w:beforeAutospacing="0" w:after="0" w:afterAutospacing="0" w:line="360" w:lineRule="auto"/>
              <w:ind w:left="0" w:right="0"/>
              <w:jc w:val="center"/>
              <w:rPr>
                <w:rFonts w:hint="eastAsia" w:ascii="仿宋" w:hAnsi="仿宋" w:eastAsia="仿宋" w:cs="仿宋"/>
                <w:sz w:val="24"/>
                <w:highlight w:val="none"/>
              </w:rPr>
            </w:pPr>
          </w:p>
        </w:tc>
        <w:tc>
          <w:tcPr>
            <w:tcW w:w="2279" w:type="dxa"/>
            <w:tcBorders>
              <w:left w:val="single" w:color="auto" w:sz="4" w:space="0"/>
              <w:right w:val="single" w:color="auto" w:sz="4" w:space="0"/>
            </w:tcBorders>
            <w:vAlign w:val="center"/>
          </w:tcPr>
          <w:p>
            <w:pPr>
              <w:spacing w:before="0" w:beforeAutospacing="0" w:after="0" w:afterAutospacing="0"/>
              <w:ind w:left="0" w:right="0"/>
              <w:jc w:val="center"/>
              <w:rPr>
                <w:rFonts w:hint="default" w:ascii="仿宋" w:hAnsi="仿宋" w:eastAsia="仿宋" w:cs="仿宋"/>
                <w:sz w:val="24"/>
                <w:highlight w:val="none"/>
                <w:lang w:val="en-US" w:eastAsia="zh-CN"/>
              </w:rPr>
            </w:pPr>
          </w:p>
        </w:tc>
        <w:tc>
          <w:tcPr>
            <w:tcW w:w="2497"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p>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（小写）</w:t>
            </w:r>
          </w:p>
          <w:p>
            <w:pPr>
              <w:spacing w:before="0" w:beforeAutospacing="0" w:after="0" w:afterAutospacing="0" w:line="360" w:lineRule="auto"/>
              <w:ind w:left="0" w:right="0"/>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3211" w:type="dxa"/>
            <w:tcBorders>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lang w:eastAsia="zh-CN"/>
              </w:rPr>
            </w:pPr>
            <w:r>
              <w:rPr>
                <w:rFonts w:hint="eastAsia" w:ascii="仿宋" w:hAnsi="仿宋" w:eastAsia="仿宋" w:cs="仿宋"/>
                <w:sz w:val="24"/>
                <w:highlight w:val="none"/>
              </w:rPr>
              <w:t>总价</w:t>
            </w:r>
          </w:p>
        </w:tc>
        <w:tc>
          <w:tcPr>
            <w:tcW w:w="4628" w:type="dxa"/>
            <w:gridSpan w:val="3"/>
            <w:tcBorders>
              <w:left w:val="single" w:color="auto" w:sz="4" w:space="0"/>
            </w:tcBorders>
            <w:vAlign w:val="center"/>
          </w:tcPr>
          <w:p>
            <w:pPr>
              <w:spacing w:before="0" w:beforeAutospacing="0" w:after="0" w:afterAutospacing="0" w:line="360" w:lineRule="auto"/>
              <w:ind w:left="0" w:right="0"/>
              <w:jc w:val="center"/>
              <w:rPr>
                <w:rFonts w:hint="default" w:ascii="仿宋" w:hAnsi="仿宋" w:eastAsia="仿宋" w:cs="仿宋"/>
                <w:sz w:val="24"/>
                <w:highlight w:val="none"/>
                <w:lang w:val="en-US" w:eastAsia="zh-CN"/>
              </w:rPr>
            </w:pPr>
          </w:p>
        </w:tc>
        <w:tc>
          <w:tcPr>
            <w:tcW w:w="2279" w:type="dxa"/>
            <w:tcBorders>
              <w:left w:val="single" w:color="auto" w:sz="4" w:space="0"/>
            </w:tcBorders>
            <w:vAlign w:val="center"/>
          </w:tcPr>
          <w:p>
            <w:pPr>
              <w:spacing w:before="0" w:beforeAutospacing="0" w:after="0" w:afterAutospacing="0" w:line="360" w:lineRule="auto"/>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（大写）</w:t>
            </w:r>
          </w:p>
        </w:tc>
        <w:tc>
          <w:tcPr>
            <w:tcW w:w="2497" w:type="dxa"/>
            <w:tcBorders>
              <w:left w:val="single" w:color="auto" w:sz="4" w:space="0"/>
            </w:tcBorders>
            <w:vAlign w:val="center"/>
          </w:tcPr>
          <w:p>
            <w:pPr>
              <w:spacing w:before="0" w:beforeAutospacing="0" w:after="0" w:afterAutospacing="0" w:line="360" w:lineRule="auto"/>
              <w:ind w:left="0" w:right="0" w:firstLine="480" w:firstLineChars="200"/>
              <w:rPr>
                <w:rFonts w:hint="eastAsia" w:ascii="仿宋" w:hAnsi="仿宋" w:eastAsia="仿宋" w:cs="仿宋"/>
                <w:sz w:val="24"/>
                <w:highlight w:val="none"/>
              </w:rPr>
            </w:pPr>
            <w:r>
              <w:rPr>
                <w:rFonts w:hint="eastAsia" w:ascii="仿宋" w:hAnsi="仿宋" w:eastAsia="仿宋" w:cs="仿宋"/>
                <w:sz w:val="24"/>
                <w:highlight w:val="none"/>
              </w:rPr>
              <w:t>（小写）</w:t>
            </w:r>
          </w:p>
        </w:tc>
      </w:tr>
    </w:tbl>
    <w:p>
      <w:pPr>
        <w:snapToGrid w:val="0"/>
        <w:spacing w:line="360" w:lineRule="auto"/>
        <w:ind w:left="480"/>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注：</w:t>
      </w:r>
    </w:p>
    <w:p>
      <w:pPr>
        <w:spacing w:line="360" w:lineRule="auto"/>
        <w:ind w:left="-2"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w:t>
      </w:r>
      <w:r>
        <w:rPr>
          <w:rFonts w:hint="eastAsia" w:ascii="仿宋" w:hAnsi="仿宋" w:eastAsia="仿宋" w:cs="仿宋"/>
          <w:kern w:val="0"/>
          <w:sz w:val="24"/>
          <w:szCs w:val="24"/>
          <w:highlight w:val="none"/>
          <w:lang w:val="zh-CN"/>
        </w:rPr>
        <w:t>、投标人需按本表格式填写，不得自行更改。</w:t>
      </w:r>
    </w:p>
    <w:p>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2</w:t>
      </w:r>
      <w:r>
        <w:rPr>
          <w:rFonts w:hint="eastAsia" w:ascii="仿宋" w:hAnsi="仿宋" w:eastAsia="仿宋" w:cs="仿宋"/>
          <w:kern w:val="0"/>
          <w:sz w:val="24"/>
          <w:szCs w:val="24"/>
          <w:highlight w:val="none"/>
          <w:lang w:val="zh-CN"/>
        </w:rPr>
        <w:t>、有关本项目实施所涉及的一切费用均计入报价。</w:t>
      </w:r>
      <w:r>
        <w:rPr>
          <w:rFonts w:hint="eastAsia" w:ascii="仿宋" w:hAnsi="仿宋" w:eastAsia="仿宋" w:cs="仿宋"/>
          <w:b/>
          <w:bCs/>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highlight w:val="none"/>
          <w:lang w:val="zh-CN"/>
        </w:rPr>
        <w:t>，</w:t>
      </w:r>
      <w:r>
        <w:rPr>
          <w:rFonts w:hint="eastAsia" w:ascii="仿宋" w:hAnsi="仿宋" w:eastAsia="仿宋" w:cs="仿宋"/>
          <w:b/>
          <w:bCs/>
          <w:kern w:val="0"/>
          <w:sz w:val="24"/>
          <w:szCs w:val="24"/>
          <w:highlight w:val="none"/>
          <w:lang w:val="zh-CN"/>
        </w:rPr>
        <w:t>不得出现“</w:t>
      </w:r>
      <w:r>
        <w:rPr>
          <w:rFonts w:ascii="仿宋" w:hAnsi="仿宋" w:eastAsia="仿宋" w:cs="仿宋"/>
          <w:b/>
          <w:bCs/>
          <w:kern w:val="0"/>
          <w:sz w:val="24"/>
          <w:szCs w:val="24"/>
          <w:highlight w:val="none"/>
          <w:lang w:val="zh-CN"/>
        </w:rPr>
        <w:t>0</w:t>
      </w:r>
      <w:r>
        <w:rPr>
          <w:rFonts w:hint="eastAsia" w:ascii="仿宋" w:hAnsi="仿宋" w:eastAsia="仿宋" w:cs="仿宋"/>
          <w:b/>
          <w:bCs/>
          <w:kern w:val="0"/>
          <w:sz w:val="24"/>
          <w:szCs w:val="24"/>
          <w:highlight w:val="none"/>
          <w:lang w:val="zh-CN"/>
        </w:rPr>
        <w:t>元”“免费赠送”等形式的无偿报价，</w:t>
      </w:r>
      <w:r>
        <w:rPr>
          <w:rFonts w:hint="eastAsia" w:ascii="仿宋" w:hAnsi="仿宋" w:eastAsia="仿宋" w:cs="仿宋"/>
          <w:b/>
          <w:bCs/>
          <w:kern w:val="0"/>
          <w:sz w:val="24"/>
          <w:szCs w:val="24"/>
          <w:highlight w:val="none"/>
        </w:rPr>
        <w:t>否则视为</w:t>
      </w:r>
      <w:r>
        <w:rPr>
          <w:rFonts w:hint="eastAsia" w:ascii="仿宋" w:hAnsi="仿宋" w:eastAsia="仿宋" w:cs="仿宋"/>
          <w:b/>
          <w:bCs/>
          <w:sz w:val="24"/>
          <w:szCs w:val="24"/>
          <w:highlight w:val="none"/>
        </w:rPr>
        <w:t>投标文件含有采购人不能接受的附加条件的，投标无效</w:t>
      </w:r>
      <w:r>
        <w:rPr>
          <w:rFonts w:hint="eastAsia" w:ascii="仿宋" w:hAnsi="仿宋" w:eastAsia="仿宋" w:cs="仿宋"/>
          <w:b/>
          <w:bCs/>
          <w:kern w:val="0"/>
          <w:sz w:val="24"/>
          <w:szCs w:val="24"/>
          <w:highlight w:val="none"/>
          <w:lang w:val="zh-CN"/>
        </w:rPr>
        <w:t>。</w:t>
      </w:r>
    </w:p>
    <w:p>
      <w:pPr>
        <w:snapToGrid w:val="0"/>
        <w:spacing w:line="360" w:lineRule="auto"/>
        <w:ind w:firstLine="480" w:firstLineChars="2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w:t>
      </w:r>
      <w:r>
        <w:rPr>
          <w:rFonts w:hint="eastAsia" w:ascii="仿宋" w:hAnsi="仿宋" w:eastAsia="仿宋" w:cs="仿宋"/>
          <w:kern w:val="0"/>
          <w:sz w:val="24"/>
          <w:szCs w:val="24"/>
          <w:highlight w:val="none"/>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szCs w:val="24"/>
          <w:highlight w:val="none"/>
          <w:lang w:val="zh-CN"/>
        </w:rPr>
      </w:pPr>
      <w:r>
        <w:rPr>
          <w:rFonts w:ascii="仿宋" w:hAnsi="仿宋" w:eastAsia="仿宋" w:cs="仿宋"/>
          <w:kern w:val="0"/>
          <w:sz w:val="24"/>
          <w:szCs w:val="24"/>
          <w:highlight w:val="none"/>
          <w:lang w:val="zh-CN"/>
        </w:rPr>
        <w:t>5</w:t>
      </w:r>
      <w:r>
        <w:rPr>
          <w:rFonts w:hint="eastAsia" w:ascii="仿宋" w:hAnsi="仿宋" w:eastAsia="仿宋" w:cs="仿宋"/>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lang w:val="zh-CN"/>
        </w:rPr>
      </w:pPr>
      <w:r>
        <w:rPr>
          <w:rFonts w:hint="eastAsia" w:ascii="仿宋" w:hAnsi="仿宋" w:eastAsia="仿宋" w:cs="仿宋"/>
          <w:kern w:val="0"/>
          <w:sz w:val="24"/>
          <w:szCs w:val="24"/>
          <w:highlight w:val="none"/>
          <w:lang w:val="zh-CN"/>
        </w:rPr>
        <w:br w:type="page"/>
      </w:r>
    </w:p>
    <w:p>
      <w:pPr>
        <w:pStyle w:val="376"/>
        <w:tabs>
          <w:tab w:val="clear" w:pos="720"/>
        </w:tabs>
        <w:snapToGrid w:val="0"/>
        <w:spacing w:before="120" w:after="120"/>
        <w:ind w:firstLine="643"/>
        <w:outlineLvl w:val="9"/>
        <w:rPr>
          <w:rFonts w:hint="eastAsia" w:ascii="仿宋" w:hAnsi="仿宋" w:eastAsia="仿宋"/>
          <w:kern w:val="2"/>
          <w:sz w:val="32"/>
          <w:szCs w:val="32"/>
          <w:highlight w:val="none"/>
          <w:lang w:eastAsia="zh-CN"/>
        </w:rPr>
      </w:pPr>
      <w:r>
        <w:rPr>
          <w:rFonts w:hint="eastAsia" w:ascii="仿宋" w:hAnsi="仿宋" w:eastAsia="仿宋" w:cs="仿宋"/>
          <w:kern w:val="2"/>
          <w:sz w:val="32"/>
          <w:szCs w:val="32"/>
          <w:highlight w:val="none"/>
        </w:rPr>
        <w:t>开标一览表（报价表）</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lang w:val="en-US" w:eastAsia="zh-CN"/>
        </w:rPr>
        <w:t>标项二</w:t>
      </w:r>
      <w:r>
        <w:rPr>
          <w:rFonts w:hint="eastAsia" w:ascii="仿宋" w:hAnsi="仿宋" w:eastAsia="仿宋" w:cs="仿宋"/>
          <w:kern w:val="2"/>
          <w:sz w:val="32"/>
          <w:szCs w:val="32"/>
          <w:highlight w:val="none"/>
          <w:lang w:eastAsia="zh-CN"/>
        </w:rPr>
        <w:t>）</w:t>
      </w:r>
    </w:p>
    <w:p>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pPr>
        <w:snapToGrid w:val="0"/>
        <w:spacing w:line="360" w:lineRule="auto"/>
        <w:ind w:firstLine="482"/>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highlight w:val="none"/>
        </w:rPr>
        <w:t>（项目名称）</w:t>
      </w:r>
      <w:r>
        <w:rPr>
          <w:rFonts w:hint="eastAsia" w:ascii="仿宋" w:hAnsi="仿宋" w:eastAsia="仿宋" w:cs="仿宋"/>
          <w:kern w:val="0"/>
          <w:sz w:val="24"/>
          <w:szCs w:val="24"/>
          <w:highlight w:val="none"/>
          <w:lang w:val="zh-CN"/>
        </w:rPr>
        <w:t>【招标编号：</w:t>
      </w:r>
      <w:r>
        <w:rPr>
          <w:rFonts w:hint="eastAsia" w:ascii="仿宋" w:hAnsi="仿宋" w:eastAsia="仿宋" w:cs="仿宋"/>
          <w:sz w:val="24"/>
          <w:szCs w:val="24"/>
          <w:highlight w:val="none"/>
        </w:rPr>
        <w:t>（采购编号）】的实施</w:t>
      </w:r>
      <w:r>
        <w:rPr>
          <w:rFonts w:hint="eastAsia" w:ascii="仿宋" w:hAnsi="仿宋" w:eastAsia="仿宋" w:cs="仿宋"/>
          <w:kern w:val="0"/>
          <w:sz w:val="24"/>
          <w:szCs w:val="24"/>
          <w:highlight w:val="none"/>
          <w:lang w:val="zh-CN"/>
        </w:rPr>
        <w:t>。</w:t>
      </w:r>
    </w:p>
    <w:p>
      <w:pPr>
        <w:spacing w:line="360" w:lineRule="auto"/>
        <w:jc w:val="center"/>
        <w:rPr>
          <w:rFonts w:ascii="仿宋" w:hAnsi="仿宋" w:eastAsia="仿宋" w:cs="仿宋"/>
          <w:b/>
          <w:bCs/>
          <w:kern w:val="0"/>
          <w:sz w:val="24"/>
          <w:szCs w:val="24"/>
          <w:highlight w:val="none"/>
          <w:lang w:val="zh-CN"/>
        </w:rPr>
      </w:pPr>
      <w:r>
        <w:rPr>
          <w:rFonts w:hint="eastAsia" w:ascii="仿宋" w:hAnsi="仿宋" w:eastAsia="仿宋" w:cs="仿宋"/>
          <w:b/>
          <w:bCs/>
          <w:kern w:val="0"/>
          <w:sz w:val="24"/>
          <w:szCs w:val="24"/>
          <w:highlight w:val="none"/>
          <w:lang w:val="zh-CN"/>
        </w:rPr>
        <w:t>开标一览表（报价表）</w:t>
      </w:r>
      <w:r>
        <w:rPr>
          <w:rFonts w:ascii="仿宋" w:hAnsi="仿宋" w:eastAsia="仿宋" w:cs="仿宋"/>
          <w:b/>
          <w:bCs/>
          <w:kern w:val="0"/>
          <w:sz w:val="24"/>
          <w:szCs w:val="24"/>
          <w:highlight w:val="none"/>
          <w:lang w:val="zh-CN"/>
        </w:rPr>
        <w:t>(</w:t>
      </w:r>
      <w:r>
        <w:rPr>
          <w:rFonts w:hint="eastAsia" w:ascii="仿宋" w:hAnsi="仿宋" w:eastAsia="仿宋" w:cs="仿宋"/>
          <w:b/>
          <w:bCs/>
          <w:kern w:val="0"/>
          <w:sz w:val="24"/>
          <w:szCs w:val="24"/>
          <w:highlight w:val="none"/>
          <w:lang w:val="zh-CN"/>
        </w:rPr>
        <w:t>单位均为人民币元</w:t>
      </w:r>
      <w:r>
        <w:rPr>
          <w:rFonts w:ascii="仿宋" w:hAnsi="仿宋" w:eastAsia="仿宋" w:cs="仿宋"/>
          <w:b/>
          <w:bCs/>
          <w:kern w:val="0"/>
          <w:sz w:val="24"/>
          <w:szCs w:val="24"/>
          <w:highlight w:val="none"/>
          <w:lang w:val="zh-CN"/>
        </w:rPr>
        <w:t>)</w:t>
      </w:r>
    </w:p>
    <w:tbl>
      <w:tblPr>
        <w:tblStyle w:val="62"/>
        <w:tblW w:w="126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11"/>
        <w:gridCol w:w="1906"/>
        <w:gridCol w:w="1425"/>
        <w:gridCol w:w="1297"/>
        <w:gridCol w:w="2279"/>
        <w:gridCol w:w="24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3211" w:type="dxa"/>
            <w:tcBorders>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1906"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线路内容</w:t>
            </w:r>
          </w:p>
        </w:tc>
        <w:tc>
          <w:tcPr>
            <w:tcW w:w="1425"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服务期</w:t>
            </w:r>
          </w:p>
        </w:tc>
        <w:tc>
          <w:tcPr>
            <w:tcW w:w="1297"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数量</w:t>
            </w:r>
          </w:p>
        </w:tc>
        <w:tc>
          <w:tcPr>
            <w:tcW w:w="2279"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单价</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元</w:t>
            </w:r>
            <w:r>
              <w:rPr>
                <w:rFonts w:hint="eastAsia" w:ascii="仿宋" w:hAnsi="仿宋" w:eastAsia="仿宋" w:cs="仿宋"/>
                <w:sz w:val="24"/>
                <w:highlight w:val="none"/>
                <w:lang w:eastAsia="zh-CN"/>
              </w:rPr>
              <w:t>）</w:t>
            </w:r>
          </w:p>
        </w:tc>
        <w:tc>
          <w:tcPr>
            <w:tcW w:w="2497"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投标报价</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元</w:t>
            </w:r>
            <w:r>
              <w:rPr>
                <w:rFonts w:hint="eastAsia" w:ascii="仿宋" w:hAnsi="仿宋" w:eastAsia="仿宋" w:cs="仿宋"/>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3211" w:type="dxa"/>
            <w:tcBorders>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杭州市公安局临平区分局2022年工会疗休养项目</w:t>
            </w:r>
          </w:p>
          <w:p>
            <w:pPr>
              <w:spacing w:before="0" w:beforeAutospacing="0" w:after="0" w:afterAutospacing="0" w:line="360" w:lineRule="auto"/>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标项</w:t>
            </w:r>
            <w:r>
              <w:rPr>
                <w:rFonts w:hint="eastAsia" w:ascii="仿宋" w:hAnsi="仿宋" w:eastAsia="仿宋" w:cs="仿宋"/>
                <w:sz w:val="24"/>
                <w:highlight w:val="none"/>
                <w:lang w:val="en-US" w:eastAsia="zh-CN"/>
              </w:rPr>
              <w:t xml:space="preserve"> 二</w:t>
            </w:r>
          </w:p>
        </w:tc>
        <w:tc>
          <w:tcPr>
            <w:tcW w:w="1906" w:type="dxa"/>
            <w:tcBorders>
              <w:left w:val="single" w:color="auto" w:sz="4" w:space="0"/>
              <w:bottom w:val="single" w:color="auto" w:sz="4" w:space="0"/>
              <w:right w:val="single" w:color="auto" w:sz="4" w:space="0"/>
            </w:tcBorders>
            <w:vAlign w:val="center"/>
          </w:tcPr>
          <w:p>
            <w:pPr>
              <w:spacing w:before="0" w:beforeAutospacing="0" w:after="0" w:afterAutospacing="0"/>
              <w:ind w:left="0" w:right="0"/>
              <w:rPr>
                <w:rFonts w:hint="eastAsia" w:ascii="宋体" w:hAnsi="宋体" w:cs="宋体"/>
                <w:szCs w:val="21"/>
              </w:rPr>
            </w:pPr>
            <w:r>
              <w:rPr>
                <w:rFonts w:hint="eastAsia" w:ascii="宋体" w:hAnsi="宋体" w:cs="宋体"/>
                <w:szCs w:val="21"/>
              </w:rPr>
              <w:t>线路四：雁荡楠溪江线</w:t>
            </w:r>
          </w:p>
          <w:p>
            <w:pPr>
              <w:spacing w:before="0" w:beforeAutospacing="0" w:after="0" w:afterAutospacing="0"/>
              <w:ind w:left="0" w:right="0"/>
              <w:jc w:val="center"/>
              <w:rPr>
                <w:rFonts w:hint="eastAsia" w:ascii="仿宋" w:hAnsi="仿宋" w:eastAsia="仿宋" w:cs="仿宋"/>
                <w:sz w:val="24"/>
                <w:highlight w:val="none"/>
              </w:rPr>
            </w:pPr>
            <w:r>
              <w:rPr>
                <w:rFonts w:hint="eastAsia" w:ascii="宋体" w:hAnsi="宋体" w:cs="宋体"/>
                <w:szCs w:val="21"/>
              </w:rPr>
              <w:t>（省内5天）</w:t>
            </w:r>
          </w:p>
        </w:tc>
        <w:tc>
          <w:tcPr>
            <w:tcW w:w="1425"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响应招标文件要求</w:t>
            </w:r>
          </w:p>
        </w:tc>
        <w:tc>
          <w:tcPr>
            <w:tcW w:w="1297" w:type="dxa"/>
            <w:tcBorders>
              <w:left w:val="single" w:color="auto" w:sz="4" w:space="0"/>
              <w:right w:val="single" w:color="auto" w:sz="4" w:space="0"/>
            </w:tcBorders>
            <w:vAlign w:val="center"/>
          </w:tcPr>
          <w:p>
            <w:pPr>
              <w:spacing w:before="0" w:beforeAutospacing="0" w:after="0" w:afterAutospacing="0"/>
              <w:ind w:left="0" w:right="0"/>
              <w:jc w:val="center"/>
              <w:rPr>
                <w:rFonts w:hint="eastAsia" w:ascii="仿宋" w:hAnsi="仿宋" w:eastAsia="仿宋" w:cs="仿宋"/>
                <w:sz w:val="24"/>
                <w:highlight w:val="none"/>
                <w:lang w:val="en-US" w:eastAsia="zh-CN"/>
              </w:rPr>
            </w:pPr>
          </w:p>
          <w:p>
            <w:pPr>
              <w:spacing w:before="0" w:beforeAutospacing="0" w:after="0" w:afterAutospacing="0"/>
              <w:ind w:left="0" w:right="0"/>
              <w:jc w:val="center"/>
              <w:rPr>
                <w:rFonts w:hint="default" w:ascii="仿宋" w:hAnsi="仿宋" w:eastAsia="仿宋" w:cs="仿宋"/>
                <w:kern w:val="2"/>
                <w:sz w:val="24"/>
                <w:szCs w:val="21"/>
                <w:highlight w:val="none"/>
                <w:lang w:val="en-US" w:eastAsia="zh-CN" w:bidi="ar-SA"/>
              </w:rPr>
            </w:pPr>
            <w:r>
              <w:rPr>
                <w:rFonts w:hint="eastAsia" w:ascii="仿宋" w:hAnsi="仿宋" w:eastAsia="仿宋" w:cs="仿宋"/>
                <w:sz w:val="24"/>
                <w:highlight w:val="none"/>
                <w:lang w:val="en-US" w:eastAsia="zh-CN"/>
              </w:rPr>
              <w:t>550人</w:t>
            </w:r>
          </w:p>
          <w:p>
            <w:pPr>
              <w:spacing w:before="0" w:beforeAutospacing="0" w:after="0" w:afterAutospacing="0" w:line="360" w:lineRule="auto"/>
              <w:ind w:left="0" w:right="0"/>
              <w:jc w:val="center"/>
              <w:rPr>
                <w:rFonts w:hint="eastAsia" w:ascii="仿宋" w:hAnsi="仿宋" w:eastAsia="仿宋" w:cs="仿宋"/>
                <w:sz w:val="24"/>
                <w:highlight w:val="none"/>
              </w:rPr>
            </w:pPr>
          </w:p>
        </w:tc>
        <w:tc>
          <w:tcPr>
            <w:tcW w:w="2279" w:type="dxa"/>
            <w:tcBorders>
              <w:left w:val="single" w:color="auto" w:sz="4" w:space="0"/>
              <w:right w:val="single" w:color="auto" w:sz="4" w:space="0"/>
            </w:tcBorders>
            <w:vAlign w:val="center"/>
          </w:tcPr>
          <w:p>
            <w:pPr>
              <w:spacing w:before="0" w:beforeAutospacing="0" w:after="0" w:afterAutospacing="0"/>
              <w:ind w:left="0" w:right="0"/>
              <w:jc w:val="center"/>
              <w:rPr>
                <w:rFonts w:hint="default" w:ascii="仿宋" w:hAnsi="仿宋" w:eastAsia="仿宋" w:cs="仿宋"/>
                <w:sz w:val="24"/>
                <w:highlight w:val="none"/>
                <w:lang w:val="en-US" w:eastAsia="zh-CN"/>
              </w:rPr>
            </w:pPr>
          </w:p>
        </w:tc>
        <w:tc>
          <w:tcPr>
            <w:tcW w:w="2497"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p>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（小写）</w:t>
            </w:r>
          </w:p>
          <w:p>
            <w:pPr>
              <w:spacing w:before="0" w:beforeAutospacing="0" w:after="0" w:afterAutospacing="0" w:line="360" w:lineRule="auto"/>
              <w:ind w:left="0" w:right="0"/>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3211" w:type="dxa"/>
            <w:tcBorders>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lang w:eastAsia="zh-CN"/>
              </w:rPr>
            </w:pPr>
            <w:r>
              <w:rPr>
                <w:rFonts w:hint="eastAsia" w:ascii="仿宋" w:hAnsi="仿宋" w:eastAsia="仿宋" w:cs="仿宋"/>
                <w:sz w:val="24"/>
                <w:highlight w:val="none"/>
              </w:rPr>
              <w:t>总价</w:t>
            </w:r>
          </w:p>
        </w:tc>
        <w:tc>
          <w:tcPr>
            <w:tcW w:w="4628" w:type="dxa"/>
            <w:gridSpan w:val="3"/>
            <w:tcBorders>
              <w:left w:val="single" w:color="auto" w:sz="4" w:space="0"/>
            </w:tcBorders>
            <w:vAlign w:val="center"/>
          </w:tcPr>
          <w:p>
            <w:pPr>
              <w:spacing w:before="0" w:beforeAutospacing="0" w:after="0" w:afterAutospacing="0" w:line="360" w:lineRule="auto"/>
              <w:ind w:left="0" w:right="0"/>
              <w:jc w:val="center"/>
              <w:rPr>
                <w:rFonts w:hint="default" w:ascii="仿宋" w:hAnsi="仿宋" w:eastAsia="仿宋" w:cs="仿宋"/>
                <w:sz w:val="24"/>
                <w:highlight w:val="none"/>
                <w:lang w:val="en-US" w:eastAsia="zh-CN"/>
              </w:rPr>
            </w:pPr>
          </w:p>
        </w:tc>
        <w:tc>
          <w:tcPr>
            <w:tcW w:w="2279" w:type="dxa"/>
            <w:tcBorders>
              <w:left w:val="single" w:color="auto" w:sz="4" w:space="0"/>
            </w:tcBorders>
            <w:vAlign w:val="center"/>
          </w:tcPr>
          <w:p>
            <w:pPr>
              <w:spacing w:before="0" w:beforeAutospacing="0" w:after="0" w:afterAutospacing="0" w:line="360" w:lineRule="auto"/>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（大写）</w:t>
            </w:r>
          </w:p>
        </w:tc>
        <w:tc>
          <w:tcPr>
            <w:tcW w:w="2497" w:type="dxa"/>
            <w:tcBorders>
              <w:left w:val="single" w:color="auto" w:sz="4" w:space="0"/>
            </w:tcBorders>
            <w:vAlign w:val="center"/>
          </w:tcPr>
          <w:p>
            <w:pPr>
              <w:spacing w:before="0" w:beforeAutospacing="0" w:after="0" w:afterAutospacing="0" w:line="360" w:lineRule="auto"/>
              <w:ind w:left="0" w:right="0" w:firstLine="480" w:firstLineChars="200"/>
              <w:rPr>
                <w:rFonts w:hint="eastAsia" w:ascii="仿宋" w:hAnsi="仿宋" w:eastAsia="仿宋" w:cs="仿宋"/>
                <w:sz w:val="24"/>
                <w:highlight w:val="none"/>
              </w:rPr>
            </w:pPr>
            <w:r>
              <w:rPr>
                <w:rFonts w:hint="eastAsia" w:ascii="仿宋" w:hAnsi="仿宋" w:eastAsia="仿宋" w:cs="仿宋"/>
                <w:sz w:val="24"/>
                <w:highlight w:val="none"/>
              </w:rPr>
              <w:t>（小写）</w:t>
            </w:r>
          </w:p>
        </w:tc>
      </w:tr>
    </w:tbl>
    <w:p>
      <w:pPr>
        <w:snapToGrid w:val="0"/>
        <w:spacing w:line="360" w:lineRule="auto"/>
        <w:ind w:left="480"/>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注：</w:t>
      </w:r>
    </w:p>
    <w:p>
      <w:pPr>
        <w:spacing w:line="360" w:lineRule="auto"/>
        <w:ind w:left="-2"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w:t>
      </w:r>
      <w:r>
        <w:rPr>
          <w:rFonts w:hint="eastAsia" w:ascii="仿宋" w:hAnsi="仿宋" w:eastAsia="仿宋" w:cs="仿宋"/>
          <w:kern w:val="0"/>
          <w:sz w:val="24"/>
          <w:szCs w:val="24"/>
          <w:highlight w:val="none"/>
          <w:lang w:val="zh-CN"/>
        </w:rPr>
        <w:t>、投标人需按本表格式填写，不得自行更改。</w:t>
      </w:r>
    </w:p>
    <w:p>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2</w:t>
      </w:r>
      <w:r>
        <w:rPr>
          <w:rFonts w:hint="eastAsia" w:ascii="仿宋" w:hAnsi="仿宋" w:eastAsia="仿宋" w:cs="仿宋"/>
          <w:kern w:val="0"/>
          <w:sz w:val="24"/>
          <w:szCs w:val="24"/>
          <w:highlight w:val="none"/>
          <w:lang w:val="zh-CN"/>
        </w:rPr>
        <w:t>、有关本项目实施所涉及的一切费用均计入报价。</w:t>
      </w:r>
      <w:r>
        <w:rPr>
          <w:rFonts w:hint="eastAsia" w:ascii="仿宋" w:hAnsi="仿宋" w:eastAsia="仿宋" w:cs="仿宋"/>
          <w:b/>
          <w:bCs/>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highlight w:val="none"/>
          <w:lang w:val="zh-CN"/>
        </w:rPr>
        <w:t>，</w:t>
      </w:r>
      <w:r>
        <w:rPr>
          <w:rFonts w:hint="eastAsia" w:ascii="仿宋" w:hAnsi="仿宋" w:eastAsia="仿宋" w:cs="仿宋"/>
          <w:b/>
          <w:bCs/>
          <w:kern w:val="0"/>
          <w:sz w:val="24"/>
          <w:szCs w:val="24"/>
          <w:highlight w:val="none"/>
          <w:lang w:val="zh-CN"/>
        </w:rPr>
        <w:t>不得出现“</w:t>
      </w:r>
      <w:r>
        <w:rPr>
          <w:rFonts w:ascii="仿宋" w:hAnsi="仿宋" w:eastAsia="仿宋" w:cs="仿宋"/>
          <w:b/>
          <w:bCs/>
          <w:kern w:val="0"/>
          <w:sz w:val="24"/>
          <w:szCs w:val="24"/>
          <w:highlight w:val="none"/>
          <w:lang w:val="zh-CN"/>
        </w:rPr>
        <w:t>0</w:t>
      </w:r>
      <w:r>
        <w:rPr>
          <w:rFonts w:hint="eastAsia" w:ascii="仿宋" w:hAnsi="仿宋" w:eastAsia="仿宋" w:cs="仿宋"/>
          <w:b/>
          <w:bCs/>
          <w:kern w:val="0"/>
          <w:sz w:val="24"/>
          <w:szCs w:val="24"/>
          <w:highlight w:val="none"/>
          <w:lang w:val="zh-CN"/>
        </w:rPr>
        <w:t>元”“免费赠送”等形式的无偿报价，</w:t>
      </w:r>
      <w:r>
        <w:rPr>
          <w:rFonts w:hint="eastAsia" w:ascii="仿宋" w:hAnsi="仿宋" w:eastAsia="仿宋" w:cs="仿宋"/>
          <w:b/>
          <w:bCs/>
          <w:kern w:val="0"/>
          <w:sz w:val="24"/>
          <w:szCs w:val="24"/>
          <w:highlight w:val="none"/>
        </w:rPr>
        <w:t>否则视为</w:t>
      </w:r>
      <w:r>
        <w:rPr>
          <w:rFonts w:hint="eastAsia" w:ascii="仿宋" w:hAnsi="仿宋" w:eastAsia="仿宋" w:cs="仿宋"/>
          <w:b/>
          <w:bCs/>
          <w:sz w:val="24"/>
          <w:szCs w:val="24"/>
          <w:highlight w:val="none"/>
        </w:rPr>
        <w:t>投标文件含有采购人不能接受的附加条件的，投标无效</w:t>
      </w:r>
      <w:r>
        <w:rPr>
          <w:rFonts w:hint="eastAsia" w:ascii="仿宋" w:hAnsi="仿宋" w:eastAsia="仿宋" w:cs="仿宋"/>
          <w:b/>
          <w:bCs/>
          <w:kern w:val="0"/>
          <w:sz w:val="24"/>
          <w:szCs w:val="24"/>
          <w:highlight w:val="none"/>
          <w:lang w:val="zh-CN"/>
        </w:rPr>
        <w:t>。</w:t>
      </w:r>
    </w:p>
    <w:p>
      <w:pPr>
        <w:snapToGrid w:val="0"/>
        <w:spacing w:line="360" w:lineRule="auto"/>
        <w:ind w:firstLine="480" w:firstLineChars="2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w:t>
      </w:r>
      <w:r>
        <w:rPr>
          <w:rFonts w:hint="eastAsia" w:ascii="仿宋" w:hAnsi="仿宋" w:eastAsia="仿宋" w:cs="仿宋"/>
          <w:kern w:val="0"/>
          <w:sz w:val="24"/>
          <w:szCs w:val="24"/>
          <w:highlight w:val="none"/>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ascii="仿宋" w:hAnsi="仿宋" w:eastAsia="仿宋" w:cs="仿宋"/>
          <w:kern w:val="0"/>
          <w:sz w:val="24"/>
          <w:szCs w:val="24"/>
          <w:highlight w:val="none"/>
          <w:lang w:val="zh-CN"/>
        </w:rPr>
        <w:t>5</w:t>
      </w:r>
      <w:r>
        <w:rPr>
          <w:rFonts w:hint="eastAsia" w:ascii="仿宋" w:hAnsi="仿宋" w:eastAsia="仿宋" w:cs="仿宋"/>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jc w:val="left"/>
        <w:rPr>
          <w:rFonts w:ascii="宋体" w:hAnsi="宋体" w:cs="宋体"/>
          <w:kern w:val="0"/>
          <w:sz w:val="24"/>
          <w:highlight w:val="green"/>
          <w:lang w:val="zh-CN"/>
        </w:rPr>
      </w:pPr>
    </w:p>
    <w:p>
      <w:pPr>
        <w:pStyle w:val="376"/>
        <w:tabs>
          <w:tab w:val="clear" w:pos="720"/>
        </w:tabs>
        <w:snapToGrid w:val="0"/>
        <w:spacing w:before="120" w:after="120"/>
        <w:ind w:firstLine="643"/>
        <w:outlineLvl w:val="9"/>
        <w:rPr>
          <w:rFonts w:hint="eastAsia" w:ascii="仿宋" w:hAnsi="仿宋" w:eastAsia="仿宋"/>
          <w:kern w:val="2"/>
          <w:sz w:val="32"/>
          <w:szCs w:val="32"/>
          <w:highlight w:val="none"/>
          <w:lang w:eastAsia="zh-CN"/>
        </w:rPr>
      </w:pPr>
      <w:r>
        <w:rPr>
          <w:rFonts w:hint="eastAsia" w:ascii="仿宋" w:hAnsi="仿宋" w:eastAsia="仿宋" w:cs="仿宋"/>
          <w:kern w:val="2"/>
          <w:sz w:val="32"/>
          <w:szCs w:val="32"/>
          <w:highlight w:val="none"/>
        </w:rPr>
        <w:t>开标一览表（报价表）</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lang w:val="en-US" w:eastAsia="zh-CN"/>
        </w:rPr>
        <w:t>标项三</w:t>
      </w:r>
      <w:r>
        <w:rPr>
          <w:rFonts w:hint="eastAsia" w:ascii="仿宋" w:hAnsi="仿宋" w:eastAsia="仿宋" w:cs="仿宋"/>
          <w:kern w:val="2"/>
          <w:sz w:val="32"/>
          <w:szCs w:val="32"/>
          <w:highlight w:val="none"/>
          <w:lang w:eastAsia="zh-CN"/>
        </w:rPr>
        <w:t>）</w:t>
      </w:r>
    </w:p>
    <w:p>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pPr>
        <w:snapToGrid w:val="0"/>
        <w:spacing w:line="360" w:lineRule="auto"/>
        <w:ind w:firstLine="482"/>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highlight w:val="none"/>
        </w:rPr>
        <w:t>（项目名称）</w:t>
      </w:r>
      <w:r>
        <w:rPr>
          <w:rFonts w:hint="eastAsia" w:ascii="仿宋" w:hAnsi="仿宋" w:eastAsia="仿宋" w:cs="仿宋"/>
          <w:kern w:val="0"/>
          <w:sz w:val="24"/>
          <w:szCs w:val="24"/>
          <w:highlight w:val="none"/>
          <w:lang w:val="zh-CN"/>
        </w:rPr>
        <w:t>【招标编号：</w:t>
      </w:r>
      <w:r>
        <w:rPr>
          <w:rFonts w:hint="eastAsia" w:ascii="仿宋" w:hAnsi="仿宋" w:eastAsia="仿宋" w:cs="仿宋"/>
          <w:sz w:val="24"/>
          <w:szCs w:val="24"/>
          <w:highlight w:val="none"/>
        </w:rPr>
        <w:t>（采购编号）】的实施</w:t>
      </w:r>
      <w:r>
        <w:rPr>
          <w:rFonts w:hint="eastAsia" w:ascii="仿宋" w:hAnsi="仿宋" w:eastAsia="仿宋" w:cs="仿宋"/>
          <w:kern w:val="0"/>
          <w:sz w:val="24"/>
          <w:szCs w:val="24"/>
          <w:highlight w:val="none"/>
          <w:lang w:val="zh-CN"/>
        </w:rPr>
        <w:t>。</w:t>
      </w:r>
    </w:p>
    <w:p>
      <w:pPr>
        <w:spacing w:line="360" w:lineRule="auto"/>
        <w:jc w:val="center"/>
        <w:rPr>
          <w:rFonts w:ascii="仿宋" w:hAnsi="仿宋" w:eastAsia="仿宋" w:cs="仿宋"/>
          <w:b/>
          <w:bCs/>
          <w:kern w:val="0"/>
          <w:sz w:val="24"/>
          <w:szCs w:val="24"/>
          <w:highlight w:val="none"/>
          <w:lang w:val="zh-CN"/>
        </w:rPr>
      </w:pPr>
      <w:r>
        <w:rPr>
          <w:rFonts w:hint="eastAsia" w:ascii="仿宋" w:hAnsi="仿宋" w:eastAsia="仿宋" w:cs="仿宋"/>
          <w:b/>
          <w:bCs/>
          <w:kern w:val="0"/>
          <w:sz w:val="24"/>
          <w:szCs w:val="24"/>
          <w:highlight w:val="none"/>
          <w:lang w:val="zh-CN"/>
        </w:rPr>
        <w:t>开标一览表（报价表）</w:t>
      </w:r>
      <w:r>
        <w:rPr>
          <w:rFonts w:ascii="仿宋" w:hAnsi="仿宋" w:eastAsia="仿宋" w:cs="仿宋"/>
          <w:b/>
          <w:bCs/>
          <w:kern w:val="0"/>
          <w:sz w:val="24"/>
          <w:szCs w:val="24"/>
          <w:highlight w:val="none"/>
          <w:lang w:val="zh-CN"/>
        </w:rPr>
        <w:t>(</w:t>
      </w:r>
      <w:r>
        <w:rPr>
          <w:rFonts w:hint="eastAsia" w:ascii="仿宋" w:hAnsi="仿宋" w:eastAsia="仿宋" w:cs="仿宋"/>
          <w:b/>
          <w:bCs/>
          <w:kern w:val="0"/>
          <w:sz w:val="24"/>
          <w:szCs w:val="24"/>
          <w:highlight w:val="none"/>
          <w:lang w:val="zh-CN"/>
        </w:rPr>
        <w:t>单位均为人民币元</w:t>
      </w:r>
      <w:r>
        <w:rPr>
          <w:rFonts w:ascii="仿宋" w:hAnsi="仿宋" w:eastAsia="仿宋" w:cs="仿宋"/>
          <w:b/>
          <w:bCs/>
          <w:kern w:val="0"/>
          <w:sz w:val="24"/>
          <w:szCs w:val="24"/>
          <w:highlight w:val="none"/>
          <w:lang w:val="zh-CN"/>
        </w:rPr>
        <w:t>)</w:t>
      </w:r>
    </w:p>
    <w:tbl>
      <w:tblPr>
        <w:tblStyle w:val="62"/>
        <w:tblW w:w="126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11"/>
        <w:gridCol w:w="1906"/>
        <w:gridCol w:w="1425"/>
        <w:gridCol w:w="1297"/>
        <w:gridCol w:w="2279"/>
        <w:gridCol w:w="24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3211" w:type="dxa"/>
            <w:tcBorders>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1906"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线路内容</w:t>
            </w:r>
          </w:p>
        </w:tc>
        <w:tc>
          <w:tcPr>
            <w:tcW w:w="1425"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服务期</w:t>
            </w:r>
          </w:p>
        </w:tc>
        <w:tc>
          <w:tcPr>
            <w:tcW w:w="1297"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数量</w:t>
            </w:r>
          </w:p>
        </w:tc>
        <w:tc>
          <w:tcPr>
            <w:tcW w:w="2279"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单价</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元</w:t>
            </w:r>
            <w:r>
              <w:rPr>
                <w:rFonts w:hint="eastAsia" w:ascii="仿宋" w:hAnsi="仿宋" w:eastAsia="仿宋" w:cs="仿宋"/>
                <w:sz w:val="24"/>
                <w:highlight w:val="none"/>
                <w:lang w:eastAsia="zh-CN"/>
              </w:rPr>
              <w:t>）</w:t>
            </w:r>
          </w:p>
        </w:tc>
        <w:tc>
          <w:tcPr>
            <w:tcW w:w="2497"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投标报价</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元</w:t>
            </w:r>
            <w:r>
              <w:rPr>
                <w:rFonts w:hint="eastAsia" w:ascii="仿宋" w:hAnsi="仿宋" w:eastAsia="仿宋" w:cs="仿宋"/>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3211" w:type="dxa"/>
            <w:tcBorders>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杭州市公安局临平区分局2022年工会疗休养项目</w:t>
            </w:r>
          </w:p>
          <w:p>
            <w:pPr>
              <w:spacing w:before="0" w:beforeAutospacing="0" w:after="0" w:afterAutospacing="0" w:line="360" w:lineRule="auto"/>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标项三</w:t>
            </w:r>
          </w:p>
        </w:tc>
        <w:tc>
          <w:tcPr>
            <w:tcW w:w="1906" w:type="dxa"/>
            <w:tcBorders>
              <w:left w:val="single" w:color="auto" w:sz="4" w:space="0"/>
              <w:bottom w:val="single" w:color="auto" w:sz="4" w:space="0"/>
              <w:right w:val="single" w:color="auto" w:sz="4" w:space="0"/>
            </w:tcBorders>
            <w:vAlign w:val="center"/>
          </w:tcPr>
          <w:p>
            <w:pPr>
              <w:spacing w:before="0" w:beforeAutospacing="0" w:after="0" w:afterAutospacing="0"/>
              <w:ind w:left="0" w:right="0" w:firstLine="105" w:firstLineChars="50"/>
              <w:rPr>
                <w:rFonts w:hint="eastAsia" w:ascii="宋体" w:hAnsi="宋体" w:cs="宋体"/>
                <w:szCs w:val="21"/>
              </w:rPr>
            </w:pPr>
            <w:r>
              <w:rPr>
                <w:rFonts w:hint="eastAsia" w:ascii="宋体" w:hAnsi="宋体" w:cs="宋体"/>
                <w:szCs w:val="21"/>
              </w:rPr>
              <w:t>线路五：龙泉丽水线</w:t>
            </w:r>
          </w:p>
          <w:p>
            <w:pPr>
              <w:spacing w:before="0" w:beforeAutospacing="0" w:after="0" w:afterAutospacing="0"/>
              <w:ind w:left="0" w:right="0"/>
              <w:jc w:val="center"/>
              <w:rPr>
                <w:rFonts w:hint="eastAsia" w:ascii="仿宋" w:hAnsi="仿宋" w:eastAsia="仿宋" w:cs="仿宋"/>
                <w:sz w:val="24"/>
                <w:highlight w:val="none"/>
              </w:rPr>
            </w:pPr>
            <w:r>
              <w:rPr>
                <w:rFonts w:hint="eastAsia" w:ascii="宋体" w:hAnsi="宋体" w:cs="宋体"/>
                <w:szCs w:val="21"/>
              </w:rPr>
              <w:t>（省内5天）</w:t>
            </w:r>
          </w:p>
        </w:tc>
        <w:tc>
          <w:tcPr>
            <w:tcW w:w="1425"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响应招标文件要求</w:t>
            </w:r>
          </w:p>
        </w:tc>
        <w:tc>
          <w:tcPr>
            <w:tcW w:w="1297" w:type="dxa"/>
            <w:tcBorders>
              <w:left w:val="single" w:color="auto" w:sz="4" w:space="0"/>
              <w:right w:val="single" w:color="auto" w:sz="4" w:space="0"/>
            </w:tcBorders>
            <w:vAlign w:val="center"/>
          </w:tcPr>
          <w:p>
            <w:pPr>
              <w:spacing w:before="0" w:beforeAutospacing="0" w:after="0" w:afterAutospacing="0"/>
              <w:ind w:left="0" w:right="0"/>
              <w:jc w:val="center"/>
              <w:rPr>
                <w:rFonts w:hint="eastAsia" w:ascii="仿宋" w:hAnsi="仿宋" w:eastAsia="仿宋" w:cs="仿宋"/>
                <w:sz w:val="24"/>
                <w:highlight w:val="none"/>
                <w:lang w:val="en-US" w:eastAsia="zh-CN"/>
              </w:rPr>
            </w:pPr>
          </w:p>
          <w:p>
            <w:pPr>
              <w:spacing w:before="0" w:beforeAutospacing="0" w:after="0" w:afterAutospacing="0"/>
              <w:ind w:left="0" w:right="0"/>
              <w:jc w:val="center"/>
              <w:rPr>
                <w:rFonts w:hint="default" w:ascii="仿宋" w:hAnsi="仿宋" w:eastAsia="仿宋" w:cs="仿宋"/>
                <w:kern w:val="2"/>
                <w:sz w:val="24"/>
                <w:szCs w:val="21"/>
                <w:highlight w:val="none"/>
                <w:lang w:val="en-US" w:eastAsia="zh-CN" w:bidi="ar-SA"/>
              </w:rPr>
            </w:pPr>
            <w:r>
              <w:rPr>
                <w:rFonts w:hint="eastAsia" w:ascii="仿宋" w:hAnsi="仿宋" w:eastAsia="仿宋" w:cs="仿宋"/>
                <w:sz w:val="24"/>
                <w:highlight w:val="none"/>
                <w:lang w:val="en-US" w:eastAsia="zh-CN"/>
              </w:rPr>
              <w:t>450人</w:t>
            </w:r>
          </w:p>
          <w:p>
            <w:pPr>
              <w:spacing w:before="0" w:beforeAutospacing="0" w:after="0" w:afterAutospacing="0" w:line="360" w:lineRule="auto"/>
              <w:ind w:left="0" w:right="0"/>
              <w:jc w:val="center"/>
              <w:rPr>
                <w:rFonts w:hint="eastAsia" w:ascii="仿宋" w:hAnsi="仿宋" w:eastAsia="仿宋" w:cs="仿宋"/>
                <w:sz w:val="24"/>
                <w:highlight w:val="none"/>
              </w:rPr>
            </w:pPr>
          </w:p>
        </w:tc>
        <w:tc>
          <w:tcPr>
            <w:tcW w:w="2279" w:type="dxa"/>
            <w:tcBorders>
              <w:left w:val="single" w:color="auto" w:sz="4" w:space="0"/>
              <w:right w:val="single" w:color="auto" w:sz="4" w:space="0"/>
            </w:tcBorders>
            <w:vAlign w:val="center"/>
          </w:tcPr>
          <w:p>
            <w:pPr>
              <w:spacing w:before="0" w:beforeAutospacing="0" w:after="0" w:afterAutospacing="0"/>
              <w:ind w:left="0" w:right="0"/>
              <w:jc w:val="center"/>
              <w:rPr>
                <w:rFonts w:hint="default" w:ascii="仿宋" w:hAnsi="仿宋" w:eastAsia="仿宋" w:cs="仿宋"/>
                <w:sz w:val="24"/>
                <w:highlight w:val="none"/>
                <w:lang w:val="en-US" w:eastAsia="zh-CN"/>
              </w:rPr>
            </w:pPr>
          </w:p>
        </w:tc>
        <w:tc>
          <w:tcPr>
            <w:tcW w:w="2497"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rPr>
            </w:pPr>
          </w:p>
          <w:p>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（小写）</w:t>
            </w:r>
          </w:p>
          <w:p>
            <w:pPr>
              <w:spacing w:before="0" w:beforeAutospacing="0" w:after="0" w:afterAutospacing="0" w:line="360" w:lineRule="auto"/>
              <w:ind w:left="0" w:right="0"/>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3211" w:type="dxa"/>
            <w:tcBorders>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sz w:val="24"/>
                <w:highlight w:val="none"/>
                <w:lang w:eastAsia="zh-CN"/>
              </w:rPr>
            </w:pPr>
            <w:r>
              <w:rPr>
                <w:rFonts w:hint="eastAsia" w:ascii="仿宋" w:hAnsi="仿宋" w:eastAsia="仿宋" w:cs="仿宋"/>
                <w:sz w:val="24"/>
                <w:highlight w:val="none"/>
              </w:rPr>
              <w:t>总价</w:t>
            </w:r>
          </w:p>
        </w:tc>
        <w:tc>
          <w:tcPr>
            <w:tcW w:w="4628" w:type="dxa"/>
            <w:gridSpan w:val="3"/>
            <w:tcBorders>
              <w:left w:val="single" w:color="auto" w:sz="4" w:space="0"/>
            </w:tcBorders>
            <w:vAlign w:val="center"/>
          </w:tcPr>
          <w:p>
            <w:pPr>
              <w:spacing w:before="0" w:beforeAutospacing="0" w:after="0" w:afterAutospacing="0" w:line="360" w:lineRule="auto"/>
              <w:ind w:left="0" w:right="0"/>
              <w:jc w:val="center"/>
              <w:rPr>
                <w:rFonts w:hint="default" w:ascii="仿宋" w:hAnsi="仿宋" w:eastAsia="仿宋" w:cs="仿宋"/>
                <w:sz w:val="24"/>
                <w:highlight w:val="none"/>
                <w:lang w:val="en-US" w:eastAsia="zh-CN"/>
              </w:rPr>
            </w:pPr>
          </w:p>
        </w:tc>
        <w:tc>
          <w:tcPr>
            <w:tcW w:w="2279" w:type="dxa"/>
            <w:tcBorders>
              <w:left w:val="single" w:color="auto" w:sz="4" w:space="0"/>
            </w:tcBorders>
            <w:vAlign w:val="center"/>
          </w:tcPr>
          <w:p>
            <w:pPr>
              <w:spacing w:before="0" w:beforeAutospacing="0" w:after="0" w:afterAutospacing="0" w:line="360" w:lineRule="auto"/>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（大写）</w:t>
            </w:r>
          </w:p>
        </w:tc>
        <w:tc>
          <w:tcPr>
            <w:tcW w:w="2497" w:type="dxa"/>
            <w:tcBorders>
              <w:left w:val="single" w:color="auto" w:sz="4" w:space="0"/>
            </w:tcBorders>
            <w:vAlign w:val="center"/>
          </w:tcPr>
          <w:p>
            <w:pPr>
              <w:spacing w:before="0" w:beforeAutospacing="0" w:after="0" w:afterAutospacing="0" w:line="360" w:lineRule="auto"/>
              <w:ind w:left="0" w:right="0" w:firstLine="480" w:firstLineChars="200"/>
              <w:rPr>
                <w:rFonts w:hint="eastAsia" w:ascii="仿宋" w:hAnsi="仿宋" w:eastAsia="仿宋" w:cs="仿宋"/>
                <w:sz w:val="24"/>
                <w:highlight w:val="none"/>
              </w:rPr>
            </w:pPr>
            <w:r>
              <w:rPr>
                <w:rFonts w:hint="eastAsia" w:ascii="仿宋" w:hAnsi="仿宋" w:eastAsia="仿宋" w:cs="仿宋"/>
                <w:sz w:val="24"/>
                <w:highlight w:val="none"/>
              </w:rPr>
              <w:t>（小写）</w:t>
            </w:r>
          </w:p>
        </w:tc>
      </w:tr>
    </w:tbl>
    <w:p>
      <w:pPr>
        <w:snapToGrid w:val="0"/>
        <w:spacing w:line="360" w:lineRule="auto"/>
        <w:ind w:left="480"/>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注：</w:t>
      </w:r>
    </w:p>
    <w:p>
      <w:pPr>
        <w:spacing w:line="360" w:lineRule="auto"/>
        <w:ind w:left="-2"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w:t>
      </w:r>
      <w:r>
        <w:rPr>
          <w:rFonts w:hint="eastAsia" w:ascii="仿宋" w:hAnsi="仿宋" w:eastAsia="仿宋" w:cs="仿宋"/>
          <w:kern w:val="0"/>
          <w:sz w:val="24"/>
          <w:szCs w:val="24"/>
          <w:highlight w:val="none"/>
          <w:lang w:val="zh-CN"/>
        </w:rPr>
        <w:t>、投标人需按本表格式填写，不得自行更改。</w:t>
      </w:r>
    </w:p>
    <w:p>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2</w:t>
      </w:r>
      <w:r>
        <w:rPr>
          <w:rFonts w:hint="eastAsia" w:ascii="仿宋" w:hAnsi="仿宋" w:eastAsia="仿宋" w:cs="仿宋"/>
          <w:kern w:val="0"/>
          <w:sz w:val="24"/>
          <w:szCs w:val="24"/>
          <w:highlight w:val="none"/>
          <w:lang w:val="zh-CN"/>
        </w:rPr>
        <w:t>、有关本项目实施所涉及的一切费用均计入报价。</w:t>
      </w:r>
      <w:r>
        <w:rPr>
          <w:rFonts w:hint="eastAsia" w:ascii="仿宋" w:hAnsi="仿宋" w:eastAsia="仿宋" w:cs="仿宋"/>
          <w:b/>
          <w:bCs/>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highlight w:val="none"/>
          <w:lang w:val="zh-CN"/>
        </w:rPr>
        <w:t>，</w:t>
      </w:r>
      <w:r>
        <w:rPr>
          <w:rFonts w:hint="eastAsia" w:ascii="仿宋" w:hAnsi="仿宋" w:eastAsia="仿宋" w:cs="仿宋"/>
          <w:b/>
          <w:bCs/>
          <w:kern w:val="0"/>
          <w:sz w:val="24"/>
          <w:szCs w:val="24"/>
          <w:highlight w:val="none"/>
          <w:lang w:val="zh-CN"/>
        </w:rPr>
        <w:t>不得出现“</w:t>
      </w:r>
      <w:r>
        <w:rPr>
          <w:rFonts w:ascii="仿宋" w:hAnsi="仿宋" w:eastAsia="仿宋" w:cs="仿宋"/>
          <w:b/>
          <w:bCs/>
          <w:kern w:val="0"/>
          <w:sz w:val="24"/>
          <w:szCs w:val="24"/>
          <w:highlight w:val="none"/>
          <w:lang w:val="zh-CN"/>
        </w:rPr>
        <w:t>0</w:t>
      </w:r>
      <w:r>
        <w:rPr>
          <w:rFonts w:hint="eastAsia" w:ascii="仿宋" w:hAnsi="仿宋" w:eastAsia="仿宋" w:cs="仿宋"/>
          <w:b/>
          <w:bCs/>
          <w:kern w:val="0"/>
          <w:sz w:val="24"/>
          <w:szCs w:val="24"/>
          <w:highlight w:val="none"/>
          <w:lang w:val="zh-CN"/>
        </w:rPr>
        <w:t>元”“免费赠送”等形式的无偿报价，</w:t>
      </w:r>
      <w:r>
        <w:rPr>
          <w:rFonts w:hint="eastAsia" w:ascii="仿宋" w:hAnsi="仿宋" w:eastAsia="仿宋" w:cs="仿宋"/>
          <w:b/>
          <w:bCs/>
          <w:kern w:val="0"/>
          <w:sz w:val="24"/>
          <w:szCs w:val="24"/>
          <w:highlight w:val="none"/>
        </w:rPr>
        <w:t>否则视为</w:t>
      </w:r>
      <w:r>
        <w:rPr>
          <w:rFonts w:hint="eastAsia" w:ascii="仿宋" w:hAnsi="仿宋" w:eastAsia="仿宋" w:cs="仿宋"/>
          <w:b/>
          <w:bCs/>
          <w:sz w:val="24"/>
          <w:szCs w:val="24"/>
          <w:highlight w:val="none"/>
        </w:rPr>
        <w:t>投标文件含有采购人不能接受的附加条件的，投标无效</w:t>
      </w:r>
      <w:r>
        <w:rPr>
          <w:rFonts w:hint="eastAsia" w:ascii="仿宋" w:hAnsi="仿宋" w:eastAsia="仿宋" w:cs="仿宋"/>
          <w:b/>
          <w:bCs/>
          <w:kern w:val="0"/>
          <w:sz w:val="24"/>
          <w:szCs w:val="24"/>
          <w:highlight w:val="none"/>
          <w:lang w:val="zh-CN"/>
        </w:rPr>
        <w:t>。</w:t>
      </w:r>
    </w:p>
    <w:p>
      <w:pPr>
        <w:snapToGrid w:val="0"/>
        <w:spacing w:line="360" w:lineRule="auto"/>
        <w:ind w:firstLine="480" w:firstLineChars="2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w:t>
      </w:r>
      <w:r>
        <w:rPr>
          <w:rFonts w:hint="eastAsia" w:ascii="仿宋" w:hAnsi="仿宋" w:eastAsia="仿宋" w:cs="仿宋"/>
          <w:kern w:val="0"/>
          <w:sz w:val="24"/>
          <w:szCs w:val="24"/>
          <w:highlight w:val="none"/>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szCs w:val="24"/>
          <w:highlight w:val="none"/>
          <w:lang w:val="zh-CN"/>
        </w:rPr>
      </w:pPr>
      <w:r>
        <w:rPr>
          <w:rFonts w:ascii="仿宋" w:hAnsi="仿宋" w:eastAsia="仿宋" w:cs="仿宋"/>
          <w:kern w:val="0"/>
          <w:sz w:val="24"/>
          <w:szCs w:val="24"/>
          <w:highlight w:val="none"/>
          <w:lang w:val="zh-CN"/>
        </w:rPr>
        <w:t>5</w:t>
      </w:r>
      <w:r>
        <w:rPr>
          <w:rFonts w:hint="eastAsia" w:ascii="仿宋" w:hAnsi="仿宋" w:eastAsia="仿宋" w:cs="仿宋"/>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br w:type="page"/>
      </w:r>
    </w:p>
    <w:p>
      <w:pPr>
        <w:pStyle w:val="2"/>
        <w:ind w:left="0" w:leftChars="0" w:firstLine="0" w:firstLineChars="0"/>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02" w:name="_Toc465665161"/>
      <w:r>
        <w:rPr>
          <w:rFonts w:hint="eastAsia" w:ascii="仿宋_GB2312" w:hAnsi="仿宋" w:eastAsia="仿宋_GB2312"/>
        </w:rPr>
        <w:t>附件</w:t>
      </w:r>
      <w:bookmarkEnd w:id="402"/>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3" w:name="OLE_LINK14"/>
      <w:bookmarkStart w:id="404" w:name="OLE_LINK13"/>
      <w:r>
        <w:rPr>
          <w:rFonts w:hint="eastAsia" w:ascii="仿宋_GB2312" w:hAnsi="仿宋" w:eastAsia="仿宋_GB2312"/>
          <w:b/>
          <w:spacing w:val="6"/>
          <w:sz w:val="32"/>
          <w:szCs w:val="32"/>
        </w:rPr>
        <w:t>残疾人福利性单位声明函</w:t>
      </w:r>
    </w:p>
    <w:bookmarkEnd w:id="403"/>
    <w:bookmarkEnd w:id="404"/>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2"/>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ind w:right="420"/>
      </w:pPr>
    </w:p>
    <w:p>
      <w:pPr>
        <w:spacing w:line="360" w:lineRule="auto"/>
        <w:rPr>
          <w:rFonts w:ascii="仿宋" w:hAnsi="仿宋" w:eastAsia="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91899912"/>
    <w:bookmarkStart w:id="406" w:name="_Toc164085800"/>
    <w:bookmarkStart w:id="407" w:name="_Toc131845147"/>
    <w:bookmarkStart w:id="408" w:name="_Toc36110187"/>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separate"/>
    </w:r>
    <w:r>
      <w:rPr>
        <w:rStyle w:val="73"/>
      </w:rPr>
      <w:t>8</w: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70B03"/>
    <w:multiLevelType w:val="multilevel"/>
    <w:tmpl w:val="5AA70B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CF4D7C"/>
    <w:multiLevelType w:val="singleLevel"/>
    <w:tmpl w:val="5ECF4D7C"/>
    <w:lvl w:ilvl="0" w:tentative="0">
      <w:start w:val="2"/>
      <w:numFmt w:val="chineseCounting"/>
      <w:suff w:val="nothing"/>
      <w:lvlText w:val="（%1）"/>
      <w:lvlJc w:val="left"/>
    </w:lvl>
  </w:abstractNum>
  <w:abstractNum w:abstractNumId="2">
    <w:nsid w:val="629D9D1F"/>
    <w:multiLevelType w:val="singleLevel"/>
    <w:tmpl w:val="629D9D1F"/>
    <w:lvl w:ilvl="0" w:tentative="0">
      <w:start w:val="6"/>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WM3ODE5MjBlNzQ2YzRjMDBjMjQ1YjEzNDY5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11B"/>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27F58"/>
    <w:rsid w:val="02DC4B10"/>
    <w:rsid w:val="02DD76CE"/>
    <w:rsid w:val="02F36323"/>
    <w:rsid w:val="02F5619C"/>
    <w:rsid w:val="0326446A"/>
    <w:rsid w:val="032D5555"/>
    <w:rsid w:val="035D4591"/>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9D2AC3"/>
    <w:rsid w:val="0AA374A5"/>
    <w:rsid w:val="0AAB7649"/>
    <w:rsid w:val="0ABC5606"/>
    <w:rsid w:val="0AC42132"/>
    <w:rsid w:val="0AEE5A69"/>
    <w:rsid w:val="0B30404E"/>
    <w:rsid w:val="0B4C6C14"/>
    <w:rsid w:val="0B631A88"/>
    <w:rsid w:val="0B683D45"/>
    <w:rsid w:val="0B7F3F11"/>
    <w:rsid w:val="0B884417"/>
    <w:rsid w:val="0BF6188C"/>
    <w:rsid w:val="0BF73C91"/>
    <w:rsid w:val="0C170175"/>
    <w:rsid w:val="0C571A41"/>
    <w:rsid w:val="0C5C1171"/>
    <w:rsid w:val="0C5C1BCC"/>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392F9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8963A1"/>
    <w:rsid w:val="11C6522A"/>
    <w:rsid w:val="11E104CC"/>
    <w:rsid w:val="11E20309"/>
    <w:rsid w:val="11FE0013"/>
    <w:rsid w:val="12255233"/>
    <w:rsid w:val="12530213"/>
    <w:rsid w:val="127723A9"/>
    <w:rsid w:val="12862074"/>
    <w:rsid w:val="12883966"/>
    <w:rsid w:val="129E45B4"/>
    <w:rsid w:val="12BB25D2"/>
    <w:rsid w:val="12D81596"/>
    <w:rsid w:val="13072A44"/>
    <w:rsid w:val="135F4BE2"/>
    <w:rsid w:val="137A4BC0"/>
    <w:rsid w:val="139B1A0A"/>
    <w:rsid w:val="139D25C7"/>
    <w:rsid w:val="13BF3CE4"/>
    <w:rsid w:val="141008D8"/>
    <w:rsid w:val="14125FE6"/>
    <w:rsid w:val="146D271E"/>
    <w:rsid w:val="14982588"/>
    <w:rsid w:val="149A5AD9"/>
    <w:rsid w:val="14A7619D"/>
    <w:rsid w:val="14BB7B9C"/>
    <w:rsid w:val="150536C3"/>
    <w:rsid w:val="150C1963"/>
    <w:rsid w:val="151447A0"/>
    <w:rsid w:val="154A6454"/>
    <w:rsid w:val="15762120"/>
    <w:rsid w:val="16A8729C"/>
    <w:rsid w:val="16B33777"/>
    <w:rsid w:val="16BC70A7"/>
    <w:rsid w:val="16C6339E"/>
    <w:rsid w:val="172F2D79"/>
    <w:rsid w:val="17557BEF"/>
    <w:rsid w:val="175F3F5B"/>
    <w:rsid w:val="17D349C1"/>
    <w:rsid w:val="1830729E"/>
    <w:rsid w:val="1870062C"/>
    <w:rsid w:val="18817102"/>
    <w:rsid w:val="18830A15"/>
    <w:rsid w:val="18852B28"/>
    <w:rsid w:val="188B5321"/>
    <w:rsid w:val="196453DF"/>
    <w:rsid w:val="19932372"/>
    <w:rsid w:val="19A20DD5"/>
    <w:rsid w:val="19AE03F1"/>
    <w:rsid w:val="1A071A03"/>
    <w:rsid w:val="1A1F16AE"/>
    <w:rsid w:val="1A3B5C77"/>
    <w:rsid w:val="1A65423B"/>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767BD0"/>
    <w:rsid w:val="1C88086E"/>
    <w:rsid w:val="1D266CE1"/>
    <w:rsid w:val="1D3963AF"/>
    <w:rsid w:val="1D6A673C"/>
    <w:rsid w:val="1D9247AE"/>
    <w:rsid w:val="1DB567EC"/>
    <w:rsid w:val="1DE54FD0"/>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8A67B8"/>
    <w:rsid w:val="20973DEB"/>
    <w:rsid w:val="20B26522"/>
    <w:rsid w:val="20B44310"/>
    <w:rsid w:val="211116EB"/>
    <w:rsid w:val="2133151A"/>
    <w:rsid w:val="216133FC"/>
    <w:rsid w:val="21D56769"/>
    <w:rsid w:val="21E52EF3"/>
    <w:rsid w:val="21FB5D7B"/>
    <w:rsid w:val="220B1C3D"/>
    <w:rsid w:val="221D1D20"/>
    <w:rsid w:val="22334A87"/>
    <w:rsid w:val="22681CF7"/>
    <w:rsid w:val="22BE6801"/>
    <w:rsid w:val="23072F51"/>
    <w:rsid w:val="233500BF"/>
    <w:rsid w:val="23377FF7"/>
    <w:rsid w:val="23693A77"/>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F5825"/>
    <w:rsid w:val="24D663E6"/>
    <w:rsid w:val="24D77F2B"/>
    <w:rsid w:val="253E1FB4"/>
    <w:rsid w:val="258B00E2"/>
    <w:rsid w:val="25A917A6"/>
    <w:rsid w:val="25BE27CC"/>
    <w:rsid w:val="25F654BC"/>
    <w:rsid w:val="25F74A5C"/>
    <w:rsid w:val="2628662C"/>
    <w:rsid w:val="262D45DE"/>
    <w:rsid w:val="26552BE2"/>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40F12"/>
    <w:rsid w:val="2CE82D6F"/>
    <w:rsid w:val="2CF24727"/>
    <w:rsid w:val="2CFB6C52"/>
    <w:rsid w:val="2D343236"/>
    <w:rsid w:val="2D491B1B"/>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6963EB"/>
    <w:rsid w:val="33757D46"/>
    <w:rsid w:val="33816EEB"/>
    <w:rsid w:val="33B273BE"/>
    <w:rsid w:val="33EB55CD"/>
    <w:rsid w:val="33EC4C02"/>
    <w:rsid w:val="340D2360"/>
    <w:rsid w:val="3410665D"/>
    <w:rsid w:val="34211214"/>
    <w:rsid w:val="342E63AB"/>
    <w:rsid w:val="34950E68"/>
    <w:rsid w:val="34986E94"/>
    <w:rsid w:val="34A064BE"/>
    <w:rsid w:val="34AF62C9"/>
    <w:rsid w:val="34CB4388"/>
    <w:rsid w:val="34FA6E12"/>
    <w:rsid w:val="358D5588"/>
    <w:rsid w:val="363A3B40"/>
    <w:rsid w:val="365302AE"/>
    <w:rsid w:val="36607A0A"/>
    <w:rsid w:val="366E227C"/>
    <w:rsid w:val="366F2E0D"/>
    <w:rsid w:val="367B6A5C"/>
    <w:rsid w:val="36994164"/>
    <w:rsid w:val="36A74ADA"/>
    <w:rsid w:val="36AD60D5"/>
    <w:rsid w:val="36B224F9"/>
    <w:rsid w:val="36EC0CC9"/>
    <w:rsid w:val="373F410B"/>
    <w:rsid w:val="37D27573"/>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C31A53"/>
    <w:rsid w:val="40FF545D"/>
    <w:rsid w:val="410067C8"/>
    <w:rsid w:val="41586BC4"/>
    <w:rsid w:val="418F0D2A"/>
    <w:rsid w:val="41D01505"/>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A50F64"/>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74877"/>
    <w:rsid w:val="4AEB7664"/>
    <w:rsid w:val="4AF43F3C"/>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7F43A6"/>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73E94"/>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449E7"/>
    <w:rsid w:val="5A792B1F"/>
    <w:rsid w:val="5A874767"/>
    <w:rsid w:val="5AAD6F28"/>
    <w:rsid w:val="5AD63A24"/>
    <w:rsid w:val="5B024457"/>
    <w:rsid w:val="5B091AC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7759B"/>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C56508"/>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885958"/>
    <w:rsid w:val="629058F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7F2005"/>
    <w:rsid w:val="6B8E6844"/>
    <w:rsid w:val="6B935D53"/>
    <w:rsid w:val="6BE96690"/>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5E5F14"/>
    <w:rsid w:val="6E8335BD"/>
    <w:rsid w:val="6E8E12EF"/>
    <w:rsid w:val="6E972936"/>
    <w:rsid w:val="6ED446C5"/>
    <w:rsid w:val="6EFA5469"/>
    <w:rsid w:val="6F2A7D94"/>
    <w:rsid w:val="6F8331F1"/>
    <w:rsid w:val="6FAE1A09"/>
    <w:rsid w:val="6FD75BF8"/>
    <w:rsid w:val="707723D0"/>
    <w:rsid w:val="70F5661B"/>
    <w:rsid w:val="71360107"/>
    <w:rsid w:val="713B688E"/>
    <w:rsid w:val="71565065"/>
    <w:rsid w:val="71D43752"/>
    <w:rsid w:val="71F1796A"/>
    <w:rsid w:val="72064D08"/>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07A92"/>
    <w:rsid w:val="752E6DCD"/>
    <w:rsid w:val="75342268"/>
    <w:rsid w:val="754A11EA"/>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90271"/>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EFC3296"/>
    <w:rsid w:val="7F0768EB"/>
    <w:rsid w:val="7F143BEC"/>
    <w:rsid w:val="7F712CC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2"/>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link w:val="781"/>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7"/>
    <w:qFormat/>
    <w:uiPriority w:val="0"/>
    <w:pPr>
      <w:ind w:left="100" w:leftChars="2500"/>
    </w:pPr>
    <w:rPr>
      <w:rFonts w:ascii="宋体"/>
      <w:sz w:val="24"/>
      <w:szCs w:val="21"/>
      <w:lang w:val="zh-CN"/>
    </w:rPr>
  </w:style>
  <w:style w:type="paragraph" w:styleId="38">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714"/>
    <w:qFormat/>
    <w:uiPriority w:val="0"/>
    <w:rPr>
      <w:sz w:val="18"/>
      <w:szCs w:val="18"/>
    </w:rPr>
  </w:style>
  <w:style w:type="paragraph" w:styleId="41">
    <w:name w:val="footer"/>
    <w:basedOn w:val="1"/>
    <w:link w:val="889"/>
    <w:qFormat/>
    <w:uiPriority w:val="99"/>
    <w:pPr>
      <w:tabs>
        <w:tab w:val="center" w:pos="4153"/>
        <w:tab w:val="right" w:pos="8306"/>
      </w:tabs>
      <w:snapToGrid w:val="0"/>
      <w:jc w:val="left"/>
    </w:pPr>
    <w:rPr>
      <w:sz w:val="18"/>
      <w:szCs w:val="18"/>
    </w:rPr>
  </w:style>
  <w:style w:type="paragraph" w:styleId="42">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7"/>
    <w:qFormat/>
    <w:uiPriority w:val="0"/>
    <w:pPr>
      <w:spacing w:after="120" w:line="480" w:lineRule="auto"/>
    </w:pPr>
  </w:style>
  <w:style w:type="paragraph" w:styleId="57">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0"/>
    <w:qFormat/>
    <w:uiPriority w:val="0"/>
    <w:rPr>
      <w:b/>
      <w:bCs/>
    </w:rPr>
  </w:style>
  <w:style w:type="paragraph" w:styleId="61">
    <w:name w:val="Body Text First Indent 2"/>
    <w:basedOn w:val="26"/>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Char Char Char Char Char Char Char Char Char Char"/>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60"/>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8"/>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7"/>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0"/>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1"/>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6"/>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9"/>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7"/>
    <w:qFormat/>
    <w:uiPriority w:val="0"/>
    <w:rPr>
      <w:rFonts w:ascii="黑体" w:hAnsi="Courier New" w:eastAsia="黑体"/>
    </w:rPr>
  </w:style>
  <w:style w:type="character" w:customStyle="1" w:styleId="817">
    <w:name w:val="正文文本 2 Char1"/>
    <w:link w:val="56"/>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8"/>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1"/>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首行缩进 Char"/>
    <w:link w:val="24"/>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0"/>
    <w:rPr>
      <w:kern w:val="2"/>
      <w:sz w:val="21"/>
      <w:szCs w:val="24"/>
    </w:rPr>
  </w:style>
  <w:style w:type="character" w:customStyle="1" w:styleId="854">
    <w:name w:val="签名 Char"/>
    <w:link w:val="43"/>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3"/>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1"/>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2"/>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9"/>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35823</Words>
  <Characters>37751</Characters>
  <Lines>287</Lines>
  <Paragraphs>81</Paragraphs>
  <TotalTime>29</TotalTime>
  <ScaleCrop>false</ScaleCrop>
  <LinksUpToDate>false</LinksUpToDate>
  <CharactersWithSpaces>43989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WPS_1530706504</cp:lastModifiedBy>
  <cp:lastPrinted>2022-02-24T05:45:00Z</cp:lastPrinted>
  <dcterms:modified xsi:type="dcterms:W3CDTF">2022-07-19T05:18:40Z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07B6840CA63344AF95BF560E4093AAC6</vt:lpwstr>
  </property>
</Properties>
</file>